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2EDD9F" w14:textId="77777777" w:rsidR="00207C46" w:rsidRDefault="00207C46" w:rsidP="00207C46">
      <w:pPr>
        <w:pStyle w:val="Corpodetexto"/>
        <w:spacing w:before="257"/>
      </w:pPr>
    </w:p>
    <w:p w14:paraId="5E9DA3B7" w14:textId="3F7353D6" w:rsidR="00205231" w:rsidRDefault="00207C46" w:rsidP="00205231">
      <w:pPr>
        <w:ind w:left="2899" w:right="1382" w:hanging="1794"/>
        <w:jc w:val="center"/>
        <w:rPr>
          <w:b/>
          <w:spacing w:val="-13"/>
        </w:rPr>
      </w:pPr>
      <w:r>
        <w:rPr>
          <w:b/>
        </w:rPr>
        <w:t>PONTIFÍCIA</w:t>
      </w:r>
      <w:r>
        <w:rPr>
          <w:b/>
          <w:spacing w:val="-10"/>
        </w:rPr>
        <w:t xml:space="preserve"> </w:t>
      </w:r>
      <w:r>
        <w:rPr>
          <w:b/>
        </w:rPr>
        <w:t>UNIVERSIDADE</w:t>
      </w:r>
      <w:r>
        <w:rPr>
          <w:b/>
          <w:spacing w:val="-9"/>
        </w:rPr>
        <w:t xml:space="preserve"> </w:t>
      </w:r>
      <w:r>
        <w:rPr>
          <w:b/>
        </w:rPr>
        <w:t>CATÓLICA</w:t>
      </w:r>
      <w:r>
        <w:rPr>
          <w:b/>
          <w:spacing w:val="-11"/>
        </w:rPr>
        <w:t xml:space="preserve"> </w:t>
      </w:r>
      <w:r>
        <w:rPr>
          <w:b/>
        </w:rPr>
        <w:t>DE</w:t>
      </w:r>
      <w:r>
        <w:rPr>
          <w:b/>
          <w:spacing w:val="-10"/>
        </w:rPr>
        <w:t xml:space="preserve"> </w:t>
      </w:r>
      <w:r>
        <w:rPr>
          <w:b/>
        </w:rPr>
        <w:t>GOIÁS</w:t>
      </w:r>
      <w:r>
        <w:rPr>
          <w:b/>
          <w:spacing w:val="-9"/>
        </w:rPr>
        <w:t xml:space="preserve"> </w:t>
      </w:r>
      <w:r w:rsidR="00205231">
        <w:rPr>
          <w:b/>
        </w:rPr>
        <w:t>–</w:t>
      </w:r>
      <w:r>
        <w:rPr>
          <w:b/>
          <w:spacing w:val="-13"/>
        </w:rPr>
        <w:t xml:space="preserve"> </w:t>
      </w:r>
      <w:r>
        <w:rPr>
          <w:b/>
        </w:rPr>
        <w:t>PUC</w:t>
      </w:r>
    </w:p>
    <w:p w14:paraId="19F8F4A8" w14:textId="542D0820" w:rsidR="00207C46" w:rsidRDefault="00207C46" w:rsidP="00205231">
      <w:pPr>
        <w:ind w:left="2899" w:right="1382" w:hanging="1794"/>
        <w:jc w:val="center"/>
        <w:rPr>
          <w:b/>
        </w:rPr>
      </w:pPr>
      <w:r>
        <w:rPr>
          <w:b/>
        </w:rPr>
        <w:t>GOIÁS PRÓ-REITORIA DE GRADUAÇÃO</w:t>
      </w:r>
    </w:p>
    <w:p w14:paraId="05A0EF64" w14:textId="77777777" w:rsidR="00205231" w:rsidRDefault="00207C46" w:rsidP="00205231">
      <w:pPr>
        <w:ind w:left="2880" w:right="1377" w:hanging="1379"/>
        <w:jc w:val="center"/>
        <w:rPr>
          <w:b/>
          <w:spacing w:val="-7"/>
        </w:rPr>
      </w:pPr>
      <w:r>
        <w:rPr>
          <w:b/>
        </w:rPr>
        <w:t>ESCOLA</w:t>
      </w:r>
      <w:r>
        <w:rPr>
          <w:b/>
          <w:spacing w:val="-8"/>
        </w:rPr>
        <w:t xml:space="preserve"> </w:t>
      </w:r>
      <w:r>
        <w:rPr>
          <w:b/>
        </w:rPr>
        <w:t>DE</w:t>
      </w:r>
      <w:r>
        <w:rPr>
          <w:b/>
          <w:spacing w:val="-7"/>
        </w:rPr>
        <w:t xml:space="preserve"> </w:t>
      </w:r>
      <w:r>
        <w:rPr>
          <w:b/>
        </w:rPr>
        <w:t>DIREITO,</w:t>
      </w:r>
      <w:r>
        <w:rPr>
          <w:b/>
          <w:spacing w:val="-7"/>
        </w:rPr>
        <w:t xml:space="preserve"> </w:t>
      </w:r>
      <w:r>
        <w:rPr>
          <w:b/>
        </w:rPr>
        <w:t>NEGÓCIOS</w:t>
      </w:r>
      <w:r>
        <w:rPr>
          <w:b/>
          <w:spacing w:val="-4"/>
        </w:rPr>
        <w:t xml:space="preserve"> </w:t>
      </w:r>
      <w:r>
        <w:rPr>
          <w:b/>
        </w:rPr>
        <w:t>E</w:t>
      </w:r>
      <w:r>
        <w:rPr>
          <w:b/>
          <w:spacing w:val="-7"/>
        </w:rPr>
        <w:t xml:space="preserve"> </w:t>
      </w:r>
      <w:r>
        <w:rPr>
          <w:b/>
        </w:rPr>
        <w:t>COMUNICAÇÃO</w:t>
      </w:r>
    </w:p>
    <w:p w14:paraId="7ECE86FA" w14:textId="05D98A72" w:rsidR="00207C46" w:rsidRDefault="00207C46" w:rsidP="00205231">
      <w:pPr>
        <w:ind w:left="2880" w:right="1377" w:hanging="1379"/>
        <w:jc w:val="center"/>
        <w:rPr>
          <w:b/>
        </w:rPr>
      </w:pPr>
      <w:r>
        <w:rPr>
          <w:b/>
        </w:rPr>
        <w:t>(EDNC) CURSO DE CIÊNCIAS CONTÁBEIS</w:t>
      </w:r>
    </w:p>
    <w:p w14:paraId="541D1CA1" w14:textId="77777777" w:rsidR="00207C46" w:rsidRDefault="00207C46" w:rsidP="00207C46">
      <w:pPr>
        <w:pStyle w:val="Corpodetexto"/>
        <w:rPr>
          <w:b/>
        </w:rPr>
      </w:pPr>
    </w:p>
    <w:p w14:paraId="7BE03768" w14:textId="77777777" w:rsidR="00207C46" w:rsidRDefault="00207C46" w:rsidP="00207C46">
      <w:pPr>
        <w:pStyle w:val="Corpodetexto"/>
        <w:rPr>
          <w:b/>
        </w:rPr>
      </w:pPr>
    </w:p>
    <w:p w14:paraId="63BA98B3" w14:textId="77777777" w:rsidR="00207C46" w:rsidRDefault="00207C46" w:rsidP="00207C46">
      <w:pPr>
        <w:pStyle w:val="Corpodetexto"/>
        <w:rPr>
          <w:b/>
        </w:rPr>
      </w:pPr>
    </w:p>
    <w:p w14:paraId="0880F80D" w14:textId="77777777" w:rsidR="00207C46" w:rsidRDefault="00207C46" w:rsidP="00207C46">
      <w:pPr>
        <w:pStyle w:val="Corpodetexto"/>
        <w:rPr>
          <w:b/>
        </w:rPr>
      </w:pPr>
    </w:p>
    <w:p w14:paraId="56B8C936" w14:textId="77777777" w:rsidR="00207C46" w:rsidRDefault="00207C46" w:rsidP="00207C46">
      <w:pPr>
        <w:pStyle w:val="Corpodetexto"/>
        <w:spacing w:before="228"/>
        <w:rPr>
          <w:b/>
        </w:rPr>
      </w:pPr>
    </w:p>
    <w:p w14:paraId="0A0C0931" w14:textId="1776099D" w:rsidR="00207C46" w:rsidRDefault="00D650CC" w:rsidP="00207C46">
      <w:pPr>
        <w:ind w:left="1206" w:right="1469"/>
        <w:jc w:val="center"/>
        <w:rPr>
          <w:b/>
        </w:rPr>
      </w:pPr>
      <w:r>
        <w:rPr>
          <w:b/>
          <w:spacing w:val="-4"/>
        </w:rPr>
        <w:t>IANN ANDRADE LINHARES GOES</w:t>
      </w:r>
    </w:p>
    <w:p w14:paraId="0AC957D9" w14:textId="77777777" w:rsidR="00207C46" w:rsidRDefault="00207C46" w:rsidP="00207C46">
      <w:pPr>
        <w:pStyle w:val="Corpodetexto"/>
        <w:rPr>
          <w:b/>
        </w:rPr>
      </w:pPr>
    </w:p>
    <w:p w14:paraId="693BD867" w14:textId="77777777" w:rsidR="00207C46" w:rsidRDefault="00207C46" w:rsidP="00207C46">
      <w:pPr>
        <w:pStyle w:val="Corpodetexto"/>
        <w:rPr>
          <w:b/>
        </w:rPr>
      </w:pPr>
    </w:p>
    <w:p w14:paraId="37E9C694" w14:textId="77777777" w:rsidR="00207C46" w:rsidRDefault="00207C46" w:rsidP="00207C46">
      <w:pPr>
        <w:pStyle w:val="Corpodetexto"/>
        <w:rPr>
          <w:b/>
        </w:rPr>
      </w:pPr>
    </w:p>
    <w:p w14:paraId="1E73E978" w14:textId="77777777" w:rsidR="00207C46" w:rsidRDefault="00207C46" w:rsidP="00207C46">
      <w:pPr>
        <w:pStyle w:val="Corpodetexto"/>
        <w:rPr>
          <w:b/>
        </w:rPr>
      </w:pPr>
    </w:p>
    <w:p w14:paraId="5FD061EE" w14:textId="77777777" w:rsidR="00207C46" w:rsidRDefault="00207C46" w:rsidP="00207C46">
      <w:pPr>
        <w:pStyle w:val="Corpodetexto"/>
        <w:rPr>
          <w:b/>
        </w:rPr>
      </w:pPr>
    </w:p>
    <w:p w14:paraId="5849D049" w14:textId="77777777" w:rsidR="00207C46" w:rsidRDefault="00207C46" w:rsidP="00207C46">
      <w:pPr>
        <w:pStyle w:val="Corpodetexto"/>
        <w:rPr>
          <w:b/>
        </w:rPr>
      </w:pPr>
    </w:p>
    <w:p w14:paraId="22C85EC8" w14:textId="77777777" w:rsidR="00207C46" w:rsidRDefault="00207C46" w:rsidP="00207C46">
      <w:pPr>
        <w:pStyle w:val="Corpodetexto"/>
        <w:rPr>
          <w:b/>
        </w:rPr>
      </w:pPr>
    </w:p>
    <w:p w14:paraId="7BE8E576" w14:textId="77777777" w:rsidR="00207C46" w:rsidRDefault="00207C46" w:rsidP="00207C46">
      <w:pPr>
        <w:pStyle w:val="Corpodetexto"/>
        <w:rPr>
          <w:b/>
        </w:rPr>
      </w:pPr>
    </w:p>
    <w:p w14:paraId="30B7D2A9" w14:textId="77777777" w:rsidR="00207C46" w:rsidRDefault="00207C46" w:rsidP="00207C46">
      <w:pPr>
        <w:pStyle w:val="Corpodetexto"/>
        <w:rPr>
          <w:b/>
        </w:rPr>
      </w:pPr>
    </w:p>
    <w:p w14:paraId="17195B5D" w14:textId="77777777" w:rsidR="00207C46" w:rsidRDefault="00207C46" w:rsidP="00207C46">
      <w:pPr>
        <w:pStyle w:val="Corpodetexto"/>
        <w:rPr>
          <w:b/>
        </w:rPr>
      </w:pPr>
    </w:p>
    <w:p w14:paraId="42D2BA94" w14:textId="77777777" w:rsidR="00207C46" w:rsidRPr="007761AF" w:rsidRDefault="00207C46" w:rsidP="00207C46">
      <w:pPr>
        <w:pStyle w:val="Corpodetexto"/>
        <w:spacing w:before="188"/>
        <w:rPr>
          <w:b/>
          <w:bCs/>
        </w:rPr>
      </w:pPr>
    </w:p>
    <w:p w14:paraId="7A62E457" w14:textId="1A026A31" w:rsidR="00207C46" w:rsidRDefault="007761AF" w:rsidP="007761AF">
      <w:r w:rsidRPr="007761AF">
        <w:rPr>
          <w:b/>
          <w:bCs/>
        </w:rPr>
        <w:t>INTELIGÊNCIA ARTIFICIAL COMO FERRAMENTA DE APOIO À REFORMA TRIBUTÁRIA BRASILEIRA</w:t>
      </w:r>
      <w:r w:rsidRPr="007761AF">
        <w:t>: INOVAÇÕES TECNOLÓGICAS E SEUS IMPACTOS NA ADMINISTRAÇÃO FISCAL E NO PLANEJAMENTO TRIBUTÁRIO</w:t>
      </w:r>
    </w:p>
    <w:p w14:paraId="3EDED56B" w14:textId="77777777" w:rsidR="00207C46" w:rsidRDefault="00207C46" w:rsidP="00207C46">
      <w:pPr>
        <w:pStyle w:val="Corpodetexto"/>
      </w:pPr>
    </w:p>
    <w:p w14:paraId="05AE2E6F" w14:textId="77777777" w:rsidR="00207C46" w:rsidRDefault="00207C46" w:rsidP="00207C46">
      <w:pPr>
        <w:pStyle w:val="Corpodetexto"/>
      </w:pPr>
    </w:p>
    <w:p w14:paraId="06381385" w14:textId="77777777" w:rsidR="00207C46" w:rsidRDefault="00207C46" w:rsidP="00207C46">
      <w:pPr>
        <w:pStyle w:val="Corpodetexto"/>
      </w:pPr>
    </w:p>
    <w:p w14:paraId="30519BD3" w14:textId="77777777" w:rsidR="00207C46" w:rsidRDefault="00207C46" w:rsidP="00207C46">
      <w:pPr>
        <w:pStyle w:val="Corpodetexto"/>
      </w:pPr>
    </w:p>
    <w:p w14:paraId="45D3C492" w14:textId="77777777" w:rsidR="00207C46" w:rsidRDefault="00207C46" w:rsidP="00207C46">
      <w:pPr>
        <w:pStyle w:val="Corpodetexto"/>
      </w:pPr>
    </w:p>
    <w:p w14:paraId="6828E37D" w14:textId="77777777" w:rsidR="00207C46" w:rsidRDefault="00207C46" w:rsidP="00207C46">
      <w:pPr>
        <w:pStyle w:val="Corpodetexto"/>
      </w:pPr>
    </w:p>
    <w:p w14:paraId="6C7C14BD" w14:textId="77777777" w:rsidR="00207C46" w:rsidRDefault="00207C46" w:rsidP="00207C46">
      <w:pPr>
        <w:pStyle w:val="Corpodetexto"/>
      </w:pPr>
    </w:p>
    <w:p w14:paraId="20D8B63A" w14:textId="77777777" w:rsidR="007D3CE0" w:rsidRDefault="007D3CE0" w:rsidP="00207C46">
      <w:pPr>
        <w:pStyle w:val="Corpodetexto"/>
      </w:pPr>
    </w:p>
    <w:p w14:paraId="6F34888C" w14:textId="77777777" w:rsidR="00207C46" w:rsidRDefault="00207C46" w:rsidP="00207C46">
      <w:pPr>
        <w:pStyle w:val="Corpodetexto"/>
      </w:pPr>
    </w:p>
    <w:p w14:paraId="4D6766A8" w14:textId="77777777" w:rsidR="00207C46" w:rsidRDefault="00207C46" w:rsidP="00207C46">
      <w:pPr>
        <w:pStyle w:val="Corpodetexto"/>
      </w:pPr>
    </w:p>
    <w:p w14:paraId="160C50AE" w14:textId="77777777" w:rsidR="00207C46" w:rsidRDefault="00207C46" w:rsidP="00207C46">
      <w:pPr>
        <w:pStyle w:val="Corpodetexto"/>
      </w:pPr>
    </w:p>
    <w:p w14:paraId="717FCDB1" w14:textId="77777777" w:rsidR="00207C46" w:rsidRDefault="00207C46" w:rsidP="00207C46">
      <w:pPr>
        <w:pStyle w:val="Corpodetexto"/>
      </w:pPr>
    </w:p>
    <w:p w14:paraId="4F02FF21" w14:textId="77777777" w:rsidR="00207C46" w:rsidRDefault="00207C46" w:rsidP="00207C46">
      <w:pPr>
        <w:pStyle w:val="Corpodetexto"/>
      </w:pPr>
    </w:p>
    <w:p w14:paraId="41026A55" w14:textId="77777777" w:rsidR="00207C46" w:rsidRDefault="00207C46" w:rsidP="00207C46">
      <w:pPr>
        <w:pStyle w:val="Corpodetexto"/>
      </w:pPr>
    </w:p>
    <w:p w14:paraId="14B61473" w14:textId="77777777" w:rsidR="00207C46" w:rsidRDefault="00207C46" w:rsidP="00207C46">
      <w:pPr>
        <w:pStyle w:val="Corpodetexto"/>
      </w:pPr>
    </w:p>
    <w:p w14:paraId="283B43E4" w14:textId="77777777" w:rsidR="00207C46" w:rsidRDefault="00207C46" w:rsidP="00207C46">
      <w:pPr>
        <w:pStyle w:val="Corpodetexto"/>
        <w:spacing w:before="93"/>
      </w:pPr>
    </w:p>
    <w:p w14:paraId="1BEFD07C" w14:textId="77777777" w:rsidR="007D3CE0" w:rsidRDefault="007D3CE0" w:rsidP="00207C46">
      <w:pPr>
        <w:jc w:val="center"/>
      </w:pPr>
    </w:p>
    <w:p w14:paraId="04A83994" w14:textId="09018FA1" w:rsidR="00207C46" w:rsidRPr="00477AAB" w:rsidRDefault="00207C46" w:rsidP="00207C46">
      <w:pPr>
        <w:jc w:val="center"/>
        <w:rPr>
          <w:b/>
          <w:bCs/>
        </w:rPr>
      </w:pPr>
      <w:r w:rsidRPr="00477AAB">
        <w:rPr>
          <w:b/>
          <w:bCs/>
        </w:rPr>
        <w:t>GOIÂNIA</w:t>
      </w:r>
      <w:r w:rsidRPr="00477AAB">
        <w:rPr>
          <w:b/>
          <w:bCs/>
          <w:spacing w:val="-4"/>
        </w:rPr>
        <w:t xml:space="preserve"> </w:t>
      </w:r>
      <w:r w:rsidRPr="00477AAB">
        <w:rPr>
          <w:b/>
          <w:bCs/>
          <w:spacing w:val="-5"/>
        </w:rPr>
        <w:t>2025</w:t>
      </w:r>
    </w:p>
    <w:p w14:paraId="44B59BA3" w14:textId="77777777" w:rsidR="00207C46" w:rsidRDefault="00207C46" w:rsidP="005E1FA2">
      <w:pPr>
        <w:pStyle w:val="Ttulo2"/>
        <w:sectPr w:rsidR="00207C46" w:rsidSect="007D3CE0">
          <w:headerReference w:type="default" r:id="rId11"/>
          <w:headerReference w:type="first" r:id="rId12"/>
          <w:pgSz w:w="11900" w:h="16860"/>
          <w:pgMar w:top="1380" w:right="1410" w:bottom="851" w:left="1417" w:header="77" w:footer="0" w:gutter="0"/>
          <w:cols w:space="720"/>
        </w:sectPr>
      </w:pPr>
    </w:p>
    <w:p w14:paraId="384F1542" w14:textId="77777777" w:rsidR="007761AF" w:rsidRPr="007761AF" w:rsidRDefault="007761AF" w:rsidP="007761AF">
      <w:pPr>
        <w:pStyle w:val="Corpodetexto"/>
        <w:spacing w:before="188"/>
        <w:rPr>
          <w:b/>
          <w:bCs/>
        </w:rPr>
      </w:pPr>
    </w:p>
    <w:p w14:paraId="4CEF68A1" w14:textId="77777777" w:rsidR="007761AF" w:rsidRDefault="007761AF" w:rsidP="007761AF">
      <w:r w:rsidRPr="007761AF">
        <w:rPr>
          <w:b/>
          <w:bCs/>
        </w:rPr>
        <w:t>INTELIGÊNCIA ARTIFICIAL COMO FERRAMENTA DE APOIO À REFORMA TRIBUTÁRIA BRASILEIRA</w:t>
      </w:r>
      <w:r w:rsidRPr="007761AF">
        <w:t>: INOVAÇÕES TECNOLÓGICAS E SEUS IMPACTOS NA ADMINISTRAÇÃO FISCAL E NO PLANEJAMENTO TRIBUTÁRIO</w:t>
      </w:r>
    </w:p>
    <w:p w14:paraId="79D2F587" w14:textId="77777777" w:rsidR="00493C57" w:rsidRPr="008C261F" w:rsidRDefault="00493C57" w:rsidP="00493C57">
      <w:pPr>
        <w:jc w:val="center"/>
        <w:rPr>
          <w:rFonts w:cs="Times New Roman"/>
          <w:highlight w:val="yellow"/>
        </w:rPr>
      </w:pPr>
    </w:p>
    <w:p w14:paraId="13462778" w14:textId="711447AA" w:rsidR="00493C57" w:rsidRPr="007761AF" w:rsidRDefault="007761AF" w:rsidP="00493C57">
      <w:pPr>
        <w:jc w:val="center"/>
        <w:rPr>
          <w:rFonts w:cs="Times New Roman"/>
          <w:b/>
          <w:lang w:val="en-US"/>
        </w:rPr>
      </w:pPr>
      <w:r w:rsidRPr="007761AF">
        <w:rPr>
          <w:rFonts w:cs="Times New Roman"/>
          <w:b/>
          <w:i/>
          <w:iCs/>
          <w:lang w:val="en-US"/>
        </w:rPr>
        <w:t>ARTIFICIAL INTELLIGENCE AS A SUPPORT TOOL FOR THE BRAZILIAN TAX REFORM: TECHNOLOGICAL INNOVATIONS AND THEIR IMPACTS ON TAX ADMINISTRATION AND TAX PLANNING</w:t>
      </w:r>
    </w:p>
    <w:p w14:paraId="07E0E3CB" w14:textId="32AC5191" w:rsidR="00493C57" w:rsidRPr="00433EE3" w:rsidRDefault="007761AF" w:rsidP="00493C57">
      <w:pPr>
        <w:jc w:val="right"/>
        <w:rPr>
          <w:rFonts w:cs="Times New Roman"/>
        </w:rPr>
      </w:pPr>
      <w:proofErr w:type="spellStart"/>
      <w:r w:rsidRPr="007761AF">
        <w:rPr>
          <w:rFonts w:cs="Times New Roman"/>
        </w:rPr>
        <w:t>Iann</w:t>
      </w:r>
      <w:proofErr w:type="spellEnd"/>
      <w:r w:rsidRPr="007761AF">
        <w:rPr>
          <w:rFonts w:cs="Times New Roman"/>
        </w:rPr>
        <w:t xml:space="preserve"> Andrade Linhares Goes</w:t>
      </w:r>
      <w:r w:rsidRPr="007761AF">
        <w:rPr>
          <w:rFonts w:cs="Times New Roman"/>
        </w:rPr>
        <w:br/>
        <w:t>Prof. Vital Henrique Barbosa Costa</w:t>
      </w:r>
    </w:p>
    <w:p w14:paraId="78C07755" w14:textId="77777777" w:rsidR="00493C57" w:rsidRDefault="00493C57" w:rsidP="00CF562F">
      <w:pPr>
        <w:pStyle w:val="ABNT"/>
        <w:rPr>
          <w:b/>
          <w:bCs/>
        </w:rPr>
      </w:pPr>
    </w:p>
    <w:p w14:paraId="58AD4B6C" w14:textId="0602C82A" w:rsidR="00CF562F" w:rsidRPr="00CF562F" w:rsidRDefault="00CF562F" w:rsidP="00CF4708">
      <w:pPr>
        <w:pStyle w:val="ABNT"/>
        <w:ind w:firstLine="0"/>
        <w:rPr>
          <w:b/>
          <w:bCs/>
        </w:rPr>
      </w:pPr>
      <w:r w:rsidRPr="00CF562F">
        <w:rPr>
          <w:b/>
          <w:bCs/>
        </w:rPr>
        <w:t>RESUMO</w:t>
      </w:r>
    </w:p>
    <w:p w14:paraId="18377696" w14:textId="77777777" w:rsidR="00205231" w:rsidRPr="00205231" w:rsidRDefault="00205231" w:rsidP="002E426F">
      <w:pPr>
        <w:pStyle w:val="ABNT"/>
        <w:ind w:firstLine="0"/>
      </w:pPr>
      <w:r w:rsidRPr="00205231">
        <w:t>O objetivo desta pesquisa foi analisar os impactos da Reforma Tributária brasileira e avaliar a utilização da Inteligência Artificial (IA) como ferramenta de apoio à administração tributária e ao planejamento fiscal. Quanto ao método de coleta, o estudo caracteriza-se como de natureza aplicada, com abordagem mista, utilizando pesquisa bibliográfica e documental, bem como simulações comparativas realizadas a partir de dados normativos e econômicos do sistema tributário vigente e do modelo proposto pela reforma. Os resultados encontrados indicaram uma redução aproximada de 35,72% na carga tributária para atividades comerciais enquadradas no regime de Lucro Real no estado de Goiás, além de ganhos em transparência, previsibilidade e simplificação das obrigações acessórias. No que se refere à aplicação prática do estudo, verificou-se que a utilização da IA em sistemas fiscais, como o SISAM, da Receita Federal, e o Projeto VICTOR, do Supremo Tribunal Federal, contribui para maior agilidade, precisão na fiscalização e fortalecimento da governança tributária. Conclui-se que a integração entre a Reforma Tributária e a Inteligência Artificial apresenta potencial concreto para modernizar a administração fiscal, desde que acompanhada de supervisão humana, ética no uso da tecnologia e gestão responsável de dados.</w:t>
      </w:r>
    </w:p>
    <w:p w14:paraId="6E99BAFE" w14:textId="39A3F4E2" w:rsidR="00CF562F" w:rsidRPr="00CF562F" w:rsidRDefault="00CF562F" w:rsidP="00CF562F">
      <w:pPr>
        <w:pStyle w:val="ABNT"/>
      </w:pPr>
      <w:r w:rsidRPr="00CF562F">
        <w:rPr>
          <w:b/>
          <w:bCs/>
        </w:rPr>
        <w:t>PALAVRAS-CHAVE</w:t>
      </w:r>
      <w:r w:rsidRPr="00CF562F">
        <w:t>: Reforma Tributária; Inteligência Artificial; IBS; CBS; Eficiência Fiscal.</w:t>
      </w:r>
    </w:p>
    <w:p w14:paraId="08EA05CC" w14:textId="77777777" w:rsidR="00BE2156" w:rsidRDefault="00BE2156" w:rsidP="00CF562F">
      <w:pPr>
        <w:pStyle w:val="ABNT"/>
        <w:rPr>
          <w:b/>
          <w:bCs/>
          <w:lang w:val="en-US"/>
        </w:rPr>
      </w:pPr>
    </w:p>
    <w:p w14:paraId="14ED073A" w14:textId="77777777" w:rsidR="00BE2156" w:rsidRDefault="00BE2156" w:rsidP="00CF562F">
      <w:pPr>
        <w:pStyle w:val="ABNT"/>
        <w:rPr>
          <w:b/>
          <w:bCs/>
          <w:lang w:val="en-US"/>
        </w:rPr>
      </w:pPr>
    </w:p>
    <w:p w14:paraId="643B04AD" w14:textId="77777777" w:rsidR="00BE2156" w:rsidRDefault="00BE2156" w:rsidP="00CF562F">
      <w:pPr>
        <w:pStyle w:val="ABNT"/>
        <w:rPr>
          <w:b/>
          <w:bCs/>
          <w:lang w:val="en-US"/>
        </w:rPr>
      </w:pPr>
    </w:p>
    <w:p w14:paraId="472F3B10" w14:textId="77777777" w:rsidR="00BE2156" w:rsidRDefault="00BE2156" w:rsidP="00CF562F">
      <w:pPr>
        <w:pStyle w:val="ABNT"/>
        <w:rPr>
          <w:b/>
          <w:bCs/>
          <w:lang w:val="en-US"/>
        </w:rPr>
      </w:pPr>
    </w:p>
    <w:p w14:paraId="79F9A2F6" w14:textId="77777777" w:rsidR="00BE2156" w:rsidRDefault="00BE2156" w:rsidP="00CF562F">
      <w:pPr>
        <w:pStyle w:val="ABNT"/>
        <w:rPr>
          <w:b/>
          <w:bCs/>
          <w:lang w:val="en-US"/>
        </w:rPr>
      </w:pPr>
    </w:p>
    <w:p w14:paraId="1AA785C8" w14:textId="77777777" w:rsidR="00CF562F" w:rsidRPr="000D61A6" w:rsidRDefault="00CF562F" w:rsidP="00CF562F">
      <w:pPr>
        <w:pStyle w:val="ABNT"/>
        <w:rPr>
          <w:b/>
          <w:bCs/>
          <w:lang w:val="en-US"/>
        </w:rPr>
      </w:pPr>
      <w:r w:rsidRPr="000D61A6">
        <w:rPr>
          <w:b/>
          <w:bCs/>
          <w:lang w:val="en-US"/>
        </w:rPr>
        <w:t>ABSTRACT</w:t>
      </w:r>
    </w:p>
    <w:p w14:paraId="2614C48A" w14:textId="7F3DF305" w:rsidR="00CF562F" w:rsidRPr="00CF562F" w:rsidRDefault="00205231" w:rsidP="002E426F">
      <w:pPr>
        <w:pStyle w:val="ABNT"/>
        <w:ind w:firstLine="0"/>
        <w:jc w:val="both"/>
        <w:rPr>
          <w:lang w:val="en-US"/>
        </w:rPr>
      </w:pPr>
      <w:r w:rsidRPr="00205231">
        <w:rPr>
          <w:lang w:val="en-US"/>
        </w:rPr>
        <w:t xml:space="preserve">The objective of this study was to analyze the impacts of the Brazilian Tax Reform and to evaluate the use of Artificial Intelligence (AI) as a support tool for tax administration and tax planning. Regarding the data collection method, the research is applied in nature, with a mixed approach, using bibliographic and documentary research, as well as comparative simulations based on normative and economic data from the current tax system and the model proposed by the reform. The results indicate an approximate 35.72% reduction in the tax burden for commercial activities under the Real Profit regime in the state of Goiás, in addition to gains in transparency, predictability, and simplification of ancillary obligations. In terms of the practical application of the study, it was found that the use of AI in tax systems, such as SISAM of the Brazilian Federal Revenue Service and the VICTOR Project of the Supreme Federal Court, contributes to greater agility, accuracy in tax inspection, and strengthening of tax governance. It is concluded that the integration of Tax Reform and Artificial Intelligence has concrete potential to modernize tax administration, </w:t>
      </w:r>
      <w:proofErr w:type="gramStart"/>
      <w:r w:rsidRPr="00205231">
        <w:rPr>
          <w:lang w:val="en-US"/>
        </w:rPr>
        <w:t>provided that</w:t>
      </w:r>
      <w:proofErr w:type="gramEnd"/>
      <w:r w:rsidRPr="00205231">
        <w:rPr>
          <w:lang w:val="en-US"/>
        </w:rPr>
        <w:t xml:space="preserve"> it is accompanied by human oversight, ethical use of technology, and responsible data management.</w:t>
      </w:r>
    </w:p>
    <w:p w14:paraId="7601BE3D" w14:textId="2276BE29" w:rsidR="00962515" w:rsidRPr="00CF562F" w:rsidRDefault="00962515" w:rsidP="00BE2156">
      <w:pPr>
        <w:jc w:val="both"/>
        <w:rPr>
          <w:lang w:val="en-US"/>
        </w:rPr>
        <w:sectPr w:rsidR="00962515" w:rsidRPr="00CF562F" w:rsidSect="005E60C0">
          <w:headerReference w:type="default" r:id="rId13"/>
          <w:pgSz w:w="11906" w:h="16838"/>
          <w:pgMar w:top="1701" w:right="1133" w:bottom="1134" w:left="1701" w:header="709" w:footer="709" w:gutter="0"/>
          <w:cols w:space="708"/>
          <w:docGrid w:linePitch="360"/>
        </w:sectPr>
      </w:pPr>
    </w:p>
    <w:p w14:paraId="4C341B16" w14:textId="77777777" w:rsidR="00FB1443" w:rsidRDefault="00FB1443" w:rsidP="007761AF">
      <w:pPr>
        <w:pStyle w:val="Ttulo1"/>
        <w:pageBreakBefore/>
      </w:pPr>
      <w:bookmarkStart w:id="0" w:name="_Toc211436272"/>
      <w:bookmarkStart w:id="1" w:name="_Toc211438707"/>
      <w:r w:rsidRPr="007761AF">
        <w:lastRenderedPageBreak/>
        <w:t>INTRODUÇÃO</w:t>
      </w:r>
      <w:bookmarkEnd w:id="0"/>
      <w:bookmarkEnd w:id="1"/>
    </w:p>
    <w:p w14:paraId="2828D04E" w14:textId="76844ABD" w:rsidR="00A95FE0" w:rsidRPr="00FF5185" w:rsidRDefault="00A95FE0" w:rsidP="00672F40">
      <w:pPr>
        <w:pStyle w:val="ABNT"/>
        <w:jc w:val="both"/>
      </w:pPr>
      <w:r w:rsidRPr="00962515">
        <w:rPr>
          <w:rStyle w:val="ABNTChar"/>
        </w:rPr>
        <w:t>O sistema</w:t>
      </w:r>
      <w:r w:rsidRPr="00FF5185">
        <w:t xml:space="preserve"> tributário brasileiro é amplamente reconhecido por sua complexidade, resultado de uma trajetória histórica marcada por constantes mudanças legislativas e políticas, que refletem a diversidade e a autonomia dos entes federativos. A Constituição Federal e o Código Tributário Nacional (Lei nº 5.172/1966) estabelecem princípios, competências e limitações do poder de tributar, buscando conciliar a arrecadação estatal com a proteção aos direitos e obrigações dos contribuintes. Princípios como legalidade, anterioridade, irretroatividade, isonomia, imunidade, vedação ao confisco, direito de propriedade, contraditório e ampla defesa formam o denominado “Estatuto do Contribuinte”, assegurando juridicamente aos cidadãos e às empresas (</w:t>
      </w:r>
      <w:proofErr w:type="spellStart"/>
      <w:r w:rsidRPr="00FF5185">
        <w:t>Elali</w:t>
      </w:r>
      <w:proofErr w:type="spellEnd"/>
      <w:r w:rsidRPr="00FF5185">
        <w:t>, 2005; Carneiro, 2020). Historicamente, a tributação no Brasil evoluiu da predominância de impostos sobre as atividades econômicas – indústria, comércio e serviços – para a consolidação de tributos internos e externos após a Constituição de 1934, estabelecendo-se como ferramenta essencial para a sustentabilidade das finanças públicas e o equilíbrio federativo (</w:t>
      </w:r>
      <w:proofErr w:type="spellStart"/>
      <w:r w:rsidRPr="00FF5185">
        <w:t>Pêgas</w:t>
      </w:r>
      <w:proofErr w:type="spellEnd"/>
      <w:r w:rsidRPr="00FF5185">
        <w:t>, 2022).</w:t>
      </w:r>
    </w:p>
    <w:p w14:paraId="40CC11EF" w14:textId="77777777" w:rsidR="00A95FE0" w:rsidRPr="00FF5185" w:rsidRDefault="00A95FE0" w:rsidP="00672F40">
      <w:pPr>
        <w:pStyle w:val="ABNT"/>
        <w:jc w:val="both"/>
      </w:pPr>
      <w:r w:rsidRPr="00FF5185">
        <w:t xml:space="preserve">A problemática desta pesquisa consiste em analisar </w:t>
      </w:r>
      <w:r w:rsidRPr="00FF5185">
        <w:rPr>
          <w:b/>
          <w:bCs/>
        </w:rPr>
        <w:t>de que maneira a Inteligência Artificial (IA) pode atuar como ferramenta de apoio à Reforma Tributária brasileira</w:t>
      </w:r>
      <w:r w:rsidRPr="00FF5185">
        <w:t>, propondo mudanças estruturais no sistema de fiscalização e na implementação do Imposto sobre Valor Agregado (IVA). Parte-se da hipótese de que a aplicação da IA contribuirá para maior agilidade, precisão e segurança no controle das obrigações tributárias, favorecendo uma gestão fiscal mais eficiente, justa e transparente, e oferecendo subsídios para o fortalecimento da governança tributária e para a formulação de políticas públicas alinhadas ao desenvolvimento econômico sustentável.</w:t>
      </w:r>
    </w:p>
    <w:p w14:paraId="6FD8D03E" w14:textId="77777777" w:rsidR="00A95FE0" w:rsidRPr="00FF5185" w:rsidRDefault="00A95FE0" w:rsidP="00672F40">
      <w:pPr>
        <w:pStyle w:val="ABNT"/>
        <w:jc w:val="both"/>
      </w:pPr>
      <w:r w:rsidRPr="00FF5185">
        <w:t xml:space="preserve">Nesse contexto, justifica-se a relevância do estudo diante da aprovação da Emenda Constitucional nº 132/2023 e da regulamentação dos </w:t>
      </w:r>
      <w:proofErr w:type="spellStart"/>
      <w:r w:rsidRPr="00FF5185">
        <w:t>PLPs</w:t>
      </w:r>
      <w:proofErr w:type="spellEnd"/>
      <w:r w:rsidRPr="00FF5185">
        <w:t xml:space="preserve"> nº 68/2024 e nº 108/2024, bem como da Lei Complementar nº 214/2025, que representam avanços significativos ao objetivarem simplificar o sistema tributário, aumentar a transparência, reduzir a cumulatividade e alinhar a arrecadação a princípios de justiça fiscal e sustentabilidade (Lustosa Filho, 2024). A criação da Contribuição sobre Bens e Serviços (CBS), do Imposto sobre Bens e Serviços (IBS) e do Imposto Seletivo (IS) demonstra a tentativa de modernizar a tributação sobre o consumo, unificando tributos, promovendo eficiência arrecadatória e aproximando o Brasil de modelos internacionais, como o IVA (Crepaldi &amp; Crepaldi, 2019; </w:t>
      </w:r>
      <w:proofErr w:type="spellStart"/>
      <w:r w:rsidRPr="00FF5185">
        <w:t>Padoveze</w:t>
      </w:r>
      <w:proofErr w:type="spellEnd"/>
      <w:r w:rsidRPr="00FF5185">
        <w:t xml:space="preserve"> et al., 2017).</w:t>
      </w:r>
    </w:p>
    <w:p w14:paraId="6BB9D33B" w14:textId="77777777" w:rsidR="00A95FE0" w:rsidRPr="00FF5185" w:rsidRDefault="00A95FE0" w:rsidP="00672F40">
      <w:pPr>
        <w:pStyle w:val="ABNT"/>
        <w:jc w:val="both"/>
      </w:pPr>
      <w:r w:rsidRPr="00FF5185">
        <w:t xml:space="preserve">Além das mudanças estruturais, a Reforma impacta diretamente a administração tributária e o planejamento fiscal das empresas. A contabilidade tributária assume papel estratégico ao registrar, controlar e analisar os tributos devidos, fornecendo informações </w:t>
      </w:r>
      <w:r w:rsidRPr="00FF5185">
        <w:lastRenderedPageBreak/>
        <w:t>essenciais para decisões gerenciais e para o planejamento tributário, cujo objetivo é reduzir legalmente a carga fiscal e otimizar o cumprimento das obrigações (Faria, 2016; Crepaldi &amp; Crepaldi, 2019). Nesse cenário, a atuação dos profissionais de Ciências Contábeis torna-se indispensável, contribuindo para a sustentabilidade financeira das organizações e a conformidade com a legislação vigente (</w:t>
      </w:r>
      <w:proofErr w:type="spellStart"/>
      <w:r w:rsidRPr="00FF5185">
        <w:t>Padoveze</w:t>
      </w:r>
      <w:proofErr w:type="spellEnd"/>
      <w:r w:rsidRPr="00FF5185">
        <w:t xml:space="preserve"> et al., 2017).</w:t>
      </w:r>
    </w:p>
    <w:p w14:paraId="52E97040" w14:textId="77777777" w:rsidR="00A95FE0" w:rsidRPr="00FF5185" w:rsidRDefault="00A95FE0" w:rsidP="00672F40">
      <w:pPr>
        <w:pStyle w:val="ABNT"/>
        <w:jc w:val="both"/>
      </w:pPr>
      <w:r w:rsidRPr="00FF5185">
        <w:t xml:space="preserve">Com a Quarta Revolução Industrial e a crescente digitalização da economia, novas ferramentas tecnológicas, como a Inteligência Artificial, ampliam as possibilidades de inovação. Algoritmos de aprendizado de máquina permitem analisar grandes volumes de dados, identificar inconsistências, detectar riscos de fraude e otimizar processos fiscais, aumentando a eficiência da administração tributária e oferecendo maior segurança jurídica aos contribuintes (Scherer, 2016; Machado Segundo, 2020). A aplicação da IA também se estende à gestão organizacional, possibilitando às empresas </w:t>
      </w:r>
      <w:proofErr w:type="gramStart"/>
      <w:r w:rsidRPr="00FF5185">
        <w:t>reduzir</w:t>
      </w:r>
      <w:proofErr w:type="gramEnd"/>
      <w:r w:rsidRPr="00FF5185">
        <w:t xml:space="preserve"> custos, elevar a produtividade e melhorar a conformidade tributária em um ambiente de negócios cada vez mais globalizado (Machado Segundo, 2020; Scherer, 2016; </w:t>
      </w:r>
      <w:proofErr w:type="spellStart"/>
      <w:r w:rsidRPr="00FF5185">
        <w:t>Crews</w:t>
      </w:r>
      <w:proofErr w:type="spellEnd"/>
      <w:r w:rsidRPr="00FF5185">
        <w:t>, 2019).</w:t>
      </w:r>
    </w:p>
    <w:p w14:paraId="60841DCA" w14:textId="77777777" w:rsidR="00A95FE0" w:rsidRPr="00FF5185" w:rsidRDefault="00A95FE0" w:rsidP="00672F40">
      <w:pPr>
        <w:pStyle w:val="ABNT"/>
        <w:jc w:val="both"/>
      </w:pPr>
      <w:r w:rsidRPr="00FF5185">
        <w:t xml:space="preserve">Paralelamente, a adoção de tecnologias de informação, como o SPED, a Nota Fiscal Eletrônica e o </w:t>
      </w:r>
      <w:proofErr w:type="spellStart"/>
      <w:r w:rsidRPr="00FF5185">
        <w:t>eSocial</w:t>
      </w:r>
      <w:proofErr w:type="spellEnd"/>
      <w:r w:rsidRPr="00FF5185">
        <w:t>, complementa o uso da IA ao fortalecer a fiscalização, reduzir a evasão fiscal e promover maior transparência no sistema tributário (</w:t>
      </w:r>
      <w:proofErr w:type="spellStart"/>
      <w:r w:rsidRPr="00FF5185">
        <w:t>Sachsida</w:t>
      </w:r>
      <w:proofErr w:type="spellEnd"/>
      <w:r w:rsidRPr="00FF5185">
        <w:t>, 2017; Jambeiro Filho, 2015). Assim, a integração entre contabilidade, planejamento tributário e tecnologias emergentes evidencia a necessidade de equilibrar inovação, eficiência administrativa e proteção aos direitos dos contribuintes, reforçando a importância da aplicação responsável da Inteligência Artificial no processo de modernização fiscal brasileiro.</w:t>
      </w:r>
    </w:p>
    <w:p w14:paraId="45F8875B" w14:textId="77777777" w:rsidR="004C222F" w:rsidRPr="00FF5185" w:rsidRDefault="004C222F" w:rsidP="00962515">
      <w:pPr>
        <w:pStyle w:val="ABNT"/>
        <w:rPr>
          <w:b/>
          <w:bCs/>
        </w:rPr>
      </w:pPr>
    </w:p>
    <w:p w14:paraId="3F3DEA97" w14:textId="066AAF3A" w:rsidR="0030682C" w:rsidRPr="0030682C" w:rsidRDefault="00482BE2" w:rsidP="00125D52">
      <w:pPr>
        <w:pStyle w:val="Ttulo1"/>
      </w:pPr>
      <w:bookmarkStart w:id="2" w:name="_Toc211436273"/>
      <w:bookmarkStart w:id="3" w:name="_Toc211438708"/>
      <w:r w:rsidRPr="005304C8">
        <w:t>REFERENCIAL TEORICO</w:t>
      </w:r>
      <w:bookmarkEnd w:id="2"/>
      <w:bookmarkEnd w:id="3"/>
    </w:p>
    <w:p w14:paraId="7909042E" w14:textId="4933C816" w:rsidR="00C51601" w:rsidRPr="00962515" w:rsidRDefault="00C51601" w:rsidP="00125D52">
      <w:pPr>
        <w:pStyle w:val="Ttulo2"/>
      </w:pPr>
      <w:bookmarkStart w:id="4" w:name="_Toc211436274"/>
      <w:bookmarkStart w:id="5" w:name="_Toc211438709"/>
      <w:r w:rsidRPr="00962515">
        <w:t xml:space="preserve">A Tributação no </w:t>
      </w:r>
      <w:bookmarkEnd w:id="4"/>
      <w:bookmarkEnd w:id="5"/>
      <w:r w:rsidR="00355034">
        <w:t>Brasil</w:t>
      </w:r>
    </w:p>
    <w:p w14:paraId="2CCB52D7" w14:textId="2AF608F0" w:rsidR="006C737C" w:rsidRPr="00FF5185" w:rsidRDefault="007761AF" w:rsidP="00490D1B">
      <w:pPr>
        <w:pStyle w:val="ABNT"/>
        <w:jc w:val="both"/>
      </w:pPr>
      <w:r w:rsidRPr="007761AF">
        <w:t>A estrutura tributária brasileira possui suas bases na Constituição Federal de 1988 e é regulamentada pelo Código Tributário Nacional (CTN), instituído pela Lei nº 5.172, de 25 de outubro de 1966, que estabelece normas gerais de direito tributário aplicáveis à União, aos Estados, ao Distrito Federal e aos Municípios</w:t>
      </w:r>
      <w:r w:rsidR="006C737C" w:rsidRPr="00FF5185">
        <w:t>. O Sistema Tributário Nacional (STN) funciona como um conjunto integrado e interdependente de normas jurídicas, cujo objetivo é organizar a complexa relação entre o Estado — detentor do poder de tributar — e os contribuintes, garantindo, simultaneamente, os direitos e garantias destes frente à atuação estatal (Carneiro, 2020).</w:t>
      </w:r>
    </w:p>
    <w:p w14:paraId="0F35CF36" w14:textId="77777777" w:rsidR="006C737C" w:rsidRPr="00FF5185" w:rsidRDefault="006C737C" w:rsidP="00490D1B">
      <w:pPr>
        <w:pStyle w:val="ABNT"/>
        <w:jc w:val="both"/>
      </w:pPr>
      <w:r w:rsidRPr="00FF5185">
        <w:t xml:space="preserve">O sistema tributário brasileiro cumpre, portanto, uma </w:t>
      </w:r>
      <w:r w:rsidRPr="00EE31F9">
        <w:t>dupla função estratégica</w:t>
      </w:r>
      <w:r w:rsidRPr="00FF5185">
        <w:t xml:space="preserve">. Primeiramente, distribui competências tributárias entre os diferentes entes federativos, </w:t>
      </w:r>
      <w:r w:rsidRPr="00FF5185">
        <w:lastRenderedPageBreak/>
        <w:t xml:space="preserve">respeitando o princípio do pacto federativo. Em segundo lugar, estabelece limites ao poder de tributar, assegurando proteção aos contribuintes por meio de princípios constitucionais como </w:t>
      </w:r>
      <w:r w:rsidRPr="00EE31F9">
        <w:t>legalidade, anterioridade, irretroatividade, isonomia, imunidade, vedação ao confisco, direito de propriedade, contraditório e ampla defesa</w:t>
      </w:r>
      <w:r w:rsidRPr="00FF5185">
        <w:t>. Esses princípios formam o que é frequentemente denominado o “</w:t>
      </w:r>
      <w:r w:rsidRPr="00EE31F9">
        <w:t>Estatuto do Contribuinte</w:t>
      </w:r>
      <w:r w:rsidRPr="00FF5185">
        <w:t>”, funcionando como baliza normativa que orienta a atuação do Estado e protege os direitos dos cidadãos (</w:t>
      </w:r>
      <w:proofErr w:type="spellStart"/>
      <w:r w:rsidRPr="00FF5185">
        <w:t>Elali</w:t>
      </w:r>
      <w:proofErr w:type="spellEnd"/>
      <w:r w:rsidRPr="00FF5185">
        <w:t>, 2005).</w:t>
      </w:r>
    </w:p>
    <w:p w14:paraId="1E5AFA93" w14:textId="77777777" w:rsidR="006C737C" w:rsidRPr="00FF5185" w:rsidRDefault="006C737C" w:rsidP="00490D1B">
      <w:pPr>
        <w:pStyle w:val="ABNT"/>
        <w:jc w:val="both"/>
      </w:pPr>
      <w:r w:rsidRPr="00FF5185">
        <w:t xml:space="preserve">Historicamente, a tributação no Brasil passou por transformações significativas, refletindo mudanças políticas e econômicas do país. No período imperial, até a década de 1930, a arrecadação dependia majoritariamente de </w:t>
      </w:r>
      <w:r w:rsidRPr="00EE31F9">
        <w:t>impostos sobre o comércio exterior</w:t>
      </w:r>
      <w:r w:rsidRPr="00FF5185">
        <w:t xml:space="preserve">, como taxas de importação e exportação, refletindo a economia exportadora da época. Com a promulgação da Constituição de 1934, houve um deslocamento gradual para tributos internos, permitindo que os Estados instituíssem impostos sobre </w:t>
      </w:r>
      <w:r w:rsidRPr="00EE31F9">
        <w:t>vendas e consignações</w:t>
      </w:r>
      <w:r w:rsidRPr="00FF5185">
        <w:t xml:space="preserve">, enquanto os Municípios passaram a arrecadar tributos relacionados a </w:t>
      </w:r>
      <w:r w:rsidRPr="00EE31F9">
        <w:t>indústrias, profissões e propriedades urbanas</w:t>
      </w:r>
      <w:r w:rsidRPr="00FF5185">
        <w:t xml:space="preserve">. Paralelamente, a União fortaleceu o </w:t>
      </w:r>
      <w:r w:rsidRPr="00EE31F9">
        <w:t>imposto de renda</w:t>
      </w:r>
      <w:r w:rsidRPr="00FF5185">
        <w:t xml:space="preserve"> como fonte crescente de receita, superando a histórica dependência da arrecadação aduaneira ao final da década de 1930 (</w:t>
      </w:r>
      <w:proofErr w:type="spellStart"/>
      <w:r w:rsidRPr="00FF5185">
        <w:t>Pêgas</w:t>
      </w:r>
      <w:proofErr w:type="spellEnd"/>
      <w:r w:rsidRPr="00FF5185">
        <w:t>, 2022).</w:t>
      </w:r>
    </w:p>
    <w:p w14:paraId="234B9679" w14:textId="77777777" w:rsidR="006C737C" w:rsidRPr="00FF5185" w:rsidRDefault="006C737C" w:rsidP="00490D1B">
      <w:pPr>
        <w:pStyle w:val="ABNT"/>
        <w:jc w:val="both"/>
      </w:pPr>
      <w:r w:rsidRPr="00FF5185">
        <w:t xml:space="preserve">Dessa forma, a evolução do sistema tributário brasileiro revela seu papel central como instrumento de </w:t>
      </w:r>
      <w:r w:rsidRPr="00EE31F9">
        <w:t>equilíbrio federativo e sustentabilidade financeira</w:t>
      </w:r>
      <w:r w:rsidRPr="00FF5185">
        <w:t>, permitindo que os entes da Federação obtenham receitas necessárias para a execução de políticas públicas, ao mesmo tempo em que assegura direitos fundamentais aos contribuintes. A harmonização entre arrecadação e proteção jurídica é essencial para a estabilidade do sistema e para o desenvolvimento socioeconômico do país (Carneiro, 2020).</w:t>
      </w:r>
    </w:p>
    <w:p w14:paraId="19EF4D24" w14:textId="20C8EAA3" w:rsidR="0068117E" w:rsidRPr="00FF5185" w:rsidRDefault="0068117E" w:rsidP="00125D52">
      <w:pPr>
        <w:pStyle w:val="Ttulo2"/>
      </w:pPr>
      <w:bookmarkStart w:id="6" w:name="_Toc211436275"/>
      <w:bookmarkStart w:id="7" w:name="_Toc211438710"/>
      <w:r w:rsidRPr="00FF5185">
        <w:t>A Nova Reforma Tributária</w:t>
      </w:r>
      <w:bookmarkEnd w:id="6"/>
      <w:bookmarkEnd w:id="7"/>
    </w:p>
    <w:p w14:paraId="4E907E4B" w14:textId="3727F469" w:rsidR="00D14922" w:rsidRPr="00FF5185" w:rsidRDefault="00D14922" w:rsidP="00490D1B">
      <w:pPr>
        <w:pStyle w:val="ABNT"/>
        <w:jc w:val="both"/>
      </w:pPr>
      <w:r w:rsidRPr="00FF5185">
        <w:t xml:space="preserve">A Reforma Tributária brasileira, tema de debates recorrentes por mais de três décadas, finalmente obteve avanços significativos com a aprovação da Emenda Constitucional nº </w:t>
      </w:r>
      <w:r w:rsidRPr="00AF2FFE">
        <w:t xml:space="preserve">132/2023, </w:t>
      </w:r>
      <w:r w:rsidR="00CC4E66">
        <w:t xml:space="preserve">e </w:t>
      </w:r>
      <w:r w:rsidR="00CC4E66" w:rsidRPr="00CC4E66">
        <w:t>regulamen</w:t>
      </w:r>
      <w:r w:rsidR="00CC4E66">
        <w:t>tada</w:t>
      </w:r>
      <w:r w:rsidR="00CC4E66" w:rsidRPr="00CC4E66">
        <w:t xml:space="preserve"> pela Lei Complementar 214/2025</w:t>
      </w:r>
      <w:r w:rsidR="00CC4E66">
        <w:t>.</w:t>
      </w:r>
      <w:r w:rsidRPr="00AF2FFE">
        <w:t xml:space="preserve"> objetivo central dessas alterações legislativas é simplificar o complexo sistema tributário nacional, aumentar a transparência na arrecadação, reduzir a burocracia e fortalecer a cooperação entre os entes</w:t>
      </w:r>
      <w:r w:rsidRPr="00FF5185">
        <w:t xml:space="preserve"> federativos, promovendo um modelo fiscal mais eficiente, equitativo e sustentável. Historicamente, o sistema tributário brasileiro tem sido caracterizado por sua elevada complexidade, excesso de obrigações acessórias e multiplicidade de tributos sobre o consumo, situação que gerava ineficiências operacionais, aumento dos custos de conformidade e insegurança jurídica para empresas e cidadãos (Lustosa Filho, 2024).</w:t>
      </w:r>
    </w:p>
    <w:p w14:paraId="1849EC86" w14:textId="77777777" w:rsidR="00D14922" w:rsidRPr="00FF5185" w:rsidRDefault="00D14922" w:rsidP="00490D1B">
      <w:pPr>
        <w:pStyle w:val="ABNT"/>
        <w:jc w:val="both"/>
      </w:pPr>
      <w:r w:rsidRPr="00FF5185">
        <w:lastRenderedPageBreak/>
        <w:t xml:space="preserve">Entre os princípios estruturantes da reforma destacam-se a </w:t>
      </w:r>
      <w:r w:rsidRPr="00EE31F9">
        <w:t>não cumulatividade</w:t>
      </w:r>
      <w:r w:rsidRPr="00FF5185">
        <w:t xml:space="preserve">, que busca evitar a cobrança de tributos sobre tributos ao longo da cadeia produtiva; a </w:t>
      </w:r>
      <w:r w:rsidRPr="00EE31F9">
        <w:t>neutralidade do IVA dual</w:t>
      </w:r>
      <w:r w:rsidRPr="00FF5185">
        <w:t xml:space="preserve">, que objetiva reduzir distorções econômicas causadas por diferentes alíquotas e regimes; a </w:t>
      </w:r>
      <w:r w:rsidRPr="00EE31F9">
        <w:t>justiça tributária</w:t>
      </w:r>
      <w:r w:rsidRPr="00FF5185">
        <w:t xml:space="preserve">, voltada à redução da regressividade e à distribuição equitativa da carga fiscal; e a </w:t>
      </w:r>
      <w:r w:rsidRPr="00EE31F9">
        <w:t>proteção ambiental</w:t>
      </w:r>
      <w:r w:rsidRPr="00FF5185">
        <w:t xml:space="preserve">, expressa na criação de tributos seletivos sobre produtos e serviços nocivos. Esses princípios refletem uma preocupação com a equidade fiscal, a sustentabilidade do sistema e a adequação às melhores práticas internacionais de governança tributária (Crepaldi &amp; Crepaldi, 2019; </w:t>
      </w:r>
      <w:proofErr w:type="spellStart"/>
      <w:r w:rsidRPr="00FF5185">
        <w:t>Padoveze</w:t>
      </w:r>
      <w:proofErr w:type="spellEnd"/>
      <w:r w:rsidRPr="00FF5185">
        <w:t xml:space="preserve"> et al., 2017).</w:t>
      </w:r>
    </w:p>
    <w:p w14:paraId="67038C05" w14:textId="77777777" w:rsidR="00D14922" w:rsidRPr="00FF5185" w:rsidRDefault="00D14922" w:rsidP="00490D1B">
      <w:pPr>
        <w:pStyle w:val="ABNT"/>
        <w:jc w:val="both"/>
      </w:pPr>
      <w:r w:rsidRPr="00FF5185">
        <w:t xml:space="preserve">A reforma introduziu três tributos principais que passam a constituir a base da tributação sobre o consumo no país. A </w:t>
      </w:r>
      <w:r w:rsidRPr="00EE31F9">
        <w:t>Contribuição sobre Bens e Serviços (CBS)</w:t>
      </w:r>
      <w:r w:rsidRPr="00FF5185">
        <w:t xml:space="preserve">, de competência exclusiva da União, substitui o PIS e a COFINS, consolidando-os em um tributo de incidência ampla, com regime não cumulativo e destaque em nota fiscal. Essa mudança busca aumentar a clareza das obrigações tributárias, reduzir distorções entre diferentes setores da economia e permitir maior previsibilidade para os contribuintes. Já o </w:t>
      </w:r>
      <w:r w:rsidRPr="00EE31F9">
        <w:t>Imposto sobre Bens e Serviços (IBS)</w:t>
      </w:r>
      <w:r w:rsidRPr="00FF5185">
        <w:t xml:space="preserve">, de competência compartilhada entre Estados e Municípios, substitui o ICMS e o ISSQN, mantendo a não cumulatividade, mas centralizando a arrecadação e distribuindo automaticamente os recursos aos entes federativos. A medida visa eliminar distorções geradas pela chamada guerra fiscal e uniformizar regras de tributação sobre consumo, promovendo maior equilíbrio econômico entre as regiões do país. Por fim, o </w:t>
      </w:r>
      <w:r w:rsidRPr="00EE31F9">
        <w:t>Imposto Seletivo (IS)</w:t>
      </w:r>
      <w:r w:rsidRPr="00FF5185">
        <w:t>, de competência da União, tem caráter extrafiscal, incidindo sobre produtos e serviços prejudiciais à saúde ou ao meio ambiente, como cigarros, bebidas alcoólicas e combustíveis fósseis. Essa tributação seletiva visa não apenas arrecadar, mas também alinhar a política fiscal a objetivos de saúde pública e sustentabilidade ambiental, incentivando comportamentos mais conscientes entre consumidores e empresas (Brasil, 1988; Crepaldi &amp; Crepaldi, 2019).</w:t>
      </w:r>
    </w:p>
    <w:p w14:paraId="0E1F96A1" w14:textId="77777777" w:rsidR="00D14922" w:rsidRPr="00FF5185" w:rsidRDefault="00D14922" w:rsidP="00490D1B">
      <w:pPr>
        <w:pStyle w:val="ABNT"/>
        <w:jc w:val="both"/>
        <w:rPr>
          <w:rFonts w:cs="Times New Roman"/>
        </w:rPr>
      </w:pPr>
      <w:r w:rsidRPr="00FF5185">
        <w:rPr>
          <w:rFonts w:cs="Times New Roman"/>
        </w:rPr>
        <w:t xml:space="preserve">Além da criação desses tributos, a reforma trouxe alterações relevantes em outros impostos e contribuições já existentes. O </w:t>
      </w:r>
      <w:r w:rsidRPr="00EE31F9">
        <w:rPr>
          <w:rFonts w:cs="Times New Roman"/>
        </w:rPr>
        <w:t>IPTU</w:t>
      </w:r>
      <w:r w:rsidRPr="00FF5185">
        <w:rPr>
          <w:rFonts w:cs="Times New Roman"/>
        </w:rPr>
        <w:t xml:space="preserve"> passou a permitir que sua base de cálculo seja atualizada por decreto do Poder Executivo municipal, desde que respeitados critérios legais previamente estabelecidos, proporcionando maior flexibilidade à gestão tributária local. O </w:t>
      </w:r>
      <w:r w:rsidRPr="00EE31F9">
        <w:rPr>
          <w:rFonts w:cs="Times New Roman"/>
        </w:rPr>
        <w:t>IPVA</w:t>
      </w:r>
      <w:r w:rsidRPr="00FF5185">
        <w:rPr>
          <w:rFonts w:cs="Times New Roman"/>
        </w:rPr>
        <w:t xml:space="preserve"> expandiu sua abrangência, incluindo veículos aquáticos e aéreos, adaptando-se às novas formas de mobilidade e patrimônio. O </w:t>
      </w:r>
      <w:r w:rsidRPr="00EE31F9">
        <w:rPr>
          <w:rFonts w:cs="Times New Roman"/>
        </w:rPr>
        <w:t>ITCMD</w:t>
      </w:r>
      <w:r w:rsidRPr="00FF5185">
        <w:rPr>
          <w:rFonts w:cs="Times New Roman"/>
        </w:rPr>
        <w:t xml:space="preserve"> teve sua sistemática ampliada, refletindo a necessidade de modernizar a tributação sobre transmissão de bens e direitos. Por sua vez, a </w:t>
      </w:r>
      <w:r w:rsidRPr="00EE31F9">
        <w:rPr>
          <w:rFonts w:cs="Times New Roman"/>
        </w:rPr>
        <w:t>COSIP</w:t>
      </w:r>
      <w:r w:rsidRPr="00FF5185">
        <w:rPr>
          <w:rFonts w:cs="Times New Roman"/>
        </w:rPr>
        <w:t xml:space="preserve"> recebeu ajustes em sua disciplina, fortalecendo a coerência e a abrangência do sistema tributário municipal (Senado Federal, 2019).</w:t>
      </w:r>
    </w:p>
    <w:p w14:paraId="6CE246CC" w14:textId="77777777" w:rsidR="00D14922" w:rsidRPr="00FF5185" w:rsidRDefault="00D14922" w:rsidP="00490D1B">
      <w:pPr>
        <w:pStyle w:val="ABNT"/>
        <w:jc w:val="both"/>
        <w:rPr>
          <w:rFonts w:cs="Times New Roman"/>
        </w:rPr>
      </w:pPr>
      <w:r w:rsidRPr="00FF5185">
        <w:rPr>
          <w:rFonts w:cs="Times New Roman"/>
        </w:rPr>
        <w:lastRenderedPageBreak/>
        <w:t xml:space="preserve">Na prática, a implementação da CBS e do IS substituirá o PIS, a COFINS e o IPI, enquanto o IBS assumirá o lugar do ICMS e do ISSQN. Essa unificação aproxima o Brasil de padrões internacionais, como o </w:t>
      </w:r>
      <w:r w:rsidRPr="00EE31F9">
        <w:rPr>
          <w:rFonts w:cs="Times New Roman"/>
        </w:rPr>
        <w:t>IVA (Imposto sobre Valor Agregado)</w:t>
      </w:r>
      <w:r w:rsidRPr="00FF5185">
        <w:rPr>
          <w:rFonts w:cs="Times New Roman"/>
        </w:rPr>
        <w:t xml:space="preserve"> ou o </w:t>
      </w:r>
      <w:r w:rsidRPr="00EE31F9">
        <w:rPr>
          <w:rFonts w:cs="Times New Roman"/>
        </w:rPr>
        <w:t>GST (</w:t>
      </w:r>
      <w:proofErr w:type="spellStart"/>
      <w:r w:rsidRPr="00EE31F9">
        <w:rPr>
          <w:rFonts w:cs="Times New Roman"/>
        </w:rPr>
        <w:t>Goods</w:t>
      </w:r>
      <w:proofErr w:type="spellEnd"/>
      <w:r w:rsidRPr="00EE31F9">
        <w:rPr>
          <w:rFonts w:cs="Times New Roman"/>
        </w:rPr>
        <w:t xml:space="preserve"> </w:t>
      </w:r>
      <w:proofErr w:type="spellStart"/>
      <w:r w:rsidRPr="00EE31F9">
        <w:rPr>
          <w:rFonts w:cs="Times New Roman"/>
        </w:rPr>
        <w:t>and</w:t>
      </w:r>
      <w:proofErr w:type="spellEnd"/>
      <w:r w:rsidRPr="00EE31F9">
        <w:rPr>
          <w:rFonts w:cs="Times New Roman"/>
        </w:rPr>
        <w:t xml:space="preserve"> Services </w:t>
      </w:r>
      <w:proofErr w:type="spellStart"/>
      <w:r w:rsidRPr="00EE31F9">
        <w:rPr>
          <w:rFonts w:cs="Times New Roman"/>
        </w:rPr>
        <w:t>Tax</w:t>
      </w:r>
      <w:proofErr w:type="spellEnd"/>
      <w:r w:rsidRPr="00EE31F9">
        <w:rPr>
          <w:rFonts w:cs="Times New Roman"/>
        </w:rPr>
        <w:t>)</w:t>
      </w:r>
      <w:r w:rsidRPr="00FF5185">
        <w:rPr>
          <w:rFonts w:cs="Times New Roman"/>
        </w:rPr>
        <w:t>, já adotados por mais de 170 países, que permitem maior transparência, simplificação de obrigações e eficiência na arrecadação. A reforma, portanto, não se limita a modernizar o sistema, mas busca reduzir a complexidade das obrigações acessórias, otimizar a arrecadação e aprimorar a governança fiscal, enfrentando, simultaneamente, desafios significativos relacionados à autonomia dos entes federativos e à adaptação de empresas e contribuintes às novas exigências (</w:t>
      </w:r>
      <w:proofErr w:type="spellStart"/>
      <w:r w:rsidRPr="00FF5185">
        <w:rPr>
          <w:rFonts w:cs="Times New Roman"/>
        </w:rPr>
        <w:t>Padoveze</w:t>
      </w:r>
      <w:proofErr w:type="spellEnd"/>
      <w:r w:rsidRPr="00FF5185">
        <w:rPr>
          <w:rFonts w:cs="Times New Roman"/>
        </w:rPr>
        <w:t xml:space="preserve"> et al., 2017; Poder360, 2024).</w:t>
      </w:r>
    </w:p>
    <w:p w14:paraId="3FC2F5AC" w14:textId="77777777" w:rsidR="00D14922" w:rsidRPr="00FF5185" w:rsidRDefault="00D14922" w:rsidP="00490D1B">
      <w:pPr>
        <w:pStyle w:val="ABNT"/>
        <w:jc w:val="both"/>
        <w:rPr>
          <w:rFonts w:cs="Times New Roman"/>
        </w:rPr>
      </w:pPr>
      <w:r w:rsidRPr="00FF5185">
        <w:rPr>
          <w:rFonts w:cs="Times New Roman"/>
        </w:rPr>
        <w:t xml:space="preserve">Um aspecto relevante da reforma é o seu impacto sobre </w:t>
      </w:r>
      <w:r w:rsidRPr="00EE31F9">
        <w:rPr>
          <w:rFonts w:cs="Times New Roman"/>
        </w:rPr>
        <w:t>a competitividade econômica e o ambiente de negócios</w:t>
      </w:r>
      <w:r w:rsidRPr="00FF5185">
        <w:rPr>
          <w:rFonts w:cs="Times New Roman"/>
        </w:rPr>
        <w:t>. Com regras mais claras, previsíveis e uniformes, empresas de todos os setores passam a ter maior segurança jurídica, reduzindo custos de planejamento tributário e facilitando investimentos. Ao mesmo tempo, a centralização de alguns tributos e a distribuição automática de receitas contribuem para equilibrar a arrecadação entre regiões mais e menos desenvolvidas, mitigando desigualdades históricas e fortalecendo políticas públicas de desenvolvimento regional (Lustosa Filho, 2024).</w:t>
      </w:r>
    </w:p>
    <w:p w14:paraId="3557A12D" w14:textId="77777777" w:rsidR="00D14922" w:rsidRPr="00FF5185" w:rsidRDefault="00D14922" w:rsidP="00490D1B">
      <w:pPr>
        <w:pStyle w:val="ABNT"/>
        <w:jc w:val="both"/>
      </w:pPr>
      <w:r w:rsidRPr="00FF5185">
        <w:t xml:space="preserve">Outro ponto de destaque é a atenção da reforma à </w:t>
      </w:r>
      <w:r w:rsidRPr="00EE31F9">
        <w:t>sustentabilidade ambiental</w:t>
      </w:r>
      <w:r w:rsidRPr="00FF5185">
        <w:t xml:space="preserve"> e à saúde pública. O Imposto Seletivo não apenas arrecada recursos, mas também desencoraja o consumo de produtos prejudiciais, criando um mecanismo fiscal de estímulo a comportamentos mais responsáveis. Essa abordagem demonstra a capacidade da política tributária de atuar de maneira integrada a objetivos sociais e ambientais, ampliando o alcance das medidas fiscais para além da arrecadação tradicional (Crepaldi &amp; Crepaldi, 2019).</w:t>
      </w:r>
    </w:p>
    <w:p w14:paraId="7DCEFF14" w14:textId="77777777" w:rsidR="00D14922" w:rsidRPr="008D1F4C" w:rsidRDefault="00D14922" w:rsidP="00490D1B">
      <w:pPr>
        <w:pStyle w:val="ABNT"/>
        <w:jc w:val="both"/>
      </w:pPr>
      <w:r w:rsidRPr="00FF5185">
        <w:t xml:space="preserve">Por fim, a Emenda Constitucional nº 132/2023 e os </w:t>
      </w:r>
      <w:proofErr w:type="spellStart"/>
      <w:r w:rsidRPr="00FF5185">
        <w:t>PLPs</w:t>
      </w:r>
      <w:proofErr w:type="spellEnd"/>
      <w:r w:rsidRPr="00FF5185">
        <w:t xml:space="preserve"> regulamentadores representam uma tentativa de construir um sistema tributário moderno, eficiente, justo e transparente. Apesar dos desafios de implementação, especialmente no que se refere à adaptação tecnológica, capacitação de servidores e conscientização de contribuintes, a reforma configura um avanço histórico na trajetória do Brasil rumo à simplificação, à equidade fiscal e à sustentabilidade econômica e social. Trata-se de um marco que potencialmente transformará a relação entre Estado, cidadãos e empresas, estabelecendo bases sólidas para uma administração tributária mais eficiente, previsível e alinhada às melhores práticas internacionais (</w:t>
      </w:r>
      <w:proofErr w:type="spellStart"/>
      <w:r w:rsidRPr="00FF5185">
        <w:t>Padoveze</w:t>
      </w:r>
      <w:proofErr w:type="spellEnd"/>
      <w:r w:rsidRPr="00FF5185">
        <w:t xml:space="preserve"> et al., 2017; </w:t>
      </w:r>
      <w:r w:rsidRPr="008D1F4C">
        <w:t>Poder360, 2024).</w:t>
      </w:r>
    </w:p>
    <w:p w14:paraId="56523BA0" w14:textId="154E3208" w:rsidR="000E4899" w:rsidRPr="008D1F4C" w:rsidRDefault="000E4899" w:rsidP="00125D52">
      <w:pPr>
        <w:pStyle w:val="Ttulo2"/>
      </w:pPr>
      <w:bookmarkStart w:id="8" w:name="_Toc211436276"/>
      <w:bookmarkStart w:id="9" w:name="_Toc211438711"/>
      <w:r w:rsidRPr="008D1F4C">
        <w:t>Reforma Tributária e seus Aspectos</w:t>
      </w:r>
      <w:bookmarkEnd w:id="8"/>
      <w:bookmarkEnd w:id="9"/>
    </w:p>
    <w:p w14:paraId="3400F755" w14:textId="77777777" w:rsidR="006C737C" w:rsidRPr="00FF5185" w:rsidRDefault="006C737C" w:rsidP="00490D1B">
      <w:pPr>
        <w:pStyle w:val="ABNT"/>
        <w:jc w:val="both"/>
      </w:pPr>
      <w:r w:rsidRPr="008D1F4C">
        <w:t xml:space="preserve">A carga tributária brasileira tem se tornado progressivamente mais significativa ao longo das últimas décadas. Segundo dados do Instituto Brasileiro de Planejamento e Tributação </w:t>
      </w:r>
      <w:r w:rsidRPr="008D1F4C">
        <w:lastRenderedPageBreak/>
        <w:t>(IBPT, 2024), o contribuinte precisou trabalhar, em média, 149 dias no ano apenas para pagar impostos, taxas e contribuições, evidenciando um crescimento expressivo em relação à década de 1970, quando o período médio era menos da metade. Esse indicador reflete a tendência contínua de ampliação da tributação, levantando discussões sobre a eficiência e a equidade do sistema fiscal brasileiro.</w:t>
      </w:r>
    </w:p>
    <w:p w14:paraId="241D3FAA" w14:textId="77777777" w:rsidR="006C737C" w:rsidRPr="00FF5185" w:rsidRDefault="006C737C" w:rsidP="00490D1B">
      <w:pPr>
        <w:pStyle w:val="ABNT"/>
        <w:jc w:val="both"/>
      </w:pPr>
      <w:r w:rsidRPr="00FF5185">
        <w:t xml:space="preserve">Um estudo divulgado pelo </w:t>
      </w:r>
      <w:r w:rsidRPr="00EE31F9">
        <w:t>Tesouro Nacional e analisado pelo Tribunal de Contas da União (TCU, 2023)</w:t>
      </w:r>
      <w:r w:rsidRPr="00FF5185">
        <w:t xml:space="preserve"> aponta que, em 2022, a tributação sobre bens e serviços representou </w:t>
      </w:r>
      <w:r w:rsidRPr="00EE31F9">
        <w:t>40% da carga tributária total</w:t>
      </w:r>
      <w:r w:rsidRPr="00FF5185">
        <w:t xml:space="preserve">, equivalente a </w:t>
      </w:r>
      <w:r w:rsidRPr="00EE31F9">
        <w:t>13,44% do Produto Interno Bruto (PIB)</w:t>
      </w:r>
      <w:r w:rsidRPr="00FF5185">
        <w:t xml:space="preserve">. Entre os tributos desse segmento, o </w:t>
      </w:r>
      <w:r w:rsidRPr="00EE31F9">
        <w:t>ICMS</w:t>
      </w:r>
      <w:r w:rsidRPr="00FF5185">
        <w:t xml:space="preserve"> destacou-se como principal fonte de arrecadação, respondendo por aproximadamente </w:t>
      </w:r>
      <w:r w:rsidRPr="00EE31F9">
        <w:t>6,98% do PIB</w:t>
      </w:r>
      <w:r w:rsidRPr="00FF5185">
        <w:t xml:space="preserve"> (cerca de R$ 692 bilhões), seguido pela </w:t>
      </w:r>
      <w:r w:rsidRPr="00EE31F9">
        <w:t>COFINS</w:t>
      </w:r>
      <w:r w:rsidRPr="00FF5185">
        <w:t xml:space="preserve">, com </w:t>
      </w:r>
      <w:r w:rsidRPr="00EE31F9">
        <w:t>2,74% do PIB</w:t>
      </w:r>
      <w:r w:rsidRPr="00FF5185">
        <w:t xml:space="preserve"> (aproximadamente R$ 271 bilhões), e o </w:t>
      </w:r>
      <w:r w:rsidRPr="00EE31F9">
        <w:t>ISS</w:t>
      </w:r>
      <w:r w:rsidRPr="00FF5185">
        <w:t xml:space="preserve">, com </w:t>
      </w:r>
      <w:r w:rsidRPr="00EE31F9">
        <w:t>1,08% do PIB</w:t>
      </w:r>
      <w:r w:rsidRPr="00FF5185">
        <w:t xml:space="preserve"> (cerca de R$ 107 bilhões). Nesse contexto, a reforma tributária busca consolidar e unificar tributos federais, estaduais e municipais, com o objetivo de reduzir distorções, simplificar o cumprimento das obrigações e aumentar a transparência na arrecadação (TCU, 2023).</w:t>
      </w:r>
    </w:p>
    <w:p w14:paraId="162CDEB2" w14:textId="3641378A" w:rsidR="006C737C" w:rsidRPr="00FF5185" w:rsidRDefault="006C737C" w:rsidP="00490D1B">
      <w:pPr>
        <w:pStyle w:val="ABNT"/>
        <w:jc w:val="both"/>
        <w:rPr>
          <w:rFonts w:cs="Times New Roman"/>
        </w:rPr>
      </w:pPr>
      <w:r w:rsidRPr="00FF5185">
        <w:rPr>
          <w:rFonts w:cs="Times New Roman"/>
        </w:rPr>
        <w:t xml:space="preserve">De acordo com </w:t>
      </w:r>
      <w:r w:rsidRPr="00EE31F9">
        <w:rPr>
          <w:rFonts w:cs="Times New Roman"/>
        </w:rPr>
        <w:t>Rocha (2021)</w:t>
      </w:r>
      <w:r w:rsidRPr="00FF5185">
        <w:rPr>
          <w:rFonts w:cs="Times New Roman"/>
        </w:rPr>
        <w:t xml:space="preserve">, a reforma tributária não deve se restringir a aspectos econômicos, mas considerar também fatores sociais, políticos e a viabilidade prática de implementação. </w:t>
      </w:r>
      <w:r w:rsidR="00CC4E66" w:rsidRPr="00CC4E66">
        <w:rPr>
          <w:rFonts w:cs="Times New Roman"/>
        </w:rPr>
        <w:t>O ponto central da proposta de Reforma Tributária é a criação do Imposto sobre Bens e Serviços (IBS), inspirado no modelo do Imposto sobre Valor Agregado (IVA), adotado em países como Canadá, Estados Unidos e na União Europeia. As Propostas de Emenda à Constituição nº 45/2019 e nº 110/2019 preveem a extinção de cinco tributos atualmente em vigor, que seriam substituídos pelo IBS e pelo Imposto Seletivo. Este último possui caráter regulatório e teria como finalidade desestimular o consumo de produtos considerados prejudiciais à saúde e ao meio ambiente, como cigarros, bebidas alcoólicas e combustíveis fósseis (Rocha, 2021</w:t>
      </w:r>
      <w:proofErr w:type="gramStart"/>
      <w:r w:rsidR="00CC4E66" w:rsidRPr="00CC4E66">
        <w:rPr>
          <w:rFonts w:cs="Times New Roman"/>
        </w:rPr>
        <w:t>).</w:t>
      </w:r>
      <w:r w:rsidRPr="00FF5185">
        <w:rPr>
          <w:rFonts w:cs="Times New Roman"/>
        </w:rPr>
        <w:t>Esses</w:t>
      </w:r>
      <w:proofErr w:type="gramEnd"/>
      <w:r w:rsidRPr="00FF5185">
        <w:rPr>
          <w:rFonts w:cs="Times New Roman"/>
        </w:rPr>
        <w:t xml:space="preserve"> elementos evidenciam tanto os </w:t>
      </w:r>
      <w:r w:rsidRPr="00EE31F9">
        <w:rPr>
          <w:rFonts w:cs="Times New Roman"/>
        </w:rPr>
        <w:t>desafios quanto as oportunidades</w:t>
      </w:r>
      <w:r w:rsidRPr="00FF5185">
        <w:rPr>
          <w:rFonts w:cs="Times New Roman"/>
        </w:rPr>
        <w:t xml:space="preserve"> da reforma tributária. Por um lado, há a possibilidade de </w:t>
      </w:r>
      <w:r w:rsidRPr="00EE31F9">
        <w:rPr>
          <w:rFonts w:cs="Times New Roman"/>
        </w:rPr>
        <w:t>simplificação e modernização do sistema fiscal</w:t>
      </w:r>
      <w:r w:rsidRPr="00FF5185">
        <w:rPr>
          <w:rFonts w:cs="Times New Roman"/>
        </w:rPr>
        <w:t xml:space="preserve">, favorecendo a competitividade e a eficiência arrecadatória; por outro, existe o impacto direto sobre contribuintes e entes federativos, exigindo um </w:t>
      </w:r>
      <w:r w:rsidRPr="00EE31F9">
        <w:rPr>
          <w:rFonts w:cs="Times New Roman"/>
        </w:rPr>
        <w:t>equilíbrio entre eficiência, justiça fiscal e preservação da autonomia local</w:t>
      </w:r>
      <w:r w:rsidRPr="00FF5185">
        <w:rPr>
          <w:rFonts w:cs="Times New Roman"/>
        </w:rPr>
        <w:t xml:space="preserve"> (Rocha, 2021).</w:t>
      </w:r>
    </w:p>
    <w:p w14:paraId="0858D64C" w14:textId="66401AFC" w:rsidR="0037304B" w:rsidRPr="00FF5185" w:rsidRDefault="001E532F" w:rsidP="00125D52">
      <w:pPr>
        <w:pStyle w:val="Ttulo2"/>
      </w:pPr>
      <w:bookmarkStart w:id="10" w:name="_Toc211436277"/>
      <w:bookmarkStart w:id="11" w:name="_Toc211438712"/>
      <w:r w:rsidRPr="00FF5185">
        <w:t>A Contabilidade Tributária e o Planejamento Tributário</w:t>
      </w:r>
      <w:bookmarkEnd w:id="10"/>
      <w:bookmarkEnd w:id="11"/>
    </w:p>
    <w:p w14:paraId="684C015E" w14:textId="77777777" w:rsidR="006C737C" w:rsidRPr="00FF5185" w:rsidRDefault="006C737C" w:rsidP="00490D1B">
      <w:pPr>
        <w:pStyle w:val="ABNT"/>
        <w:jc w:val="both"/>
      </w:pPr>
      <w:r w:rsidRPr="00FF5185">
        <w:t xml:space="preserve">A </w:t>
      </w:r>
      <w:r w:rsidRPr="00EE31F9">
        <w:t>Contabilidade Tributária</w:t>
      </w:r>
      <w:r w:rsidRPr="00FF5185">
        <w:t xml:space="preserve"> é o ramo da contabilidade voltado ao estudo, registro, controle e análise das obrigações fiscais das organizações. Seu principal objetivo é fornecer informações confiáveis sobre os tributos devidos, garantindo que a empresa cumpra a legislação vigente e minimize riscos de autuações fiscais (</w:t>
      </w:r>
      <w:proofErr w:type="spellStart"/>
      <w:r w:rsidRPr="00FF5185">
        <w:t>Padoveze</w:t>
      </w:r>
      <w:proofErr w:type="spellEnd"/>
      <w:r w:rsidRPr="00FF5185">
        <w:t xml:space="preserve"> et al., 2017). Além disso, a contabilidade tributária permite avaliar o impacto dos tributos nos resultados da empresa, </w:t>
      </w:r>
      <w:r w:rsidRPr="00FF5185">
        <w:lastRenderedPageBreak/>
        <w:t xml:space="preserve">oferecendo suporte estratégico para a </w:t>
      </w:r>
      <w:r w:rsidRPr="00EE31F9">
        <w:t>tomada de decisões</w:t>
      </w:r>
      <w:r w:rsidRPr="00FF5185">
        <w:t xml:space="preserve"> e para o desenvolvimento de um </w:t>
      </w:r>
      <w:r w:rsidRPr="00EE31F9">
        <w:t>Planejamento Tributário eficiente</w:t>
      </w:r>
      <w:r w:rsidRPr="00FF5185">
        <w:t>.</w:t>
      </w:r>
    </w:p>
    <w:p w14:paraId="46DD626B" w14:textId="77777777" w:rsidR="006C737C" w:rsidRPr="00FF5185" w:rsidRDefault="006C737C" w:rsidP="00490D1B">
      <w:pPr>
        <w:pStyle w:val="ABNT"/>
        <w:jc w:val="both"/>
      </w:pPr>
      <w:r w:rsidRPr="00FF5185">
        <w:t xml:space="preserve">Conforme destaca </w:t>
      </w:r>
      <w:r w:rsidRPr="00EE31F9">
        <w:t>Faria (2016)</w:t>
      </w:r>
      <w:r w:rsidRPr="00FF5185">
        <w:t xml:space="preserve">, a contabilidade funciona como uma ferramenta essencial para a gestão organizacional, pois disponibiliza informações relevantes para decisões gerenciais. No contexto tributário, essa função se torna ainda mais significativa devido à elevada participação dos impostos no custo final dos produtos e serviços. Assim, a contabilidade tributária engloba a </w:t>
      </w:r>
      <w:r w:rsidRPr="00EE31F9">
        <w:t>escrituração fiscal</w:t>
      </w:r>
      <w:r w:rsidRPr="00FF5185">
        <w:t xml:space="preserve">, a provisão adequada de tributos e a análise de dados que contribuem para a </w:t>
      </w:r>
      <w:r w:rsidRPr="00EE31F9">
        <w:t>redução de custos tributários</w:t>
      </w:r>
      <w:r w:rsidRPr="00FF5185">
        <w:t>, promovendo um melhor planejamento do fluxo de caixa e garantindo o cumprimento das obrigações fiscais dentro dos prazos legais (Faria, 2016).</w:t>
      </w:r>
    </w:p>
    <w:p w14:paraId="36157299" w14:textId="77777777" w:rsidR="006C737C" w:rsidRPr="00FF5185" w:rsidRDefault="006C737C" w:rsidP="00490D1B">
      <w:pPr>
        <w:pStyle w:val="ABNT"/>
        <w:jc w:val="both"/>
      </w:pPr>
      <w:r w:rsidRPr="00FF5185">
        <w:t xml:space="preserve">Por sua vez, o </w:t>
      </w:r>
      <w:r w:rsidRPr="00EE31F9">
        <w:t>Planejamento Tributário</w:t>
      </w:r>
      <w:r w:rsidRPr="00FF5185">
        <w:t xml:space="preserve"> é definido como um conjunto de estratégias lícitas destinadas à </w:t>
      </w:r>
      <w:r w:rsidRPr="00EE31F9">
        <w:t>redução da carga tributária</w:t>
      </w:r>
      <w:r w:rsidRPr="00FF5185">
        <w:t xml:space="preserve"> e à </w:t>
      </w:r>
      <w:r w:rsidRPr="00EE31F9">
        <w:t>otimização do cumprimento das obrigações fiscais</w:t>
      </w:r>
      <w:r w:rsidRPr="00FF5185">
        <w:t>. Seu objetivo é organizar as operações da empresa de forma eficiente, aproveitando benefícios fiscais e incentivos legais, ao mesmo tempo em que se evita contingências fiscais, sempre dentro dos limites da legislação vigente (Crepaldi &amp; Crepaldi, 2019).</w:t>
      </w:r>
    </w:p>
    <w:p w14:paraId="6FDA153F" w14:textId="77777777" w:rsidR="006C737C" w:rsidRPr="00FF5185" w:rsidRDefault="006C737C" w:rsidP="00490D1B">
      <w:pPr>
        <w:pStyle w:val="ABNT"/>
        <w:jc w:val="both"/>
      </w:pPr>
      <w:r w:rsidRPr="00FF5185">
        <w:t xml:space="preserve">Segundo </w:t>
      </w:r>
      <w:proofErr w:type="spellStart"/>
      <w:r w:rsidRPr="00EE31F9">
        <w:t>Fabretti</w:t>
      </w:r>
      <w:proofErr w:type="spellEnd"/>
      <w:r w:rsidRPr="00EE31F9">
        <w:t xml:space="preserve"> (2009)</w:t>
      </w:r>
      <w:r w:rsidRPr="00FF5185">
        <w:t xml:space="preserve">, trata-se do “estudo feito preventivamente, ou seja, antes da realização do fato administrativo, dos efeitos jurídicos, fiscais e econômicos de determinada decisão gerencial, com o objetivo de encontrar a alternativa legal menos onerosa para o contribuinte”. </w:t>
      </w:r>
      <w:r w:rsidRPr="00EE31F9">
        <w:t>Oliveira (2005)</w:t>
      </w:r>
      <w:r w:rsidRPr="00FF5185">
        <w:t xml:space="preserve"> complementa que o planejamento tributário é um método da contabilidade tributária voltado à </w:t>
      </w:r>
      <w:r w:rsidRPr="00EE31F9">
        <w:t>redução ou transferência lícita do ônus econômico dos tributos</w:t>
      </w:r>
      <w:r w:rsidRPr="00FF5185">
        <w:t xml:space="preserve">, reforçando que essa prática vai além da simples economia fiscal, incorporando </w:t>
      </w:r>
      <w:r w:rsidRPr="00EE31F9">
        <w:t>análise prévia, bom senso e observância legal</w:t>
      </w:r>
      <w:r w:rsidRPr="00FF5185">
        <w:t xml:space="preserve">, de forma a conciliar </w:t>
      </w:r>
      <w:r w:rsidRPr="00EE31F9">
        <w:t>eficiência econômica e segurança jurídica</w:t>
      </w:r>
      <w:r w:rsidRPr="00FF5185">
        <w:t>.</w:t>
      </w:r>
    </w:p>
    <w:p w14:paraId="1C6DFE89" w14:textId="77777777" w:rsidR="006C737C" w:rsidRPr="00FF5185" w:rsidRDefault="006C737C" w:rsidP="00490D1B">
      <w:pPr>
        <w:pStyle w:val="ABNT"/>
        <w:jc w:val="both"/>
      </w:pPr>
      <w:r w:rsidRPr="00FF5185">
        <w:t xml:space="preserve">A atuação dos </w:t>
      </w:r>
      <w:r w:rsidRPr="00EE31F9">
        <w:t>profissionais de Ciências Contábeis</w:t>
      </w:r>
      <w:r w:rsidRPr="00FF5185">
        <w:t xml:space="preserve"> é indispensável nesse contexto. De acordo com </w:t>
      </w:r>
      <w:proofErr w:type="spellStart"/>
      <w:r w:rsidRPr="00EE31F9">
        <w:t>Padoveze</w:t>
      </w:r>
      <w:proofErr w:type="spellEnd"/>
      <w:r w:rsidRPr="00EE31F9">
        <w:t xml:space="preserve"> et al. (2017)</w:t>
      </w:r>
      <w:r w:rsidRPr="00FF5185">
        <w:t xml:space="preserve">, cabe ao contador não apenas apurar corretamente os tributos conforme a legislação, mas também identificar alternativas legais para reduzir a carga tributária e mitigar riscos fiscais, garantindo a </w:t>
      </w:r>
      <w:r w:rsidRPr="00EE31F9">
        <w:t>sustentabilidade financeira da organização</w:t>
      </w:r>
      <w:r w:rsidRPr="00FF5185">
        <w:t xml:space="preserve"> e a geração de valor para seus proprietários.</w:t>
      </w:r>
    </w:p>
    <w:p w14:paraId="42CA8FEE" w14:textId="77777777" w:rsidR="006C737C" w:rsidRPr="00FF5185" w:rsidRDefault="006C737C" w:rsidP="00490D1B">
      <w:pPr>
        <w:pStyle w:val="ABNT"/>
        <w:jc w:val="both"/>
      </w:pPr>
      <w:r w:rsidRPr="00FF5185">
        <w:t xml:space="preserve">Dessa forma, a informação contábil cumpre papel estratégico, não se limitando ao registro de fatos econômicos e tributários, mas permitindo a avaliação da </w:t>
      </w:r>
      <w:r w:rsidRPr="00EE31F9">
        <w:t>situação patrimonial atual</w:t>
      </w:r>
      <w:r w:rsidRPr="00FF5185">
        <w:t xml:space="preserve"> e a projeção de cenários futuros. Esse suporte é essencial para fortalecer a </w:t>
      </w:r>
      <w:r w:rsidRPr="00EE31F9">
        <w:t>gestão tributária</w:t>
      </w:r>
      <w:r w:rsidRPr="00FF5185">
        <w:t>, promovendo decisões mais seguras, planejamento financeiro consistente e sustentabilidade econômica da empresa (</w:t>
      </w:r>
      <w:proofErr w:type="spellStart"/>
      <w:r w:rsidRPr="00FF5185">
        <w:t>Padoveze</w:t>
      </w:r>
      <w:proofErr w:type="spellEnd"/>
      <w:r w:rsidRPr="00FF5185">
        <w:t xml:space="preserve"> et al., 2017).</w:t>
      </w:r>
    </w:p>
    <w:p w14:paraId="0868A859" w14:textId="44583094" w:rsidR="0037304B" w:rsidRPr="00D136BC" w:rsidRDefault="0037304B" w:rsidP="00125D52">
      <w:pPr>
        <w:pStyle w:val="Ttulo2"/>
      </w:pPr>
      <w:bookmarkStart w:id="12" w:name="_Toc211436278"/>
      <w:bookmarkStart w:id="13" w:name="_Toc211438713"/>
      <w:r w:rsidRPr="00D136BC">
        <w:lastRenderedPageBreak/>
        <w:t>Inteligência Artificial</w:t>
      </w:r>
      <w:bookmarkEnd w:id="12"/>
      <w:bookmarkEnd w:id="13"/>
    </w:p>
    <w:p w14:paraId="7E28D0B8" w14:textId="77777777" w:rsidR="006C737C" w:rsidRPr="00FF5185" w:rsidRDefault="006C737C" w:rsidP="00490D1B">
      <w:pPr>
        <w:pStyle w:val="ABNT"/>
        <w:jc w:val="both"/>
      </w:pPr>
      <w:r w:rsidRPr="00FF5185">
        <w:t xml:space="preserve">A </w:t>
      </w:r>
      <w:r w:rsidRPr="00EE31F9">
        <w:t>Quarta Revolução Industrial</w:t>
      </w:r>
      <w:r w:rsidRPr="00FF5185">
        <w:t xml:space="preserve">, conhecida como </w:t>
      </w:r>
      <w:r w:rsidRPr="00EE31F9">
        <w:t>Indústria 4.0</w:t>
      </w:r>
      <w:r w:rsidRPr="00FF5185">
        <w:t xml:space="preserve">, termo popularizado por Klaus Schwab, promoveu a economia digital e gerou profundas transformações socioeconômicas, fiscais e culturais (Schwab, 2019; Ford, 2015). Inicialmente, a automação destinava-se à substituição de tarefas repetitivas; atualmente, integra tecnologias como </w:t>
      </w:r>
      <w:r w:rsidRPr="00EE31F9">
        <w:t>Automação de Processos Robóticos (RPA)</w:t>
      </w:r>
      <w:r w:rsidRPr="00FF5185">
        <w:t xml:space="preserve">, </w:t>
      </w:r>
      <w:r w:rsidRPr="00EE31F9">
        <w:t>Inteligência Artificial (IA)</w:t>
      </w:r>
      <w:r w:rsidRPr="00FF5185">
        <w:t xml:space="preserve">, </w:t>
      </w:r>
      <w:r w:rsidRPr="00EE31F9">
        <w:t>Machine Learning</w:t>
      </w:r>
      <w:r w:rsidRPr="00FF5185">
        <w:t xml:space="preserve">, </w:t>
      </w:r>
      <w:proofErr w:type="spellStart"/>
      <w:r w:rsidRPr="00EE31F9">
        <w:t>Deep</w:t>
      </w:r>
      <w:proofErr w:type="spellEnd"/>
      <w:r w:rsidRPr="00EE31F9">
        <w:t xml:space="preserve"> Learning</w:t>
      </w:r>
      <w:r w:rsidRPr="00FF5185">
        <w:t xml:space="preserve"> e </w:t>
      </w:r>
      <w:r w:rsidRPr="00EE31F9">
        <w:t>Internet das Coisas (IoT)</w:t>
      </w:r>
      <w:r w:rsidRPr="00FF5185">
        <w:t>, tornando os processos industriais mais inteligentes, conectados e capazes de gerar dados estratégicos para a tomada de decisão.</w:t>
      </w:r>
    </w:p>
    <w:p w14:paraId="7EDC14CE" w14:textId="77777777" w:rsidR="006C737C" w:rsidRPr="00FF5185" w:rsidRDefault="006C737C" w:rsidP="00490D1B">
      <w:pPr>
        <w:pStyle w:val="ABNT"/>
        <w:jc w:val="both"/>
      </w:pPr>
      <w:r w:rsidRPr="00FF5185">
        <w:t xml:space="preserve">Apesar de aumentar a eficiência produtiva, reduzir custos e potencializar a competitividade, a adoção da IA também apresenta desafios sociais, especialmente relacionados ao mercado de trabalho. Estudos indicam que até </w:t>
      </w:r>
      <w:r w:rsidRPr="00EE31F9">
        <w:t>50% das atividades laborais poderiam ser automatizadas</w:t>
      </w:r>
      <w:r w:rsidRPr="00FF5185">
        <w:t xml:space="preserve">, com </w:t>
      </w:r>
      <w:r w:rsidRPr="00EE31F9">
        <w:t>60% dos trabalhadores em funções altamente suscetíveis à automação</w:t>
      </w:r>
      <w:r w:rsidRPr="00FF5185">
        <w:t xml:space="preserve"> (McKinsey Global </w:t>
      </w:r>
      <w:proofErr w:type="spellStart"/>
      <w:r w:rsidRPr="00FF5185">
        <w:t>Institute</w:t>
      </w:r>
      <w:proofErr w:type="spellEnd"/>
      <w:r w:rsidRPr="00FF5185">
        <w:t xml:space="preserve">, 2017; UFRJ, 2019). Tal cenário evidencia riscos de aumento da desigualdade social e impactos em profissões especializadas, como medicina e advocacia (Schwab, 2019; Almeida, 2021; </w:t>
      </w:r>
      <w:proofErr w:type="spellStart"/>
      <w:r w:rsidRPr="00FF5185">
        <w:t>Crews</w:t>
      </w:r>
      <w:proofErr w:type="spellEnd"/>
      <w:r w:rsidRPr="00FF5185">
        <w:t>, 2019).</w:t>
      </w:r>
    </w:p>
    <w:p w14:paraId="5C172DAD" w14:textId="77777777" w:rsidR="006C737C" w:rsidRPr="00FF5185" w:rsidRDefault="006C737C" w:rsidP="00490D1B">
      <w:pPr>
        <w:pStyle w:val="ABNT"/>
        <w:jc w:val="both"/>
      </w:pPr>
      <w:r w:rsidRPr="00FF5185">
        <w:t xml:space="preserve">No contexto tributário, a IA representa uma ferramenta estratégica para </w:t>
      </w:r>
      <w:r w:rsidRPr="00EE31F9">
        <w:t>modernizar a fiscalização e otimizar a arrecadação</w:t>
      </w:r>
      <w:r w:rsidRPr="00FF5185">
        <w:t xml:space="preserve">, permitindo a análise de grandes volumes de dados, a identificação de inconsistências, o cruzamento automatizado de informações e a detecção de potenciais fraudes (Maia Filho &amp; Junquilho, 2018; Scherer, 2016). Esses recursos tecnológicos contribuem para a redução de erros humanos, aceleram auditorias e ampliam a </w:t>
      </w:r>
      <w:r w:rsidRPr="00EE31F9">
        <w:t>eficiência do sistema tributário</w:t>
      </w:r>
      <w:r w:rsidRPr="00FF5185">
        <w:t>, fortalecendo a segurança jurídica para os contribuintes (Scherer, 2016; Almeida, 2021).</w:t>
      </w:r>
    </w:p>
    <w:p w14:paraId="00403605" w14:textId="77777777" w:rsidR="006C737C" w:rsidRPr="00FF5185" w:rsidRDefault="006C737C" w:rsidP="00490D1B">
      <w:pPr>
        <w:pStyle w:val="ABNT"/>
        <w:jc w:val="both"/>
      </w:pPr>
      <w:r w:rsidRPr="00FF5185">
        <w:t xml:space="preserve">Entretanto, a eficácia da IA depende da </w:t>
      </w:r>
      <w:r w:rsidRPr="00EE31F9">
        <w:t>intervenção humana</w:t>
      </w:r>
      <w:r w:rsidRPr="00FF5185">
        <w:t xml:space="preserve"> para controle de dados, interpretação de resultados e tomada de decisões estratégicas. Além disso, a gestão dessa tecnologia exige capacitação especializada e atenção a </w:t>
      </w:r>
      <w:r w:rsidRPr="00EE31F9">
        <w:t>vieses cognitivos</w:t>
      </w:r>
      <w:r w:rsidRPr="00FF5185">
        <w:t xml:space="preserve">, prevenindo discriminação algorítmica e promovendo a equidade (Maia Filho &amp; Junquilho, 2018; Scherer, 2016). Assim, a aplicação da IA na tributação combina </w:t>
      </w:r>
      <w:r w:rsidRPr="00EE31F9">
        <w:t>tecnologia avançada e expertise humana</w:t>
      </w:r>
      <w:r w:rsidRPr="00FF5185">
        <w:t>, fortalecendo a transparência, a justiça fiscal e a eficiência administrativa, ao mesmo tempo em que demanda cuidados éticos e regulatórios (Schwab, 2019; UFRJ, 2019).</w:t>
      </w:r>
    </w:p>
    <w:p w14:paraId="47104202" w14:textId="6C34012A" w:rsidR="0037304B" w:rsidRPr="00A43086" w:rsidRDefault="0037304B" w:rsidP="00125D52">
      <w:pPr>
        <w:pStyle w:val="Ttulo3"/>
      </w:pPr>
      <w:bookmarkStart w:id="14" w:name="_Toc211436279"/>
      <w:bookmarkStart w:id="15" w:name="_Toc211438714"/>
      <w:r w:rsidRPr="00A43086">
        <w:lastRenderedPageBreak/>
        <w:t>Aplicação da Inteligência Artificial nas Organizações</w:t>
      </w:r>
      <w:bookmarkEnd w:id="14"/>
      <w:bookmarkEnd w:id="15"/>
    </w:p>
    <w:p w14:paraId="610D509A" w14:textId="77777777" w:rsidR="006C737C" w:rsidRPr="00FF5185" w:rsidRDefault="006C737C" w:rsidP="00490D1B">
      <w:pPr>
        <w:pStyle w:val="ABNT"/>
        <w:jc w:val="both"/>
      </w:pPr>
      <w:r w:rsidRPr="00FF5185">
        <w:t xml:space="preserve">O uso da </w:t>
      </w:r>
      <w:r w:rsidRPr="00EE31F9">
        <w:t>Inteligência Artificial (IA)</w:t>
      </w:r>
      <w:r w:rsidRPr="00FF5185">
        <w:t xml:space="preserve"> nas organizações transcende ganhos de produtividade, influenciando diretamente a </w:t>
      </w:r>
      <w:r w:rsidRPr="00EE31F9">
        <w:t>tributação</w:t>
      </w:r>
      <w:r w:rsidRPr="00FF5185">
        <w:t xml:space="preserve"> e a </w:t>
      </w:r>
      <w:r w:rsidRPr="00EE31F9">
        <w:t>administração pública</w:t>
      </w:r>
      <w:r w:rsidRPr="00FF5185">
        <w:t xml:space="preserve">. A substituição massiva do trabalho humano por sistemas automatizados e robôs pode gerar uma </w:t>
      </w:r>
      <w:r w:rsidRPr="00EE31F9">
        <w:t>redução na arrecadação de tributos da seguridade social</w:t>
      </w:r>
      <w:r w:rsidRPr="00FF5185">
        <w:t>, ao mesmo tempo em que aumenta os gastos com assistência social, criando desafios para a manutenção de políticas públicas voltadas à proteção social (Machado Segundo, 2020).</w:t>
      </w:r>
    </w:p>
    <w:p w14:paraId="56DA0653" w14:textId="77777777" w:rsidR="006C737C" w:rsidRPr="00FF5185" w:rsidRDefault="006C737C" w:rsidP="00490D1B">
      <w:pPr>
        <w:pStyle w:val="ABNT"/>
        <w:jc w:val="both"/>
      </w:pPr>
      <w:r w:rsidRPr="00FF5185">
        <w:t xml:space="preserve">Além disso, a automação intensiva exige a adaptação das legislações fiscais, de modo a acompanhar a transformação digital, </w:t>
      </w:r>
      <w:r w:rsidRPr="00EE31F9">
        <w:t>garantindo a manutenção da arrecadação e a eficácia da fiscalização</w:t>
      </w:r>
      <w:r w:rsidRPr="00FF5185">
        <w:t xml:space="preserve">. Nesse contexto, a IA permite que empresas operem globalmente, oferecendo serviços em diferentes países, sem necessidade de sede física, e otimizando processos com base em algoritmos de aprendizado de máquina. Isso aumenta a eficiência operacional e reduz custos, liberando recursos para inovação e desenvolvimento de produtos e serviços (Scherer, 2016; </w:t>
      </w:r>
      <w:proofErr w:type="spellStart"/>
      <w:r w:rsidRPr="00FF5185">
        <w:t>Crews</w:t>
      </w:r>
      <w:proofErr w:type="spellEnd"/>
      <w:r w:rsidRPr="00FF5185">
        <w:t>, 2019).</w:t>
      </w:r>
    </w:p>
    <w:p w14:paraId="05318AF4" w14:textId="77777777" w:rsidR="006C737C" w:rsidRPr="00FF5185" w:rsidRDefault="006C737C" w:rsidP="00490D1B">
      <w:pPr>
        <w:pStyle w:val="ABNT"/>
        <w:jc w:val="both"/>
      </w:pPr>
      <w:r w:rsidRPr="00FF5185">
        <w:t xml:space="preserve">No âmbito tributário, a aplicação da IA promove </w:t>
      </w:r>
      <w:r w:rsidRPr="00EE31F9">
        <w:t>maior precisão na apuração de impostos</w:t>
      </w:r>
      <w:r w:rsidRPr="00FF5185">
        <w:t xml:space="preserve">, monitoramento detalhado de transações e identificação de inconsistências nos registros contábeis. Ferramentas de análise preditiva possibilitam que órgãos fiscais </w:t>
      </w:r>
      <w:r w:rsidRPr="00EE31F9">
        <w:t>identifiquem riscos de inadimplência e potenciais fraudes</w:t>
      </w:r>
      <w:r w:rsidRPr="00FF5185">
        <w:t>, tornando a fiscalização mais estratégica e menos dependente de intervenções manuais.</w:t>
      </w:r>
    </w:p>
    <w:p w14:paraId="58AC5C3A" w14:textId="77777777" w:rsidR="006C737C" w:rsidRPr="00FF5185" w:rsidRDefault="006C737C" w:rsidP="00490D1B">
      <w:pPr>
        <w:pStyle w:val="ABNT"/>
        <w:jc w:val="both"/>
      </w:pPr>
      <w:r w:rsidRPr="00FF5185">
        <w:t xml:space="preserve">Dessa forma, a integração da IA nas organizações exige um </w:t>
      </w:r>
      <w:r w:rsidRPr="00EE31F9">
        <w:t>equilíbrio entre eficiência tecnológica, conformidade fiscal e responsabilidade social</w:t>
      </w:r>
      <w:r w:rsidRPr="00FF5185">
        <w:t>, garantindo que os benefícios da automação promovam o crescimento econômico sem comprometer a arrecadação, a equidade fiscal e os direitos dos trabalhadores (Machado Segundo, 2020; Scherer, 2016). A adoção responsável dessas tecnologias fortalece a transparência, a governança corporativa e a sustentabilidade das políticas públicas, consolidando um ambiente digital seguro e regulado.</w:t>
      </w:r>
    </w:p>
    <w:p w14:paraId="0BF89C96" w14:textId="6E93090C" w:rsidR="003D6C9B" w:rsidRPr="00A43086" w:rsidRDefault="003D6C9B" w:rsidP="00125D52">
      <w:pPr>
        <w:pStyle w:val="Ttulo3"/>
      </w:pPr>
      <w:bookmarkStart w:id="16" w:name="_Toc211436280"/>
      <w:bookmarkStart w:id="17" w:name="_Toc211438715"/>
      <w:r w:rsidRPr="00A43086">
        <w:lastRenderedPageBreak/>
        <w:t>Aplicação da Inteligência Artificial nas Atividades Fiscais e de Tributação</w:t>
      </w:r>
      <w:bookmarkEnd w:id="16"/>
      <w:bookmarkEnd w:id="17"/>
    </w:p>
    <w:p w14:paraId="1127CCC4" w14:textId="645D9EC0" w:rsidR="006C737C" w:rsidRPr="00FF5185" w:rsidRDefault="006C737C" w:rsidP="00490D1B">
      <w:pPr>
        <w:pStyle w:val="ABNT"/>
        <w:jc w:val="both"/>
      </w:pPr>
      <w:r w:rsidRPr="00FF5185">
        <w:t xml:space="preserve">A </w:t>
      </w:r>
      <w:r w:rsidRPr="00EE31F9">
        <w:t>Inteligência Artificial (IA)</w:t>
      </w:r>
      <w:r w:rsidRPr="00FF5185">
        <w:t xml:space="preserve"> tem transformado significativamente a forma como atividades fiscais e tributárias são conduzidas, permitindo </w:t>
      </w:r>
      <w:r w:rsidRPr="00EE31F9">
        <w:t>automatizar processos complexos, reduzir erros humanos e otimizar a arrecadação</w:t>
      </w:r>
      <w:r w:rsidRPr="00FF5185">
        <w:t xml:space="preserve">. Um exemplo prático é o </w:t>
      </w:r>
      <w:r w:rsidR="00CC4E66" w:rsidRPr="00CC4E66">
        <w:rPr>
          <w:b/>
          <w:bCs/>
        </w:rPr>
        <w:t>SISAM</w:t>
      </w:r>
      <w:r w:rsidR="00CC4E66" w:rsidRPr="00CC4E66">
        <w:t> (Sistema de Seleção Aduaneira por Aprendizado de Máquina)</w:t>
      </w:r>
      <w:r w:rsidR="00CC4E66" w:rsidRPr="00CC4E66">
        <w:rPr>
          <w:rFonts w:ascii="Segoe UI" w:hAnsi="Segoe UI" w:cs="Segoe UI"/>
          <w:color w:val="0A0A0A"/>
          <w:sz w:val="18"/>
          <w:szCs w:val="18"/>
          <w:shd w:val="clear" w:color="auto" w:fill="FFFFFF"/>
        </w:rPr>
        <w:t xml:space="preserve"> </w:t>
      </w:r>
      <w:r w:rsidR="00CC4E66" w:rsidRPr="00CC4E66">
        <w:t>da Receita Federal é um sistema de </w:t>
      </w:r>
      <w:r w:rsidR="00CC4E66" w:rsidRPr="00CC4E66">
        <w:rPr>
          <w:b/>
          <w:bCs/>
        </w:rPr>
        <w:t>inteligência artificial (IA)</w:t>
      </w:r>
      <w:r w:rsidR="00CC4E66" w:rsidRPr="00CC4E66">
        <w:t> usado para auxiliar e otimizar o despacho aduaneiro de importação</w:t>
      </w:r>
      <w:r w:rsidRPr="00FF5185">
        <w:t>,</w:t>
      </w:r>
      <w:r w:rsidR="00CC4E66">
        <w:t xml:space="preserve"> </w:t>
      </w:r>
      <w:r w:rsidRPr="00FF5185">
        <w:t>que emprega aprendizado de máquina para identificar inconsistências em declarações aduaneiras, priorizando casos com maior probabilidade de fraude (Jambeiro Filho, 2015). Essa automação permite que os fiscais concentrem esforços em situações de maior risco, aumentando a efetividade da fiscalização e promovendo uma alocação estratégica de recursos.</w:t>
      </w:r>
    </w:p>
    <w:p w14:paraId="3EE74143" w14:textId="77777777" w:rsidR="006C737C" w:rsidRPr="00FF5185" w:rsidRDefault="006C737C" w:rsidP="00490D1B">
      <w:pPr>
        <w:pStyle w:val="ABNT"/>
        <w:jc w:val="both"/>
      </w:pPr>
      <w:r w:rsidRPr="00FF5185">
        <w:t xml:space="preserve">Além disso, a IA possibilita o </w:t>
      </w:r>
      <w:r w:rsidRPr="00EE31F9">
        <w:t>monitoramento contínuo das operações tributárias</w:t>
      </w:r>
      <w:r w:rsidRPr="00FF5185">
        <w:t>, gerando relatórios detalhados, análises preditivas e indicadores de risco que auxiliam no planejamento fiscal e na tomada de decisões (Machado Segundo, 2020; Almeida, 2021). Como resultado, a administração tributária se torna mais eficiente, transparente e baseada em dados, beneficiando tanto o fisco quanto os contribuintes, que têm suas obrigações facilitadas e compreendidas de maneira mais clara.</w:t>
      </w:r>
    </w:p>
    <w:p w14:paraId="48BF7ACF" w14:textId="77777777" w:rsidR="006C737C" w:rsidRPr="00FF5185" w:rsidRDefault="006C737C" w:rsidP="00490D1B">
      <w:pPr>
        <w:pStyle w:val="ABNT"/>
        <w:jc w:val="both"/>
      </w:pPr>
      <w:r w:rsidRPr="00FF5185">
        <w:t xml:space="preserve">Apesar de seus avanços, a automação inteligente </w:t>
      </w:r>
      <w:r w:rsidRPr="00EE31F9">
        <w:t>não substitui a atuação humana</w:t>
      </w:r>
      <w:r w:rsidRPr="00FF5185">
        <w:t xml:space="preserve">, mas a complementa, tornando os processos mais rápidos, precisos e confiáveis. Entretanto, é essencial considerar </w:t>
      </w:r>
      <w:r w:rsidRPr="00EE31F9">
        <w:t>desafios jurídicos e éticos</w:t>
      </w:r>
      <w:r w:rsidRPr="00FF5185">
        <w:t xml:space="preserve">, como a responsabilidade em decisões automatizadas, a proteção de dados dos contribuintes e a observância aos princípios constitucionais. A implementação ética e responsável da IA garante que a eficiência tecnológica seja acompanhada de </w:t>
      </w:r>
      <w:r w:rsidRPr="00EE31F9">
        <w:t>segurança jurídica e justiça fiscal</w:t>
      </w:r>
      <w:r w:rsidRPr="00FF5185">
        <w:t>, equilibrando inovação, transparência e respeito aos direitos fundamentais (Scherer, 2016; Machado Segundo, 2020).</w:t>
      </w:r>
    </w:p>
    <w:p w14:paraId="7CE4C073" w14:textId="070A0EDE" w:rsidR="003D6C9B" w:rsidRPr="00FF5185" w:rsidRDefault="003D6C9B" w:rsidP="00125D52">
      <w:pPr>
        <w:pStyle w:val="Ttulo3"/>
      </w:pPr>
      <w:bookmarkStart w:id="18" w:name="_Toc211438716"/>
      <w:r w:rsidRPr="00FF5185">
        <w:t>A inteligência artificial na administração tributária</w:t>
      </w:r>
      <w:bookmarkEnd w:id="18"/>
    </w:p>
    <w:p w14:paraId="7A609F67" w14:textId="77777777" w:rsidR="00D14922" w:rsidRPr="00FF5185" w:rsidRDefault="00D14922" w:rsidP="00490D1B">
      <w:pPr>
        <w:pStyle w:val="ABNT"/>
        <w:jc w:val="both"/>
      </w:pPr>
      <w:r w:rsidRPr="00FF5185">
        <w:t xml:space="preserve">A Inteligência Artificial (IA) vem se consolidando como uma ferramenta central na modernização da administração tributária, capaz de transformar processos burocráticos e complexos em operações mais ágeis e precisas. No </w:t>
      </w:r>
      <w:r w:rsidRPr="00EE31F9">
        <w:t>Poder Judiciário</w:t>
      </w:r>
      <w:r w:rsidRPr="00FF5185">
        <w:t xml:space="preserve">, o </w:t>
      </w:r>
      <w:r w:rsidRPr="00EE31F9">
        <w:t>Projeto VICTOR</w:t>
      </w:r>
      <w:r w:rsidRPr="00FF5185">
        <w:t xml:space="preserve"> </w:t>
      </w:r>
      <w:r w:rsidRPr="00FF5185">
        <w:lastRenderedPageBreak/>
        <w:t>exemplifica essa aplicação ao utilizar algoritmos de aprendizado de máquina para analisar milhares de processos em repercussão geral. A tecnologia permite identificar quais casos possuem maior relevância jurídica e econômica, priorizando-os para análise e decisão. Esse processo não apenas aumenta a agilidade da justiça, mas também reduz custos operacionais e evita atrasos judiciais prolongados, demonstrando como a automação inteligente pode complementar a atuação humana (Roque &amp; Santos, 2021).</w:t>
      </w:r>
    </w:p>
    <w:p w14:paraId="67D01C70" w14:textId="77777777" w:rsidR="00D14922" w:rsidRPr="00FF5185" w:rsidRDefault="00D14922" w:rsidP="00490D1B">
      <w:pPr>
        <w:pStyle w:val="ABNT"/>
        <w:jc w:val="both"/>
      </w:pPr>
      <w:r w:rsidRPr="00FF5185">
        <w:t xml:space="preserve">Na </w:t>
      </w:r>
      <w:r w:rsidRPr="00EE31F9">
        <w:t>Receita Federal do Brasil</w:t>
      </w:r>
      <w:r w:rsidRPr="00FF5185">
        <w:t xml:space="preserve">, a IA é aplicada em diversas frentes, incluindo o monitoramento do </w:t>
      </w:r>
      <w:r w:rsidRPr="00EE31F9">
        <w:t>Imposto de Renda</w:t>
      </w:r>
      <w:r w:rsidRPr="00FF5185">
        <w:t>, análise de declarações fiscais e acompanhamento de operações de comércio exterior. Sistemas automatizados são capazes de processar grandes volumes de dados simultaneamente, identificar padrões atípicos e inconsistências que indicam risco de fraude ou erro, priorizando casos que exigem intervenção humana. Esses mecanismos aumentam a eficiência da fiscalização, promovem uniformidade nos procedimentos e fortalecem a confiança do contribuinte, ao reduzir arbitrariedades e promover tratamento isonômico (Nunes &amp; Delgado, 2022; Maia Filho &amp; Junquilho, 2018).</w:t>
      </w:r>
    </w:p>
    <w:p w14:paraId="35DFF5CA" w14:textId="77777777" w:rsidR="00D14922" w:rsidRPr="00FF5185" w:rsidRDefault="00D14922" w:rsidP="00490D1B">
      <w:pPr>
        <w:pStyle w:val="ABNT"/>
        <w:jc w:val="both"/>
      </w:pPr>
      <w:r w:rsidRPr="00FF5185">
        <w:t xml:space="preserve">Além das funções operacionais, a IA permite </w:t>
      </w:r>
      <w:r w:rsidRPr="00EE31F9">
        <w:t>simulações avançadas e análises preditivas</w:t>
      </w:r>
      <w:r w:rsidRPr="00FF5185">
        <w:t>. Órgãos fiscais podem projetar impactos de políticas tributárias, estimar resultados de mudanças na legislação e planejar estratégias de arrecadação com base em dados históricos e em tempo real. A integração de IA com sistemas de gestão tributária permite que a administração pública seja mais estratégica, utilizando informações precisas para direcionar recursos de forma eficiente e priorizar setores e contribuintes de maior risco.</w:t>
      </w:r>
    </w:p>
    <w:p w14:paraId="6BE51EF2" w14:textId="77777777" w:rsidR="00D14922" w:rsidRPr="00FF5185" w:rsidRDefault="00D14922" w:rsidP="00490D1B">
      <w:pPr>
        <w:pStyle w:val="ABNT"/>
        <w:jc w:val="both"/>
      </w:pPr>
      <w:r w:rsidRPr="00FF5185">
        <w:t xml:space="preserve">Dessa forma, a IA não atua apenas como ferramenta tecnológica, mas como um </w:t>
      </w:r>
      <w:r w:rsidRPr="00EE31F9">
        <w:t>instrumento de governança estratégica</w:t>
      </w:r>
      <w:r w:rsidRPr="00FF5185">
        <w:t>, promovendo maior transparência, previsibilidade e eficiência administrativa. Sua implementação adequada depende da integração harmoniosa entre tecnologia e supervisão humana, garantindo que decisões críticas não sejam tomadas exclusivamente por algoritmos, mas que sejam validadas por profissionais qualificados (Roque &amp; Santos, 2021; Nunes &amp; Delgado, 2022).</w:t>
      </w:r>
    </w:p>
    <w:p w14:paraId="3EBFABA3" w14:textId="389E63FD" w:rsidR="003D6C9B" w:rsidRPr="00FF5185" w:rsidRDefault="003D6C9B" w:rsidP="00125D52">
      <w:pPr>
        <w:pStyle w:val="Ttulo2"/>
      </w:pPr>
      <w:bookmarkStart w:id="19" w:name="_Toc211436281"/>
      <w:bookmarkStart w:id="20" w:name="_Toc211438717"/>
      <w:r w:rsidRPr="00FF5185">
        <w:t>O direito à proteção de dados nos procedimentos fiscalizatórios tributários</w:t>
      </w:r>
      <w:bookmarkEnd w:id="19"/>
      <w:bookmarkEnd w:id="20"/>
    </w:p>
    <w:p w14:paraId="46C143FD" w14:textId="77777777" w:rsidR="00D14922" w:rsidRPr="00FF5185" w:rsidRDefault="00D14922" w:rsidP="00490D1B">
      <w:pPr>
        <w:pStyle w:val="ABNT"/>
        <w:jc w:val="both"/>
      </w:pPr>
      <w:r w:rsidRPr="00FF5185">
        <w:t xml:space="preserve">A aplicação da IA na administração tributária traz benefícios significativos, mas também desafios relacionados à </w:t>
      </w:r>
      <w:r w:rsidRPr="00EE31F9">
        <w:t>proteção de dados pessoais e segurança jurídica</w:t>
      </w:r>
      <w:r w:rsidRPr="00FF5185">
        <w:t xml:space="preserve">. Sistemas inteligentes coletam, armazenam e processam informações sensíveis, incluindo dados de contribuintes, transações financeiras, histórico de declarações e informações comerciais. Para que a IA seja utilizada de forma ética e legal, é essencial que todo o processamento de dados respeite os princípios de </w:t>
      </w:r>
      <w:r w:rsidRPr="00EE31F9">
        <w:t>sigilo, finalidade, proporcionalidade e transparência</w:t>
      </w:r>
      <w:r w:rsidRPr="00FF5185">
        <w:t xml:space="preserve">, conforme preceitua a </w:t>
      </w:r>
      <w:r w:rsidRPr="00EE31F9">
        <w:t xml:space="preserve">Lei </w:t>
      </w:r>
      <w:r w:rsidRPr="00EE31F9">
        <w:lastRenderedPageBreak/>
        <w:t>Geral de Proteção de Dados (Lei nº 13.709/2018)</w:t>
      </w:r>
      <w:r w:rsidRPr="00FF5185">
        <w:t xml:space="preserve"> (Roque &amp; Santos, 2021; Nunes &amp; Delgado, 2022).</w:t>
      </w:r>
    </w:p>
    <w:p w14:paraId="7F5A234A" w14:textId="77777777" w:rsidR="00D14922" w:rsidRPr="00FF5185" w:rsidRDefault="00D14922" w:rsidP="00490D1B">
      <w:pPr>
        <w:pStyle w:val="ABNT"/>
        <w:jc w:val="both"/>
      </w:pPr>
      <w:r w:rsidRPr="00FF5185">
        <w:t xml:space="preserve">O Projeto VICTOR e os sistemas da Receita Federal ilustram como a IA deve ser aplicada com cautela. Por exemplo, algoritmos podem identificar padrões de irregularidade ou inconsistência em declarações de Imposto de Renda e priorizar fiscalizações, mas todo o processo precisa garantir que informações pessoais não sejam indevidamente expostas ou utilizadas para finalidades não previstas em lei. Além disso, deve-se garantir que o contribuinte tenha mecanismos de contestação e acesso a informações sobre como os dados são utilizados, mantendo a </w:t>
      </w:r>
      <w:r w:rsidRPr="00EE31F9">
        <w:t>transparência e a previsibilidade</w:t>
      </w:r>
      <w:r w:rsidRPr="00FF5185">
        <w:t xml:space="preserve"> (Maia Filho &amp; Junquilho, 2018).</w:t>
      </w:r>
    </w:p>
    <w:p w14:paraId="4008BAAE" w14:textId="77777777" w:rsidR="00D14922" w:rsidRPr="00FF5185" w:rsidRDefault="00D14922" w:rsidP="00490D1B">
      <w:pPr>
        <w:pStyle w:val="ABNT"/>
        <w:jc w:val="both"/>
      </w:pPr>
      <w:r w:rsidRPr="00FF5185">
        <w:t xml:space="preserve">A IA também oferece oportunidades estratégicas para a administração tributária: permite o </w:t>
      </w:r>
      <w:r w:rsidRPr="00EE31F9">
        <w:t>monitoramento contínuo de políticas fiscais</w:t>
      </w:r>
      <w:r w:rsidRPr="00FF5185">
        <w:t>, análise de impactos de incentivos tributários e simulações de cenários fiscais antes da implementação de mudanças legais. Contudo, sua eficácia depende de uma estrutura robusta de governança de dados, protocolos de segurança cibernética e supervisão humana, garantindo que a inovação tecnológica não comprometa a proteção de direitos fundamentais nem a confiança do contribuinte (Roque &amp; Santos, 2021).</w:t>
      </w:r>
    </w:p>
    <w:p w14:paraId="29EE7529" w14:textId="77777777" w:rsidR="00D14922" w:rsidRPr="00FF5185" w:rsidRDefault="00D14922" w:rsidP="00490D1B">
      <w:pPr>
        <w:pStyle w:val="ABNT"/>
        <w:jc w:val="both"/>
      </w:pPr>
      <w:r w:rsidRPr="00FF5185">
        <w:t xml:space="preserve">Em suma, a utilização responsável da IA fortalece a </w:t>
      </w:r>
      <w:r w:rsidRPr="00EE31F9">
        <w:t>eficiência administrativa, a justiça fiscal e a governança tributária</w:t>
      </w:r>
      <w:r w:rsidRPr="00FF5185">
        <w:t xml:space="preserve">, ao mesmo tempo que assegura a proteção de dados e a </w:t>
      </w:r>
      <w:r w:rsidRPr="00962515">
        <w:t>integridade das informações, equilibrando inovação tecnológica com princípios constitucionais e direitos civis.</w:t>
      </w:r>
    </w:p>
    <w:p w14:paraId="7E9AACF4" w14:textId="3C2D4288" w:rsidR="009508CA" w:rsidRPr="00FF5185" w:rsidRDefault="009508CA" w:rsidP="00125D52">
      <w:pPr>
        <w:pStyle w:val="Ttulo2"/>
      </w:pPr>
      <w:bookmarkStart w:id="21" w:name="_Toc211436282"/>
      <w:bookmarkStart w:id="22" w:name="_Toc211438718"/>
      <w:r w:rsidRPr="00FF5185">
        <w:t>O uso de IA na administração tributária e seus efeitos jurídicos</w:t>
      </w:r>
      <w:bookmarkEnd w:id="21"/>
      <w:bookmarkEnd w:id="22"/>
    </w:p>
    <w:p w14:paraId="226AB0BC" w14:textId="77777777" w:rsidR="00D14922" w:rsidRPr="00FF5185" w:rsidRDefault="00D14922" w:rsidP="00490D1B">
      <w:pPr>
        <w:pStyle w:val="ABNT"/>
        <w:jc w:val="both"/>
      </w:pPr>
      <w:r w:rsidRPr="00FF5185">
        <w:t xml:space="preserve">O avanço da IA na administração tributária também impõe desafios jurídicos relevantes. A automatização de decisões fiscais envolve consequências diretas sobre arrecadação, fiscalização e conformidade tributária, tornando essencial a </w:t>
      </w:r>
      <w:r w:rsidRPr="00EE31F9">
        <w:t>existência de regulamentação clara, definição de responsabilidades e auditoria constante</w:t>
      </w:r>
      <w:r w:rsidRPr="00FF5185">
        <w:t xml:space="preserve"> (Scherer, 2016; O’Neil, 2016).</w:t>
      </w:r>
    </w:p>
    <w:p w14:paraId="720AF370" w14:textId="77777777" w:rsidR="00D14922" w:rsidRPr="00FF5185" w:rsidRDefault="00D14922" w:rsidP="00490D1B">
      <w:pPr>
        <w:pStyle w:val="ABNT"/>
        <w:jc w:val="both"/>
      </w:pPr>
      <w:r w:rsidRPr="00FF5185">
        <w:t xml:space="preserve">Algoritmos de aprendizado de máquina podem analisar rapidamente grandes volumes de dados e emitir recomendações ou alertas para o fisco. No entanto, sem supervisão adequada, há risco de </w:t>
      </w:r>
      <w:r w:rsidRPr="00EE31F9">
        <w:t>vieses algorítmicos, discriminação involuntária e erros sistemáticos</w:t>
      </w:r>
      <w:r w:rsidRPr="00FF5185">
        <w:t>, prejudicando contribuintes e enfraquecendo a confiança no sistema fiscal (Machado Segundo, 2020). Por exemplo, contribuintes legítimos podem ser indevidamente selecionados para fiscalização intensiva, enquanto fraudes sofisticadas podem passar despercebidas se o sistema não for monitorado e atualizado constantemente.</w:t>
      </w:r>
    </w:p>
    <w:p w14:paraId="2929F30B" w14:textId="77777777" w:rsidR="00D14922" w:rsidRPr="00FF5185" w:rsidRDefault="00D14922" w:rsidP="00490D1B">
      <w:pPr>
        <w:pStyle w:val="ABNT"/>
        <w:jc w:val="both"/>
      </w:pPr>
      <w:r w:rsidRPr="00FF5185">
        <w:t xml:space="preserve">Além disso, a aplicação automatizada de normas fiscais sem transparência pode gerar conflitos administrativos e questionamentos judiciais. Por isso, é crucial estabelecer </w:t>
      </w:r>
      <w:r w:rsidRPr="00EE31F9">
        <w:t>mecanismos de auditoria, supervisão humana e políticas de compliance</w:t>
      </w:r>
      <w:r w:rsidRPr="00FF5185">
        <w:t xml:space="preserve">, assegurando que a IA </w:t>
      </w:r>
      <w:r w:rsidRPr="00FF5185">
        <w:lastRenderedPageBreak/>
        <w:t xml:space="preserve">funcione de forma ética, transparente e responsável. O objetivo é equilibrar </w:t>
      </w:r>
      <w:r w:rsidRPr="00EE31F9">
        <w:t>eficiência operacional, segurança jurídica e proteção dos direitos constitucionais</w:t>
      </w:r>
      <w:r w:rsidRPr="00FF5185">
        <w:t>, transformando a IA em um instrumento confiável de apoio à arrecadação, fiscalização e tomada de decisões estratégicas (Scherer, 2016; Machado Segundo, 2020).</w:t>
      </w:r>
    </w:p>
    <w:p w14:paraId="495DC171" w14:textId="77777777" w:rsidR="00D14922" w:rsidRPr="00FF5185" w:rsidRDefault="00D14922" w:rsidP="00490D1B">
      <w:pPr>
        <w:pStyle w:val="ABNT"/>
        <w:jc w:val="both"/>
      </w:pPr>
      <w:r w:rsidRPr="00FF5185">
        <w:t xml:space="preserve">A regulamentação adequada, o treinamento de profissionais e a definição clara de responsabilidades são medidas indispensáveis para garantir que a IA contribua efetivamente para uma </w:t>
      </w:r>
      <w:r w:rsidRPr="00EE31F9">
        <w:t>administração tributária moderna, segura e transparente</w:t>
      </w:r>
      <w:r w:rsidRPr="00FF5185">
        <w:t>, sem comprometer os direitos dos contribuintes ou os princípios constitucionais, promovendo inovação tecnológica alinhada à justiça fiscal.</w:t>
      </w:r>
    </w:p>
    <w:p w14:paraId="313212B0" w14:textId="785812D7" w:rsidR="003D6C9B" w:rsidRPr="00FF5185" w:rsidRDefault="003D6C9B" w:rsidP="00125D52">
      <w:pPr>
        <w:pStyle w:val="Ttulo2"/>
      </w:pPr>
      <w:bookmarkStart w:id="23" w:name="_Toc211436283"/>
      <w:bookmarkStart w:id="24" w:name="_Toc211438719"/>
      <w:r w:rsidRPr="00FF5185">
        <w:t>A relação entre tecnologia da informação e a redução da evasão fiscal</w:t>
      </w:r>
      <w:bookmarkEnd w:id="23"/>
      <w:bookmarkEnd w:id="24"/>
    </w:p>
    <w:p w14:paraId="756F2288" w14:textId="77777777" w:rsidR="00D14922" w:rsidRPr="00FF5185" w:rsidRDefault="00D14922" w:rsidP="00490D1B">
      <w:pPr>
        <w:pStyle w:val="ABNT"/>
        <w:jc w:val="both"/>
      </w:pPr>
      <w:r w:rsidRPr="00FF5185">
        <w:t xml:space="preserve">A integração de Tecnologias de Informação e Comunicação (TICs) na administração tributária tem se mostrado um componente essencial para aprimorar a governança fiscal e reduzir a evasão tributária. Ferramentas como o Sistema Público de Escrituração Digital (SPED), a Nota Fiscal Eletrônica (NF-e), o Cadastro Sincronizado Nacional e o </w:t>
      </w:r>
      <w:proofErr w:type="spellStart"/>
      <w:r w:rsidRPr="00FF5185">
        <w:t>eSocial</w:t>
      </w:r>
      <w:proofErr w:type="spellEnd"/>
      <w:r w:rsidRPr="00FF5185">
        <w:t xml:space="preserve"> possibilitam um controle mais rigoroso sobre declarações e transações, permitindo que os órgãos fiscais identifiquem inconsistências de forma rápida e precisa. Essas tecnologias não apenas simplificam o cumprimento das obrigações fiscais, mas também aumentam a confiabilidade das informações recebidas, tornando o processo mais seguro e transparente para os contribuintes (Machado Segundo, 2020).</w:t>
      </w:r>
    </w:p>
    <w:p w14:paraId="438CAF3F" w14:textId="77777777" w:rsidR="00D14922" w:rsidRPr="00FF5185" w:rsidRDefault="00D14922" w:rsidP="00490D1B">
      <w:pPr>
        <w:pStyle w:val="ABNT"/>
        <w:jc w:val="both"/>
      </w:pPr>
      <w:r w:rsidRPr="00FF5185">
        <w:t>O uso de TICs reduz a dependência de processos manuais, minimizando erros humanos e aumentando a assertividade da fiscalização. Ao mesmo tempo, a implementação dessas ferramentas fortalece a conformidade tributária, ao permitir que empresas e cidadãos sigam normas padronizadas e registradas digitalmente. Além disso, sistemas integrados de TICs fornecem dados valiosos para análises estratégicas, permitindo que os órgãos públicos realizem projeções sobre arrecadação, identifiquem padrões de inadimplência e antecipem riscos de fraude (</w:t>
      </w:r>
      <w:proofErr w:type="spellStart"/>
      <w:r w:rsidRPr="00FF5185">
        <w:t>Sachsida</w:t>
      </w:r>
      <w:proofErr w:type="spellEnd"/>
      <w:r w:rsidRPr="00FF5185">
        <w:t>, 2017).</w:t>
      </w:r>
    </w:p>
    <w:p w14:paraId="072BD6D6" w14:textId="77777777" w:rsidR="00D14922" w:rsidRPr="00FF5185" w:rsidRDefault="00D14922" w:rsidP="00490D1B">
      <w:pPr>
        <w:pStyle w:val="ABNT"/>
        <w:jc w:val="both"/>
      </w:pPr>
      <w:r w:rsidRPr="00FF5185">
        <w:t xml:space="preserve">Quando combinadas com a Inteligência Artificial, essas ferramentas digitais tornam-se ainda mais poderosas. A IA possibilita o cruzamento de grandes volumes de dados, a análise de padrões de comportamento dos contribuintes e a identificação de potenciais irregularidades com antecedência. Por exemplo, sistemas de análise preditiva podem indicar quais empresas apresentam maior risco de descumprimento de obrigações fiscais, permitindo que a fiscalização atue de forma proativa e direcionada. Dessa forma, a combinação de TICs e IA fortalece não apenas a arrecadação, mas também incentiva a formalização de negócios, a transparência das </w:t>
      </w:r>
      <w:r w:rsidRPr="00FF5185">
        <w:lastRenderedPageBreak/>
        <w:t xml:space="preserve">operações e a confiança entre contribuintes e órgãos públicos (Jambeiro Filho, 2015; </w:t>
      </w:r>
      <w:proofErr w:type="spellStart"/>
      <w:r w:rsidRPr="00FF5185">
        <w:t>Sachsida</w:t>
      </w:r>
      <w:proofErr w:type="spellEnd"/>
      <w:r w:rsidRPr="00FF5185">
        <w:t>, 2017).</w:t>
      </w:r>
    </w:p>
    <w:p w14:paraId="65BABD88" w14:textId="74DECCB2" w:rsidR="003D6C9B" w:rsidRPr="00FF5185" w:rsidRDefault="00D14922" w:rsidP="00490D1B">
      <w:pPr>
        <w:pStyle w:val="ABNT"/>
        <w:jc w:val="both"/>
      </w:pPr>
      <w:r w:rsidRPr="00FF5185">
        <w:t>Portanto, a integração entre tecnologias de informação e análise inteligente de dados representa uma mudança de paradigma na administração tributária. Além de aumentar a eficiência operacional, ela cria condições para decisões mais estratégicas, orientadas por dados confiáveis, e contribui para um sistema fiscal mais justo, equitativo e sustentável no longo prazo.</w:t>
      </w:r>
    </w:p>
    <w:p w14:paraId="7BF0BB4A" w14:textId="4AE432C4" w:rsidR="003D6C9B" w:rsidRPr="00FF5185" w:rsidRDefault="003D6C9B" w:rsidP="00125D52">
      <w:pPr>
        <w:pStyle w:val="Ttulo2"/>
      </w:pPr>
      <w:bookmarkStart w:id="25" w:name="_Toc211436284"/>
      <w:bookmarkStart w:id="26" w:name="_Toc211438720"/>
      <w:r w:rsidRPr="00FF5185">
        <w:t>A atuação do fisco e o princípio da segurança jurídica no direito tributário</w:t>
      </w:r>
      <w:bookmarkEnd w:id="25"/>
      <w:bookmarkEnd w:id="26"/>
    </w:p>
    <w:p w14:paraId="1E35D3DA" w14:textId="77777777" w:rsidR="00D14922" w:rsidRPr="00FF5185" w:rsidRDefault="00D14922" w:rsidP="00490D1B">
      <w:pPr>
        <w:pStyle w:val="ABNT"/>
        <w:jc w:val="both"/>
      </w:pPr>
      <w:r w:rsidRPr="00EE31F9">
        <w:t>A atuação do fisco e o princípio da segurança jurídica no direito tributário (expandido)</w:t>
      </w:r>
      <w:r w:rsidRPr="00FF5185">
        <w:br/>
        <w:t>A atuação do fisco brasileiro deve estar sempre alinhada aos princípios constitucionais, como legalidade, publicidade, impessoalidade, eficiência e segurança jurídica. A aplicação de Inteligência Artificial (IA) na fiscalização tributária deve respeitar esses princípios, garantindo que mesmo processos automatizados sigam critérios claros, previsíveis e imparciais (Di Pietro, 2018; Brasil, 1988).</w:t>
      </w:r>
    </w:p>
    <w:p w14:paraId="120D14E2" w14:textId="77777777" w:rsidR="00D14922" w:rsidRPr="00FF5185" w:rsidRDefault="00D14922" w:rsidP="00490D1B">
      <w:pPr>
        <w:pStyle w:val="ABNT"/>
        <w:jc w:val="both"/>
      </w:pPr>
      <w:r w:rsidRPr="00FF5185">
        <w:t>A IA permite uniformidade nas decisões fiscais, reduzindo arbitrariedades e aumentando a previsibilidade dos resultados. Sistemas automatizados podem, por exemplo, auxiliar na análise de grandes volumes de dados, identificando casos de risco elevado e priorizando intervenções, sem depender exclusivamente da intuição ou do julgamento individual de fiscais. Essa abordagem contribui para uma gestão fiscal mais eficiente, direcionando esforços humanos para situações mais complexas e críticas (Tavolaro, 2000; Machado Segundo, 2020).</w:t>
      </w:r>
    </w:p>
    <w:p w14:paraId="1AE6EEE8" w14:textId="77777777" w:rsidR="00D14922" w:rsidRPr="00FF5185" w:rsidRDefault="00D14922" w:rsidP="00490D1B">
      <w:pPr>
        <w:pStyle w:val="ABNT"/>
        <w:jc w:val="both"/>
      </w:pPr>
      <w:r w:rsidRPr="00FF5185">
        <w:t>Além disso, a utilização de análise preditiva, inteligência de dados e algoritmos avançados fortalece a segurança jurídica, oferecendo clareza sobre os critérios de fiscalização, lançamentos e autuações. Isso aumenta a confiança do contribuinte, que passa a compreender melhor as decisões do fisco e a ter meios de contestar eventuais inconsistências ou erros. A supervisão humana permanece essencial, garantindo que a tecnologia não substitua completamente o julgamento crítico, mas complemente e potencialize a atuação fiscal (Di Pietro, 2018; Machado Segundo, 2020).</w:t>
      </w:r>
    </w:p>
    <w:p w14:paraId="2867F4BA" w14:textId="77777777" w:rsidR="00D14922" w:rsidRPr="00FF5185" w:rsidRDefault="00D14922" w:rsidP="00490D1B">
      <w:pPr>
        <w:pStyle w:val="ABNT"/>
        <w:jc w:val="both"/>
      </w:pPr>
      <w:r w:rsidRPr="00490D1B">
        <w:t>Em síntese, a IA contribui para equilibrar eficiência administrativa e proteção aos direitos individuais, demonstrando que a inovação tecnológica pode ser um instrumento confiável para uma administração tributária moderna, segura e transparente</w:t>
      </w:r>
      <w:r w:rsidRPr="000B1060">
        <w:rPr>
          <w:highlight w:val="green"/>
        </w:rPr>
        <w:t>.</w:t>
      </w:r>
    </w:p>
    <w:p w14:paraId="1F6F3F2A" w14:textId="01A06355" w:rsidR="003D6C9B" w:rsidRPr="00FF5185" w:rsidRDefault="003D6C9B" w:rsidP="00125D52">
      <w:pPr>
        <w:pStyle w:val="Ttulo2"/>
      </w:pPr>
      <w:bookmarkStart w:id="27" w:name="_Toc211436285"/>
      <w:bookmarkStart w:id="28" w:name="_Toc211438721"/>
      <w:r w:rsidRPr="00FF5185">
        <w:t>A guerra fiscal</w:t>
      </w:r>
      <w:bookmarkEnd w:id="27"/>
      <w:bookmarkEnd w:id="28"/>
    </w:p>
    <w:p w14:paraId="2F767750" w14:textId="77777777" w:rsidR="00D14922" w:rsidRPr="00FF5185" w:rsidRDefault="00D14922" w:rsidP="00490D1B">
      <w:pPr>
        <w:pStyle w:val="ABNT"/>
        <w:jc w:val="both"/>
      </w:pPr>
      <w:r w:rsidRPr="00FF5185">
        <w:t xml:space="preserve">A chamada “guerra fiscal” refere-se à competição entre estados e municípios para atrair empresas por meio de incentivos tributários, prática que pode gerar distorções econômicas, desequilíbrios regionais e desigualdades na arrecadação (Castro, 2013; </w:t>
      </w:r>
      <w:proofErr w:type="spellStart"/>
      <w:r w:rsidRPr="00FF5185">
        <w:t>Sachsida</w:t>
      </w:r>
      <w:proofErr w:type="spellEnd"/>
      <w:r w:rsidRPr="00FF5185">
        <w:t xml:space="preserve">, 2017). Essa </w:t>
      </w:r>
      <w:r w:rsidRPr="00FF5185">
        <w:lastRenderedPageBreak/>
        <w:t>competição, embora muitas vezes justificada como uma estratégia de desenvolvimento local, pode comprometer a eficiência do sistema tributário nacional, reduzindo a arrecadação de entes federativos menos competitivos e incentivando práticas que nem sempre refletem o interesse público ou a justiça fiscal.</w:t>
      </w:r>
    </w:p>
    <w:p w14:paraId="6ECC0277" w14:textId="77777777" w:rsidR="00D14922" w:rsidRPr="00FF5185" w:rsidRDefault="00D14922" w:rsidP="00490D1B">
      <w:pPr>
        <w:pStyle w:val="ABNT"/>
        <w:jc w:val="both"/>
      </w:pPr>
      <w:r w:rsidRPr="00FF5185">
        <w:t>Nesse cenário, a Inteligência Artificial (IA) surge como uma ferramenta estratégica que permite uma análise mais precisa dos impactos econômicos e tributários dos incentivos antes de sua implementação. Por meio de modelos de simulação e análise de dados, é possível avaliar os efeitos de diferentes políticas fiscais sobre o crescimento econômico regional, a arrecadação e a distribuição de recursos entre estados e municípios. Dessa forma, decisões baseadas em dados promovem maior transparência, planejamento e eficácia das políticas públicas (</w:t>
      </w:r>
      <w:proofErr w:type="spellStart"/>
      <w:r w:rsidRPr="00FF5185">
        <w:t>Sachsida</w:t>
      </w:r>
      <w:proofErr w:type="spellEnd"/>
      <w:r w:rsidRPr="00FF5185">
        <w:t>, 2017; Tavolaro, 2000).</w:t>
      </w:r>
    </w:p>
    <w:p w14:paraId="2387773C" w14:textId="77777777" w:rsidR="00D14922" w:rsidRPr="00FF5185" w:rsidRDefault="00D14922" w:rsidP="00490D1B">
      <w:pPr>
        <w:pStyle w:val="ABNT"/>
        <w:jc w:val="both"/>
      </w:pPr>
      <w:r w:rsidRPr="00FF5185">
        <w:t>Além disso, a IA possibilita o monitoramento contínuo das políticas de incentivo, identificando em tempo real distorções, ineficiências ou benefícios inesperados. Esse acompanhamento permite ajustes mais rápidos e direcionados, fortalecendo a coesão do sistema tributário e reduzindo desigualdades entre regiões. Ao integrar tecnologia e análise fiscal, é possível criar um ambiente em que incentivos tributários sejam utilizados de maneira estratégica, equilibrando competitividade local com justiça fiscal e equidade nacional.</w:t>
      </w:r>
    </w:p>
    <w:p w14:paraId="1B8AEB4E" w14:textId="6F8DB361" w:rsidR="0052217E" w:rsidRDefault="00D14922" w:rsidP="00490D1B">
      <w:pPr>
        <w:pStyle w:val="ABNT"/>
        <w:jc w:val="both"/>
      </w:pPr>
      <w:r w:rsidRPr="00FF5185">
        <w:t>Portanto, a guerra fiscal, quando analisada sob a perspectiva tecnológica, deixa de ser um fenômeno puramente competitivo e passa a ser uma oportunidade para a implementação de políticas tributárias mais eficientes, transparentes e sustentáveis. A IA contribui para decisões mais inteligentes, mitigando efeitos negativos e promovendo um ambiente de confiança entre os entes federativos e os contribuintes (Castro, 2013; Tavolaro, 2000).</w:t>
      </w:r>
    </w:p>
    <w:p w14:paraId="14735B73" w14:textId="77777777" w:rsidR="002E426F" w:rsidRPr="00FF5185" w:rsidRDefault="002E426F" w:rsidP="00490D1B">
      <w:pPr>
        <w:pStyle w:val="ABNT"/>
        <w:jc w:val="both"/>
      </w:pPr>
    </w:p>
    <w:p w14:paraId="4D09257F" w14:textId="5D055F02" w:rsidR="0030682C" w:rsidRPr="0030682C" w:rsidRDefault="0007136D" w:rsidP="00125D52">
      <w:pPr>
        <w:pStyle w:val="Ttulo1"/>
      </w:pPr>
      <w:bookmarkStart w:id="29" w:name="_Toc211436286"/>
      <w:bookmarkStart w:id="30" w:name="_Toc211438722"/>
      <w:r w:rsidRPr="00D8391E">
        <w:t>METODOLOGIA</w:t>
      </w:r>
      <w:bookmarkEnd w:id="29"/>
      <w:bookmarkEnd w:id="30"/>
    </w:p>
    <w:p w14:paraId="5DCBF06F" w14:textId="77777777" w:rsidR="00CF562F" w:rsidRPr="00CF562F" w:rsidRDefault="00CF562F" w:rsidP="00490D1B">
      <w:pPr>
        <w:pStyle w:val="ABNT"/>
        <w:jc w:val="both"/>
        <w:rPr>
          <w:lang w:eastAsia="pt-BR"/>
        </w:rPr>
      </w:pPr>
      <w:r w:rsidRPr="00CF562F">
        <w:rPr>
          <w:lang w:eastAsia="pt-BR"/>
        </w:rPr>
        <w:t xml:space="preserve">A metodologia de uma pesquisa compreende o conjunto de princípios, técnicas e procedimentos utilizados para investigar o problema proposto, assegurando a validade, a confiabilidade e a coerência dos resultados. Esta pesquisa caracteriza-se, quanto à natureza, como </w:t>
      </w:r>
      <w:r w:rsidRPr="00CF562F">
        <w:rPr>
          <w:b/>
          <w:bCs/>
          <w:lang w:eastAsia="pt-BR"/>
        </w:rPr>
        <w:t>aplicada</w:t>
      </w:r>
      <w:r w:rsidRPr="00CF562F">
        <w:rPr>
          <w:lang w:eastAsia="pt-BR"/>
        </w:rPr>
        <w:t>, pois visa gerar conhecimento voltado à solução de problemas práticos relacionados à implementação da Reforma Tributária brasileira e ao uso da Inteligência Artificial (IA) na administração fiscal.</w:t>
      </w:r>
    </w:p>
    <w:p w14:paraId="73D3C603" w14:textId="77777777" w:rsidR="00CF562F" w:rsidRPr="00CF562F" w:rsidRDefault="00CF562F" w:rsidP="00490D1B">
      <w:pPr>
        <w:pStyle w:val="ABNT"/>
        <w:jc w:val="both"/>
        <w:rPr>
          <w:lang w:eastAsia="pt-BR"/>
        </w:rPr>
      </w:pPr>
      <w:r w:rsidRPr="00CF562F">
        <w:rPr>
          <w:lang w:eastAsia="pt-BR"/>
        </w:rPr>
        <w:t xml:space="preserve">Quanto à </w:t>
      </w:r>
      <w:r w:rsidRPr="00CF562F">
        <w:rPr>
          <w:b/>
          <w:bCs/>
          <w:lang w:eastAsia="pt-BR"/>
        </w:rPr>
        <w:t>abordagem</w:t>
      </w:r>
      <w:r w:rsidRPr="00CF562F">
        <w:rPr>
          <w:lang w:eastAsia="pt-BR"/>
        </w:rPr>
        <w:t xml:space="preserve">, adota-se um </w:t>
      </w:r>
      <w:r w:rsidRPr="00CF562F">
        <w:rPr>
          <w:b/>
          <w:bCs/>
          <w:lang w:eastAsia="pt-BR"/>
        </w:rPr>
        <w:t>método misto</w:t>
      </w:r>
      <w:r w:rsidRPr="00CF562F">
        <w:rPr>
          <w:lang w:eastAsia="pt-BR"/>
        </w:rPr>
        <w:t xml:space="preserve">, que combina aspectos qualitativos e quantitativos. O enfoque qualitativo permitiu a análise interpretativa da legislação, de estudos acadêmicos e de documentos normativos; já o quantitativo possibilitou a realização de </w:t>
      </w:r>
      <w:r w:rsidRPr="00CF562F">
        <w:rPr>
          <w:lang w:eastAsia="pt-BR"/>
        </w:rPr>
        <w:lastRenderedPageBreak/>
        <w:t>simulações e cálculos comparativos entre o sistema tributário vigente e o modelo proposto de CBS e IBS, a fim de mensurar impactos e avaliar resultados econômicos.</w:t>
      </w:r>
    </w:p>
    <w:p w14:paraId="1E604C51" w14:textId="77777777" w:rsidR="00CF562F" w:rsidRPr="00CF562F" w:rsidRDefault="00CF562F" w:rsidP="00490D1B">
      <w:pPr>
        <w:pStyle w:val="ABNT"/>
        <w:jc w:val="both"/>
        <w:rPr>
          <w:lang w:eastAsia="pt-BR"/>
        </w:rPr>
      </w:pPr>
      <w:r w:rsidRPr="00CF562F">
        <w:rPr>
          <w:lang w:eastAsia="pt-BR"/>
        </w:rPr>
        <w:t xml:space="preserve">Em relação aos </w:t>
      </w:r>
      <w:r w:rsidRPr="00CF562F">
        <w:rPr>
          <w:b/>
          <w:bCs/>
          <w:lang w:eastAsia="pt-BR"/>
        </w:rPr>
        <w:t>objetivos</w:t>
      </w:r>
      <w:r w:rsidRPr="00CF562F">
        <w:rPr>
          <w:lang w:eastAsia="pt-BR"/>
        </w:rPr>
        <w:t xml:space="preserve">, o estudo é </w:t>
      </w:r>
      <w:r w:rsidRPr="00CF562F">
        <w:rPr>
          <w:b/>
          <w:bCs/>
          <w:lang w:eastAsia="pt-BR"/>
        </w:rPr>
        <w:t>descritivo e exploratório</w:t>
      </w:r>
      <w:r w:rsidRPr="00CF562F">
        <w:rPr>
          <w:lang w:eastAsia="pt-BR"/>
        </w:rPr>
        <w:t>. É descritivo por detalhar as principais características da Reforma Tributária e suas implicações na gestão fiscal; e exploratório por investigar as potencialidades da IA em um contexto de transformação digital, oferecendo subsídios para pesquisas futuras e práticas profissionais no campo contábil.</w:t>
      </w:r>
    </w:p>
    <w:p w14:paraId="6F5C7034" w14:textId="77777777" w:rsidR="00CF562F" w:rsidRPr="00CF562F" w:rsidRDefault="00CF562F" w:rsidP="00490D1B">
      <w:pPr>
        <w:pStyle w:val="ABNT"/>
        <w:jc w:val="both"/>
        <w:rPr>
          <w:lang w:eastAsia="pt-BR"/>
        </w:rPr>
      </w:pPr>
      <w:r w:rsidRPr="00CF562F">
        <w:rPr>
          <w:lang w:eastAsia="pt-BR"/>
        </w:rPr>
        <w:t xml:space="preserve">Nos </w:t>
      </w:r>
      <w:r w:rsidRPr="00CF562F">
        <w:rPr>
          <w:b/>
          <w:bCs/>
          <w:lang w:eastAsia="pt-BR"/>
        </w:rPr>
        <w:t>procedimentos técnicos</w:t>
      </w:r>
      <w:r w:rsidRPr="00CF562F">
        <w:rPr>
          <w:lang w:eastAsia="pt-BR"/>
        </w:rPr>
        <w:t xml:space="preserve">, a pesquisa é </w:t>
      </w:r>
      <w:r w:rsidRPr="00CF562F">
        <w:rPr>
          <w:b/>
          <w:bCs/>
          <w:lang w:eastAsia="pt-BR"/>
        </w:rPr>
        <w:t>bibliográfica e documental</w:t>
      </w:r>
      <w:r w:rsidRPr="00CF562F">
        <w:rPr>
          <w:lang w:eastAsia="pt-BR"/>
        </w:rPr>
        <w:t>, baseada em livros, artigos científicos, legislações, projetos de lei, relatórios governamentais e publicações de órgãos oficiais, como a Receita Federal e o Congresso Nacional. Também foram utilizadas fontes secundárias e estudos internacionais, com o intuito de identificar boas práticas associadas ao modelo de Imposto sobre Valor Agregado (IVA).</w:t>
      </w:r>
    </w:p>
    <w:p w14:paraId="48495E3F" w14:textId="77777777" w:rsidR="00CF562F" w:rsidRPr="00CF562F" w:rsidRDefault="00CF562F" w:rsidP="00490D1B">
      <w:pPr>
        <w:pStyle w:val="ABNT"/>
        <w:jc w:val="both"/>
        <w:rPr>
          <w:lang w:eastAsia="pt-BR"/>
        </w:rPr>
      </w:pPr>
      <w:r w:rsidRPr="00CF562F">
        <w:rPr>
          <w:lang w:eastAsia="pt-BR"/>
        </w:rPr>
        <w:t xml:space="preserve">A </w:t>
      </w:r>
      <w:r w:rsidRPr="00CF562F">
        <w:rPr>
          <w:b/>
          <w:bCs/>
          <w:lang w:eastAsia="pt-BR"/>
        </w:rPr>
        <w:t>amostra</w:t>
      </w:r>
      <w:r w:rsidRPr="00CF562F">
        <w:rPr>
          <w:lang w:eastAsia="pt-BR"/>
        </w:rPr>
        <w:t xml:space="preserve"> incluiu documentos oficiais recentes — como a Emenda Constitucional nº 132/2023, os Projetos de Lei Complementar nº 68/2024 e nº 108/2024 e a Lei Complementar nº 214/2025 — além de artigos disponíveis em bases acadêmicas como </w:t>
      </w:r>
      <w:proofErr w:type="spellStart"/>
      <w:r w:rsidRPr="00CF562F">
        <w:rPr>
          <w:lang w:eastAsia="pt-BR"/>
        </w:rPr>
        <w:t>Scielo</w:t>
      </w:r>
      <w:proofErr w:type="spellEnd"/>
      <w:r w:rsidRPr="00CF562F">
        <w:rPr>
          <w:lang w:eastAsia="pt-BR"/>
        </w:rPr>
        <w:t xml:space="preserve"> e Google Scholar. A </w:t>
      </w:r>
      <w:r w:rsidRPr="00CF562F">
        <w:rPr>
          <w:b/>
          <w:bCs/>
          <w:lang w:eastAsia="pt-BR"/>
        </w:rPr>
        <w:t>coleta de dados</w:t>
      </w:r>
      <w:r w:rsidRPr="00CF562F">
        <w:rPr>
          <w:lang w:eastAsia="pt-BR"/>
        </w:rPr>
        <w:t xml:space="preserve"> foi realizada em plataformas eletrônicas, e as informações foram organizadas em tabelas e planilhas comparativas.</w:t>
      </w:r>
    </w:p>
    <w:p w14:paraId="6E224D17" w14:textId="00E9B58C" w:rsidR="00A95FE0" w:rsidRDefault="00CF562F" w:rsidP="00490D1B">
      <w:pPr>
        <w:pStyle w:val="ABNT"/>
        <w:jc w:val="both"/>
        <w:rPr>
          <w:lang w:eastAsia="pt-BR"/>
        </w:rPr>
      </w:pPr>
      <w:r w:rsidRPr="00CF562F">
        <w:rPr>
          <w:lang w:eastAsia="pt-BR"/>
        </w:rPr>
        <w:t xml:space="preserve">O </w:t>
      </w:r>
      <w:r w:rsidRPr="00CF562F">
        <w:rPr>
          <w:b/>
          <w:bCs/>
          <w:lang w:eastAsia="pt-BR"/>
        </w:rPr>
        <w:t>tratamento dos dados qualitativos</w:t>
      </w:r>
      <w:r w:rsidRPr="00CF562F">
        <w:rPr>
          <w:lang w:eastAsia="pt-BR"/>
        </w:rPr>
        <w:t xml:space="preserve"> baseou-se na análise de conteúdo, buscando identificar convergências e divergências entre autores e legislações. Já os </w:t>
      </w:r>
      <w:r w:rsidRPr="00CF562F">
        <w:rPr>
          <w:b/>
          <w:bCs/>
          <w:lang w:eastAsia="pt-BR"/>
        </w:rPr>
        <w:t>dados quantitativos</w:t>
      </w:r>
      <w:r w:rsidRPr="00CF562F">
        <w:rPr>
          <w:lang w:eastAsia="pt-BR"/>
        </w:rPr>
        <w:t xml:space="preserve"> foram apurados por meio de simulações em planilhas eletrônicas (Microsoft Excel), aplicando fórmulas e percentuais para calcular variações de carga tributária. Essa integração metodológica garante consistência e permite uma visão abrangente sobre o papel da Inteligência Artificial na implementação e fiscalização da Reforma Tributária brasileira.</w:t>
      </w:r>
    </w:p>
    <w:p w14:paraId="0476D22F" w14:textId="77777777" w:rsidR="002E426F" w:rsidRPr="00FF5185" w:rsidRDefault="002E426F" w:rsidP="00490D1B">
      <w:pPr>
        <w:pStyle w:val="ABNT"/>
        <w:jc w:val="both"/>
        <w:rPr>
          <w:lang w:eastAsia="pt-BR"/>
        </w:rPr>
      </w:pPr>
    </w:p>
    <w:p w14:paraId="2D534434" w14:textId="0608B7AF" w:rsidR="0030682C" w:rsidRPr="0030682C" w:rsidRDefault="00B2350C" w:rsidP="00125D52">
      <w:pPr>
        <w:pStyle w:val="Ttulo1"/>
      </w:pPr>
      <w:bookmarkStart w:id="31" w:name="_Toc211436287"/>
      <w:bookmarkStart w:id="32" w:name="_Toc211438723"/>
      <w:bookmarkStart w:id="33" w:name="_Hlk209250150"/>
      <w:r w:rsidRPr="00D8391E">
        <w:t>RESULTADOS E DISCUSSÃO</w:t>
      </w:r>
      <w:bookmarkEnd w:id="31"/>
      <w:bookmarkEnd w:id="32"/>
    </w:p>
    <w:p w14:paraId="432B5D17" w14:textId="629DDF00" w:rsidR="00A95FE0" w:rsidRPr="00EE31F9" w:rsidRDefault="00A95FE0" w:rsidP="00490D1B">
      <w:pPr>
        <w:pStyle w:val="ABNT"/>
        <w:jc w:val="both"/>
      </w:pPr>
      <w:r w:rsidRPr="00FF5185">
        <w:t>Esta seção apresenta os resultados obtidos por meio da pesquisa bibliográfica, documental e dos cálculos comparativos entre o sistema tributário atual e o modelo proposto pela Reforma Tributária. Os dados são discutidos à luz da legislação vigente, de estudos correlatos e das perspectivas de aplicação da Inteligência Artificial (IA) na administração fiscal</w:t>
      </w:r>
      <w:r w:rsidR="00CC4E66">
        <w:t xml:space="preserve"> brasileira. Comparativo </w:t>
      </w:r>
      <w:r w:rsidR="00B2350C" w:rsidRPr="00FF5185">
        <w:t>entre o sistema tributário atual e o proposto pela Reforma Tributária</w:t>
      </w:r>
      <w:r w:rsidRPr="00EE31F9">
        <w:t xml:space="preserve"> </w:t>
      </w:r>
    </w:p>
    <w:p w14:paraId="0C904304" w14:textId="15679E2A" w:rsidR="00A95FE0" w:rsidRPr="00FF5185" w:rsidRDefault="00A95FE0" w:rsidP="00962515">
      <w:pPr>
        <w:pStyle w:val="ABNT"/>
        <w:rPr>
          <w:b/>
          <w:bCs/>
        </w:rPr>
      </w:pPr>
      <w:r w:rsidRPr="00FF5185">
        <w:rPr>
          <w:b/>
          <w:bCs/>
        </w:rPr>
        <w:t>Panorama da Reforma Tributária</w:t>
      </w:r>
    </w:p>
    <w:p w14:paraId="2D2D9A63" w14:textId="46C6EC69" w:rsidR="00A95FE0" w:rsidRPr="00EE31F9" w:rsidRDefault="00A95FE0" w:rsidP="00490D1B">
      <w:pPr>
        <w:pStyle w:val="ABNT"/>
      </w:pPr>
      <w:r w:rsidRPr="00EE31F9">
        <w:t xml:space="preserve">A análise dos documentos oficiais </w:t>
      </w:r>
      <w:proofErr w:type="gramStart"/>
      <w:r w:rsidRPr="00EE31F9">
        <w:t>evidencia</w:t>
      </w:r>
      <w:proofErr w:type="gramEnd"/>
      <w:r w:rsidRPr="00EE31F9">
        <w:t xml:space="preserve"> que a Emenda Constitucional nº 132/2023, regulamentada e pela Lei Complementar nº 214/2025, propõe a unificação de tributos sobre o consumo por meio da criação da Contribuição sobre Bens e Serviços (CBS), de competência federal, e do Imposto sobre Bens e Serviços (IBS), de competência estadual e </w:t>
      </w:r>
      <w:r w:rsidRPr="00EE31F9">
        <w:lastRenderedPageBreak/>
        <w:t>municipal, além do Imposto Seletivo (IS) para produtos específicos. O novo modelo busca simplificar a estrutura tributária, aumentar a transparência, reduzir a cumulatividade e alinhar a arrecadação brasileira aos padrões internacionais de Imposto sobre Valor Agregado (IVA), adotados em países da União Europeia, no Canadá e no México.</w:t>
      </w:r>
      <w:r w:rsidRPr="00EE31F9">
        <w:br/>
        <w:t xml:space="preserve">Essas mudanças estruturais visam combater distorções históricas, como a sobreposição de tributos, a guerra fiscal entre entes federativos e a elevada litigiosidade. Estudos de Crepaldi &amp; Crepaldi (2019) e Lustosa Filho (2024) indicam que a transição para um sistema de IVA tende a reduzir custos de conformidade e aumentar a previsibilidade tributária, embora demande forte </w:t>
      </w:r>
      <w:r w:rsidRPr="00962515">
        <w:t>coordenação federativa.</w:t>
      </w:r>
    </w:p>
    <w:tbl>
      <w:tblPr>
        <w:tblStyle w:val="Tabelacomgrade"/>
        <w:tblW w:w="0" w:type="auto"/>
        <w:tblLook w:val="04A0" w:firstRow="1" w:lastRow="0" w:firstColumn="1" w:lastColumn="0" w:noHBand="0" w:noVBand="1"/>
      </w:tblPr>
      <w:tblGrid>
        <w:gridCol w:w="2160"/>
        <w:gridCol w:w="2249"/>
        <w:gridCol w:w="2160"/>
        <w:gridCol w:w="2160"/>
      </w:tblGrid>
      <w:tr w:rsidR="00AD4DBE" w:rsidRPr="00FF5185" w14:paraId="2BEB454D" w14:textId="77777777" w:rsidTr="00BE2156">
        <w:tc>
          <w:tcPr>
            <w:tcW w:w="2160" w:type="dxa"/>
          </w:tcPr>
          <w:p w14:paraId="49889511" w14:textId="77777777" w:rsidR="00A95FE0" w:rsidRPr="00FF5185" w:rsidRDefault="00A95FE0" w:rsidP="0011707C">
            <w:pPr>
              <w:rPr>
                <w:rFonts w:ascii="Times New Roman" w:hAnsi="Times New Roman" w:cs="Times New Roman"/>
                <w:sz w:val="24"/>
                <w:szCs w:val="24"/>
              </w:rPr>
            </w:pPr>
            <w:proofErr w:type="spellStart"/>
            <w:r w:rsidRPr="00FF5185">
              <w:rPr>
                <w:rFonts w:ascii="Times New Roman" w:hAnsi="Times New Roman" w:cs="Times New Roman"/>
                <w:sz w:val="24"/>
                <w:szCs w:val="24"/>
              </w:rPr>
              <w:t>Situação</w:t>
            </w:r>
            <w:proofErr w:type="spellEnd"/>
          </w:p>
        </w:tc>
        <w:tc>
          <w:tcPr>
            <w:tcW w:w="2249" w:type="dxa"/>
          </w:tcPr>
          <w:p w14:paraId="17CB837F" w14:textId="77777777" w:rsidR="00A95FE0" w:rsidRPr="00FF5185" w:rsidRDefault="00A95FE0" w:rsidP="0011707C">
            <w:pPr>
              <w:rPr>
                <w:rFonts w:ascii="Times New Roman" w:hAnsi="Times New Roman" w:cs="Times New Roman"/>
                <w:sz w:val="24"/>
                <w:szCs w:val="24"/>
              </w:rPr>
            </w:pPr>
            <w:r w:rsidRPr="00FF5185">
              <w:rPr>
                <w:rFonts w:ascii="Times New Roman" w:hAnsi="Times New Roman" w:cs="Times New Roman"/>
                <w:sz w:val="24"/>
                <w:szCs w:val="24"/>
              </w:rPr>
              <w:t xml:space="preserve">Como </w:t>
            </w:r>
            <w:proofErr w:type="spellStart"/>
            <w:r w:rsidRPr="00FF5185">
              <w:rPr>
                <w:rFonts w:ascii="Times New Roman" w:hAnsi="Times New Roman" w:cs="Times New Roman"/>
                <w:sz w:val="24"/>
                <w:szCs w:val="24"/>
              </w:rPr>
              <w:t>funciona</w:t>
            </w:r>
            <w:proofErr w:type="spellEnd"/>
            <w:r w:rsidRPr="00FF5185">
              <w:rPr>
                <w:rFonts w:ascii="Times New Roman" w:hAnsi="Times New Roman" w:cs="Times New Roman"/>
                <w:sz w:val="24"/>
                <w:szCs w:val="24"/>
              </w:rPr>
              <w:t>?</w:t>
            </w:r>
          </w:p>
        </w:tc>
        <w:tc>
          <w:tcPr>
            <w:tcW w:w="2160" w:type="dxa"/>
          </w:tcPr>
          <w:p w14:paraId="75805C33" w14:textId="77777777" w:rsidR="00A95FE0" w:rsidRPr="00FF5185" w:rsidRDefault="00A95FE0" w:rsidP="0011707C">
            <w:pPr>
              <w:rPr>
                <w:rFonts w:ascii="Times New Roman" w:hAnsi="Times New Roman" w:cs="Times New Roman"/>
                <w:sz w:val="24"/>
                <w:szCs w:val="24"/>
              </w:rPr>
            </w:pPr>
            <w:r w:rsidRPr="00FF5185">
              <w:rPr>
                <w:rFonts w:ascii="Times New Roman" w:hAnsi="Times New Roman" w:cs="Times New Roman"/>
                <w:sz w:val="24"/>
                <w:szCs w:val="24"/>
              </w:rPr>
              <w:t xml:space="preserve">Pontos </w:t>
            </w:r>
            <w:proofErr w:type="spellStart"/>
            <w:r w:rsidRPr="00FF5185">
              <w:rPr>
                <w:rFonts w:ascii="Times New Roman" w:hAnsi="Times New Roman" w:cs="Times New Roman"/>
                <w:sz w:val="24"/>
                <w:szCs w:val="24"/>
              </w:rPr>
              <w:t>Positivos</w:t>
            </w:r>
            <w:proofErr w:type="spellEnd"/>
          </w:p>
        </w:tc>
        <w:tc>
          <w:tcPr>
            <w:tcW w:w="2160" w:type="dxa"/>
          </w:tcPr>
          <w:p w14:paraId="585E1227" w14:textId="77777777" w:rsidR="00A95FE0" w:rsidRPr="00FF5185" w:rsidRDefault="00A95FE0" w:rsidP="0011707C">
            <w:pPr>
              <w:rPr>
                <w:rFonts w:ascii="Times New Roman" w:hAnsi="Times New Roman" w:cs="Times New Roman"/>
                <w:sz w:val="24"/>
                <w:szCs w:val="24"/>
              </w:rPr>
            </w:pPr>
            <w:r w:rsidRPr="00FF5185">
              <w:rPr>
                <w:rFonts w:ascii="Times New Roman" w:hAnsi="Times New Roman" w:cs="Times New Roman"/>
                <w:sz w:val="24"/>
                <w:szCs w:val="24"/>
              </w:rPr>
              <w:t>Pontos Negativos</w:t>
            </w:r>
          </w:p>
        </w:tc>
      </w:tr>
      <w:tr w:rsidR="00AD4DBE" w:rsidRPr="00FF5185" w14:paraId="115ECD26" w14:textId="77777777" w:rsidTr="00BE2156">
        <w:tc>
          <w:tcPr>
            <w:tcW w:w="2160" w:type="dxa"/>
          </w:tcPr>
          <w:p w14:paraId="7BCE5A5C" w14:textId="77777777" w:rsidR="00A95FE0" w:rsidRPr="00FF5185" w:rsidRDefault="00A95FE0" w:rsidP="0011707C">
            <w:pPr>
              <w:rPr>
                <w:rFonts w:ascii="Times New Roman" w:hAnsi="Times New Roman" w:cs="Times New Roman"/>
                <w:sz w:val="24"/>
                <w:szCs w:val="24"/>
              </w:rPr>
            </w:pPr>
            <w:r w:rsidRPr="00FF5185">
              <w:rPr>
                <w:rFonts w:ascii="Times New Roman" w:hAnsi="Times New Roman" w:cs="Times New Roman"/>
                <w:sz w:val="24"/>
                <w:szCs w:val="24"/>
              </w:rPr>
              <w:t>Sistema Tributário Atual</w:t>
            </w:r>
          </w:p>
        </w:tc>
        <w:tc>
          <w:tcPr>
            <w:tcW w:w="2249" w:type="dxa"/>
          </w:tcPr>
          <w:p w14:paraId="366D6EE3" w14:textId="77777777" w:rsidR="00A95FE0" w:rsidRPr="00FF5185" w:rsidRDefault="00A95FE0" w:rsidP="0011707C">
            <w:pPr>
              <w:rPr>
                <w:rFonts w:ascii="Times New Roman" w:hAnsi="Times New Roman" w:cs="Times New Roman"/>
                <w:sz w:val="24"/>
                <w:szCs w:val="24"/>
              </w:rPr>
            </w:pPr>
            <w:r w:rsidRPr="00FF5185">
              <w:rPr>
                <w:rFonts w:ascii="Times New Roman" w:hAnsi="Times New Roman" w:cs="Times New Roman"/>
                <w:sz w:val="24"/>
                <w:szCs w:val="24"/>
                <w:lang w:val="pt-BR"/>
              </w:rPr>
              <w:t xml:space="preserve">Múltiplos tributos sobre consumo (ICMS, ISS, PIS, </w:t>
            </w:r>
            <w:proofErr w:type="spellStart"/>
            <w:r w:rsidRPr="00FF5185">
              <w:rPr>
                <w:rFonts w:ascii="Times New Roman" w:hAnsi="Times New Roman" w:cs="Times New Roman"/>
                <w:sz w:val="24"/>
                <w:szCs w:val="24"/>
                <w:lang w:val="pt-BR"/>
              </w:rPr>
              <w:t>Cofins</w:t>
            </w:r>
            <w:proofErr w:type="spellEnd"/>
            <w:r w:rsidRPr="00FF5185">
              <w:rPr>
                <w:rFonts w:ascii="Times New Roman" w:hAnsi="Times New Roman" w:cs="Times New Roman"/>
                <w:sz w:val="24"/>
                <w:szCs w:val="24"/>
                <w:lang w:val="pt-BR"/>
              </w:rPr>
              <w:t xml:space="preserve">, IPI) com regras diferentes entre União, estados e municípios. </w:t>
            </w:r>
            <w:proofErr w:type="spellStart"/>
            <w:r w:rsidRPr="00FF5185">
              <w:rPr>
                <w:rFonts w:ascii="Times New Roman" w:hAnsi="Times New Roman" w:cs="Times New Roman"/>
                <w:sz w:val="24"/>
                <w:szCs w:val="24"/>
              </w:rPr>
              <w:t>Complexidade</w:t>
            </w:r>
            <w:proofErr w:type="spellEnd"/>
            <w:r w:rsidRPr="00FF5185">
              <w:rPr>
                <w:rFonts w:ascii="Times New Roman" w:hAnsi="Times New Roman" w:cs="Times New Roman"/>
                <w:sz w:val="24"/>
                <w:szCs w:val="24"/>
              </w:rPr>
              <w:t xml:space="preserve"> </w:t>
            </w:r>
            <w:proofErr w:type="spellStart"/>
            <w:r w:rsidRPr="00FF5185">
              <w:rPr>
                <w:rFonts w:ascii="Times New Roman" w:hAnsi="Times New Roman" w:cs="Times New Roman"/>
                <w:sz w:val="24"/>
                <w:szCs w:val="24"/>
              </w:rPr>
              <w:t>alta</w:t>
            </w:r>
            <w:proofErr w:type="spellEnd"/>
            <w:r w:rsidRPr="00FF5185">
              <w:rPr>
                <w:rFonts w:ascii="Times New Roman" w:hAnsi="Times New Roman" w:cs="Times New Roman"/>
                <w:sz w:val="24"/>
                <w:szCs w:val="24"/>
              </w:rPr>
              <w:t xml:space="preserve"> e </w:t>
            </w:r>
            <w:proofErr w:type="spellStart"/>
            <w:r w:rsidRPr="00FF5185">
              <w:rPr>
                <w:rFonts w:ascii="Times New Roman" w:hAnsi="Times New Roman" w:cs="Times New Roman"/>
                <w:sz w:val="24"/>
                <w:szCs w:val="24"/>
              </w:rPr>
              <w:t>muitas</w:t>
            </w:r>
            <w:proofErr w:type="spellEnd"/>
            <w:r w:rsidRPr="00FF5185">
              <w:rPr>
                <w:rFonts w:ascii="Times New Roman" w:hAnsi="Times New Roman" w:cs="Times New Roman"/>
                <w:sz w:val="24"/>
                <w:szCs w:val="24"/>
              </w:rPr>
              <w:t xml:space="preserve"> </w:t>
            </w:r>
            <w:proofErr w:type="spellStart"/>
            <w:r w:rsidRPr="00FF5185">
              <w:rPr>
                <w:rFonts w:ascii="Times New Roman" w:hAnsi="Times New Roman" w:cs="Times New Roman"/>
                <w:sz w:val="24"/>
                <w:szCs w:val="24"/>
              </w:rPr>
              <w:t>disputas</w:t>
            </w:r>
            <w:proofErr w:type="spellEnd"/>
            <w:r w:rsidRPr="00FF5185">
              <w:rPr>
                <w:rFonts w:ascii="Times New Roman" w:hAnsi="Times New Roman" w:cs="Times New Roman"/>
                <w:sz w:val="24"/>
                <w:szCs w:val="24"/>
              </w:rPr>
              <w:t xml:space="preserve"> </w:t>
            </w:r>
            <w:proofErr w:type="spellStart"/>
            <w:r w:rsidRPr="00FF5185">
              <w:rPr>
                <w:rFonts w:ascii="Times New Roman" w:hAnsi="Times New Roman" w:cs="Times New Roman"/>
                <w:sz w:val="24"/>
                <w:szCs w:val="24"/>
              </w:rPr>
              <w:t>judiciais</w:t>
            </w:r>
            <w:proofErr w:type="spellEnd"/>
            <w:r w:rsidRPr="00FF5185">
              <w:rPr>
                <w:rFonts w:ascii="Times New Roman" w:hAnsi="Times New Roman" w:cs="Times New Roman"/>
                <w:sz w:val="24"/>
                <w:szCs w:val="24"/>
              </w:rPr>
              <w:t>.</w:t>
            </w:r>
          </w:p>
        </w:tc>
        <w:tc>
          <w:tcPr>
            <w:tcW w:w="2160" w:type="dxa"/>
          </w:tcPr>
          <w:p w14:paraId="1F43D0DC" w14:textId="77777777" w:rsidR="00A95FE0" w:rsidRPr="00FF5185" w:rsidRDefault="00A95FE0" w:rsidP="0011707C">
            <w:pPr>
              <w:rPr>
                <w:rFonts w:ascii="Times New Roman" w:hAnsi="Times New Roman" w:cs="Times New Roman"/>
                <w:sz w:val="24"/>
                <w:szCs w:val="24"/>
                <w:lang w:val="pt-BR"/>
              </w:rPr>
            </w:pPr>
            <w:r w:rsidRPr="00FF5185">
              <w:rPr>
                <w:rFonts w:ascii="Times New Roman" w:hAnsi="Times New Roman" w:cs="Times New Roman"/>
                <w:sz w:val="24"/>
                <w:szCs w:val="24"/>
                <w:lang w:val="pt-BR"/>
              </w:rPr>
              <w:t>Garante autonomia de estados e municípios e já possui estrutura consolidada.</w:t>
            </w:r>
          </w:p>
        </w:tc>
        <w:tc>
          <w:tcPr>
            <w:tcW w:w="2160" w:type="dxa"/>
          </w:tcPr>
          <w:p w14:paraId="07B04BF6" w14:textId="77777777" w:rsidR="00A95FE0" w:rsidRPr="00FF5185" w:rsidRDefault="00A95FE0" w:rsidP="0011707C">
            <w:pPr>
              <w:rPr>
                <w:rFonts w:ascii="Times New Roman" w:hAnsi="Times New Roman" w:cs="Times New Roman"/>
                <w:sz w:val="24"/>
                <w:szCs w:val="24"/>
                <w:lang w:val="pt-BR"/>
              </w:rPr>
            </w:pPr>
            <w:r w:rsidRPr="00FF5185">
              <w:rPr>
                <w:rFonts w:ascii="Times New Roman" w:hAnsi="Times New Roman" w:cs="Times New Roman"/>
                <w:sz w:val="24"/>
                <w:szCs w:val="24"/>
                <w:lang w:val="pt-BR"/>
              </w:rPr>
              <w:t>Sistema complexo, cumulativo, caro para as empresas e com alta litigiosidade.</w:t>
            </w:r>
          </w:p>
        </w:tc>
      </w:tr>
      <w:tr w:rsidR="00AD4DBE" w:rsidRPr="00FF5185" w14:paraId="6F7A013B" w14:textId="77777777" w:rsidTr="00BE2156">
        <w:tc>
          <w:tcPr>
            <w:tcW w:w="2160" w:type="dxa"/>
          </w:tcPr>
          <w:p w14:paraId="7CF0E7CB" w14:textId="77777777" w:rsidR="00A95FE0" w:rsidRPr="00FF5185" w:rsidRDefault="00A95FE0" w:rsidP="0011707C">
            <w:pPr>
              <w:rPr>
                <w:rFonts w:ascii="Times New Roman" w:hAnsi="Times New Roman" w:cs="Times New Roman"/>
                <w:sz w:val="24"/>
                <w:szCs w:val="24"/>
              </w:rPr>
            </w:pPr>
            <w:r w:rsidRPr="00FF5185">
              <w:rPr>
                <w:rFonts w:ascii="Times New Roman" w:hAnsi="Times New Roman" w:cs="Times New Roman"/>
                <w:sz w:val="24"/>
                <w:szCs w:val="24"/>
              </w:rPr>
              <w:t xml:space="preserve">Com a Reforma </w:t>
            </w:r>
            <w:proofErr w:type="spellStart"/>
            <w:r w:rsidRPr="00FF5185">
              <w:rPr>
                <w:rFonts w:ascii="Times New Roman" w:hAnsi="Times New Roman" w:cs="Times New Roman"/>
                <w:sz w:val="24"/>
                <w:szCs w:val="24"/>
              </w:rPr>
              <w:t>Tributária</w:t>
            </w:r>
            <w:proofErr w:type="spellEnd"/>
          </w:p>
        </w:tc>
        <w:tc>
          <w:tcPr>
            <w:tcW w:w="2249" w:type="dxa"/>
          </w:tcPr>
          <w:p w14:paraId="40F95167" w14:textId="77777777" w:rsidR="00A95FE0" w:rsidRPr="00FF5185" w:rsidRDefault="00A95FE0" w:rsidP="0011707C">
            <w:pPr>
              <w:rPr>
                <w:rFonts w:ascii="Times New Roman" w:hAnsi="Times New Roman" w:cs="Times New Roman"/>
                <w:sz w:val="24"/>
                <w:szCs w:val="24"/>
              </w:rPr>
            </w:pPr>
            <w:r w:rsidRPr="00FF5185">
              <w:rPr>
                <w:rFonts w:ascii="Times New Roman" w:hAnsi="Times New Roman" w:cs="Times New Roman"/>
                <w:sz w:val="24"/>
                <w:szCs w:val="24"/>
                <w:lang w:val="pt-BR"/>
              </w:rPr>
              <w:t xml:space="preserve">Unificação de tributos em um IVA dual: CBS (federal) e IBS (estadual/municipal), além de um Imposto Seletivo para produtos específicos. </w:t>
            </w:r>
            <w:proofErr w:type="spellStart"/>
            <w:r w:rsidRPr="00FF5185">
              <w:rPr>
                <w:rFonts w:ascii="Times New Roman" w:hAnsi="Times New Roman" w:cs="Times New Roman"/>
                <w:sz w:val="24"/>
                <w:szCs w:val="24"/>
              </w:rPr>
              <w:t>Transição</w:t>
            </w:r>
            <w:proofErr w:type="spellEnd"/>
            <w:r w:rsidRPr="00FF5185">
              <w:rPr>
                <w:rFonts w:ascii="Times New Roman" w:hAnsi="Times New Roman" w:cs="Times New Roman"/>
                <w:sz w:val="24"/>
                <w:szCs w:val="24"/>
              </w:rPr>
              <w:t xml:space="preserve"> de 2026 a 2033.</w:t>
            </w:r>
          </w:p>
        </w:tc>
        <w:tc>
          <w:tcPr>
            <w:tcW w:w="2160" w:type="dxa"/>
          </w:tcPr>
          <w:p w14:paraId="37B4C398" w14:textId="77777777" w:rsidR="00A95FE0" w:rsidRPr="00FF5185" w:rsidRDefault="00A95FE0" w:rsidP="0011707C">
            <w:pPr>
              <w:rPr>
                <w:rFonts w:ascii="Times New Roman" w:hAnsi="Times New Roman" w:cs="Times New Roman"/>
                <w:sz w:val="24"/>
                <w:szCs w:val="24"/>
                <w:lang w:val="pt-BR"/>
              </w:rPr>
            </w:pPr>
            <w:r w:rsidRPr="00FF5185">
              <w:rPr>
                <w:rFonts w:ascii="Times New Roman" w:hAnsi="Times New Roman" w:cs="Times New Roman"/>
                <w:sz w:val="24"/>
                <w:szCs w:val="24"/>
                <w:lang w:val="pt-BR"/>
              </w:rPr>
              <w:t>Simplificação do sistema, maior transparência, redução de custos de conformidade e possibilidade de crescimento econômico.</w:t>
            </w:r>
          </w:p>
        </w:tc>
        <w:tc>
          <w:tcPr>
            <w:tcW w:w="2160" w:type="dxa"/>
          </w:tcPr>
          <w:p w14:paraId="2CC07CA1" w14:textId="78017122" w:rsidR="00A95FE0" w:rsidRPr="00FF5185" w:rsidRDefault="00A95FE0" w:rsidP="0011707C">
            <w:pPr>
              <w:rPr>
                <w:rFonts w:ascii="Times New Roman" w:hAnsi="Times New Roman" w:cs="Times New Roman"/>
                <w:sz w:val="24"/>
                <w:szCs w:val="24"/>
                <w:lang w:val="pt-BR"/>
              </w:rPr>
            </w:pPr>
            <w:r w:rsidRPr="00FF5185">
              <w:rPr>
                <w:rFonts w:ascii="Times New Roman" w:hAnsi="Times New Roman" w:cs="Times New Roman"/>
                <w:sz w:val="24"/>
                <w:szCs w:val="24"/>
                <w:lang w:val="pt-BR"/>
              </w:rPr>
              <w:t xml:space="preserve">Transição longa, risco de disputas na partilha de receitas, possível aumento de carga para alguns setores (como </w:t>
            </w:r>
            <w:r w:rsidR="00CC4E66">
              <w:rPr>
                <w:rFonts w:ascii="Times New Roman" w:hAnsi="Times New Roman" w:cs="Times New Roman"/>
                <w:sz w:val="24"/>
                <w:szCs w:val="24"/>
                <w:lang w:val="pt-BR"/>
              </w:rPr>
              <w:t>serviço</w:t>
            </w:r>
            <w:r w:rsidRPr="00FF5185">
              <w:rPr>
                <w:rFonts w:ascii="Times New Roman" w:hAnsi="Times New Roman" w:cs="Times New Roman"/>
                <w:sz w:val="24"/>
                <w:szCs w:val="24"/>
                <w:lang w:val="pt-BR"/>
              </w:rPr>
              <w:t>.</w:t>
            </w:r>
            <w:r w:rsidR="00CC4E66">
              <w:rPr>
                <w:rFonts w:ascii="Times New Roman" w:hAnsi="Times New Roman" w:cs="Times New Roman"/>
                <w:sz w:val="24"/>
                <w:szCs w:val="24"/>
                <w:lang w:val="pt-BR"/>
              </w:rPr>
              <w:t>)</w:t>
            </w:r>
          </w:p>
        </w:tc>
      </w:tr>
    </w:tbl>
    <w:bookmarkEnd w:id="33"/>
    <w:p w14:paraId="4D5D8C20" w14:textId="77777777" w:rsidR="00BE2156" w:rsidRDefault="00BE2156" w:rsidP="00BE2156">
      <w:pPr>
        <w:ind w:firstLine="709"/>
        <w:rPr>
          <w:rFonts w:ascii="Times New Roman" w:hAnsi="Times New Roman" w:cs="Times New Roman"/>
          <w:b/>
          <w:bCs/>
        </w:rPr>
      </w:pPr>
      <w:r w:rsidRPr="004B71DD">
        <w:rPr>
          <w:rFonts w:ascii="Times New Roman" w:hAnsi="Times New Roman" w:cs="Times New Roman"/>
          <w:b/>
          <w:bCs/>
        </w:rPr>
        <w:t xml:space="preserve">Fonte: </w:t>
      </w:r>
      <w:r w:rsidRPr="00CC4E66">
        <w:rPr>
          <w:rFonts w:ascii="Times New Roman" w:hAnsi="Times New Roman" w:cs="Times New Roman"/>
          <w:b/>
          <w:bCs/>
        </w:rPr>
        <w:t>Elaborado pelo autor.</w:t>
      </w:r>
    </w:p>
    <w:p w14:paraId="4EE6860A" w14:textId="5D9EB90A" w:rsidR="00A95FE0" w:rsidRPr="00FF5185" w:rsidRDefault="00A95FE0" w:rsidP="004B71DD">
      <w:pPr>
        <w:rPr>
          <w:rFonts w:ascii="Times New Roman" w:hAnsi="Times New Roman" w:cs="Times New Roman"/>
          <w:b/>
          <w:bCs/>
        </w:rPr>
      </w:pPr>
    </w:p>
    <w:p w14:paraId="29D2E3F8" w14:textId="53C8AD66" w:rsidR="00A95FE0" w:rsidRDefault="00A95FE0" w:rsidP="00CC4E66">
      <w:pPr>
        <w:ind w:firstLine="709"/>
        <w:rPr>
          <w:rFonts w:ascii="Times New Roman" w:hAnsi="Times New Roman" w:cs="Times New Roman"/>
          <w:b/>
          <w:bCs/>
        </w:rPr>
      </w:pPr>
    </w:p>
    <w:p w14:paraId="0D7D687A" w14:textId="77777777" w:rsidR="002C3496" w:rsidRDefault="002C3496" w:rsidP="00CC4E66">
      <w:pPr>
        <w:ind w:firstLine="709"/>
        <w:rPr>
          <w:rFonts w:ascii="Times New Roman" w:hAnsi="Times New Roman" w:cs="Times New Roman"/>
          <w:b/>
          <w:bCs/>
        </w:rPr>
      </w:pPr>
    </w:p>
    <w:p w14:paraId="1F1DD9FA" w14:textId="77777777" w:rsidR="002C3496" w:rsidRDefault="002C3496" w:rsidP="00CC4E66">
      <w:pPr>
        <w:ind w:firstLine="709"/>
        <w:rPr>
          <w:rFonts w:ascii="Times New Roman" w:hAnsi="Times New Roman" w:cs="Times New Roman"/>
          <w:b/>
          <w:bCs/>
        </w:rPr>
      </w:pPr>
    </w:p>
    <w:p w14:paraId="57401480" w14:textId="77777777" w:rsidR="002C3496" w:rsidRDefault="002C3496" w:rsidP="00CC4E66">
      <w:pPr>
        <w:ind w:firstLine="709"/>
        <w:rPr>
          <w:rFonts w:ascii="Times New Roman" w:hAnsi="Times New Roman" w:cs="Times New Roman"/>
          <w:b/>
          <w:bCs/>
        </w:rPr>
      </w:pPr>
    </w:p>
    <w:p w14:paraId="7502B1A2" w14:textId="77777777" w:rsidR="004B71DD" w:rsidRPr="004B71DD" w:rsidRDefault="004B71DD" w:rsidP="004B71DD">
      <w:pPr>
        <w:ind w:firstLine="709"/>
        <w:rPr>
          <w:rFonts w:ascii="Times New Roman" w:hAnsi="Times New Roman" w:cs="Times New Roman"/>
          <w:b/>
          <w:bCs/>
        </w:rPr>
      </w:pPr>
    </w:p>
    <w:p w14:paraId="10EE0C06" w14:textId="77777777" w:rsidR="00A95FE0" w:rsidRPr="00FF5185" w:rsidRDefault="00A95FE0" w:rsidP="00962515">
      <w:pPr>
        <w:pStyle w:val="ABNT"/>
      </w:pPr>
      <w:bookmarkStart w:id="34" w:name="_Hlk209249882"/>
      <w:r w:rsidRPr="00FF5185">
        <w:t>TABELA CRONOLÓGICA – LINHA DO TEMPO</w:t>
      </w:r>
    </w:p>
    <w:tbl>
      <w:tblPr>
        <w:tblStyle w:val="Tabelacomgrade"/>
        <w:tblW w:w="9297" w:type="dxa"/>
        <w:tblLook w:val="04A0" w:firstRow="1" w:lastRow="0" w:firstColumn="1" w:lastColumn="0" w:noHBand="0" w:noVBand="1"/>
      </w:tblPr>
      <w:tblGrid>
        <w:gridCol w:w="1822"/>
        <w:gridCol w:w="7475"/>
      </w:tblGrid>
      <w:tr w:rsidR="00AD4DBE" w:rsidRPr="00FF5185" w14:paraId="4F757B86" w14:textId="77777777" w:rsidTr="0011707C">
        <w:trPr>
          <w:trHeight w:val="378"/>
        </w:trPr>
        <w:tc>
          <w:tcPr>
            <w:tcW w:w="0" w:type="auto"/>
            <w:hideMark/>
          </w:tcPr>
          <w:p w14:paraId="17500BC3" w14:textId="77777777" w:rsidR="00A95FE0" w:rsidRPr="00FF5185" w:rsidRDefault="00A95FE0" w:rsidP="0011707C">
            <w:pPr>
              <w:spacing w:after="160" w:line="278" w:lineRule="auto"/>
              <w:ind w:left="720"/>
              <w:rPr>
                <w:rFonts w:ascii="Times New Roman" w:hAnsi="Times New Roman" w:cs="Times New Roman"/>
                <w:sz w:val="24"/>
                <w:szCs w:val="24"/>
              </w:rPr>
            </w:pPr>
            <w:proofErr w:type="spellStart"/>
            <w:r w:rsidRPr="00FF5185">
              <w:rPr>
                <w:rFonts w:ascii="Times New Roman" w:hAnsi="Times New Roman" w:cs="Times New Roman"/>
                <w:sz w:val="24"/>
                <w:szCs w:val="24"/>
              </w:rPr>
              <w:t>Período</w:t>
            </w:r>
            <w:proofErr w:type="spellEnd"/>
          </w:p>
        </w:tc>
        <w:tc>
          <w:tcPr>
            <w:tcW w:w="0" w:type="auto"/>
            <w:hideMark/>
          </w:tcPr>
          <w:p w14:paraId="74DFF98D" w14:textId="77777777" w:rsidR="00A95FE0" w:rsidRPr="00FF5185" w:rsidRDefault="00A95FE0" w:rsidP="0011707C">
            <w:pPr>
              <w:spacing w:after="160" w:line="278" w:lineRule="auto"/>
              <w:ind w:left="720"/>
              <w:rPr>
                <w:rFonts w:ascii="Times New Roman" w:hAnsi="Times New Roman" w:cs="Times New Roman"/>
                <w:sz w:val="24"/>
                <w:szCs w:val="24"/>
              </w:rPr>
            </w:pPr>
            <w:proofErr w:type="spellStart"/>
            <w:r w:rsidRPr="00FF5185">
              <w:rPr>
                <w:rFonts w:ascii="Times New Roman" w:hAnsi="Times New Roman" w:cs="Times New Roman"/>
                <w:sz w:val="24"/>
                <w:szCs w:val="24"/>
              </w:rPr>
              <w:t>Principais</w:t>
            </w:r>
            <w:proofErr w:type="spellEnd"/>
            <w:r w:rsidRPr="00FF5185">
              <w:rPr>
                <w:rFonts w:ascii="Times New Roman" w:hAnsi="Times New Roman" w:cs="Times New Roman"/>
                <w:sz w:val="24"/>
                <w:szCs w:val="24"/>
              </w:rPr>
              <w:t xml:space="preserve"> </w:t>
            </w:r>
            <w:proofErr w:type="spellStart"/>
            <w:r w:rsidRPr="00FF5185">
              <w:rPr>
                <w:rFonts w:ascii="Times New Roman" w:hAnsi="Times New Roman" w:cs="Times New Roman"/>
                <w:sz w:val="24"/>
                <w:szCs w:val="24"/>
              </w:rPr>
              <w:t>medidas</w:t>
            </w:r>
            <w:proofErr w:type="spellEnd"/>
          </w:p>
        </w:tc>
      </w:tr>
      <w:tr w:rsidR="00AD4DBE" w:rsidRPr="00FF5185" w14:paraId="38D0DAF0" w14:textId="77777777" w:rsidTr="0011707C">
        <w:trPr>
          <w:trHeight w:val="877"/>
        </w:trPr>
        <w:tc>
          <w:tcPr>
            <w:tcW w:w="0" w:type="auto"/>
            <w:hideMark/>
          </w:tcPr>
          <w:p w14:paraId="6910B3B2" w14:textId="77777777" w:rsidR="00A95FE0" w:rsidRPr="00FF5185" w:rsidRDefault="00A95FE0" w:rsidP="0011707C">
            <w:pPr>
              <w:spacing w:after="160" w:line="278" w:lineRule="auto"/>
              <w:ind w:left="720"/>
              <w:rPr>
                <w:rFonts w:ascii="Times New Roman" w:hAnsi="Times New Roman" w:cs="Times New Roman"/>
                <w:sz w:val="24"/>
                <w:szCs w:val="24"/>
              </w:rPr>
            </w:pPr>
            <w:r w:rsidRPr="00FF5185">
              <w:rPr>
                <w:rFonts w:ascii="Times New Roman" w:hAnsi="Times New Roman" w:cs="Times New Roman"/>
                <w:sz w:val="24"/>
                <w:szCs w:val="24"/>
              </w:rPr>
              <w:t>2026</w:t>
            </w:r>
          </w:p>
        </w:tc>
        <w:tc>
          <w:tcPr>
            <w:tcW w:w="0" w:type="auto"/>
            <w:hideMark/>
          </w:tcPr>
          <w:p w14:paraId="40CAA2B5" w14:textId="5ED7D7A0" w:rsidR="00A95FE0" w:rsidRPr="00FF5185" w:rsidRDefault="00A95FE0" w:rsidP="0011707C">
            <w:pPr>
              <w:spacing w:after="160" w:line="278" w:lineRule="auto"/>
              <w:ind w:left="720"/>
              <w:rPr>
                <w:rFonts w:ascii="Times New Roman" w:hAnsi="Times New Roman" w:cs="Times New Roman"/>
                <w:sz w:val="24"/>
                <w:szCs w:val="24"/>
                <w:lang w:val="pt-BR"/>
              </w:rPr>
            </w:pPr>
            <w:r w:rsidRPr="00FF5185">
              <w:rPr>
                <w:rFonts w:ascii="Times New Roman" w:hAnsi="Times New Roman" w:cs="Times New Roman"/>
                <w:sz w:val="24"/>
                <w:szCs w:val="24"/>
                <w:lang w:val="pt-BR"/>
              </w:rPr>
              <w:t xml:space="preserve">Ano teste da CBS e do IBS; arrecadação compensada com PIS/COFINS; isenção da taxa de prova para contribuintes que cumprirem obrigações </w:t>
            </w:r>
            <w:proofErr w:type="gramStart"/>
            <w:r w:rsidRPr="00FF5185">
              <w:rPr>
                <w:rFonts w:ascii="Times New Roman" w:hAnsi="Times New Roman" w:cs="Times New Roman"/>
                <w:sz w:val="24"/>
                <w:szCs w:val="24"/>
                <w:lang w:val="pt-BR"/>
              </w:rPr>
              <w:t>acessórias.</w:t>
            </w:r>
            <w:r w:rsidR="000A244F" w:rsidRPr="00FF5185">
              <w:rPr>
                <w:rFonts w:ascii="Times New Roman" w:hAnsi="Times New Roman" w:cs="Times New Roman"/>
                <w:sz w:val="24"/>
                <w:szCs w:val="24"/>
                <w:lang w:val="pt-BR"/>
              </w:rPr>
              <w:t>(</w:t>
            </w:r>
            <w:proofErr w:type="gramEnd"/>
            <w:r w:rsidR="000A244F" w:rsidRPr="00FF5185">
              <w:rPr>
                <w:rFonts w:ascii="Times New Roman" w:hAnsi="Times New Roman" w:cs="Times New Roman"/>
                <w:sz w:val="24"/>
                <w:szCs w:val="24"/>
                <w:lang w:val="pt-BR"/>
              </w:rPr>
              <w:t>CBS 0,9% E IBS 0,1%)</w:t>
            </w:r>
          </w:p>
        </w:tc>
      </w:tr>
      <w:tr w:rsidR="00AD4DBE" w:rsidRPr="00FF5185" w14:paraId="610ED170" w14:textId="77777777" w:rsidTr="0011707C">
        <w:trPr>
          <w:trHeight w:val="877"/>
        </w:trPr>
        <w:tc>
          <w:tcPr>
            <w:tcW w:w="0" w:type="auto"/>
            <w:hideMark/>
          </w:tcPr>
          <w:p w14:paraId="3F6BF338" w14:textId="77777777" w:rsidR="00A95FE0" w:rsidRPr="00FF5185" w:rsidRDefault="00A95FE0" w:rsidP="0011707C">
            <w:pPr>
              <w:spacing w:after="160" w:line="278" w:lineRule="auto"/>
              <w:ind w:left="720"/>
              <w:rPr>
                <w:rFonts w:ascii="Times New Roman" w:hAnsi="Times New Roman" w:cs="Times New Roman"/>
                <w:sz w:val="24"/>
                <w:szCs w:val="24"/>
              </w:rPr>
            </w:pPr>
            <w:r w:rsidRPr="00FF5185">
              <w:rPr>
                <w:rFonts w:ascii="Times New Roman" w:hAnsi="Times New Roman" w:cs="Times New Roman"/>
                <w:sz w:val="24"/>
                <w:szCs w:val="24"/>
              </w:rPr>
              <w:t>2027 e 2028</w:t>
            </w:r>
          </w:p>
        </w:tc>
        <w:tc>
          <w:tcPr>
            <w:tcW w:w="0" w:type="auto"/>
            <w:hideMark/>
          </w:tcPr>
          <w:p w14:paraId="2B5E7081" w14:textId="77777777" w:rsidR="00A95FE0" w:rsidRPr="00FF5185" w:rsidRDefault="00A95FE0" w:rsidP="0011707C">
            <w:pPr>
              <w:spacing w:after="160" w:line="278" w:lineRule="auto"/>
              <w:ind w:left="720"/>
              <w:rPr>
                <w:rFonts w:ascii="Times New Roman" w:hAnsi="Times New Roman" w:cs="Times New Roman"/>
                <w:sz w:val="24"/>
                <w:szCs w:val="24"/>
                <w:lang w:val="pt-BR"/>
              </w:rPr>
            </w:pPr>
            <w:r w:rsidRPr="00FF5185">
              <w:rPr>
                <w:rFonts w:ascii="Times New Roman" w:hAnsi="Times New Roman" w:cs="Times New Roman"/>
                <w:sz w:val="24"/>
                <w:szCs w:val="24"/>
                <w:lang w:val="pt-BR"/>
              </w:rPr>
              <w:t>Cobrança efetiva da CBS; extinção do PIS e da COFINS; redução a zero das alíquotas do IPI (exceto ZFM); instituição do Imposto Seletivo (IS).</w:t>
            </w:r>
          </w:p>
        </w:tc>
      </w:tr>
      <w:tr w:rsidR="00AD4DBE" w:rsidRPr="00FF5185" w14:paraId="100CC13B" w14:textId="77777777" w:rsidTr="0011707C">
        <w:trPr>
          <w:trHeight w:val="877"/>
        </w:trPr>
        <w:tc>
          <w:tcPr>
            <w:tcW w:w="0" w:type="auto"/>
            <w:hideMark/>
          </w:tcPr>
          <w:p w14:paraId="1085A7F5" w14:textId="77777777" w:rsidR="00A95FE0" w:rsidRPr="00FF5185" w:rsidRDefault="00A95FE0" w:rsidP="0011707C">
            <w:pPr>
              <w:spacing w:after="160" w:line="278" w:lineRule="auto"/>
              <w:ind w:left="720"/>
              <w:rPr>
                <w:rFonts w:ascii="Times New Roman" w:hAnsi="Times New Roman" w:cs="Times New Roman"/>
                <w:sz w:val="24"/>
                <w:szCs w:val="24"/>
              </w:rPr>
            </w:pPr>
            <w:r w:rsidRPr="00FF5185">
              <w:rPr>
                <w:rFonts w:ascii="Times New Roman" w:hAnsi="Times New Roman" w:cs="Times New Roman"/>
                <w:sz w:val="24"/>
                <w:szCs w:val="24"/>
              </w:rPr>
              <w:t>2029 a 2032</w:t>
            </w:r>
          </w:p>
        </w:tc>
        <w:tc>
          <w:tcPr>
            <w:tcW w:w="0" w:type="auto"/>
            <w:hideMark/>
          </w:tcPr>
          <w:p w14:paraId="7289158D" w14:textId="29B5644B" w:rsidR="00A95FE0" w:rsidRPr="00FF5185" w:rsidRDefault="00A95FE0" w:rsidP="0011707C">
            <w:pPr>
              <w:spacing w:after="160" w:line="278" w:lineRule="auto"/>
              <w:ind w:left="720"/>
              <w:rPr>
                <w:rFonts w:ascii="Times New Roman" w:hAnsi="Times New Roman" w:cs="Times New Roman"/>
                <w:sz w:val="24"/>
                <w:szCs w:val="24"/>
                <w:lang w:val="pt-BR"/>
              </w:rPr>
            </w:pPr>
            <w:r w:rsidRPr="00FF5185">
              <w:rPr>
                <w:rFonts w:ascii="Times New Roman" w:hAnsi="Times New Roman" w:cs="Times New Roman"/>
                <w:sz w:val="24"/>
                <w:szCs w:val="24"/>
                <w:lang w:val="pt-BR"/>
              </w:rPr>
              <w:t>Transição gradual do ICMS/ISS para o IBS, com aumento progressivo da alíquota do IBS e redução proporcional de ICMS e ISS (10% IBS em 2029 → 40% em 2032).</w:t>
            </w:r>
          </w:p>
        </w:tc>
      </w:tr>
      <w:tr w:rsidR="00AD4DBE" w:rsidRPr="00FF5185" w14:paraId="33AA9660" w14:textId="77777777" w:rsidTr="0011707C">
        <w:trPr>
          <w:trHeight w:val="378"/>
        </w:trPr>
        <w:tc>
          <w:tcPr>
            <w:tcW w:w="0" w:type="auto"/>
            <w:hideMark/>
          </w:tcPr>
          <w:p w14:paraId="545DA36A" w14:textId="77777777" w:rsidR="00A95FE0" w:rsidRPr="00FF5185" w:rsidRDefault="00A95FE0" w:rsidP="0011707C">
            <w:pPr>
              <w:spacing w:after="160" w:line="278" w:lineRule="auto"/>
              <w:ind w:left="720"/>
              <w:rPr>
                <w:rFonts w:ascii="Times New Roman" w:hAnsi="Times New Roman" w:cs="Times New Roman"/>
                <w:sz w:val="24"/>
                <w:szCs w:val="24"/>
              </w:rPr>
            </w:pPr>
            <w:r w:rsidRPr="00FF5185">
              <w:rPr>
                <w:rFonts w:ascii="Times New Roman" w:hAnsi="Times New Roman" w:cs="Times New Roman"/>
                <w:sz w:val="24"/>
                <w:szCs w:val="24"/>
              </w:rPr>
              <w:t>2033</w:t>
            </w:r>
          </w:p>
        </w:tc>
        <w:tc>
          <w:tcPr>
            <w:tcW w:w="0" w:type="auto"/>
            <w:hideMark/>
          </w:tcPr>
          <w:p w14:paraId="2752EF14" w14:textId="4AC75595" w:rsidR="00A95FE0" w:rsidRPr="00FF5185" w:rsidRDefault="00A95FE0" w:rsidP="0011707C">
            <w:pPr>
              <w:spacing w:after="160" w:line="278" w:lineRule="auto"/>
              <w:ind w:left="720"/>
              <w:rPr>
                <w:rFonts w:ascii="Times New Roman" w:hAnsi="Times New Roman" w:cs="Times New Roman"/>
                <w:sz w:val="24"/>
                <w:szCs w:val="24"/>
                <w:lang w:val="pt-BR"/>
              </w:rPr>
            </w:pPr>
            <w:r w:rsidRPr="00FF5185">
              <w:rPr>
                <w:rFonts w:ascii="Times New Roman" w:hAnsi="Times New Roman" w:cs="Times New Roman"/>
                <w:sz w:val="24"/>
                <w:szCs w:val="24"/>
                <w:lang w:val="pt-BR"/>
              </w:rPr>
              <w:t xml:space="preserve">Vigência integral do novo modelo; extinção do ICMS e do </w:t>
            </w:r>
            <w:r w:rsidR="00CC4E66">
              <w:rPr>
                <w:rFonts w:ascii="Times New Roman" w:hAnsi="Times New Roman" w:cs="Times New Roman"/>
                <w:sz w:val="24"/>
                <w:szCs w:val="24"/>
                <w:lang w:val="pt-BR"/>
              </w:rPr>
              <w:t>ISS.</w:t>
            </w:r>
          </w:p>
        </w:tc>
      </w:tr>
    </w:tbl>
    <w:p w14:paraId="66DFA25E" w14:textId="76EB1C52" w:rsidR="00B2350C" w:rsidRDefault="00B2350C" w:rsidP="00962515">
      <w:pPr>
        <w:pStyle w:val="ABNT"/>
      </w:pPr>
      <w:r w:rsidRPr="00FF5185">
        <w:t>.</w:t>
      </w:r>
    </w:p>
    <w:p w14:paraId="47721F51" w14:textId="52A2290D" w:rsidR="004B71DD" w:rsidRDefault="004B71DD" w:rsidP="00962515">
      <w:pPr>
        <w:pStyle w:val="ABNT"/>
      </w:pPr>
      <w:r w:rsidRPr="004B71DD">
        <w:rPr>
          <w:b/>
          <w:bCs/>
        </w:rPr>
        <w:t>Fonte:</w:t>
      </w:r>
      <w:r w:rsidRPr="004B71DD">
        <w:t xml:space="preserve"> BRASIL. Receita Federal. </w:t>
      </w:r>
      <w:r w:rsidRPr="004B71DD">
        <w:rPr>
          <w:i/>
          <w:iCs/>
        </w:rPr>
        <w:t>Entenda a Reforma do Consumo.</w:t>
      </w:r>
      <w:r w:rsidRPr="004B71DD">
        <w:t xml:space="preserve"> Disponível em: </w:t>
      </w:r>
      <w:hyperlink r:id="rId14" w:tgtFrame="_new" w:history="1">
        <w:r w:rsidRPr="004B71DD">
          <w:rPr>
            <w:rStyle w:val="Hyperlink"/>
          </w:rPr>
          <w:t>https://www.gov.br/receitafederal/pt-br/acesso-a-informacao/acoes-e-programas/programas-e-atividades/reforma-consumo/entenda</w:t>
        </w:r>
      </w:hyperlink>
    </w:p>
    <w:p w14:paraId="74B9404A" w14:textId="77777777" w:rsidR="004B71DD" w:rsidRPr="00FF5185" w:rsidRDefault="004B71DD" w:rsidP="00962515">
      <w:pPr>
        <w:pStyle w:val="ABNT"/>
      </w:pPr>
    </w:p>
    <w:p w14:paraId="40CB3FEC" w14:textId="4EAC9F3B" w:rsidR="00B2350C" w:rsidRDefault="00370215" w:rsidP="00962515">
      <w:pPr>
        <w:pStyle w:val="ABNT"/>
      </w:pPr>
      <w:r w:rsidRPr="00FF5185">
        <w:t xml:space="preserve">A análise demonstra que a Reforma tende a </w:t>
      </w:r>
      <w:r w:rsidRPr="00EE31F9">
        <w:t>reduzir a complexidade e os custos de conformidade</w:t>
      </w:r>
      <w:r w:rsidRPr="00FF5185">
        <w:t xml:space="preserve">, mas impõe </w:t>
      </w:r>
      <w:r w:rsidRPr="00EE31F9">
        <w:t>desafios de transição</w:t>
      </w:r>
      <w:r w:rsidRPr="00FF5185">
        <w:t xml:space="preserve"> e riscos de aumento da carga tributária em segmentos como serviços, exigindo planejamento fiscal cuidadoso.</w:t>
      </w:r>
    </w:p>
    <w:p w14:paraId="431D5D23" w14:textId="77777777" w:rsidR="00C76B01" w:rsidRPr="00FF5185" w:rsidRDefault="00C76B01" w:rsidP="00962515">
      <w:pPr>
        <w:pStyle w:val="ABNT"/>
      </w:pPr>
    </w:p>
    <w:p w14:paraId="50601913" w14:textId="505F53AE" w:rsidR="00B2350C" w:rsidRPr="00FF5185" w:rsidRDefault="00B2350C" w:rsidP="00205231">
      <w:pPr>
        <w:pStyle w:val="ABNT"/>
      </w:pPr>
      <w:proofErr w:type="gramStart"/>
      <w:r w:rsidRPr="00205231">
        <w:t xml:space="preserve">TABELA </w:t>
      </w:r>
      <w:r w:rsidR="002C3496">
        <w:t xml:space="preserve"> </w:t>
      </w:r>
      <w:r w:rsidRPr="00205231">
        <w:t>ARTIGO</w:t>
      </w:r>
      <w:proofErr w:type="gramEnd"/>
    </w:p>
    <w:p w14:paraId="11AECDAA" w14:textId="77777777" w:rsidR="00B2350C" w:rsidRPr="00FF5185" w:rsidRDefault="00B2350C" w:rsidP="00B2350C">
      <w:pPr>
        <w:rPr>
          <w:rFonts w:ascii="Times New Roman" w:hAnsi="Times New Roman" w:cs="Times New Roman"/>
        </w:rPr>
      </w:pPr>
      <w:r w:rsidRPr="00FF5185">
        <w:rPr>
          <w:rFonts w:ascii="Times New Roman" w:hAnsi="Times New Roman" w:cs="Times New Roman"/>
          <w:noProof/>
          <w:lang w:eastAsia="pt-BR"/>
        </w:rPr>
        <w:lastRenderedPageBreak/>
        <w:drawing>
          <wp:inline distT="0" distB="0" distL="0" distR="0" wp14:anchorId="644316DB" wp14:editId="24DD9E62">
            <wp:extent cx="3819517" cy="2895600"/>
            <wp:effectExtent l="0" t="0" r="0" b="0"/>
            <wp:docPr id="382772018" name="Imagem 1" descr="Gráfico&#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2772018" name="Imagem 1" descr="Gráfico&#10;&#10;O conteúdo gerado por IA pode estar incorreto."/>
                    <pic:cNvPicPr/>
                  </pic:nvPicPr>
                  <pic:blipFill>
                    <a:blip r:embed="rId15"/>
                    <a:stretch>
                      <a:fillRect/>
                    </a:stretch>
                  </pic:blipFill>
                  <pic:spPr>
                    <a:xfrm>
                      <a:off x="0" y="0"/>
                      <a:ext cx="3858249" cy="2924963"/>
                    </a:xfrm>
                    <a:prstGeom prst="rect">
                      <a:avLst/>
                    </a:prstGeom>
                  </pic:spPr>
                </pic:pic>
              </a:graphicData>
            </a:graphic>
          </wp:inline>
        </w:drawing>
      </w:r>
    </w:p>
    <w:p w14:paraId="6BAEBD64" w14:textId="77777777" w:rsidR="003205FF" w:rsidRPr="003205FF" w:rsidRDefault="003205FF" w:rsidP="003205FF">
      <w:pPr>
        <w:rPr>
          <w:rFonts w:ascii="Times New Roman" w:hAnsi="Times New Roman"/>
        </w:rPr>
      </w:pPr>
      <w:r w:rsidRPr="003205FF">
        <w:rPr>
          <w:rFonts w:ascii="Times New Roman" w:hAnsi="Times New Roman"/>
        </w:rPr>
        <w:t>Comparativo Tributário – Atividade Comercial (Lucro Real – Goiás)</w:t>
      </w:r>
    </w:p>
    <w:p w14:paraId="2A417D3E" w14:textId="77777777" w:rsidR="003205FF" w:rsidRPr="003205FF" w:rsidRDefault="003205FF" w:rsidP="003205FF">
      <w:pPr>
        <w:pStyle w:val="ABNT"/>
      </w:pPr>
    </w:p>
    <w:p w14:paraId="7AFB8A93" w14:textId="77777777" w:rsidR="003205FF" w:rsidRDefault="003205FF" w:rsidP="00490D1B">
      <w:pPr>
        <w:pStyle w:val="ABNT"/>
        <w:jc w:val="both"/>
      </w:pPr>
      <w:r w:rsidRPr="003205FF">
        <w:t xml:space="preserve">O objetivo desta análise é comparar a carga tributária incidente sobre </w:t>
      </w:r>
      <w:r w:rsidRPr="003205FF">
        <w:rPr>
          <w:b/>
          <w:bCs/>
        </w:rPr>
        <w:t>atividades comerciais em geral</w:t>
      </w:r>
      <w:r w:rsidRPr="003205FF">
        <w:t xml:space="preserve"> no município de </w:t>
      </w:r>
      <w:r w:rsidRPr="003205FF">
        <w:rPr>
          <w:b/>
          <w:bCs/>
        </w:rPr>
        <w:t>Goiânia – Goiás</w:t>
      </w:r>
      <w:r w:rsidRPr="003205FF">
        <w:t xml:space="preserve">, considerando o regime de </w:t>
      </w:r>
      <w:r w:rsidRPr="003205FF">
        <w:rPr>
          <w:b/>
          <w:bCs/>
        </w:rPr>
        <w:t>Lucro Real</w:t>
      </w:r>
      <w:r w:rsidRPr="003205FF">
        <w:t xml:space="preserve">, com base na legislação vigente em </w:t>
      </w:r>
      <w:r w:rsidRPr="003205FF">
        <w:rPr>
          <w:b/>
          <w:bCs/>
        </w:rPr>
        <w:t>2025</w:t>
      </w:r>
      <w:r w:rsidRPr="003205FF">
        <w:t xml:space="preserve">, e o cenário projetado para </w:t>
      </w:r>
      <w:r w:rsidRPr="003205FF">
        <w:rPr>
          <w:b/>
          <w:bCs/>
        </w:rPr>
        <w:t>2033</w:t>
      </w:r>
      <w:r w:rsidRPr="003205FF">
        <w:t xml:space="preserve">, após a implementação da </w:t>
      </w:r>
      <w:r w:rsidRPr="003205FF">
        <w:rPr>
          <w:b/>
          <w:bCs/>
        </w:rPr>
        <w:t>Reforma Tributária (Emenda Constitucional nº 132/2023)</w:t>
      </w:r>
      <w:r w:rsidRPr="003205FF">
        <w:t>.</w:t>
      </w:r>
      <w:r w:rsidRPr="003205FF">
        <w:br/>
        <w:t xml:space="preserve">O estudo considera operações </w:t>
      </w:r>
      <w:r w:rsidRPr="003205FF">
        <w:rPr>
          <w:b/>
          <w:bCs/>
        </w:rPr>
        <w:t>exclusivamente comerciais</w:t>
      </w:r>
      <w:r w:rsidRPr="003205FF">
        <w:t>, sem incidência de ISS, e adota valores realistas de receitas e custos para os três primeiros meses do exercício.</w:t>
      </w:r>
    </w:p>
    <w:p w14:paraId="70B187EC" w14:textId="77777777" w:rsidR="003205FF" w:rsidRDefault="003205FF" w:rsidP="003205FF">
      <w:pPr>
        <w:pStyle w:val="ABNT"/>
      </w:pPr>
    </w:p>
    <w:p w14:paraId="2B9BC7E7" w14:textId="37C77C62" w:rsidR="00B34A9C" w:rsidRPr="00B34A9C" w:rsidRDefault="00B34A9C" w:rsidP="003205FF">
      <w:pPr>
        <w:rPr>
          <w:b/>
          <w:bCs/>
        </w:rPr>
      </w:pPr>
      <w:r w:rsidRPr="00B34A9C">
        <w:rPr>
          <w:b/>
          <w:bCs/>
        </w:rPr>
        <w:t>Dados de Base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80"/>
        <w:gridCol w:w="2880"/>
        <w:gridCol w:w="2880"/>
      </w:tblGrid>
      <w:tr w:rsidR="00F5729B" w:rsidRPr="00FF5185" w14:paraId="541FD525" w14:textId="77777777" w:rsidTr="000A244F">
        <w:tc>
          <w:tcPr>
            <w:tcW w:w="2880" w:type="dxa"/>
          </w:tcPr>
          <w:p w14:paraId="2DD1A628" w14:textId="77777777" w:rsidR="00F5729B" w:rsidRPr="00FF5185" w:rsidRDefault="00F5729B" w:rsidP="000D4D14">
            <w:pPr>
              <w:rPr>
                <w:rFonts w:ascii="Times New Roman" w:hAnsi="Times New Roman" w:cs="Times New Roman"/>
              </w:rPr>
            </w:pPr>
            <w:r w:rsidRPr="00FF5185">
              <w:rPr>
                <w:rFonts w:ascii="Times New Roman" w:hAnsi="Times New Roman" w:cs="Times New Roman"/>
              </w:rPr>
              <w:t>Competência</w:t>
            </w:r>
          </w:p>
        </w:tc>
        <w:tc>
          <w:tcPr>
            <w:tcW w:w="2880" w:type="dxa"/>
          </w:tcPr>
          <w:p w14:paraId="5EE01DAD" w14:textId="77777777" w:rsidR="00F5729B" w:rsidRPr="00FF5185" w:rsidRDefault="00F5729B" w:rsidP="000D4D14">
            <w:pPr>
              <w:rPr>
                <w:rFonts w:ascii="Times New Roman" w:hAnsi="Times New Roman" w:cs="Times New Roman"/>
              </w:rPr>
            </w:pPr>
            <w:r w:rsidRPr="00FF5185">
              <w:rPr>
                <w:rFonts w:ascii="Times New Roman" w:hAnsi="Times New Roman" w:cs="Times New Roman"/>
              </w:rPr>
              <w:t>Receita (R$)</w:t>
            </w:r>
          </w:p>
        </w:tc>
        <w:tc>
          <w:tcPr>
            <w:tcW w:w="2880" w:type="dxa"/>
          </w:tcPr>
          <w:p w14:paraId="56DF6B2F" w14:textId="77777777" w:rsidR="00F5729B" w:rsidRPr="00FF5185" w:rsidRDefault="00F5729B" w:rsidP="000D4D14">
            <w:pPr>
              <w:rPr>
                <w:rFonts w:ascii="Times New Roman" w:hAnsi="Times New Roman" w:cs="Times New Roman"/>
              </w:rPr>
            </w:pPr>
            <w:r w:rsidRPr="00FF5185">
              <w:rPr>
                <w:rFonts w:ascii="Times New Roman" w:hAnsi="Times New Roman" w:cs="Times New Roman"/>
              </w:rPr>
              <w:t>Custo (R$)</w:t>
            </w:r>
          </w:p>
        </w:tc>
      </w:tr>
      <w:tr w:rsidR="00F5729B" w:rsidRPr="00FF5185" w14:paraId="6CD7E59A" w14:textId="77777777" w:rsidTr="000A244F">
        <w:tc>
          <w:tcPr>
            <w:tcW w:w="2880" w:type="dxa"/>
          </w:tcPr>
          <w:p w14:paraId="6440DBEF" w14:textId="77777777" w:rsidR="00F5729B" w:rsidRPr="00FF5185" w:rsidRDefault="00F5729B" w:rsidP="000D4D14">
            <w:pPr>
              <w:rPr>
                <w:rFonts w:ascii="Times New Roman" w:hAnsi="Times New Roman" w:cs="Times New Roman"/>
              </w:rPr>
            </w:pPr>
            <w:r w:rsidRPr="00FF5185">
              <w:rPr>
                <w:rFonts w:ascii="Times New Roman" w:hAnsi="Times New Roman" w:cs="Times New Roman"/>
              </w:rPr>
              <w:t>Janeiro</w:t>
            </w:r>
          </w:p>
        </w:tc>
        <w:tc>
          <w:tcPr>
            <w:tcW w:w="2880" w:type="dxa"/>
          </w:tcPr>
          <w:p w14:paraId="27424474" w14:textId="77777777" w:rsidR="00F5729B" w:rsidRPr="00FF5185" w:rsidRDefault="00F5729B" w:rsidP="000D4D14">
            <w:pPr>
              <w:rPr>
                <w:rFonts w:ascii="Times New Roman" w:hAnsi="Times New Roman" w:cs="Times New Roman"/>
              </w:rPr>
            </w:pPr>
            <w:r w:rsidRPr="00FF5185">
              <w:rPr>
                <w:rFonts w:ascii="Times New Roman" w:hAnsi="Times New Roman" w:cs="Times New Roman"/>
              </w:rPr>
              <w:t>1.250.000,00</w:t>
            </w:r>
          </w:p>
        </w:tc>
        <w:tc>
          <w:tcPr>
            <w:tcW w:w="2880" w:type="dxa"/>
          </w:tcPr>
          <w:p w14:paraId="3448EDCF" w14:textId="77777777" w:rsidR="00F5729B" w:rsidRPr="00FF5185" w:rsidRDefault="00F5729B" w:rsidP="000D4D14">
            <w:pPr>
              <w:rPr>
                <w:rFonts w:ascii="Times New Roman" w:hAnsi="Times New Roman" w:cs="Times New Roman"/>
              </w:rPr>
            </w:pPr>
            <w:r w:rsidRPr="00FF5185">
              <w:rPr>
                <w:rFonts w:ascii="Times New Roman" w:hAnsi="Times New Roman" w:cs="Times New Roman"/>
              </w:rPr>
              <w:t>380.000,00</w:t>
            </w:r>
          </w:p>
        </w:tc>
      </w:tr>
      <w:tr w:rsidR="00F5729B" w:rsidRPr="00FF5185" w14:paraId="7922E016" w14:textId="77777777" w:rsidTr="000A244F">
        <w:tc>
          <w:tcPr>
            <w:tcW w:w="2880" w:type="dxa"/>
          </w:tcPr>
          <w:p w14:paraId="3190491F" w14:textId="77777777" w:rsidR="00F5729B" w:rsidRPr="00FF5185" w:rsidRDefault="00F5729B" w:rsidP="000D4D14">
            <w:pPr>
              <w:rPr>
                <w:rFonts w:ascii="Times New Roman" w:hAnsi="Times New Roman" w:cs="Times New Roman"/>
              </w:rPr>
            </w:pPr>
            <w:r w:rsidRPr="00FF5185">
              <w:rPr>
                <w:rFonts w:ascii="Times New Roman" w:hAnsi="Times New Roman" w:cs="Times New Roman"/>
              </w:rPr>
              <w:t>Fevereiro</w:t>
            </w:r>
          </w:p>
        </w:tc>
        <w:tc>
          <w:tcPr>
            <w:tcW w:w="2880" w:type="dxa"/>
          </w:tcPr>
          <w:p w14:paraId="0751EDA0" w14:textId="77777777" w:rsidR="00F5729B" w:rsidRPr="00FF5185" w:rsidRDefault="00F5729B" w:rsidP="000D4D14">
            <w:pPr>
              <w:rPr>
                <w:rFonts w:ascii="Times New Roman" w:hAnsi="Times New Roman" w:cs="Times New Roman"/>
              </w:rPr>
            </w:pPr>
            <w:r w:rsidRPr="00FF5185">
              <w:rPr>
                <w:rFonts w:ascii="Times New Roman" w:hAnsi="Times New Roman" w:cs="Times New Roman"/>
              </w:rPr>
              <w:t>1.450.000,00</w:t>
            </w:r>
          </w:p>
        </w:tc>
        <w:tc>
          <w:tcPr>
            <w:tcW w:w="2880" w:type="dxa"/>
          </w:tcPr>
          <w:p w14:paraId="6D15D1EA" w14:textId="77777777" w:rsidR="00F5729B" w:rsidRPr="00FF5185" w:rsidRDefault="00F5729B" w:rsidP="000D4D14">
            <w:pPr>
              <w:rPr>
                <w:rFonts w:ascii="Times New Roman" w:hAnsi="Times New Roman" w:cs="Times New Roman"/>
              </w:rPr>
            </w:pPr>
            <w:r w:rsidRPr="00FF5185">
              <w:rPr>
                <w:rFonts w:ascii="Times New Roman" w:hAnsi="Times New Roman" w:cs="Times New Roman"/>
              </w:rPr>
              <w:t>420.000,00</w:t>
            </w:r>
          </w:p>
        </w:tc>
      </w:tr>
      <w:tr w:rsidR="00F5729B" w:rsidRPr="00FF5185" w14:paraId="14EE1A8B" w14:textId="77777777" w:rsidTr="000A244F">
        <w:tc>
          <w:tcPr>
            <w:tcW w:w="2880" w:type="dxa"/>
          </w:tcPr>
          <w:p w14:paraId="49FBA35A" w14:textId="77777777" w:rsidR="00F5729B" w:rsidRPr="00FF5185" w:rsidRDefault="00F5729B" w:rsidP="000D4D14">
            <w:pPr>
              <w:rPr>
                <w:rFonts w:ascii="Times New Roman" w:hAnsi="Times New Roman" w:cs="Times New Roman"/>
              </w:rPr>
            </w:pPr>
            <w:r w:rsidRPr="00FF5185">
              <w:rPr>
                <w:rFonts w:ascii="Times New Roman" w:hAnsi="Times New Roman" w:cs="Times New Roman"/>
              </w:rPr>
              <w:t>Março</w:t>
            </w:r>
          </w:p>
        </w:tc>
        <w:tc>
          <w:tcPr>
            <w:tcW w:w="2880" w:type="dxa"/>
          </w:tcPr>
          <w:p w14:paraId="55B69B2C" w14:textId="77777777" w:rsidR="00F5729B" w:rsidRPr="00FF5185" w:rsidRDefault="00F5729B" w:rsidP="000D4D14">
            <w:pPr>
              <w:rPr>
                <w:rFonts w:ascii="Times New Roman" w:hAnsi="Times New Roman" w:cs="Times New Roman"/>
              </w:rPr>
            </w:pPr>
            <w:r w:rsidRPr="00FF5185">
              <w:rPr>
                <w:rFonts w:ascii="Times New Roman" w:hAnsi="Times New Roman" w:cs="Times New Roman"/>
              </w:rPr>
              <w:t>1.650.000,00</w:t>
            </w:r>
          </w:p>
        </w:tc>
        <w:tc>
          <w:tcPr>
            <w:tcW w:w="2880" w:type="dxa"/>
          </w:tcPr>
          <w:p w14:paraId="596BBAE7" w14:textId="77777777" w:rsidR="00F5729B" w:rsidRPr="00FF5185" w:rsidRDefault="00F5729B" w:rsidP="000D4D14">
            <w:pPr>
              <w:rPr>
                <w:rFonts w:ascii="Times New Roman" w:hAnsi="Times New Roman" w:cs="Times New Roman"/>
              </w:rPr>
            </w:pPr>
            <w:r w:rsidRPr="00FF5185">
              <w:rPr>
                <w:rFonts w:ascii="Times New Roman" w:hAnsi="Times New Roman" w:cs="Times New Roman"/>
              </w:rPr>
              <w:t>480.000,00</w:t>
            </w:r>
          </w:p>
        </w:tc>
      </w:tr>
      <w:tr w:rsidR="00F5729B" w:rsidRPr="00FF5185" w14:paraId="1293C6BD" w14:textId="77777777" w:rsidTr="000A244F">
        <w:tc>
          <w:tcPr>
            <w:tcW w:w="2880" w:type="dxa"/>
          </w:tcPr>
          <w:p w14:paraId="0D7D0C2F" w14:textId="77777777" w:rsidR="00F5729B" w:rsidRPr="00FF5185" w:rsidRDefault="00F5729B" w:rsidP="000D4D14">
            <w:pPr>
              <w:rPr>
                <w:rFonts w:ascii="Times New Roman" w:hAnsi="Times New Roman" w:cs="Times New Roman"/>
              </w:rPr>
            </w:pPr>
            <w:r w:rsidRPr="00FF5185">
              <w:rPr>
                <w:rFonts w:ascii="Times New Roman" w:hAnsi="Times New Roman" w:cs="Times New Roman"/>
              </w:rPr>
              <w:t>Total Trimestral</w:t>
            </w:r>
          </w:p>
        </w:tc>
        <w:tc>
          <w:tcPr>
            <w:tcW w:w="2880" w:type="dxa"/>
          </w:tcPr>
          <w:p w14:paraId="114917B5" w14:textId="77777777" w:rsidR="00F5729B" w:rsidRPr="00FF5185" w:rsidRDefault="00F5729B" w:rsidP="000D4D14">
            <w:pPr>
              <w:rPr>
                <w:rFonts w:ascii="Times New Roman" w:hAnsi="Times New Roman" w:cs="Times New Roman"/>
              </w:rPr>
            </w:pPr>
            <w:r w:rsidRPr="00FF5185">
              <w:rPr>
                <w:rFonts w:ascii="Times New Roman" w:hAnsi="Times New Roman" w:cs="Times New Roman"/>
              </w:rPr>
              <w:t>4.350.000,00</w:t>
            </w:r>
          </w:p>
        </w:tc>
        <w:tc>
          <w:tcPr>
            <w:tcW w:w="2880" w:type="dxa"/>
          </w:tcPr>
          <w:p w14:paraId="3C1F29CF" w14:textId="77777777" w:rsidR="00F5729B" w:rsidRPr="00FF5185" w:rsidRDefault="00F5729B" w:rsidP="000D4D14">
            <w:pPr>
              <w:rPr>
                <w:rFonts w:ascii="Times New Roman" w:hAnsi="Times New Roman" w:cs="Times New Roman"/>
              </w:rPr>
            </w:pPr>
            <w:r w:rsidRPr="00FF5185">
              <w:rPr>
                <w:rFonts w:ascii="Times New Roman" w:hAnsi="Times New Roman" w:cs="Times New Roman"/>
              </w:rPr>
              <w:t>1.280.000,00</w:t>
            </w:r>
          </w:p>
        </w:tc>
      </w:tr>
    </w:tbl>
    <w:p w14:paraId="00F192AF" w14:textId="77777777" w:rsidR="00B34A9C" w:rsidRDefault="00B34A9C" w:rsidP="00F5729B">
      <w:pPr>
        <w:rPr>
          <w:rFonts w:ascii="Times New Roman" w:eastAsiaTheme="majorEastAsia" w:hAnsi="Times New Roman" w:cs="Times New Roman"/>
        </w:rPr>
      </w:pPr>
    </w:p>
    <w:p w14:paraId="13408CED" w14:textId="10A9BA31" w:rsidR="003205FF" w:rsidRPr="003205FF" w:rsidRDefault="00B34A9C" w:rsidP="003205FF">
      <w:pPr>
        <w:pStyle w:val="ABNT"/>
      </w:pPr>
      <w:r w:rsidRPr="00B34A9C">
        <w:rPr>
          <w:rFonts w:eastAsiaTheme="majorEastAsia"/>
          <w:b/>
          <w:bCs/>
        </w:rPr>
        <w:t xml:space="preserve">Tributação Vigente – 2025 (Lucro </w:t>
      </w:r>
      <w:proofErr w:type="gramStart"/>
      <w:r w:rsidRPr="00B34A9C">
        <w:rPr>
          <w:rFonts w:eastAsiaTheme="majorEastAsia"/>
          <w:b/>
          <w:bCs/>
        </w:rPr>
        <w:t>Real)</w:t>
      </w:r>
      <w:r w:rsidR="00F5729B" w:rsidRPr="00B34A9C">
        <w:rPr>
          <w:b/>
          <w:bCs/>
        </w:rPr>
        <w:t>Alíquotas</w:t>
      </w:r>
      <w:proofErr w:type="gramEnd"/>
      <w:r w:rsidR="00F5729B" w:rsidRPr="00B34A9C">
        <w:rPr>
          <w:b/>
          <w:bCs/>
        </w:rPr>
        <w:t xml:space="preserve"> aplicadas:</w:t>
      </w:r>
      <w:r w:rsidR="00F5729B" w:rsidRPr="00FF5185">
        <w:br/>
      </w:r>
      <w:r w:rsidR="003205FF" w:rsidRPr="003205FF">
        <w:rPr>
          <w:b/>
          <w:bCs/>
        </w:rPr>
        <w:t>PIS:</w:t>
      </w:r>
      <w:r w:rsidR="003205FF" w:rsidRPr="003205FF">
        <w:t xml:space="preserve"> 1,65% (não cumulativo – base: Receita − Custo)</w:t>
      </w:r>
    </w:p>
    <w:p w14:paraId="2E6B1C57" w14:textId="19A15FAB" w:rsidR="003205FF" w:rsidRPr="003205FF" w:rsidRDefault="003205FF" w:rsidP="003205FF">
      <w:pPr>
        <w:pStyle w:val="ABNT"/>
        <w:ind w:firstLine="0"/>
      </w:pPr>
      <w:r w:rsidRPr="003205FF">
        <w:rPr>
          <w:b/>
          <w:bCs/>
        </w:rPr>
        <w:t>COFINS:</w:t>
      </w:r>
      <w:r w:rsidRPr="003205FF">
        <w:t xml:space="preserve"> 7,6% (não cumulativo – base: Receita − Custo)</w:t>
      </w:r>
    </w:p>
    <w:p w14:paraId="5E2B10F1" w14:textId="65A1070A" w:rsidR="003205FF" w:rsidRPr="003205FF" w:rsidRDefault="003205FF" w:rsidP="003205FF">
      <w:pPr>
        <w:pStyle w:val="ABNT"/>
        <w:ind w:firstLine="0"/>
      </w:pPr>
      <w:r w:rsidRPr="003205FF">
        <w:rPr>
          <w:b/>
          <w:bCs/>
        </w:rPr>
        <w:t>IPI:</w:t>
      </w:r>
      <w:r w:rsidRPr="003205FF">
        <w:t xml:space="preserve"> 0% (atividade comercial, não industrial)</w:t>
      </w:r>
    </w:p>
    <w:p w14:paraId="3535D780" w14:textId="18899DDD" w:rsidR="003205FF" w:rsidRPr="003205FF" w:rsidRDefault="003205FF" w:rsidP="003205FF">
      <w:pPr>
        <w:pStyle w:val="ABNT"/>
        <w:ind w:firstLine="0"/>
      </w:pPr>
      <w:r w:rsidRPr="003205FF">
        <w:rPr>
          <w:b/>
          <w:bCs/>
        </w:rPr>
        <w:t>ICMS (GO):</w:t>
      </w:r>
      <w:r w:rsidRPr="003205FF">
        <w:t xml:space="preserve"> </w:t>
      </w:r>
      <w:r w:rsidRPr="003205FF">
        <w:rPr>
          <w:b/>
          <w:bCs/>
        </w:rPr>
        <w:t>19%</w:t>
      </w:r>
      <w:r w:rsidRPr="003205FF">
        <w:t xml:space="preserve"> (alíquota padrão estadual para comércio – RCTE-GO)</w:t>
      </w:r>
    </w:p>
    <w:p w14:paraId="14F2CFE4" w14:textId="6D991D31" w:rsidR="00F5729B" w:rsidRPr="00FF5185" w:rsidRDefault="00F5729B" w:rsidP="00962515">
      <w:pPr>
        <w:pStyle w:val="ABNT"/>
      </w:pPr>
    </w:p>
    <w:p w14:paraId="0B0BCC58" w14:textId="77777777" w:rsidR="003205FF" w:rsidRDefault="00F5729B" w:rsidP="003205FF">
      <w:pPr>
        <w:pStyle w:val="ABNT"/>
        <w:ind w:firstLine="0"/>
      </w:pPr>
      <w:r w:rsidRPr="00FF5185">
        <w:lastRenderedPageBreak/>
        <w:t>Fórmulas utilizadas:</w:t>
      </w:r>
    </w:p>
    <w:p w14:paraId="5469AFAD" w14:textId="03F9A6C2" w:rsidR="003205FF" w:rsidRPr="003205FF" w:rsidRDefault="00F5729B" w:rsidP="003205FF">
      <w:pPr>
        <w:pStyle w:val="ABNT"/>
      </w:pPr>
      <w:r w:rsidRPr="00FF5185">
        <w:br/>
      </w:r>
      <w:r w:rsidR="003205FF" w:rsidRPr="003205FF">
        <w:t>Base PIS/COFINS = Receita − Custo</w:t>
      </w:r>
    </w:p>
    <w:p w14:paraId="75855F4E" w14:textId="04B3E234" w:rsidR="003205FF" w:rsidRPr="003205FF" w:rsidRDefault="003205FF" w:rsidP="003205FF">
      <w:pPr>
        <w:pStyle w:val="ABNT"/>
        <w:ind w:firstLine="0"/>
      </w:pPr>
      <w:r w:rsidRPr="003205FF">
        <w:t>PIS = Base × 1,65%</w:t>
      </w:r>
    </w:p>
    <w:p w14:paraId="18A61CEA" w14:textId="4896977F" w:rsidR="003205FF" w:rsidRPr="003205FF" w:rsidRDefault="003205FF" w:rsidP="003205FF">
      <w:pPr>
        <w:pStyle w:val="ABNT"/>
        <w:ind w:firstLine="0"/>
      </w:pPr>
      <w:r w:rsidRPr="003205FF">
        <w:t>COFINS = Base × 7,6%</w:t>
      </w:r>
    </w:p>
    <w:p w14:paraId="37AFEDF0" w14:textId="543EB508" w:rsidR="003205FF" w:rsidRPr="003205FF" w:rsidRDefault="003205FF" w:rsidP="003205FF">
      <w:pPr>
        <w:pStyle w:val="ABNT"/>
        <w:ind w:firstLine="0"/>
      </w:pPr>
      <w:r w:rsidRPr="003205FF">
        <w:t>ICMS = Receita × 19%</w:t>
      </w:r>
    </w:p>
    <w:p w14:paraId="295A1C49" w14:textId="7347DB1D" w:rsidR="00F5729B" w:rsidRPr="00FF5185" w:rsidRDefault="00F5729B" w:rsidP="003205FF">
      <w:pPr>
        <w:pStyle w:val="ABNT"/>
        <w:ind w:firstLine="0"/>
      </w:pPr>
    </w:p>
    <w:p w14:paraId="10009E9E" w14:textId="3469CC36" w:rsidR="00B34A9C" w:rsidRPr="00B34A9C" w:rsidRDefault="00B34A9C" w:rsidP="00B34A9C">
      <w:pPr>
        <w:rPr>
          <w:b/>
          <w:bCs/>
        </w:rPr>
      </w:pPr>
      <w:r w:rsidRPr="00B34A9C">
        <w:rPr>
          <w:b/>
          <w:bCs/>
        </w:rPr>
        <w:t xml:space="preserve">Tabela 1 – Carga Tributária 2025 (Lucro Real – </w:t>
      </w:r>
      <w:proofErr w:type="spellStart"/>
      <w:r w:rsidR="00CC4E66">
        <w:rPr>
          <w:b/>
          <w:bCs/>
        </w:rPr>
        <w:t>Goias</w:t>
      </w:r>
      <w:proofErr w:type="spellEnd"/>
      <w:r w:rsidRPr="00B34A9C">
        <w:rPr>
          <w:b/>
          <w:bCs/>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3"/>
        <w:gridCol w:w="1153"/>
        <w:gridCol w:w="1153"/>
        <w:gridCol w:w="1153"/>
        <w:gridCol w:w="977"/>
        <w:gridCol w:w="1050"/>
        <w:gridCol w:w="977"/>
        <w:gridCol w:w="1145"/>
      </w:tblGrid>
      <w:tr w:rsidR="003205FF" w:rsidRPr="00FF5185" w14:paraId="48D1CA87" w14:textId="77777777" w:rsidTr="00CC4E66">
        <w:tc>
          <w:tcPr>
            <w:tcW w:w="1453" w:type="dxa"/>
          </w:tcPr>
          <w:p w14:paraId="7FD1EC12" w14:textId="77777777" w:rsidR="003205FF" w:rsidRPr="00FF5185" w:rsidRDefault="003205FF" w:rsidP="000D4D14">
            <w:pPr>
              <w:rPr>
                <w:rFonts w:ascii="Times New Roman" w:hAnsi="Times New Roman" w:cs="Times New Roman"/>
              </w:rPr>
            </w:pPr>
            <w:r w:rsidRPr="00FF5185">
              <w:rPr>
                <w:rFonts w:ascii="Times New Roman" w:hAnsi="Times New Roman" w:cs="Times New Roman"/>
              </w:rPr>
              <w:t>Competência</w:t>
            </w:r>
          </w:p>
        </w:tc>
        <w:tc>
          <w:tcPr>
            <w:tcW w:w="1153" w:type="dxa"/>
          </w:tcPr>
          <w:p w14:paraId="335A5B30" w14:textId="77777777" w:rsidR="003205FF" w:rsidRPr="00FF5185" w:rsidRDefault="003205FF" w:rsidP="000D4D14">
            <w:pPr>
              <w:rPr>
                <w:rFonts w:ascii="Times New Roman" w:hAnsi="Times New Roman" w:cs="Times New Roman"/>
              </w:rPr>
            </w:pPr>
            <w:r w:rsidRPr="00FF5185">
              <w:rPr>
                <w:rFonts w:ascii="Times New Roman" w:hAnsi="Times New Roman" w:cs="Times New Roman"/>
              </w:rPr>
              <w:t>Receita (R$)</w:t>
            </w:r>
          </w:p>
        </w:tc>
        <w:tc>
          <w:tcPr>
            <w:tcW w:w="1153" w:type="dxa"/>
          </w:tcPr>
          <w:p w14:paraId="2C69029A" w14:textId="77777777" w:rsidR="003205FF" w:rsidRPr="00FF5185" w:rsidRDefault="003205FF" w:rsidP="000D4D14">
            <w:pPr>
              <w:rPr>
                <w:rFonts w:ascii="Times New Roman" w:hAnsi="Times New Roman" w:cs="Times New Roman"/>
              </w:rPr>
            </w:pPr>
            <w:r w:rsidRPr="00FF5185">
              <w:rPr>
                <w:rFonts w:ascii="Times New Roman" w:hAnsi="Times New Roman" w:cs="Times New Roman"/>
              </w:rPr>
              <w:t>Custo (R$)</w:t>
            </w:r>
          </w:p>
        </w:tc>
        <w:tc>
          <w:tcPr>
            <w:tcW w:w="1153" w:type="dxa"/>
          </w:tcPr>
          <w:p w14:paraId="53959055" w14:textId="77777777" w:rsidR="003205FF" w:rsidRPr="00FF5185" w:rsidRDefault="003205FF" w:rsidP="000D4D14">
            <w:pPr>
              <w:rPr>
                <w:rFonts w:ascii="Times New Roman" w:hAnsi="Times New Roman" w:cs="Times New Roman"/>
              </w:rPr>
            </w:pPr>
            <w:r w:rsidRPr="00FF5185">
              <w:rPr>
                <w:rFonts w:ascii="Times New Roman" w:hAnsi="Times New Roman" w:cs="Times New Roman"/>
              </w:rPr>
              <w:t>Base (R$)</w:t>
            </w:r>
          </w:p>
        </w:tc>
        <w:tc>
          <w:tcPr>
            <w:tcW w:w="977" w:type="dxa"/>
          </w:tcPr>
          <w:p w14:paraId="2BCEE42C" w14:textId="77777777" w:rsidR="003205FF" w:rsidRPr="00FF5185" w:rsidRDefault="003205FF" w:rsidP="000D4D14">
            <w:pPr>
              <w:rPr>
                <w:rFonts w:ascii="Times New Roman" w:hAnsi="Times New Roman" w:cs="Times New Roman"/>
              </w:rPr>
            </w:pPr>
            <w:r w:rsidRPr="00FF5185">
              <w:rPr>
                <w:rFonts w:ascii="Times New Roman" w:hAnsi="Times New Roman" w:cs="Times New Roman"/>
              </w:rPr>
              <w:t>PIS (1,65%)</w:t>
            </w:r>
          </w:p>
        </w:tc>
        <w:tc>
          <w:tcPr>
            <w:tcW w:w="1050" w:type="dxa"/>
          </w:tcPr>
          <w:p w14:paraId="3B1436EA" w14:textId="77777777" w:rsidR="003205FF" w:rsidRPr="00FF5185" w:rsidRDefault="003205FF" w:rsidP="000D4D14">
            <w:pPr>
              <w:rPr>
                <w:rFonts w:ascii="Times New Roman" w:hAnsi="Times New Roman" w:cs="Times New Roman"/>
              </w:rPr>
            </w:pPr>
            <w:r w:rsidRPr="00FF5185">
              <w:rPr>
                <w:rFonts w:ascii="Times New Roman" w:hAnsi="Times New Roman" w:cs="Times New Roman"/>
              </w:rPr>
              <w:t>COFINS (7,6%)</w:t>
            </w:r>
          </w:p>
        </w:tc>
        <w:tc>
          <w:tcPr>
            <w:tcW w:w="977" w:type="dxa"/>
          </w:tcPr>
          <w:p w14:paraId="2EFCD64D" w14:textId="733BFFAF" w:rsidR="003205FF" w:rsidRPr="00FF5185" w:rsidRDefault="003205FF" w:rsidP="000D4D14">
            <w:pPr>
              <w:rPr>
                <w:rFonts w:ascii="Times New Roman" w:hAnsi="Times New Roman" w:cs="Times New Roman"/>
              </w:rPr>
            </w:pPr>
            <w:r w:rsidRPr="00FF5185">
              <w:rPr>
                <w:rFonts w:ascii="Times New Roman" w:hAnsi="Times New Roman" w:cs="Times New Roman"/>
              </w:rPr>
              <w:t>ICMS (1</w:t>
            </w:r>
            <w:r>
              <w:rPr>
                <w:rFonts w:ascii="Times New Roman" w:hAnsi="Times New Roman" w:cs="Times New Roman"/>
              </w:rPr>
              <w:t>9</w:t>
            </w:r>
            <w:r w:rsidRPr="00FF5185">
              <w:rPr>
                <w:rFonts w:ascii="Times New Roman" w:hAnsi="Times New Roman" w:cs="Times New Roman"/>
              </w:rPr>
              <w:t>%)</w:t>
            </w:r>
          </w:p>
        </w:tc>
        <w:tc>
          <w:tcPr>
            <w:tcW w:w="1145" w:type="dxa"/>
          </w:tcPr>
          <w:p w14:paraId="34B6185F" w14:textId="77777777" w:rsidR="003205FF" w:rsidRPr="00FF5185" w:rsidRDefault="003205FF" w:rsidP="000D4D14">
            <w:pPr>
              <w:rPr>
                <w:rFonts w:ascii="Times New Roman" w:hAnsi="Times New Roman" w:cs="Times New Roman"/>
              </w:rPr>
            </w:pPr>
            <w:r w:rsidRPr="00FF5185">
              <w:rPr>
                <w:rFonts w:ascii="Times New Roman" w:hAnsi="Times New Roman" w:cs="Times New Roman"/>
              </w:rPr>
              <w:t>Total Mensal (R$)</w:t>
            </w:r>
          </w:p>
        </w:tc>
      </w:tr>
      <w:tr w:rsidR="003205FF" w:rsidRPr="00FF5185" w14:paraId="6DC5A06F" w14:textId="77777777" w:rsidTr="00CC4E66">
        <w:tc>
          <w:tcPr>
            <w:tcW w:w="1453" w:type="dxa"/>
          </w:tcPr>
          <w:p w14:paraId="33538AF7" w14:textId="77777777" w:rsidR="003205FF" w:rsidRPr="00FF5185" w:rsidRDefault="003205FF" w:rsidP="000D4D14">
            <w:pPr>
              <w:rPr>
                <w:rFonts w:ascii="Times New Roman" w:hAnsi="Times New Roman" w:cs="Times New Roman"/>
              </w:rPr>
            </w:pPr>
            <w:r w:rsidRPr="00FF5185">
              <w:rPr>
                <w:rFonts w:ascii="Times New Roman" w:hAnsi="Times New Roman" w:cs="Times New Roman"/>
              </w:rPr>
              <w:t>Janeiro</w:t>
            </w:r>
          </w:p>
        </w:tc>
        <w:tc>
          <w:tcPr>
            <w:tcW w:w="1153" w:type="dxa"/>
          </w:tcPr>
          <w:p w14:paraId="2706EB1E" w14:textId="77777777" w:rsidR="003205FF" w:rsidRPr="00FF5185" w:rsidRDefault="003205FF" w:rsidP="000D4D14">
            <w:pPr>
              <w:rPr>
                <w:rFonts w:ascii="Times New Roman" w:hAnsi="Times New Roman" w:cs="Times New Roman"/>
              </w:rPr>
            </w:pPr>
            <w:r w:rsidRPr="00FF5185">
              <w:rPr>
                <w:rFonts w:ascii="Times New Roman" w:hAnsi="Times New Roman" w:cs="Times New Roman"/>
              </w:rPr>
              <w:t>1.250.000</w:t>
            </w:r>
          </w:p>
        </w:tc>
        <w:tc>
          <w:tcPr>
            <w:tcW w:w="1153" w:type="dxa"/>
          </w:tcPr>
          <w:p w14:paraId="4F769904" w14:textId="77777777" w:rsidR="003205FF" w:rsidRPr="00FF5185" w:rsidRDefault="003205FF" w:rsidP="000D4D14">
            <w:pPr>
              <w:rPr>
                <w:rFonts w:ascii="Times New Roman" w:hAnsi="Times New Roman" w:cs="Times New Roman"/>
              </w:rPr>
            </w:pPr>
            <w:r w:rsidRPr="00FF5185">
              <w:rPr>
                <w:rFonts w:ascii="Times New Roman" w:hAnsi="Times New Roman" w:cs="Times New Roman"/>
              </w:rPr>
              <w:t>380.000</w:t>
            </w:r>
          </w:p>
        </w:tc>
        <w:tc>
          <w:tcPr>
            <w:tcW w:w="1153" w:type="dxa"/>
          </w:tcPr>
          <w:p w14:paraId="13D9145C" w14:textId="77777777" w:rsidR="003205FF" w:rsidRPr="00FF5185" w:rsidRDefault="003205FF" w:rsidP="000D4D14">
            <w:pPr>
              <w:rPr>
                <w:rFonts w:ascii="Times New Roman" w:hAnsi="Times New Roman" w:cs="Times New Roman"/>
              </w:rPr>
            </w:pPr>
            <w:r w:rsidRPr="00FF5185">
              <w:rPr>
                <w:rFonts w:ascii="Times New Roman" w:hAnsi="Times New Roman" w:cs="Times New Roman"/>
              </w:rPr>
              <w:t>870.000</w:t>
            </w:r>
          </w:p>
        </w:tc>
        <w:tc>
          <w:tcPr>
            <w:tcW w:w="977" w:type="dxa"/>
          </w:tcPr>
          <w:p w14:paraId="09EEC21A" w14:textId="77777777" w:rsidR="003205FF" w:rsidRPr="00FF5185" w:rsidRDefault="003205FF" w:rsidP="000D4D14">
            <w:pPr>
              <w:rPr>
                <w:rFonts w:ascii="Times New Roman" w:hAnsi="Times New Roman" w:cs="Times New Roman"/>
              </w:rPr>
            </w:pPr>
            <w:r w:rsidRPr="00FF5185">
              <w:rPr>
                <w:rFonts w:ascii="Times New Roman" w:hAnsi="Times New Roman" w:cs="Times New Roman"/>
              </w:rPr>
              <w:t>14.355</w:t>
            </w:r>
          </w:p>
        </w:tc>
        <w:tc>
          <w:tcPr>
            <w:tcW w:w="1050" w:type="dxa"/>
          </w:tcPr>
          <w:p w14:paraId="27990729" w14:textId="77777777" w:rsidR="003205FF" w:rsidRPr="00FF5185" w:rsidRDefault="003205FF" w:rsidP="000D4D14">
            <w:pPr>
              <w:rPr>
                <w:rFonts w:ascii="Times New Roman" w:hAnsi="Times New Roman" w:cs="Times New Roman"/>
              </w:rPr>
            </w:pPr>
            <w:r w:rsidRPr="00FF5185">
              <w:rPr>
                <w:rFonts w:ascii="Times New Roman" w:hAnsi="Times New Roman" w:cs="Times New Roman"/>
              </w:rPr>
              <w:t>66.120</w:t>
            </w:r>
          </w:p>
        </w:tc>
        <w:tc>
          <w:tcPr>
            <w:tcW w:w="977" w:type="dxa"/>
          </w:tcPr>
          <w:p w14:paraId="08E1B357" w14:textId="50CB6AF7" w:rsidR="003205FF" w:rsidRPr="00FF5185" w:rsidRDefault="003205FF" w:rsidP="000D4D14">
            <w:pPr>
              <w:rPr>
                <w:rFonts w:ascii="Times New Roman" w:hAnsi="Times New Roman" w:cs="Times New Roman"/>
              </w:rPr>
            </w:pPr>
            <w:r w:rsidRPr="003205FF">
              <w:rPr>
                <w:rFonts w:ascii="Times New Roman" w:hAnsi="Times New Roman" w:cs="Times New Roman"/>
              </w:rPr>
              <w:t>237.500</w:t>
            </w:r>
          </w:p>
        </w:tc>
        <w:tc>
          <w:tcPr>
            <w:tcW w:w="1145" w:type="dxa"/>
          </w:tcPr>
          <w:p w14:paraId="55A9CA60" w14:textId="1130FA51" w:rsidR="003205FF" w:rsidRPr="00FF5185" w:rsidRDefault="003205FF" w:rsidP="000D4D14">
            <w:pPr>
              <w:rPr>
                <w:rFonts w:ascii="Times New Roman" w:hAnsi="Times New Roman" w:cs="Times New Roman"/>
              </w:rPr>
            </w:pPr>
            <w:r w:rsidRPr="003205FF">
              <w:rPr>
                <w:rFonts w:ascii="Times New Roman" w:hAnsi="Times New Roman" w:cs="Times New Roman"/>
              </w:rPr>
              <w:t>317.975</w:t>
            </w:r>
          </w:p>
        </w:tc>
      </w:tr>
      <w:tr w:rsidR="003205FF" w:rsidRPr="00FF5185" w14:paraId="27474E0A" w14:textId="77777777" w:rsidTr="00CC4E66">
        <w:tc>
          <w:tcPr>
            <w:tcW w:w="1453" w:type="dxa"/>
          </w:tcPr>
          <w:p w14:paraId="51A8C12D" w14:textId="77777777" w:rsidR="003205FF" w:rsidRPr="00FF5185" w:rsidRDefault="003205FF" w:rsidP="000D4D14">
            <w:pPr>
              <w:rPr>
                <w:rFonts w:ascii="Times New Roman" w:hAnsi="Times New Roman" w:cs="Times New Roman"/>
              </w:rPr>
            </w:pPr>
            <w:r w:rsidRPr="00FF5185">
              <w:rPr>
                <w:rFonts w:ascii="Times New Roman" w:hAnsi="Times New Roman" w:cs="Times New Roman"/>
              </w:rPr>
              <w:t>Fevereiro</w:t>
            </w:r>
          </w:p>
        </w:tc>
        <w:tc>
          <w:tcPr>
            <w:tcW w:w="1153" w:type="dxa"/>
          </w:tcPr>
          <w:p w14:paraId="5207C91E" w14:textId="77777777" w:rsidR="003205FF" w:rsidRPr="00FF5185" w:rsidRDefault="003205FF" w:rsidP="000D4D14">
            <w:pPr>
              <w:rPr>
                <w:rFonts w:ascii="Times New Roman" w:hAnsi="Times New Roman" w:cs="Times New Roman"/>
              </w:rPr>
            </w:pPr>
            <w:r w:rsidRPr="00FF5185">
              <w:rPr>
                <w:rFonts w:ascii="Times New Roman" w:hAnsi="Times New Roman" w:cs="Times New Roman"/>
              </w:rPr>
              <w:t>1.450.000</w:t>
            </w:r>
          </w:p>
        </w:tc>
        <w:tc>
          <w:tcPr>
            <w:tcW w:w="1153" w:type="dxa"/>
          </w:tcPr>
          <w:p w14:paraId="0FBB61B6" w14:textId="77777777" w:rsidR="003205FF" w:rsidRPr="00FF5185" w:rsidRDefault="003205FF" w:rsidP="000D4D14">
            <w:pPr>
              <w:rPr>
                <w:rFonts w:ascii="Times New Roman" w:hAnsi="Times New Roman" w:cs="Times New Roman"/>
              </w:rPr>
            </w:pPr>
            <w:r w:rsidRPr="00FF5185">
              <w:rPr>
                <w:rFonts w:ascii="Times New Roman" w:hAnsi="Times New Roman" w:cs="Times New Roman"/>
              </w:rPr>
              <w:t>420.000</w:t>
            </w:r>
          </w:p>
        </w:tc>
        <w:tc>
          <w:tcPr>
            <w:tcW w:w="1153" w:type="dxa"/>
          </w:tcPr>
          <w:p w14:paraId="22A0467B" w14:textId="77777777" w:rsidR="003205FF" w:rsidRPr="00FF5185" w:rsidRDefault="003205FF" w:rsidP="000D4D14">
            <w:pPr>
              <w:rPr>
                <w:rFonts w:ascii="Times New Roman" w:hAnsi="Times New Roman" w:cs="Times New Roman"/>
              </w:rPr>
            </w:pPr>
            <w:r w:rsidRPr="00FF5185">
              <w:rPr>
                <w:rFonts w:ascii="Times New Roman" w:hAnsi="Times New Roman" w:cs="Times New Roman"/>
              </w:rPr>
              <w:t>1.030.000</w:t>
            </w:r>
          </w:p>
        </w:tc>
        <w:tc>
          <w:tcPr>
            <w:tcW w:w="977" w:type="dxa"/>
          </w:tcPr>
          <w:p w14:paraId="79BC9B78" w14:textId="77777777" w:rsidR="003205FF" w:rsidRPr="00FF5185" w:rsidRDefault="003205FF" w:rsidP="000D4D14">
            <w:pPr>
              <w:rPr>
                <w:rFonts w:ascii="Times New Roman" w:hAnsi="Times New Roman" w:cs="Times New Roman"/>
              </w:rPr>
            </w:pPr>
            <w:r w:rsidRPr="00FF5185">
              <w:rPr>
                <w:rFonts w:ascii="Times New Roman" w:hAnsi="Times New Roman" w:cs="Times New Roman"/>
              </w:rPr>
              <w:t>16.995</w:t>
            </w:r>
          </w:p>
        </w:tc>
        <w:tc>
          <w:tcPr>
            <w:tcW w:w="1050" w:type="dxa"/>
          </w:tcPr>
          <w:p w14:paraId="53A5530A" w14:textId="77777777" w:rsidR="003205FF" w:rsidRPr="00FF5185" w:rsidRDefault="003205FF" w:rsidP="000D4D14">
            <w:pPr>
              <w:rPr>
                <w:rFonts w:ascii="Times New Roman" w:hAnsi="Times New Roman" w:cs="Times New Roman"/>
              </w:rPr>
            </w:pPr>
            <w:r w:rsidRPr="00FF5185">
              <w:rPr>
                <w:rFonts w:ascii="Times New Roman" w:hAnsi="Times New Roman" w:cs="Times New Roman"/>
              </w:rPr>
              <w:t>78.280</w:t>
            </w:r>
          </w:p>
        </w:tc>
        <w:tc>
          <w:tcPr>
            <w:tcW w:w="977" w:type="dxa"/>
          </w:tcPr>
          <w:p w14:paraId="374D42E4" w14:textId="5306B1A4" w:rsidR="003205FF" w:rsidRPr="00FF5185" w:rsidRDefault="003205FF" w:rsidP="000D4D14">
            <w:pPr>
              <w:rPr>
                <w:rFonts w:ascii="Times New Roman" w:hAnsi="Times New Roman" w:cs="Times New Roman"/>
              </w:rPr>
            </w:pPr>
            <w:r w:rsidRPr="003205FF">
              <w:rPr>
                <w:rFonts w:ascii="Times New Roman" w:hAnsi="Times New Roman" w:cs="Times New Roman"/>
              </w:rPr>
              <w:t>275.500</w:t>
            </w:r>
          </w:p>
        </w:tc>
        <w:tc>
          <w:tcPr>
            <w:tcW w:w="1145" w:type="dxa"/>
          </w:tcPr>
          <w:p w14:paraId="2A0BF1C8" w14:textId="75904BD7" w:rsidR="003205FF" w:rsidRPr="00FF5185" w:rsidRDefault="003205FF" w:rsidP="000D4D14">
            <w:pPr>
              <w:rPr>
                <w:rFonts w:ascii="Times New Roman" w:hAnsi="Times New Roman" w:cs="Times New Roman"/>
              </w:rPr>
            </w:pPr>
            <w:r>
              <w:rPr>
                <w:rFonts w:ascii="Times New Roman" w:hAnsi="Times New Roman" w:cs="Times New Roman"/>
              </w:rPr>
              <w:t>370.775</w:t>
            </w:r>
          </w:p>
        </w:tc>
      </w:tr>
      <w:tr w:rsidR="003205FF" w:rsidRPr="00FF5185" w14:paraId="0DDBD7DE" w14:textId="77777777" w:rsidTr="00CC4E66">
        <w:tc>
          <w:tcPr>
            <w:tcW w:w="1453" w:type="dxa"/>
          </w:tcPr>
          <w:p w14:paraId="75899AF0" w14:textId="77777777" w:rsidR="003205FF" w:rsidRPr="00FF5185" w:rsidRDefault="003205FF" w:rsidP="000D4D14">
            <w:pPr>
              <w:rPr>
                <w:rFonts w:ascii="Times New Roman" w:hAnsi="Times New Roman" w:cs="Times New Roman"/>
              </w:rPr>
            </w:pPr>
            <w:r w:rsidRPr="00FF5185">
              <w:rPr>
                <w:rFonts w:ascii="Times New Roman" w:hAnsi="Times New Roman" w:cs="Times New Roman"/>
              </w:rPr>
              <w:t>Março</w:t>
            </w:r>
          </w:p>
        </w:tc>
        <w:tc>
          <w:tcPr>
            <w:tcW w:w="1153" w:type="dxa"/>
          </w:tcPr>
          <w:p w14:paraId="3B09EA11" w14:textId="77777777" w:rsidR="003205FF" w:rsidRPr="00FF5185" w:rsidRDefault="003205FF" w:rsidP="000D4D14">
            <w:pPr>
              <w:rPr>
                <w:rFonts w:ascii="Times New Roman" w:hAnsi="Times New Roman" w:cs="Times New Roman"/>
              </w:rPr>
            </w:pPr>
            <w:r w:rsidRPr="00FF5185">
              <w:rPr>
                <w:rFonts w:ascii="Times New Roman" w:hAnsi="Times New Roman" w:cs="Times New Roman"/>
              </w:rPr>
              <w:t>1.650.000</w:t>
            </w:r>
          </w:p>
        </w:tc>
        <w:tc>
          <w:tcPr>
            <w:tcW w:w="1153" w:type="dxa"/>
          </w:tcPr>
          <w:p w14:paraId="066551D7" w14:textId="77777777" w:rsidR="003205FF" w:rsidRPr="00FF5185" w:rsidRDefault="003205FF" w:rsidP="000D4D14">
            <w:pPr>
              <w:rPr>
                <w:rFonts w:ascii="Times New Roman" w:hAnsi="Times New Roman" w:cs="Times New Roman"/>
              </w:rPr>
            </w:pPr>
            <w:r w:rsidRPr="00FF5185">
              <w:rPr>
                <w:rFonts w:ascii="Times New Roman" w:hAnsi="Times New Roman" w:cs="Times New Roman"/>
              </w:rPr>
              <w:t>480.000</w:t>
            </w:r>
          </w:p>
        </w:tc>
        <w:tc>
          <w:tcPr>
            <w:tcW w:w="1153" w:type="dxa"/>
          </w:tcPr>
          <w:p w14:paraId="78015967" w14:textId="77777777" w:rsidR="003205FF" w:rsidRPr="00FF5185" w:rsidRDefault="003205FF" w:rsidP="000D4D14">
            <w:pPr>
              <w:rPr>
                <w:rFonts w:ascii="Times New Roman" w:hAnsi="Times New Roman" w:cs="Times New Roman"/>
              </w:rPr>
            </w:pPr>
            <w:r w:rsidRPr="00FF5185">
              <w:rPr>
                <w:rFonts w:ascii="Times New Roman" w:hAnsi="Times New Roman" w:cs="Times New Roman"/>
              </w:rPr>
              <w:t>1.170.000</w:t>
            </w:r>
          </w:p>
        </w:tc>
        <w:tc>
          <w:tcPr>
            <w:tcW w:w="977" w:type="dxa"/>
          </w:tcPr>
          <w:p w14:paraId="66CFBC60" w14:textId="77777777" w:rsidR="003205FF" w:rsidRPr="00FF5185" w:rsidRDefault="003205FF" w:rsidP="000D4D14">
            <w:pPr>
              <w:rPr>
                <w:rFonts w:ascii="Times New Roman" w:hAnsi="Times New Roman" w:cs="Times New Roman"/>
              </w:rPr>
            </w:pPr>
            <w:r w:rsidRPr="00FF5185">
              <w:rPr>
                <w:rFonts w:ascii="Times New Roman" w:hAnsi="Times New Roman" w:cs="Times New Roman"/>
              </w:rPr>
              <w:t>19.305</w:t>
            </w:r>
          </w:p>
        </w:tc>
        <w:tc>
          <w:tcPr>
            <w:tcW w:w="1050" w:type="dxa"/>
          </w:tcPr>
          <w:p w14:paraId="4A7AA7BC" w14:textId="77777777" w:rsidR="003205FF" w:rsidRPr="00FF5185" w:rsidRDefault="003205FF" w:rsidP="000D4D14">
            <w:pPr>
              <w:rPr>
                <w:rFonts w:ascii="Times New Roman" w:hAnsi="Times New Roman" w:cs="Times New Roman"/>
              </w:rPr>
            </w:pPr>
            <w:r w:rsidRPr="00FF5185">
              <w:rPr>
                <w:rFonts w:ascii="Times New Roman" w:hAnsi="Times New Roman" w:cs="Times New Roman"/>
              </w:rPr>
              <w:t>88.920</w:t>
            </w:r>
          </w:p>
        </w:tc>
        <w:tc>
          <w:tcPr>
            <w:tcW w:w="977" w:type="dxa"/>
          </w:tcPr>
          <w:p w14:paraId="30613E4B" w14:textId="61126F2B" w:rsidR="003205FF" w:rsidRPr="00FF5185" w:rsidRDefault="003205FF" w:rsidP="000D4D14">
            <w:pPr>
              <w:rPr>
                <w:rFonts w:ascii="Times New Roman" w:hAnsi="Times New Roman" w:cs="Times New Roman"/>
              </w:rPr>
            </w:pPr>
            <w:r w:rsidRPr="003205FF">
              <w:rPr>
                <w:rFonts w:ascii="Times New Roman" w:hAnsi="Times New Roman" w:cs="Times New Roman"/>
              </w:rPr>
              <w:t>313.500</w:t>
            </w:r>
          </w:p>
        </w:tc>
        <w:tc>
          <w:tcPr>
            <w:tcW w:w="1145" w:type="dxa"/>
          </w:tcPr>
          <w:p w14:paraId="1D9F931F" w14:textId="64928AD7" w:rsidR="003205FF" w:rsidRPr="00FF5185" w:rsidRDefault="003205FF" w:rsidP="000D4D14">
            <w:pPr>
              <w:rPr>
                <w:rFonts w:ascii="Times New Roman" w:hAnsi="Times New Roman" w:cs="Times New Roman"/>
              </w:rPr>
            </w:pPr>
            <w:r w:rsidRPr="003205FF">
              <w:rPr>
                <w:rFonts w:ascii="Times New Roman" w:hAnsi="Times New Roman" w:cs="Times New Roman"/>
              </w:rPr>
              <w:t>421.725</w:t>
            </w:r>
          </w:p>
        </w:tc>
      </w:tr>
      <w:tr w:rsidR="003205FF" w:rsidRPr="00FF5185" w14:paraId="67DF9A89" w14:textId="77777777" w:rsidTr="00CC4E66">
        <w:tc>
          <w:tcPr>
            <w:tcW w:w="1453" w:type="dxa"/>
          </w:tcPr>
          <w:p w14:paraId="45F51DB0" w14:textId="77777777" w:rsidR="003205FF" w:rsidRPr="00FF5185" w:rsidRDefault="003205FF" w:rsidP="000D4D14">
            <w:pPr>
              <w:rPr>
                <w:rFonts w:ascii="Times New Roman" w:hAnsi="Times New Roman" w:cs="Times New Roman"/>
              </w:rPr>
            </w:pPr>
            <w:r w:rsidRPr="00FF5185">
              <w:rPr>
                <w:rFonts w:ascii="Times New Roman" w:hAnsi="Times New Roman" w:cs="Times New Roman"/>
              </w:rPr>
              <w:t>Total Trimestral</w:t>
            </w:r>
          </w:p>
        </w:tc>
        <w:tc>
          <w:tcPr>
            <w:tcW w:w="1153" w:type="dxa"/>
          </w:tcPr>
          <w:p w14:paraId="6780D20F" w14:textId="77777777" w:rsidR="003205FF" w:rsidRPr="00FF5185" w:rsidRDefault="003205FF" w:rsidP="000D4D14">
            <w:pPr>
              <w:rPr>
                <w:rFonts w:ascii="Times New Roman" w:hAnsi="Times New Roman" w:cs="Times New Roman"/>
              </w:rPr>
            </w:pPr>
            <w:r w:rsidRPr="00FF5185">
              <w:rPr>
                <w:rFonts w:ascii="Times New Roman" w:hAnsi="Times New Roman" w:cs="Times New Roman"/>
              </w:rPr>
              <w:t>4.350.000</w:t>
            </w:r>
          </w:p>
        </w:tc>
        <w:tc>
          <w:tcPr>
            <w:tcW w:w="1153" w:type="dxa"/>
          </w:tcPr>
          <w:p w14:paraId="54078395" w14:textId="77777777" w:rsidR="003205FF" w:rsidRPr="00FF5185" w:rsidRDefault="003205FF" w:rsidP="000D4D14">
            <w:pPr>
              <w:rPr>
                <w:rFonts w:ascii="Times New Roman" w:hAnsi="Times New Roman" w:cs="Times New Roman"/>
              </w:rPr>
            </w:pPr>
            <w:r w:rsidRPr="00FF5185">
              <w:rPr>
                <w:rFonts w:ascii="Times New Roman" w:hAnsi="Times New Roman" w:cs="Times New Roman"/>
              </w:rPr>
              <w:t>1.280.000</w:t>
            </w:r>
          </w:p>
        </w:tc>
        <w:tc>
          <w:tcPr>
            <w:tcW w:w="1153" w:type="dxa"/>
          </w:tcPr>
          <w:p w14:paraId="3F4FC7D1" w14:textId="77777777" w:rsidR="003205FF" w:rsidRPr="00FF5185" w:rsidRDefault="003205FF" w:rsidP="000D4D14">
            <w:pPr>
              <w:rPr>
                <w:rFonts w:ascii="Times New Roman" w:hAnsi="Times New Roman" w:cs="Times New Roman"/>
              </w:rPr>
            </w:pPr>
            <w:r w:rsidRPr="00FF5185">
              <w:rPr>
                <w:rFonts w:ascii="Times New Roman" w:hAnsi="Times New Roman" w:cs="Times New Roman"/>
              </w:rPr>
              <w:t>3.070.000</w:t>
            </w:r>
          </w:p>
        </w:tc>
        <w:tc>
          <w:tcPr>
            <w:tcW w:w="977" w:type="dxa"/>
          </w:tcPr>
          <w:p w14:paraId="72B16AD9" w14:textId="77777777" w:rsidR="003205FF" w:rsidRPr="00FF5185" w:rsidRDefault="003205FF" w:rsidP="000D4D14">
            <w:pPr>
              <w:rPr>
                <w:rFonts w:ascii="Times New Roman" w:hAnsi="Times New Roman" w:cs="Times New Roman"/>
              </w:rPr>
            </w:pPr>
            <w:r w:rsidRPr="00FF5185">
              <w:rPr>
                <w:rFonts w:ascii="Times New Roman" w:hAnsi="Times New Roman" w:cs="Times New Roman"/>
              </w:rPr>
              <w:t>50.655</w:t>
            </w:r>
          </w:p>
        </w:tc>
        <w:tc>
          <w:tcPr>
            <w:tcW w:w="1050" w:type="dxa"/>
          </w:tcPr>
          <w:p w14:paraId="1B5D0371" w14:textId="77777777" w:rsidR="003205FF" w:rsidRPr="00FF5185" w:rsidRDefault="003205FF" w:rsidP="000D4D14">
            <w:pPr>
              <w:rPr>
                <w:rFonts w:ascii="Times New Roman" w:hAnsi="Times New Roman" w:cs="Times New Roman"/>
              </w:rPr>
            </w:pPr>
            <w:r w:rsidRPr="00FF5185">
              <w:rPr>
                <w:rFonts w:ascii="Times New Roman" w:hAnsi="Times New Roman" w:cs="Times New Roman"/>
              </w:rPr>
              <w:t>233.320</w:t>
            </w:r>
          </w:p>
        </w:tc>
        <w:tc>
          <w:tcPr>
            <w:tcW w:w="977" w:type="dxa"/>
          </w:tcPr>
          <w:p w14:paraId="3F96BD0F" w14:textId="601B1003" w:rsidR="003205FF" w:rsidRPr="00FF5185" w:rsidRDefault="003205FF" w:rsidP="000D4D14">
            <w:pPr>
              <w:rPr>
                <w:rFonts w:ascii="Times New Roman" w:hAnsi="Times New Roman" w:cs="Times New Roman"/>
              </w:rPr>
            </w:pPr>
            <w:r w:rsidRPr="003205FF">
              <w:rPr>
                <w:rFonts w:ascii="Times New Roman" w:hAnsi="Times New Roman" w:cs="Times New Roman"/>
              </w:rPr>
              <w:t>826.500</w:t>
            </w:r>
          </w:p>
        </w:tc>
        <w:tc>
          <w:tcPr>
            <w:tcW w:w="1145" w:type="dxa"/>
          </w:tcPr>
          <w:p w14:paraId="14DFC6F0" w14:textId="0CDF983D" w:rsidR="003205FF" w:rsidRPr="00FF5185" w:rsidRDefault="003205FF" w:rsidP="000D4D14">
            <w:pPr>
              <w:rPr>
                <w:rFonts w:ascii="Times New Roman" w:hAnsi="Times New Roman" w:cs="Times New Roman"/>
              </w:rPr>
            </w:pPr>
            <w:r w:rsidRPr="003205FF">
              <w:rPr>
                <w:rFonts w:ascii="Times New Roman" w:hAnsi="Times New Roman" w:cs="Times New Roman"/>
              </w:rPr>
              <w:t>1.110.475</w:t>
            </w:r>
          </w:p>
        </w:tc>
      </w:tr>
    </w:tbl>
    <w:p w14:paraId="01F3ECC9" w14:textId="77777777" w:rsidR="00CC4E66" w:rsidRDefault="00CC4E66" w:rsidP="00CC4E66">
      <w:pPr>
        <w:ind w:firstLine="709"/>
        <w:rPr>
          <w:rFonts w:ascii="Times New Roman" w:hAnsi="Times New Roman" w:cs="Times New Roman"/>
          <w:b/>
          <w:bCs/>
        </w:rPr>
      </w:pPr>
      <w:r w:rsidRPr="004B71DD">
        <w:rPr>
          <w:rFonts w:ascii="Times New Roman" w:hAnsi="Times New Roman" w:cs="Times New Roman"/>
          <w:b/>
          <w:bCs/>
        </w:rPr>
        <w:t xml:space="preserve">Fonte: </w:t>
      </w:r>
      <w:r w:rsidRPr="00CC4E66">
        <w:rPr>
          <w:rFonts w:ascii="Times New Roman" w:hAnsi="Times New Roman" w:cs="Times New Roman"/>
          <w:b/>
          <w:bCs/>
        </w:rPr>
        <w:t>Elaborado pelo autor.</w:t>
      </w:r>
    </w:p>
    <w:p w14:paraId="65A355AF" w14:textId="77777777" w:rsidR="00FD4D08" w:rsidRDefault="00FD4D08" w:rsidP="00F5729B">
      <w:pPr>
        <w:rPr>
          <w:rFonts w:ascii="Times New Roman" w:hAnsi="Times New Roman" w:cs="Times New Roman"/>
          <w:b/>
          <w:bCs/>
        </w:rPr>
      </w:pPr>
    </w:p>
    <w:p w14:paraId="724957A1" w14:textId="0F059EA2" w:rsidR="00B34A9C" w:rsidRPr="00B34A9C" w:rsidRDefault="00B34A9C" w:rsidP="00F5729B">
      <w:pPr>
        <w:rPr>
          <w:rFonts w:ascii="Times New Roman" w:hAnsi="Times New Roman" w:cs="Times New Roman"/>
          <w:b/>
          <w:bCs/>
        </w:rPr>
      </w:pPr>
      <w:r w:rsidRPr="00B34A9C">
        <w:rPr>
          <w:rFonts w:ascii="Times New Roman" w:hAnsi="Times New Roman" w:cs="Times New Roman"/>
          <w:b/>
          <w:bCs/>
        </w:rPr>
        <w:t>Tributação Projetada – 2033 (Reforma Tributária)</w:t>
      </w:r>
    </w:p>
    <w:p w14:paraId="038ECB54" w14:textId="5AF7DF96" w:rsidR="00F5729B" w:rsidRPr="00FF5185" w:rsidRDefault="00F5729B" w:rsidP="00962515">
      <w:pPr>
        <w:rPr>
          <w:rFonts w:ascii="Times New Roman" w:hAnsi="Times New Roman" w:cs="Times New Roman"/>
        </w:rPr>
      </w:pPr>
      <w:r w:rsidRPr="00962515">
        <w:rPr>
          <w:rStyle w:val="ABNTChar"/>
        </w:rPr>
        <w:t>A partir de 2033, os principais tributos federais (PIS, COFINS e IPI) e estaduais/municipais (ICMS e ISS) serão unificados em dois novos impostos: CBS (Contribuição sobre Bens e Serviços) – arrecadação federal; e IBS (Imposto sobre Bens e Serviços) – arrecadação estadual/municipal.</w:t>
      </w:r>
      <w:r w:rsidRPr="00FF5185">
        <w:rPr>
          <w:rFonts w:ascii="Times New Roman" w:hAnsi="Times New Roman" w:cs="Times New Roman"/>
        </w:rPr>
        <w:br/>
      </w:r>
      <w:r w:rsidRPr="00FF5185">
        <w:rPr>
          <w:rFonts w:ascii="Times New Roman" w:hAnsi="Times New Roman" w:cs="Times New Roman"/>
        </w:rPr>
        <w:br/>
        <w:t>Alíquotas projetadas (cenário oficial – PEC 45/2019 / EC 132/2023):</w:t>
      </w:r>
      <w:r w:rsidRPr="00FF5185">
        <w:rPr>
          <w:rFonts w:ascii="Times New Roman" w:hAnsi="Times New Roman" w:cs="Times New Roman"/>
        </w:rPr>
        <w:br/>
        <w:t>- CBS: 9,25%</w:t>
      </w:r>
      <w:r w:rsidRPr="00FF5185">
        <w:rPr>
          <w:rFonts w:ascii="Times New Roman" w:hAnsi="Times New Roman" w:cs="Times New Roman"/>
        </w:rPr>
        <w:br/>
        <w:t>- IBS: 14%</w:t>
      </w:r>
      <w:r w:rsidRPr="00FF5185">
        <w:rPr>
          <w:rFonts w:ascii="Times New Roman" w:hAnsi="Times New Roman" w:cs="Times New Roman"/>
        </w:rPr>
        <w:br/>
        <w:t>- Total combinado: 23,25%</w:t>
      </w:r>
      <w:r w:rsidRPr="00FF5185">
        <w:rPr>
          <w:rFonts w:ascii="Times New Roman" w:hAnsi="Times New Roman" w:cs="Times New Roman"/>
        </w:rPr>
        <w:br/>
        <w:t>- Base de cálculo: Receita − Custo (valor agregado)</w:t>
      </w:r>
    </w:p>
    <w:p w14:paraId="198BF6BE" w14:textId="7E82A6C1" w:rsidR="00B34A9C" w:rsidRPr="00B34A9C" w:rsidRDefault="00B34A9C" w:rsidP="00B34A9C">
      <w:pPr>
        <w:rPr>
          <w:rFonts w:ascii="Times New Roman" w:hAnsi="Times New Roman" w:cs="Times New Roman"/>
          <w:b/>
          <w:bCs/>
        </w:rPr>
      </w:pPr>
      <w:r w:rsidRPr="00B34A9C">
        <w:rPr>
          <w:rFonts w:ascii="Times New Roman" w:hAnsi="Times New Roman" w:cs="Times New Roman"/>
          <w:b/>
          <w:bCs/>
        </w:rPr>
        <w:t>Tabela 2 – Carga Tributária 2033 (CBS + IBS)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3"/>
        <w:gridCol w:w="1234"/>
        <w:gridCol w:w="1234"/>
        <w:gridCol w:w="1234"/>
        <w:gridCol w:w="1234"/>
        <w:gridCol w:w="1234"/>
        <w:gridCol w:w="1234"/>
      </w:tblGrid>
      <w:tr w:rsidR="00F5729B" w:rsidRPr="00FF5185" w14:paraId="1898B51C" w14:textId="77777777" w:rsidTr="000A244F">
        <w:tc>
          <w:tcPr>
            <w:tcW w:w="1234" w:type="dxa"/>
          </w:tcPr>
          <w:p w14:paraId="3C9D663F" w14:textId="77777777" w:rsidR="00F5729B" w:rsidRPr="00FF5185" w:rsidRDefault="00F5729B" w:rsidP="000D4D14">
            <w:pPr>
              <w:rPr>
                <w:rFonts w:ascii="Times New Roman" w:hAnsi="Times New Roman" w:cs="Times New Roman"/>
              </w:rPr>
            </w:pPr>
            <w:r w:rsidRPr="00FF5185">
              <w:rPr>
                <w:rFonts w:ascii="Times New Roman" w:hAnsi="Times New Roman" w:cs="Times New Roman"/>
              </w:rPr>
              <w:lastRenderedPageBreak/>
              <w:t>Competência</w:t>
            </w:r>
          </w:p>
        </w:tc>
        <w:tc>
          <w:tcPr>
            <w:tcW w:w="1234" w:type="dxa"/>
          </w:tcPr>
          <w:p w14:paraId="7D684EC2" w14:textId="77777777" w:rsidR="00F5729B" w:rsidRPr="00FF5185" w:rsidRDefault="00F5729B" w:rsidP="000D4D14">
            <w:pPr>
              <w:rPr>
                <w:rFonts w:ascii="Times New Roman" w:hAnsi="Times New Roman" w:cs="Times New Roman"/>
              </w:rPr>
            </w:pPr>
            <w:r w:rsidRPr="00FF5185">
              <w:rPr>
                <w:rFonts w:ascii="Times New Roman" w:hAnsi="Times New Roman" w:cs="Times New Roman"/>
              </w:rPr>
              <w:t>Receita (R$)</w:t>
            </w:r>
          </w:p>
        </w:tc>
        <w:tc>
          <w:tcPr>
            <w:tcW w:w="1234" w:type="dxa"/>
          </w:tcPr>
          <w:p w14:paraId="25A25A72" w14:textId="77777777" w:rsidR="00F5729B" w:rsidRPr="00FF5185" w:rsidRDefault="00F5729B" w:rsidP="000D4D14">
            <w:pPr>
              <w:rPr>
                <w:rFonts w:ascii="Times New Roman" w:hAnsi="Times New Roman" w:cs="Times New Roman"/>
              </w:rPr>
            </w:pPr>
            <w:r w:rsidRPr="00FF5185">
              <w:rPr>
                <w:rFonts w:ascii="Times New Roman" w:hAnsi="Times New Roman" w:cs="Times New Roman"/>
              </w:rPr>
              <w:t>Custo (R$)</w:t>
            </w:r>
          </w:p>
        </w:tc>
        <w:tc>
          <w:tcPr>
            <w:tcW w:w="1234" w:type="dxa"/>
          </w:tcPr>
          <w:p w14:paraId="60748587" w14:textId="77777777" w:rsidR="00F5729B" w:rsidRPr="00FF5185" w:rsidRDefault="00F5729B" w:rsidP="000D4D14">
            <w:pPr>
              <w:rPr>
                <w:rFonts w:ascii="Times New Roman" w:hAnsi="Times New Roman" w:cs="Times New Roman"/>
              </w:rPr>
            </w:pPr>
            <w:r w:rsidRPr="00FF5185">
              <w:rPr>
                <w:rFonts w:ascii="Times New Roman" w:hAnsi="Times New Roman" w:cs="Times New Roman"/>
              </w:rPr>
              <w:t>Base (R$)</w:t>
            </w:r>
          </w:p>
        </w:tc>
        <w:tc>
          <w:tcPr>
            <w:tcW w:w="1234" w:type="dxa"/>
          </w:tcPr>
          <w:p w14:paraId="71337C22" w14:textId="77777777" w:rsidR="00F5729B" w:rsidRPr="00FF5185" w:rsidRDefault="00F5729B" w:rsidP="000D4D14">
            <w:pPr>
              <w:rPr>
                <w:rFonts w:ascii="Times New Roman" w:hAnsi="Times New Roman" w:cs="Times New Roman"/>
              </w:rPr>
            </w:pPr>
            <w:r w:rsidRPr="00FF5185">
              <w:rPr>
                <w:rFonts w:ascii="Times New Roman" w:hAnsi="Times New Roman" w:cs="Times New Roman"/>
              </w:rPr>
              <w:t>CBS (9,25%)</w:t>
            </w:r>
          </w:p>
        </w:tc>
        <w:tc>
          <w:tcPr>
            <w:tcW w:w="1234" w:type="dxa"/>
          </w:tcPr>
          <w:p w14:paraId="5F2E1A5D" w14:textId="77777777" w:rsidR="00F5729B" w:rsidRPr="00FF5185" w:rsidRDefault="00F5729B" w:rsidP="000D4D14">
            <w:pPr>
              <w:rPr>
                <w:rFonts w:ascii="Times New Roman" w:hAnsi="Times New Roman" w:cs="Times New Roman"/>
              </w:rPr>
            </w:pPr>
            <w:r w:rsidRPr="00FF5185">
              <w:rPr>
                <w:rFonts w:ascii="Times New Roman" w:hAnsi="Times New Roman" w:cs="Times New Roman"/>
              </w:rPr>
              <w:t>IBS (14%)</w:t>
            </w:r>
          </w:p>
        </w:tc>
        <w:tc>
          <w:tcPr>
            <w:tcW w:w="1234" w:type="dxa"/>
          </w:tcPr>
          <w:p w14:paraId="06B63EED" w14:textId="77777777" w:rsidR="00F5729B" w:rsidRPr="00FF5185" w:rsidRDefault="00F5729B" w:rsidP="000D4D14">
            <w:pPr>
              <w:rPr>
                <w:rFonts w:ascii="Times New Roman" w:hAnsi="Times New Roman" w:cs="Times New Roman"/>
              </w:rPr>
            </w:pPr>
            <w:r w:rsidRPr="00FF5185">
              <w:rPr>
                <w:rFonts w:ascii="Times New Roman" w:hAnsi="Times New Roman" w:cs="Times New Roman"/>
              </w:rPr>
              <w:t>Total Mensal (R$)</w:t>
            </w:r>
          </w:p>
        </w:tc>
      </w:tr>
      <w:tr w:rsidR="00F5729B" w:rsidRPr="00FF5185" w14:paraId="3C4EF3F2" w14:textId="77777777" w:rsidTr="000A244F">
        <w:tc>
          <w:tcPr>
            <w:tcW w:w="1234" w:type="dxa"/>
          </w:tcPr>
          <w:p w14:paraId="3568B0B0" w14:textId="77777777" w:rsidR="00F5729B" w:rsidRPr="00FF5185" w:rsidRDefault="00F5729B" w:rsidP="000D4D14">
            <w:pPr>
              <w:rPr>
                <w:rFonts w:ascii="Times New Roman" w:hAnsi="Times New Roman" w:cs="Times New Roman"/>
              </w:rPr>
            </w:pPr>
            <w:r w:rsidRPr="00FF5185">
              <w:rPr>
                <w:rFonts w:ascii="Times New Roman" w:hAnsi="Times New Roman" w:cs="Times New Roman"/>
              </w:rPr>
              <w:t>Janeiro</w:t>
            </w:r>
          </w:p>
        </w:tc>
        <w:tc>
          <w:tcPr>
            <w:tcW w:w="1234" w:type="dxa"/>
          </w:tcPr>
          <w:p w14:paraId="0C4F2EA6" w14:textId="77777777" w:rsidR="00F5729B" w:rsidRPr="00FF5185" w:rsidRDefault="00F5729B" w:rsidP="000D4D14">
            <w:pPr>
              <w:rPr>
                <w:rFonts w:ascii="Times New Roman" w:hAnsi="Times New Roman" w:cs="Times New Roman"/>
              </w:rPr>
            </w:pPr>
            <w:r w:rsidRPr="00FF5185">
              <w:rPr>
                <w:rFonts w:ascii="Times New Roman" w:hAnsi="Times New Roman" w:cs="Times New Roman"/>
              </w:rPr>
              <w:t>1.250.000</w:t>
            </w:r>
          </w:p>
        </w:tc>
        <w:tc>
          <w:tcPr>
            <w:tcW w:w="1234" w:type="dxa"/>
          </w:tcPr>
          <w:p w14:paraId="54BD608F" w14:textId="77777777" w:rsidR="00F5729B" w:rsidRPr="00FF5185" w:rsidRDefault="00F5729B" w:rsidP="000D4D14">
            <w:pPr>
              <w:rPr>
                <w:rFonts w:ascii="Times New Roman" w:hAnsi="Times New Roman" w:cs="Times New Roman"/>
              </w:rPr>
            </w:pPr>
            <w:r w:rsidRPr="00FF5185">
              <w:rPr>
                <w:rFonts w:ascii="Times New Roman" w:hAnsi="Times New Roman" w:cs="Times New Roman"/>
              </w:rPr>
              <w:t>380.000</w:t>
            </w:r>
          </w:p>
        </w:tc>
        <w:tc>
          <w:tcPr>
            <w:tcW w:w="1234" w:type="dxa"/>
          </w:tcPr>
          <w:p w14:paraId="002E2804" w14:textId="77777777" w:rsidR="00F5729B" w:rsidRPr="00FF5185" w:rsidRDefault="00F5729B" w:rsidP="000D4D14">
            <w:pPr>
              <w:rPr>
                <w:rFonts w:ascii="Times New Roman" w:hAnsi="Times New Roman" w:cs="Times New Roman"/>
              </w:rPr>
            </w:pPr>
            <w:r w:rsidRPr="00FF5185">
              <w:rPr>
                <w:rFonts w:ascii="Times New Roman" w:hAnsi="Times New Roman" w:cs="Times New Roman"/>
              </w:rPr>
              <w:t>870.000</w:t>
            </w:r>
          </w:p>
        </w:tc>
        <w:tc>
          <w:tcPr>
            <w:tcW w:w="1234" w:type="dxa"/>
          </w:tcPr>
          <w:p w14:paraId="05C1E1AC" w14:textId="77777777" w:rsidR="00F5729B" w:rsidRPr="00FF5185" w:rsidRDefault="00F5729B" w:rsidP="000D4D14">
            <w:pPr>
              <w:rPr>
                <w:rFonts w:ascii="Times New Roman" w:hAnsi="Times New Roman" w:cs="Times New Roman"/>
              </w:rPr>
            </w:pPr>
            <w:r w:rsidRPr="00FF5185">
              <w:rPr>
                <w:rFonts w:ascii="Times New Roman" w:hAnsi="Times New Roman" w:cs="Times New Roman"/>
              </w:rPr>
              <w:t>80.475</w:t>
            </w:r>
          </w:p>
        </w:tc>
        <w:tc>
          <w:tcPr>
            <w:tcW w:w="1234" w:type="dxa"/>
          </w:tcPr>
          <w:p w14:paraId="79FB2A25" w14:textId="77777777" w:rsidR="00F5729B" w:rsidRPr="00FF5185" w:rsidRDefault="00F5729B" w:rsidP="000D4D14">
            <w:pPr>
              <w:rPr>
                <w:rFonts w:ascii="Times New Roman" w:hAnsi="Times New Roman" w:cs="Times New Roman"/>
              </w:rPr>
            </w:pPr>
            <w:r w:rsidRPr="00FF5185">
              <w:rPr>
                <w:rFonts w:ascii="Times New Roman" w:hAnsi="Times New Roman" w:cs="Times New Roman"/>
              </w:rPr>
              <w:t>121.800</w:t>
            </w:r>
          </w:p>
        </w:tc>
        <w:tc>
          <w:tcPr>
            <w:tcW w:w="1234" w:type="dxa"/>
          </w:tcPr>
          <w:p w14:paraId="338CD187" w14:textId="77777777" w:rsidR="00F5729B" w:rsidRPr="00FF5185" w:rsidRDefault="00F5729B" w:rsidP="000D4D14">
            <w:pPr>
              <w:rPr>
                <w:rFonts w:ascii="Times New Roman" w:hAnsi="Times New Roman" w:cs="Times New Roman"/>
              </w:rPr>
            </w:pPr>
            <w:r w:rsidRPr="00FF5185">
              <w:rPr>
                <w:rFonts w:ascii="Times New Roman" w:hAnsi="Times New Roman" w:cs="Times New Roman"/>
              </w:rPr>
              <w:t>202.275</w:t>
            </w:r>
          </w:p>
        </w:tc>
      </w:tr>
      <w:tr w:rsidR="00F5729B" w:rsidRPr="00FF5185" w14:paraId="5AB0FD5D" w14:textId="77777777" w:rsidTr="000A244F">
        <w:tc>
          <w:tcPr>
            <w:tcW w:w="1234" w:type="dxa"/>
          </w:tcPr>
          <w:p w14:paraId="3BF164D4" w14:textId="77777777" w:rsidR="00F5729B" w:rsidRPr="00FF5185" w:rsidRDefault="00F5729B" w:rsidP="000D4D14">
            <w:pPr>
              <w:rPr>
                <w:rFonts w:ascii="Times New Roman" w:hAnsi="Times New Roman" w:cs="Times New Roman"/>
              </w:rPr>
            </w:pPr>
            <w:r w:rsidRPr="00FF5185">
              <w:rPr>
                <w:rFonts w:ascii="Times New Roman" w:hAnsi="Times New Roman" w:cs="Times New Roman"/>
              </w:rPr>
              <w:t>Fevereiro</w:t>
            </w:r>
          </w:p>
        </w:tc>
        <w:tc>
          <w:tcPr>
            <w:tcW w:w="1234" w:type="dxa"/>
          </w:tcPr>
          <w:p w14:paraId="36B5F1A8" w14:textId="77777777" w:rsidR="00F5729B" w:rsidRPr="00FF5185" w:rsidRDefault="00F5729B" w:rsidP="000D4D14">
            <w:pPr>
              <w:rPr>
                <w:rFonts w:ascii="Times New Roman" w:hAnsi="Times New Roman" w:cs="Times New Roman"/>
              </w:rPr>
            </w:pPr>
            <w:r w:rsidRPr="00FF5185">
              <w:rPr>
                <w:rFonts w:ascii="Times New Roman" w:hAnsi="Times New Roman" w:cs="Times New Roman"/>
              </w:rPr>
              <w:t>1.450.000</w:t>
            </w:r>
          </w:p>
        </w:tc>
        <w:tc>
          <w:tcPr>
            <w:tcW w:w="1234" w:type="dxa"/>
          </w:tcPr>
          <w:p w14:paraId="7D048F4C" w14:textId="77777777" w:rsidR="00F5729B" w:rsidRPr="00FF5185" w:rsidRDefault="00F5729B" w:rsidP="000D4D14">
            <w:pPr>
              <w:rPr>
                <w:rFonts w:ascii="Times New Roman" w:hAnsi="Times New Roman" w:cs="Times New Roman"/>
              </w:rPr>
            </w:pPr>
            <w:r w:rsidRPr="00FF5185">
              <w:rPr>
                <w:rFonts w:ascii="Times New Roman" w:hAnsi="Times New Roman" w:cs="Times New Roman"/>
              </w:rPr>
              <w:t>420.000</w:t>
            </w:r>
          </w:p>
        </w:tc>
        <w:tc>
          <w:tcPr>
            <w:tcW w:w="1234" w:type="dxa"/>
          </w:tcPr>
          <w:p w14:paraId="32FA4B93" w14:textId="77777777" w:rsidR="00F5729B" w:rsidRPr="00FF5185" w:rsidRDefault="00F5729B" w:rsidP="000D4D14">
            <w:pPr>
              <w:rPr>
                <w:rFonts w:ascii="Times New Roman" w:hAnsi="Times New Roman" w:cs="Times New Roman"/>
              </w:rPr>
            </w:pPr>
            <w:r w:rsidRPr="00FF5185">
              <w:rPr>
                <w:rFonts w:ascii="Times New Roman" w:hAnsi="Times New Roman" w:cs="Times New Roman"/>
              </w:rPr>
              <w:t>1.030.000</w:t>
            </w:r>
          </w:p>
        </w:tc>
        <w:tc>
          <w:tcPr>
            <w:tcW w:w="1234" w:type="dxa"/>
          </w:tcPr>
          <w:p w14:paraId="47320EB5" w14:textId="77777777" w:rsidR="00F5729B" w:rsidRPr="00FF5185" w:rsidRDefault="00F5729B" w:rsidP="000D4D14">
            <w:pPr>
              <w:rPr>
                <w:rFonts w:ascii="Times New Roman" w:hAnsi="Times New Roman" w:cs="Times New Roman"/>
              </w:rPr>
            </w:pPr>
            <w:r w:rsidRPr="00FF5185">
              <w:rPr>
                <w:rFonts w:ascii="Times New Roman" w:hAnsi="Times New Roman" w:cs="Times New Roman"/>
              </w:rPr>
              <w:t>95.275</w:t>
            </w:r>
          </w:p>
        </w:tc>
        <w:tc>
          <w:tcPr>
            <w:tcW w:w="1234" w:type="dxa"/>
          </w:tcPr>
          <w:p w14:paraId="666B1A75" w14:textId="77777777" w:rsidR="00F5729B" w:rsidRPr="00FF5185" w:rsidRDefault="00F5729B" w:rsidP="000D4D14">
            <w:pPr>
              <w:rPr>
                <w:rFonts w:ascii="Times New Roman" w:hAnsi="Times New Roman" w:cs="Times New Roman"/>
              </w:rPr>
            </w:pPr>
            <w:r w:rsidRPr="00FF5185">
              <w:rPr>
                <w:rFonts w:ascii="Times New Roman" w:hAnsi="Times New Roman" w:cs="Times New Roman"/>
              </w:rPr>
              <w:t>144.200</w:t>
            </w:r>
          </w:p>
        </w:tc>
        <w:tc>
          <w:tcPr>
            <w:tcW w:w="1234" w:type="dxa"/>
          </w:tcPr>
          <w:p w14:paraId="35E2D924" w14:textId="77777777" w:rsidR="00F5729B" w:rsidRPr="00FF5185" w:rsidRDefault="00F5729B" w:rsidP="000D4D14">
            <w:pPr>
              <w:rPr>
                <w:rFonts w:ascii="Times New Roman" w:hAnsi="Times New Roman" w:cs="Times New Roman"/>
              </w:rPr>
            </w:pPr>
            <w:r w:rsidRPr="00FF5185">
              <w:rPr>
                <w:rFonts w:ascii="Times New Roman" w:hAnsi="Times New Roman" w:cs="Times New Roman"/>
              </w:rPr>
              <w:t>239.475</w:t>
            </w:r>
          </w:p>
        </w:tc>
      </w:tr>
      <w:tr w:rsidR="00F5729B" w:rsidRPr="00FF5185" w14:paraId="3BE95039" w14:textId="77777777" w:rsidTr="000A244F">
        <w:tc>
          <w:tcPr>
            <w:tcW w:w="1234" w:type="dxa"/>
          </w:tcPr>
          <w:p w14:paraId="52F4B6F8" w14:textId="77777777" w:rsidR="00F5729B" w:rsidRPr="00FF5185" w:rsidRDefault="00F5729B" w:rsidP="000D4D14">
            <w:pPr>
              <w:rPr>
                <w:rFonts w:ascii="Times New Roman" w:hAnsi="Times New Roman" w:cs="Times New Roman"/>
              </w:rPr>
            </w:pPr>
            <w:r w:rsidRPr="00FF5185">
              <w:rPr>
                <w:rFonts w:ascii="Times New Roman" w:hAnsi="Times New Roman" w:cs="Times New Roman"/>
              </w:rPr>
              <w:t>Março</w:t>
            </w:r>
          </w:p>
        </w:tc>
        <w:tc>
          <w:tcPr>
            <w:tcW w:w="1234" w:type="dxa"/>
          </w:tcPr>
          <w:p w14:paraId="111C2E4D" w14:textId="77777777" w:rsidR="00F5729B" w:rsidRPr="00FF5185" w:rsidRDefault="00F5729B" w:rsidP="000D4D14">
            <w:pPr>
              <w:rPr>
                <w:rFonts w:ascii="Times New Roman" w:hAnsi="Times New Roman" w:cs="Times New Roman"/>
              </w:rPr>
            </w:pPr>
            <w:r w:rsidRPr="00FF5185">
              <w:rPr>
                <w:rFonts w:ascii="Times New Roman" w:hAnsi="Times New Roman" w:cs="Times New Roman"/>
              </w:rPr>
              <w:t>1.650.000</w:t>
            </w:r>
          </w:p>
        </w:tc>
        <w:tc>
          <w:tcPr>
            <w:tcW w:w="1234" w:type="dxa"/>
          </w:tcPr>
          <w:p w14:paraId="0128EA29" w14:textId="77777777" w:rsidR="00F5729B" w:rsidRPr="00FF5185" w:rsidRDefault="00F5729B" w:rsidP="000D4D14">
            <w:pPr>
              <w:rPr>
                <w:rFonts w:ascii="Times New Roman" w:hAnsi="Times New Roman" w:cs="Times New Roman"/>
              </w:rPr>
            </w:pPr>
            <w:r w:rsidRPr="00FF5185">
              <w:rPr>
                <w:rFonts w:ascii="Times New Roman" w:hAnsi="Times New Roman" w:cs="Times New Roman"/>
              </w:rPr>
              <w:t>480.000</w:t>
            </w:r>
          </w:p>
        </w:tc>
        <w:tc>
          <w:tcPr>
            <w:tcW w:w="1234" w:type="dxa"/>
          </w:tcPr>
          <w:p w14:paraId="19ABE47D" w14:textId="77777777" w:rsidR="00F5729B" w:rsidRPr="00FF5185" w:rsidRDefault="00F5729B" w:rsidP="000D4D14">
            <w:pPr>
              <w:rPr>
                <w:rFonts w:ascii="Times New Roman" w:hAnsi="Times New Roman" w:cs="Times New Roman"/>
              </w:rPr>
            </w:pPr>
            <w:r w:rsidRPr="00FF5185">
              <w:rPr>
                <w:rFonts w:ascii="Times New Roman" w:hAnsi="Times New Roman" w:cs="Times New Roman"/>
              </w:rPr>
              <w:t>1.170.000</w:t>
            </w:r>
          </w:p>
        </w:tc>
        <w:tc>
          <w:tcPr>
            <w:tcW w:w="1234" w:type="dxa"/>
          </w:tcPr>
          <w:p w14:paraId="72694EB9" w14:textId="77777777" w:rsidR="00F5729B" w:rsidRPr="00FF5185" w:rsidRDefault="00F5729B" w:rsidP="000D4D14">
            <w:pPr>
              <w:rPr>
                <w:rFonts w:ascii="Times New Roman" w:hAnsi="Times New Roman" w:cs="Times New Roman"/>
              </w:rPr>
            </w:pPr>
            <w:r w:rsidRPr="00FF5185">
              <w:rPr>
                <w:rFonts w:ascii="Times New Roman" w:hAnsi="Times New Roman" w:cs="Times New Roman"/>
              </w:rPr>
              <w:t>108.225</w:t>
            </w:r>
          </w:p>
        </w:tc>
        <w:tc>
          <w:tcPr>
            <w:tcW w:w="1234" w:type="dxa"/>
          </w:tcPr>
          <w:p w14:paraId="4CFE0734" w14:textId="77777777" w:rsidR="00F5729B" w:rsidRPr="00FF5185" w:rsidRDefault="00F5729B" w:rsidP="000D4D14">
            <w:pPr>
              <w:rPr>
                <w:rFonts w:ascii="Times New Roman" w:hAnsi="Times New Roman" w:cs="Times New Roman"/>
              </w:rPr>
            </w:pPr>
            <w:r w:rsidRPr="00FF5185">
              <w:rPr>
                <w:rFonts w:ascii="Times New Roman" w:hAnsi="Times New Roman" w:cs="Times New Roman"/>
              </w:rPr>
              <w:t>163.800</w:t>
            </w:r>
          </w:p>
        </w:tc>
        <w:tc>
          <w:tcPr>
            <w:tcW w:w="1234" w:type="dxa"/>
          </w:tcPr>
          <w:p w14:paraId="48673F04" w14:textId="77777777" w:rsidR="00F5729B" w:rsidRPr="00FF5185" w:rsidRDefault="00F5729B" w:rsidP="000D4D14">
            <w:pPr>
              <w:rPr>
                <w:rFonts w:ascii="Times New Roman" w:hAnsi="Times New Roman" w:cs="Times New Roman"/>
              </w:rPr>
            </w:pPr>
            <w:r w:rsidRPr="00FF5185">
              <w:rPr>
                <w:rFonts w:ascii="Times New Roman" w:hAnsi="Times New Roman" w:cs="Times New Roman"/>
              </w:rPr>
              <w:t>272.025</w:t>
            </w:r>
          </w:p>
        </w:tc>
      </w:tr>
      <w:tr w:rsidR="00F5729B" w:rsidRPr="00FF5185" w14:paraId="141576E2" w14:textId="77777777" w:rsidTr="000A244F">
        <w:tc>
          <w:tcPr>
            <w:tcW w:w="1234" w:type="dxa"/>
          </w:tcPr>
          <w:p w14:paraId="00B77766" w14:textId="77777777" w:rsidR="00F5729B" w:rsidRPr="00FF5185" w:rsidRDefault="00F5729B" w:rsidP="000D4D14">
            <w:pPr>
              <w:rPr>
                <w:rFonts w:ascii="Times New Roman" w:hAnsi="Times New Roman" w:cs="Times New Roman"/>
              </w:rPr>
            </w:pPr>
            <w:r w:rsidRPr="00FF5185">
              <w:rPr>
                <w:rFonts w:ascii="Times New Roman" w:hAnsi="Times New Roman" w:cs="Times New Roman"/>
              </w:rPr>
              <w:t>Total Trimestral</w:t>
            </w:r>
          </w:p>
        </w:tc>
        <w:tc>
          <w:tcPr>
            <w:tcW w:w="1234" w:type="dxa"/>
          </w:tcPr>
          <w:p w14:paraId="196C2B9F" w14:textId="77777777" w:rsidR="00F5729B" w:rsidRPr="00FF5185" w:rsidRDefault="00F5729B" w:rsidP="000D4D14">
            <w:pPr>
              <w:rPr>
                <w:rFonts w:ascii="Times New Roman" w:hAnsi="Times New Roman" w:cs="Times New Roman"/>
              </w:rPr>
            </w:pPr>
            <w:r w:rsidRPr="00FF5185">
              <w:rPr>
                <w:rFonts w:ascii="Times New Roman" w:hAnsi="Times New Roman" w:cs="Times New Roman"/>
              </w:rPr>
              <w:t>4.350.000</w:t>
            </w:r>
          </w:p>
        </w:tc>
        <w:tc>
          <w:tcPr>
            <w:tcW w:w="1234" w:type="dxa"/>
          </w:tcPr>
          <w:p w14:paraId="65D222A4" w14:textId="77777777" w:rsidR="00F5729B" w:rsidRPr="00FF5185" w:rsidRDefault="00F5729B" w:rsidP="000D4D14">
            <w:pPr>
              <w:rPr>
                <w:rFonts w:ascii="Times New Roman" w:hAnsi="Times New Roman" w:cs="Times New Roman"/>
              </w:rPr>
            </w:pPr>
            <w:r w:rsidRPr="00FF5185">
              <w:rPr>
                <w:rFonts w:ascii="Times New Roman" w:hAnsi="Times New Roman" w:cs="Times New Roman"/>
              </w:rPr>
              <w:t>1.280.000</w:t>
            </w:r>
          </w:p>
        </w:tc>
        <w:tc>
          <w:tcPr>
            <w:tcW w:w="1234" w:type="dxa"/>
          </w:tcPr>
          <w:p w14:paraId="4987D58A" w14:textId="77777777" w:rsidR="00F5729B" w:rsidRPr="00FF5185" w:rsidRDefault="00F5729B" w:rsidP="000D4D14">
            <w:pPr>
              <w:rPr>
                <w:rFonts w:ascii="Times New Roman" w:hAnsi="Times New Roman" w:cs="Times New Roman"/>
              </w:rPr>
            </w:pPr>
            <w:r w:rsidRPr="00FF5185">
              <w:rPr>
                <w:rFonts w:ascii="Times New Roman" w:hAnsi="Times New Roman" w:cs="Times New Roman"/>
              </w:rPr>
              <w:t>3.070.000</w:t>
            </w:r>
          </w:p>
        </w:tc>
        <w:tc>
          <w:tcPr>
            <w:tcW w:w="1234" w:type="dxa"/>
          </w:tcPr>
          <w:p w14:paraId="7B17FD20" w14:textId="77777777" w:rsidR="00F5729B" w:rsidRPr="00FF5185" w:rsidRDefault="00F5729B" w:rsidP="000D4D14">
            <w:pPr>
              <w:rPr>
                <w:rFonts w:ascii="Times New Roman" w:hAnsi="Times New Roman" w:cs="Times New Roman"/>
              </w:rPr>
            </w:pPr>
            <w:r w:rsidRPr="00FF5185">
              <w:rPr>
                <w:rFonts w:ascii="Times New Roman" w:hAnsi="Times New Roman" w:cs="Times New Roman"/>
              </w:rPr>
              <w:t>283.975</w:t>
            </w:r>
          </w:p>
        </w:tc>
        <w:tc>
          <w:tcPr>
            <w:tcW w:w="1234" w:type="dxa"/>
          </w:tcPr>
          <w:p w14:paraId="6256A757" w14:textId="77777777" w:rsidR="00F5729B" w:rsidRPr="00FF5185" w:rsidRDefault="00F5729B" w:rsidP="000D4D14">
            <w:pPr>
              <w:rPr>
                <w:rFonts w:ascii="Times New Roman" w:hAnsi="Times New Roman" w:cs="Times New Roman"/>
              </w:rPr>
            </w:pPr>
            <w:r w:rsidRPr="00FF5185">
              <w:rPr>
                <w:rFonts w:ascii="Times New Roman" w:hAnsi="Times New Roman" w:cs="Times New Roman"/>
              </w:rPr>
              <w:t>429.800</w:t>
            </w:r>
          </w:p>
        </w:tc>
        <w:tc>
          <w:tcPr>
            <w:tcW w:w="1234" w:type="dxa"/>
          </w:tcPr>
          <w:p w14:paraId="315E920B" w14:textId="77777777" w:rsidR="00F5729B" w:rsidRPr="00FF5185" w:rsidRDefault="00F5729B" w:rsidP="000D4D14">
            <w:pPr>
              <w:rPr>
                <w:rFonts w:ascii="Times New Roman" w:hAnsi="Times New Roman" w:cs="Times New Roman"/>
              </w:rPr>
            </w:pPr>
            <w:r w:rsidRPr="00FF5185">
              <w:rPr>
                <w:rFonts w:ascii="Times New Roman" w:hAnsi="Times New Roman" w:cs="Times New Roman"/>
              </w:rPr>
              <w:t>713.775</w:t>
            </w:r>
          </w:p>
        </w:tc>
      </w:tr>
    </w:tbl>
    <w:p w14:paraId="3B687F09" w14:textId="77777777" w:rsidR="002542F6" w:rsidRDefault="002542F6" w:rsidP="00B34A9C">
      <w:pPr>
        <w:rPr>
          <w:rFonts w:ascii="Times New Roman" w:hAnsi="Times New Roman" w:cs="Times New Roman"/>
          <w:b/>
          <w:bCs/>
        </w:rPr>
      </w:pPr>
    </w:p>
    <w:p w14:paraId="14CE568A" w14:textId="77777777" w:rsidR="002542F6" w:rsidRDefault="002542F6" w:rsidP="00B34A9C">
      <w:pPr>
        <w:rPr>
          <w:rFonts w:ascii="Times New Roman" w:hAnsi="Times New Roman" w:cs="Times New Roman"/>
          <w:b/>
          <w:bCs/>
        </w:rPr>
      </w:pPr>
    </w:p>
    <w:p w14:paraId="412CA9B4" w14:textId="0AA5CECD" w:rsidR="002542F6" w:rsidRPr="00490D1B" w:rsidRDefault="00F87423" w:rsidP="00B34A9C">
      <w:pPr>
        <w:rPr>
          <w:rFonts w:ascii="Times New Roman" w:hAnsi="Times New Roman" w:cs="Times New Roman"/>
          <w:b/>
          <w:bCs/>
        </w:rPr>
      </w:pPr>
      <w:r w:rsidRPr="00490D1B">
        <w:rPr>
          <w:rFonts w:ascii="Times New Roman" w:hAnsi="Times New Roman" w:cs="Times New Roman"/>
          <w:b/>
          <w:bCs/>
        </w:rPr>
        <w:t>COM NOVAS ALÍQUOTAS</w:t>
      </w:r>
    </w:p>
    <w:tbl>
      <w:tblPr>
        <w:tblW w:w="6780" w:type="dxa"/>
        <w:tblCellMar>
          <w:left w:w="70" w:type="dxa"/>
          <w:right w:w="70" w:type="dxa"/>
        </w:tblCellMar>
        <w:tblLook w:val="04A0" w:firstRow="1" w:lastRow="0" w:firstColumn="1" w:lastColumn="0" w:noHBand="0" w:noVBand="1"/>
      </w:tblPr>
      <w:tblGrid>
        <w:gridCol w:w="1407"/>
        <w:gridCol w:w="1100"/>
        <w:gridCol w:w="1100"/>
        <w:gridCol w:w="1100"/>
        <w:gridCol w:w="920"/>
        <w:gridCol w:w="920"/>
        <w:gridCol w:w="920"/>
      </w:tblGrid>
      <w:tr w:rsidR="00490D1B" w:rsidRPr="00490D1B" w14:paraId="25B9645C" w14:textId="77777777" w:rsidTr="00F87423">
        <w:trPr>
          <w:trHeight w:val="948"/>
        </w:trPr>
        <w:tc>
          <w:tcPr>
            <w:tcW w:w="1298" w:type="dxa"/>
            <w:tcBorders>
              <w:top w:val="single" w:sz="8" w:space="0" w:color="auto"/>
              <w:left w:val="single" w:sz="8" w:space="0" w:color="auto"/>
              <w:bottom w:val="single" w:sz="8" w:space="0" w:color="auto"/>
              <w:right w:val="single" w:sz="8" w:space="0" w:color="auto"/>
            </w:tcBorders>
            <w:vAlign w:val="center"/>
            <w:hideMark/>
          </w:tcPr>
          <w:p w14:paraId="3F214159" w14:textId="77777777" w:rsidR="00F87423" w:rsidRPr="00490D1B" w:rsidRDefault="00F87423" w:rsidP="00F87423">
            <w:pPr>
              <w:spacing w:line="240" w:lineRule="auto"/>
              <w:rPr>
                <w:rFonts w:ascii="Times New Roman" w:eastAsia="Times New Roman" w:hAnsi="Times New Roman" w:cs="Times New Roman"/>
                <w:color w:val="000000" w:themeColor="text1"/>
                <w:kern w:val="0"/>
                <w:lang w:eastAsia="pt-BR"/>
                <w14:ligatures w14:val="none"/>
              </w:rPr>
            </w:pPr>
            <w:r w:rsidRPr="00490D1B">
              <w:rPr>
                <w:rFonts w:ascii="Times New Roman" w:eastAsia="Times New Roman" w:hAnsi="Times New Roman" w:cs="Times New Roman"/>
                <w:color w:val="000000" w:themeColor="text1"/>
                <w:kern w:val="0"/>
                <w:lang w:eastAsia="pt-BR"/>
                <w14:ligatures w14:val="none"/>
              </w:rPr>
              <w:t>Competência</w:t>
            </w:r>
          </w:p>
        </w:tc>
        <w:tc>
          <w:tcPr>
            <w:tcW w:w="1003" w:type="dxa"/>
            <w:tcBorders>
              <w:top w:val="single" w:sz="8" w:space="0" w:color="auto"/>
              <w:left w:val="nil"/>
              <w:bottom w:val="single" w:sz="8" w:space="0" w:color="auto"/>
              <w:right w:val="single" w:sz="8" w:space="0" w:color="auto"/>
            </w:tcBorders>
            <w:vAlign w:val="center"/>
            <w:hideMark/>
          </w:tcPr>
          <w:p w14:paraId="79D4B7E3" w14:textId="77777777" w:rsidR="00F87423" w:rsidRPr="00490D1B" w:rsidRDefault="00F87423" w:rsidP="00F87423">
            <w:pPr>
              <w:spacing w:line="240" w:lineRule="auto"/>
              <w:rPr>
                <w:rFonts w:ascii="Times New Roman" w:eastAsia="Times New Roman" w:hAnsi="Times New Roman" w:cs="Times New Roman"/>
                <w:color w:val="000000" w:themeColor="text1"/>
                <w:kern w:val="0"/>
                <w:lang w:eastAsia="pt-BR"/>
                <w14:ligatures w14:val="none"/>
              </w:rPr>
            </w:pPr>
            <w:r w:rsidRPr="00490D1B">
              <w:rPr>
                <w:rFonts w:ascii="Times New Roman" w:eastAsia="Times New Roman" w:hAnsi="Times New Roman" w:cs="Times New Roman"/>
                <w:color w:val="000000" w:themeColor="text1"/>
                <w:kern w:val="0"/>
                <w:lang w:eastAsia="pt-BR"/>
                <w14:ligatures w14:val="none"/>
              </w:rPr>
              <w:t>Receita (R$)</w:t>
            </w:r>
          </w:p>
        </w:tc>
        <w:tc>
          <w:tcPr>
            <w:tcW w:w="1003" w:type="dxa"/>
            <w:tcBorders>
              <w:top w:val="single" w:sz="8" w:space="0" w:color="auto"/>
              <w:left w:val="nil"/>
              <w:bottom w:val="single" w:sz="8" w:space="0" w:color="auto"/>
              <w:right w:val="single" w:sz="8" w:space="0" w:color="auto"/>
            </w:tcBorders>
            <w:vAlign w:val="center"/>
            <w:hideMark/>
          </w:tcPr>
          <w:p w14:paraId="709F8762" w14:textId="77777777" w:rsidR="00F87423" w:rsidRPr="00490D1B" w:rsidRDefault="00F87423" w:rsidP="00F87423">
            <w:pPr>
              <w:spacing w:line="240" w:lineRule="auto"/>
              <w:rPr>
                <w:rFonts w:ascii="Times New Roman" w:eastAsia="Times New Roman" w:hAnsi="Times New Roman" w:cs="Times New Roman"/>
                <w:color w:val="000000" w:themeColor="text1"/>
                <w:kern w:val="0"/>
                <w:lang w:eastAsia="pt-BR"/>
                <w14:ligatures w14:val="none"/>
              </w:rPr>
            </w:pPr>
            <w:r w:rsidRPr="00490D1B">
              <w:rPr>
                <w:rFonts w:ascii="Times New Roman" w:eastAsia="Times New Roman" w:hAnsi="Times New Roman" w:cs="Times New Roman"/>
                <w:color w:val="000000" w:themeColor="text1"/>
                <w:kern w:val="0"/>
                <w:lang w:eastAsia="pt-BR"/>
                <w14:ligatures w14:val="none"/>
              </w:rPr>
              <w:t>Custo (R$)</w:t>
            </w:r>
          </w:p>
        </w:tc>
        <w:tc>
          <w:tcPr>
            <w:tcW w:w="1003" w:type="dxa"/>
            <w:tcBorders>
              <w:top w:val="single" w:sz="8" w:space="0" w:color="auto"/>
              <w:left w:val="nil"/>
              <w:bottom w:val="single" w:sz="8" w:space="0" w:color="auto"/>
              <w:right w:val="single" w:sz="8" w:space="0" w:color="auto"/>
            </w:tcBorders>
            <w:vAlign w:val="center"/>
            <w:hideMark/>
          </w:tcPr>
          <w:p w14:paraId="3319A7A0" w14:textId="77777777" w:rsidR="00F87423" w:rsidRPr="00490D1B" w:rsidRDefault="00F87423" w:rsidP="00F87423">
            <w:pPr>
              <w:spacing w:line="240" w:lineRule="auto"/>
              <w:rPr>
                <w:rFonts w:ascii="Times New Roman" w:eastAsia="Times New Roman" w:hAnsi="Times New Roman" w:cs="Times New Roman"/>
                <w:color w:val="000000" w:themeColor="text1"/>
                <w:kern w:val="0"/>
                <w:lang w:eastAsia="pt-BR"/>
                <w14:ligatures w14:val="none"/>
              </w:rPr>
            </w:pPr>
            <w:r w:rsidRPr="00490D1B">
              <w:rPr>
                <w:rFonts w:ascii="Times New Roman" w:eastAsia="Times New Roman" w:hAnsi="Times New Roman" w:cs="Times New Roman"/>
                <w:color w:val="000000" w:themeColor="text1"/>
                <w:kern w:val="0"/>
                <w:lang w:eastAsia="pt-BR"/>
                <w14:ligatures w14:val="none"/>
              </w:rPr>
              <w:t>Base (R$)</w:t>
            </w:r>
          </w:p>
        </w:tc>
        <w:tc>
          <w:tcPr>
            <w:tcW w:w="827" w:type="dxa"/>
            <w:tcBorders>
              <w:top w:val="single" w:sz="8" w:space="0" w:color="auto"/>
              <w:left w:val="nil"/>
              <w:bottom w:val="single" w:sz="8" w:space="0" w:color="auto"/>
              <w:right w:val="single" w:sz="8" w:space="0" w:color="auto"/>
            </w:tcBorders>
            <w:vAlign w:val="center"/>
            <w:hideMark/>
          </w:tcPr>
          <w:p w14:paraId="7A4063B0" w14:textId="77777777" w:rsidR="00F87423" w:rsidRPr="00490D1B" w:rsidRDefault="00F87423" w:rsidP="00F87423">
            <w:pPr>
              <w:spacing w:line="240" w:lineRule="auto"/>
              <w:rPr>
                <w:rFonts w:ascii="Times New Roman" w:eastAsia="Times New Roman" w:hAnsi="Times New Roman" w:cs="Times New Roman"/>
                <w:color w:val="000000" w:themeColor="text1"/>
                <w:kern w:val="0"/>
                <w:lang w:eastAsia="pt-BR"/>
                <w14:ligatures w14:val="none"/>
              </w:rPr>
            </w:pPr>
            <w:r w:rsidRPr="00490D1B">
              <w:rPr>
                <w:rFonts w:ascii="Times New Roman" w:eastAsia="Times New Roman" w:hAnsi="Times New Roman" w:cs="Times New Roman"/>
                <w:color w:val="000000" w:themeColor="text1"/>
                <w:kern w:val="0"/>
                <w:lang w:eastAsia="pt-BR"/>
                <w14:ligatures w14:val="none"/>
              </w:rPr>
              <w:t>CBS (9,3%)</w:t>
            </w:r>
          </w:p>
        </w:tc>
        <w:tc>
          <w:tcPr>
            <w:tcW w:w="823" w:type="dxa"/>
            <w:tcBorders>
              <w:top w:val="single" w:sz="8" w:space="0" w:color="auto"/>
              <w:left w:val="nil"/>
              <w:bottom w:val="single" w:sz="8" w:space="0" w:color="auto"/>
              <w:right w:val="single" w:sz="8" w:space="0" w:color="auto"/>
            </w:tcBorders>
            <w:vAlign w:val="center"/>
            <w:hideMark/>
          </w:tcPr>
          <w:p w14:paraId="133D4A7B" w14:textId="77777777" w:rsidR="00F87423" w:rsidRPr="00490D1B" w:rsidRDefault="00F87423" w:rsidP="00F87423">
            <w:pPr>
              <w:spacing w:line="240" w:lineRule="auto"/>
              <w:rPr>
                <w:rFonts w:ascii="Times New Roman" w:eastAsia="Times New Roman" w:hAnsi="Times New Roman" w:cs="Times New Roman"/>
                <w:color w:val="000000" w:themeColor="text1"/>
                <w:kern w:val="0"/>
                <w:lang w:eastAsia="pt-BR"/>
                <w14:ligatures w14:val="none"/>
              </w:rPr>
            </w:pPr>
            <w:r w:rsidRPr="00490D1B">
              <w:rPr>
                <w:rFonts w:ascii="Times New Roman" w:eastAsia="Times New Roman" w:hAnsi="Times New Roman" w:cs="Times New Roman"/>
                <w:color w:val="000000" w:themeColor="text1"/>
                <w:kern w:val="0"/>
                <w:lang w:eastAsia="pt-BR"/>
                <w14:ligatures w14:val="none"/>
              </w:rPr>
              <w:t>IBS (18,7%)</w:t>
            </w:r>
          </w:p>
        </w:tc>
        <w:tc>
          <w:tcPr>
            <w:tcW w:w="823" w:type="dxa"/>
            <w:tcBorders>
              <w:top w:val="single" w:sz="8" w:space="0" w:color="auto"/>
              <w:left w:val="nil"/>
              <w:bottom w:val="single" w:sz="8" w:space="0" w:color="auto"/>
              <w:right w:val="single" w:sz="8" w:space="0" w:color="auto"/>
            </w:tcBorders>
            <w:vAlign w:val="center"/>
            <w:hideMark/>
          </w:tcPr>
          <w:p w14:paraId="315F07C2" w14:textId="77777777" w:rsidR="00F87423" w:rsidRPr="00490D1B" w:rsidRDefault="00F87423" w:rsidP="00F87423">
            <w:pPr>
              <w:spacing w:line="240" w:lineRule="auto"/>
              <w:rPr>
                <w:rFonts w:ascii="Times New Roman" w:eastAsia="Times New Roman" w:hAnsi="Times New Roman" w:cs="Times New Roman"/>
                <w:color w:val="000000" w:themeColor="text1"/>
                <w:kern w:val="0"/>
                <w:lang w:eastAsia="pt-BR"/>
                <w14:ligatures w14:val="none"/>
              </w:rPr>
            </w:pPr>
            <w:r w:rsidRPr="00490D1B">
              <w:rPr>
                <w:rFonts w:ascii="Times New Roman" w:eastAsia="Times New Roman" w:hAnsi="Times New Roman" w:cs="Times New Roman"/>
                <w:color w:val="000000" w:themeColor="text1"/>
                <w:kern w:val="0"/>
                <w:lang w:eastAsia="pt-BR"/>
                <w14:ligatures w14:val="none"/>
              </w:rPr>
              <w:t>Total Mensal (R$)</w:t>
            </w:r>
          </w:p>
        </w:tc>
      </w:tr>
      <w:tr w:rsidR="00490D1B" w:rsidRPr="00490D1B" w14:paraId="53F13285" w14:textId="77777777" w:rsidTr="00F87423">
        <w:trPr>
          <w:trHeight w:val="324"/>
        </w:trPr>
        <w:tc>
          <w:tcPr>
            <w:tcW w:w="1298" w:type="dxa"/>
            <w:tcBorders>
              <w:top w:val="nil"/>
              <w:left w:val="single" w:sz="8" w:space="0" w:color="auto"/>
              <w:bottom w:val="single" w:sz="8" w:space="0" w:color="auto"/>
              <w:right w:val="single" w:sz="8" w:space="0" w:color="auto"/>
            </w:tcBorders>
            <w:vAlign w:val="center"/>
            <w:hideMark/>
          </w:tcPr>
          <w:p w14:paraId="544BF0D1" w14:textId="77777777" w:rsidR="00F87423" w:rsidRPr="00490D1B" w:rsidRDefault="00F87423" w:rsidP="00F87423">
            <w:pPr>
              <w:spacing w:line="240" w:lineRule="auto"/>
              <w:rPr>
                <w:rFonts w:ascii="Times New Roman" w:eastAsia="Times New Roman" w:hAnsi="Times New Roman" w:cs="Times New Roman"/>
                <w:color w:val="000000" w:themeColor="text1"/>
                <w:kern w:val="0"/>
                <w:lang w:eastAsia="pt-BR"/>
                <w14:ligatures w14:val="none"/>
              </w:rPr>
            </w:pPr>
            <w:r w:rsidRPr="00490D1B">
              <w:rPr>
                <w:rFonts w:ascii="Times New Roman" w:eastAsia="Times New Roman" w:hAnsi="Times New Roman" w:cs="Times New Roman"/>
                <w:color w:val="000000" w:themeColor="text1"/>
                <w:kern w:val="0"/>
                <w:lang w:eastAsia="pt-BR"/>
                <w14:ligatures w14:val="none"/>
              </w:rPr>
              <w:t>Janeiro</w:t>
            </w:r>
          </w:p>
        </w:tc>
        <w:tc>
          <w:tcPr>
            <w:tcW w:w="1003" w:type="dxa"/>
            <w:tcBorders>
              <w:top w:val="nil"/>
              <w:left w:val="nil"/>
              <w:bottom w:val="single" w:sz="8" w:space="0" w:color="auto"/>
              <w:right w:val="single" w:sz="8" w:space="0" w:color="auto"/>
            </w:tcBorders>
            <w:vAlign w:val="center"/>
            <w:hideMark/>
          </w:tcPr>
          <w:p w14:paraId="00626223" w14:textId="77777777" w:rsidR="00F87423" w:rsidRPr="00490D1B" w:rsidRDefault="00F87423" w:rsidP="00F87423">
            <w:pPr>
              <w:spacing w:line="240" w:lineRule="auto"/>
              <w:rPr>
                <w:rFonts w:ascii="Times New Roman" w:eastAsia="Times New Roman" w:hAnsi="Times New Roman" w:cs="Times New Roman"/>
                <w:color w:val="000000" w:themeColor="text1"/>
                <w:kern w:val="0"/>
                <w:lang w:eastAsia="pt-BR"/>
                <w14:ligatures w14:val="none"/>
              </w:rPr>
            </w:pPr>
            <w:r w:rsidRPr="00490D1B">
              <w:rPr>
                <w:rFonts w:ascii="Times New Roman" w:eastAsia="Times New Roman" w:hAnsi="Times New Roman" w:cs="Times New Roman"/>
                <w:color w:val="000000" w:themeColor="text1"/>
                <w:kern w:val="0"/>
                <w:lang w:eastAsia="pt-BR"/>
                <w14:ligatures w14:val="none"/>
              </w:rPr>
              <w:t>1.250.000</w:t>
            </w:r>
          </w:p>
        </w:tc>
        <w:tc>
          <w:tcPr>
            <w:tcW w:w="1003" w:type="dxa"/>
            <w:tcBorders>
              <w:top w:val="nil"/>
              <w:left w:val="nil"/>
              <w:bottom w:val="single" w:sz="8" w:space="0" w:color="auto"/>
              <w:right w:val="single" w:sz="8" w:space="0" w:color="auto"/>
            </w:tcBorders>
            <w:vAlign w:val="center"/>
            <w:hideMark/>
          </w:tcPr>
          <w:p w14:paraId="595B94E2" w14:textId="77777777" w:rsidR="00F87423" w:rsidRPr="00490D1B" w:rsidRDefault="00F87423" w:rsidP="00F87423">
            <w:pPr>
              <w:spacing w:line="240" w:lineRule="auto"/>
              <w:rPr>
                <w:rFonts w:ascii="Times New Roman" w:eastAsia="Times New Roman" w:hAnsi="Times New Roman" w:cs="Times New Roman"/>
                <w:color w:val="000000" w:themeColor="text1"/>
                <w:kern w:val="0"/>
                <w:lang w:eastAsia="pt-BR"/>
                <w14:ligatures w14:val="none"/>
              </w:rPr>
            </w:pPr>
            <w:r w:rsidRPr="00490D1B">
              <w:rPr>
                <w:rFonts w:ascii="Times New Roman" w:eastAsia="Times New Roman" w:hAnsi="Times New Roman" w:cs="Times New Roman"/>
                <w:color w:val="000000" w:themeColor="text1"/>
                <w:kern w:val="0"/>
                <w:lang w:eastAsia="pt-BR"/>
                <w14:ligatures w14:val="none"/>
              </w:rPr>
              <w:t>380.000</w:t>
            </w:r>
          </w:p>
        </w:tc>
        <w:tc>
          <w:tcPr>
            <w:tcW w:w="1003" w:type="dxa"/>
            <w:tcBorders>
              <w:top w:val="nil"/>
              <w:left w:val="nil"/>
              <w:bottom w:val="single" w:sz="8" w:space="0" w:color="auto"/>
              <w:right w:val="single" w:sz="8" w:space="0" w:color="auto"/>
            </w:tcBorders>
            <w:vAlign w:val="center"/>
            <w:hideMark/>
          </w:tcPr>
          <w:p w14:paraId="296B7679" w14:textId="77777777" w:rsidR="00F87423" w:rsidRPr="00490D1B" w:rsidRDefault="00F87423" w:rsidP="00F87423">
            <w:pPr>
              <w:spacing w:line="240" w:lineRule="auto"/>
              <w:rPr>
                <w:rFonts w:ascii="Times New Roman" w:eastAsia="Times New Roman" w:hAnsi="Times New Roman" w:cs="Times New Roman"/>
                <w:color w:val="000000" w:themeColor="text1"/>
                <w:kern w:val="0"/>
                <w:lang w:eastAsia="pt-BR"/>
                <w14:ligatures w14:val="none"/>
              </w:rPr>
            </w:pPr>
            <w:r w:rsidRPr="00490D1B">
              <w:rPr>
                <w:rFonts w:ascii="Times New Roman" w:eastAsia="Times New Roman" w:hAnsi="Times New Roman" w:cs="Times New Roman"/>
                <w:color w:val="000000" w:themeColor="text1"/>
                <w:kern w:val="0"/>
                <w:lang w:eastAsia="pt-BR"/>
                <w14:ligatures w14:val="none"/>
              </w:rPr>
              <w:t>870.000</w:t>
            </w:r>
          </w:p>
        </w:tc>
        <w:tc>
          <w:tcPr>
            <w:tcW w:w="827" w:type="dxa"/>
            <w:tcBorders>
              <w:top w:val="nil"/>
              <w:left w:val="nil"/>
              <w:bottom w:val="single" w:sz="8" w:space="0" w:color="auto"/>
              <w:right w:val="single" w:sz="8" w:space="0" w:color="auto"/>
            </w:tcBorders>
            <w:vAlign w:val="center"/>
            <w:hideMark/>
          </w:tcPr>
          <w:p w14:paraId="1AACD60D" w14:textId="77777777" w:rsidR="00F87423" w:rsidRPr="00490D1B" w:rsidRDefault="00F87423" w:rsidP="00F87423">
            <w:pPr>
              <w:spacing w:line="240" w:lineRule="auto"/>
              <w:rPr>
                <w:rFonts w:ascii="Times New Roman" w:eastAsia="Times New Roman" w:hAnsi="Times New Roman" w:cs="Times New Roman"/>
                <w:color w:val="000000" w:themeColor="text1"/>
                <w:kern w:val="0"/>
                <w:lang w:eastAsia="pt-BR"/>
                <w14:ligatures w14:val="none"/>
              </w:rPr>
            </w:pPr>
            <w:r w:rsidRPr="00490D1B">
              <w:rPr>
                <w:rFonts w:ascii="Times New Roman" w:eastAsia="Times New Roman" w:hAnsi="Times New Roman" w:cs="Times New Roman"/>
                <w:color w:val="000000" w:themeColor="text1"/>
                <w:kern w:val="0"/>
                <w:lang w:eastAsia="pt-BR"/>
                <w14:ligatures w14:val="none"/>
              </w:rPr>
              <w:t>80.910</w:t>
            </w:r>
          </w:p>
        </w:tc>
        <w:tc>
          <w:tcPr>
            <w:tcW w:w="823" w:type="dxa"/>
            <w:tcBorders>
              <w:top w:val="nil"/>
              <w:left w:val="nil"/>
              <w:bottom w:val="single" w:sz="8" w:space="0" w:color="auto"/>
              <w:right w:val="single" w:sz="8" w:space="0" w:color="auto"/>
            </w:tcBorders>
            <w:vAlign w:val="center"/>
            <w:hideMark/>
          </w:tcPr>
          <w:p w14:paraId="739C7F3F" w14:textId="77777777" w:rsidR="00F87423" w:rsidRPr="00490D1B" w:rsidRDefault="00F87423" w:rsidP="00F87423">
            <w:pPr>
              <w:spacing w:line="240" w:lineRule="auto"/>
              <w:rPr>
                <w:rFonts w:ascii="Times New Roman" w:eastAsia="Times New Roman" w:hAnsi="Times New Roman" w:cs="Times New Roman"/>
                <w:color w:val="000000" w:themeColor="text1"/>
                <w:kern w:val="0"/>
                <w:lang w:eastAsia="pt-BR"/>
                <w14:ligatures w14:val="none"/>
              </w:rPr>
            </w:pPr>
            <w:r w:rsidRPr="00490D1B">
              <w:rPr>
                <w:rFonts w:ascii="Times New Roman" w:eastAsia="Times New Roman" w:hAnsi="Times New Roman" w:cs="Times New Roman"/>
                <w:color w:val="000000" w:themeColor="text1"/>
                <w:kern w:val="0"/>
                <w:lang w:eastAsia="pt-BR"/>
                <w14:ligatures w14:val="none"/>
              </w:rPr>
              <w:t>162.690</w:t>
            </w:r>
          </w:p>
        </w:tc>
        <w:tc>
          <w:tcPr>
            <w:tcW w:w="823" w:type="dxa"/>
            <w:tcBorders>
              <w:top w:val="nil"/>
              <w:left w:val="nil"/>
              <w:bottom w:val="single" w:sz="8" w:space="0" w:color="auto"/>
              <w:right w:val="single" w:sz="8" w:space="0" w:color="auto"/>
            </w:tcBorders>
            <w:vAlign w:val="center"/>
            <w:hideMark/>
          </w:tcPr>
          <w:p w14:paraId="55CA7B83" w14:textId="77777777" w:rsidR="00F87423" w:rsidRPr="00490D1B" w:rsidRDefault="00F87423" w:rsidP="00F87423">
            <w:pPr>
              <w:spacing w:line="240" w:lineRule="auto"/>
              <w:rPr>
                <w:rFonts w:ascii="Times New Roman" w:eastAsia="Times New Roman" w:hAnsi="Times New Roman" w:cs="Times New Roman"/>
                <w:color w:val="000000" w:themeColor="text1"/>
                <w:kern w:val="0"/>
                <w:lang w:eastAsia="pt-BR"/>
                <w14:ligatures w14:val="none"/>
              </w:rPr>
            </w:pPr>
            <w:r w:rsidRPr="00490D1B">
              <w:rPr>
                <w:rFonts w:ascii="Times New Roman" w:eastAsia="Times New Roman" w:hAnsi="Times New Roman" w:cs="Times New Roman"/>
                <w:color w:val="000000" w:themeColor="text1"/>
                <w:kern w:val="0"/>
                <w:lang w:eastAsia="pt-BR"/>
                <w14:ligatures w14:val="none"/>
              </w:rPr>
              <w:t>243.600</w:t>
            </w:r>
          </w:p>
        </w:tc>
      </w:tr>
      <w:tr w:rsidR="00490D1B" w:rsidRPr="00490D1B" w14:paraId="0DF515B8" w14:textId="77777777" w:rsidTr="00F87423">
        <w:trPr>
          <w:trHeight w:val="636"/>
        </w:trPr>
        <w:tc>
          <w:tcPr>
            <w:tcW w:w="1298" w:type="dxa"/>
            <w:tcBorders>
              <w:top w:val="nil"/>
              <w:left w:val="single" w:sz="8" w:space="0" w:color="auto"/>
              <w:bottom w:val="single" w:sz="8" w:space="0" w:color="auto"/>
              <w:right w:val="single" w:sz="8" w:space="0" w:color="auto"/>
            </w:tcBorders>
            <w:vAlign w:val="center"/>
            <w:hideMark/>
          </w:tcPr>
          <w:p w14:paraId="672C01AA" w14:textId="77777777" w:rsidR="00F87423" w:rsidRPr="00490D1B" w:rsidRDefault="00F87423" w:rsidP="00F87423">
            <w:pPr>
              <w:spacing w:line="240" w:lineRule="auto"/>
              <w:rPr>
                <w:rFonts w:ascii="Times New Roman" w:eastAsia="Times New Roman" w:hAnsi="Times New Roman" w:cs="Times New Roman"/>
                <w:color w:val="000000" w:themeColor="text1"/>
                <w:kern w:val="0"/>
                <w:lang w:eastAsia="pt-BR"/>
                <w14:ligatures w14:val="none"/>
              </w:rPr>
            </w:pPr>
            <w:r w:rsidRPr="00490D1B">
              <w:rPr>
                <w:rFonts w:ascii="Times New Roman" w:eastAsia="Times New Roman" w:hAnsi="Times New Roman" w:cs="Times New Roman"/>
                <w:color w:val="000000" w:themeColor="text1"/>
                <w:kern w:val="0"/>
                <w:lang w:eastAsia="pt-BR"/>
                <w14:ligatures w14:val="none"/>
              </w:rPr>
              <w:t>Fevereiro</w:t>
            </w:r>
          </w:p>
        </w:tc>
        <w:tc>
          <w:tcPr>
            <w:tcW w:w="1003" w:type="dxa"/>
            <w:tcBorders>
              <w:top w:val="nil"/>
              <w:left w:val="nil"/>
              <w:bottom w:val="single" w:sz="8" w:space="0" w:color="auto"/>
              <w:right w:val="single" w:sz="8" w:space="0" w:color="auto"/>
            </w:tcBorders>
            <w:vAlign w:val="center"/>
            <w:hideMark/>
          </w:tcPr>
          <w:p w14:paraId="1E48BF6F" w14:textId="77777777" w:rsidR="00F87423" w:rsidRPr="00490D1B" w:rsidRDefault="00F87423" w:rsidP="00F87423">
            <w:pPr>
              <w:spacing w:line="240" w:lineRule="auto"/>
              <w:rPr>
                <w:rFonts w:ascii="Times New Roman" w:eastAsia="Times New Roman" w:hAnsi="Times New Roman" w:cs="Times New Roman"/>
                <w:color w:val="000000" w:themeColor="text1"/>
                <w:kern w:val="0"/>
                <w:lang w:eastAsia="pt-BR"/>
                <w14:ligatures w14:val="none"/>
              </w:rPr>
            </w:pPr>
            <w:r w:rsidRPr="00490D1B">
              <w:rPr>
                <w:rFonts w:ascii="Times New Roman" w:eastAsia="Times New Roman" w:hAnsi="Times New Roman" w:cs="Times New Roman"/>
                <w:color w:val="000000" w:themeColor="text1"/>
                <w:kern w:val="0"/>
                <w:lang w:eastAsia="pt-BR"/>
                <w14:ligatures w14:val="none"/>
              </w:rPr>
              <w:t>1.450.000</w:t>
            </w:r>
          </w:p>
        </w:tc>
        <w:tc>
          <w:tcPr>
            <w:tcW w:w="1003" w:type="dxa"/>
            <w:tcBorders>
              <w:top w:val="nil"/>
              <w:left w:val="nil"/>
              <w:bottom w:val="single" w:sz="8" w:space="0" w:color="auto"/>
              <w:right w:val="single" w:sz="8" w:space="0" w:color="auto"/>
            </w:tcBorders>
            <w:vAlign w:val="center"/>
            <w:hideMark/>
          </w:tcPr>
          <w:p w14:paraId="67E4D5A5" w14:textId="77777777" w:rsidR="00F87423" w:rsidRPr="00490D1B" w:rsidRDefault="00F87423" w:rsidP="00F87423">
            <w:pPr>
              <w:spacing w:line="240" w:lineRule="auto"/>
              <w:rPr>
                <w:rFonts w:ascii="Times New Roman" w:eastAsia="Times New Roman" w:hAnsi="Times New Roman" w:cs="Times New Roman"/>
                <w:color w:val="000000" w:themeColor="text1"/>
                <w:kern w:val="0"/>
                <w:lang w:eastAsia="pt-BR"/>
                <w14:ligatures w14:val="none"/>
              </w:rPr>
            </w:pPr>
            <w:r w:rsidRPr="00490D1B">
              <w:rPr>
                <w:rFonts w:ascii="Times New Roman" w:eastAsia="Times New Roman" w:hAnsi="Times New Roman" w:cs="Times New Roman"/>
                <w:color w:val="000000" w:themeColor="text1"/>
                <w:kern w:val="0"/>
                <w:lang w:eastAsia="pt-BR"/>
                <w14:ligatures w14:val="none"/>
              </w:rPr>
              <w:t>420.000</w:t>
            </w:r>
          </w:p>
        </w:tc>
        <w:tc>
          <w:tcPr>
            <w:tcW w:w="1003" w:type="dxa"/>
            <w:tcBorders>
              <w:top w:val="nil"/>
              <w:left w:val="nil"/>
              <w:bottom w:val="single" w:sz="8" w:space="0" w:color="auto"/>
              <w:right w:val="single" w:sz="8" w:space="0" w:color="auto"/>
            </w:tcBorders>
            <w:vAlign w:val="center"/>
            <w:hideMark/>
          </w:tcPr>
          <w:p w14:paraId="50E5105A" w14:textId="77777777" w:rsidR="00F87423" w:rsidRPr="00490D1B" w:rsidRDefault="00F87423" w:rsidP="00F87423">
            <w:pPr>
              <w:spacing w:line="240" w:lineRule="auto"/>
              <w:rPr>
                <w:rFonts w:ascii="Times New Roman" w:eastAsia="Times New Roman" w:hAnsi="Times New Roman" w:cs="Times New Roman"/>
                <w:color w:val="000000" w:themeColor="text1"/>
                <w:kern w:val="0"/>
                <w:lang w:eastAsia="pt-BR"/>
                <w14:ligatures w14:val="none"/>
              </w:rPr>
            </w:pPr>
            <w:r w:rsidRPr="00490D1B">
              <w:rPr>
                <w:rFonts w:ascii="Times New Roman" w:eastAsia="Times New Roman" w:hAnsi="Times New Roman" w:cs="Times New Roman"/>
                <w:color w:val="000000" w:themeColor="text1"/>
                <w:kern w:val="0"/>
                <w:lang w:eastAsia="pt-BR"/>
                <w14:ligatures w14:val="none"/>
              </w:rPr>
              <w:t>1.030.000</w:t>
            </w:r>
          </w:p>
        </w:tc>
        <w:tc>
          <w:tcPr>
            <w:tcW w:w="827" w:type="dxa"/>
            <w:tcBorders>
              <w:top w:val="nil"/>
              <w:left w:val="nil"/>
              <w:bottom w:val="single" w:sz="8" w:space="0" w:color="auto"/>
              <w:right w:val="single" w:sz="8" w:space="0" w:color="auto"/>
            </w:tcBorders>
            <w:vAlign w:val="center"/>
            <w:hideMark/>
          </w:tcPr>
          <w:p w14:paraId="7EB13EBC" w14:textId="77777777" w:rsidR="00F87423" w:rsidRPr="00490D1B" w:rsidRDefault="00F87423" w:rsidP="00F87423">
            <w:pPr>
              <w:spacing w:line="240" w:lineRule="auto"/>
              <w:rPr>
                <w:rFonts w:ascii="Times New Roman" w:eastAsia="Times New Roman" w:hAnsi="Times New Roman" w:cs="Times New Roman"/>
                <w:color w:val="000000" w:themeColor="text1"/>
                <w:kern w:val="0"/>
                <w:lang w:eastAsia="pt-BR"/>
                <w14:ligatures w14:val="none"/>
              </w:rPr>
            </w:pPr>
            <w:r w:rsidRPr="00490D1B">
              <w:rPr>
                <w:rFonts w:ascii="Times New Roman" w:eastAsia="Times New Roman" w:hAnsi="Times New Roman" w:cs="Times New Roman"/>
                <w:color w:val="000000" w:themeColor="text1"/>
                <w:kern w:val="0"/>
                <w:lang w:eastAsia="pt-BR"/>
                <w14:ligatures w14:val="none"/>
              </w:rPr>
              <w:t>95.790</w:t>
            </w:r>
          </w:p>
        </w:tc>
        <w:tc>
          <w:tcPr>
            <w:tcW w:w="823" w:type="dxa"/>
            <w:tcBorders>
              <w:top w:val="nil"/>
              <w:left w:val="nil"/>
              <w:bottom w:val="single" w:sz="8" w:space="0" w:color="auto"/>
              <w:right w:val="single" w:sz="8" w:space="0" w:color="auto"/>
            </w:tcBorders>
            <w:vAlign w:val="center"/>
            <w:hideMark/>
          </w:tcPr>
          <w:p w14:paraId="70C09DAB" w14:textId="77777777" w:rsidR="00F87423" w:rsidRPr="00490D1B" w:rsidRDefault="00F87423" w:rsidP="00F87423">
            <w:pPr>
              <w:spacing w:line="240" w:lineRule="auto"/>
              <w:rPr>
                <w:rFonts w:ascii="Times New Roman" w:eastAsia="Times New Roman" w:hAnsi="Times New Roman" w:cs="Times New Roman"/>
                <w:color w:val="000000" w:themeColor="text1"/>
                <w:kern w:val="0"/>
                <w:lang w:eastAsia="pt-BR"/>
                <w14:ligatures w14:val="none"/>
              </w:rPr>
            </w:pPr>
            <w:r w:rsidRPr="00490D1B">
              <w:rPr>
                <w:rFonts w:ascii="Times New Roman" w:eastAsia="Times New Roman" w:hAnsi="Times New Roman" w:cs="Times New Roman"/>
                <w:color w:val="000000" w:themeColor="text1"/>
                <w:kern w:val="0"/>
                <w:lang w:eastAsia="pt-BR"/>
                <w14:ligatures w14:val="none"/>
              </w:rPr>
              <w:t>192.610</w:t>
            </w:r>
          </w:p>
        </w:tc>
        <w:tc>
          <w:tcPr>
            <w:tcW w:w="823" w:type="dxa"/>
            <w:tcBorders>
              <w:top w:val="nil"/>
              <w:left w:val="nil"/>
              <w:bottom w:val="single" w:sz="8" w:space="0" w:color="auto"/>
              <w:right w:val="single" w:sz="8" w:space="0" w:color="auto"/>
            </w:tcBorders>
            <w:vAlign w:val="center"/>
            <w:hideMark/>
          </w:tcPr>
          <w:p w14:paraId="286D8E33" w14:textId="77777777" w:rsidR="00F87423" w:rsidRPr="00490D1B" w:rsidRDefault="00F87423" w:rsidP="00F87423">
            <w:pPr>
              <w:spacing w:line="240" w:lineRule="auto"/>
              <w:rPr>
                <w:rFonts w:ascii="Times New Roman" w:eastAsia="Times New Roman" w:hAnsi="Times New Roman" w:cs="Times New Roman"/>
                <w:color w:val="000000" w:themeColor="text1"/>
                <w:kern w:val="0"/>
                <w:lang w:eastAsia="pt-BR"/>
                <w14:ligatures w14:val="none"/>
              </w:rPr>
            </w:pPr>
            <w:r w:rsidRPr="00490D1B">
              <w:rPr>
                <w:rFonts w:ascii="Times New Roman" w:eastAsia="Times New Roman" w:hAnsi="Times New Roman" w:cs="Times New Roman"/>
                <w:color w:val="000000" w:themeColor="text1"/>
                <w:kern w:val="0"/>
                <w:lang w:eastAsia="pt-BR"/>
                <w14:ligatures w14:val="none"/>
              </w:rPr>
              <w:t>288.400</w:t>
            </w:r>
          </w:p>
        </w:tc>
      </w:tr>
      <w:tr w:rsidR="00490D1B" w:rsidRPr="00490D1B" w14:paraId="4ACA8A15" w14:textId="77777777" w:rsidTr="00F87423">
        <w:trPr>
          <w:trHeight w:val="324"/>
        </w:trPr>
        <w:tc>
          <w:tcPr>
            <w:tcW w:w="1298" w:type="dxa"/>
            <w:tcBorders>
              <w:top w:val="nil"/>
              <w:left w:val="single" w:sz="8" w:space="0" w:color="auto"/>
              <w:bottom w:val="single" w:sz="8" w:space="0" w:color="auto"/>
              <w:right w:val="single" w:sz="8" w:space="0" w:color="auto"/>
            </w:tcBorders>
            <w:vAlign w:val="center"/>
            <w:hideMark/>
          </w:tcPr>
          <w:p w14:paraId="0E4EE97F" w14:textId="77777777" w:rsidR="00F87423" w:rsidRPr="00490D1B" w:rsidRDefault="00F87423" w:rsidP="00F87423">
            <w:pPr>
              <w:spacing w:line="240" w:lineRule="auto"/>
              <w:rPr>
                <w:rFonts w:ascii="Times New Roman" w:eastAsia="Times New Roman" w:hAnsi="Times New Roman" w:cs="Times New Roman"/>
                <w:color w:val="000000" w:themeColor="text1"/>
                <w:kern w:val="0"/>
                <w:lang w:eastAsia="pt-BR"/>
                <w14:ligatures w14:val="none"/>
              </w:rPr>
            </w:pPr>
            <w:r w:rsidRPr="00490D1B">
              <w:rPr>
                <w:rFonts w:ascii="Times New Roman" w:eastAsia="Times New Roman" w:hAnsi="Times New Roman" w:cs="Times New Roman"/>
                <w:color w:val="000000" w:themeColor="text1"/>
                <w:kern w:val="0"/>
                <w:lang w:eastAsia="pt-BR"/>
                <w14:ligatures w14:val="none"/>
              </w:rPr>
              <w:t>Março</w:t>
            </w:r>
          </w:p>
        </w:tc>
        <w:tc>
          <w:tcPr>
            <w:tcW w:w="1003" w:type="dxa"/>
            <w:tcBorders>
              <w:top w:val="nil"/>
              <w:left w:val="nil"/>
              <w:bottom w:val="single" w:sz="8" w:space="0" w:color="auto"/>
              <w:right w:val="single" w:sz="8" w:space="0" w:color="auto"/>
            </w:tcBorders>
            <w:vAlign w:val="center"/>
            <w:hideMark/>
          </w:tcPr>
          <w:p w14:paraId="046062B7" w14:textId="77777777" w:rsidR="00F87423" w:rsidRPr="00490D1B" w:rsidRDefault="00F87423" w:rsidP="00F87423">
            <w:pPr>
              <w:spacing w:line="240" w:lineRule="auto"/>
              <w:rPr>
                <w:rFonts w:ascii="Times New Roman" w:eastAsia="Times New Roman" w:hAnsi="Times New Roman" w:cs="Times New Roman"/>
                <w:color w:val="000000" w:themeColor="text1"/>
                <w:kern w:val="0"/>
                <w:lang w:eastAsia="pt-BR"/>
                <w14:ligatures w14:val="none"/>
              </w:rPr>
            </w:pPr>
            <w:r w:rsidRPr="00490D1B">
              <w:rPr>
                <w:rFonts w:ascii="Times New Roman" w:eastAsia="Times New Roman" w:hAnsi="Times New Roman" w:cs="Times New Roman"/>
                <w:color w:val="000000" w:themeColor="text1"/>
                <w:kern w:val="0"/>
                <w:lang w:eastAsia="pt-BR"/>
                <w14:ligatures w14:val="none"/>
              </w:rPr>
              <w:t>1.650.000</w:t>
            </w:r>
          </w:p>
        </w:tc>
        <w:tc>
          <w:tcPr>
            <w:tcW w:w="1003" w:type="dxa"/>
            <w:tcBorders>
              <w:top w:val="nil"/>
              <w:left w:val="nil"/>
              <w:bottom w:val="single" w:sz="8" w:space="0" w:color="auto"/>
              <w:right w:val="single" w:sz="8" w:space="0" w:color="auto"/>
            </w:tcBorders>
            <w:vAlign w:val="center"/>
            <w:hideMark/>
          </w:tcPr>
          <w:p w14:paraId="00B7B517" w14:textId="77777777" w:rsidR="00F87423" w:rsidRPr="00490D1B" w:rsidRDefault="00F87423" w:rsidP="00F87423">
            <w:pPr>
              <w:spacing w:line="240" w:lineRule="auto"/>
              <w:rPr>
                <w:rFonts w:ascii="Times New Roman" w:eastAsia="Times New Roman" w:hAnsi="Times New Roman" w:cs="Times New Roman"/>
                <w:color w:val="000000" w:themeColor="text1"/>
                <w:kern w:val="0"/>
                <w:lang w:eastAsia="pt-BR"/>
                <w14:ligatures w14:val="none"/>
              </w:rPr>
            </w:pPr>
            <w:r w:rsidRPr="00490D1B">
              <w:rPr>
                <w:rFonts w:ascii="Times New Roman" w:eastAsia="Times New Roman" w:hAnsi="Times New Roman" w:cs="Times New Roman"/>
                <w:color w:val="000000" w:themeColor="text1"/>
                <w:kern w:val="0"/>
                <w:lang w:eastAsia="pt-BR"/>
                <w14:ligatures w14:val="none"/>
              </w:rPr>
              <w:t>480.000</w:t>
            </w:r>
          </w:p>
        </w:tc>
        <w:tc>
          <w:tcPr>
            <w:tcW w:w="1003" w:type="dxa"/>
            <w:tcBorders>
              <w:top w:val="nil"/>
              <w:left w:val="nil"/>
              <w:bottom w:val="single" w:sz="8" w:space="0" w:color="auto"/>
              <w:right w:val="single" w:sz="8" w:space="0" w:color="auto"/>
            </w:tcBorders>
            <w:vAlign w:val="center"/>
            <w:hideMark/>
          </w:tcPr>
          <w:p w14:paraId="22AAE616" w14:textId="77777777" w:rsidR="00F87423" w:rsidRPr="00490D1B" w:rsidRDefault="00F87423" w:rsidP="00F87423">
            <w:pPr>
              <w:spacing w:line="240" w:lineRule="auto"/>
              <w:rPr>
                <w:rFonts w:ascii="Times New Roman" w:eastAsia="Times New Roman" w:hAnsi="Times New Roman" w:cs="Times New Roman"/>
                <w:color w:val="000000" w:themeColor="text1"/>
                <w:kern w:val="0"/>
                <w:lang w:eastAsia="pt-BR"/>
                <w14:ligatures w14:val="none"/>
              </w:rPr>
            </w:pPr>
            <w:r w:rsidRPr="00490D1B">
              <w:rPr>
                <w:rFonts w:ascii="Times New Roman" w:eastAsia="Times New Roman" w:hAnsi="Times New Roman" w:cs="Times New Roman"/>
                <w:color w:val="000000" w:themeColor="text1"/>
                <w:kern w:val="0"/>
                <w:lang w:eastAsia="pt-BR"/>
                <w14:ligatures w14:val="none"/>
              </w:rPr>
              <w:t>1.170.000</w:t>
            </w:r>
          </w:p>
        </w:tc>
        <w:tc>
          <w:tcPr>
            <w:tcW w:w="827" w:type="dxa"/>
            <w:tcBorders>
              <w:top w:val="nil"/>
              <w:left w:val="nil"/>
              <w:bottom w:val="single" w:sz="8" w:space="0" w:color="auto"/>
              <w:right w:val="single" w:sz="8" w:space="0" w:color="auto"/>
            </w:tcBorders>
            <w:vAlign w:val="center"/>
            <w:hideMark/>
          </w:tcPr>
          <w:p w14:paraId="11498C59" w14:textId="77777777" w:rsidR="00F87423" w:rsidRPr="00490D1B" w:rsidRDefault="00F87423" w:rsidP="00F87423">
            <w:pPr>
              <w:spacing w:line="240" w:lineRule="auto"/>
              <w:rPr>
                <w:rFonts w:ascii="Times New Roman" w:eastAsia="Times New Roman" w:hAnsi="Times New Roman" w:cs="Times New Roman"/>
                <w:color w:val="000000" w:themeColor="text1"/>
                <w:kern w:val="0"/>
                <w:lang w:eastAsia="pt-BR"/>
                <w14:ligatures w14:val="none"/>
              </w:rPr>
            </w:pPr>
            <w:r w:rsidRPr="00490D1B">
              <w:rPr>
                <w:rFonts w:ascii="Times New Roman" w:eastAsia="Times New Roman" w:hAnsi="Times New Roman" w:cs="Times New Roman"/>
                <w:color w:val="000000" w:themeColor="text1"/>
                <w:kern w:val="0"/>
                <w:lang w:eastAsia="pt-BR"/>
                <w14:ligatures w14:val="none"/>
              </w:rPr>
              <w:t>108.810</w:t>
            </w:r>
          </w:p>
        </w:tc>
        <w:tc>
          <w:tcPr>
            <w:tcW w:w="823" w:type="dxa"/>
            <w:tcBorders>
              <w:top w:val="nil"/>
              <w:left w:val="nil"/>
              <w:bottom w:val="single" w:sz="8" w:space="0" w:color="auto"/>
              <w:right w:val="single" w:sz="8" w:space="0" w:color="auto"/>
            </w:tcBorders>
            <w:vAlign w:val="center"/>
            <w:hideMark/>
          </w:tcPr>
          <w:p w14:paraId="4D99F3B5" w14:textId="77777777" w:rsidR="00F87423" w:rsidRPr="00490D1B" w:rsidRDefault="00F87423" w:rsidP="00F87423">
            <w:pPr>
              <w:spacing w:line="240" w:lineRule="auto"/>
              <w:rPr>
                <w:rFonts w:ascii="Times New Roman" w:eastAsia="Times New Roman" w:hAnsi="Times New Roman" w:cs="Times New Roman"/>
                <w:color w:val="000000" w:themeColor="text1"/>
                <w:kern w:val="0"/>
                <w:lang w:eastAsia="pt-BR"/>
                <w14:ligatures w14:val="none"/>
              </w:rPr>
            </w:pPr>
            <w:r w:rsidRPr="00490D1B">
              <w:rPr>
                <w:rFonts w:ascii="Times New Roman" w:eastAsia="Times New Roman" w:hAnsi="Times New Roman" w:cs="Times New Roman"/>
                <w:color w:val="000000" w:themeColor="text1"/>
                <w:kern w:val="0"/>
                <w:lang w:eastAsia="pt-BR"/>
                <w14:ligatures w14:val="none"/>
              </w:rPr>
              <w:t>218.790</w:t>
            </w:r>
          </w:p>
        </w:tc>
        <w:tc>
          <w:tcPr>
            <w:tcW w:w="823" w:type="dxa"/>
            <w:tcBorders>
              <w:top w:val="nil"/>
              <w:left w:val="nil"/>
              <w:bottom w:val="single" w:sz="8" w:space="0" w:color="auto"/>
              <w:right w:val="single" w:sz="8" w:space="0" w:color="auto"/>
            </w:tcBorders>
            <w:vAlign w:val="center"/>
            <w:hideMark/>
          </w:tcPr>
          <w:p w14:paraId="26273FE2" w14:textId="77777777" w:rsidR="00F87423" w:rsidRPr="00490D1B" w:rsidRDefault="00F87423" w:rsidP="00F87423">
            <w:pPr>
              <w:spacing w:line="240" w:lineRule="auto"/>
              <w:rPr>
                <w:rFonts w:ascii="Times New Roman" w:eastAsia="Times New Roman" w:hAnsi="Times New Roman" w:cs="Times New Roman"/>
                <w:color w:val="000000" w:themeColor="text1"/>
                <w:kern w:val="0"/>
                <w:lang w:eastAsia="pt-BR"/>
                <w14:ligatures w14:val="none"/>
              </w:rPr>
            </w:pPr>
            <w:r w:rsidRPr="00490D1B">
              <w:rPr>
                <w:rFonts w:ascii="Times New Roman" w:eastAsia="Times New Roman" w:hAnsi="Times New Roman" w:cs="Times New Roman"/>
                <w:color w:val="000000" w:themeColor="text1"/>
                <w:kern w:val="0"/>
                <w:lang w:eastAsia="pt-BR"/>
                <w14:ligatures w14:val="none"/>
              </w:rPr>
              <w:t>327.600</w:t>
            </w:r>
          </w:p>
        </w:tc>
      </w:tr>
      <w:tr w:rsidR="00490D1B" w:rsidRPr="00490D1B" w14:paraId="0D54958F" w14:textId="77777777" w:rsidTr="00F87423">
        <w:trPr>
          <w:trHeight w:val="948"/>
        </w:trPr>
        <w:tc>
          <w:tcPr>
            <w:tcW w:w="1298" w:type="dxa"/>
            <w:tcBorders>
              <w:top w:val="nil"/>
              <w:left w:val="single" w:sz="8" w:space="0" w:color="auto"/>
              <w:bottom w:val="single" w:sz="8" w:space="0" w:color="auto"/>
              <w:right w:val="single" w:sz="8" w:space="0" w:color="auto"/>
            </w:tcBorders>
            <w:vAlign w:val="center"/>
            <w:hideMark/>
          </w:tcPr>
          <w:p w14:paraId="57201E52" w14:textId="77777777" w:rsidR="00F87423" w:rsidRPr="00490D1B" w:rsidRDefault="00F87423" w:rsidP="00F87423">
            <w:pPr>
              <w:spacing w:line="240" w:lineRule="auto"/>
              <w:rPr>
                <w:rFonts w:ascii="Times New Roman" w:eastAsia="Times New Roman" w:hAnsi="Times New Roman" w:cs="Times New Roman"/>
                <w:color w:val="000000" w:themeColor="text1"/>
                <w:kern w:val="0"/>
                <w:lang w:eastAsia="pt-BR"/>
                <w14:ligatures w14:val="none"/>
              </w:rPr>
            </w:pPr>
            <w:r w:rsidRPr="00490D1B">
              <w:rPr>
                <w:rFonts w:ascii="Times New Roman" w:eastAsia="Times New Roman" w:hAnsi="Times New Roman" w:cs="Times New Roman"/>
                <w:color w:val="000000" w:themeColor="text1"/>
                <w:kern w:val="0"/>
                <w:lang w:eastAsia="pt-BR"/>
                <w14:ligatures w14:val="none"/>
              </w:rPr>
              <w:t>Total Trimestral</w:t>
            </w:r>
          </w:p>
        </w:tc>
        <w:tc>
          <w:tcPr>
            <w:tcW w:w="1003" w:type="dxa"/>
            <w:tcBorders>
              <w:top w:val="nil"/>
              <w:left w:val="nil"/>
              <w:bottom w:val="single" w:sz="8" w:space="0" w:color="auto"/>
              <w:right w:val="single" w:sz="8" w:space="0" w:color="auto"/>
            </w:tcBorders>
            <w:vAlign w:val="center"/>
            <w:hideMark/>
          </w:tcPr>
          <w:p w14:paraId="06380FB3" w14:textId="77777777" w:rsidR="00F87423" w:rsidRPr="00490D1B" w:rsidRDefault="00F87423" w:rsidP="00F87423">
            <w:pPr>
              <w:spacing w:line="240" w:lineRule="auto"/>
              <w:rPr>
                <w:rFonts w:ascii="Times New Roman" w:eastAsia="Times New Roman" w:hAnsi="Times New Roman" w:cs="Times New Roman"/>
                <w:color w:val="000000" w:themeColor="text1"/>
                <w:kern w:val="0"/>
                <w:lang w:eastAsia="pt-BR"/>
                <w14:ligatures w14:val="none"/>
              </w:rPr>
            </w:pPr>
            <w:r w:rsidRPr="00490D1B">
              <w:rPr>
                <w:rFonts w:ascii="Times New Roman" w:eastAsia="Times New Roman" w:hAnsi="Times New Roman" w:cs="Times New Roman"/>
                <w:color w:val="000000" w:themeColor="text1"/>
                <w:kern w:val="0"/>
                <w:lang w:eastAsia="pt-BR"/>
                <w14:ligatures w14:val="none"/>
              </w:rPr>
              <w:t>4.350.000</w:t>
            </w:r>
          </w:p>
        </w:tc>
        <w:tc>
          <w:tcPr>
            <w:tcW w:w="1003" w:type="dxa"/>
            <w:tcBorders>
              <w:top w:val="nil"/>
              <w:left w:val="nil"/>
              <w:bottom w:val="single" w:sz="8" w:space="0" w:color="auto"/>
              <w:right w:val="single" w:sz="8" w:space="0" w:color="auto"/>
            </w:tcBorders>
            <w:vAlign w:val="center"/>
            <w:hideMark/>
          </w:tcPr>
          <w:p w14:paraId="2FBF0CB0" w14:textId="77777777" w:rsidR="00F87423" w:rsidRPr="00490D1B" w:rsidRDefault="00F87423" w:rsidP="00F87423">
            <w:pPr>
              <w:spacing w:line="240" w:lineRule="auto"/>
              <w:rPr>
                <w:rFonts w:ascii="Times New Roman" w:eastAsia="Times New Roman" w:hAnsi="Times New Roman" w:cs="Times New Roman"/>
                <w:color w:val="000000" w:themeColor="text1"/>
                <w:kern w:val="0"/>
                <w:lang w:eastAsia="pt-BR"/>
                <w14:ligatures w14:val="none"/>
              </w:rPr>
            </w:pPr>
            <w:r w:rsidRPr="00490D1B">
              <w:rPr>
                <w:rFonts w:ascii="Times New Roman" w:eastAsia="Times New Roman" w:hAnsi="Times New Roman" w:cs="Times New Roman"/>
                <w:color w:val="000000" w:themeColor="text1"/>
                <w:kern w:val="0"/>
                <w:lang w:eastAsia="pt-BR"/>
                <w14:ligatures w14:val="none"/>
              </w:rPr>
              <w:t>1.280.000</w:t>
            </w:r>
          </w:p>
        </w:tc>
        <w:tc>
          <w:tcPr>
            <w:tcW w:w="1003" w:type="dxa"/>
            <w:tcBorders>
              <w:top w:val="nil"/>
              <w:left w:val="nil"/>
              <w:bottom w:val="single" w:sz="8" w:space="0" w:color="auto"/>
              <w:right w:val="single" w:sz="8" w:space="0" w:color="auto"/>
            </w:tcBorders>
            <w:vAlign w:val="center"/>
            <w:hideMark/>
          </w:tcPr>
          <w:p w14:paraId="4F567A6D" w14:textId="77777777" w:rsidR="00F87423" w:rsidRPr="00490D1B" w:rsidRDefault="00F87423" w:rsidP="00F87423">
            <w:pPr>
              <w:spacing w:line="240" w:lineRule="auto"/>
              <w:rPr>
                <w:rFonts w:ascii="Times New Roman" w:eastAsia="Times New Roman" w:hAnsi="Times New Roman" w:cs="Times New Roman"/>
                <w:color w:val="000000" w:themeColor="text1"/>
                <w:kern w:val="0"/>
                <w:lang w:eastAsia="pt-BR"/>
                <w14:ligatures w14:val="none"/>
              </w:rPr>
            </w:pPr>
            <w:r w:rsidRPr="00490D1B">
              <w:rPr>
                <w:rFonts w:ascii="Times New Roman" w:eastAsia="Times New Roman" w:hAnsi="Times New Roman" w:cs="Times New Roman"/>
                <w:color w:val="000000" w:themeColor="text1"/>
                <w:kern w:val="0"/>
                <w:lang w:eastAsia="pt-BR"/>
                <w14:ligatures w14:val="none"/>
              </w:rPr>
              <w:t>3.070.000</w:t>
            </w:r>
          </w:p>
        </w:tc>
        <w:tc>
          <w:tcPr>
            <w:tcW w:w="827" w:type="dxa"/>
            <w:tcBorders>
              <w:top w:val="nil"/>
              <w:left w:val="nil"/>
              <w:bottom w:val="single" w:sz="8" w:space="0" w:color="auto"/>
              <w:right w:val="single" w:sz="8" w:space="0" w:color="auto"/>
            </w:tcBorders>
            <w:vAlign w:val="center"/>
            <w:hideMark/>
          </w:tcPr>
          <w:p w14:paraId="43A3942B" w14:textId="77777777" w:rsidR="00F87423" w:rsidRPr="00490D1B" w:rsidRDefault="00F87423" w:rsidP="00F87423">
            <w:pPr>
              <w:spacing w:line="240" w:lineRule="auto"/>
              <w:rPr>
                <w:rFonts w:ascii="Times New Roman" w:eastAsia="Times New Roman" w:hAnsi="Times New Roman" w:cs="Times New Roman"/>
                <w:color w:val="000000" w:themeColor="text1"/>
                <w:kern w:val="0"/>
                <w:lang w:eastAsia="pt-BR"/>
                <w14:ligatures w14:val="none"/>
              </w:rPr>
            </w:pPr>
            <w:r w:rsidRPr="00490D1B">
              <w:rPr>
                <w:rFonts w:ascii="Times New Roman" w:eastAsia="Times New Roman" w:hAnsi="Times New Roman" w:cs="Times New Roman"/>
                <w:color w:val="000000" w:themeColor="text1"/>
                <w:kern w:val="0"/>
                <w:lang w:eastAsia="pt-BR"/>
                <w14:ligatures w14:val="none"/>
              </w:rPr>
              <w:t>285.510</w:t>
            </w:r>
          </w:p>
        </w:tc>
        <w:tc>
          <w:tcPr>
            <w:tcW w:w="823" w:type="dxa"/>
            <w:tcBorders>
              <w:top w:val="nil"/>
              <w:left w:val="nil"/>
              <w:bottom w:val="single" w:sz="8" w:space="0" w:color="auto"/>
              <w:right w:val="single" w:sz="8" w:space="0" w:color="auto"/>
            </w:tcBorders>
            <w:vAlign w:val="center"/>
            <w:hideMark/>
          </w:tcPr>
          <w:p w14:paraId="75781706" w14:textId="77777777" w:rsidR="00F87423" w:rsidRPr="00490D1B" w:rsidRDefault="00F87423" w:rsidP="00F87423">
            <w:pPr>
              <w:spacing w:line="240" w:lineRule="auto"/>
              <w:rPr>
                <w:rFonts w:ascii="Times New Roman" w:eastAsia="Times New Roman" w:hAnsi="Times New Roman" w:cs="Times New Roman"/>
                <w:color w:val="000000" w:themeColor="text1"/>
                <w:kern w:val="0"/>
                <w:lang w:eastAsia="pt-BR"/>
                <w14:ligatures w14:val="none"/>
              </w:rPr>
            </w:pPr>
            <w:r w:rsidRPr="00490D1B">
              <w:rPr>
                <w:rFonts w:ascii="Times New Roman" w:eastAsia="Times New Roman" w:hAnsi="Times New Roman" w:cs="Times New Roman"/>
                <w:color w:val="000000" w:themeColor="text1"/>
                <w:kern w:val="0"/>
                <w:lang w:eastAsia="pt-BR"/>
                <w14:ligatures w14:val="none"/>
              </w:rPr>
              <w:t>574.090</w:t>
            </w:r>
          </w:p>
        </w:tc>
        <w:tc>
          <w:tcPr>
            <w:tcW w:w="823" w:type="dxa"/>
            <w:tcBorders>
              <w:top w:val="nil"/>
              <w:left w:val="nil"/>
              <w:bottom w:val="single" w:sz="8" w:space="0" w:color="auto"/>
              <w:right w:val="single" w:sz="8" w:space="0" w:color="auto"/>
            </w:tcBorders>
            <w:vAlign w:val="center"/>
            <w:hideMark/>
          </w:tcPr>
          <w:p w14:paraId="1B18467B" w14:textId="77777777" w:rsidR="00F87423" w:rsidRPr="00490D1B" w:rsidRDefault="00F87423" w:rsidP="00F87423">
            <w:pPr>
              <w:spacing w:line="240" w:lineRule="auto"/>
              <w:rPr>
                <w:rFonts w:ascii="Times New Roman" w:eastAsia="Times New Roman" w:hAnsi="Times New Roman" w:cs="Times New Roman"/>
                <w:color w:val="000000" w:themeColor="text1"/>
                <w:kern w:val="0"/>
                <w:lang w:eastAsia="pt-BR"/>
                <w14:ligatures w14:val="none"/>
              </w:rPr>
            </w:pPr>
            <w:r w:rsidRPr="00490D1B">
              <w:rPr>
                <w:rFonts w:ascii="Times New Roman" w:eastAsia="Times New Roman" w:hAnsi="Times New Roman" w:cs="Times New Roman"/>
                <w:color w:val="000000" w:themeColor="text1"/>
                <w:kern w:val="0"/>
                <w:lang w:eastAsia="pt-BR"/>
                <w14:ligatures w14:val="none"/>
              </w:rPr>
              <w:t>859.600</w:t>
            </w:r>
          </w:p>
        </w:tc>
      </w:tr>
    </w:tbl>
    <w:p w14:paraId="1F8C6BE6" w14:textId="77777777" w:rsidR="002542F6" w:rsidRDefault="002542F6" w:rsidP="00B34A9C">
      <w:pPr>
        <w:rPr>
          <w:rFonts w:ascii="Times New Roman" w:hAnsi="Times New Roman" w:cs="Times New Roman"/>
          <w:b/>
          <w:bCs/>
        </w:rPr>
      </w:pPr>
    </w:p>
    <w:p w14:paraId="42F3CE02" w14:textId="77777777" w:rsidR="002542F6" w:rsidRDefault="002542F6" w:rsidP="00B34A9C">
      <w:pPr>
        <w:rPr>
          <w:rFonts w:ascii="Times New Roman" w:hAnsi="Times New Roman" w:cs="Times New Roman"/>
          <w:b/>
          <w:bCs/>
        </w:rPr>
      </w:pPr>
    </w:p>
    <w:p w14:paraId="7C0F7B22" w14:textId="77777777" w:rsidR="002542F6" w:rsidRDefault="002542F6" w:rsidP="00B34A9C">
      <w:pPr>
        <w:rPr>
          <w:rFonts w:ascii="Times New Roman" w:hAnsi="Times New Roman" w:cs="Times New Roman"/>
          <w:b/>
          <w:bCs/>
        </w:rPr>
      </w:pPr>
    </w:p>
    <w:p w14:paraId="06D9CD56" w14:textId="2B23080A" w:rsidR="00B34A9C" w:rsidRPr="00B34A9C" w:rsidRDefault="00B34A9C" w:rsidP="00B34A9C">
      <w:pPr>
        <w:rPr>
          <w:rFonts w:ascii="Times New Roman" w:hAnsi="Times New Roman" w:cs="Times New Roman"/>
          <w:b/>
          <w:bCs/>
        </w:rPr>
      </w:pPr>
      <w:r w:rsidRPr="00B34A9C">
        <w:rPr>
          <w:rFonts w:ascii="Times New Roman" w:hAnsi="Times New Roman" w:cs="Times New Roman"/>
          <w:b/>
          <w:bCs/>
        </w:rPr>
        <w:t>Comparativo Geral – 2025 × 2033</w:t>
      </w:r>
      <w:r w:rsidR="00C476EC">
        <w:rPr>
          <w:rFonts w:ascii="Times New Roman" w:hAnsi="Times New Roman" w:cs="Times New Roman"/>
          <w:b/>
          <w:bCs/>
        </w:rPr>
        <w:t xml:space="preserve"> </w:t>
      </w:r>
      <w:r w:rsidR="00C476EC" w:rsidRPr="00205231">
        <w:rPr>
          <w:rFonts w:ascii="Times New Roman" w:hAnsi="Times New Roman" w:cs="Times New Roman"/>
          <w:b/>
          <w:bCs/>
        </w:rPr>
        <w:t>CONSIDERANDO NOVAS ALÍQUOTAS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20"/>
        <w:gridCol w:w="4320"/>
      </w:tblGrid>
      <w:tr w:rsidR="00F5729B" w:rsidRPr="00FF5185" w14:paraId="07BBC563" w14:textId="77777777" w:rsidTr="000A244F">
        <w:tc>
          <w:tcPr>
            <w:tcW w:w="4320" w:type="dxa"/>
          </w:tcPr>
          <w:p w14:paraId="4369C5A4" w14:textId="77777777" w:rsidR="00F5729B" w:rsidRPr="00FF5185" w:rsidRDefault="00F5729B" w:rsidP="000D4D14">
            <w:pPr>
              <w:rPr>
                <w:rFonts w:ascii="Times New Roman" w:hAnsi="Times New Roman" w:cs="Times New Roman"/>
              </w:rPr>
            </w:pPr>
            <w:r w:rsidRPr="00FF5185">
              <w:rPr>
                <w:rFonts w:ascii="Times New Roman" w:hAnsi="Times New Roman" w:cs="Times New Roman"/>
              </w:rPr>
              <w:t>Tributo / Sistema</w:t>
            </w:r>
          </w:p>
        </w:tc>
        <w:tc>
          <w:tcPr>
            <w:tcW w:w="4320" w:type="dxa"/>
          </w:tcPr>
          <w:p w14:paraId="4BD00E27" w14:textId="77777777" w:rsidR="00F5729B" w:rsidRPr="00FF5185" w:rsidRDefault="00F5729B" w:rsidP="000D4D14">
            <w:pPr>
              <w:rPr>
                <w:rFonts w:ascii="Times New Roman" w:hAnsi="Times New Roman" w:cs="Times New Roman"/>
              </w:rPr>
            </w:pPr>
            <w:r w:rsidRPr="00FF5185">
              <w:rPr>
                <w:rFonts w:ascii="Times New Roman" w:hAnsi="Times New Roman" w:cs="Times New Roman"/>
              </w:rPr>
              <w:t>Total Trimestral (R$)</w:t>
            </w:r>
          </w:p>
        </w:tc>
      </w:tr>
      <w:tr w:rsidR="00F5729B" w:rsidRPr="00FF5185" w14:paraId="2F50BC8B" w14:textId="77777777" w:rsidTr="000A244F">
        <w:tc>
          <w:tcPr>
            <w:tcW w:w="4320" w:type="dxa"/>
          </w:tcPr>
          <w:p w14:paraId="49902AED" w14:textId="77777777" w:rsidR="00F5729B" w:rsidRPr="00FF5185" w:rsidRDefault="00F5729B" w:rsidP="000D4D14">
            <w:pPr>
              <w:rPr>
                <w:rFonts w:ascii="Times New Roman" w:hAnsi="Times New Roman" w:cs="Times New Roman"/>
              </w:rPr>
            </w:pPr>
            <w:r w:rsidRPr="00FF5185">
              <w:rPr>
                <w:rFonts w:ascii="Times New Roman" w:hAnsi="Times New Roman" w:cs="Times New Roman"/>
              </w:rPr>
              <w:t>Sistema Atual (Lucro Real – 2025)</w:t>
            </w:r>
          </w:p>
        </w:tc>
        <w:tc>
          <w:tcPr>
            <w:tcW w:w="4320" w:type="dxa"/>
          </w:tcPr>
          <w:p w14:paraId="3ACB9646" w14:textId="4BB98D84" w:rsidR="00F5729B" w:rsidRPr="00FF5185" w:rsidRDefault="003205FF" w:rsidP="000D4D14">
            <w:pPr>
              <w:rPr>
                <w:rFonts w:ascii="Times New Roman" w:hAnsi="Times New Roman" w:cs="Times New Roman"/>
              </w:rPr>
            </w:pPr>
            <w:r w:rsidRPr="003205FF">
              <w:rPr>
                <w:rFonts w:ascii="Times New Roman" w:hAnsi="Times New Roman" w:cs="Times New Roman"/>
              </w:rPr>
              <w:t>1.110.475,00</w:t>
            </w:r>
          </w:p>
        </w:tc>
      </w:tr>
      <w:tr w:rsidR="00F5729B" w:rsidRPr="00FF5185" w14:paraId="2CDEEB09" w14:textId="77777777" w:rsidTr="000A244F">
        <w:tc>
          <w:tcPr>
            <w:tcW w:w="4320" w:type="dxa"/>
          </w:tcPr>
          <w:p w14:paraId="475DF46A" w14:textId="77777777" w:rsidR="00F5729B" w:rsidRPr="00FF5185" w:rsidRDefault="00F5729B" w:rsidP="000D4D14">
            <w:pPr>
              <w:rPr>
                <w:rFonts w:ascii="Times New Roman" w:hAnsi="Times New Roman" w:cs="Times New Roman"/>
              </w:rPr>
            </w:pPr>
            <w:r w:rsidRPr="00FF5185">
              <w:rPr>
                <w:rFonts w:ascii="Times New Roman" w:hAnsi="Times New Roman" w:cs="Times New Roman"/>
              </w:rPr>
              <w:t>Reforma Tributária (2033)</w:t>
            </w:r>
          </w:p>
        </w:tc>
        <w:tc>
          <w:tcPr>
            <w:tcW w:w="4320" w:type="dxa"/>
          </w:tcPr>
          <w:p w14:paraId="7A767121" w14:textId="3EE18B47" w:rsidR="00F5729B" w:rsidRPr="00FF5185" w:rsidRDefault="00CF6777" w:rsidP="000D4D14">
            <w:pPr>
              <w:rPr>
                <w:rFonts w:ascii="Times New Roman" w:hAnsi="Times New Roman" w:cs="Times New Roman"/>
              </w:rPr>
            </w:pPr>
            <w:r>
              <w:rPr>
                <w:rFonts w:ascii="Times New Roman" w:hAnsi="Times New Roman" w:cs="Times New Roman"/>
              </w:rPr>
              <w:t>859.600,00</w:t>
            </w:r>
          </w:p>
        </w:tc>
      </w:tr>
      <w:tr w:rsidR="00F5729B" w:rsidRPr="00FF5185" w14:paraId="74A60CF1" w14:textId="77777777" w:rsidTr="000A244F">
        <w:tc>
          <w:tcPr>
            <w:tcW w:w="4320" w:type="dxa"/>
          </w:tcPr>
          <w:p w14:paraId="7EEB8F68" w14:textId="77777777" w:rsidR="00F5729B" w:rsidRPr="00FF5185" w:rsidRDefault="00F5729B" w:rsidP="000D4D14">
            <w:pPr>
              <w:rPr>
                <w:rFonts w:ascii="Times New Roman" w:hAnsi="Times New Roman" w:cs="Times New Roman"/>
              </w:rPr>
            </w:pPr>
            <w:r w:rsidRPr="00FF5185">
              <w:rPr>
                <w:rFonts w:ascii="Times New Roman" w:hAnsi="Times New Roman" w:cs="Times New Roman"/>
              </w:rPr>
              <w:t>Diferença Absoluta</w:t>
            </w:r>
          </w:p>
        </w:tc>
        <w:tc>
          <w:tcPr>
            <w:tcW w:w="4320" w:type="dxa"/>
          </w:tcPr>
          <w:p w14:paraId="2DE99280" w14:textId="257126FF" w:rsidR="00F5729B" w:rsidRPr="00FF5185" w:rsidRDefault="003205FF" w:rsidP="000D4D14">
            <w:pPr>
              <w:rPr>
                <w:rFonts w:ascii="Times New Roman" w:hAnsi="Times New Roman" w:cs="Times New Roman"/>
              </w:rPr>
            </w:pPr>
            <w:r w:rsidRPr="003205FF">
              <w:rPr>
                <w:rFonts w:ascii="Times New Roman" w:hAnsi="Times New Roman" w:cs="Times New Roman"/>
              </w:rPr>
              <w:t>−</w:t>
            </w:r>
            <w:r w:rsidR="000621D5">
              <w:rPr>
                <w:rFonts w:ascii="Times New Roman" w:hAnsi="Times New Roman" w:cs="Times New Roman"/>
              </w:rPr>
              <w:t>250.875,00</w:t>
            </w:r>
          </w:p>
        </w:tc>
      </w:tr>
      <w:tr w:rsidR="00F5729B" w:rsidRPr="00FF5185" w14:paraId="2003C072" w14:textId="77777777" w:rsidTr="000A244F">
        <w:tc>
          <w:tcPr>
            <w:tcW w:w="4320" w:type="dxa"/>
          </w:tcPr>
          <w:p w14:paraId="214B6E97" w14:textId="77777777" w:rsidR="00F5729B" w:rsidRPr="00FF5185" w:rsidRDefault="00F5729B" w:rsidP="000D4D14">
            <w:pPr>
              <w:rPr>
                <w:rFonts w:ascii="Times New Roman" w:hAnsi="Times New Roman" w:cs="Times New Roman"/>
              </w:rPr>
            </w:pPr>
            <w:r w:rsidRPr="00FF5185">
              <w:rPr>
                <w:rFonts w:ascii="Times New Roman" w:hAnsi="Times New Roman" w:cs="Times New Roman"/>
              </w:rPr>
              <w:t>Variação Percentual</w:t>
            </w:r>
          </w:p>
        </w:tc>
        <w:tc>
          <w:tcPr>
            <w:tcW w:w="4320" w:type="dxa"/>
          </w:tcPr>
          <w:p w14:paraId="65DE6634" w14:textId="13E94C67" w:rsidR="00F5729B" w:rsidRPr="00FF5185" w:rsidRDefault="003205FF" w:rsidP="000D4D14">
            <w:pPr>
              <w:rPr>
                <w:rFonts w:ascii="Times New Roman" w:hAnsi="Times New Roman" w:cs="Times New Roman"/>
              </w:rPr>
            </w:pPr>
            <w:r w:rsidRPr="003205FF">
              <w:rPr>
                <w:rFonts w:ascii="Times New Roman" w:hAnsi="Times New Roman" w:cs="Times New Roman"/>
              </w:rPr>
              <w:t>−</w:t>
            </w:r>
            <w:r w:rsidR="00B02F1A">
              <w:rPr>
                <w:rFonts w:ascii="Times New Roman" w:hAnsi="Times New Roman" w:cs="Times New Roman"/>
              </w:rPr>
              <w:t xml:space="preserve"> 22,59%</w:t>
            </w:r>
          </w:p>
        </w:tc>
      </w:tr>
    </w:tbl>
    <w:p w14:paraId="449F60C6" w14:textId="77777777" w:rsidR="00B34A9C" w:rsidRDefault="00B34A9C" w:rsidP="00EE31F9">
      <w:pPr>
        <w:ind w:firstLine="851"/>
        <w:rPr>
          <w:rFonts w:ascii="Times New Roman" w:hAnsi="Times New Roman" w:cs="Times New Roman"/>
        </w:rPr>
      </w:pPr>
    </w:p>
    <w:p w14:paraId="755CDCBA" w14:textId="4A251E76" w:rsidR="00B34A9C" w:rsidRPr="00F2234E" w:rsidRDefault="00B34A9C" w:rsidP="00B34A9C">
      <w:pPr>
        <w:rPr>
          <w:b/>
          <w:bCs/>
        </w:rPr>
      </w:pPr>
      <w:r w:rsidRPr="00F2234E">
        <w:rPr>
          <w:b/>
          <w:bCs/>
        </w:rPr>
        <w:t xml:space="preserve">Conclusão </w:t>
      </w:r>
      <w:r w:rsidRPr="00F2234E">
        <w:rPr>
          <w:rFonts w:ascii="Times New Roman" w:hAnsi="Times New Roman" w:cs="Times New Roman"/>
          <w:b/>
          <w:bCs/>
        </w:rPr>
        <w:t>e Fundamentação</w:t>
      </w:r>
      <w:r w:rsidRPr="00F2234E">
        <w:rPr>
          <w:b/>
          <w:bCs/>
        </w:rPr>
        <w:t xml:space="preserve"> Técnica</w:t>
      </w:r>
    </w:p>
    <w:p w14:paraId="274B4D70" w14:textId="77777777" w:rsidR="003205FF" w:rsidRPr="003205FF" w:rsidRDefault="003205FF" w:rsidP="00490D1B">
      <w:pPr>
        <w:pStyle w:val="ABNT"/>
        <w:jc w:val="both"/>
      </w:pPr>
      <w:r w:rsidRPr="00F2234E">
        <w:t>Os resultados demonstram que, considerando uma atividade comercial no regime de Lucro Real, o sistema tributário vigente em 2025 apresenta uma carga aproximadamente 35,7% superior àquela projetada após a Reforma Tributária de 2033.</w:t>
      </w:r>
      <w:r w:rsidRPr="00F2234E">
        <w:br/>
      </w:r>
      <w:r w:rsidRPr="00F2234E">
        <w:lastRenderedPageBreak/>
        <w:t>A diferença decorre da unificação de tributos e da eliminação da cumulatividade parcial entre PIS, COFINS e ICMS, além da simplificação no processo de apuração e recolhimento.</w:t>
      </w:r>
      <w:r w:rsidRPr="00F2234E">
        <w:br/>
        <w:t>Assim, a Reforma Tributária tende a reduzir significativamente a carga tributária efetiva e a tornar o sistema mais transparente e simplificado para o setor comercial, segundo as projeções oficiais atuais (CBS + IBS = 23,25%).</w:t>
      </w:r>
    </w:p>
    <w:p w14:paraId="4E291481" w14:textId="5E54A176" w:rsidR="00B34A9C" w:rsidRPr="00B34A9C" w:rsidRDefault="00B34A9C" w:rsidP="00962515">
      <w:pPr>
        <w:pStyle w:val="ABNT"/>
        <w:rPr>
          <w:b/>
          <w:bCs/>
        </w:rPr>
      </w:pPr>
      <w:r w:rsidRPr="00B34A9C">
        <w:rPr>
          <w:b/>
          <w:bCs/>
        </w:rPr>
        <w:t>Fontes Oficiais Consultadas</w:t>
      </w:r>
    </w:p>
    <w:p w14:paraId="3BD5DEB1" w14:textId="0658493E" w:rsidR="003205FF" w:rsidRPr="003205FF" w:rsidRDefault="003205FF" w:rsidP="00490D1B">
      <w:pPr>
        <w:pStyle w:val="ABNT"/>
        <w:ind w:firstLine="0"/>
        <w:jc w:val="both"/>
      </w:pPr>
      <w:r w:rsidRPr="003205FF">
        <w:t>Receita Federal do Brasil – Alíquotas de PIS e COFINS (Lucro Real)</w:t>
      </w:r>
    </w:p>
    <w:p w14:paraId="16CD0C96" w14:textId="6529DCC7" w:rsidR="003205FF" w:rsidRPr="003205FF" w:rsidRDefault="003205FF" w:rsidP="00490D1B">
      <w:pPr>
        <w:pStyle w:val="ABNT"/>
        <w:ind w:firstLine="0"/>
        <w:jc w:val="both"/>
      </w:pPr>
      <w:r w:rsidRPr="003205FF">
        <w:t>Ministério da Fazenda / PEC 45-A/2019 / EC 132/2023 – Estrutura da Reforma Tributária</w:t>
      </w:r>
    </w:p>
    <w:p w14:paraId="536899A1" w14:textId="1207B73B" w:rsidR="003205FF" w:rsidRPr="003205FF" w:rsidRDefault="003205FF" w:rsidP="00490D1B">
      <w:pPr>
        <w:pStyle w:val="ABNT"/>
        <w:ind w:firstLine="0"/>
        <w:jc w:val="both"/>
      </w:pPr>
      <w:r w:rsidRPr="003205FF">
        <w:t>TIPI 2024 – IPI e classificações gerais</w:t>
      </w:r>
    </w:p>
    <w:p w14:paraId="6EDA85BC" w14:textId="4D0D0C5A" w:rsidR="003205FF" w:rsidRPr="003205FF" w:rsidRDefault="003205FF" w:rsidP="00490D1B">
      <w:pPr>
        <w:pStyle w:val="ABNT"/>
        <w:ind w:firstLine="0"/>
        <w:jc w:val="both"/>
      </w:pPr>
      <w:r w:rsidRPr="003205FF">
        <w:t>SEFAZ-GO – Regulamento do Código Tributário Estadual / Alíquota atual de 19%</w:t>
      </w:r>
    </w:p>
    <w:p w14:paraId="50496BBE" w14:textId="1928BF8F" w:rsidR="003205FF" w:rsidRPr="003205FF" w:rsidRDefault="003205FF" w:rsidP="00490D1B">
      <w:pPr>
        <w:pStyle w:val="ABNT"/>
        <w:ind w:firstLine="0"/>
        <w:jc w:val="both"/>
      </w:pPr>
      <w:r w:rsidRPr="003205FF">
        <w:t>Governo de Goiás (goias.gov.br) – Legislação Tributária Estadual</w:t>
      </w:r>
    </w:p>
    <w:p w14:paraId="20B3AC59" w14:textId="77777777" w:rsidR="00CF562F" w:rsidRPr="00CF562F" w:rsidRDefault="00CF562F" w:rsidP="00490D1B">
      <w:pPr>
        <w:pStyle w:val="ABNT"/>
        <w:jc w:val="both"/>
        <w:rPr>
          <w:lang w:eastAsia="pt-BR"/>
        </w:rPr>
      </w:pPr>
      <w:bookmarkStart w:id="35" w:name="_Toc211436288"/>
      <w:bookmarkStart w:id="36" w:name="_Toc211438724"/>
      <w:bookmarkEnd w:id="34"/>
      <w:r w:rsidRPr="00CF562F">
        <w:rPr>
          <w:lang w:eastAsia="pt-BR"/>
        </w:rPr>
        <w:t>A pesquisa demonstra que a Inteligência Artificial (IA) é um elemento estratégico essencial para o sucesso da Reforma Tributária, ao promover maior eficiência, precisão e transparência na administração fiscal. Ferramentas como o SISAM e o Projeto VICTOR evidenciam o potencial da tecnologia ao permitir análises preditivas, cruzamentos automatizados de dados e simulações em tempo real, ampliando a capacidade de detecção de inconsistências, fraudes e riscos de inadimplência. Essa integração tecnológica fortalece o combate à evasão fiscal, otimiza os processos de arrecadação e contribui para um sistema tributário mais moderno, ágil e confiável, alinhado às melhores práticas internacionais de gestão pública e controle fiscal.</w:t>
      </w:r>
    </w:p>
    <w:p w14:paraId="27E79DC9" w14:textId="77777777" w:rsidR="00CF562F" w:rsidRPr="00CF562F" w:rsidRDefault="00CF562F" w:rsidP="00490D1B">
      <w:pPr>
        <w:pStyle w:val="ABNT"/>
        <w:jc w:val="both"/>
        <w:rPr>
          <w:lang w:eastAsia="pt-BR"/>
        </w:rPr>
      </w:pPr>
      <w:r w:rsidRPr="00CF562F">
        <w:rPr>
          <w:lang w:eastAsia="pt-BR"/>
        </w:rPr>
        <w:t>Além de melhorar a eficiência operacional, a aplicação da IA favorece a formulação de políticas tributárias mais precisas, baseadas em dados concretos e projeções consistentes. Isso possibilita ao Estado planejar suas metas de arrecadação e identificar, de forma antecipada, os impactos econômicos de novas legislações. Entretanto, o uso intensivo da IA impõe desafios jurídicos e éticos que exigem observância rigorosa à Lei Geral de Proteção de Dados (LGPD), bem como a criação de mecanismos de auditoria algorítmica e supervisão humana constante. Tais medidas asseguram que as decisões automatizadas sejam transparentes, imparciais e compatíveis com os princípios constitucionais da legalidade e da segurança jurídica (Scherer, 2016; Machado Segundo, 2020).</w:t>
      </w:r>
    </w:p>
    <w:p w14:paraId="7B9CFE7C" w14:textId="77777777" w:rsidR="00CF562F" w:rsidRPr="00CF562F" w:rsidRDefault="00CF562F" w:rsidP="00490D1B">
      <w:pPr>
        <w:pStyle w:val="ABNT"/>
        <w:jc w:val="both"/>
        <w:rPr>
          <w:lang w:eastAsia="pt-BR"/>
        </w:rPr>
      </w:pPr>
      <w:r w:rsidRPr="00CF562F">
        <w:rPr>
          <w:lang w:eastAsia="pt-BR"/>
        </w:rPr>
        <w:t xml:space="preserve">A tecnologia deve, portanto, ser utilizada como instrumento de apoio à tomada de decisão e não como substituto da análise crítica e do julgamento profissional. Nesse contexto, o papel dos contadores e auditores assume novo protagonismo, voltando-se à interpretação de dados, ao planejamento tributário e à governança tecnológica. Essa transformação não elimina a importância do fator humano, mas demanda requalificação contínua, domínio de ferramentas </w:t>
      </w:r>
      <w:r w:rsidRPr="00CF562F">
        <w:rPr>
          <w:lang w:eastAsia="pt-BR"/>
        </w:rPr>
        <w:lastRenderedPageBreak/>
        <w:t>digitais e visão analítica sobre os impactos fiscais das novas dinâmicas automatizadas. A atuação desses profissionais passa a integrar competências tecnológicas e contábeis, reforçando a importância da formação multidisciplinar em um ambiente tributário em constante evolução.</w:t>
      </w:r>
    </w:p>
    <w:p w14:paraId="50DBCC6A" w14:textId="77777777" w:rsidR="00CF562F" w:rsidRPr="00CF562F" w:rsidRDefault="00CF562F" w:rsidP="00490D1B">
      <w:pPr>
        <w:pStyle w:val="ABNT"/>
        <w:jc w:val="both"/>
        <w:rPr>
          <w:lang w:eastAsia="pt-BR"/>
        </w:rPr>
      </w:pPr>
      <w:r w:rsidRPr="00CF562F">
        <w:rPr>
          <w:lang w:eastAsia="pt-BR"/>
        </w:rPr>
        <w:t>Em síntese, a convergência entre Reforma Tributária e Inteligência Artificial representa um marco na modernização do sistema fiscal brasileiro. Ao simplificar tributos e automatizar processos, a tecnologia amplia a eficiência arrecadatória, fortalece a segurança jurídica e estimula uma cultura de transparência e conformidade. Dessa forma, a inovação tecnológica consolida-se como instrumento de justiça fiscal, desenvolvimento econômico e fortalecimento institucional no cenário contemporâneo.</w:t>
      </w:r>
    </w:p>
    <w:p w14:paraId="75F91F03" w14:textId="690B6345" w:rsidR="00FB1443" w:rsidRPr="00FB1443" w:rsidRDefault="00FB1443" w:rsidP="00125D52">
      <w:pPr>
        <w:pStyle w:val="Ttulo1"/>
      </w:pPr>
      <w:r w:rsidRPr="00FB1443">
        <w:t>CONSIDERAÇÕES FINAIS</w:t>
      </w:r>
      <w:bookmarkEnd w:id="35"/>
      <w:bookmarkEnd w:id="36"/>
    </w:p>
    <w:p w14:paraId="54DAE3DA" w14:textId="77777777" w:rsidR="004B71DD" w:rsidRPr="004B71DD" w:rsidRDefault="004B71DD" w:rsidP="00490D1B">
      <w:pPr>
        <w:pStyle w:val="ABNT"/>
        <w:jc w:val="both"/>
        <w:rPr>
          <w:lang w:eastAsia="pt-BR"/>
        </w:rPr>
      </w:pPr>
      <w:r w:rsidRPr="004B71DD">
        <w:rPr>
          <w:lang w:eastAsia="pt-BR"/>
        </w:rPr>
        <w:t xml:space="preserve">A presente pesquisa analisou de forma aprofundada a relação entre a </w:t>
      </w:r>
      <w:r w:rsidRPr="004B71DD">
        <w:rPr>
          <w:b/>
          <w:bCs/>
          <w:lang w:eastAsia="pt-BR"/>
        </w:rPr>
        <w:t>Reforma Tributária brasileira</w:t>
      </w:r>
      <w:r w:rsidRPr="004B71DD">
        <w:rPr>
          <w:lang w:eastAsia="pt-BR"/>
        </w:rPr>
        <w:t xml:space="preserve"> e a </w:t>
      </w:r>
      <w:r w:rsidRPr="004B71DD">
        <w:rPr>
          <w:b/>
          <w:bCs/>
          <w:lang w:eastAsia="pt-BR"/>
        </w:rPr>
        <w:t>Inteligência Artificial (IA)</w:t>
      </w:r>
      <w:r w:rsidRPr="004B71DD">
        <w:rPr>
          <w:lang w:eastAsia="pt-BR"/>
        </w:rPr>
        <w:t xml:space="preserve">, com foco nos impactos dessa interação sobre a eficiência fiscal, a simplificação dos tributos e o papel estratégico do profissional contábil. Os resultados obtidos confirmam a hipótese de que a IA pode atuar como ferramenta decisiva na implementação e gestão da Reforma Tributária, promovendo maior </w:t>
      </w:r>
      <w:r w:rsidRPr="004B71DD">
        <w:rPr>
          <w:b/>
          <w:bCs/>
          <w:lang w:eastAsia="pt-BR"/>
        </w:rPr>
        <w:t>transparência, agilidade e precisão</w:t>
      </w:r>
      <w:r w:rsidRPr="004B71DD">
        <w:rPr>
          <w:lang w:eastAsia="pt-BR"/>
        </w:rPr>
        <w:t xml:space="preserve"> nos processos de arrecadação e fiscalização.</w:t>
      </w:r>
    </w:p>
    <w:p w14:paraId="6C640061" w14:textId="77777777" w:rsidR="004B71DD" w:rsidRPr="004B71DD" w:rsidRDefault="004B71DD" w:rsidP="00490D1B">
      <w:pPr>
        <w:pStyle w:val="ABNT"/>
        <w:jc w:val="both"/>
        <w:rPr>
          <w:lang w:eastAsia="pt-BR"/>
        </w:rPr>
      </w:pPr>
      <w:r w:rsidRPr="004B71DD">
        <w:rPr>
          <w:lang w:eastAsia="pt-BR"/>
        </w:rPr>
        <w:t xml:space="preserve">Verificou-se que a </w:t>
      </w:r>
      <w:r w:rsidRPr="004B71DD">
        <w:rPr>
          <w:b/>
          <w:bCs/>
          <w:lang w:eastAsia="pt-BR"/>
        </w:rPr>
        <w:t>unificação dos tributos sobre o consumo (CBS e IBS)</w:t>
      </w:r>
      <w:r w:rsidRPr="004B71DD">
        <w:rPr>
          <w:lang w:eastAsia="pt-BR"/>
        </w:rPr>
        <w:t xml:space="preserve"> tende a reduzir a complexidade do sistema tributário e minimizar a cumulatividade, gerando benefícios econômicos tanto para o setor público quanto para as empresas. A análise comparativa desenvolvida neste estudo evidenciou que a simplificação proposta pela </w:t>
      </w:r>
      <w:r w:rsidRPr="004B71DD">
        <w:rPr>
          <w:b/>
          <w:bCs/>
          <w:lang w:eastAsia="pt-BR"/>
        </w:rPr>
        <w:t>Emenda Constitucional nº 132/2023</w:t>
      </w:r>
      <w:r w:rsidRPr="004B71DD">
        <w:rPr>
          <w:lang w:eastAsia="pt-BR"/>
        </w:rPr>
        <w:t xml:space="preserve"> e suas leis complementares poderá </w:t>
      </w:r>
      <w:r w:rsidRPr="004B71DD">
        <w:rPr>
          <w:b/>
          <w:bCs/>
          <w:lang w:eastAsia="pt-BR"/>
        </w:rPr>
        <w:t>diminuir a carga tributária efetiva e facilitar o cumprimento das obrigações acessórias</w:t>
      </w:r>
      <w:r w:rsidRPr="004B71DD">
        <w:rPr>
          <w:lang w:eastAsia="pt-BR"/>
        </w:rPr>
        <w:t>, contribuindo para um ambiente de negócios mais estável e previsível.</w:t>
      </w:r>
    </w:p>
    <w:p w14:paraId="536F6F71" w14:textId="77777777" w:rsidR="004B71DD" w:rsidRPr="004B71DD" w:rsidRDefault="004B71DD" w:rsidP="00490D1B">
      <w:pPr>
        <w:pStyle w:val="ABNT"/>
        <w:jc w:val="both"/>
        <w:rPr>
          <w:lang w:eastAsia="pt-BR"/>
        </w:rPr>
      </w:pPr>
      <w:r w:rsidRPr="004B71DD">
        <w:rPr>
          <w:lang w:eastAsia="pt-BR"/>
        </w:rPr>
        <w:t xml:space="preserve">No estudo prático realizado com base no regime de </w:t>
      </w:r>
      <w:r w:rsidRPr="004B71DD">
        <w:rPr>
          <w:b/>
          <w:bCs/>
          <w:lang w:eastAsia="pt-BR"/>
        </w:rPr>
        <w:t>Lucro Real em Goiás</w:t>
      </w:r>
      <w:r w:rsidRPr="004B71DD">
        <w:rPr>
          <w:lang w:eastAsia="pt-BR"/>
        </w:rPr>
        <w:t xml:space="preserve">, verificou-se que a carga tributária total sobre as operações comerciais atingiu </w:t>
      </w:r>
      <w:r w:rsidRPr="004B71DD">
        <w:rPr>
          <w:b/>
          <w:bCs/>
          <w:lang w:eastAsia="pt-BR"/>
        </w:rPr>
        <w:t>R$ 1.110.475,00</w:t>
      </w:r>
      <w:r w:rsidRPr="004B71DD">
        <w:rPr>
          <w:lang w:eastAsia="pt-BR"/>
        </w:rPr>
        <w:t xml:space="preserve"> sob a legislação vigente em </w:t>
      </w:r>
      <w:r w:rsidRPr="004B71DD">
        <w:rPr>
          <w:b/>
          <w:bCs/>
          <w:lang w:eastAsia="pt-BR"/>
        </w:rPr>
        <w:t>2025</w:t>
      </w:r>
      <w:r w:rsidRPr="004B71DD">
        <w:rPr>
          <w:lang w:eastAsia="pt-BR"/>
        </w:rPr>
        <w:t xml:space="preserve">, enquanto a projeção para o novo sistema (CBS + IBS), a partir de </w:t>
      </w:r>
      <w:r w:rsidRPr="004B71DD">
        <w:rPr>
          <w:b/>
          <w:bCs/>
          <w:lang w:eastAsia="pt-BR"/>
        </w:rPr>
        <w:t>2033</w:t>
      </w:r>
      <w:r w:rsidRPr="004B71DD">
        <w:rPr>
          <w:lang w:eastAsia="pt-BR"/>
        </w:rPr>
        <w:t xml:space="preserve">, resultou em </w:t>
      </w:r>
      <w:r w:rsidRPr="004B71DD">
        <w:rPr>
          <w:b/>
          <w:bCs/>
          <w:lang w:eastAsia="pt-BR"/>
        </w:rPr>
        <w:t>R$ 713.775,00</w:t>
      </w:r>
      <w:r w:rsidRPr="004B71DD">
        <w:rPr>
          <w:lang w:eastAsia="pt-BR"/>
        </w:rPr>
        <w:t xml:space="preserve">, representando uma </w:t>
      </w:r>
      <w:r w:rsidRPr="004B71DD">
        <w:rPr>
          <w:b/>
          <w:bCs/>
          <w:lang w:eastAsia="pt-BR"/>
        </w:rPr>
        <w:t>redução aproximada de 35,72%</w:t>
      </w:r>
      <w:r w:rsidRPr="004B71DD">
        <w:rPr>
          <w:lang w:eastAsia="pt-BR"/>
        </w:rPr>
        <w:t xml:space="preserve">. Esses dados reforçam o potencial da Reforma para </w:t>
      </w:r>
      <w:r w:rsidRPr="004B71DD">
        <w:rPr>
          <w:b/>
          <w:bCs/>
          <w:lang w:eastAsia="pt-BR"/>
        </w:rPr>
        <w:t>tornar o sistema mais simples, menos oneroso e mais eficiente</w:t>
      </w:r>
      <w:r w:rsidRPr="004B71DD">
        <w:rPr>
          <w:lang w:eastAsia="pt-BR"/>
        </w:rPr>
        <w:t>, especialmente para empresas de caráter comercial.</w:t>
      </w:r>
    </w:p>
    <w:p w14:paraId="75131299" w14:textId="77777777" w:rsidR="004B71DD" w:rsidRPr="004B71DD" w:rsidRDefault="004B71DD" w:rsidP="00490D1B">
      <w:pPr>
        <w:pStyle w:val="ABNT"/>
        <w:jc w:val="both"/>
        <w:rPr>
          <w:lang w:eastAsia="pt-BR"/>
        </w:rPr>
      </w:pPr>
      <w:r w:rsidRPr="004B71DD">
        <w:rPr>
          <w:lang w:eastAsia="pt-BR"/>
        </w:rPr>
        <w:t xml:space="preserve">A integração da </w:t>
      </w:r>
      <w:r w:rsidRPr="004B71DD">
        <w:rPr>
          <w:b/>
          <w:bCs/>
          <w:lang w:eastAsia="pt-BR"/>
        </w:rPr>
        <w:t>Inteligência Artificial</w:t>
      </w:r>
      <w:r w:rsidRPr="004B71DD">
        <w:rPr>
          <w:lang w:eastAsia="pt-BR"/>
        </w:rPr>
        <w:t xml:space="preserve"> nesse contexto mostrou-se essencial para o fortalecimento da </w:t>
      </w:r>
      <w:r w:rsidRPr="004B71DD">
        <w:rPr>
          <w:b/>
          <w:bCs/>
          <w:lang w:eastAsia="pt-BR"/>
        </w:rPr>
        <w:t>governança fiscal e do compliance tributário</w:t>
      </w:r>
      <w:r w:rsidRPr="004B71DD">
        <w:rPr>
          <w:lang w:eastAsia="pt-BR"/>
        </w:rPr>
        <w:t xml:space="preserve">, permitindo maior capacidade preditiva e controle sobre o ciclo de arrecadação. Sistemas inteligentes como o </w:t>
      </w:r>
      <w:r w:rsidRPr="004B71DD">
        <w:rPr>
          <w:b/>
          <w:bCs/>
          <w:lang w:eastAsia="pt-BR"/>
        </w:rPr>
        <w:t>SISAM</w:t>
      </w:r>
      <w:r w:rsidRPr="004B71DD">
        <w:rPr>
          <w:lang w:eastAsia="pt-BR"/>
        </w:rPr>
        <w:t xml:space="preserve"> (Sistema de Análise de Malhas da Receita Federal) e o </w:t>
      </w:r>
      <w:r w:rsidRPr="004B71DD">
        <w:rPr>
          <w:b/>
          <w:bCs/>
          <w:lang w:eastAsia="pt-BR"/>
        </w:rPr>
        <w:t>Projeto VICTOR</w:t>
      </w:r>
      <w:r w:rsidRPr="004B71DD">
        <w:rPr>
          <w:lang w:eastAsia="pt-BR"/>
        </w:rPr>
        <w:t xml:space="preserve"> (do STF) ilustram o potencial da tecnologia na </w:t>
      </w:r>
      <w:r w:rsidRPr="004B71DD">
        <w:rPr>
          <w:b/>
          <w:bCs/>
          <w:lang w:eastAsia="pt-BR"/>
        </w:rPr>
        <w:t xml:space="preserve">automação de processos tributários, na prevenção de fraudes e </w:t>
      </w:r>
      <w:r w:rsidRPr="004B71DD">
        <w:rPr>
          <w:b/>
          <w:bCs/>
          <w:lang w:eastAsia="pt-BR"/>
        </w:rPr>
        <w:lastRenderedPageBreak/>
        <w:t>no aprimoramento da tomada de decisão administrativa</w:t>
      </w:r>
      <w:r w:rsidRPr="004B71DD">
        <w:rPr>
          <w:lang w:eastAsia="pt-BR"/>
        </w:rPr>
        <w:t>, reforçando a eficiência e a justiça fiscal.</w:t>
      </w:r>
    </w:p>
    <w:p w14:paraId="77BD5B89" w14:textId="77777777" w:rsidR="004B71DD" w:rsidRPr="004B71DD" w:rsidRDefault="004B71DD" w:rsidP="00490D1B">
      <w:pPr>
        <w:pStyle w:val="ABNT"/>
        <w:jc w:val="both"/>
        <w:rPr>
          <w:lang w:eastAsia="pt-BR"/>
        </w:rPr>
      </w:pPr>
      <w:r w:rsidRPr="004B71DD">
        <w:rPr>
          <w:lang w:eastAsia="pt-BR"/>
        </w:rPr>
        <w:t xml:space="preserve">Entretanto, esta pesquisa apresenta limitações que merecem destaque, como o uso de </w:t>
      </w:r>
      <w:r w:rsidRPr="004B71DD">
        <w:rPr>
          <w:b/>
          <w:bCs/>
          <w:lang w:eastAsia="pt-BR"/>
        </w:rPr>
        <w:t>fontes bibliográficas e legislativas disponíveis até o ano de 2025</w:t>
      </w:r>
      <w:r w:rsidRPr="004B71DD">
        <w:rPr>
          <w:lang w:eastAsia="pt-BR"/>
        </w:rPr>
        <w:t xml:space="preserve">, o que implica que </w:t>
      </w:r>
      <w:r w:rsidRPr="004B71DD">
        <w:rPr>
          <w:b/>
          <w:bCs/>
          <w:lang w:eastAsia="pt-BR"/>
        </w:rPr>
        <w:t>alterações normativas ou tecnológicas futuras</w:t>
      </w:r>
      <w:r w:rsidRPr="004B71DD">
        <w:rPr>
          <w:lang w:eastAsia="pt-BR"/>
        </w:rPr>
        <w:t xml:space="preserve"> poderão modificar parte das conclusões aqui apresentadas. Além disso, os dados quantitativos utilizados foram </w:t>
      </w:r>
      <w:r w:rsidRPr="004B71DD">
        <w:rPr>
          <w:b/>
          <w:bCs/>
          <w:lang w:eastAsia="pt-BR"/>
        </w:rPr>
        <w:t>simulados com base em médias setoriais</w:t>
      </w:r>
      <w:r w:rsidRPr="004B71DD">
        <w:rPr>
          <w:lang w:eastAsia="pt-BR"/>
        </w:rPr>
        <w:t>, e não em amostras empresariais específicas, o que restringe a generalização integral dos resultados para todos os segmentos econômicos.</w:t>
      </w:r>
    </w:p>
    <w:p w14:paraId="366D7C99" w14:textId="77777777" w:rsidR="004B71DD" w:rsidRPr="004B71DD" w:rsidRDefault="004B71DD" w:rsidP="00490D1B">
      <w:pPr>
        <w:pStyle w:val="ABNT"/>
        <w:jc w:val="both"/>
        <w:rPr>
          <w:lang w:eastAsia="pt-BR"/>
        </w:rPr>
      </w:pPr>
      <w:r w:rsidRPr="004B71DD">
        <w:rPr>
          <w:lang w:eastAsia="pt-BR"/>
        </w:rPr>
        <w:t xml:space="preserve">Apesar dessas limitações, o trabalho oferece uma </w:t>
      </w:r>
      <w:r w:rsidRPr="004B71DD">
        <w:rPr>
          <w:b/>
          <w:bCs/>
          <w:lang w:eastAsia="pt-BR"/>
        </w:rPr>
        <w:t>base teórica e técnica consistente</w:t>
      </w:r>
      <w:r w:rsidRPr="004B71DD">
        <w:rPr>
          <w:lang w:eastAsia="pt-BR"/>
        </w:rPr>
        <w:t xml:space="preserve"> para estudos futuros que desejem explorar, de forma empírica, a aplicação da IA na </w:t>
      </w:r>
      <w:r w:rsidRPr="004B71DD">
        <w:rPr>
          <w:b/>
          <w:bCs/>
          <w:lang w:eastAsia="pt-BR"/>
        </w:rPr>
        <w:t>arrecadação pública, na fiscalização automatizada e na mensuração dos impactos econômicos da Reforma Tributária</w:t>
      </w:r>
      <w:r w:rsidRPr="004B71DD">
        <w:rPr>
          <w:lang w:eastAsia="pt-BR"/>
        </w:rPr>
        <w:t xml:space="preserve">. Futuras pesquisas poderão </w:t>
      </w:r>
      <w:r w:rsidRPr="004B71DD">
        <w:rPr>
          <w:b/>
          <w:bCs/>
          <w:lang w:eastAsia="pt-BR"/>
        </w:rPr>
        <w:t>avaliar os efeitos reais da implantação do CBS e IBS sobre diferentes setores econômicos</w:t>
      </w:r>
      <w:r w:rsidRPr="004B71DD">
        <w:rPr>
          <w:lang w:eastAsia="pt-BR"/>
        </w:rPr>
        <w:t xml:space="preserve">, bem como </w:t>
      </w:r>
      <w:r w:rsidRPr="004B71DD">
        <w:rPr>
          <w:b/>
          <w:bCs/>
          <w:lang w:eastAsia="pt-BR"/>
        </w:rPr>
        <w:t>analisar o papel da IA na integração entre empresas e entes fiscais</w:t>
      </w:r>
      <w:r w:rsidRPr="004B71DD">
        <w:rPr>
          <w:lang w:eastAsia="pt-BR"/>
        </w:rPr>
        <w:t xml:space="preserve">, desenvolvendo modelos preditivos de arrecadação e indicadores de eficiência tributária. Além disso, estudos futuros poderão investigar </w:t>
      </w:r>
      <w:r w:rsidRPr="004B71DD">
        <w:rPr>
          <w:b/>
          <w:bCs/>
          <w:lang w:eastAsia="pt-BR"/>
        </w:rPr>
        <w:t>a percepção dos profissionais contábeis</w:t>
      </w:r>
      <w:r w:rsidRPr="004B71DD">
        <w:rPr>
          <w:lang w:eastAsia="pt-BR"/>
        </w:rPr>
        <w:t xml:space="preserve"> quanto ao uso da IA em suas rotinas, suas resistências e desafios éticos relacionados à automatização da contabilidade.</w:t>
      </w:r>
    </w:p>
    <w:p w14:paraId="2151CDBB" w14:textId="77777777" w:rsidR="004B71DD" w:rsidRPr="004B71DD" w:rsidRDefault="004B71DD" w:rsidP="00490D1B">
      <w:pPr>
        <w:pStyle w:val="ABNT"/>
        <w:jc w:val="both"/>
        <w:rPr>
          <w:lang w:eastAsia="pt-BR"/>
        </w:rPr>
      </w:pPr>
      <w:r w:rsidRPr="004B71DD">
        <w:rPr>
          <w:lang w:eastAsia="pt-BR"/>
        </w:rPr>
        <w:t xml:space="preserve">Conclui-se, portanto, que a </w:t>
      </w:r>
      <w:r w:rsidRPr="004B71DD">
        <w:rPr>
          <w:b/>
          <w:bCs/>
          <w:lang w:eastAsia="pt-BR"/>
        </w:rPr>
        <w:t>convergência entre a Reforma Tributária e a Inteligência Artificial</w:t>
      </w:r>
      <w:r w:rsidRPr="004B71DD">
        <w:rPr>
          <w:lang w:eastAsia="pt-BR"/>
        </w:rPr>
        <w:t xml:space="preserve"> representa um marco para a </w:t>
      </w:r>
      <w:r w:rsidRPr="004B71DD">
        <w:rPr>
          <w:b/>
          <w:bCs/>
          <w:lang w:eastAsia="pt-BR"/>
        </w:rPr>
        <w:t>modernização do Estado brasileiro</w:t>
      </w:r>
      <w:r w:rsidRPr="004B71DD">
        <w:rPr>
          <w:lang w:eastAsia="pt-BR"/>
        </w:rPr>
        <w:t xml:space="preserve"> e para o </w:t>
      </w:r>
      <w:r w:rsidRPr="004B71DD">
        <w:rPr>
          <w:b/>
          <w:bCs/>
          <w:lang w:eastAsia="pt-BR"/>
        </w:rPr>
        <w:t>avanço da contabilidade pública e privada</w:t>
      </w:r>
      <w:r w:rsidRPr="004B71DD">
        <w:rPr>
          <w:lang w:eastAsia="pt-BR"/>
        </w:rPr>
        <w:t xml:space="preserve">. A efetividade dessa integração dependerá da capacidade institucional de equilibrar </w:t>
      </w:r>
      <w:r w:rsidRPr="004B71DD">
        <w:rPr>
          <w:b/>
          <w:bCs/>
          <w:lang w:eastAsia="pt-BR"/>
        </w:rPr>
        <w:t>inovação tecnológica e responsabilidade ética</w:t>
      </w:r>
      <w:r w:rsidRPr="004B71DD">
        <w:rPr>
          <w:lang w:eastAsia="pt-BR"/>
        </w:rPr>
        <w:t xml:space="preserve">, assegurando a construção de um </w:t>
      </w:r>
      <w:r w:rsidRPr="004B71DD">
        <w:rPr>
          <w:b/>
          <w:bCs/>
          <w:lang w:eastAsia="pt-BR"/>
        </w:rPr>
        <w:t>sistema tributário inteligente, justo e sustentável</w:t>
      </w:r>
      <w:r w:rsidRPr="004B71DD">
        <w:rPr>
          <w:lang w:eastAsia="pt-BR"/>
        </w:rPr>
        <w:t xml:space="preserve">, guiado por princípios de </w:t>
      </w:r>
      <w:r w:rsidRPr="004B71DD">
        <w:rPr>
          <w:b/>
          <w:bCs/>
          <w:lang w:eastAsia="pt-BR"/>
        </w:rPr>
        <w:t>transparência, eficiência e equidade social</w:t>
      </w:r>
      <w:r w:rsidRPr="004B71DD">
        <w:rPr>
          <w:lang w:eastAsia="pt-BR"/>
        </w:rPr>
        <w:t>.</w:t>
      </w:r>
    </w:p>
    <w:p w14:paraId="5F5B432F" w14:textId="500CECE3" w:rsidR="00FF5185" w:rsidRDefault="00FF5185" w:rsidP="00490D1B">
      <w:pPr>
        <w:pStyle w:val="ABNT"/>
        <w:jc w:val="both"/>
        <w:rPr>
          <w:rFonts w:cs="Times New Roman"/>
        </w:rPr>
      </w:pPr>
    </w:p>
    <w:p w14:paraId="4E64F108" w14:textId="77777777" w:rsidR="0019263F" w:rsidRDefault="0019263F" w:rsidP="00490D1B">
      <w:pPr>
        <w:ind w:firstLine="709"/>
        <w:jc w:val="both"/>
        <w:rPr>
          <w:rFonts w:ascii="Times New Roman" w:hAnsi="Times New Roman" w:cs="Times New Roman"/>
        </w:rPr>
      </w:pPr>
    </w:p>
    <w:p w14:paraId="7A8D1513" w14:textId="77777777" w:rsidR="00205231" w:rsidRPr="00FF5185" w:rsidRDefault="00205231" w:rsidP="00F5729B">
      <w:pPr>
        <w:rPr>
          <w:rFonts w:ascii="Times New Roman" w:hAnsi="Times New Roman" w:cs="Times New Roman"/>
        </w:rPr>
      </w:pPr>
    </w:p>
    <w:p w14:paraId="5BE7E5E6" w14:textId="362D7D13" w:rsidR="00355034" w:rsidRDefault="002711A3" w:rsidP="00CC4E66">
      <w:pPr>
        <w:rPr>
          <w:rFonts w:ascii="Times New Roman" w:hAnsi="Times New Roman" w:cs="Times New Roman"/>
        </w:rPr>
      </w:pPr>
      <w:r>
        <w:rPr>
          <w:rFonts w:ascii="Times New Roman" w:hAnsi="Times New Roman" w:cs="Times New Roman"/>
        </w:rPr>
        <w:t>BIBLIOGRAFIA</w:t>
      </w:r>
    </w:p>
    <w:p w14:paraId="132FE186" w14:textId="77777777" w:rsidR="004B71DD" w:rsidRPr="00FF5185" w:rsidRDefault="004B71DD" w:rsidP="00CC4E66">
      <w:pPr>
        <w:rPr>
          <w:rFonts w:ascii="Times New Roman" w:hAnsi="Times New Roman" w:cs="Times New Roman"/>
        </w:rPr>
      </w:pPr>
    </w:p>
    <w:p w14:paraId="5C51CF29" w14:textId="77777777" w:rsidR="004B71DD" w:rsidRPr="004B71DD" w:rsidRDefault="004B71DD" w:rsidP="00CC4E66">
      <w:pPr>
        <w:rPr>
          <w:rFonts w:ascii="Times New Roman" w:hAnsi="Times New Roman" w:cs="Times New Roman"/>
        </w:rPr>
      </w:pPr>
      <w:r w:rsidRPr="004B71DD">
        <w:rPr>
          <w:rFonts w:ascii="Times New Roman" w:hAnsi="Times New Roman" w:cs="Times New Roman"/>
        </w:rPr>
        <w:t xml:space="preserve">BRASIL. </w:t>
      </w:r>
      <w:r w:rsidRPr="004B71DD">
        <w:rPr>
          <w:rFonts w:ascii="Times New Roman" w:hAnsi="Times New Roman" w:cs="Times New Roman"/>
          <w:b/>
          <w:bCs/>
        </w:rPr>
        <w:t>Constituição (1988)</w:t>
      </w:r>
      <w:r w:rsidRPr="004B71DD">
        <w:rPr>
          <w:rFonts w:ascii="Times New Roman" w:hAnsi="Times New Roman" w:cs="Times New Roman"/>
        </w:rPr>
        <w:t>. Brasília: Senado Federal, 1988.</w:t>
      </w:r>
    </w:p>
    <w:p w14:paraId="49853554" w14:textId="77777777" w:rsidR="004B71DD" w:rsidRPr="004B71DD" w:rsidRDefault="004B71DD" w:rsidP="00CC4E66">
      <w:pPr>
        <w:rPr>
          <w:rFonts w:ascii="Times New Roman" w:hAnsi="Times New Roman" w:cs="Times New Roman"/>
        </w:rPr>
      </w:pPr>
      <w:r w:rsidRPr="004B71DD">
        <w:rPr>
          <w:rFonts w:ascii="Times New Roman" w:hAnsi="Times New Roman" w:cs="Times New Roman"/>
        </w:rPr>
        <w:t xml:space="preserve">BRASIL. </w:t>
      </w:r>
      <w:r w:rsidRPr="004B71DD">
        <w:rPr>
          <w:rFonts w:ascii="Times New Roman" w:hAnsi="Times New Roman" w:cs="Times New Roman"/>
          <w:b/>
          <w:bCs/>
        </w:rPr>
        <w:t>Senado Federal</w:t>
      </w:r>
      <w:r w:rsidRPr="004B71DD">
        <w:rPr>
          <w:rFonts w:ascii="Times New Roman" w:hAnsi="Times New Roman" w:cs="Times New Roman"/>
        </w:rPr>
        <w:t xml:space="preserve">. </w:t>
      </w:r>
      <w:r w:rsidRPr="004B71DD">
        <w:rPr>
          <w:rFonts w:ascii="Times New Roman" w:hAnsi="Times New Roman" w:cs="Times New Roman"/>
          <w:i/>
          <w:iCs/>
        </w:rPr>
        <w:t>Proposta de Emenda à Constituição nº 188, de 2019.</w:t>
      </w:r>
      <w:r w:rsidRPr="004B71DD">
        <w:rPr>
          <w:rFonts w:ascii="Times New Roman" w:hAnsi="Times New Roman" w:cs="Times New Roman"/>
        </w:rPr>
        <w:t xml:space="preserve"> Autoria: Senador Fernando Bezerra Coelho (MDB/PE). Disponível em: </w:t>
      </w:r>
      <w:hyperlink r:id="rId16" w:tgtFrame="_new" w:history="1">
        <w:r w:rsidRPr="004B71DD">
          <w:rPr>
            <w:rStyle w:val="Hyperlink"/>
            <w:rFonts w:ascii="Times New Roman" w:hAnsi="Times New Roman" w:cs="Times New Roman"/>
          </w:rPr>
          <w:t>https://www25.senado.leg.br/web/atividade/materias/-/materia/139853</w:t>
        </w:r>
      </w:hyperlink>
      <w:r w:rsidRPr="004B71DD">
        <w:rPr>
          <w:rFonts w:ascii="Times New Roman" w:hAnsi="Times New Roman" w:cs="Times New Roman"/>
        </w:rPr>
        <w:t>. Acesso em: 22 nov. 2024.</w:t>
      </w:r>
    </w:p>
    <w:p w14:paraId="165BC4C4" w14:textId="77777777" w:rsidR="004B71DD" w:rsidRPr="004B71DD" w:rsidRDefault="004B71DD" w:rsidP="00CC4E66">
      <w:pPr>
        <w:rPr>
          <w:rFonts w:ascii="Times New Roman" w:hAnsi="Times New Roman" w:cs="Times New Roman"/>
        </w:rPr>
      </w:pPr>
      <w:r w:rsidRPr="004B71DD">
        <w:rPr>
          <w:rFonts w:ascii="Times New Roman" w:hAnsi="Times New Roman" w:cs="Times New Roman"/>
        </w:rPr>
        <w:lastRenderedPageBreak/>
        <w:t xml:space="preserve">CARNEIRO, C. </w:t>
      </w:r>
      <w:r w:rsidRPr="004B71DD">
        <w:rPr>
          <w:rFonts w:ascii="Times New Roman" w:hAnsi="Times New Roman" w:cs="Times New Roman"/>
          <w:b/>
          <w:bCs/>
        </w:rPr>
        <w:t>Curso de Direito Tributário e Financeiro</w:t>
      </w:r>
      <w:r w:rsidRPr="004B71DD">
        <w:rPr>
          <w:rFonts w:ascii="Times New Roman" w:hAnsi="Times New Roman" w:cs="Times New Roman"/>
        </w:rPr>
        <w:t>. 9. ed. São Paulo: Saraiva Educação, 2020.</w:t>
      </w:r>
    </w:p>
    <w:p w14:paraId="5998403C" w14:textId="77777777" w:rsidR="004B71DD" w:rsidRPr="004B71DD" w:rsidRDefault="004B71DD" w:rsidP="00CC4E66">
      <w:pPr>
        <w:rPr>
          <w:rFonts w:ascii="Times New Roman" w:hAnsi="Times New Roman" w:cs="Times New Roman"/>
        </w:rPr>
      </w:pPr>
      <w:r w:rsidRPr="004B71DD">
        <w:rPr>
          <w:rFonts w:ascii="Times New Roman" w:hAnsi="Times New Roman" w:cs="Times New Roman"/>
        </w:rPr>
        <w:t xml:space="preserve">CREPALDI, S. A.; CREPALDI, G. H. </w:t>
      </w:r>
      <w:r w:rsidRPr="004B71DD">
        <w:rPr>
          <w:rFonts w:ascii="Times New Roman" w:hAnsi="Times New Roman" w:cs="Times New Roman"/>
          <w:b/>
          <w:bCs/>
        </w:rPr>
        <w:t>Planejamento tributário: teoria e prática</w:t>
      </w:r>
      <w:r w:rsidRPr="004B71DD">
        <w:rPr>
          <w:rFonts w:ascii="Times New Roman" w:hAnsi="Times New Roman" w:cs="Times New Roman"/>
        </w:rPr>
        <w:t>. São Paulo: Atlas, 2019.</w:t>
      </w:r>
    </w:p>
    <w:p w14:paraId="40E51E01" w14:textId="77777777" w:rsidR="004B71DD" w:rsidRPr="004B71DD" w:rsidRDefault="004B71DD" w:rsidP="00CC4E66">
      <w:pPr>
        <w:rPr>
          <w:rFonts w:ascii="Times New Roman" w:hAnsi="Times New Roman" w:cs="Times New Roman"/>
        </w:rPr>
      </w:pPr>
      <w:r w:rsidRPr="004B71DD">
        <w:rPr>
          <w:rFonts w:ascii="Times New Roman" w:hAnsi="Times New Roman" w:cs="Times New Roman"/>
        </w:rPr>
        <w:t xml:space="preserve">DI PIETRO, M. S. Z. </w:t>
      </w:r>
      <w:r w:rsidRPr="004B71DD">
        <w:rPr>
          <w:rFonts w:ascii="Times New Roman" w:hAnsi="Times New Roman" w:cs="Times New Roman"/>
          <w:b/>
          <w:bCs/>
        </w:rPr>
        <w:t>Princípios da eficiência na administração pública</w:t>
      </w:r>
      <w:r w:rsidRPr="004B71DD">
        <w:rPr>
          <w:rFonts w:ascii="Times New Roman" w:hAnsi="Times New Roman" w:cs="Times New Roman"/>
        </w:rPr>
        <w:t>. São Paulo: Atlas, 2018.</w:t>
      </w:r>
    </w:p>
    <w:p w14:paraId="30BCEEE5" w14:textId="77777777" w:rsidR="004B71DD" w:rsidRPr="004B71DD" w:rsidRDefault="004B71DD" w:rsidP="00CC4E66">
      <w:pPr>
        <w:rPr>
          <w:rFonts w:ascii="Times New Roman" w:hAnsi="Times New Roman" w:cs="Times New Roman"/>
        </w:rPr>
      </w:pPr>
      <w:r w:rsidRPr="004B71DD">
        <w:rPr>
          <w:rFonts w:ascii="Times New Roman" w:hAnsi="Times New Roman" w:cs="Times New Roman"/>
        </w:rPr>
        <w:t xml:space="preserve">ELALI, A. </w:t>
      </w:r>
      <w:r w:rsidRPr="004B71DD">
        <w:rPr>
          <w:rFonts w:ascii="Times New Roman" w:hAnsi="Times New Roman" w:cs="Times New Roman"/>
          <w:b/>
          <w:bCs/>
        </w:rPr>
        <w:t>O federalismo fiscal brasileiro e o sistema tributário nacional</w:t>
      </w:r>
      <w:r w:rsidRPr="004B71DD">
        <w:rPr>
          <w:rFonts w:ascii="Times New Roman" w:hAnsi="Times New Roman" w:cs="Times New Roman"/>
        </w:rPr>
        <w:t>. São Paulo: MP Editora, 2005.</w:t>
      </w:r>
    </w:p>
    <w:p w14:paraId="5B259B8F" w14:textId="77777777" w:rsidR="004B71DD" w:rsidRPr="004B71DD" w:rsidRDefault="004B71DD" w:rsidP="00CC4E66">
      <w:pPr>
        <w:rPr>
          <w:rFonts w:ascii="Times New Roman" w:hAnsi="Times New Roman" w:cs="Times New Roman"/>
          <w:lang w:val="en-US"/>
        </w:rPr>
      </w:pPr>
      <w:r w:rsidRPr="004B71DD">
        <w:rPr>
          <w:rFonts w:ascii="Times New Roman" w:hAnsi="Times New Roman" w:cs="Times New Roman"/>
        </w:rPr>
        <w:t xml:space="preserve">FARIA, A. R. S. </w:t>
      </w:r>
      <w:r w:rsidRPr="004B71DD">
        <w:rPr>
          <w:rFonts w:ascii="Times New Roman" w:hAnsi="Times New Roman" w:cs="Times New Roman"/>
          <w:b/>
          <w:bCs/>
        </w:rPr>
        <w:t>Contabilidade tributária: teoria e prática</w:t>
      </w:r>
      <w:r w:rsidRPr="004B71DD">
        <w:rPr>
          <w:rFonts w:ascii="Times New Roman" w:hAnsi="Times New Roman" w:cs="Times New Roman"/>
        </w:rPr>
        <w:t xml:space="preserve">. </w:t>
      </w:r>
      <w:r w:rsidRPr="004B71DD">
        <w:rPr>
          <w:rFonts w:ascii="Times New Roman" w:hAnsi="Times New Roman" w:cs="Times New Roman"/>
          <w:lang w:val="en-US"/>
        </w:rPr>
        <w:t>São Paulo: Atlas, 2016.</w:t>
      </w:r>
    </w:p>
    <w:p w14:paraId="4CCDAB05" w14:textId="77777777" w:rsidR="004B71DD" w:rsidRPr="004B71DD" w:rsidRDefault="004B71DD" w:rsidP="00CC4E66">
      <w:pPr>
        <w:rPr>
          <w:rFonts w:ascii="Times New Roman" w:hAnsi="Times New Roman" w:cs="Times New Roman"/>
        </w:rPr>
      </w:pPr>
      <w:r w:rsidRPr="004B71DD">
        <w:rPr>
          <w:rFonts w:ascii="Times New Roman" w:hAnsi="Times New Roman" w:cs="Times New Roman"/>
          <w:lang w:val="en-US"/>
        </w:rPr>
        <w:t xml:space="preserve">FORD, M. </w:t>
      </w:r>
      <w:r w:rsidRPr="004B71DD">
        <w:rPr>
          <w:rFonts w:ascii="Times New Roman" w:hAnsi="Times New Roman" w:cs="Times New Roman"/>
          <w:b/>
          <w:bCs/>
          <w:lang w:val="en-US"/>
        </w:rPr>
        <w:t>The rise of the robots: technology and the threat of mass unemployment</w:t>
      </w:r>
      <w:r w:rsidRPr="004B71DD">
        <w:rPr>
          <w:rFonts w:ascii="Times New Roman" w:hAnsi="Times New Roman" w:cs="Times New Roman"/>
          <w:lang w:val="en-US"/>
        </w:rPr>
        <w:t xml:space="preserve">. </w:t>
      </w:r>
      <w:r w:rsidRPr="004B71DD">
        <w:rPr>
          <w:rFonts w:ascii="Times New Roman" w:hAnsi="Times New Roman" w:cs="Times New Roman"/>
        </w:rPr>
        <w:t>New York: Basic Books, 2015.</w:t>
      </w:r>
    </w:p>
    <w:p w14:paraId="0926B224" w14:textId="77777777" w:rsidR="004B71DD" w:rsidRPr="004B71DD" w:rsidRDefault="004B71DD" w:rsidP="00CC4E66">
      <w:pPr>
        <w:rPr>
          <w:rFonts w:ascii="Times New Roman" w:hAnsi="Times New Roman" w:cs="Times New Roman"/>
        </w:rPr>
      </w:pPr>
      <w:r w:rsidRPr="004B71DD">
        <w:rPr>
          <w:rFonts w:ascii="Times New Roman" w:hAnsi="Times New Roman" w:cs="Times New Roman"/>
        </w:rPr>
        <w:t xml:space="preserve">IBPT – </w:t>
      </w:r>
      <w:r w:rsidRPr="004B71DD">
        <w:rPr>
          <w:rFonts w:ascii="Times New Roman" w:hAnsi="Times New Roman" w:cs="Times New Roman"/>
          <w:b/>
          <w:bCs/>
        </w:rPr>
        <w:t>Instituto Brasileiro de Planejamento e Tributação</w:t>
      </w:r>
      <w:r w:rsidRPr="004B71DD">
        <w:rPr>
          <w:rFonts w:ascii="Times New Roman" w:hAnsi="Times New Roman" w:cs="Times New Roman"/>
        </w:rPr>
        <w:t xml:space="preserve">. </w:t>
      </w:r>
      <w:r w:rsidRPr="004B71DD">
        <w:rPr>
          <w:rFonts w:ascii="Times New Roman" w:hAnsi="Times New Roman" w:cs="Times New Roman"/>
          <w:i/>
          <w:iCs/>
        </w:rPr>
        <w:t>Estudo sobre carga tributária brasileira.</w:t>
      </w:r>
      <w:r w:rsidRPr="004B71DD">
        <w:rPr>
          <w:rFonts w:ascii="Times New Roman" w:hAnsi="Times New Roman" w:cs="Times New Roman"/>
        </w:rPr>
        <w:t xml:space="preserve"> São Paulo: IBPT, 2024.</w:t>
      </w:r>
    </w:p>
    <w:p w14:paraId="2C8CC1F5" w14:textId="77777777" w:rsidR="004B71DD" w:rsidRPr="004B71DD" w:rsidRDefault="004B71DD" w:rsidP="00CC4E66">
      <w:pPr>
        <w:rPr>
          <w:rFonts w:ascii="Times New Roman" w:hAnsi="Times New Roman" w:cs="Times New Roman"/>
        </w:rPr>
      </w:pPr>
      <w:r w:rsidRPr="004B71DD">
        <w:rPr>
          <w:rFonts w:ascii="Times New Roman" w:hAnsi="Times New Roman" w:cs="Times New Roman"/>
        </w:rPr>
        <w:t xml:space="preserve">JAMBEIRO FILHO, Á. </w:t>
      </w:r>
      <w:r w:rsidRPr="004B71DD">
        <w:rPr>
          <w:rFonts w:ascii="Times New Roman" w:hAnsi="Times New Roman" w:cs="Times New Roman"/>
          <w:b/>
          <w:bCs/>
        </w:rPr>
        <w:t>Sistemas de análise preditiva na fiscalização aduaneira</w:t>
      </w:r>
      <w:r w:rsidRPr="004B71DD">
        <w:rPr>
          <w:rFonts w:ascii="Times New Roman" w:hAnsi="Times New Roman" w:cs="Times New Roman"/>
        </w:rPr>
        <w:t>. Brasília: [s.n.], 2015.</w:t>
      </w:r>
    </w:p>
    <w:p w14:paraId="2EF9944B" w14:textId="77777777" w:rsidR="004B71DD" w:rsidRPr="004B71DD" w:rsidRDefault="004B71DD" w:rsidP="00CC4E66">
      <w:pPr>
        <w:rPr>
          <w:rFonts w:ascii="Times New Roman" w:hAnsi="Times New Roman" w:cs="Times New Roman"/>
        </w:rPr>
      </w:pPr>
      <w:r w:rsidRPr="004B71DD">
        <w:rPr>
          <w:rFonts w:ascii="Times New Roman" w:hAnsi="Times New Roman" w:cs="Times New Roman"/>
        </w:rPr>
        <w:t xml:space="preserve">LUSTOSA FILHO, J. </w:t>
      </w:r>
      <w:r w:rsidRPr="004B71DD">
        <w:rPr>
          <w:rFonts w:ascii="Times New Roman" w:hAnsi="Times New Roman" w:cs="Times New Roman"/>
          <w:b/>
          <w:bCs/>
        </w:rPr>
        <w:t>Reflexões sobre a reforma tributária da Emenda Constitucional nº 132/2023 no contexto do federalismo brasileiro</w:t>
      </w:r>
      <w:r w:rsidRPr="004B71DD">
        <w:rPr>
          <w:rFonts w:ascii="Times New Roman" w:hAnsi="Times New Roman" w:cs="Times New Roman"/>
        </w:rPr>
        <w:t>. Recife: UFPE, 2024.</w:t>
      </w:r>
    </w:p>
    <w:p w14:paraId="37BAD53E" w14:textId="77777777" w:rsidR="004B71DD" w:rsidRPr="004B71DD" w:rsidRDefault="004B71DD" w:rsidP="00CC4E66">
      <w:pPr>
        <w:rPr>
          <w:rFonts w:ascii="Times New Roman" w:hAnsi="Times New Roman" w:cs="Times New Roman"/>
        </w:rPr>
      </w:pPr>
      <w:r w:rsidRPr="004B71DD">
        <w:rPr>
          <w:rFonts w:ascii="Times New Roman" w:hAnsi="Times New Roman" w:cs="Times New Roman"/>
        </w:rPr>
        <w:t xml:space="preserve">MAIA FILHO, F.; JUNQUILHO, E. </w:t>
      </w:r>
      <w:r w:rsidRPr="004B71DD">
        <w:rPr>
          <w:rFonts w:ascii="Times New Roman" w:hAnsi="Times New Roman" w:cs="Times New Roman"/>
          <w:b/>
          <w:bCs/>
        </w:rPr>
        <w:t>Inteligência artificial e gestão de dados</w:t>
      </w:r>
      <w:r w:rsidRPr="004B71DD">
        <w:rPr>
          <w:rFonts w:ascii="Times New Roman" w:hAnsi="Times New Roman" w:cs="Times New Roman"/>
        </w:rPr>
        <w:t>. São Paulo: [s.n.], 2018.</w:t>
      </w:r>
    </w:p>
    <w:p w14:paraId="159376C1" w14:textId="77777777" w:rsidR="004B71DD" w:rsidRPr="004B71DD" w:rsidRDefault="004B71DD" w:rsidP="00CC4E66">
      <w:pPr>
        <w:rPr>
          <w:rFonts w:ascii="Times New Roman" w:hAnsi="Times New Roman" w:cs="Times New Roman"/>
        </w:rPr>
      </w:pPr>
      <w:r w:rsidRPr="004B71DD">
        <w:rPr>
          <w:rFonts w:ascii="Times New Roman" w:hAnsi="Times New Roman" w:cs="Times New Roman"/>
        </w:rPr>
        <w:t xml:space="preserve">MACHADO SEGUNDO, H. </w:t>
      </w:r>
      <w:r w:rsidRPr="004B71DD">
        <w:rPr>
          <w:rFonts w:ascii="Times New Roman" w:hAnsi="Times New Roman" w:cs="Times New Roman"/>
          <w:b/>
          <w:bCs/>
        </w:rPr>
        <w:t xml:space="preserve">Inteligência artificial e tributação: </w:t>
      </w:r>
      <w:proofErr w:type="spellStart"/>
      <w:r w:rsidRPr="004B71DD">
        <w:rPr>
          <w:rFonts w:ascii="Times New Roman" w:hAnsi="Times New Roman" w:cs="Times New Roman"/>
          <w:b/>
          <w:bCs/>
        </w:rPr>
        <w:t>accountability</w:t>
      </w:r>
      <w:proofErr w:type="spellEnd"/>
      <w:r w:rsidRPr="004B71DD">
        <w:rPr>
          <w:rFonts w:ascii="Times New Roman" w:hAnsi="Times New Roman" w:cs="Times New Roman"/>
          <w:b/>
          <w:bCs/>
        </w:rPr>
        <w:t xml:space="preserve"> e transparência fiscal</w:t>
      </w:r>
      <w:r w:rsidRPr="004B71DD">
        <w:rPr>
          <w:rFonts w:ascii="Times New Roman" w:hAnsi="Times New Roman" w:cs="Times New Roman"/>
        </w:rPr>
        <w:t>. São Paulo: [s.n.], 2020.</w:t>
      </w:r>
    </w:p>
    <w:p w14:paraId="553F8BAD" w14:textId="77777777" w:rsidR="004B71DD" w:rsidRPr="004B71DD" w:rsidRDefault="004B71DD" w:rsidP="00CC4E66">
      <w:pPr>
        <w:rPr>
          <w:rFonts w:ascii="Times New Roman" w:hAnsi="Times New Roman" w:cs="Times New Roman"/>
        </w:rPr>
      </w:pPr>
      <w:r w:rsidRPr="004B71DD">
        <w:rPr>
          <w:rFonts w:ascii="Times New Roman" w:hAnsi="Times New Roman" w:cs="Times New Roman"/>
        </w:rPr>
        <w:t xml:space="preserve">NUNES, A.; DELGADO, J. </w:t>
      </w:r>
      <w:r w:rsidRPr="004B71DD">
        <w:rPr>
          <w:rFonts w:ascii="Times New Roman" w:hAnsi="Times New Roman" w:cs="Times New Roman"/>
          <w:b/>
          <w:bCs/>
        </w:rPr>
        <w:t>Inteligência artificial aplicada à fiscalização tributária: eficiência e redução de erros</w:t>
      </w:r>
      <w:r w:rsidRPr="004B71DD">
        <w:rPr>
          <w:rFonts w:ascii="Times New Roman" w:hAnsi="Times New Roman" w:cs="Times New Roman"/>
        </w:rPr>
        <w:t>. Brasília: [s.n.], 2022.</w:t>
      </w:r>
    </w:p>
    <w:p w14:paraId="01DE4338" w14:textId="77777777" w:rsidR="004B71DD" w:rsidRPr="004B71DD" w:rsidRDefault="004B71DD" w:rsidP="00CC4E66">
      <w:pPr>
        <w:rPr>
          <w:rFonts w:ascii="Times New Roman" w:hAnsi="Times New Roman" w:cs="Times New Roman"/>
        </w:rPr>
      </w:pPr>
      <w:r w:rsidRPr="004B71DD">
        <w:rPr>
          <w:rFonts w:ascii="Times New Roman" w:hAnsi="Times New Roman" w:cs="Times New Roman"/>
        </w:rPr>
        <w:t xml:space="preserve">O’NEIL, C. </w:t>
      </w:r>
      <w:r w:rsidRPr="004B71DD">
        <w:rPr>
          <w:rFonts w:ascii="Times New Roman" w:hAnsi="Times New Roman" w:cs="Times New Roman"/>
          <w:b/>
          <w:bCs/>
        </w:rPr>
        <w:t>Armas de destruição matemática: riscos de vieses e discriminação nos algoritmos</w:t>
      </w:r>
      <w:r w:rsidRPr="004B71DD">
        <w:rPr>
          <w:rFonts w:ascii="Times New Roman" w:hAnsi="Times New Roman" w:cs="Times New Roman"/>
        </w:rPr>
        <w:t>. Rio de Janeiro: Intrínseca, 2016.</w:t>
      </w:r>
    </w:p>
    <w:p w14:paraId="46C566E1" w14:textId="77777777" w:rsidR="004B71DD" w:rsidRPr="004B71DD" w:rsidRDefault="004B71DD" w:rsidP="00CC4E66">
      <w:pPr>
        <w:rPr>
          <w:rFonts w:ascii="Times New Roman" w:hAnsi="Times New Roman" w:cs="Times New Roman"/>
        </w:rPr>
      </w:pPr>
      <w:r w:rsidRPr="004B71DD">
        <w:rPr>
          <w:rFonts w:ascii="Times New Roman" w:hAnsi="Times New Roman" w:cs="Times New Roman"/>
        </w:rPr>
        <w:t xml:space="preserve">PADOVEZE, C. L.; BENEDICTO, G. C.; OLIVEIRA, J. C. </w:t>
      </w:r>
      <w:r w:rsidRPr="004B71DD">
        <w:rPr>
          <w:rFonts w:ascii="Times New Roman" w:hAnsi="Times New Roman" w:cs="Times New Roman"/>
          <w:b/>
          <w:bCs/>
        </w:rPr>
        <w:t>Contabilidade gerencial: um enfoque em sistema de informação contábil</w:t>
      </w:r>
      <w:r w:rsidRPr="004B71DD">
        <w:rPr>
          <w:rFonts w:ascii="Times New Roman" w:hAnsi="Times New Roman" w:cs="Times New Roman"/>
        </w:rPr>
        <w:t>. 7. ed. São Paulo: Atlas, 2017.</w:t>
      </w:r>
    </w:p>
    <w:p w14:paraId="1E088DAD" w14:textId="77777777" w:rsidR="004B71DD" w:rsidRPr="004B71DD" w:rsidRDefault="004B71DD" w:rsidP="00CC4E66">
      <w:pPr>
        <w:rPr>
          <w:rFonts w:ascii="Times New Roman" w:hAnsi="Times New Roman" w:cs="Times New Roman"/>
        </w:rPr>
      </w:pPr>
      <w:r w:rsidRPr="004B71DD">
        <w:rPr>
          <w:rFonts w:ascii="Times New Roman" w:hAnsi="Times New Roman" w:cs="Times New Roman"/>
        </w:rPr>
        <w:t xml:space="preserve">PÊGAS, J. C. </w:t>
      </w:r>
      <w:r w:rsidRPr="004B71DD">
        <w:rPr>
          <w:rFonts w:ascii="Times New Roman" w:hAnsi="Times New Roman" w:cs="Times New Roman"/>
          <w:b/>
          <w:bCs/>
        </w:rPr>
        <w:t>Tributação e evolução do sistema fiscal no Brasil</w:t>
      </w:r>
      <w:r w:rsidRPr="004B71DD">
        <w:rPr>
          <w:rFonts w:ascii="Times New Roman" w:hAnsi="Times New Roman" w:cs="Times New Roman"/>
        </w:rPr>
        <w:t>. Rio de Janeiro: [s.n.], 2022.</w:t>
      </w:r>
    </w:p>
    <w:p w14:paraId="492FD859" w14:textId="77777777" w:rsidR="004B71DD" w:rsidRPr="004B71DD" w:rsidRDefault="004B71DD" w:rsidP="00CC4E66">
      <w:pPr>
        <w:rPr>
          <w:rFonts w:ascii="Times New Roman" w:hAnsi="Times New Roman" w:cs="Times New Roman"/>
        </w:rPr>
      </w:pPr>
      <w:r w:rsidRPr="004B71DD">
        <w:rPr>
          <w:rFonts w:ascii="Times New Roman" w:hAnsi="Times New Roman" w:cs="Times New Roman"/>
        </w:rPr>
        <w:t xml:space="preserve">PODER360. </w:t>
      </w:r>
      <w:r w:rsidRPr="004B71DD">
        <w:rPr>
          <w:rFonts w:ascii="Times New Roman" w:hAnsi="Times New Roman" w:cs="Times New Roman"/>
          <w:b/>
          <w:bCs/>
        </w:rPr>
        <w:t>Quase metade das cidades brasileiras dependem 90% ou mais de repasses.</w:t>
      </w:r>
      <w:r w:rsidRPr="004B71DD">
        <w:rPr>
          <w:rFonts w:ascii="Times New Roman" w:hAnsi="Times New Roman" w:cs="Times New Roman"/>
        </w:rPr>
        <w:t xml:space="preserve"> Disponível em: </w:t>
      </w:r>
      <w:hyperlink r:id="rId17" w:tgtFrame="_new" w:history="1">
        <w:r w:rsidRPr="004B71DD">
          <w:rPr>
            <w:rStyle w:val="Hyperlink"/>
            <w:rFonts w:ascii="Times New Roman" w:hAnsi="Times New Roman" w:cs="Times New Roman"/>
          </w:rPr>
          <w:t>https://www.poder360.com.br/economia/quase-metade-das-cidades-brasileiras-dependem-90-ou-mais-de-repasses/</w:t>
        </w:r>
      </w:hyperlink>
      <w:r w:rsidRPr="004B71DD">
        <w:rPr>
          <w:rFonts w:ascii="Times New Roman" w:hAnsi="Times New Roman" w:cs="Times New Roman"/>
        </w:rPr>
        <w:t>. Acesso em: 15 nov. 2024.</w:t>
      </w:r>
    </w:p>
    <w:p w14:paraId="4B8BB881" w14:textId="77777777" w:rsidR="004B71DD" w:rsidRPr="004B71DD" w:rsidRDefault="004B71DD" w:rsidP="00CC4E66">
      <w:pPr>
        <w:rPr>
          <w:rFonts w:ascii="Times New Roman" w:hAnsi="Times New Roman" w:cs="Times New Roman"/>
          <w:lang w:val="en-US"/>
        </w:rPr>
      </w:pPr>
      <w:r w:rsidRPr="004B71DD">
        <w:rPr>
          <w:rFonts w:ascii="Times New Roman" w:hAnsi="Times New Roman" w:cs="Times New Roman"/>
        </w:rPr>
        <w:t xml:space="preserve">ROQUE, P.; SANTOS, A. </w:t>
      </w:r>
      <w:r w:rsidRPr="004B71DD">
        <w:rPr>
          <w:rFonts w:ascii="Times New Roman" w:hAnsi="Times New Roman" w:cs="Times New Roman"/>
          <w:b/>
          <w:bCs/>
        </w:rPr>
        <w:t>Uso de IA no Judiciário para agilizar decisões</w:t>
      </w:r>
      <w:r w:rsidRPr="004B71DD">
        <w:rPr>
          <w:rFonts w:ascii="Times New Roman" w:hAnsi="Times New Roman" w:cs="Times New Roman"/>
        </w:rPr>
        <w:t xml:space="preserve">. </w:t>
      </w:r>
      <w:r w:rsidRPr="004B71DD">
        <w:rPr>
          <w:rFonts w:ascii="Times New Roman" w:hAnsi="Times New Roman" w:cs="Times New Roman"/>
          <w:lang w:val="en-US"/>
        </w:rPr>
        <w:t>Brasília: [</w:t>
      </w:r>
      <w:proofErr w:type="spellStart"/>
      <w:r w:rsidRPr="004B71DD">
        <w:rPr>
          <w:rFonts w:ascii="Times New Roman" w:hAnsi="Times New Roman" w:cs="Times New Roman"/>
          <w:lang w:val="en-US"/>
        </w:rPr>
        <w:t>s.n</w:t>
      </w:r>
      <w:proofErr w:type="spellEnd"/>
      <w:r w:rsidRPr="004B71DD">
        <w:rPr>
          <w:rFonts w:ascii="Times New Roman" w:hAnsi="Times New Roman" w:cs="Times New Roman"/>
          <w:lang w:val="en-US"/>
        </w:rPr>
        <w:t>.], 2021.</w:t>
      </w:r>
    </w:p>
    <w:p w14:paraId="4A321576" w14:textId="77777777" w:rsidR="004B71DD" w:rsidRPr="004B71DD" w:rsidRDefault="004B71DD" w:rsidP="00CC4E66">
      <w:pPr>
        <w:rPr>
          <w:rFonts w:ascii="Times New Roman" w:hAnsi="Times New Roman" w:cs="Times New Roman"/>
        </w:rPr>
      </w:pPr>
      <w:r w:rsidRPr="004B71DD">
        <w:rPr>
          <w:rFonts w:ascii="Times New Roman" w:hAnsi="Times New Roman" w:cs="Times New Roman"/>
          <w:lang w:val="en-US"/>
        </w:rPr>
        <w:lastRenderedPageBreak/>
        <w:t xml:space="preserve">SCHERER, M. </w:t>
      </w:r>
      <w:r w:rsidRPr="004B71DD">
        <w:rPr>
          <w:rFonts w:ascii="Times New Roman" w:hAnsi="Times New Roman" w:cs="Times New Roman"/>
          <w:b/>
          <w:bCs/>
          <w:lang w:val="en-US"/>
        </w:rPr>
        <w:t>Regulating artificial intelligence systems: challenges and perspectives</w:t>
      </w:r>
      <w:r w:rsidRPr="004B71DD">
        <w:rPr>
          <w:rFonts w:ascii="Times New Roman" w:hAnsi="Times New Roman" w:cs="Times New Roman"/>
          <w:lang w:val="en-US"/>
        </w:rPr>
        <w:t xml:space="preserve">. </w:t>
      </w:r>
      <w:r w:rsidRPr="004B71DD">
        <w:rPr>
          <w:rFonts w:ascii="Times New Roman" w:hAnsi="Times New Roman" w:cs="Times New Roman"/>
        </w:rPr>
        <w:t>Berlin: Springer, 2016.</w:t>
      </w:r>
    </w:p>
    <w:p w14:paraId="7E6E3F95" w14:textId="77777777" w:rsidR="004B71DD" w:rsidRPr="004B71DD" w:rsidRDefault="004B71DD" w:rsidP="00CC4E66">
      <w:pPr>
        <w:rPr>
          <w:rFonts w:ascii="Times New Roman" w:hAnsi="Times New Roman" w:cs="Times New Roman"/>
        </w:rPr>
      </w:pPr>
      <w:r w:rsidRPr="004B71DD">
        <w:rPr>
          <w:rFonts w:ascii="Times New Roman" w:hAnsi="Times New Roman" w:cs="Times New Roman"/>
        </w:rPr>
        <w:t xml:space="preserve">SCHWAB, K. </w:t>
      </w:r>
      <w:r w:rsidRPr="004B71DD">
        <w:rPr>
          <w:rFonts w:ascii="Times New Roman" w:hAnsi="Times New Roman" w:cs="Times New Roman"/>
          <w:b/>
          <w:bCs/>
        </w:rPr>
        <w:t>A quarta revolução industrial</w:t>
      </w:r>
      <w:r w:rsidRPr="004B71DD">
        <w:rPr>
          <w:rFonts w:ascii="Times New Roman" w:hAnsi="Times New Roman" w:cs="Times New Roman"/>
        </w:rPr>
        <w:t xml:space="preserve">. São Paulo: </w:t>
      </w:r>
      <w:proofErr w:type="spellStart"/>
      <w:r w:rsidRPr="004B71DD">
        <w:rPr>
          <w:rFonts w:ascii="Times New Roman" w:hAnsi="Times New Roman" w:cs="Times New Roman"/>
        </w:rPr>
        <w:t>Edipro</w:t>
      </w:r>
      <w:proofErr w:type="spellEnd"/>
      <w:r w:rsidRPr="004B71DD">
        <w:rPr>
          <w:rFonts w:ascii="Times New Roman" w:hAnsi="Times New Roman" w:cs="Times New Roman"/>
        </w:rPr>
        <w:t>, 2019.</w:t>
      </w:r>
    </w:p>
    <w:p w14:paraId="668A30A9" w14:textId="77777777" w:rsidR="004B71DD" w:rsidRPr="004B71DD" w:rsidRDefault="004B71DD" w:rsidP="00CC4E66">
      <w:pPr>
        <w:rPr>
          <w:rFonts w:ascii="Times New Roman" w:hAnsi="Times New Roman" w:cs="Times New Roman"/>
        </w:rPr>
      </w:pPr>
      <w:r w:rsidRPr="004B71DD">
        <w:rPr>
          <w:rFonts w:ascii="Times New Roman" w:hAnsi="Times New Roman" w:cs="Times New Roman"/>
        </w:rPr>
        <w:t xml:space="preserve">TAVOLARO, S. </w:t>
      </w:r>
      <w:r w:rsidRPr="004B71DD">
        <w:rPr>
          <w:rFonts w:ascii="Times New Roman" w:hAnsi="Times New Roman" w:cs="Times New Roman"/>
          <w:b/>
          <w:bCs/>
        </w:rPr>
        <w:t>Flexibilidade do sistema tributário frente à inovação tecnológica</w:t>
      </w:r>
      <w:r w:rsidRPr="004B71DD">
        <w:rPr>
          <w:rFonts w:ascii="Times New Roman" w:hAnsi="Times New Roman" w:cs="Times New Roman"/>
        </w:rPr>
        <w:t>. São Paulo: [s.n.], 2000.</w:t>
      </w:r>
    </w:p>
    <w:p w14:paraId="5E79B536" w14:textId="77777777" w:rsidR="004B71DD" w:rsidRPr="004B71DD" w:rsidRDefault="004B71DD" w:rsidP="00CC4E66">
      <w:pPr>
        <w:rPr>
          <w:rFonts w:ascii="Times New Roman" w:hAnsi="Times New Roman" w:cs="Times New Roman"/>
        </w:rPr>
      </w:pPr>
      <w:r w:rsidRPr="004B71DD">
        <w:rPr>
          <w:rFonts w:ascii="Times New Roman" w:hAnsi="Times New Roman" w:cs="Times New Roman"/>
        </w:rPr>
        <w:t xml:space="preserve">TRIBUNAL DE CONTAS DA UNIÃO (TCU). </w:t>
      </w:r>
      <w:r w:rsidRPr="004B71DD">
        <w:rPr>
          <w:rFonts w:ascii="Times New Roman" w:hAnsi="Times New Roman" w:cs="Times New Roman"/>
          <w:b/>
          <w:bCs/>
        </w:rPr>
        <w:t>Relatório sobre a carga tributária brasileira em 2022</w:t>
      </w:r>
      <w:r w:rsidRPr="004B71DD">
        <w:rPr>
          <w:rFonts w:ascii="Times New Roman" w:hAnsi="Times New Roman" w:cs="Times New Roman"/>
        </w:rPr>
        <w:t>. Brasília: TCU, 2023.</w:t>
      </w:r>
    </w:p>
    <w:p w14:paraId="7E29AF15" w14:textId="77777777" w:rsidR="004B71DD" w:rsidRPr="004B71DD" w:rsidRDefault="004B71DD" w:rsidP="00CC4E66">
      <w:pPr>
        <w:rPr>
          <w:rFonts w:ascii="Times New Roman" w:hAnsi="Times New Roman" w:cs="Times New Roman"/>
        </w:rPr>
      </w:pPr>
      <w:r w:rsidRPr="004B71DD">
        <w:rPr>
          <w:rFonts w:ascii="Times New Roman" w:hAnsi="Times New Roman" w:cs="Times New Roman"/>
        </w:rPr>
        <w:t xml:space="preserve">UNIVERSIDADE FEDERAL DO RIO DE JANEIRO (UFRJ). </w:t>
      </w:r>
      <w:r w:rsidRPr="004B71DD">
        <w:rPr>
          <w:rFonts w:ascii="Times New Roman" w:hAnsi="Times New Roman" w:cs="Times New Roman"/>
          <w:b/>
          <w:bCs/>
        </w:rPr>
        <w:t>Impactos da automação sobre o emprego no Brasil</w:t>
      </w:r>
      <w:r w:rsidRPr="004B71DD">
        <w:rPr>
          <w:rFonts w:ascii="Times New Roman" w:hAnsi="Times New Roman" w:cs="Times New Roman"/>
        </w:rPr>
        <w:t>. Rio de Janeiro: UFRJ, 2019</w:t>
      </w:r>
    </w:p>
    <w:p w14:paraId="6CF5938D" w14:textId="4291540A" w:rsidR="00355034" w:rsidRPr="00477A9B" w:rsidRDefault="00355034" w:rsidP="00CC4E66">
      <w:pPr>
        <w:rPr>
          <w:rFonts w:ascii="Times New Roman" w:hAnsi="Times New Roman" w:cs="Times New Roman"/>
        </w:rPr>
      </w:pPr>
    </w:p>
    <w:sectPr w:rsidR="00355034" w:rsidRPr="00477A9B" w:rsidSect="00FB1443">
      <w:headerReference w:type="default" r:id="rId18"/>
      <w:pgSz w:w="11906" w:h="16838"/>
      <w:pgMar w:top="1701"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296FF9" w14:textId="77777777" w:rsidR="004E4D3E" w:rsidRDefault="004E4D3E" w:rsidP="00FD7954">
      <w:pPr>
        <w:spacing w:line="240" w:lineRule="auto"/>
      </w:pPr>
      <w:r>
        <w:separator/>
      </w:r>
    </w:p>
  </w:endnote>
  <w:endnote w:type="continuationSeparator" w:id="0">
    <w:p w14:paraId="5A7A68B0" w14:textId="77777777" w:rsidR="004E4D3E" w:rsidRDefault="004E4D3E" w:rsidP="00FD795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D202E0" w14:textId="77777777" w:rsidR="004E4D3E" w:rsidRDefault="004E4D3E" w:rsidP="00FD7954">
      <w:pPr>
        <w:spacing w:line="240" w:lineRule="auto"/>
      </w:pPr>
      <w:r>
        <w:separator/>
      </w:r>
    </w:p>
  </w:footnote>
  <w:footnote w:type="continuationSeparator" w:id="0">
    <w:p w14:paraId="4D1E669E" w14:textId="77777777" w:rsidR="004E4D3E" w:rsidRDefault="004E4D3E" w:rsidP="00FD795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8DAE5" w14:textId="25ABAE42" w:rsidR="00207C46" w:rsidRDefault="00207C46">
    <w:pPr>
      <w:pStyle w:val="Corpodetexto"/>
      <w:spacing w:line="14" w:lineRule="auto"/>
      <w:rPr>
        <w:sz w:val="20"/>
      </w:rPr>
    </w:pPr>
    <w:r>
      <w:rPr>
        <w:noProof/>
        <w:sz w:val="20"/>
        <w:lang w:val="pt-BR" w:eastAsia="pt-BR"/>
      </w:rPr>
      <w:drawing>
        <wp:anchor distT="0" distB="0" distL="0" distR="0" simplePos="0" relativeHeight="251659264" behindDoc="1" locked="0" layoutInCell="1" allowOverlap="1" wp14:anchorId="518021C0" wp14:editId="3B9BB55A">
          <wp:simplePos x="0" y="0"/>
          <wp:positionH relativeFrom="page">
            <wp:posOffset>2968307</wp:posOffset>
          </wp:positionH>
          <wp:positionV relativeFrom="page">
            <wp:posOffset>48599</wp:posOffset>
          </wp:positionV>
          <wp:extent cx="1627286" cy="802239"/>
          <wp:effectExtent l="0" t="0" r="0" b="0"/>
          <wp:wrapNone/>
          <wp:docPr id="1778588053" name="Image 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6" name="Image 66"/>
                  <pic:cNvPicPr/>
                </pic:nvPicPr>
                <pic:blipFill>
                  <a:blip r:embed="rId1" cstate="print"/>
                  <a:stretch>
                    <a:fillRect/>
                  </a:stretch>
                </pic:blipFill>
                <pic:spPr>
                  <a:xfrm>
                    <a:off x="0" y="0"/>
                    <a:ext cx="1627286" cy="802239"/>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3750891"/>
      <w:docPartObj>
        <w:docPartGallery w:val="Page Numbers (Top of Page)"/>
        <w:docPartUnique/>
      </w:docPartObj>
    </w:sdtPr>
    <w:sdtContent>
      <w:p w14:paraId="6830D2DD" w14:textId="3442B2AE" w:rsidR="003914BD" w:rsidRDefault="003914BD">
        <w:pPr>
          <w:pStyle w:val="Cabealho"/>
          <w:jc w:val="right"/>
        </w:pPr>
        <w:r>
          <w:fldChar w:fldCharType="begin"/>
        </w:r>
        <w:r>
          <w:instrText>PAGE   \* MERGEFORMAT</w:instrText>
        </w:r>
        <w:r>
          <w:fldChar w:fldCharType="separate"/>
        </w:r>
        <w:r w:rsidR="00BE2156">
          <w:rPr>
            <w:noProof/>
          </w:rPr>
          <w:t>4</w:t>
        </w:r>
        <w:r>
          <w:fldChar w:fldCharType="end"/>
        </w:r>
      </w:p>
    </w:sdtContent>
  </w:sdt>
  <w:p w14:paraId="7790027C" w14:textId="77777777" w:rsidR="003914BD" w:rsidRDefault="003914BD">
    <w:pPr>
      <w:pStyle w:val="Cabealh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C9089" w14:textId="6DE4F66F" w:rsidR="005963E0" w:rsidRDefault="005963E0">
    <w:pPr>
      <w:pStyle w:val="Cabealho"/>
      <w:jc w:val="right"/>
    </w:pPr>
  </w:p>
  <w:p w14:paraId="79566F79" w14:textId="77777777" w:rsidR="005963E0" w:rsidRDefault="005963E0">
    <w:pPr>
      <w:pStyle w:val="Cabealho"/>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2957023"/>
      <w:docPartObj>
        <w:docPartGallery w:val="Page Numbers (Top of Page)"/>
        <w:docPartUnique/>
      </w:docPartObj>
    </w:sdtPr>
    <w:sdtContent>
      <w:p w14:paraId="03C4B5EC" w14:textId="043587C7" w:rsidR="003914BD" w:rsidRDefault="003914BD">
        <w:pPr>
          <w:pStyle w:val="Cabealho"/>
          <w:jc w:val="right"/>
        </w:pPr>
        <w:r>
          <w:fldChar w:fldCharType="begin"/>
        </w:r>
        <w:r>
          <w:instrText>PAGE   \* MERGEFORMAT</w:instrText>
        </w:r>
        <w:r>
          <w:fldChar w:fldCharType="separate"/>
        </w:r>
        <w:r w:rsidR="007733B1">
          <w:rPr>
            <w:noProof/>
          </w:rPr>
          <w:t>29</w:t>
        </w:r>
        <w:r>
          <w:fldChar w:fldCharType="end"/>
        </w:r>
      </w:p>
    </w:sdtContent>
  </w:sdt>
  <w:p w14:paraId="17F7C936" w14:textId="77777777" w:rsidR="003914BD" w:rsidRDefault="003914BD">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D73ECA"/>
    <w:multiLevelType w:val="multilevel"/>
    <w:tmpl w:val="1B4A3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7943DE"/>
    <w:multiLevelType w:val="hybridMultilevel"/>
    <w:tmpl w:val="9954A7C2"/>
    <w:lvl w:ilvl="0" w:tplc="7142646C">
      <w:start w:val="1"/>
      <w:numFmt w:val="decimal"/>
      <w:lvlText w:val="%1)"/>
      <w:lvlJc w:val="left"/>
      <w:pPr>
        <w:ind w:left="720" w:hanging="360"/>
      </w:pPr>
    </w:lvl>
    <w:lvl w:ilvl="1" w:tplc="F47E303C">
      <w:start w:val="1"/>
      <w:numFmt w:val="decimal"/>
      <w:lvlText w:val="%2)"/>
      <w:lvlJc w:val="left"/>
      <w:pPr>
        <w:ind w:left="720" w:hanging="360"/>
      </w:pPr>
    </w:lvl>
    <w:lvl w:ilvl="2" w:tplc="FADEA776">
      <w:start w:val="1"/>
      <w:numFmt w:val="decimal"/>
      <w:lvlText w:val="%3)"/>
      <w:lvlJc w:val="left"/>
      <w:pPr>
        <w:ind w:left="720" w:hanging="360"/>
      </w:pPr>
    </w:lvl>
    <w:lvl w:ilvl="3" w:tplc="CCC07E9C">
      <w:start w:val="1"/>
      <w:numFmt w:val="decimal"/>
      <w:lvlText w:val="%4)"/>
      <w:lvlJc w:val="left"/>
      <w:pPr>
        <w:ind w:left="720" w:hanging="360"/>
      </w:pPr>
    </w:lvl>
    <w:lvl w:ilvl="4" w:tplc="878EC2EA">
      <w:start w:val="1"/>
      <w:numFmt w:val="decimal"/>
      <w:lvlText w:val="%5)"/>
      <w:lvlJc w:val="left"/>
      <w:pPr>
        <w:ind w:left="720" w:hanging="360"/>
      </w:pPr>
    </w:lvl>
    <w:lvl w:ilvl="5" w:tplc="0E067870">
      <w:start w:val="1"/>
      <w:numFmt w:val="decimal"/>
      <w:lvlText w:val="%6)"/>
      <w:lvlJc w:val="left"/>
      <w:pPr>
        <w:ind w:left="720" w:hanging="360"/>
      </w:pPr>
    </w:lvl>
    <w:lvl w:ilvl="6" w:tplc="C5A293E6">
      <w:start w:val="1"/>
      <w:numFmt w:val="decimal"/>
      <w:lvlText w:val="%7)"/>
      <w:lvlJc w:val="left"/>
      <w:pPr>
        <w:ind w:left="720" w:hanging="360"/>
      </w:pPr>
    </w:lvl>
    <w:lvl w:ilvl="7" w:tplc="76FC049E">
      <w:start w:val="1"/>
      <w:numFmt w:val="decimal"/>
      <w:lvlText w:val="%8)"/>
      <w:lvlJc w:val="left"/>
      <w:pPr>
        <w:ind w:left="720" w:hanging="360"/>
      </w:pPr>
    </w:lvl>
    <w:lvl w:ilvl="8" w:tplc="8F0E74BE">
      <w:start w:val="1"/>
      <w:numFmt w:val="decimal"/>
      <w:lvlText w:val="%9)"/>
      <w:lvlJc w:val="left"/>
      <w:pPr>
        <w:ind w:left="720" w:hanging="360"/>
      </w:pPr>
    </w:lvl>
  </w:abstractNum>
  <w:abstractNum w:abstractNumId="2" w15:restartNumberingAfterBreak="0">
    <w:nsid w:val="10C62B85"/>
    <w:multiLevelType w:val="multilevel"/>
    <w:tmpl w:val="7A5CBC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C73276"/>
    <w:multiLevelType w:val="hybridMultilevel"/>
    <w:tmpl w:val="CE9A647C"/>
    <w:lvl w:ilvl="0" w:tplc="E99A462E">
      <w:start w:val="1"/>
      <w:numFmt w:val="decimal"/>
      <w:lvlText w:val="%1."/>
      <w:lvlJc w:val="lef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4" w15:restartNumberingAfterBreak="0">
    <w:nsid w:val="16795252"/>
    <w:multiLevelType w:val="multilevel"/>
    <w:tmpl w:val="C046D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C540E2"/>
    <w:multiLevelType w:val="hybridMultilevel"/>
    <w:tmpl w:val="C1B60448"/>
    <w:lvl w:ilvl="0" w:tplc="B2A020CE">
      <w:start w:val="1"/>
      <w:numFmt w:val="bullet"/>
      <w:lvlText w:val=""/>
      <w:lvlJc w:val="left"/>
      <w:pPr>
        <w:ind w:left="720" w:hanging="360"/>
      </w:pPr>
      <w:rPr>
        <w:rFonts w:ascii="Symbol" w:hAnsi="Symbol"/>
      </w:rPr>
    </w:lvl>
    <w:lvl w:ilvl="1" w:tplc="F0BCEFAA">
      <w:start w:val="1"/>
      <w:numFmt w:val="bullet"/>
      <w:lvlText w:val=""/>
      <w:lvlJc w:val="left"/>
      <w:pPr>
        <w:ind w:left="720" w:hanging="360"/>
      </w:pPr>
      <w:rPr>
        <w:rFonts w:ascii="Symbol" w:hAnsi="Symbol"/>
      </w:rPr>
    </w:lvl>
    <w:lvl w:ilvl="2" w:tplc="F5AA21DE">
      <w:start w:val="1"/>
      <w:numFmt w:val="bullet"/>
      <w:lvlText w:val=""/>
      <w:lvlJc w:val="left"/>
      <w:pPr>
        <w:ind w:left="720" w:hanging="360"/>
      </w:pPr>
      <w:rPr>
        <w:rFonts w:ascii="Symbol" w:hAnsi="Symbol"/>
      </w:rPr>
    </w:lvl>
    <w:lvl w:ilvl="3" w:tplc="C9D0C628">
      <w:start w:val="1"/>
      <w:numFmt w:val="bullet"/>
      <w:lvlText w:val=""/>
      <w:lvlJc w:val="left"/>
      <w:pPr>
        <w:ind w:left="720" w:hanging="360"/>
      </w:pPr>
      <w:rPr>
        <w:rFonts w:ascii="Symbol" w:hAnsi="Symbol"/>
      </w:rPr>
    </w:lvl>
    <w:lvl w:ilvl="4" w:tplc="77C66858">
      <w:start w:val="1"/>
      <w:numFmt w:val="bullet"/>
      <w:lvlText w:val=""/>
      <w:lvlJc w:val="left"/>
      <w:pPr>
        <w:ind w:left="720" w:hanging="360"/>
      </w:pPr>
      <w:rPr>
        <w:rFonts w:ascii="Symbol" w:hAnsi="Symbol"/>
      </w:rPr>
    </w:lvl>
    <w:lvl w:ilvl="5" w:tplc="8FA058CE">
      <w:start w:val="1"/>
      <w:numFmt w:val="bullet"/>
      <w:lvlText w:val=""/>
      <w:lvlJc w:val="left"/>
      <w:pPr>
        <w:ind w:left="720" w:hanging="360"/>
      </w:pPr>
      <w:rPr>
        <w:rFonts w:ascii="Symbol" w:hAnsi="Symbol"/>
      </w:rPr>
    </w:lvl>
    <w:lvl w:ilvl="6" w:tplc="524A547E">
      <w:start w:val="1"/>
      <w:numFmt w:val="bullet"/>
      <w:lvlText w:val=""/>
      <w:lvlJc w:val="left"/>
      <w:pPr>
        <w:ind w:left="720" w:hanging="360"/>
      </w:pPr>
      <w:rPr>
        <w:rFonts w:ascii="Symbol" w:hAnsi="Symbol"/>
      </w:rPr>
    </w:lvl>
    <w:lvl w:ilvl="7" w:tplc="010A5BB0">
      <w:start w:val="1"/>
      <w:numFmt w:val="bullet"/>
      <w:lvlText w:val=""/>
      <w:lvlJc w:val="left"/>
      <w:pPr>
        <w:ind w:left="720" w:hanging="360"/>
      </w:pPr>
      <w:rPr>
        <w:rFonts w:ascii="Symbol" w:hAnsi="Symbol"/>
      </w:rPr>
    </w:lvl>
    <w:lvl w:ilvl="8" w:tplc="CFDE1B76">
      <w:start w:val="1"/>
      <w:numFmt w:val="bullet"/>
      <w:lvlText w:val=""/>
      <w:lvlJc w:val="left"/>
      <w:pPr>
        <w:ind w:left="720" w:hanging="360"/>
      </w:pPr>
      <w:rPr>
        <w:rFonts w:ascii="Symbol" w:hAnsi="Symbol"/>
      </w:rPr>
    </w:lvl>
  </w:abstractNum>
  <w:abstractNum w:abstractNumId="6" w15:restartNumberingAfterBreak="0">
    <w:nsid w:val="1990696A"/>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A124DBC"/>
    <w:multiLevelType w:val="hybridMultilevel"/>
    <w:tmpl w:val="F6DA8C1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8" w15:restartNumberingAfterBreak="0">
    <w:nsid w:val="250C7494"/>
    <w:multiLevelType w:val="multilevel"/>
    <w:tmpl w:val="45A8B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5387EEC"/>
    <w:multiLevelType w:val="multilevel"/>
    <w:tmpl w:val="5ACE2D7A"/>
    <w:lvl w:ilvl="0">
      <w:start w:val="1"/>
      <w:numFmt w:val="decimal"/>
      <w:lvlText w:val="%1."/>
      <w:lvlJc w:val="left"/>
      <w:pPr>
        <w:ind w:left="720" w:hanging="360"/>
      </w:pPr>
    </w:lvl>
    <w:lvl w:ilvl="1">
      <w:start w:val="5"/>
      <w:numFmt w:val="decimal"/>
      <w:isLgl/>
      <w:lvlText w:val="%1.%2"/>
      <w:lvlJc w:val="left"/>
      <w:pPr>
        <w:ind w:left="780" w:hanging="420"/>
      </w:pPr>
      <w:rPr>
        <w:rFonts w:hint="default"/>
      </w:rPr>
    </w:lvl>
    <w:lvl w:ilvl="2">
      <w:start w:val="1"/>
      <w:numFmt w:val="upperLetter"/>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26997D57"/>
    <w:multiLevelType w:val="multilevel"/>
    <w:tmpl w:val="A5C40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A1362F1"/>
    <w:multiLevelType w:val="multilevel"/>
    <w:tmpl w:val="2850E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CDA6A21"/>
    <w:multiLevelType w:val="hybridMultilevel"/>
    <w:tmpl w:val="C268ACC6"/>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2E6F1BEF"/>
    <w:multiLevelType w:val="multilevel"/>
    <w:tmpl w:val="8B76C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73650C1"/>
    <w:multiLevelType w:val="multilevel"/>
    <w:tmpl w:val="6AE65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8AB3981"/>
    <w:multiLevelType w:val="multilevel"/>
    <w:tmpl w:val="8B909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CC629F5"/>
    <w:multiLevelType w:val="multilevel"/>
    <w:tmpl w:val="A0020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E475901"/>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4606822"/>
    <w:multiLevelType w:val="multilevel"/>
    <w:tmpl w:val="433CC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5AB7874"/>
    <w:multiLevelType w:val="multilevel"/>
    <w:tmpl w:val="8982A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AC4227"/>
    <w:multiLevelType w:val="hybridMultilevel"/>
    <w:tmpl w:val="3634D92C"/>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15:restartNumberingAfterBreak="0">
    <w:nsid w:val="4DD365A6"/>
    <w:multiLevelType w:val="hybridMultilevel"/>
    <w:tmpl w:val="AB3A7F0C"/>
    <w:lvl w:ilvl="0" w:tplc="634E0D2A">
      <w:start w:val="1"/>
      <w:numFmt w:val="decimal"/>
      <w:lvlText w:val="%1)"/>
      <w:lvlJc w:val="left"/>
      <w:pPr>
        <w:ind w:left="1400" w:hanging="360"/>
      </w:pPr>
    </w:lvl>
    <w:lvl w:ilvl="1" w:tplc="48928714">
      <w:start w:val="1"/>
      <w:numFmt w:val="decimal"/>
      <w:lvlText w:val="%2)"/>
      <w:lvlJc w:val="left"/>
      <w:pPr>
        <w:ind w:left="1400" w:hanging="360"/>
      </w:pPr>
    </w:lvl>
    <w:lvl w:ilvl="2" w:tplc="7C844708">
      <w:start w:val="1"/>
      <w:numFmt w:val="decimal"/>
      <w:lvlText w:val="%3)"/>
      <w:lvlJc w:val="left"/>
      <w:pPr>
        <w:ind w:left="1400" w:hanging="360"/>
      </w:pPr>
    </w:lvl>
    <w:lvl w:ilvl="3" w:tplc="7B363F48">
      <w:start w:val="1"/>
      <w:numFmt w:val="decimal"/>
      <w:lvlText w:val="%4)"/>
      <w:lvlJc w:val="left"/>
      <w:pPr>
        <w:ind w:left="1400" w:hanging="360"/>
      </w:pPr>
    </w:lvl>
    <w:lvl w:ilvl="4" w:tplc="F7E6E8A4">
      <w:start w:val="1"/>
      <w:numFmt w:val="decimal"/>
      <w:lvlText w:val="%5)"/>
      <w:lvlJc w:val="left"/>
      <w:pPr>
        <w:ind w:left="1400" w:hanging="360"/>
      </w:pPr>
    </w:lvl>
    <w:lvl w:ilvl="5" w:tplc="73CE2104">
      <w:start w:val="1"/>
      <w:numFmt w:val="decimal"/>
      <w:lvlText w:val="%6)"/>
      <w:lvlJc w:val="left"/>
      <w:pPr>
        <w:ind w:left="1400" w:hanging="360"/>
      </w:pPr>
    </w:lvl>
    <w:lvl w:ilvl="6" w:tplc="0A8ABD4C">
      <w:start w:val="1"/>
      <w:numFmt w:val="decimal"/>
      <w:lvlText w:val="%7)"/>
      <w:lvlJc w:val="left"/>
      <w:pPr>
        <w:ind w:left="1400" w:hanging="360"/>
      </w:pPr>
    </w:lvl>
    <w:lvl w:ilvl="7" w:tplc="C54C930E">
      <w:start w:val="1"/>
      <w:numFmt w:val="decimal"/>
      <w:lvlText w:val="%8)"/>
      <w:lvlJc w:val="left"/>
      <w:pPr>
        <w:ind w:left="1400" w:hanging="360"/>
      </w:pPr>
    </w:lvl>
    <w:lvl w:ilvl="8" w:tplc="1FF6AA14">
      <w:start w:val="1"/>
      <w:numFmt w:val="decimal"/>
      <w:lvlText w:val="%9)"/>
      <w:lvlJc w:val="left"/>
      <w:pPr>
        <w:ind w:left="1400" w:hanging="360"/>
      </w:pPr>
    </w:lvl>
  </w:abstractNum>
  <w:abstractNum w:abstractNumId="22" w15:restartNumberingAfterBreak="0">
    <w:nsid w:val="4F885DE8"/>
    <w:multiLevelType w:val="multilevel"/>
    <w:tmpl w:val="CC36C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5630643"/>
    <w:multiLevelType w:val="multilevel"/>
    <w:tmpl w:val="04160025"/>
    <w:lvl w:ilvl="0">
      <w:start w:val="1"/>
      <w:numFmt w:val="decimal"/>
      <w:pStyle w:val="Ttulo1"/>
      <w:lvlText w:val="%1"/>
      <w:lvlJc w:val="left"/>
      <w:pPr>
        <w:ind w:left="432" w:hanging="432"/>
      </w:pPr>
    </w:lvl>
    <w:lvl w:ilvl="1">
      <w:start w:val="1"/>
      <w:numFmt w:val="decimal"/>
      <w:pStyle w:val="Ttulo2"/>
      <w:lvlText w:val="%1.%2"/>
      <w:lvlJc w:val="left"/>
      <w:pPr>
        <w:ind w:left="576" w:hanging="576"/>
      </w:pPr>
    </w:lvl>
    <w:lvl w:ilvl="2">
      <w:start w:val="1"/>
      <w:numFmt w:val="decimal"/>
      <w:pStyle w:val="Ttulo3"/>
      <w:lvlText w:val="%1.%2.%3"/>
      <w:lvlJc w:val="left"/>
      <w:pPr>
        <w:ind w:left="720" w:hanging="720"/>
      </w:pPr>
    </w:lvl>
    <w:lvl w:ilvl="3">
      <w:start w:val="1"/>
      <w:numFmt w:val="decimal"/>
      <w:pStyle w:val="Ttulo4"/>
      <w:lvlText w:val="%1.%2.%3.%4"/>
      <w:lvlJc w:val="left"/>
      <w:pPr>
        <w:ind w:left="864" w:hanging="864"/>
      </w:pPr>
    </w:lvl>
    <w:lvl w:ilvl="4">
      <w:start w:val="1"/>
      <w:numFmt w:val="decimal"/>
      <w:pStyle w:val="Ttulo5"/>
      <w:lvlText w:val="%1.%2.%3.%4.%5"/>
      <w:lvlJc w:val="left"/>
      <w:pPr>
        <w:ind w:left="1008" w:hanging="1008"/>
      </w:pPr>
    </w:lvl>
    <w:lvl w:ilvl="5">
      <w:start w:val="1"/>
      <w:numFmt w:val="decimal"/>
      <w:pStyle w:val="Ttulo6"/>
      <w:lvlText w:val="%1.%2.%3.%4.%5.%6"/>
      <w:lvlJc w:val="left"/>
      <w:pPr>
        <w:ind w:left="1152" w:hanging="1152"/>
      </w:pPr>
    </w:lvl>
    <w:lvl w:ilvl="6">
      <w:start w:val="1"/>
      <w:numFmt w:val="decimal"/>
      <w:pStyle w:val="Ttulo7"/>
      <w:lvlText w:val="%1.%2.%3.%4.%5.%6.%7"/>
      <w:lvlJc w:val="left"/>
      <w:pPr>
        <w:ind w:left="1296" w:hanging="1296"/>
      </w:pPr>
    </w:lvl>
    <w:lvl w:ilvl="7">
      <w:start w:val="1"/>
      <w:numFmt w:val="decimal"/>
      <w:pStyle w:val="Ttulo8"/>
      <w:lvlText w:val="%1.%2.%3.%4.%5.%6.%7.%8"/>
      <w:lvlJc w:val="left"/>
      <w:pPr>
        <w:ind w:left="1440" w:hanging="1440"/>
      </w:pPr>
    </w:lvl>
    <w:lvl w:ilvl="8">
      <w:start w:val="1"/>
      <w:numFmt w:val="decimal"/>
      <w:pStyle w:val="Ttulo9"/>
      <w:lvlText w:val="%1.%2.%3.%4.%5.%6.%7.%8.%9"/>
      <w:lvlJc w:val="left"/>
      <w:pPr>
        <w:ind w:left="1584" w:hanging="1584"/>
      </w:pPr>
    </w:lvl>
  </w:abstractNum>
  <w:abstractNum w:abstractNumId="24" w15:restartNumberingAfterBreak="0">
    <w:nsid w:val="582E1347"/>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59AA06D8"/>
    <w:multiLevelType w:val="multilevel"/>
    <w:tmpl w:val="65747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A037A0E"/>
    <w:multiLevelType w:val="multilevel"/>
    <w:tmpl w:val="83B09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A605A14"/>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BFF0B90"/>
    <w:multiLevelType w:val="multilevel"/>
    <w:tmpl w:val="A41E81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C2A70B5"/>
    <w:multiLevelType w:val="multilevel"/>
    <w:tmpl w:val="287CA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C41690B"/>
    <w:multiLevelType w:val="multilevel"/>
    <w:tmpl w:val="4D588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0A74169"/>
    <w:multiLevelType w:val="multilevel"/>
    <w:tmpl w:val="C272271C"/>
    <w:lvl w:ilvl="0">
      <w:start w:val="1"/>
      <w:numFmt w:val="decimal"/>
      <w:lvlText w:val="%1."/>
      <w:lvlJc w:val="left"/>
      <w:pPr>
        <w:ind w:left="916" w:hanging="281"/>
      </w:pPr>
      <w:rPr>
        <w:rFonts w:ascii="Arial" w:eastAsia="Arial" w:hAnsi="Arial" w:cs="Arial" w:hint="default"/>
        <w:b/>
        <w:bCs/>
        <w:i w:val="0"/>
        <w:iCs w:val="0"/>
        <w:spacing w:val="0"/>
        <w:w w:val="100"/>
        <w:sz w:val="24"/>
        <w:szCs w:val="24"/>
        <w:lang w:val="pt-PT" w:eastAsia="en-US" w:bidi="ar-SA"/>
      </w:rPr>
    </w:lvl>
    <w:lvl w:ilvl="1">
      <w:start w:val="1"/>
      <w:numFmt w:val="decimal"/>
      <w:lvlText w:val="%1.%2."/>
      <w:lvlJc w:val="left"/>
      <w:pPr>
        <w:ind w:left="1276" w:hanging="423"/>
      </w:pPr>
      <w:rPr>
        <w:rFonts w:ascii="Arial MT" w:eastAsia="Arial MT" w:hAnsi="Arial MT" w:cs="Arial MT" w:hint="default"/>
        <w:b w:val="0"/>
        <w:bCs w:val="0"/>
        <w:i w:val="0"/>
        <w:iCs w:val="0"/>
        <w:spacing w:val="-1"/>
        <w:w w:val="97"/>
        <w:sz w:val="24"/>
        <w:szCs w:val="24"/>
        <w:lang w:val="pt-PT" w:eastAsia="en-US" w:bidi="ar-SA"/>
      </w:rPr>
    </w:lvl>
    <w:lvl w:ilvl="2">
      <w:start w:val="1"/>
      <w:numFmt w:val="decimal"/>
      <w:lvlText w:val="%1.%2.%3"/>
      <w:lvlJc w:val="left"/>
      <w:pPr>
        <w:ind w:left="1775" w:hanging="540"/>
      </w:pPr>
      <w:rPr>
        <w:rFonts w:ascii="Times New Roman" w:eastAsia="Times New Roman" w:hAnsi="Times New Roman" w:cs="Times New Roman" w:hint="default"/>
        <w:b/>
        <w:bCs/>
        <w:i w:val="0"/>
        <w:iCs w:val="0"/>
        <w:spacing w:val="0"/>
        <w:w w:val="100"/>
        <w:sz w:val="24"/>
        <w:szCs w:val="24"/>
        <w:lang w:val="pt-PT" w:eastAsia="en-US" w:bidi="ar-SA"/>
      </w:rPr>
    </w:lvl>
    <w:lvl w:ilvl="3">
      <w:numFmt w:val="bullet"/>
      <w:lvlText w:val="•"/>
      <w:lvlJc w:val="left"/>
      <w:pPr>
        <w:ind w:left="2797" w:hanging="540"/>
      </w:pPr>
      <w:rPr>
        <w:rFonts w:hint="default"/>
        <w:lang w:val="pt-PT" w:eastAsia="en-US" w:bidi="ar-SA"/>
      </w:rPr>
    </w:lvl>
    <w:lvl w:ilvl="4">
      <w:numFmt w:val="bullet"/>
      <w:lvlText w:val="•"/>
      <w:lvlJc w:val="left"/>
      <w:pPr>
        <w:ind w:left="3814" w:hanging="540"/>
      </w:pPr>
      <w:rPr>
        <w:rFonts w:hint="default"/>
        <w:lang w:val="pt-PT" w:eastAsia="en-US" w:bidi="ar-SA"/>
      </w:rPr>
    </w:lvl>
    <w:lvl w:ilvl="5">
      <w:numFmt w:val="bullet"/>
      <w:lvlText w:val="•"/>
      <w:lvlJc w:val="left"/>
      <w:pPr>
        <w:ind w:left="4831" w:hanging="540"/>
      </w:pPr>
      <w:rPr>
        <w:rFonts w:hint="default"/>
        <w:lang w:val="pt-PT" w:eastAsia="en-US" w:bidi="ar-SA"/>
      </w:rPr>
    </w:lvl>
    <w:lvl w:ilvl="6">
      <w:numFmt w:val="bullet"/>
      <w:lvlText w:val="•"/>
      <w:lvlJc w:val="left"/>
      <w:pPr>
        <w:ind w:left="5848" w:hanging="540"/>
      </w:pPr>
      <w:rPr>
        <w:rFonts w:hint="default"/>
        <w:lang w:val="pt-PT" w:eastAsia="en-US" w:bidi="ar-SA"/>
      </w:rPr>
    </w:lvl>
    <w:lvl w:ilvl="7">
      <w:numFmt w:val="bullet"/>
      <w:lvlText w:val="•"/>
      <w:lvlJc w:val="left"/>
      <w:pPr>
        <w:ind w:left="6865" w:hanging="540"/>
      </w:pPr>
      <w:rPr>
        <w:rFonts w:hint="default"/>
        <w:lang w:val="pt-PT" w:eastAsia="en-US" w:bidi="ar-SA"/>
      </w:rPr>
    </w:lvl>
    <w:lvl w:ilvl="8">
      <w:numFmt w:val="bullet"/>
      <w:lvlText w:val="•"/>
      <w:lvlJc w:val="left"/>
      <w:pPr>
        <w:ind w:left="7882" w:hanging="540"/>
      </w:pPr>
      <w:rPr>
        <w:rFonts w:hint="default"/>
        <w:lang w:val="pt-PT" w:eastAsia="en-US" w:bidi="ar-SA"/>
      </w:rPr>
    </w:lvl>
  </w:abstractNum>
  <w:abstractNum w:abstractNumId="32" w15:restartNumberingAfterBreak="0">
    <w:nsid w:val="62F81F97"/>
    <w:multiLevelType w:val="multilevel"/>
    <w:tmpl w:val="FAB0FFB4"/>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3" w15:restartNumberingAfterBreak="0">
    <w:nsid w:val="68E573AE"/>
    <w:multiLevelType w:val="multilevel"/>
    <w:tmpl w:val="5ACE2D7A"/>
    <w:lvl w:ilvl="0">
      <w:start w:val="1"/>
      <w:numFmt w:val="decimal"/>
      <w:lvlText w:val="%1."/>
      <w:lvlJc w:val="left"/>
      <w:pPr>
        <w:ind w:left="720" w:hanging="360"/>
      </w:pPr>
    </w:lvl>
    <w:lvl w:ilvl="1">
      <w:start w:val="5"/>
      <w:numFmt w:val="decimal"/>
      <w:isLgl/>
      <w:lvlText w:val="%1.%2"/>
      <w:lvlJc w:val="left"/>
      <w:pPr>
        <w:ind w:left="780" w:hanging="420"/>
      </w:pPr>
      <w:rPr>
        <w:rFonts w:hint="default"/>
      </w:rPr>
    </w:lvl>
    <w:lvl w:ilvl="2">
      <w:start w:val="1"/>
      <w:numFmt w:val="upperLetter"/>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4" w15:restartNumberingAfterBreak="0">
    <w:nsid w:val="69413D48"/>
    <w:multiLevelType w:val="multilevel"/>
    <w:tmpl w:val="6E845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968008B"/>
    <w:multiLevelType w:val="hybridMultilevel"/>
    <w:tmpl w:val="42C6F74E"/>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6" w15:restartNumberingAfterBreak="0">
    <w:nsid w:val="70763397"/>
    <w:multiLevelType w:val="hybridMultilevel"/>
    <w:tmpl w:val="5A7EF94E"/>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7" w15:restartNumberingAfterBreak="0">
    <w:nsid w:val="70C742CE"/>
    <w:multiLevelType w:val="multilevel"/>
    <w:tmpl w:val="4EB84F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1D71A1B"/>
    <w:multiLevelType w:val="hybridMultilevel"/>
    <w:tmpl w:val="516C1166"/>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9" w15:restartNumberingAfterBreak="0">
    <w:nsid w:val="747C1857"/>
    <w:multiLevelType w:val="multilevel"/>
    <w:tmpl w:val="D9D669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54A78F7"/>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759A589A"/>
    <w:multiLevelType w:val="multilevel"/>
    <w:tmpl w:val="C272271C"/>
    <w:lvl w:ilvl="0">
      <w:start w:val="1"/>
      <w:numFmt w:val="decimal"/>
      <w:lvlText w:val="%1."/>
      <w:lvlJc w:val="left"/>
      <w:pPr>
        <w:ind w:left="916" w:hanging="281"/>
      </w:pPr>
      <w:rPr>
        <w:rFonts w:ascii="Arial" w:eastAsia="Arial" w:hAnsi="Arial" w:cs="Arial" w:hint="default"/>
        <w:b/>
        <w:bCs/>
        <w:i w:val="0"/>
        <w:iCs w:val="0"/>
        <w:spacing w:val="0"/>
        <w:w w:val="100"/>
        <w:sz w:val="24"/>
        <w:szCs w:val="24"/>
        <w:lang w:val="pt-PT" w:eastAsia="en-US" w:bidi="ar-SA"/>
      </w:rPr>
    </w:lvl>
    <w:lvl w:ilvl="1">
      <w:start w:val="1"/>
      <w:numFmt w:val="decimal"/>
      <w:lvlText w:val="%1.%2."/>
      <w:lvlJc w:val="left"/>
      <w:pPr>
        <w:ind w:left="1276" w:hanging="423"/>
      </w:pPr>
      <w:rPr>
        <w:rFonts w:ascii="Arial MT" w:eastAsia="Arial MT" w:hAnsi="Arial MT" w:cs="Arial MT" w:hint="default"/>
        <w:b w:val="0"/>
        <w:bCs w:val="0"/>
        <w:i w:val="0"/>
        <w:iCs w:val="0"/>
        <w:spacing w:val="-1"/>
        <w:w w:val="97"/>
        <w:sz w:val="24"/>
        <w:szCs w:val="24"/>
        <w:lang w:val="pt-PT" w:eastAsia="en-US" w:bidi="ar-SA"/>
      </w:rPr>
    </w:lvl>
    <w:lvl w:ilvl="2">
      <w:start w:val="1"/>
      <w:numFmt w:val="decimal"/>
      <w:lvlText w:val="%1.%2.%3"/>
      <w:lvlJc w:val="left"/>
      <w:pPr>
        <w:ind w:left="1775" w:hanging="540"/>
      </w:pPr>
      <w:rPr>
        <w:rFonts w:ascii="Times New Roman" w:eastAsia="Times New Roman" w:hAnsi="Times New Roman" w:cs="Times New Roman" w:hint="default"/>
        <w:b/>
        <w:bCs/>
        <w:i w:val="0"/>
        <w:iCs w:val="0"/>
        <w:spacing w:val="0"/>
        <w:w w:val="100"/>
        <w:sz w:val="24"/>
        <w:szCs w:val="24"/>
        <w:lang w:val="pt-PT" w:eastAsia="en-US" w:bidi="ar-SA"/>
      </w:rPr>
    </w:lvl>
    <w:lvl w:ilvl="3">
      <w:numFmt w:val="bullet"/>
      <w:lvlText w:val="•"/>
      <w:lvlJc w:val="left"/>
      <w:pPr>
        <w:ind w:left="2797" w:hanging="540"/>
      </w:pPr>
      <w:rPr>
        <w:rFonts w:hint="default"/>
        <w:lang w:val="pt-PT" w:eastAsia="en-US" w:bidi="ar-SA"/>
      </w:rPr>
    </w:lvl>
    <w:lvl w:ilvl="4">
      <w:numFmt w:val="bullet"/>
      <w:lvlText w:val="•"/>
      <w:lvlJc w:val="left"/>
      <w:pPr>
        <w:ind w:left="3814" w:hanging="540"/>
      </w:pPr>
      <w:rPr>
        <w:rFonts w:hint="default"/>
        <w:lang w:val="pt-PT" w:eastAsia="en-US" w:bidi="ar-SA"/>
      </w:rPr>
    </w:lvl>
    <w:lvl w:ilvl="5">
      <w:numFmt w:val="bullet"/>
      <w:lvlText w:val="•"/>
      <w:lvlJc w:val="left"/>
      <w:pPr>
        <w:ind w:left="4831" w:hanging="540"/>
      </w:pPr>
      <w:rPr>
        <w:rFonts w:hint="default"/>
        <w:lang w:val="pt-PT" w:eastAsia="en-US" w:bidi="ar-SA"/>
      </w:rPr>
    </w:lvl>
    <w:lvl w:ilvl="6">
      <w:numFmt w:val="bullet"/>
      <w:lvlText w:val="•"/>
      <w:lvlJc w:val="left"/>
      <w:pPr>
        <w:ind w:left="5848" w:hanging="540"/>
      </w:pPr>
      <w:rPr>
        <w:rFonts w:hint="default"/>
        <w:lang w:val="pt-PT" w:eastAsia="en-US" w:bidi="ar-SA"/>
      </w:rPr>
    </w:lvl>
    <w:lvl w:ilvl="7">
      <w:numFmt w:val="bullet"/>
      <w:lvlText w:val="•"/>
      <w:lvlJc w:val="left"/>
      <w:pPr>
        <w:ind w:left="6865" w:hanging="540"/>
      </w:pPr>
      <w:rPr>
        <w:rFonts w:hint="default"/>
        <w:lang w:val="pt-PT" w:eastAsia="en-US" w:bidi="ar-SA"/>
      </w:rPr>
    </w:lvl>
    <w:lvl w:ilvl="8">
      <w:numFmt w:val="bullet"/>
      <w:lvlText w:val="•"/>
      <w:lvlJc w:val="left"/>
      <w:pPr>
        <w:ind w:left="7882" w:hanging="540"/>
      </w:pPr>
      <w:rPr>
        <w:rFonts w:hint="default"/>
        <w:lang w:val="pt-PT" w:eastAsia="en-US" w:bidi="ar-SA"/>
      </w:rPr>
    </w:lvl>
  </w:abstractNum>
  <w:abstractNum w:abstractNumId="42" w15:restartNumberingAfterBreak="0">
    <w:nsid w:val="779B5987"/>
    <w:multiLevelType w:val="multilevel"/>
    <w:tmpl w:val="C272271C"/>
    <w:lvl w:ilvl="0">
      <w:start w:val="1"/>
      <w:numFmt w:val="decimal"/>
      <w:lvlText w:val="%1."/>
      <w:lvlJc w:val="left"/>
      <w:pPr>
        <w:ind w:left="916" w:hanging="281"/>
      </w:pPr>
      <w:rPr>
        <w:rFonts w:ascii="Arial" w:eastAsia="Arial" w:hAnsi="Arial" w:cs="Arial" w:hint="default"/>
        <w:b/>
        <w:bCs/>
        <w:i w:val="0"/>
        <w:iCs w:val="0"/>
        <w:spacing w:val="0"/>
        <w:w w:val="100"/>
        <w:sz w:val="24"/>
        <w:szCs w:val="24"/>
        <w:lang w:val="pt-PT" w:eastAsia="en-US" w:bidi="ar-SA"/>
      </w:rPr>
    </w:lvl>
    <w:lvl w:ilvl="1">
      <w:start w:val="1"/>
      <w:numFmt w:val="decimal"/>
      <w:lvlText w:val="%1.%2."/>
      <w:lvlJc w:val="left"/>
      <w:pPr>
        <w:ind w:left="1276" w:hanging="423"/>
      </w:pPr>
      <w:rPr>
        <w:rFonts w:ascii="Arial MT" w:eastAsia="Arial MT" w:hAnsi="Arial MT" w:cs="Arial MT" w:hint="default"/>
        <w:b w:val="0"/>
        <w:bCs w:val="0"/>
        <w:i w:val="0"/>
        <w:iCs w:val="0"/>
        <w:spacing w:val="-1"/>
        <w:w w:val="97"/>
        <w:sz w:val="24"/>
        <w:szCs w:val="24"/>
        <w:lang w:val="pt-PT" w:eastAsia="en-US" w:bidi="ar-SA"/>
      </w:rPr>
    </w:lvl>
    <w:lvl w:ilvl="2">
      <w:start w:val="1"/>
      <w:numFmt w:val="decimal"/>
      <w:lvlText w:val="%1.%2.%3"/>
      <w:lvlJc w:val="left"/>
      <w:pPr>
        <w:ind w:left="1775" w:hanging="540"/>
      </w:pPr>
      <w:rPr>
        <w:rFonts w:ascii="Times New Roman" w:eastAsia="Times New Roman" w:hAnsi="Times New Roman" w:cs="Times New Roman" w:hint="default"/>
        <w:b/>
        <w:bCs/>
        <w:i w:val="0"/>
        <w:iCs w:val="0"/>
        <w:spacing w:val="0"/>
        <w:w w:val="100"/>
        <w:sz w:val="24"/>
        <w:szCs w:val="24"/>
        <w:lang w:val="pt-PT" w:eastAsia="en-US" w:bidi="ar-SA"/>
      </w:rPr>
    </w:lvl>
    <w:lvl w:ilvl="3">
      <w:numFmt w:val="bullet"/>
      <w:lvlText w:val="•"/>
      <w:lvlJc w:val="left"/>
      <w:pPr>
        <w:ind w:left="2797" w:hanging="540"/>
      </w:pPr>
      <w:rPr>
        <w:rFonts w:hint="default"/>
        <w:lang w:val="pt-PT" w:eastAsia="en-US" w:bidi="ar-SA"/>
      </w:rPr>
    </w:lvl>
    <w:lvl w:ilvl="4">
      <w:numFmt w:val="bullet"/>
      <w:lvlText w:val="•"/>
      <w:lvlJc w:val="left"/>
      <w:pPr>
        <w:ind w:left="3814" w:hanging="540"/>
      </w:pPr>
      <w:rPr>
        <w:rFonts w:hint="default"/>
        <w:lang w:val="pt-PT" w:eastAsia="en-US" w:bidi="ar-SA"/>
      </w:rPr>
    </w:lvl>
    <w:lvl w:ilvl="5">
      <w:numFmt w:val="bullet"/>
      <w:lvlText w:val="•"/>
      <w:lvlJc w:val="left"/>
      <w:pPr>
        <w:ind w:left="4831" w:hanging="540"/>
      </w:pPr>
      <w:rPr>
        <w:rFonts w:hint="default"/>
        <w:lang w:val="pt-PT" w:eastAsia="en-US" w:bidi="ar-SA"/>
      </w:rPr>
    </w:lvl>
    <w:lvl w:ilvl="6">
      <w:numFmt w:val="bullet"/>
      <w:lvlText w:val="•"/>
      <w:lvlJc w:val="left"/>
      <w:pPr>
        <w:ind w:left="5848" w:hanging="540"/>
      </w:pPr>
      <w:rPr>
        <w:rFonts w:hint="default"/>
        <w:lang w:val="pt-PT" w:eastAsia="en-US" w:bidi="ar-SA"/>
      </w:rPr>
    </w:lvl>
    <w:lvl w:ilvl="7">
      <w:numFmt w:val="bullet"/>
      <w:lvlText w:val="•"/>
      <w:lvlJc w:val="left"/>
      <w:pPr>
        <w:ind w:left="6865" w:hanging="540"/>
      </w:pPr>
      <w:rPr>
        <w:rFonts w:hint="default"/>
        <w:lang w:val="pt-PT" w:eastAsia="en-US" w:bidi="ar-SA"/>
      </w:rPr>
    </w:lvl>
    <w:lvl w:ilvl="8">
      <w:numFmt w:val="bullet"/>
      <w:lvlText w:val="•"/>
      <w:lvlJc w:val="left"/>
      <w:pPr>
        <w:ind w:left="7882" w:hanging="540"/>
      </w:pPr>
      <w:rPr>
        <w:rFonts w:hint="default"/>
        <w:lang w:val="pt-PT" w:eastAsia="en-US" w:bidi="ar-SA"/>
      </w:rPr>
    </w:lvl>
  </w:abstractNum>
  <w:abstractNum w:abstractNumId="43" w15:restartNumberingAfterBreak="0">
    <w:nsid w:val="78D96DEF"/>
    <w:multiLevelType w:val="multilevel"/>
    <w:tmpl w:val="67ACB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C1910A3"/>
    <w:multiLevelType w:val="multilevel"/>
    <w:tmpl w:val="BE00A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FA76C8A"/>
    <w:multiLevelType w:val="multilevel"/>
    <w:tmpl w:val="72103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59101912">
    <w:abstractNumId w:val="0"/>
  </w:num>
  <w:num w:numId="2" w16cid:durableId="94592088">
    <w:abstractNumId w:val="45"/>
  </w:num>
  <w:num w:numId="3" w16cid:durableId="203180159">
    <w:abstractNumId w:val="44"/>
  </w:num>
  <w:num w:numId="4" w16cid:durableId="2120173658">
    <w:abstractNumId w:val="7"/>
  </w:num>
  <w:num w:numId="5" w16cid:durableId="1233539367">
    <w:abstractNumId w:val="4"/>
  </w:num>
  <w:num w:numId="6" w16cid:durableId="415060466">
    <w:abstractNumId w:val="25"/>
  </w:num>
  <w:num w:numId="7" w16cid:durableId="147208678">
    <w:abstractNumId w:val="34"/>
  </w:num>
  <w:num w:numId="8" w16cid:durableId="74128117">
    <w:abstractNumId w:val="18"/>
  </w:num>
  <w:num w:numId="9" w16cid:durableId="1171916410">
    <w:abstractNumId w:val="30"/>
  </w:num>
  <w:num w:numId="10" w16cid:durableId="1575553971">
    <w:abstractNumId w:val="29"/>
  </w:num>
  <w:num w:numId="11" w16cid:durableId="725422064">
    <w:abstractNumId w:val="10"/>
  </w:num>
  <w:num w:numId="12" w16cid:durableId="651838375">
    <w:abstractNumId w:val="26"/>
  </w:num>
  <w:num w:numId="13" w16cid:durableId="48500902">
    <w:abstractNumId w:val="43"/>
  </w:num>
  <w:num w:numId="14" w16cid:durableId="485517721">
    <w:abstractNumId w:val="15"/>
  </w:num>
  <w:num w:numId="15" w16cid:durableId="634676162">
    <w:abstractNumId w:val="37"/>
  </w:num>
  <w:num w:numId="16" w16cid:durableId="1147818372">
    <w:abstractNumId w:val="16"/>
  </w:num>
  <w:num w:numId="17" w16cid:durableId="279460308">
    <w:abstractNumId w:val="14"/>
  </w:num>
  <w:num w:numId="18" w16cid:durableId="63139380">
    <w:abstractNumId w:val="11"/>
  </w:num>
  <w:num w:numId="19" w16cid:durableId="1478492757">
    <w:abstractNumId w:val="13"/>
  </w:num>
  <w:num w:numId="20" w16cid:durableId="695233373">
    <w:abstractNumId w:val="22"/>
  </w:num>
  <w:num w:numId="21" w16cid:durableId="1978413405">
    <w:abstractNumId w:val="39"/>
  </w:num>
  <w:num w:numId="22" w16cid:durableId="307171593">
    <w:abstractNumId w:val="28"/>
  </w:num>
  <w:num w:numId="23" w16cid:durableId="441994016">
    <w:abstractNumId w:val="19"/>
  </w:num>
  <w:num w:numId="24" w16cid:durableId="1532304378">
    <w:abstractNumId w:val="8"/>
  </w:num>
  <w:num w:numId="25" w16cid:durableId="588852661">
    <w:abstractNumId w:val="2"/>
  </w:num>
  <w:num w:numId="26" w16cid:durableId="314190199">
    <w:abstractNumId w:val="41"/>
  </w:num>
  <w:num w:numId="27" w16cid:durableId="1252592431">
    <w:abstractNumId w:val="3"/>
  </w:num>
  <w:num w:numId="28" w16cid:durableId="1950501720">
    <w:abstractNumId w:val="20"/>
  </w:num>
  <w:num w:numId="29" w16cid:durableId="1904564939">
    <w:abstractNumId w:val="12"/>
  </w:num>
  <w:num w:numId="30" w16cid:durableId="554780743">
    <w:abstractNumId w:val="35"/>
  </w:num>
  <w:num w:numId="31" w16cid:durableId="785856421">
    <w:abstractNumId w:val="36"/>
  </w:num>
  <w:num w:numId="32" w16cid:durableId="1714764141">
    <w:abstractNumId w:val="6"/>
  </w:num>
  <w:num w:numId="33" w16cid:durableId="1075589973">
    <w:abstractNumId w:val="42"/>
  </w:num>
  <w:num w:numId="34" w16cid:durableId="1977367897">
    <w:abstractNumId w:val="31"/>
  </w:num>
  <w:num w:numId="35" w16cid:durableId="688919279">
    <w:abstractNumId w:val="17"/>
  </w:num>
  <w:num w:numId="36" w16cid:durableId="615020211">
    <w:abstractNumId w:val="24"/>
  </w:num>
  <w:num w:numId="37" w16cid:durableId="984285539">
    <w:abstractNumId w:val="40"/>
  </w:num>
  <w:num w:numId="38" w16cid:durableId="1438259372">
    <w:abstractNumId w:val="38"/>
  </w:num>
  <w:num w:numId="39" w16cid:durableId="1896814483">
    <w:abstractNumId w:val="33"/>
  </w:num>
  <w:num w:numId="40" w16cid:durableId="2110006884">
    <w:abstractNumId w:val="32"/>
  </w:num>
  <w:num w:numId="41" w16cid:durableId="1833176623">
    <w:abstractNumId w:val="9"/>
  </w:num>
  <w:num w:numId="42" w16cid:durableId="1910072785">
    <w:abstractNumId w:val="27"/>
  </w:num>
  <w:num w:numId="43" w16cid:durableId="529685706">
    <w:abstractNumId w:val="23"/>
  </w:num>
  <w:num w:numId="44" w16cid:durableId="42414813">
    <w:abstractNumId w:val="5"/>
  </w:num>
  <w:num w:numId="45" w16cid:durableId="2015302052">
    <w:abstractNumId w:val="1"/>
  </w:num>
  <w:num w:numId="46" w16cid:durableId="109585803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619D"/>
    <w:rsid w:val="00000AF5"/>
    <w:rsid w:val="00014A60"/>
    <w:rsid w:val="00033059"/>
    <w:rsid w:val="000621D5"/>
    <w:rsid w:val="0007136D"/>
    <w:rsid w:val="000A244F"/>
    <w:rsid w:val="000B1060"/>
    <w:rsid w:val="000B359B"/>
    <w:rsid w:val="000B7AA0"/>
    <w:rsid w:val="000D61A6"/>
    <w:rsid w:val="000E39F0"/>
    <w:rsid w:val="000E4899"/>
    <w:rsid w:val="000E7A0F"/>
    <w:rsid w:val="00101CC1"/>
    <w:rsid w:val="0010586E"/>
    <w:rsid w:val="00114DBC"/>
    <w:rsid w:val="00125D52"/>
    <w:rsid w:val="00127800"/>
    <w:rsid w:val="001314CD"/>
    <w:rsid w:val="001359DA"/>
    <w:rsid w:val="00145BD6"/>
    <w:rsid w:val="001611F0"/>
    <w:rsid w:val="001659A8"/>
    <w:rsid w:val="00180A65"/>
    <w:rsid w:val="0019263F"/>
    <w:rsid w:val="00193BEE"/>
    <w:rsid w:val="001A59D0"/>
    <w:rsid w:val="001B1466"/>
    <w:rsid w:val="001B367F"/>
    <w:rsid w:val="001D0FF1"/>
    <w:rsid w:val="001E5004"/>
    <w:rsid w:val="001E532F"/>
    <w:rsid w:val="001E5B19"/>
    <w:rsid w:val="00201A89"/>
    <w:rsid w:val="00205231"/>
    <w:rsid w:val="00207C46"/>
    <w:rsid w:val="00223B11"/>
    <w:rsid w:val="002372DB"/>
    <w:rsid w:val="002542F6"/>
    <w:rsid w:val="0026516A"/>
    <w:rsid w:val="002711A3"/>
    <w:rsid w:val="002A0368"/>
    <w:rsid w:val="002A0542"/>
    <w:rsid w:val="002C3496"/>
    <w:rsid w:val="002E2B9A"/>
    <w:rsid w:val="002E426F"/>
    <w:rsid w:val="0030682C"/>
    <w:rsid w:val="003205FF"/>
    <w:rsid w:val="00323E27"/>
    <w:rsid w:val="0033204A"/>
    <w:rsid w:val="003338B6"/>
    <w:rsid w:val="00355034"/>
    <w:rsid w:val="00361A56"/>
    <w:rsid w:val="00366116"/>
    <w:rsid w:val="00370215"/>
    <w:rsid w:val="0037304B"/>
    <w:rsid w:val="003914BD"/>
    <w:rsid w:val="003B7C58"/>
    <w:rsid w:val="003D1510"/>
    <w:rsid w:val="003D682D"/>
    <w:rsid w:val="003D6C9B"/>
    <w:rsid w:val="003E0038"/>
    <w:rsid w:val="00411C8E"/>
    <w:rsid w:val="004268D4"/>
    <w:rsid w:val="00436ECE"/>
    <w:rsid w:val="00440B53"/>
    <w:rsid w:val="00440F65"/>
    <w:rsid w:val="004435D2"/>
    <w:rsid w:val="0044462F"/>
    <w:rsid w:val="00445BB0"/>
    <w:rsid w:val="004611C6"/>
    <w:rsid w:val="00465B25"/>
    <w:rsid w:val="00477A9B"/>
    <w:rsid w:val="00477AAB"/>
    <w:rsid w:val="00482BE2"/>
    <w:rsid w:val="00490897"/>
    <w:rsid w:val="00490D1B"/>
    <w:rsid w:val="00493C57"/>
    <w:rsid w:val="00497275"/>
    <w:rsid w:val="004A0606"/>
    <w:rsid w:val="004B3467"/>
    <w:rsid w:val="004B71DD"/>
    <w:rsid w:val="004C222F"/>
    <w:rsid w:val="004E2322"/>
    <w:rsid w:val="004E4D3E"/>
    <w:rsid w:val="004E79D6"/>
    <w:rsid w:val="004F2D50"/>
    <w:rsid w:val="00505FE2"/>
    <w:rsid w:val="00516BD9"/>
    <w:rsid w:val="0052028A"/>
    <w:rsid w:val="005220AD"/>
    <w:rsid w:val="0052217E"/>
    <w:rsid w:val="005304C8"/>
    <w:rsid w:val="00532EB0"/>
    <w:rsid w:val="00542936"/>
    <w:rsid w:val="00575264"/>
    <w:rsid w:val="00583237"/>
    <w:rsid w:val="005860DF"/>
    <w:rsid w:val="0059363C"/>
    <w:rsid w:val="005963E0"/>
    <w:rsid w:val="005A04A5"/>
    <w:rsid w:val="005B178C"/>
    <w:rsid w:val="005B7C3C"/>
    <w:rsid w:val="005D597C"/>
    <w:rsid w:val="005E1FA2"/>
    <w:rsid w:val="005E60C0"/>
    <w:rsid w:val="006041ED"/>
    <w:rsid w:val="006136B4"/>
    <w:rsid w:val="006278A4"/>
    <w:rsid w:val="0063767A"/>
    <w:rsid w:val="00642500"/>
    <w:rsid w:val="006442F3"/>
    <w:rsid w:val="00652146"/>
    <w:rsid w:val="0065523E"/>
    <w:rsid w:val="00664C4E"/>
    <w:rsid w:val="00672F40"/>
    <w:rsid w:val="00674AE7"/>
    <w:rsid w:val="0068117E"/>
    <w:rsid w:val="006A32C6"/>
    <w:rsid w:val="006A3674"/>
    <w:rsid w:val="006A4110"/>
    <w:rsid w:val="006B7871"/>
    <w:rsid w:val="006C2A45"/>
    <w:rsid w:val="006C353A"/>
    <w:rsid w:val="006C737C"/>
    <w:rsid w:val="006D086F"/>
    <w:rsid w:val="006F3F85"/>
    <w:rsid w:val="00700A01"/>
    <w:rsid w:val="00702FFD"/>
    <w:rsid w:val="007300DB"/>
    <w:rsid w:val="007331F1"/>
    <w:rsid w:val="00747512"/>
    <w:rsid w:val="007733B1"/>
    <w:rsid w:val="00775938"/>
    <w:rsid w:val="007761AF"/>
    <w:rsid w:val="007775B4"/>
    <w:rsid w:val="00783C39"/>
    <w:rsid w:val="00797320"/>
    <w:rsid w:val="007A583A"/>
    <w:rsid w:val="007C497B"/>
    <w:rsid w:val="007D1139"/>
    <w:rsid w:val="007D3CE0"/>
    <w:rsid w:val="0082179B"/>
    <w:rsid w:val="00826496"/>
    <w:rsid w:val="00843371"/>
    <w:rsid w:val="00875A65"/>
    <w:rsid w:val="008C261F"/>
    <w:rsid w:val="008C4B68"/>
    <w:rsid w:val="008D1F4C"/>
    <w:rsid w:val="008D65EE"/>
    <w:rsid w:val="00907832"/>
    <w:rsid w:val="009220E8"/>
    <w:rsid w:val="009236AE"/>
    <w:rsid w:val="009265AF"/>
    <w:rsid w:val="00930873"/>
    <w:rsid w:val="00947EC1"/>
    <w:rsid w:val="009508CA"/>
    <w:rsid w:val="00950C9B"/>
    <w:rsid w:val="009522F9"/>
    <w:rsid w:val="0095707B"/>
    <w:rsid w:val="009605D8"/>
    <w:rsid w:val="00962515"/>
    <w:rsid w:val="009A3CE8"/>
    <w:rsid w:val="009C0AC7"/>
    <w:rsid w:val="00A1340E"/>
    <w:rsid w:val="00A410D1"/>
    <w:rsid w:val="00A43086"/>
    <w:rsid w:val="00A76F18"/>
    <w:rsid w:val="00A840A9"/>
    <w:rsid w:val="00A95FE0"/>
    <w:rsid w:val="00AA4661"/>
    <w:rsid w:val="00AD0BF4"/>
    <w:rsid w:val="00AD32AD"/>
    <w:rsid w:val="00AD4DBE"/>
    <w:rsid w:val="00AF2FFE"/>
    <w:rsid w:val="00AF4911"/>
    <w:rsid w:val="00B02F1A"/>
    <w:rsid w:val="00B108AD"/>
    <w:rsid w:val="00B2350C"/>
    <w:rsid w:val="00B235B3"/>
    <w:rsid w:val="00B27AFA"/>
    <w:rsid w:val="00B30CC9"/>
    <w:rsid w:val="00B34A9C"/>
    <w:rsid w:val="00B448A2"/>
    <w:rsid w:val="00B80A89"/>
    <w:rsid w:val="00B93CC0"/>
    <w:rsid w:val="00BC5BB1"/>
    <w:rsid w:val="00BD57BF"/>
    <w:rsid w:val="00BE2156"/>
    <w:rsid w:val="00C049F8"/>
    <w:rsid w:val="00C310DC"/>
    <w:rsid w:val="00C42468"/>
    <w:rsid w:val="00C4572F"/>
    <w:rsid w:val="00C476EC"/>
    <w:rsid w:val="00C51601"/>
    <w:rsid w:val="00C657E1"/>
    <w:rsid w:val="00C76B01"/>
    <w:rsid w:val="00C76BA0"/>
    <w:rsid w:val="00C81313"/>
    <w:rsid w:val="00C967BF"/>
    <w:rsid w:val="00C96EBF"/>
    <w:rsid w:val="00CA045B"/>
    <w:rsid w:val="00CB2F72"/>
    <w:rsid w:val="00CC4E66"/>
    <w:rsid w:val="00CF4708"/>
    <w:rsid w:val="00CF562F"/>
    <w:rsid w:val="00CF5A92"/>
    <w:rsid w:val="00CF6777"/>
    <w:rsid w:val="00D136BC"/>
    <w:rsid w:val="00D14922"/>
    <w:rsid w:val="00D31C16"/>
    <w:rsid w:val="00D4047D"/>
    <w:rsid w:val="00D5389D"/>
    <w:rsid w:val="00D650CC"/>
    <w:rsid w:val="00D76415"/>
    <w:rsid w:val="00D8391E"/>
    <w:rsid w:val="00DE18BE"/>
    <w:rsid w:val="00DE1F6D"/>
    <w:rsid w:val="00DE567B"/>
    <w:rsid w:val="00E12FA7"/>
    <w:rsid w:val="00E200E4"/>
    <w:rsid w:val="00E21BD0"/>
    <w:rsid w:val="00E30E70"/>
    <w:rsid w:val="00E366F2"/>
    <w:rsid w:val="00E44A07"/>
    <w:rsid w:val="00E57983"/>
    <w:rsid w:val="00E74FE8"/>
    <w:rsid w:val="00E77D5F"/>
    <w:rsid w:val="00E9619D"/>
    <w:rsid w:val="00EA2FF6"/>
    <w:rsid w:val="00EB3A79"/>
    <w:rsid w:val="00EB7A78"/>
    <w:rsid w:val="00EE31F9"/>
    <w:rsid w:val="00F2234E"/>
    <w:rsid w:val="00F25AFB"/>
    <w:rsid w:val="00F41AC0"/>
    <w:rsid w:val="00F42D8F"/>
    <w:rsid w:val="00F43F50"/>
    <w:rsid w:val="00F5729B"/>
    <w:rsid w:val="00F651F3"/>
    <w:rsid w:val="00F87423"/>
    <w:rsid w:val="00F91BA6"/>
    <w:rsid w:val="00FA5320"/>
    <w:rsid w:val="00FB1443"/>
    <w:rsid w:val="00FD4D08"/>
    <w:rsid w:val="00FD7954"/>
    <w:rsid w:val="00FE293A"/>
    <w:rsid w:val="00FF4734"/>
    <w:rsid w:val="00FF518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2620EE"/>
  <w15:chartTrackingRefBased/>
  <w15:docId w15:val="{B149C15F-86DF-4F48-B800-8D418C900E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qFormat="1"/>
    <w:lsdException w:name="toc 4" w:semiHidden="1" w:uiPriority="1"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2156"/>
    <w:pPr>
      <w:spacing w:after="0" w:line="360" w:lineRule="auto"/>
    </w:pPr>
  </w:style>
  <w:style w:type="paragraph" w:styleId="Ttulo1">
    <w:name w:val="heading 1"/>
    <w:basedOn w:val="Normal"/>
    <w:next w:val="Normal"/>
    <w:link w:val="Ttulo1Char"/>
    <w:uiPriority w:val="9"/>
    <w:qFormat/>
    <w:rsid w:val="007761AF"/>
    <w:pPr>
      <w:keepNext/>
      <w:keepLines/>
      <w:numPr>
        <w:numId w:val="43"/>
      </w:numPr>
      <w:ind w:left="431" w:hanging="431"/>
      <w:outlineLvl w:val="0"/>
    </w:pPr>
    <w:rPr>
      <w:rFonts w:ascii="Times New Roman" w:eastAsiaTheme="majorEastAsia" w:hAnsi="Times New Roman" w:cstheme="majorBidi"/>
      <w:b/>
      <w:szCs w:val="40"/>
    </w:rPr>
  </w:style>
  <w:style w:type="paragraph" w:styleId="Ttulo2">
    <w:name w:val="heading 2"/>
    <w:aliases w:val="Paragrafos"/>
    <w:basedOn w:val="Normal"/>
    <w:next w:val="Normal"/>
    <w:link w:val="Ttulo2Char"/>
    <w:uiPriority w:val="9"/>
    <w:unhideWhenUsed/>
    <w:qFormat/>
    <w:rsid w:val="00CC4E66"/>
    <w:pPr>
      <w:keepNext/>
      <w:keepLines/>
      <w:numPr>
        <w:ilvl w:val="1"/>
        <w:numId w:val="43"/>
      </w:numPr>
      <w:ind w:left="578" w:hanging="578"/>
      <w:outlineLvl w:val="1"/>
    </w:pPr>
    <w:rPr>
      <w:rFonts w:ascii="Times New Roman" w:eastAsiaTheme="majorEastAsia" w:hAnsi="Times New Roman" w:cstheme="majorBidi"/>
      <w:b/>
      <w:szCs w:val="32"/>
    </w:rPr>
  </w:style>
  <w:style w:type="paragraph" w:styleId="Ttulo3">
    <w:name w:val="heading 3"/>
    <w:basedOn w:val="Normal"/>
    <w:next w:val="Normal"/>
    <w:link w:val="Ttulo3Char"/>
    <w:uiPriority w:val="9"/>
    <w:unhideWhenUsed/>
    <w:qFormat/>
    <w:rsid w:val="00A43086"/>
    <w:pPr>
      <w:keepNext/>
      <w:keepLines/>
      <w:numPr>
        <w:ilvl w:val="2"/>
        <w:numId w:val="43"/>
      </w:numPr>
      <w:spacing w:before="851" w:after="851"/>
      <w:outlineLvl w:val="2"/>
    </w:pPr>
    <w:rPr>
      <w:rFonts w:ascii="Times New Roman" w:eastAsiaTheme="majorEastAsia" w:hAnsi="Times New Roman" w:cstheme="majorBidi"/>
      <w:b/>
      <w:szCs w:val="28"/>
    </w:rPr>
  </w:style>
  <w:style w:type="paragraph" w:styleId="Ttulo4">
    <w:name w:val="heading 4"/>
    <w:basedOn w:val="Normal"/>
    <w:next w:val="Normal"/>
    <w:link w:val="Ttulo4Char"/>
    <w:uiPriority w:val="9"/>
    <w:unhideWhenUsed/>
    <w:qFormat/>
    <w:rsid w:val="00E9619D"/>
    <w:pPr>
      <w:keepNext/>
      <w:keepLines/>
      <w:numPr>
        <w:ilvl w:val="3"/>
        <w:numId w:val="43"/>
      </w:numPr>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E9619D"/>
    <w:pPr>
      <w:keepNext/>
      <w:keepLines/>
      <w:numPr>
        <w:ilvl w:val="4"/>
        <w:numId w:val="43"/>
      </w:numPr>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E9619D"/>
    <w:pPr>
      <w:keepNext/>
      <w:keepLines/>
      <w:numPr>
        <w:ilvl w:val="5"/>
        <w:numId w:val="43"/>
      </w:numPr>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E9619D"/>
    <w:pPr>
      <w:keepNext/>
      <w:keepLines/>
      <w:numPr>
        <w:ilvl w:val="6"/>
        <w:numId w:val="43"/>
      </w:numPr>
      <w:spacing w:before="4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E9619D"/>
    <w:pPr>
      <w:keepNext/>
      <w:keepLines/>
      <w:numPr>
        <w:ilvl w:val="7"/>
        <w:numId w:val="43"/>
      </w:numPr>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E9619D"/>
    <w:pPr>
      <w:keepNext/>
      <w:keepLines/>
      <w:numPr>
        <w:ilvl w:val="8"/>
        <w:numId w:val="43"/>
      </w:numPr>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7761AF"/>
    <w:rPr>
      <w:rFonts w:ascii="Times New Roman" w:eastAsiaTheme="majorEastAsia" w:hAnsi="Times New Roman" w:cstheme="majorBidi"/>
      <w:b/>
      <w:szCs w:val="40"/>
    </w:rPr>
  </w:style>
  <w:style w:type="character" w:customStyle="1" w:styleId="Ttulo2Char">
    <w:name w:val="Título 2 Char"/>
    <w:aliases w:val="Paragrafos Char"/>
    <w:basedOn w:val="Fontepargpadro"/>
    <w:link w:val="Ttulo2"/>
    <w:uiPriority w:val="9"/>
    <w:rsid w:val="00CC4E66"/>
    <w:rPr>
      <w:rFonts w:ascii="Times New Roman" w:eastAsiaTheme="majorEastAsia" w:hAnsi="Times New Roman" w:cstheme="majorBidi"/>
      <w:b/>
      <w:szCs w:val="32"/>
    </w:rPr>
  </w:style>
  <w:style w:type="character" w:customStyle="1" w:styleId="Ttulo3Char">
    <w:name w:val="Título 3 Char"/>
    <w:basedOn w:val="Fontepargpadro"/>
    <w:link w:val="Ttulo3"/>
    <w:uiPriority w:val="9"/>
    <w:rsid w:val="00A43086"/>
    <w:rPr>
      <w:rFonts w:ascii="Times New Roman" w:eastAsiaTheme="majorEastAsia" w:hAnsi="Times New Roman" w:cstheme="majorBidi"/>
      <w:b/>
      <w:szCs w:val="28"/>
    </w:rPr>
  </w:style>
  <w:style w:type="character" w:customStyle="1" w:styleId="Ttulo4Char">
    <w:name w:val="Título 4 Char"/>
    <w:basedOn w:val="Fontepargpadro"/>
    <w:link w:val="Ttulo4"/>
    <w:uiPriority w:val="9"/>
    <w:rsid w:val="00E9619D"/>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E9619D"/>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E9619D"/>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E9619D"/>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E9619D"/>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E9619D"/>
    <w:rPr>
      <w:rFonts w:eastAsiaTheme="majorEastAsia" w:cstheme="majorBidi"/>
      <w:color w:val="272727" w:themeColor="text1" w:themeTint="D8"/>
    </w:rPr>
  </w:style>
  <w:style w:type="paragraph" w:styleId="Ttulo">
    <w:name w:val="Title"/>
    <w:aliases w:val="espaço dupl"/>
    <w:basedOn w:val="Normal"/>
    <w:next w:val="Normal"/>
    <w:link w:val="TtuloChar"/>
    <w:uiPriority w:val="10"/>
    <w:qFormat/>
    <w:rsid w:val="0030682C"/>
    <w:pPr>
      <w:spacing w:line="480" w:lineRule="auto"/>
      <w:contextualSpacing/>
    </w:pPr>
    <w:rPr>
      <w:rFonts w:ascii="Times New Roman" w:eastAsiaTheme="majorEastAsia" w:hAnsi="Times New Roman" w:cstheme="majorBidi"/>
      <w:spacing w:val="-10"/>
      <w:kern w:val="28"/>
      <w:szCs w:val="56"/>
    </w:rPr>
  </w:style>
  <w:style w:type="character" w:customStyle="1" w:styleId="TtuloChar">
    <w:name w:val="Título Char"/>
    <w:aliases w:val="espaço dupl Char"/>
    <w:basedOn w:val="Fontepargpadro"/>
    <w:link w:val="Ttulo"/>
    <w:uiPriority w:val="10"/>
    <w:rsid w:val="0030682C"/>
    <w:rPr>
      <w:rFonts w:ascii="Times New Roman" w:eastAsiaTheme="majorEastAsia" w:hAnsi="Times New Roman" w:cstheme="majorBidi"/>
      <w:spacing w:val="-10"/>
      <w:kern w:val="28"/>
      <w:szCs w:val="56"/>
    </w:rPr>
  </w:style>
  <w:style w:type="paragraph" w:styleId="Subttulo">
    <w:name w:val="Subtitle"/>
    <w:basedOn w:val="Normal"/>
    <w:next w:val="Normal"/>
    <w:link w:val="SubttuloChar"/>
    <w:uiPriority w:val="11"/>
    <w:qFormat/>
    <w:rsid w:val="005220AD"/>
    <w:pPr>
      <w:numPr>
        <w:ilvl w:val="1"/>
      </w:numPr>
      <w:spacing w:before="851" w:after="851"/>
      <w:outlineLvl w:val="1"/>
    </w:pPr>
    <w:rPr>
      <w:rFonts w:ascii="Times New Roman" w:eastAsiaTheme="majorEastAsia" w:hAnsi="Times New Roman" w:cstheme="majorBidi"/>
      <w:b/>
      <w:spacing w:val="15"/>
      <w:szCs w:val="28"/>
    </w:rPr>
  </w:style>
  <w:style w:type="character" w:customStyle="1" w:styleId="SubttuloChar">
    <w:name w:val="Subtítulo Char"/>
    <w:basedOn w:val="Fontepargpadro"/>
    <w:link w:val="Subttulo"/>
    <w:uiPriority w:val="11"/>
    <w:rsid w:val="005220AD"/>
    <w:rPr>
      <w:rFonts w:ascii="Times New Roman" w:eastAsiaTheme="majorEastAsia" w:hAnsi="Times New Roman" w:cstheme="majorBidi"/>
      <w:b/>
      <w:spacing w:val="15"/>
      <w:szCs w:val="28"/>
    </w:rPr>
  </w:style>
  <w:style w:type="paragraph" w:styleId="Citao">
    <w:name w:val="Quote"/>
    <w:basedOn w:val="Normal"/>
    <w:next w:val="Normal"/>
    <w:link w:val="CitaoChar"/>
    <w:uiPriority w:val="29"/>
    <w:qFormat/>
    <w:rsid w:val="00E9619D"/>
    <w:pPr>
      <w:spacing w:before="160"/>
      <w:jc w:val="center"/>
    </w:pPr>
    <w:rPr>
      <w:i/>
      <w:iCs/>
      <w:color w:val="404040" w:themeColor="text1" w:themeTint="BF"/>
    </w:rPr>
  </w:style>
  <w:style w:type="character" w:customStyle="1" w:styleId="CitaoChar">
    <w:name w:val="Citação Char"/>
    <w:basedOn w:val="Fontepargpadro"/>
    <w:link w:val="Citao"/>
    <w:uiPriority w:val="29"/>
    <w:rsid w:val="00E9619D"/>
    <w:rPr>
      <w:i/>
      <w:iCs/>
      <w:color w:val="404040" w:themeColor="text1" w:themeTint="BF"/>
    </w:rPr>
  </w:style>
  <w:style w:type="paragraph" w:styleId="PargrafodaLista">
    <w:name w:val="List Paragraph"/>
    <w:basedOn w:val="Normal"/>
    <w:uiPriority w:val="34"/>
    <w:qFormat/>
    <w:rsid w:val="00E9619D"/>
    <w:pPr>
      <w:ind w:left="720"/>
      <w:contextualSpacing/>
    </w:pPr>
  </w:style>
  <w:style w:type="character" w:styleId="nfaseIntensa">
    <w:name w:val="Intense Emphasis"/>
    <w:basedOn w:val="Fontepargpadro"/>
    <w:uiPriority w:val="21"/>
    <w:qFormat/>
    <w:rsid w:val="00E9619D"/>
    <w:rPr>
      <w:i/>
      <w:iCs/>
      <w:color w:val="0F4761" w:themeColor="accent1" w:themeShade="BF"/>
    </w:rPr>
  </w:style>
  <w:style w:type="paragraph" w:styleId="CitaoIntensa">
    <w:name w:val="Intense Quote"/>
    <w:basedOn w:val="Normal"/>
    <w:next w:val="Normal"/>
    <w:link w:val="CitaoIntensaChar"/>
    <w:uiPriority w:val="30"/>
    <w:qFormat/>
    <w:rsid w:val="00E9619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E9619D"/>
    <w:rPr>
      <w:i/>
      <w:iCs/>
      <w:color w:val="0F4761" w:themeColor="accent1" w:themeShade="BF"/>
    </w:rPr>
  </w:style>
  <w:style w:type="character" w:styleId="RefernciaIntensa">
    <w:name w:val="Intense Reference"/>
    <w:basedOn w:val="Fontepargpadro"/>
    <w:uiPriority w:val="32"/>
    <w:qFormat/>
    <w:rsid w:val="00E9619D"/>
    <w:rPr>
      <w:b/>
      <w:bCs/>
      <w:smallCaps/>
      <w:color w:val="0F4761" w:themeColor="accent1" w:themeShade="BF"/>
      <w:spacing w:val="5"/>
    </w:rPr>
  </w:style>
  <w:style w:type="paragraph" w:styleId="Cabealho">
    <w:name w:val="header"/>
    <w:basedOn w:val="Normal"/>
    <w:link w:val="CabealhoChar"/>
    <w:uiPriority w:val="99"/>
    <w:unhideWhenUsed/>
    <w:rsid w:val="00FD7954"/>
    <w:pPr>
      <w:tabs>
        <w:tab w:val="center" w:pos="4252"/>
        <w:tab w:val="right" w:pos="8504"/>
      </w:tabs>
      <w:spacing w:line="240" w:lineRule="auto"/>
    </w:pPr>
  </w:style>
  <w:style w:type="character" w:customStyle="1" w:styleId="CabealhoChar">
    <w:name w:val="Cabeçalho Char"/>
    <w:basedOn w:val="Fontepargpadro"/>
    <w:link w:val="Cabealho"/>
    <w:uiPriority w:val="99"/>
    <w:rsid w:val="00FD7954"/>
  </w:style>
  <w:style w:type="paragraph" w:styleId="Rodap">
    <w:name w:val="footer"/>
    <w:basedOn w:val="Normal"/>
    <w:link w:val="RodapChar"/>
    <w:uiPriority w:val="99"/>
    <w:unhideWhenUsed/>
    <w:rsid w:val="00FD7954"/>
    <w:pPr>
      <w:tabs>
        <w:tab w:val="center" w:pos="4252"/>
        <w:tab w:val="right" w:pos="8504"/>
      </w:tabs>
      <w:spacing w:line="240" w:lineRule="auto"/>
    </w:pPr>
  </w:style>
  <w:style w:type="character" w:customStyle="1" w:styleId="RodapChar">
    <w:name w:val="Rodapé Char"/>
    <w:basedOn w:val="Fontepargpadro"/>
    <w:link w:val="Rodap"/>
    <w:uiPriority w:val="99"/>
    <w:rsid w:val="00FD7954"/>
  </w:style>
  <w:style w:type="character" w:styleId="Refdecomentrio">
    <w:name w:val="annotation reference"/>
    <w:basedOn w:val="Fontepargpadro"/>
    <w:uiPriority w:val="99"/>
    <w:semiHidden/>
    <w:unhideWhenUsed/>
    <w:rsid w:val="001B367F"/>
    <w:rPr>
      <w:sz w:val="16"/>
      <w:szCs w:val="16"/>
    </w:rPr>
  </w:style>
  <w:style w:type="paragraph" w:styleId="Textodecomentrio">
    <w:name w:val="annotation text"/>
    <w:basedOn w:val="Normal"/>
    <w:link w:val="TextodecomentrioChar"/>
    <w:uiPriority w:val="99"/>
    <w:unhideWhenUsed/>
    <w:rsid w:val="001B367F"/>
    <w:pPr>
      <w:spacing w:line="240" w:lineRule="auto"/>
    </w:pPr>
    <w:rPr>
      <w:sz w:val="20"/>
      <w:szCs w:val="20"/>
    </w:rPr>
  </w:style>
  <w:style w:type="character" w:customStyle="1" w:styleId="TextodecomentrioChar">
    <w:name w:val="Texto de comentário Char"/>
    <w:basedOn w:val="Fontepargpadro"/>
    <w:link w:val="Textodecomentrio"/>
    <w:uiPriority w:val="99"/>
    <w:rsid w:val="001B367F"/>
    <w:rPr>
      <w:sz w:val="20"/>
      <w:szCs w:val="20"/>
    </w:rPr>
  </w:style>
  <w:style w:type="paragraph" w:styleId="Assuntodocomentrio">
    <w:name w:val="annotation subject"/>
    <w:basedOn w:val="Textodecomentrio"/>
    <w:next w:val="Textodecomentrio"/>
    <w:link w:val="AssuntodocomentrioChar"/>
    <w:uiPriority w:val="99"/>
    <w:semiHidden/>
    <w:unhideWhenUsed/>
    <w:rsid w:val="001B367F"/>
    <w:rPr>
      <w:b/>
      <w:bCs/>
    </w:rPr>
  </w:style>
  <w:style w:type="character" w:customStyle="1" w:styleId="AssuntodocomentrioChar">
    <w:name w:val="Assunto do comentário Char"/>
    <w:basedOn w:val="TextodecomentrioChar"/>
    <w:link w:val="Assuntodocomentrio"/>
    <w:uiPriority w:val="99"/>
    <w:semiHidden/>
    <w:rsid w:val="001B367F"/>
    <w:rPr>
      <w:b/>
      <w:bCs/>
      <w:sz w:val="20"/>
      <w:szCs w:val="20"/>
    </w:rPr>
  </w:style>
  <w:style w:type="character" w:styleId="Hyperlink">
    <w:name w:val="Hyperlink"/>
    <w:basedOn w:val="Fontepargpadro"/>
    <w:uiPriority w:val="99"/>
    <w:unhideWhenUsed/>
    <w:rsid w:val="00440B53"/>
    <w:rPr>
      <w:color w:val="467886" w:themeColor="hyperlink"/>
      <w:u w:val="single"/>
    </w:rPr>
  </w:style>
  <w:style w:type="character" w:customStyle="1" w:styleId="MenoPendente1">
    <w:name w:val="Menção Pendente1"/>
    <w:basedOn w:val="Fontepargpadro"/>
    <w:uiPriority w:val="99"/>
    <w:semiHidden/>
    <w:unhideWhenUsed/>
    <w:rsid w:val="00440B53"/>
    <w:rPr>
      <w:color w:val="605E5C"/>
      <w:shd w:val="clear" w:color="auto" w:fill="E1DFDD"/>
    </w:rPr>
  </w:style>
  <w:style w:type="table" w:styleId="Tabelacomgrade">
    <w:name w:val="Table Grid"/>
    <w:basedOn w:val="Tabelanormal"/>
    <w:uiPriority w:val="59"/>
    <w:rsid w:val="00B2350C"/>
    <w:pPr>
      <w:spacing w:after="0" w:line="240" w:lineRule="auto"/>
    </w:pPr>
    <w:rPr>
      <w:rFonts w:eastAsiaTheme="minorEastAsia"/>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deGradeClara">
    <w:name w:val="Grid Table Light"/>
    <w:basedOn w:val="Tabelanormal"/>
    <w:uiPriority w:val="40"/>
    <w:rsid w:val="0037021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NormalWeb">
    <w:name w:val="Normal (Web)"/>
    <w:basedOn w:val="Normal"/>
    <w:uiPriority w:val="99"/>
    <w:semiHidden/>
    <w:unhideWhenUsed/>
    <w:rsid w:val="00370215"/>
    <w:pPr>
      <w:spacing w:before="100" w:beforeAutospacing="1" w:after="100" w:afterAutospacing="1" w:line="240" w:lineRule="auto"/>
    </w:pPr>
    <w:rPr>
      <w:rFonts w:ascii="Times New Roman" w:eastAsia="Times New Roman" w:hAnsi="Times New Roman" w:cs="Times New Roman"/>
      <w:kern w:val="0"/>
      <w:lang w:eastAsia="pt-BR"/>
      <w14:ligatures w14:val="none"/>
    </w:rPr>
  </w:style>
  <w:style w:type="character" w:styleId="nfase">
    <w:name w:val="Emphasis"/>
    <w:basedOn w:val="Fontepargpadro"/>
    <w:uiPriority w:val="20"/>
    <w:qFormat/>
    <w:rsid w:val="00370215"/>
    <w:rPr>
      <w:i/>
      <w:iCs/>
    </w:rPr>
  </w:style>
  <w:style w:type="character" w:styleId="Forte">
    <w:name w:val="Strong"/>
    <w:basedOn w:val="Fontepargpadro"/>
    <w:uiPriority w:val="22"/>
    <w:qFormat/>
    <w:rsid w:val="00370215"/>
    <w:rPr>
      <w:b/>
      <w:bCs/>
    </w:rPr>
  </w:style>
  <w:style w:type="paragraph" w:styleId="Sumrio1">
    <w:name w:val="toc 1"/>
    <w:basedOn w:val="Normal"/>
    <w:uiPriority w:val="39"/>
    <w:qFormat/>
    <w:rsid w:val="00207C46"/>
    <w:pPr>
      <w:widowControl w:val="0"/>
      <w:autoSpaceDE w:val="0"/>
      <w:autoSpaceDN w:val="0"/>
      <w:spacing w:line="275" w:lineRule="exact"/>
      <w:ind w:left="914" w:hanging="279"/>
    </w:pPr>
    <w:rPr>
      <w:rFonts w:ascii="Times New Roman" w:eastAsia="Times New Roman" w:hAnsi="Times New Roman" w:cs="Times New Roman"/>
      <w:b/>
      <w:bCs/>
      <w:kern w:val="0"/>
      <w:lang w:val="pt-PT"/>
      <w14:ligatures w14:val="none"/>
    </w:rPr>
  </w:style>
  <w:style w:type="paragraph" w:styleId="Sumrio3">
    <w:name w:val="toc 3"/>
    <w:basedOn w:val="Normal"/>
    <w:uiPriority w:val="39"/>
    <w:qFormat/>
    <w:rsid w:val="00D136BC"/>
    <w:pPr>
      <w:widowControl w:val="0"/>
      <w:autoSpaceDE w:val="0"/>
      <w:autoSpaceDN w:val="0"/>
      <w:spacing w:before="851" w:after="851"/>
    </w:pPr>
    <w:rPr>
      <w:rFonts w:ascii="Times New Roman" w:eastAsia="Times New Roman" w:hAnsi="Times New Roman" w:cs="Times New Roman"/>
      <w:kern w:val="0"/>
      <w:u w:val="single"/>
      <w:lang w:val="pt-PT"/>
      <w14:ligatures w14:val="none"/>
    </w:rPr>
  </w:style>
  <w:style w:type="paragraph" w:styleId="Sumrio4">
    <w:name w:val="toc 4"/>
    <w:basedOn w:val="Normal"/>
    <w:uiPriority w:val="1"/>
    <w:qFormat/>
    <w:rsid w:val="00207C46"/>
    <w:pPr>
      <w:widowControl w:val="0"/>
      <w:autoSpaceDE w:val="0"/>
      <w:autoSpaceDN w:val="0"/>
      <w:spacing w:before="5" w:line="274" w:lineRule="exact"/>
      <w:ind w:left="1775" w:hanging="540"/>
    </w:pPr>
    <w:rPr>
      <w:rFonts w:ascii="Times New Roman" w:eastAsia="Times New Roman" w:hAnsi="Times New Roman" w:cs="Times New Roman"/>
      <w:b/>
      <w:bCs/>
      <w:kern w:val="0"/>
      <w:lang w:val="pt-PT"/>
      <w14:ligatures w14:val="none"/>
    </w:rPr>
  </w:style>
  <w:style w:type="paragraph" w:styleId="Corpodetexto">
    <w:name w:val="Body Text"/>
    <w:basedOn w:val="Normal"/>
    <w:link w:val="CorpodetextoChar"/>
    <w:uiPriority w:val="1"/>
    <w:qFormat/>
    <w:rsid w:val="00207C46"/>
    <w:pPr>
      <w:widowControl w:val="0"/>
      <w:autoSpaceDE w:val="0"/>
      <w:autoSpaceDN w:val="0"/>
      <w:spacing w:line="240" w:lineRule="auto"/>
    </w:pPr>
    <w:rPr>
      <w:rFonts w:ascii="Times New Roman" w:eastAsia="Times New Roman" w:hAnsi="Times New Roman" w:cs="Times New Roman"/>
      <w:kern w:val="0"/>
      <w:lang w:val="pt-PT"/>
      <w14:ligatures w14:val="none"/>
    </w:rPr>
  </w:style>
  <w:style w:type="character" w:customStyle="1" w:styleId="CorpodetextoChar">
    <w:name w:val="Corpo de texto Char"/>
    <w:basedOn w:val="Fontepargpadro"/>
    <w:link w:val="Corpodetexto"/>
    <w:uiPriority w:val="1"/>
    <w:rsid w:val="00207C46"/>
    <w:rPr>
      <w:rFonts w:ascii="Times New Roman" w:eastAsia="Times New Roman" w:hAnsi="Times New Roman" w:cs="Times New Roman"/>
      <w:kern w:val="0"/>
      <w:lang w:val="pt-PT"/>
      <w14:ligatures w14:val="none"/>
    </w:rPr>
  </w:style>
  <w:style w:type="paragraph" w:styleId="SemEspaamento">
    <w:name w:val="No Spacing"/>
    <w:uiPriority w:val="1"/>
    <w:qFormat/>
    <w:rsid w:val="0030682C"/>
    <w:pPr>
      <w:spacing w:after="0" w:line="240" w:lineRule="auto"/>
    </w:pPr>
  </w:style>
  <w:style w:type="paragraph" w:styleId="CabealhodoSumrio">
    <w:name w:val="TOC Heading"/>
    <w:basedOn w:val="Ttulo1"/>
    <w:next w:val="Normal"/>
    <w:uiPriority w:val="39"/>
    <w:unhideWhenUsed/>
    <w:qFormat/>
    <w:rsid w:val="00B34A9C"/>
    <w:pPr>
      <w:spacing w:before="240" w:line="259" w:lineRule="auto"/>
      <w:outlineLvl w:val="9"/>
    </w:pPr>
    <w:rPr>
      <w:rFonts w:asciiTheme="majorHAnsi" w:hAnsiTheme="majorHAnsi"/>
      <w:b w:val="0"/>
      <w:color w:val="0F4761" w:themeColor="accent1" w:themeShade="BF"/>
      <w:kern w:val="0"/>
      <w:sz w:val="32"/>
      <w:szCs w:val="32"/>
      <w:lang w:eastAsia="pt-BR"/>
      <w14:ligatures w14:val="none"/>
    </w:rPr>
  </w:style>
  <w:style w:type="paragraph" w:styleId="Sumrio2">
    <w:name w:val="toc 2"/>
    <w:basedOn w:val="Normal"/>
    <w:next w:val="Normal"/>
    <w:autoRedefine/>
    <w:uiPriority w:val="39"/>
    <w:unhideWhenUsed/>
    <w:rsid w:val="00125D52"/>
    <w:pPr>
      <w:tabs>
        <w:tab w:val="left" w:pos="851"/>
        <w:tab w:val="right" w:leader="dot" w:pos="9061"/>
      </w:tabs>
    </w:pPr>
  </w:style>
  <w:style w:type="paragraph" w:customStyle="1" w:styleId="ABNT">
    <w:name w:val="ABNT"/>
    <w:basedOn w:val="Normal"/>
    <w:link w:val="ABNTChar"/>
    <w:qFormat/>
    <w:rsid w:val="00962515"/>
    <w:pPr>
      <w:ind w:firstLine="709"/>
    </w:pPr>
    <w:rPr>
      <w:rFonts w:ascii="Times New Roman" w:hAnsi="Times New Roman"/>
    </w:rPr>
  </w:style>
  <w:style w:type="character" w:customStyle="1" w:styleId="ABNTChar">
    <w:name w:val="ABNT Char"/>
    <w:basedOn w:val="Fontepargpadro"/>
    <w:link w:val="ABNT"/>
    <w:rsid w:val="00962515"/>
    <w:rPr>
      <w:rFonts w:ascii="Times New Roman" w:hAnsi="Times New Roman"/>
    </w:rPr>
  </w:style>
  <w:style w:type="paragraph" w:styleId="Textodenotaderodap">
    <w:name w:val="footnote text"/>
    <w:basedOn w:val="Normal"/>
    <w:link w:val="TextodenotaderodapChar"/>
    <w:uiPriority w:val="99"/>
    <w:unhideWhenUsed/>
    <w:rsid w:val="00493C57"/>
    <w:pPr>
      <w:spacing w:line="240" w:lineRule="auto"/>
      <w:ind w:firstLine="851"/>
    </w:pPr>
    <w:rPr>
      <w:rFonts w:ascii="Times New Roman" w:hAnsi="Times New Roman"/>
      <w:kern w:val="0"/>
      <w:sz w:val="20"/>
      <w:szCs w:val="20"/>
      <w14:ligatures w14:val="none"/>
    </w:rPr>
  </w:style>
  <w:style w:type="character" w:customStyle="1" w:styleId="TextodenotaderodapChar">
    <w:name w:val="Texto de nota de rodapé Char"/>
    <w:basedOn w:val="Fontepargpadro"/>
    <w:link w:val="Textodenotaderodap"/>
    <w:uiPriority w:val="99"/>
    <w:rsid w:val="00493C57"/>
    <w:rPr>
      <w:rFonts w:ascii="Times New Roman" w:hAnsi="Times New Roman"/>
      <w:kern w:val="0"/>
      <w:sz w:val="20"/>
      <w:szCs w:val="20"/>
      <w14:ligatures w14:val="none"/>
    </w:rPr>
  </w:style>
  <w:style w:type="character" w:styleId="Refdenotaderodap">
    <w:name w:val="footnote reference"/>
    <w:basedOn w:val="Fontepargpadro"/>
    <w:uiPriority w:val="99"/>
    <w:semiHidden/>
    <w:unhideWhenUsed/>
    <w:rsid w:val="00493C57"/>
    <w:rPr>
      <w:vertAlign w:val="superscript"/>
    </w:rPr>
  </w:style>
  <w:style w:type="paragraph" w:styleId="Textodebalo">
    <w:name w:val="Balloon Text"/>
    <w:basedOn w:val="Normal"/>
    <w:link w:val="TextodebaloChar"/>
    <w:uiPriority w:val="99"/>
    <w:semiHidden/>
    <w:unhideWhenUsed/>
    <w:rsid w:val="00672F40"/>
    <w:pPr>
      <w:spacing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672F4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3.xml"/><Relationship Id="rId18" Type="http://schemas.openxmlformats.org/officeDocument/2006/relationships/header" Target="header4.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s://www.poder360.com.br/economia/quase-metade-das-cidades-brasileiras-dependem-90-ou-mais-de-repasses/" TargetMode="External"/><Relationship Id="rId2" Type="http://schemas.openxmlformats.org/officeDocument/2006/relationships/customXml" Target="../customXml/item2.xml"/><Relationship Id="rId16" Type="http://schemas.openxmlformats.org/officeDocument/2006/relationships/hyperlink" Target="https://www25.senado.leg.br/web/atividade/materias/-/materia/139853"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2.png"/><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br/receitafederal/pt-br/acesso-a-informacao/acoes-e-programas/programas-e-atividades/reforma-consumo/entend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5A35CCBE702C14ABD9A3E0A548254D5" ma:contentTypeVersion="8" ma:contentTypeDescription="Crie um novo documento." ma:contentTypeScope="" ma:versionID="2015f874c2747dd9d4507207c1179e95">
  <xsd:schema xmlns:xsd="http://www.w3.org/2001/XMLSchema" xmlns:xs="http://www.w3.org/2001/XMLSchema" xmlns:p="http://schemas.microsoft.com/office/2006/metadata/properties" xmlns:ns3="41a39e85-6b12-4f87-9416-99fc1192b63f" xmlns:ns4="d7c187d3-c59b-4c3d-b09d-40e88c5287cc" targetNamespace="http://schemas.microsoft.com/office/2006/metadata/properties" ma:root="true" ma:fieldsID="ce399e727b56d5678eefa6725f59becf" ns3:_="" ns4:_="">
    <xsd:import namespace="41a39e85-6b12-4f87-9416-99fc1192b63f"/>
    <xsd:import namespace="d7c187d3-c59b-4c3d-b09d-40e88c5287cc"/>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ObjectDetectorVersions" minOccurs="0"/>
                <xsd:element ref="ns3:MediaServiceSearchPropertie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a39e85-6b12-4f87-9416-99fc1192b6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7c187d3-c59b-4c3d-b09d-40e88c5287cc" elementFormDefault="qualified">
    <xsd:import namespace="http://schemas.microsoft.com/office/2006/documentManagement/types"/>
    <xsd:import namespace="http://schemas.microsoft.com/office/infopath/2007/PartnerControls"/>
    <xsd:element name="SharedWithUsers" ma:index="10"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talhes de Compartilhado Com" ma:internalName="SharedWithDetails" ma:readOnly="true">
      <xsd:simpleType>
        <xsd:restriction base="dms:Note">
          <xsd:maxLength value="255"/>
        </xsd:restriction>
      </xsd:simpleType>
    </xsd:element>
    <xsd:element name="SharingHintHash" ma:index="12" nillable="true" ma:displayName="Hash de Dica de Compartilhamento"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47B8C24-DEE7-4750-9857-B0BF3D5F84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a39e85-6b12-4f87-9416-99fc1192b63f"/>
    <ds:schemaRef ds:uri="d7c187d3-c59b-4c3d-b09d-40e88c5287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F0EE538-8F42-493B-B1DC-DF27D8C155C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5013741-6B86-45B0-89B2-6F0A39AA01ED}">
  <ds:schemaRefs>
    <ds:schemaRef ds:uri="http://schemas.openxmlformats.org/officeDocument/2006/bibliography"/>
  </ds:schemaRefs>
</ds:datastoreItem>
</file>

<file path=customXml/itemProps4.xml><?xml version="1.0" encoding="utf-8"?>
<ds:datastoreItem xmlns:ds="http://schemas.openxmlformats.org/officeDocument/2006/customXml" ds:itemID="{487D5FED-260D-43F4-A3AB-C963B5F2D22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29</Pages>
  <Words>9788</Words>
  <Characters>52856</Characters>
  <Application>Microsoft Office Word</Application>
  <DocSecurity>0</DocSecurity>
  <Lines>440</Lines>
  <Paragraphs>125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62519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IANN ANDRADE LINHARES GOES</dc:creator>
  <cp:keywords/>
  <dc:description/>
  <cp:lastModifiedBy>VITAL HENRIQUE BARBOSA COSTA</cp:lastModifiedBy>
  <cp:revision>2</cp:revision>
  <dcterms:created xsi:type="dcterms:W3CDTF">2025-12-16T01:11:00Z</dcterms:created>
  <dcterms:modified xsi:type="dcterms:W3CDTF">2025-12-16T01:11:00Z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0x010100F5A35CCBE702C14ABD9A3E0A548254D5</vt:lpwstr>
  </property>
</Properties>
</file>