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C16F5" w14:textId="741B5383" w:rsidR="00EA7368" w:rsidRPr="0059711F" w:rsidRDefault="0B63BC84" w:rsidP="0B63BC84">
      <w:pPr>
        <w:pStyle w:val="correspondncia"/>
        <w:spacing w:line="240" w:lineRule="auto"/>
        <w:jc w:val="both"/>
        <w:rPr>
          <w:rFonts w:ascii="Times New Roman" w:hAnsi="Times New Roman" w:cs="Times New Roman"/>
          <w:b/>
          <w:bCs/>
          <w:color w:val="auto"/>
          <w:sz w:val="24"/>
          <w:szCs w:val="24"/>
          <w:lang w:val="pt-BR"/>
        </w:rPr>
      </w:pPr>
      <w:r w:rsidRPr="0059711F">
        <w:rPr>
          <w:rFonts w:ascii="Times New Roman" w:hAnsi="Times New Roman" w:cs="Times New Roman"/>
          <w:b/>
          <w:bCs/>
          <w:color w:val="auto"/>
          <w:sz w:val="24"/>
          <w:szCs w:val="24"/>
          <w:lang w:val="pt-BR"/>
        </w:rPr>
        <w:t>Efeitos de dietas com baixo teor de carboidratos no tratamento de mulheres com lipedema</w:t>
      </w:r>
      <w:r w:rsidR="002053F5" w:rsidRPr="0059711F">
        <w:rPr>
          <w:rFonts w:ascii="Times New Roman" w:hAnsi="Times New Roman" w:cs="Times New Roman"/>
          <w:b/>
          <w:bCs/>
          <w:color w:val="auto"/>
          <w:sz w:val="24"/>
          <w:szCs w:val="24"/>
          <w:lang w:val="pt-BR"/>
        </w:rPr>
        <w:t>: uma revisão de literatura</w:t>
      </w:r>
    </w:p>
    <w:p w14:paraId="25398E52" w14:textId="4D494B1E" w:rsidR="00EA7368" w:rsidRPr="0059711F" w:rsidRDefault="0B63BC84" w:rsidP="0B63BC84">
      <w:pPr>
        <w:tabs>
          <w:tab w:val="left" w:pos="3544"/>
        </w:tabs>
        <w:jc w:val="both"/>
        <w:rPr>
          <w:rFonts w:ascii="Times New Roman" w:eastAsia="Calibri" w:hAnsi="Times New Roman" w:cs="Times New Roman"/>
          <w:i/>
          <w:iCs/>
          <w:lang w:val="en-US"/>
        </w:rPr>
      </w:pPr>
      <w:r w:rsidRPr="0059711F">
        <w:rPr>
          <w:rFonts w:ascii="Times New Roman" w:eastAsia="Calibri" w:hAnsi="Times New Roman" w:cs="Times New Roman"/>
          <w:i/>
          <w:iCs/>
          <w:lang w:val="en"/>
        </w:rPr>
        <w:t>Effects of low-carbohydrate diets in the treatment of women with lipedema</w:t>
      </w:r>
      <w:r w:rsidR="00642CF9" w:rsidRPr="0059711F">
        <w:rPr>
          <w:rFonts w:ascii="Times New Roman" w:eastAsia="Calibri" w:hAnsi="Times New Roman" w:cs="Times New Roman"/>
          <w:i/>
          <w:iCs/>
          <w:lang w:val="en"/>
        </w:rPr>
        <w:t>: a literature review</w:t>
      </w:r>
    </w:p>
    <w:p w14:paraId="489D53E3" w14:textId="16947A2F" w:rsidR="00EA7368" w:rsidRPr="0059711F" w:rsidRDefault="00EA7368" w:rsidP="0B63BC84">
      <w:pPr>
        <w:spacing w:line="480" w:lineRule="auto"/>
        <w:jc w:val="both"/>
        <w:rPr>
          <w:rFonts w:ascii="Times New Roman" w:hAnsi="Times New Roman" w:cs="Times New Roman"/>
          <w:lang w:val="en-US"/>
        </w:rPr>
      </w:pPr>
    </w:p>
    <w:p w14:paraId="0246F66D" w14:textId="251876DD" w:rsidR="00EA7368" w:rsidRPr="0059711F" w:rsidRDefault="0B63BC84" w:rsidP="0B63BC84">
      <w:pPr>
        <w:spacing w:line="480" w:lineRule="auto"/>
        <w:jc w:val="both"/>
        <w:rPr>
          <w:rFonts w:ascii="Times New Roman" w:hAnsi="Times New Roman" w:cs="Times New Roman"/>
          <w:b/>
          <w:bCs/>
        </w:rPr>
      </w:pPr>
      <w:r w:rsidRPr="0059711F">
        <w:rPr>
          <w:rFonts w:ascii="Times New Roman" w:hAnsi="Times New Roman" w:cs="Times New Roman"/>
          <w:b/>
          <w:bCs/>
        </w:rPr>
        <w:t>Resumo</w:t>
      </w:r>
    </w:p>
    <w:p w14:paraId="3C7163A1" w14:textId="1D703CF9" w:rsidR="00EA7368" w:rsidRPr="0059711F" w:rsidRDefault="0EEF9791" w:rsidP="1EB41FCB">
      <w:pPr>
        <w:spacing w:line="480" w:lineRule="auto"/>
        <w:rPr>
          <w:rFonts w:ascii="Times New Roman" w:hAnsi="Times New Roman" w:cs="Times New Roman"/>
        </w:rPr>
      </w:pPr>
      <w:r w:rsidRPr="0059711F">
        <w:rPr>
          <w:rFonts w:ascii="Times New Roman" w:hAnsi="Times New Roman" w:cs="Times New Roman"/>
        </w:rPr>
        <w:t xml:space="preserve">O lipedema é uma doença do tecido adiposo subcutâneo, cujo manejo nutricional é essencial na redução de gordura das regiões afetadas e do quadro inflamatório gerado pela doença. Esse trabalho teve como </w:t>
      </w:r>
      <w:r w:rsidR="00512CA8" w:rsidRPr="0059711F">
        <w:rPr>
          <w:rFonts w:ascii="Times New Roman" w:hAnsi="Times New Roman" w:cs="Times New Roman"/>
        </w:rPr>
        <w:t>o objetivo deste estudo foi revisar o efeito de dietas com baixo teor de carboidratos sobre parâmetros bioquímicos, antropométricos, álgicos e qualidade de vida de mulheres com lipedema.</w:t>
      </w:r>
      <w:r w:rsidRPr="0059711F">
        <w:rPr>
          <w:rFonts w:ascii="Times New Roman" w:hAnsi="Times New Roman" w:cs="Times New Roman"/>
        </w:rPr>
        <w:t xml:space="preserve">. Para isso, foi feita uma revisão narrativa de literatura nas bases de dados </w:t>
      </w:r>
      <w:r w:rsidRPr="0059711F">
        <w:rPr>
          <w:rFonts w:ascii="Times New Roman" w:hAnsi="Times New Roman" w:cs="Times New Roman"/>
          <w:i/>
          <w:iCs/>
        </w:rPr>
        <w:t xml:space="preserve">PubMed </w:t>
      </w:r>
      <w:r w:rsidRPr="0059711F">
        <w:rPr>
          <w:rFonts w:ascii="Times New Roman" w:hAnsi="Times New Roman" w:cs="Times New Roman"/>
        </w:rPr>
        <w:t>e</w:t>
      </w:r>
      <w:r w:rsidRPr="0059711F">
        <w:rPr>
          <w:rFonts w:ascii="Times New Roman" w:hAnsi="Times New Roman" w:cs="Times New Roman"/>
          <w:i/>
          <w:iCs/>
        </w:rPr>
        <w:t xml:space="preserve"> SciELO, </w:t>
      </w:r>
      <w:r w:rsidRPr="0059711F">
        <w:rPr>
          <w:rFonts w:ascii="Times New Roman" w:hAnsi="Times New Roman" w:cs="Times New Roman"/>
        </w:rPr>
        <w:t>nos últimos 10 anos (2015 a 2025), usando os descritores </w:t>
      </w:r>
      <w:r w:rsidRPr="0059711F">
        <w:rPr>
          <w:rFonts w:ascii="Times New Roman" w:hAnsi="Times New Roman" w:cs="Times New Roman"/>
          <w:i/>
          <w:iCs/>
        </w:rPr>
        <w:t xml:space="preserve">“lipedema”, “low carbohydrate diet”, “diet and lipedema” </w:t>
      </w:r>
      <w:r w:rsidRPr="0059711F">
        <w:rPr>
          <w:rFonts w:ascii="Times New Roman" w:hAnsi="Times New Roman" w:cs="Times New Roman"/>
        </w:rPr>
        <w:t>e</w:t>
      </w:r>
      <w:r w:rsidRPr="0059711F">
        <w:rPr>
          <w:rFonts w:ascii="Times New Roman" w:hAnsi="Times New Roman" w:cs="Times New Roman"/>
          <w:i/>
          <w:iCs/>
        </w:rPr>
        <w:t>“diet treatment and lipedema”</w:t>
      </w:r>
      <w:r w:rsidRPr="0059711F">
        <w:rPr>
          <w:rFonts w:ascii="Times New Roman" w:hAnsi="Times New Roman" w:cs="Times New Roman"/>
        </w:rPr>
        <w:t xml:space="preserve">. Com base na busca, </w:t>
      </w:r>
      <w:r w:rsidR="00512CA8" w:rsidRPr="0059711F">
        <w:rPr>
          <w:rFonts w:ascii="Times New Roman" w:hAnsi="Times New Roman" w:cs="Times New Roman"/>
        </w:rPr>
        <w:t>foram encontrados 11 estudos</w:t>
      </w:r>
      <w:r w:rsidRPr="0059711F">
        <w:rPr>
          <w:rFonts w:ascii="Times New Roman" w:hAnsi="Times New Roman" w:cs="Times New Roman"/>
        </w:rPr>
        <w:t xml:space="preserve"> com distribuição de 2</w:t>
      </w:r>
      <w:r w:rsidR="00512CA8" w:rsidRPr="0059711F">
        <w:rPr>
          <w:rFonts w:ascii="Times New Roman" w:hAnsi="Times New Roman" w:cs="Times New Roman"/>
        </w:rPr>
        <w:t>5</w:t>
      </w:r>
      <w:r w:rsidRPr="0059711F">
        <w:rPr>
          <w:rFonts w:ascii="Times New Roman" w:hAnsi="Times New Roman" w:cs="Times New Roman"/>
        </w:rPr>
        <w:t xml:space="preserve">g a 75g de carboidratos, especialmente com padrão mediterrâneo, resultaram na redução de peso, Índice de Massa Corporal e de circunferências (do tornozelo, panturrilha, coxas, quadril e cintura). Também houve melhora de parâmetros bioquímicos (lipoproteina de alta densidade-colesterol, triglicerídeos, </w:t>
      </w:r>
      <w:r w:rsidR="00512CA8" w:rsidRPr="0059711F">
        <w:rPr>
          <w:rFonts w:ascii="Times New Roman" w:hAnsi="Times New Roman" w:cs="Times New Roman"/>
          <w:color w:val="000000" w:themeColor="text1"/>
        </w:rPr>
        <w:t>proteína</w:t>
      </w:r>
      <w:r w:rsidRPr="0059711F">
        <w:rPr>
          <w:rFonts w:ascii="Times New Roman" w:hAnsi="Times New Roman" w:cs="Times New Roman"/>
          <w:color w:val="000000" w:themeColor="text1"/>
        </w:rPr>
        <w:t xml:space="preserve"> C reativa ultrassensível</w:t>
      </w:r>
      <w:r w:rsidRPr="0059711F">
        <w:rPr>
          <w:rFonts w:ascii="Times New Roman" w:hAnsi="Times New Roman" w:cs="Times New Roman"/>
        </w:rPr>
        <w:t>, hemoglobina glicada, grelina pós-prandial e fosfatase alcalina), sintomas (dor e edema), aparência, textura da pele dos membros inferiores e sono. Conclui-se que a dietoterapia baseada no controle de carboidratos mostrou efeitos satisfatórios na antropometria, perfil lipídico/glicêmico, dor, qualidade de vida, inflamação sistêmica e saciedade de mulheres com lipedema, o que sugere a importância do acompanhamento nutricional durante o tratamento e controle da doenç</w:t>
      </w:r>
      <w:r w:rsidR="00512CA8" w:rsidRPr="0059711F">
        <w:rPr>
          <w:rFonts w:ascii="Times New Roman" w:hAnsi="Times New Roman" w:cs="Times New Roman"/>
        </w:rPr>
        <w:t>a.</w:t>
      </w:r>
    </w:p>
    <w:p w14:paraId="6157EC8E" w14:textId="2223EF03" w:rsidR="0E1CE3A0" w:rsidRPr="0059711F" w:rsidRDefault="0E1CE3A0" w:rsidP="1EB41FCB">
      <w:pPr>
        <w:spacing w:line="480" w:lineRule="auto"/>
        <w:rPr>
          <w:rFonts w:ascii="Times New Roman" w:hAnsi="Times New Roman" w:cs="Times New Roman"/>
          <w:b/>
          <w:bCs/>
        </w:rPr>
      </w:pPr>
    </w:p>
    <w:p w14:paraId="04D3933A" w14:textId="7A2DE353" w:rsidR="00EA7368" w:rsidRPr="0059711F" w:rsidRDefault="1EB41FCB" w:rsidP="1EB41FCB">
      <w:pPr>
        <w:spacing w:line="480" w:lineRule="auto"/>
        <w:rPr>
          <w:rFonts w:ascii="Times New Roman" w:hAnsi="Times New Roman" w:cs="Times New Roman"/>
        </w:rPr>
      </w:pPr>
      <w:r w:rsidRPr="0059711F">
        <w:rPr>
          <w:rFonts w:ascii="Times New Roman" w:hAnsi="Times New Roman" w:cs="Times New Roman"/>
          <w:b/>
          <w:bCs/>
        </w:rPr>
        <w:t>Palavras-chave:</w:t>
      </w:r>
      <w:r w:rsidRPr="0059711F">
        <w:rPr>
          <w:rFonts w:ascii="Times New Roman" w:hAnsi="Times New Roman" w:cs="Times New Roman"/>
        </w:rPr>
        <w:t xml:space="preserve"> Lipedema; Dieta de baixo teor de carboidratos; Dieta Cetogênica; Dietoterapia.</w:t>
      </w:r>
    </w:p>
    <w:p w14:paraId="49A44723" w14:textId="77777777" w:rsidR="00FE0848" w:rsidRPr="0059711F" w:rsidRDefault="00FE0848" w:rsidP="1EB41FCB">
      <w:pPr>
        <w:spacing w:line="480" w:lineRule="auto"/>
        <w:rPr>
          <w:rFonts w:ascii="Times New Roman" w:hAnsi="Times New Roman" w:cs="Times New Roman"/>
        </w:rPr>
      </w:pPr>
    </w:p>
    <w:p w14:paraId="4DA41849" w14:textId="10A0699D" w:rsidR="76CEB96F" w:rsidRPr="0059711F" w:rsidRDefault="76CEB96F" w:rsidP="76CEB96F">
      <w:pPr>
        <w:spacing w:line="480" w:lineRule="auto"/>
        <w:rPr>
          <w:rFonts w:ascii="Times New Roman" w:hAnsi="Times New Roman" w:cs="Times New Roman"/>
          <w:b/>
          <w:bCs/>
          <w:i/>
          <w:iCs/>
        </w:rPr>
      </w:pPr>
    </w:p>
    <w:p w14:paraId="3696EEA2" w14:textId="0DB64AEA" w:rsidR="00FE0848" w:rsidRPr="0059711F" w:rsidRDefault="76CEB96F" w:rsidP="76CEB96F">
      <w:pPr>
        <w:spacing w:line="480" w:lineRule="auto"/>
        <w:rPr>
          <w:rFonts w:ascii="Times New Roman" w:hAnsi="Times New Roman" w:cs="Times New Roman"/>
          <w:b/>
          <w:bCs/>
          <w:i/>
          <w:iCs/>
          <w:lang w:val="en-US"/>
        </w:rPr>
      </w:pPr>
      <w:r w:rsidRPr="0059711F">
        <w:rPr>
          <w:rFonts w:ascii="Times New Roman" w:hAnsi="Times New Roman" w:cs="Times New Roman"/>
          <w:b/>
          <w:bCs/>
          <w:i/>
          <w:iCs/>
          <w:lang w:val="en-US"/>
        </w:rPr>
        <w:lastRenderedPageBreak/>
        <w:t>Abstract</w:t>
      </w:r>
    </w:p>
    <w:p w14:paraId="2732C2D3" w14:textId="1D432704" w:rsidR="0E1CE3A0" w:rsidRPr="0059711F" w:rsidRDefault="00C376BD" w:rsidP="1EB41FCB">
      <w:pPr>
        <w:spacing w:line="480" w:lineRule="auto"/>
        <w:rPr>
          <w:rFonts w:ascii="Times New Roman" w:hAnsi="Times New Roman" w:cs="Times New Roman"/>
          <w:b/>
          <w:bCs/>
          <w:i/>
          <w:iCs/>
          <w:lang w:val="en-US"/>
        </w:rPr>
      </w:pPr>
      <w:r w:rsidRPr="0059711F">
        <w:rPr>
          <w:rFonts w:ascii="Times New Roman" w:hAnsi="Times New Roman" w:cs="Times New Roman"/>
          <w:i/>
          <w:iCs/>
          <w:lang w:val="en-US"/>
        </w:rPr>
        <w:t>Lipedema is a disease of the subcutaneous adipose tissue, and nutritional management is essential to reduce fat in affected areas and the inflammatory condition caused by the disease. This study aimed to review the effect of low-carbohydrate diets on biochemical, anthropometric, pain, and quality of life parameters in women with lipedema. To this end, a narrative literature review was conducted in the PubMed and SciELO databases, covering the last 10 years (2015 to 2025), using the descriptors "lipedema," "low carbohydrate diet," "diet and lipedema," and "diet treatment and lipedema." Based on the search, 11 studies were found with carbohydrate distributions ranging from 25g to 75g, especially those with a Mediterranean diet, resulting in reductions in weight, Body Mass Index, and circumferences (ankle, calf, thighs, hips, and waist). There was also improvement in biochemical parameters (high-density lipoprotein-cholesterol, triglycerides, high-sensitivity C-reactive protein, glycated hemoglobin, postprandial ghrelin, and alkaline phosphatase), symptoms (pain and edema), appearance, skin texture of the lower limbs, and sleep. It is concluded that diet therapy based on carbohydrate control showed satisfactory effects on anthropometry, lipid/glycemic profile, pain, quality of life, systemic inflammation, and satiety in women with lipedema, suggesting the importance of nutritional monitoring during the treatment and control of the disease.</w:t>
      </w:r>
    </w:p>
    <w:p w14:paraId="7E8DABBB" w14:textId="38644C75" w:rsidR="00FE0848" w:rsidRPr="0059711F" w:rsidRDefault="1EB41FCB" w:rsidP="1EB41FCB">
      <w:pPr>
        <w:spacing w:line="480" w:lineRule="auto"/>
        <w:rPr>
          <w:rFonts w:ascii="Times New Roman" w:hAnsi="Times New Roman" w:cs="Times New Roman"/>
          <w:i/>
          <w:iCs/>
          <w:lang w:val="en-US"/>
        </w:rPr>
      </w:pPr>
      <w:r w:rsidRPr="0059711F">
        <w:rPr>
          <w:rFonts w:ascii="Times New Roman" w:hAnsi="Times New Roman" w:cs="Times New Roman"/>
          <w:b/>
          <w:bCs/>
          <w:i/>
          <w:iCs/>
          <w:lang w:val="en-US"/>
        </w:rPr>
        <w:t>Keywords:</w:t>
      </w:r>
      <w:r w:rsidRPr="0059711F">
        <w:rPr>
          <w:rFonts w:ascii="Times New Roman" w:hAnsi="Times New Roman" w:cs="Times New Roman"/>
          <w:i/>
          <w:iCs/>
          <w:lang w:val="en-US"/>
        </w:rPr>
        <w:t xml:space="preserve"> Lipedema; Low-Carbohydrate Diet; Ketogenic Diet; Diet therapy.</w:t>
      </w:r>
    </w:p>
    <w:p w14:paraId="1AD6E4A6" w14:textId="1B89C46D" w:rsidR="00EA7368" w:rsidRPr="0059711F" w:rsidRDefault="00EA7368" w:rsidP="1EB41FCB">
      <w:pPr>
        <w:spacing w:line="480" w:lineRule="auto"/>
        <w:rPr>
          <w:rFonts w:ascii="Times New Roman" w:hAnsi="Times New Roman" w:cs="Times New Roman"/>
          <w:lang w:val="en-US"/>
        </w:rPr>
      </w:pPr>
    </w:p>
    <w:p w14:paraId="0F41446B" w14:textId="55EA86E6" w:rsidR="00B46BA5" w:rsidRPr="0059711F" w:rsidRDefault="00B46BA5" w:rsidP="1EB41FCB">
      <w:pPr>
        <w:spacing w:line="480" w:lineRule="auto"/>
        <w:rPr>
          <w:rFonts w:ascii="Times New Roman" w:hAnsi="Times New Roman" w:cs="Times New Roman"/>
          <w:lang w:val="en-US"/>
        </w:rPr>
      </w:pPr>
    </w:p>
    <w:p w14:paraId="21461114" w14:textId="1809F8D8" w:rsidR="00B46BA5" w:rsidRPr="0059711F" w:rsidRDefault="00B46BA5" w:rsidP="1EB41FCB">
      <w:pPr>
        <w:spacing w:line="480" w:lineRule="auto"/>
        <w:rPr>
          <w:rFonts w:ascii="Times New Roman" w:hAnsi="Times New Roman" w:cs="Times New Roman"/>
          <w:lang w:val="en-US"/>
        </w:rPr>
      </w:pPr>
    </w:p>
    <w:p w14:paraId="519C425F" w14:textId="72AB106C" w:rsidR="00B46BA5" w:rsidRPr="0059711F" w:rsidRDefault="00B46BA5" w:rsidP="1EB41FCB">
      <w:pPr>
        <w:spacing w:line="480" w:lineRule="auto"/>
        <w:rPr>
          <w:rFonts w:ascii="Times New Roman" w:hAnsi="Times New Roman" w:cs="Times New Roman"/>
          <w:lang w:val="en-US"/>
        </w:rPr>
      </w:pPr>
    </w:p>
    <w:p w14:paraId="27A1FE3D" w14:textId="77777777" w:rsidR="00B46BA5" w:rsidRPr="0059711F" w:rsidRDefault="00B46BA5" w:rsidP="1EB41FCB">
      <w:pPr>
        <w:spacing w:line="480" w:lineRule="auto"/>
        <w:rPr>
          <w:rFonts w:ascii="Times New Roman" w:hAnsi="Times New Roman" w:cs="Times New Roman"/>
          <w:lang w:val="en-US"/>
        </w:rPr>
      </w:pPr>
    </w:p>
    <w:p w14:paraId="1E2DF3A3" w14:textId="77777777" w:rsidR="001A2928" w:rsidRPr="0059711F" w:rsidRDefault="001A2928" w:rsidP="1EB41FCB">
      <w:pPr>
        <w:spacing w:line="480" w:lineRule="auto"/>
        <w:rPr>
          <w:rFonts w:ascii="Times New Roman" w:hAnsi="Times New Roman" w:cs="Times New Roman"/>
          <w:lang w:val="en-US"/>
        </w:rPr>
      </w:pPr>
    </w:p>
    <w:p w14:paraId="68A1D1A1" w14:textId="31B9263F" w:rsidR="00FE0848" w:rsidRPr="0059711F" w:rsidRDefault="1EB41FCB" w:rsidP="1EB41FCB">
      <w:pPr>
        <w:spacing w:line="480" w:lineRule="auto"/>
        <w:rPr>
          <w:rFonts w:ascii="Times New Roman" w:hAnsi="Times New Roman" w:cs="Times New Roman"/>
          <w:b/>
          <w:bCs/>
        </w:rPr>
      </w:pPr>
      <w:r w:rsidRPr="0059711F">
        <w:rPr>
          <w:rFonts w:ascii="Times New Roman" w:hAnsi="Times New Roman" w:cs="Times New Roman"/>
          <w:b/>
          <w:bCs/>
        </w:rPr>
        <w:lastRenderedPageBreak/>
        <w:t>Introdução</w:t>
      </w:r>
    </w:p>
    <w:p w14:paraId="12C56E40" w14:textId="1B6BEF1E" w:rsidR="0E1CE3A0" w:rsidRPr="0059711F" w:rsidRDefault="4FE06737" w:rsidP="4FE06737">
      <w:pPr>
        <w:spacing w:line="480" w:lineRule="auto"/>
        <w:rPr>
          <w:rFonts w:ascii="Times New Roman" w:hAnsi="Times New Roman" w:cs="Times New Roman"/>
        </w:rPr>
      </w:pPr>
      <w:r w:rsidRPr="0059711F">
        <w:rPr>
          <w:rFonts w:ascii="Times New Roman" w:hAnsi="Times New Roman" w:cs="Times New Roman"/>
        </w:rPr>
        <w:t>O lipedema é uma doença crônica, progressiva, multifatorial e hereditária caracterizada pelo acúmulo desproporcional de gordura subcutânea, principalmente nos membros inferiores e ocasionalmente nos membros superiores, excluindo mãos e pés</w:t>
      </w:r>
      <w:r w:rsidRPr="0059711F">
        <w:rPr>
          <w:rFonts w:ascii="Times New Roman" w:hAnsi="Times New Roman" w:cs="Times New Roman"/>
          <w:vertAlign w:val="superscript"/>
        </w:rPr>
        <w:t>1</w:t>
      </w:r>
      <w:r w:rsidRPr="0059711F">
        <w:rPr>
          <w:rFonts w:ascii="Times New Roman" w:hAnsi="Times New Roman" w:cs="Times New Roman"/>
        </w:rPr>
        <w:t>. Ele tem sido mais comum na população feminina, estando presente em cerca de 11% das mulheres de todo o mundo</w:t>
      </w:r>
      <w:r w:rsidRPr="0059711F">
        <w:rPr>
          <w:rFonts w:ascii="Times New Roman" w:hAnsi="Times New Roman" w:cs="Times New Roman"/>
          <w:vertAlign w:val="superscript"/>
        </w:rPr>
        <w:t>2</w:t>
      </w:r>
      <w:r w:rsidRPr="0059711F">
        <w:rPr>
          <w:rFonts w:ascii="Times New Roman" w:hAnsi="Times New Roman" w:cs="Times New Roman"/>
        </w:rPr>
        <w:t>. Ainda pouco se sabe sobre a causa da sua manifestação, mas muitos estudos mostram um caráter hereditário e estrogênio-dependente, com sinais e sintomas surgindo principalmente na puberdade, gravidez e menopausa</w:t>
      </w:r>
      <w:r w:rsidRPr="0059711F">
        <w:rPr>
          <w:rFonts w:ascii="Times New Roman" w:hAnsi="Times New Roman" w:cs="Times New Roman"/>
          <w:vertAlign w:val="superscript"/>
        </w:rPr>
        <w:t>3</w:t>
      </w:r>
      <w:r w:rsidRPr="0059711F">
        <w:rPr>
          <w:rFonts w:ascii="Times New Roman" w:hAnsi="Times New Roman" w:cs="Times New Roman"/>
        </w:rPr>
        <w:t>. Além disso, seu diagnóstico pode ser bastante confundido com obesidade, podendo ser concomitantes, mas diferenciam-se com base nas manifestações, como a forma de deposição dessa gordura, às dores, hematomas, inchaço, pele fria e alteração de textura da pele</w:t>
      </w:r>
      <w:r w:rsidRPr="0059711F">
        <w:rPr>
          <w:rFonts w:ascii="Times New Roman" w:hAnsi="Times New Roman" w:cs="Times New Roman"/>
          <w:vertAlign w:val="superscript"/>
        </w:rPr>
        <w:t>3,4</w:t>
      </w:r>
      <w:r w:rsidRPr="0059711F">
        <w:rPr>
          <w:rFonts w:ascii="Times New Roman" w:hAnsi="Times New Roman" w:cs="Times New Roman"/>
          <w:vertAlign w:val="subscript"/>
        </w:rPr>
        <w:t>.</w:t>
      </w:r>
    </w:p>
    <w:p w14:paraId="4F374DEA" w14:textId="4C3A6492" w:rsidR="0E1CE3A0" w:rsidRPr="0059711F" w:rsidRDefault="6E1C6AB6" w:rsidP="1EB41FCB">
      <w:pPr>
        <w:spacing w:line="480" w:lineRule="auto"/>
        <w:rPr>
          <w:rFonts w:ascii="Times New Roman" w:hAnsi="Times New Roman" w:cs="Times New Roman"/>
        </w:rPr>
      </w:pPr>
      <w:r w:rsidRPr="0059711F">
        <w:rPr>
          <w:rFonts w:ascii="Times New Roman" w:hAnsi="Times New Roman" w:cs="Times New Roman"/>
        </w:rPr>
        <w:t xml:space="preserve">No lipedema, observa-se uma desproporção entre tronco e membros inferiores, os quais apresentam formatos diferentes do restante do corpo, sendo uma das principais queixas das mulheres ao buscarem um diagnóstico e tratamento. É importante entender também que a doença </w:t>
      </w:r>
      <w:r w:rsidR="00512CA8" w:rsidRPr="0059711F">
        <w:rPr>
          <w:rFonts w:ascii="Times New Roman" w:hAnsi="Times New Roman" w:cs="Times New Roman"/>
        </w:rPr>
        <w:t xml:space="preserve">se </w:t>
      </w:r>
      <w:r w:rsidRPr="0059711F">
        <w:rPr>
          <w:rFonts w:ascii="Times New Roman" w:hAnsi="Times New Roman" w:cs="Times New Roman"/>
        </w:rPr>
        <w:t>caracteriza por cinco tipos diferentes e quatro estágios, o qual pode ser definido a depender do grau de inflamação, distribuição da gordura e gravidade da doença</w:t>
      </w:r>
      <w:r w:rsidRPr="0059711F">
        <w:rPr>
          <w:rFonts w:ascii="Times New Roman" w:hAnsi="Times New Roman" w:cs="Times New Roman"/>
          <w:vertAlign w:val="superscript"/>
        </w:rPr>
        <w:t>1,3,5</w:t>
      </w:r>
      <w:r w:rsidRPr="0059711F">
        <w:rPr>
          <w:rFonts w:ascii="Times New Roman" w:hAnsi="Times New Roman" w:cs="Times New Roman"/>
        </w:rPr>
        <w:t>.</w:t>
      </w:r>
    </w:p>
    <w:p w14:paraId="6360387F" w14:textId="58C24F39" w:rsidR="00FE0848" w:rsidRPr="0059711F" w:rsidRDefault="4FE06737" w:rsidP="1EB41FCB">
      <w:pPr>
        <w:spacing w:line="480" w:lineRule="auto"/>
        <w:rPr>
          <w:rFonts w:ascii="Times New Roman" w:hAnsi="Times New Roman" w:cs="Times New Roman"/>
        </w:rPr>
      </w:pPr>
      <w:r w:rsidRPr="0059711F">
        <w:rPr>
          <w:rFonts w:ascii="Times New Roman" w:hAnsi="Times New Roman" w:cs="Times New Roman"/>
        </w:rPr>
        <w:t>De acordo com Amato et al.</w:t>
      </w:r>
      <w:r w:rsidRPr="0059711F">
        <w:rPr>
          <w:rFonts w:ascii="Times New Roman" w:hAnsi="Times New Roman" w:cs="Times New Roman"/>
          <w:vertAlign w:val="superscript"/>
        </w:rPr>
        <w:t>2</w:t>
      </w:r>
      <w:r w:rsidR="00512CA8" w:rsidRPr="0059711F">
        <w:rPr>
          <w:rFonts w:ascii="Times New Roman" w:hAnsi="Times New Roman" w:cs="Times New Roman"/>
        </w:rPr>
        <w:t>, a prevalência de lipedema é de 12,3% nas mulheres brasileiras</w:t>
      </w:r>
      <w:r w:rsidRPr="0059711F">
        <w:rPr>
          <w:rFonts w:ascii="Times New Roman" w:hAnsi="Times New Roman" w:cs="Times New Roman"/>
        </w:rPr>
        <w:t xml:space="preserve">. </w:t>
      </w:r>
      <w:r w:rsidR="00EE3872" w:rsidRPr="0059711F">
        <w:rPr>
          <w:rFonts w:ascii="Times New Roman" w:hAnsi="Times New Roman" w:cs="Times New Roman"/>
        </w:rPr>
        <w:t>O diagnóstico tem sido baseado na análise de sinais e sintomas, história clínica, exames (como a ultrassonografia) e questionários</w:t>
      </w:r>
      <w:r w:rsidR="00EE3872" w:rsidRPr="0059711F">
        <w:rPr>
          <w:rFonts w:ascii="Times New Roman" w:hAnsi="Times New Roman" w:cs="Times New Roman"/>
          <w:vertAlign w:val="superscript"/>
        </w:rPr>
        <w:t>3</w:t>
      </w:r>
      <w:r w:rsidR="00EE3872" w:rsidRPr="0059711F">
        <w:rPr>
          <w:rFonts w:ascii="Times New Roman" w:hAnsi="Times New Roman" w:cs="Times New Roman"/>
        </w:rPr>
        <w:t xml:space="preserve">. </w:t>
      </w:r>
      <w:r w:rsidRPr="0059711F">
        <w:rPr>
          <w:rFonts w:ascii="Times New Roman" w:hAnsi="Times New Roman" w:cs="Times New Roman"/>
        </w:rPr>
        <w:t>Apesar de dados já existentes, os estudos sobre a doença ainda são escassos, demonstrando a necessidade de aprofundar diferentes estratégias para seu tratamento e diagnóstico. No entanto, algumas alternativas vêm apresentando eficiência no manejo dos sintomas, como a prática de atividade física, cirurgias de lipoaspiração, medicamentos, e, principalmente, o manejo nutricional</w:t>
      </w:r>
      <w:r w:rsidRPr="0059711F">
        <w:rPr>
          <w:rFonts w:ascii="Times New Roman" w:hAnsi="Times New Roman" w:cs="Times New Roman"/>
          <w:vertAlign w:val="superscript"/>
        </w:rPr>
        <w:t>1</w:t>
      </w:r>
      <w:r w:rsidRPr="0059711F">
        <w:rPr>
          <w:rFonts w:ascii="Times New Roman" w:hAnsi="Times New Roman" w:cs="Times New Roman"/>
        </w:rPr>
        <w:t>.  </w:t>
      </w:r>
    </w:p>
    <w:p w14:paraId="351566A7" w14:textId="77777777" w:rsidR="001A1D20" w:rsidRPr="0059711F" w:rsidRDefault="6E1C6AB6" w:rsidP="00512CA8">
      <w:pPr>
        <w:spacing w:line="480" w:lineRule="auto"/>
        <w:rPr>
          <w:rFonts w:ascii="Times New Roman" w:hAnsi="Times New Roman" w:cs="Times New Roman"/>
        </w:rPr>
      </w:pPr>
      <w:r w:rsidRPr="0059711F">
        <w:rPr>
          <w:rFonts w:ascii="Times New Roman" w:hAnsi="Times New Roman" w:cs="Times New Roman"/>
        </w:rPr>
        <w:t xml:space="preserve">O uso de terapias nutricionais no lipedema não consiste apenas na contagem de calorias para que aconteça uma redução do peso, mas, também, em uma dieta que reduza a inflamação, </w:t>
      </w:r>
      <w:r w:rsidRPr="0059711F">
        <w:rPr>
          <w:rFonts w:ascii="Times New Roman" w:hAnsi="Times New Roman" w:cs="Times New Roman"/>
        </w:rPr>
        <w:lastRenderedPageBreak/>
        <w:t>controle as dores, diminua a gordura localizada e que ajude na melhora de aspectos estéticos (ex.: pernas e região do quadril) e da qualidade de vida daquela mulher</w:t>
      </w:r>
      <w:r w:rsidRPr="0059711F">
        <w:rPr>
          <w:rFonts w:ascii="Times New Roman" w:hAnsi="Times New Roman" w:cs="Times New Roman"/>
          <w:vertAlign w:val="superscript"/>
        </w:rPr>
        <w:t>4,7</w:t>
      </w:r>
      <w:r w:rsidRPr="0059711F">
        <w:rPr>
          <w:rFonts w:ascii="Times New Roman" w:hAnsi="Times New Roman" w:cs="Times New Roman"/>
        </w:rPr>
        <w:t xml:space="preserve">. Nesse sentido, dietas convencionais </w:t>
      </w:r>
      <w:r w:rsidR="00512CA8" w:rsidRPr="0059711F">
        <w:rPr>
          <w:rFonts w:ascii="Times New Roman" w:hAnsi="Times New Roman" w:cs="Times New Roman"/>
        </w:rPr>
        <w:t>com a proposta de</w:t>
      </w:r>
      <w:r w:rsidRPr="0059711F">
        <w:rPr>
          <w:rFonts w:ascii="Times New Roman" w:hAnsi="Times New Roman" w:cs="Times New Roman"/>
        </w:rPr>
        <w:t xml:space="preserve"> restrição calórica têm demonstrado resultados pouco satisfatórios</w:t>
      </w:r>
      <w:r w:rsidRPr="0059711F">
        <w:rPr>
          <w:rFonts w:ascii="Times New Roman" w:hAnsi="Times New Roman" w:cs="Times New Roman"/>
          <w:vertAlign w:val="superscript"/>
        </w:rPr>
        <w:t>5</w:t>
      </w:r>
      <w:r w:rsidRPr="0059711F">
        <w:rPr>
          <w:rFonts w:ascii="Times New Roman" w:hAnsi="Times New Roman" w:cs="Times New Roman"/>
        </w:rPr>
        <w:t xml:space="preserve">, o que demanda novos estudos com diferentes estratégias no planejamento dietético, incluindo dietas com baixo consumo de carboidrato. </w:t>
      </w:r>
    </w:p>
    <w:p w14:paraId="08E8BF4E" w14:textId="091091C2" w:rsidR="00FE0848" w:rsidRPr="0059711F" w:rsidRDefault="00512CA8" w:rsidP="00512CA8">
      <w:pPr>
        <w:spacing w:line="480" w:lineRule="auto"/>
        <w:rPr>
          <w:rFonts w:ascii="Times New Roman" w:hAnsi="Times New Roman" w:cs="Times New Roman"/>
        </w:rPr>
      </w:pPr>
      <w:r w:rsidRPr="0059711F">
        <w:rPr>
          <w:rFonts w:ascii="Times New Roman" w:hAnsi="Times New Roman" w:cs="Times New Roman"/>
        </w:rPr>
        <w:t xml:space="preserve">Os estudos de Renzo et al. e Jeziorek et al. demonstram que dietas com baixo teor de carboidratos (30–50 g/dia) promovem redução de gordura corporal e melhora de sintomas associados ao lipedema. No estudo de Renzo et al., a dieta cetogênica também resultou em melhor textura da pele e possível redução da retenção de líquidos. Já Jeziorek et al. observaram, em mulheres com lipedema, diminuição da dor e melhora do aspecto dos membros </w:t>
      </w:r>
      <w:r w:rsidR="001A1D20" w:rsidRPr="0059711F">
        <w:rPr>
          <w:rFonts w:ascii="Times New Roman" w:hAnsi="Times New Roman" w:cs="Times New Roman"/>
        </w:rPr>
        <w:t>inferiores. Diante</w:t>
      </w:r>
      <w:r w:rsidR="4FE06737" w:rsidRPr="0059711F">
        <w:rPr>
          <w:rFonts w:ascii="Times New Roman" w:hAnsi="Times New Roman" w:cs="Times New Roman"/>
        </w:rPr>
        <w:t xml:space="preserve"> disso, </w:t>
      </w:r>
      <w:r w:rsidRPr="0059711F">
        <w:rPr>
          <w:rFonts w:ascii="Times New Roman" w:hAnsi="Times New Roman" w:cs="Times New Roman"/>
        </w:rPr>
        <w:t>o objetivo deste estudo foi revisar o efeito de dietas com baixo teor de carboidratos sobre parâmetros bioquímicos, antropométricos, álgicos e qualidade de vida de mulheres com lipedema.</w:t>
      </w:r>
    </w:p>
    <w:p w14:paraId="78C8C027" w14:textId="77777777" w:rsidR="00325CC9" w:rsidRPr="0059711F" w:rsidRDefault="00325CC9" w:rsidP="1EB41FCB">
      <w:pPr>
        <w:spacing w:line="480" w:lineRule="auto"/>
        <w:rPr>
          <w:rFonts w:ascii="Times New Roman" w:hAnsi="Times New Roman" w:cs="Times New Roman"/>
        </w:rPr>
      </w:pPr>
    </w:p>
    <w:p w14:paraId="04A51167" w14:textId="59A233C6" w:rsidR="00325CC9" w:rsidRPr="0059711F" w:rsidRDefault="1EB41FCB" w:rsidP="1EB41FCB">
      <w:pPr>
        <w:spacing w:line="480" w:lineRule="auto"/>
        <w:rPr>
          <w:rFonts w:ascii="Times New Roman" w:hAnsi="Times New Roman" w:cs="Times New Roman"/>
          <w:b/>
          <w:bCs/>
        </w:rPr>
      </w:pPr>
      <w:r w:rsidRPr="0059711F">
        <w:rPr>
          <w:rFonts w:ascii="Times New Roman" w:hAnsi="Times New Roman" w:cs="Times New Roman"/>
          <w:b/>
          <w:bCs/>
        </w:rPr>
        <w:t>Métodos</w:t>
      </w:r>
    </w:p>
    <w:p w14:paraId="0D3EBA08" w14:textId="1F3F14DB" w:rsidR="00325CC9" w:rsidRPr="0059711F" w:rsidRDefault="1EB41FCB" w:rsidP="1EB41FCB">
      <w:pPr>
        <w:spacing w:line="480" w:lineRule="auto"/>
        <w:rPr>
          <w:rFonts w:ascii="Times New Roman" w:hAnsi="Times New Roman" w:cs="Times New Roman"/>
        </w:rPr>
      </w:pPr>
      <w:r w:rsidRPr="0059711F">
        <w:rPr>
          <w:rFonts w:ascii="Times New Roman" w:hAnsi="Times New Roman" w:cs="Times New Roman"/>
        </w:rPr>
        <w:t xml:space="preserve">Essa pesquisa trata-se de uma revisão de literatura do tipo narrativa, com o tema </w:t>
      </w:r>
      <w:r w:rsidR="00B46BA5" w:rsidRPr="0059711F">
        <w:rPr>
          <w:rFonts w:ascii="Times New Roman" w:hAnsi="Times New Roman" w:cs="Times New Roman"/>
        </w:rPr>
        <w:t>e</w:t>
      </w:r>
      <w:r w:rsidRPr="0059711F">
        <w:rPr>
          <w:rFonts w:ascii="Times New Roman" w:hAnsi="Times New Roman" w:cs="Times New Roman"/>
        </w:rPr>
        <w:t>feito de dietas de baixo teor de carboidratos no tratamento de mulheres com lipedema</w:t>
      </w:r>
      <w:r w:rsidR="00B46BA5" w:rsidRPr="0059711F">
        <w:rPr>
          <w:rFonts w:ascii="Times New Roman" w:hAnsi="Times New Roman" w:cs="Times New Roman"/>
        </w:rPr>
        <w:t xml:space="preserve"> (Figura 1).</w:t>
      </w:r>
    </w:p>
    <w:p w14:paraId="3A7380B3" w14:textId="0ED641C9" w:rsidR="00325CC9" w:rsidRPr="0059711F" w:rsidRDefault="6E1C6AB6" w:rsidP="6E1C6AB6">
      <w:pPr>
        <w:spacing w:line="480" w:lineRule="auto"/>
        <w:rPr>
          <w:rFonts w:ascii="Times New Roman" w:hAnsi="Times New Roman" w:cs="Times New Roman"/>
        </w:rPr>
      </w:pPr>
      <w:r w:rsidRPr="0059711F">
        <w:rPr>
          <w:rFonts w:ascii="Times New Roman" w:hAnsi="Times New Roman" w:cs="Times New Roman"/>
        </w:rPr>
        <w:t>A seleção das publicações</w:t>
      </w:r>
      <w:r w:rsidR="001A1D20" w:rsidRPr="0059711F">
        <w:rPr>
          <w:rFonts w:ascii="Times New Roman" w:hAnsi="Times New Roman" w:cs="Times New Roman"/>
        </w:rPr>
        <w:t xml:space="preserve"> foi </w:t>
      </w:r>
      <w:r w:rsidRPr="0059711F">
        <w:rPr>
          <w:rFonts w:ascii="Times New Roman" w:hAnsi="Times New Roman" w:cs="Times New Roman"/>
        </w:rPr>
        <w:t>dos últimos 10 anos (2015 a 2025), nos idiomas inglês e  português, por meio das bases de dados</w:t>
      </w:r>
      <w:r w:rsidRPr="0059711F">
        <w:rPr>
          <w:rFonts w:ascii="Times New Roman" w:hAnsi="Times New Roman" w:cs="Times New Roman"/>
          <w:i/>
          <w:iCs/>
        </w:rPr>
        <w:t xml:space="preserve"> PubMed e Scientific Eletronic Library Online (SciELO)</w:t>
      </w:r>
      <w:r w:rsidRPr="0059711F">
        <w:rPr>
          <w:rFonts w:ascii="Times New Roman" w:hAnsi="Times New Roman" w:cs="Times New Roman"/>
        </w:rPr>
        <w:t>, com uma leitura prévia do tema, tipo do estudo e, em sequência, leitura do artigo, durante o período de março a novembro de 2025. Os descritores utilizados foram “lipedema”, “low carbohydrate diet”, “diet and lipedema”, “diet treatment and lipedema”, com operadores AND em diferentes combinações. </w:t>
      </w:r>
    </w:p>
    <w:p w14:paraId="231E0C27" w14:textId="0CCC5A37" w:rsidR="001A2928" w:rsidRPr="0059711F" w:rsidRDefault="001A1D20" w:rsidP="76CEB96F">
      <w:pPr>
        <w:spacing w:line="480" w:lineRule="auto"/>
        <w:rPr>
          <w:rFonts w:ascii="Times New Roman" w:hAnsi="Times New Roman" w:cs="Times New Roman"/>
        </w:rPr>
      </w:pPr>
      <w:r w:rsidRPr="0059711F">
        <w:rPr>
          <w:rFonts w:ascii="Times New Roman" w:hAnsi="Times New Roman" w:cs="Times New Roman"/>
        </w:rPr>
        <w:t>Foram utilizados</w:t>
      </w:r>
      <w:r w:rsidR="76CEB96F" w:rsidRPr="0059711F">
        <w:rPr>
          <w:rFonts w:ascii="Times New Roman" w:hAnsi="Times New Roman" w:cs="Times New Roman"/>
        </w:rPr>
        <w:t xml:space="preserve"> como critério de exclusão artigos de revisões bibliográficas, livros, teses, dissertações, trabalhos de conclusão de curso</w:t>
      </w:r>
      <w:r w:rsidRPr="0059711F">
        <w:rPr>
          <w:rFonts w:ascii="Times New Roman" w:hAnsi="Times New Roman" w:cs="Times New Roman"/>
        </w:rPr>
        <w:t xml:space="preserve"> </w:t>
      </w:r>
      <w:r w:rsidR="76CEB96F" w:rsidRPr="0059711F">
        <w:rPr>
          <w:rFonts w:ascii="Times New Roman" w:hAnsi="Times New Roman" w:cs="Times New Roman"/>
        </w:rPr>
        <w:t xml:space="preserve">e artigos que não tenha relação com o assunto a </w:t>
      </w:r>
      <w:r w:rsidR="76CEB96F" w:rsidRPr="0059711F">
        <w:rPr>
          <w:rFonts w:ascii="Times New Roman" w:hAnsi="Times New Roman" w:cs="Times New Roman"/>
        </w:rPr>
        <w:lastRenderedPageBreak/>
        <w:t>ser discutido (ex.: tratamento cirúrgico, achados de ressonância magnética e ultrassonografia, ausência de quantificação de carboidratos na dieta, suplementação no lipedema, noções mecanicistas,  fisioterapia, exercício físico, diagnóstico, fatores psicológico</w:t>
      </w:r>
      <w:r w:rsidR="00A90F96" w:rsidRPr="0059711F">
        <w:rPr>
          <w:rFonts w:ascii="Times New Roman" w:hAnsi="Times New Roman" w:cs="Times New Roman"/>
        </w:rPr>
        <w:t>s</w:t>
      </w:r>
      <w:r w:rsidR="76CEB96F" w:rsidRPr="0059711F">
        <w:rPr>
          <w:rFonts w:ascii="Times New Roman" w:hAnsi="Times New Roman" w:cs="Times New Roman"/>
        </w:rPr>
        <w:t>, alterações comportamentais, associação com TDAH e complicações patológica).</w:t>
      </w:r>
    </w:p>
    <w:p w14:paraId="6725748B" w14:textId="580DE7C9" w:rsidR="001A2928" w:rsidRPr="0059711F" w:rsidRDefault="001A2928" w:rsidP="76CEB96F">
      <w:pPr>
        <w:spacing w:line="480" w:lineRule="auto"/>
        <w:rPr>
          <w:noProof/>
          <w:lang w:eastAsia="pt-BR"/>
        </w:rPr>
      </w:pPr>
      <w:r w:rsidRPr="0059711F">
        <w:rPr>
          <w:noProof/>
          <w:lang w:eastAsia="pt-BR"/>
          <w14:ligatures w14:val="standardContextual"/>
        </w:rPr>
        <w:drawing>
          <wp:inline distT="0" distB="0" distL="0" distR="0" wp14:anchorId="2881E7D5" wp14:editId="63E868D0">
            <wp:extent cx="5759450" cy="2303780"/>
            <wp:effectExtent l="0" t="0" r="0" b="1270"/>
            <wp:docPr id="1009719645" name="Imagem 1" descr="Diagrama, Esquemáti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19645" name="Imagem 1" descr="Diagrama, Esquemático&#10;&#10;O conteúdo gerado por IA pode estar incorreto."/>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59450" cy="2303780"/>
                    </a:xfrm>
                    <a:prstGeom prst="rect">
                      <a:avLst/>
                    </a:prstGeom>
                  </pic:spPr>
                </pic:pic>
              </a:graphicData>
            </a:graphic>
          </wp:inline>
        </w:drawing>
      </w:r>
    </w:p>
    <w:p w14:paraId="7B34AEC3" w14:textId="15764550" w:rsidR="00B37B13" w:rsidRPr="0059711F" w:rsidRDefault="76CEB96F" w:rsidP="76CEB96F">
      <w:pPr>
        <w:spacing w:line="480" w:lineRule="auto"/>
        <w:rPr>
          <w:rFonts w:ascii="Times New Roman" w:hAnsi="Times New Roman" w:cs="Times New Roman"/>
        </w:rPr>
      </w:pPr>
      <w:r w:rsidRPr="0059711F">
        <w:rPr>
          <w:rFonts w:ascii="Times New Roman" w:eastAsia="Times New Roman" w:hAnsi="Times New Roman" w:cs="Times New Roman"/>
          <w:b/>
          <w:bCs/>
        </w:rPr>
        <w:t>Figura 1.</w:t>
      </w:r>
      <w:r w:rsidRPr="0059711F">
        <w:rPr>
          <w:rFonts w:ascii="Times New Roman" w:eastAsia="Times New Roman" w:hAnsi="Times New Roman" w:cs="Times New Roman"/>
        </w:rPr>
        <w:t xml:space="preserve"> </w:t>
      </w:r>
      <w:commentRangeStart w:id="0"/>
      <w:r w:rsidRPr="0059711F">
        <w:rPr>
          <w:rFonts w:ascii="Times New Roman" w:eastAsia="Times New Roman" w:hAnsi="Times New Roman" w:cs="Times New Roman"/>
        </w:rPr>
        <w:t>Fluxograma do método de busca dos estudos</w:t>
      </w:r>
      <w:commentRangeEnd w:id="0"/>
      <w:r w:rsidR="00A90F96" w:rsidRPr="0059711F">
        <w:rPr>
          <w:rStyle w:val="Refdecomentrio"/>
          <w:rFonts w:ascii="Times New Roman" w:eastAsia="Times New Roman" w:hAnsi="Times New Roman" w:cs="Times New Roman"/>
          <w:sz w:val="24"/>
          <w:szCs w:val="24"/>
        </w:rPr>
        <w:commentReference w:id="0"/>
      </w:r>
      <w:r w:rsidR="001A2928" w:rsidRPr="0059711F">
        <w:rPr>
          <w:rFonts w:ascii="Times New Roman" w:eastAsia="Times New Roman" w:hAnsi="Times New Roman" w:cs="Times New Roman"/>
        </w:rPr>
        <w:t>.</w:t>
      </w:r>
    </w:p>
    <w:p w14:paraId="269A7D9D" w14:textId="188C2416" w:rsidR="76CEB96F" w:rsidRPr="0059711F" w:rsidRDefault="76CEB96F" w:rsidP="76CEB96F">
      <w:pPr>
        <w:spacing w:line="480" w:lineRule="auto"/>
        <w:rPr>
          <w:rFonts w:ascii="Times New Roman" w:eastAsia="Times New Roman" w:hAnsi="Times New Roman" w:cs="Times New Roman"/>
        </w:rPr>
      </w:pPr>
    </w:p>
    <w:p w14:paraId="0EF6FB5B" w14:textId="3DFAC927" w:rsidR="0E1CE3A0" w:rsidRPr="0059711F" w:rsidRDefault="4FE06737" w:rsidP="0C2A937A">
      <w:pPr>
        <w:spacing w:line="480" w:lineRule="auto"/>
        <w:rPr>
          <w:rFonts w:ascii="Times New Roman" w:hAnsi="Times New Roman" w:cs="Times New Roman"/>
          <w:b/>
          <w:bCs/>
        </w:rPr>
      </w:pPr>
      <w:r w:rsidRPr="0059711F">
        <w:rPr>
          <w:rFonts w:ascii="Times New Roman" w:hAnsi="Times New Roman" w:cs="Times New Roman"/>
          <w:b/>
          <w:bCs/>
        </w:rPr>
        <w:t>Resultados</w:t>
      </w:r>
    </w:p>
    <w:p w14:paraId="32F3DAFB" w14:textId="3F6FB5EC" w:rsidR="0E1CE3A0" w:rsidRPr="0059711F" w:rsidRDefault="4FE06737" w:rsidP="1EB41FCB">
      <w:pPr>
        <w:spacing w:line="480" w:lineRule="auto"/>
        <w:rPr>
          <w:rFonts w:ascii="Times New Roman" w:eastAsia="Times New Roman" w:hAnsi="Times New Roman" w:cs="Times New Roman"/>
        </w:rPr>
      </w:pPr>
      <w:r w:rsidRPr="0059711F">
        <w:rPr>
          <w:rFonts w:ascii="Times New Roman" w:eastAsia="Times New Roman" w:hAnsi="Times New Roman" w:cs="Times New Roman"/>
        </w:rPr>
        <w:t xml:space="preserve">Os </w:t>
      </w:r>
      <w:commentRangeStart w:id="1"/>
      <w:r w:rsidRPr="0059711F">
        <w:rPr>
          <w:rFonts w:ascii="Times New Roman" w:eastAsia="Times New Roman" w:hAnsi="Times New Roman" w:cs="Times New Roman"/>
        </w:rPr>
        <w:t>estudos analisados</w:t>
      </w:r>
      <w:r w:rsidR="00476EA9" w:rsidRPr="0059711F">
        <w:rPr>
          <w:rFonts w:ascii="Times New Roman" w:eastAsia="Times New Roman" w:hAnsi="Times New Roman" w:cs="Times New Roman"/>
        </w:rPr>
        <w:t xml:space="preserve"> (n=11)</w:t>
      </w:r>
      <w:r w:rsidR="00A90F96" w:rsidRPr="0059711F">
        <w:rPr>
          <w:rFonts w:ascii="Times New Roman" w:eastAsia="Times New Roman" w:hAnsi="Times New Roman" w:cs="Times New Roman"/>
        </w:rPr>
        <w:t xml:space="preserve"> </w:t>
      </w:r>
      <w:commentRangeEnd w:id="1"/>
      <w:r w:rsidR="00A90F96" w:rsidRPr="0059711F">
        <w:rPr>
          <w:rStyle w:val="Refdecomentrio"/>
          <w:rFonts w:ascii="Times New Roman" w:eastAsia="Times New Roman" w:hAnsi="Times New Roman" w:cs="Times New Roman"/>
          <w:sz w:val="24"/>
          <w:szCs w:val="24"/>
        </w:rPr>
        <w:commentReference w:id="1"/>
      </w:r>
      <w:r w:rsidRPr="0059711F">
        <w:rPr>
          <w:rFonts w:ascii="Times New Roman" w:eastAsia="Times New Roman" w:hAnsi="Times New Roman" w:cs="Times New Roman"/>
        </w:rPr>
        <w:t>basearam-se em ensaios clínicos</w:t>
      </w:r>
      <w:r w:rsidR="0066530B" w:rsidRPr="0059711F">
        <w:rPr>
          <w:rFonts w:ascii="Times New Roman" w:eastAsia="Times New Roman" w:hAnsi="Times New Roman" w:cs="Times New Roman"/>
        </w:rPr>
        <w:t xml:space="preserve"> (n=5)</w:t>
      </w:r>
      <w:r w:rsidRPr="0059711F">
        <w:rPr>
          <w:rFonts w:ascii="Times New Roman" w:eastAsia="Times New Roman" w:hAnsi="Times New Roman" w:cs="Times New Roman"/>
        </w:rPr>
        <w:t xml:space="preserve">, </w:t>
      </w:r>
      <w:r w:rsidR="0066530B" w:rsidRPr="0059711F">
        <w:rPr>
          <w:rFonts w:ascii="Times New Roman" w:eastAsia="Times New Roman" w:hAnsi="Times New Roman" w:cs="Times New Roman"/>
        </w:rPr>
        <w:t xml:space="preserve">estudos prospectivos intervencionistas (n=2), </w:t>
      </w:r>
      <w:r w:rsidRPr="0059711F">
        <w:rPr>
          <w:rFonts w:ascii="Times New Roman" w:eastAsia="Times New Roman" w:hAnsi="Times New Roman" w:cs="Times New Roman"/>
        </w:rPr>
        <w:t>pesquisas caso-controle</w:t>
      </w:r>
      <w:r w:rsidR="0066530B" w:rsidRPr="0059711F">
        <w:rPr>
          <w:rFonts w:ascii="Times New Roman" w:eastAsia="Times New Roman" w:hAnsi="Times New Roman" w:cs="Times New Roman"/>
        </w:rPr>
        <w:t xml:space="preserve"> (n=1)</w:t>
      </w:r>
      <w:r w:rsidRPr="0059711F">
        <w:rPr>
          <w:rFonts w:ascii="Times New Roman" w:eastAsia="Times New Roman" w:hAnsi="Times New Roman" w:cs="Times New Roman"/>
        </w:rPr>
        <w:t>, estudos piloto</w:t>
      </w:r>
      <w:r w:rsidR="0066530B" w:rsidRPr="0059711F">
        <w:rPr>
          <w:rFonts w:ascii="Times New Roman" w:eastAsia="Times New Roman" w:hAnsi="Times New Roman" w:cs="Times New Roman"/>
        </w:rPr>
        <w:t xml:space="preserve"> (n=1)</w:t>
      </w:r>
      <w:r w:rsidRPr="0059711F">
        <w:rPr>
          <w:rFonts w:ascii="Times New Roman" w:eastAsia="Times New Roman" w:hAnsi="Times New Roman" w:cs="Times New Roman"/>
        </w:rPr>
        <w:t xml:space="preserve"> e relato</w:t>
      </w:r>
      <w:r w:rsidR="0066530B" w:rsidRPr="0059711F">
        <w:rPr>
          <w:rFonts w:ascii="Times New Roman" w:eastAsia="Times New Roman" w:hAnsi="Times New Roman" w:cs="Times New Roman"/>
        </w:rPr>
        <w:t>s</w:t>
      </w:r>
      <w:r w:rsidRPr="0059711F">
        <w:rPr>
          <w:rFonts w:ascii="Times New Roman" w:eastAsia="Times New Roman" w:hAnsi="Times New Roman" w:cs="Times New Roman"/>
        </w:rPr>
        <w:t xml:space="preserve"> de caso</w:t>
      </w:r>
      <w:r w:rsidR="0066530B" w:rsidRPr="0059711F">
        <w:rPr>
          <w:rFonts w:ascii="Times New Roman" w:eastAsia="Times New Roman" w:hAnsi="Times New Roman" w:cs="Times New Roman"/>
        </w:rPr>
        <w:t xml:space="preserve"> (n=1)</w:t>
      </w:r>
      <w:r w:rsidRPr="0059711F">
        <w:rPr>
          <w:rFonts w:ascii="Times New Roman" w:eastAsia="Times New Roman" w:hAnsi="Times New Roman" w:cs="Times New Roman"/>
        </w:rPr>
        <w:t xml:space="preserve">, conduzidos em países como Noruega, Polônia e Itália (Roma), conforme descrito na Tabela 1. A amostra total foi composta por 612 participantes, com idades variando entre 18 e 76 anos, sendo o público majoritariamente feminino. </w:t>
      </w:r>
    </w:p>
    <w:p w14:paraId="22F36070" w14:textId="7704D100" w:rsidR="0E1CE3A0" w:rsidRPr="0059711F" w:rsidRDefault="4FE06737" w:rsidP="4FE06737">
      <w:pPr>
        <w:spacing w:line="480" w:lineRule="auto"/>
        <w:rPr>
          <w:rFonts w:ascii="Times New Roman" w:eastAsia="Times New Roman" w:hAnsi="Times New Roman" w:cs="Times New Roman"/>
        </w:rPr>
      </w:pPr>
      <w:r w:rsidRPr="0059711F">
        <w:rPr>
          <w:rFonts w:ascii="Times New Roman" w:eastAsia="Times New Roman" w:hAnsi="Times New Roman" w:cs="Times New Roman"/>
        </w:rPr>
        <w:t>Para tanto, a distribuição de carboidratos variou entre 2</w:t>
      </w:r>
      <w:r w:rsidR="008A56BC" w:rsidRPr="0059711F">
        <w:rPr>
          <w:rFonts w:ascii="Times New Roman" w:eastAsia="Times New Roman" w:hAnsi="Times New Roman" w:cs="Times New Roman"/>
        </w:rPr>
        <w:t>5</w:t>
      </w:r>
      <w:r w:rsidRPr="0059711F">
        <w:rPr>
          <w:rFonts w:ascii="Times New Roman" w:eastAsia="Times New Roman" w:hAnsi="Times New Roman" w:cs="Times New Roman"/>
        </w:rPr>
        <w:t xml:space="preserve"> g/dia e 75 g/dia, ou até 10% do valor energético total (VET) para dietas consideradas de baixo carboidrato. O período de intervenção variou de 8 semanas a 7 meses, exceto um estudo cuja duração foi de 22 meses.</w:t>
      </w:r>
    </w:p>
    <w:p w14:paraId="2060522D" w14:textId="15A855B2" w:rsidR="0E1CE3A0" w:rsidRPr="0059711F" w:rsidRDefault="6E1C6AB6" w:rsidP="008A56BC">
      <w:pPr>
        <w:spacing w:line="480" w:lineRule="auto"/>
        <w:rPr>
          <w:rFonts w:ascii="Times New Roman" w:eastAsia="Times New Roman" w:hAnsi="Times New Roman" w:cs="Times New Roman"/>
        </w:rPr>
      </w:pPr>
      <w:r w:rsidRPr="0059711F">
        <w:rPr>
          <w:rFonts w:ascii="Times New Roman" w:eastAsia="Times New Roman" w:hAnsi="Times New Roman" w:cs="Times New Roman"/>
        </w:rPr>
        <w:t xml:space="preserve">Em todos os estudos </w:t>
      </w:r>
      <w:r w:rsidR="008A56BC" w:rsidRPr="0059711F">
        <w:rPr>
          <w:rFonts w:ascii="Times New Roman" w:eastAsia="Times New Roman" w:hAnsi="Times New Roman" w:cs="Times New Roman"/>
        </w:rPr>
        <w:t>analisados</w:t>
      </w:r>
      <w:r w:rsidRPr="0059711F">
        <w:rPr>
          <w:rFonts w:ascii="Times New Roman" w:eastAsia="Times New Roman" w:hAnsi="Times New Roman" w:cs="Times New Roman"/>
        </w:rPr>
        <w:t xml:space="preserve"> verificou-se redução do peso corporal, tanto nas dietas com baixo teor de carboidratos, quanto nas dietas controle com restrição calórica diária, com exceção de um estudo que avaliou exclusivamente marcadores bioquímicos</w:t>
      </w:r>
      <w:r w:rsidRPr="0059711F">
        <w:rPr>
          <w:rFonts w:ascii="Times New Roman" w:eastAsia="Times New Roman" w:hAnsi="Times New Roman" w:cs="Times New Roman"/>
          <w:vertAlign w:val="superscript"/>
        </w:rPr>
        <w:t>6</w:t>
      </w:r>
      <w:r w:rsidRPr="0059711F">
        <w:rPr>
          <w:rFonts w:ascii="Times New Roman" w:eastAsia="Times New Roman" w:hAnsi="Times New Roman" w:cs="Times New Roman"/>
        </w:rPr>
        <w:t xml:space="preserve">. A </w:t>
      </w:r>
      <w:r w:rsidRPr="0059711F">
        <w:rPr>
          <w:rFonts w:ascii="Times New Roman" w:eastAsia="Times New Roman" w:hAnsi="Times New Roman" w:cs="Times New Roman"/>
        </w:rPr>
        <w:lastRenderedPageBreak/>
        <w:t xml:space="preserve">implementação da dieta </w:t>
      </w:r>
      <w:r w:rsidR="008A56BC" w:rsidRPr="0059711F">
        <w:rPr>
          <w:rFonts w:ascii="Times New Roman" w:eastAsia="Times New Roman" w:hAnsi="Times New Roman" w:cs="Times New Roman"/>
        </w:rPr>
        <w:t>com baixo teor de carboidratos e rica em gordura</w:t>
      </w:r>
      <w:r w:rsidRPr="0059711F">
        <w:rPr>
          <w:rFonts w:ascii="Times New Roman" w:eastAsia="Times New Roman" w:hAnsi="Times New Roman" w:cs="Times New Roman"/>
        </w:rPr>
        <w:t xml:space="preserve"> (LCHF) demonstrou efeitos benéficos na redução da dor e do peso corporal</w:t>
      </w:r>
      <w:r w:rsidRPr="0059711F">
        <w:rPr>
          <w:rFonts w:ascii="Times New Roman" w:eastAsia="Times New Roman" w:hAnsi="Times New Roman" w:cs="Times New Roman"/>
          <w:vertAlign w:val="superscript"/>
        </w:rPr>
        <w:t>8-10</w:t>
      </w:r>
      <w:r w:rsidRPr="0059711F">
        <w:rPr>
          <w:rFonts w:ascii="Times New Roman" w:eastAsia="Times New Roman" w:hAnsi="Times New Roman" w:cs="Times New Roman"/>
        </w:rPr>
        <w:t>.</w:t>
      </w:r>
    </w:p>
    <w:p w14:paraId="571B36E9" w14:textId="6E2CEA20" w:rsidR="0E1CE3A0" w:rsidRPr="0059711F" w:rsidRDefault="6E1C6AB6" w:rsidP="1EB41FCB">
      <w:pPr>
        <w:spacing w:line="480" w:lineRule="auto"/>
        <w:rPr>
          <w:rFonts w:ascii="Times New Roman" w:eastAsia="Times New Roman" w:hAnsi="Times New Roman" w:cs="Times New Roman"/>
        </w:rPr>
      </w:pPr>
      <w:r w:rsidRPr="0059711F">
        <w:rPr>
          <w:rFonts w:ascii="Times New Roman" w:eastAsia="Times New Roman" w:hAnsi="Times New Roman" w:cs="Times New Roman"/>
        </w:rPr>
        <w:t>Quanto às alterações antropométricas, constatou-se redução das circunferências da cintura, panturrilha, quadris, tornozelos e coxas</w:t>
      </w:r>
      <w:r w:rsidRPr="0059711F">
        <w:rPr>
          <w:rFonts w:ascii="Times New Roman" w:eastAsia="Times New Roman" w:hAnsi="Times New Roman" w:cs="Times New Roman"/>
          <w:vertAlign w:val="superscript"/>
        </w:rPr>
        <w:t>6</w:t>
      </w:r>
      <w:r w:rsidR="00E309FD" w:rsidRPr="0059711F">
        <w:rPr>
          <w:rFonts w:ascii="Times New Roman" w:eastAsia="Times New Roman" w:hAnsi="Times New Roman" w:cs="Times New Roman"/>
          <w:vertAlign w:val="superscript"/>
        </w:rPr>
        <w:t>-</w:t>
      </w:r>
      <w:r w:rsidRPr="0059711F">
        <w:rPr>
          <w:rFonts w:ascii="Times New Roman" w:eastAsia="Times New Roman" w:hAnsi="Times New Roman" w:cs="Times New Roman"/>
          <w:vertAlign w:val="superscript"/>
        </w:rPr>
        <w:t>8,10</w:t>
      </w:r>
      <w:r w:rsidRPr="0059711F">
        <w:rPr>
          <w:rFonts w:ascii="Times New Roman" w:eastAsia="Times New Roman" w:hAnsi="Times New Roman" w:cs="Times New Roman"/>
        </w:rPr>
        <w:t>, além de redução significativa do índice de massa corporal (IMC) e do peso corporal total</w:t>
      </w:r>
      <w:r w:rsidRPr="0059711F">
        <w:rPr>
          <w:rFonts w:ascii="Times New Roman" w:eastAsia="Times New Roman" w:hAnsi="Times New Roman" w:cs="Times New Roman"/>
          <w:vertAlign w:val="superscript"/>
        </w:rPr>
        <w:t>7,8,10</w:t>
      </w:r>
      <w:r w:rsidRPr="0059711F">
        <w:rPr>
          <w:rFonts w:ascii="Times New Roman" w:eastAsia="Times New Roman" w:hAnsi="Times New Roman" w:cs="Times New Roman"/>
        </w:rPr>
        <w:t>. Apenas no relato de caso foram coletadas circunferências específicas, como de braço, antebraço e joelho, por serem áreas também acometidas pelo lipedema na participante, nas quais igualmente se observou redução ao longo do acompanhamento</w:t>
      </w:r>
      <w:r w:rsidRPr="0059711F">
        <w:rPr>
          <w:rFonts w:ascii="Times New Roman" w:eastAsia="Times New Roman" w:hAnsi="Times New Roman" w:cs="Times New Roman"/>
          <w:vertAlign w:val="superscript"/>
        </w:rPr>
        <w:t>10</w:t>
      </w:r>
      <w:r w:rsidRPr="0059711F">
        <w:rPr>
          <w:rFonts w:ascii="Times New Roman" w:eastAsia="Times New Roman" w:hAnsi="Times New Roman" w:cs="Times New Roman"/>
        </w:rPr>
        <w:t>.</w:t>
      </w:r>
      <w:r w:rsidR="4FE06737" w:rsidRPr="0059711F">
        <w:br/>
      </w:r>
      <w:r w:rsidRPr="0059711F">
        <w:rPr>
          <w:rFonts w:ascii="Times New Roman" w:eastAsia="Times New Roman" w:hAnsi="Times New Roman" w:cs="Times New Roman"/>
        </w:rPr>
        <w:t>No que tange à dor, sintoma característico do lipedema, a adoção de dietas com restrição de carboidratos resultou em melhora significativa do quadro álgico</w:t>
      </w:r>
      <w:r w:rsidRPr="0059711F">
        <w:rPr>
          <w:rFonts w:ascii="Times New Roman" w:eastAsia="Times New Roman" w:hAnsi="Times New Roman" w:cs="Times New Roman"/>
          <w:vertAlign w:val="superscript"/>
        </w:rPr>
        <w:t>6,7,9,11</w:t>
      </w:r>
      <w:r w:rsidRPr="0059711F">
        <w:rPr>
          <w:rFonts w:ascii="Times New Roman" w:eastAsia="Times New Roman" w:hAnsi="Times New Roman" w:cs="Times New Roman"/>
        </w:rPr>
        <w:t>. Outro achado relevante foi a melhora na qualidade de vida, observada a partir de avanços nos parâmetros de aparência física, proporção dos membros inferiores e mobilidade</w:t>
      </w:r>
      <w:r w:rsidRPr="0059711F">
        <w:rPr>
          <w:rFonts w:ascii="Times New Roman" w:eastAsia="Times New Roman" w:hAnsi="Times New Roman" w:cs="Times New Roman"/>
          <w:vertAlign w:val="superscript"/>
        </w:rPr>
        <w:t>5-7,9,10</w:t>
      </w:r>
      <w:r w:rsidRPr="0059711F">
        <w:rPr>
          <w:rFonts w:ascii="Times New Roman" w:eastAsia="Times New Roman" w:hAnsi="Times New Roman" w:cs="Times New Roman"/>
        </w:rPr>
        <w:t>.</w:t>
      </w:r>
    </w:p>
    <w:p w14:paraId="45D97741" w14:textId="7785D88B" w:rsidR="0E1CE3A0" w:rsidRPr="0059711F" w:rsidRDefault="1EB41FCB" w:rsidP="1EB41FCB">
      <w:pPr>
        <w:spacing w:line="480" w:lineRule="auto"/>
        <w:rPr>
          <w:rFonts w:ascii="Times New Roman" w:eastAsia="Times New Roman" w:hAnsi="Times New Roman" w:cs="Times New Roman"/>
        </w:rPr>
      </w:pPr>
      <w:r w:rsidRPr="0059711F">
        <w:rPr>
          <w:rFonts w:ascii="Times New Roman" w:eastAsia="Times New Roman" w:hAnsi="Times New Roman" w:cs="Times New Roman"/>
        </w:rPr>
        <w:t>A associação entre terapias estéticas e dietas de baixo consumo de carboidratos foi investigada com o intuito de otimizar o tratamento do lipedema. Observou-se melhora na qualidade do sono e efeitos positivos na textura cutânea quando associada à carboxiterapia</w:t>
      </w:r>
      <w:r w:rsidRPr="0059711F">
        <w:rPr>
          <w:rFonts w:ascii="Times New Roman" w:eastAsia="Times New Roman" w:hAnsi="Times New Roman" w:cs="Times New Roman"/>
          <w:vertAlign w:val="superscript"/>
        </w:rPr>
        <w:t>5</w:t>
      </w:r>
      <w:r w:rsidRPr="0059711F">
        <w:rPr>
          <w:rFonts w:ascii="Times New Roman" w:eastAsia="Times New Roman" w:hAnsi="Times New Roman" w:cs="Times New Roman"/>
        </w:rPr>
        <w:t>. Contudo, destaca-se a necessidade de mais estudos que investiguem o manejo integrado entre dieta e terapias invasivas ou não invasivas.</w:t>
      </w:r>
    </w:p>
    <w:p w14:paraId="4495A81A" w14:textId="379CE13B" w:rsidR="0E1CE3A0" w:rsidRPr="0059711F" w:rsidRDefault="4FE06737" w:rsidP="1EB41FCB">
      <w:pPr>
        <w:spacing w:line="480" w:lineRule="auto"/>
        <w:rPr>
          <w:rFonts w:ascii="Times New Roman" w:eastAsia="Times New Roman" w:hAnsi="Times New Roman" w:cs="Times New Roman"/>
        </w:rPr>
      </w:pPr>
      <w:r w:rsidRPr="0059711F">
        <w:rPr>
          <w:rFonts w:ascii="Times New Roman" w:eastAsia="Times New Roman" w:hAnsi="Times New Roman" w:cs="Times New Roman"/>
        </w:rPr>
        <w:t>No tocante à avaliação de parâmetros laboratoriais, os estudos que examinaram o perfil bioquímico de pacientes com lipedema submetidas à dieta LCHF com restrição calórica relataram redução significativa dos níveis de triglicerídeos</w:t>
      </w:r>
      <w:r w:rsidRPr="0059711F">
        <w:rPr>
          <w:rFonts w:ascii="Times New Roman" w:eastAsia="Times New Roman" w:hAnsi="Times New Roman" w:cs="Times New Roman"/>
          <w:vertAlign w:val="superscript"/>
        </w:rPr>
        <w:t>6,7</w:t>
      </w:r>
      <w:r w:rsidRPr="0059711F">
        <w:rPr>
          <w:rFonts w:ascii="Times New Roman" w:eastAsia="Times New Roman" w:hAnsi="Times New Roman" w:cs="Times New Roman"/>
        </w:rPr>
        <w:t xml:space="preserve">. Ao analisar marcadores inflamatórios, como a proteína C reativa ultrassensível (PCR-us), </w:t>
      </w:r>
      <w:r w:rsidR="008A56BC" w:rsidRPr="0059711F">
        <w:rPr>
          <w:rFonts w:ascii="Times New Roman" w:eastAsia="Times New Roman" w:hAnsi="Times New Roman" w:cs="Times New Roman"/>
        </w:rPr>
        <w:t>proteína quimiotáxica de monócitos (</w:t>
      </w:r>
      <w:r w:rsidRPr="0059711F">
        <w:rPr>
          <w:rFonts w:ascii="Times New Roman" w:eastAsia="Times New Roman" w:hAnsi="Times New Roman" w:cs="Times New Roman"/>
        </w:rPr>
        <w:t>MIP</w:t>
      </w:r>
      <w:r w:rsidR="008A56BC" w:rsidRPr="0059711F">
        <w:rPr>
          <w:rFonts w:ascii="Times New Roman" w:eastAsia="Times New Roman" w:hAnsi="Times New Roman" w:cs="Times New Roman"/>
        </w:rPr>
        <w:t>)</w:t>
      </w:r>
      <w:r w:rsidRPr="0059711F">
        <w:rPr>
          <w:rFonts w:ascii="Times New Roman" w:eastAsia="Times New Roman" w:hAnsi="Times New Roman" w:cs="Times New Roman"/>
        </w:rPr>
        <w:t xml:space="preserve"> e TNF-</w:t>
      </w:r>
      <w:r w:rsidRPr="0059711F">
        <w:rPr>
          <w:rFonts w:ascii="Times New Roman" w:hAnsi="Times New Roman" w:cs="Times New Roman"/>
        </w:rPr>
        <w:t xml:space="preserve"> α</w:t>
      </w:r>
      <w:r w:rsidRPr="0059711F">
        <w:rPr>
          <w:rFonts w:ascii="Times New Roman" w:eastAsia="Times New Roman" w:hAnsi="Times New Roman" w:cs="Times New Roman"/>
        </w:rPr>
        <w:t xml:space="preserve"> foi evidenciado uma resposta favorável à intervenção dietética, embora sem impacto expressivo sobre a dor e os processos inflamatórios</w:t>
      </w:r>
      <w:r w:rsidRPr="0059711F">
        <w:rPr>
          <w:rFonts w:ascii="Times New Roman" w:eastAsia="Times New Roman" w:hAnsi="Times New Roman" w:cs="Times New Roman"/>
          <w:vertAlign w:val="superscript"/>
        </w:rPr>
        <w:t>12</w:t>
      </w:r>
      <w:r w:rsidRPr="0059711F">
        <w:rPr>
          <w:rFonts w:ascii="Times New Roman" w:eastAsia="Times New Roman" w:hAnsi="Times New Roman" w:cs="Times New Roman"/>
        </w:rPr>
        <w:t xml:space="preserve">. Além do PCR, em outro estudo que avaliava marcadores inflamatórios, observou-se boa resposta na redução do </w:t>
      </w:r>
      <w:r w:rsidRPr="0059711F">
        <w:rPr>
          <w:rFonts w:ascii="Times New Roman" w:eastAsia="Times New Roman" w:hAnsi="Times New Roman" w:cs="Times New Roman"/>
        </w:rPr>
        <w:lastRenderedPageBreak/>
        <w:t>marcador IL-6 com a dieta cetogênica em padrão mediterrâneo associada ao índice inflamatório da dieta</w:t>
      </w:r>
      <w:r w:rsidR="008A56BC" w:rsidRPr="0059711F">
        <w:rPr>
          <w:rFonts w:ascii="Times New Roman" w:eastAsia="Times New Roman" w:hAnsi="Times New Roman" w:cs="Times New Roman"/>
        </w:rPr>
        <w:t xml:space="preserve"> (IDD)</w:t>
      </w:r>
      <w:r w:rsidRPr="0059711F">
        <w:rPr>
          <w:rFonts w:ascii="Times New Roman" w:eastAsia="Times New Roman" w:hAnsi="Times New Roman" w:cs="Times New Roman"/>
          <w:vertAlign w:val="superscript"/>
        </w:rPr>
        <w:t>13</w:t>
      </w:r>
      <w:r w:rsidRPr="0059711F">
        <w:rPr>
          <w:rFonts w:ascii="Times New Roman" w:eastAsia="Times New Roman" w:hAnsi="Times New Roman" w:cs="Times New Roman"/>
        </w:rPr>
        <w:t>.</w:t>
      </w:r>
    </w:p>
    <w:p w14:paraId="3A4D75FE" w14:textId="18796BCD" w:rsidR="0E1CE3A0" w:rsidRPr="0059711F" w:rsidRDefault="6E1C6AB6" w:rsidP="1EB41FCB">
      <w:pPr>
        <w:spacing w:line="480" w:lineRule="auto"/>
        <w:rPr>
          <w:rFonts w:ascii="Times New Roman" w:eastAsia="Times New Roman" w:hAnsi="Times New Roman" w:cs="Times New Roman"/>
        </w:rPr>
      </w:pPr>
      <w:r w:rsidRPr="0059711F">
        <w:rPr>
          <w:rFonts w:ascii="Times New Roman" w:eastAsia="Times New Roman" w:hAnsi="Times New Roman" w:cs="Times New Roman"/>
        </w:rPr>
        <w:t>Em contrapartida, foram observadas melhoras nos níveis de HDL-c, função hepática e sensibilidade à insulina, concomitantemente a um aumento do LDL-c em mulheres com lipedema</w:t>
      </w:r>
      <w:r w:rsidRPr="0059711F">
        <w:rPr>
          <w:rFonts w:ascii="Times New Roman" w:eastAsia="Times New Roman" w:hAnsi="Times New Roman" w:cs="Times New Roman"/>
          <w:vertAlign w:val="superscript"/>
        </w:rPr>
        <w:t>6</w:t>
      </w:r>
      <w:r w:rsidRPr="0059711F">
        <w:rPr>
          <w:rFonts w:ascii="Times New Roman" w:eastAsia="Times New Roman" w:hAnsi="Times New Roman" w:cs="Times New Roman"/>
        </w:rPr>
        <w:t>. Em um estudo piloto, observaram-se reduções nos níveis de hemoglobina glicada e fosfatase alcalina, sem alterações relevantes em outros marcadores, como função renal e tireoidiana</w:t>
      </w:r>
      <w:r w:rsidRPr="0059711F">
        <w:rPr>
          <w:rFonts w:ascii="Times New Roman" w:eastAsia="Times New Roman" w:hAnsi="Times New Roman" w:cs="Times New Roman"/>
          <w:vertAlign w:val="superscript"/>
        </w:rPr>
        <w:t>4</w:t>
      </w:r>
    </w:p>
    <w:p w14:paraId="18D495F9" w14:textId="16785442" w:rsidR="4FE06737" w:rsidRPr="0059711F" w:rsidRDefault="4FE06737" w:rsidP="4FE06737">
      <w:pPr>
        <w:spacing w:line="480" w:lineRule="auto"/>
        <w:rPr>
          <w:rFonts w:ascii="Times New Roman" w:eastAsia="Times New Roman" w:hAnsi="Times New Roman" w:cs="Times New Roman"/>
          <w:vertAlign w:val="superscript"/>
        </w:rPr>
      </w:pPr>
      <w:r w:rsidRPr="0059711F">
        <w:rPr>
          <w:rFonts w:ascii="Times New Roman" w:eastAsia="Times New Roman" w:hAnsi="Times New Roman" w:cs="Times New Roman"/>
        </w:rPr>
        <w:t xml:space="preserve">Ademais, a análise da resposta hormonal relacionada à saciedade demonstrou melhora na grelina pós-prandial no grupo submetido à </w:t>
      </w:r>
      <w:r w:rsidR="008A56BC" w:rsidRPr="0059711F">
        <w:rPr>
          <w:rFonts w:ascii="Times New Roman" w:eastAsia="Times New Roman" w:hAnsi="Times New Roman" w:cs="Times New Roman"/>
        </w:rPr>
        <w:t>dieta de baixo carboidrato</w:t>
      </w:r>
      <w:r w:rsidRPr="0059711F">
        <w:rPr>
          <w:rFonts w:ascii="Times New Roman" w:eastAsia="Times New Roman" w:hAnsi="Times New Roman" w:cs="Times New Roman"/>
        </w:rPr>
        <w:t xml:space="preserve"> (LCD), além de redução ponderal em ambos os grupos avaliados</w:t>
      </w:r>
      <w:r w:rsidRPr="0059711F">
        <w:rPr>
          <w:rFonts w:ascii="Times New Roman" w:eastAsia="Times New Roman" w:hAnsi="Times New Roman" w:cs="Times New Roman"/>
          <w:vertAlign w:val="superscript"/>
        </w:rPr>
        <w:t>14</w:t>
      </w:r>
      <w:r w:rsidRPr="0059711F">
        <w:rPr>
          <w:rFonts w:ascii="Times New Roman" w:eastAsia="Times New Roman" w:hAnsi="Times New Roman" w:cs="Times New Roman"/>
        </w:rPr>
        <w:t>. No estudo feito por relato de caso também houve aumento da vitamina D</w:t>
      </w:r>
      <w:r w:rsidRPr="0059711F">
        <w:rPr>
          <w:rFonts w:ascii="Times New Roman" w:eastAsia="Times New Roman" w:hAnsi="Times New Roman" w:cs="Times New Roman"/>
          <w:vertAlign w:val="superscript"/>
        </w:rPr>
        <w:t>10</w:t>
      </w:r>
      <w:r w:rsidRPr="0059711F">
        <w:rPr>
          <w:rFonts w:ascii="Times New Roman" w:eastAsia="Times New Roman" w:hAnsi="Times New Roman" w:cs="Times New Roman"/>
        </w:rPr>
        <w:t>.</w:t>
      </w:r>
    </w:p>
    <w:p w14:paraId="1E704E4E" w14:textId="6170BC53" w:rsidR="6E60EA06" w:rsidRPr="0059711F" w:rsidRDefault="6E60EA06" w:rsidP="1EB41FCB">
      <w:pPr>
        <w:spacing w:line="480" w:lineRule="auto"/>
        <w:rPr>
          <w:rFonts w:ascii="Times New Roman" w:hAnsi="Times New Roman" w:cs="Times New Roman"/>
          <w:b/>
          <w:bCs/>
        </w:rPr>
      </w:pPr>
    </w:p>
    <w:p w14:paraId="485C1F3D" w14:textId="1DB6869A" w:rsidR="009C38D7" w:rsidRPr="0059711F" w:rsidRDefault="1EB41FCB" w:rsidP="1EB41FCB">
      <w:pPr>
        <w:spacing w:line="480" w:lineRule="auto"/>
        <w:rPr>
          <w:rFonts w:ascii="Times New Roman" w:hAnsi="Times New Roman" w:cs="Times New Roman"/>
          <w:b/>
          <w:bCs/>
        </w:rPr>
      </w:pPr>
      <w:commentRangeStart w:id="2"/>
      <w:r w:rsidRPr="0059711F">
        <w:rPr>
          <w:rFonts w:ascii="Times New Roman" w:hAnsi="Times New Roman" w:cs="Times New Roman"/>
          <w:b/>
          <w:bCs/>
        </w:rPr>
        <w:t xml:space="preserve">Discussão </w:t>
      </w:r>
      <w:commentRangeEnd w:id="2"/>
      <w:r w:rsidR="002D7A8E" w:rsidRPr="0059711F">
        <w:rPr>
          <w:rStyle w:val="Refdecomentrio"/>
          <w:rFonts w:ascii="Times New Roman" w:hAnsi="Times New Roman" w:cs="Times New Roman"/>
          <w:b/>
          <w:bCs/>
          <w:sz w:val="24"/>
          <w:szCs w:val="24"/>
        </w:rPr>
        <w:commentReference w:id="2"/>
      </w:r>
    </w:p>
    <w:p w14:paraId="13A5C1C9" w14:textId="5A24F7A6" w:rsidR="009C38D7" w:rsidRPr="0059711F" w:rsidRDefault="4FE06737" w:rsidP="1EB41FCB">
      <w:pPr>
        <w:spacing w:line="480" w:lineRule="auto"/>
        <w:rPr>
          <w:rFonts w:ascii="Times New Roman" w:hAnsi="Times New Roman" w:cs="Times New Roman"/>
        </w:rPr>
      </w:pPr>
      <w:bookmarkStart w:id="3" w:name="_Hlk215895683"/>
      <w:r w:rsidRPr="0059711F">
        <w:rPr>
          <w:rFonts w:ascii="Times New Roman" w:hAnsi="Times New Roman" w:cs="Times New Roman"/>
        </w:rPr>
        <w:t>O lipedema é uma condição crônica que acomete o tecido adiposo subcutâneo, caracterizado pelo acúmulo bilateral e geralmente simétrico de gordura</w:t>
      </w:r>
      <w:r w:rsidRPr="0059711F">
        <w:rPr>
          <w:rFonts w:ascii="Times New Roman" w:hAnsi="Times New Roman" w:cs="Times New Roman"/>
          <w:vertAlign w:val="superscript"/>
        </w:rPr>
        <w:t>1,3</w:t>
      </w:r>
      <w:r w:rsidRPr="0059711F">
        <w:rPr>
          <w:rFonts w:ascii="Times New Roman" w:hAnsi="Times New Roman" w:cs="Times New Roman"/>
        </w:rPr>
        <w:t>. A doença pode ser classificada em quatro estágios, conforme aparência da pele, presença de nódulos e mudanças estruturais, como fibrose, e em cinco tipos, conforme distribuição da gordura</w:t>
      </w:r>
      <w:r w:rsidRPr="0059711F">
        <w:rPr>
          <w:rFonts w:ascii="Times New Roman" w:hAnsi="Times New Roman" w:cs="Times New Roman"/>
          <w:vertAlign w:val="superscript"/>
        </w:rPr>
        <w:t xml:space="preserve">3,15,16 </w:t>
      </w:r>
      <w:r w:rsidRPr="0059711F">
        <w:rPr>
          <w:rFonts w:ascii="Times New Roman" w:hAnsi="Times New Roman" w:cs="Times New Roman"/>
        </w:rPr>
        <w:t>.</w:t>
      </w:r>
    </w:p>
    <w:p w14:paraId="5907F75D" w14:textId="414A374E" w:rsidR="009C38D7" w:rsidRPr="0059711F" w:rsidRDefault="4FE06737" w:rsidP="4FE06737">
      <w:pPr>
        <w:spacing w:line="480" w:lineRule="auto"/>
        <w:rPr>
          <w:rFonts w:ascii="Times New Roman" w:hAnsi="Times New Roman" w:cs="Times New Roman"/>
        </w:rPr>
      </w:pPr>
      <w:r w:rsidRPr="0059711F">
        <w:rPr>
          <w:rFonts w:ascii="Times New Roman" w:hAnsi="Times New Roman" w:cs="Times New Roman"/>
        </w:rPr>
        <w:t>Além da classificação em estágios, o diagnóstico clínico baseia-se, principalmente, na história da paciente e análise de sintomas e sinais comuns: dor à palpação, fácil formação de hematomas, sensação de peso nas extremidades inferiores, edema (inchaço), proporções corporais alteradas, resistência à perda de gordura nessas regiões específicas, hipermobilidade articular, sensação de pressão, pele fria e textura variável (nódulos, fibrose, pele com relevo irregular)</w:t>
      </w:r>
      <w:r w:rsidRPr="0059711F">
        <w:rPr>
          <w:rFonts w:ascii="Times New Roman" w:hAnsi="Times New Roman" w:cs="Times New Roman"/>
          <w:vertAlign w:val="superscript"/>
        </w:rPr>
        <w:t>1,15</w:t>
      </w:r>
      <w:r w:rsidRPr="0059711F">
        <w:rPr>
          <w:rFonts w:ascii="Times New Roman" w:hAnsi="Times New Roman" w:cs="Times New Roman"/>
        </w:rPr>
        <w:t xml:space="preserve">. </w:t>
      </w:r>
      <w:r w:rsidRPr="0059711F">
        <w:rPr>
          <w:rFonts w:ascii="Times New Roman" w:eastAsia="Times New Roman" w:hAnsi="Times New Roman" w:cs="Times New Roman"/>
        </w:rPr>
        <w:t>Para complementar o processo diagnóstico, Amato et al. adaptaram o questionário QuASiL para o contexto brasileiro, disponibilizando um instrumento prático para a identificação da doença</w:t>
      </w:r>
      <w:r w:rsidRPr="0059711F">
        <w:rPr>
          <w:rFonts w:ascii="Times New Roman" w:eastAsia="Times New Roman" w:hAnsi="Times New Roman" w:cs="Times New Roman"/>
          <w:vertAlign w:val="superscript"/>
        </w:rPr>
        <w:t>17</w:t>
      </w:r>
      <w:r w:rsidRPr="0059711F">
        <w:rPr>
          <w:rFonts w:ascii="Times New Roman" w:eastAsia="Times New Roman" w:hAnsi="Times New Roman" w:cs="Times New Roman"/>
        </w:rPr>
        <w:t>.</w:t>
      </w:r>
    </w:p>
    <w:p w14:paraId="21A97F3B" w14:textId="736F9A9A" w:rsidR="009C38D7" w:rsidRPr="0059711F" w:rsidRDefault="4FE06737" w:rsidP="0C2A937A">
      <w:pPr>
        <w:spacing w:line="480" w:lineRule="auto"/>
        <w:rPr>
          <w:rFonts w:ascii="Times New Roman" w:hAnsi="Times New Roman" w:cs="Times New Roman"/>
        </w:rPr>
      </w:pPr>
      <w:r w:rsidRPr="0059711F">
        <w:rPr>
          <w:rFonts w:ascii="Times New Roman" w:hAnsi="Times New Roman" w:cs="Times New Roman"/>
        </w:rPr>
        <w:lastRenderedPageBreak/>
        <w:t>Na fisiopatologia, observamos um sistema linfático e venoso prejudicado, com aumento de marcadores inflamatórios</w:t>
      </w:r>
      <w:r w:rsidRPr="0059711F">
        <w:rPr>
          <w:rFonts w:ascii="Times New Roman" w:hAnsi="Times New Roman" w:cs="Times New Roman"/>
          <w:vertAlign w:val="superscript"/>
        </w:rPr>
        <w:t>12</w:t>
      </w:r>
      <w:r w:rsidRPr="0059711F">
        <w:rPr>
          <w:rFonts w:ascii="Times New Roman" w:hAnsi="Times New Roman" w:cs="Times New Roman"/>
        </w:rPr>
        <w:t>. Naturalmente, no corpo humano, os tecidos conjuntivos são formados por redes extracelulares que possuem componentes como os glicosaminoglicanos e os proteoglicanos, os quais tem como função fazer a regulação de fluidos corporais para esse tecido, garantindo hidratação e proteção</w:t>
      </w:r>
      <w:r w:rsidRPr="0059711F">
        <w:rPr>
          <w:rFonts w:ascii="Times New Roman" w:hAnsi="Times New Roman" w:cs="Times New Roman"/>
          <w:vertAlign w:val="superscript"/>
        </w:rPr>
        <w:t>16</w:t>
      </w:r>
      <w:r w:rsidRPr="0059711F">
        <w:rPr>
          <w:rFonts w:ascii="Times New Roman" w:hAnsi="Times New Roman" w:cs="Times New Roman"/>
        </w:rPr>
        <w:t>. No entanto, quando há aumento de sódio extracelular, também há aumento de água, isso gera aumento na síntese de proteoglicanos e maior conexão dos glicosaminoglicanos à água, mecanismo esse que dificulta o acesso da célula ao oxigênio, resultando em hipóxia, inflamação, fibrose e edema, sinais clínicos esses que são comuns em mulheres com lipedema</w:t>
      </w:r>
      <w:r w:rsidRPr="0059711F">
        <w:rPr>
          <w:rFonts w:ascii="Times New Roman" w:hAnsi="Times New Roman" w:cs="Times New Roman"/>
          <w:vertAlign w:val="superscript"/>
        </w:rPr>
        <w:t>16</w:t>
      </w:r>
      <w:r w:rsidRPr="0059711F">
        <w:rPr>
          <w:rFonts w:ascii="Times New Roman" w:hAnsi="Times New Roman" w:cs="Times New Roman"/>
        </w:rPr>
        <w:t>. Observa-se maior presença de sódio em mulheres com lipedema, o que também pode justificar o aumento desses líquidos corporais</w:t>
      </w:r>
      <w:r w:rsidRPr="0059711F">
        <w:rPr>
          <w:rFonts w:ascii="Times New Roman" w:hAnsi="Times New Roman" w:cs="Times New Roman"/>
          <w:vertAlign w:val="superscript"/>
        </w:rPr>
        <w:t>18,19</w:t>
      </w:r>
      <w:r w:rsidRPr="0059711F">
        <w:rPr>
          <w:rFonts w:ascii="Times New Roman" w:hAnsi="Times New Roman" w:cs="Times New Roman"/>
        </w:rPr>
        <w:t>. </w:t>
      </w:r>
    </w:p>
    <w:p w14:paraId="7E82C91B" w14:textId="6683133A" w:rsidR="009C38D7" w:rsidRPr="0059711F" w:rsidRDefault="00BC3DC2" w:rsidP="4FE06737">
      <w:pPr>
        <w:spacing w:line="480" w:lineRule="auto"/>
        <w:rPr>
          <w:rFonts w:ascii="Times New Roman" w:hAnsi="Times New Roman" w:cs="Times New Roman"/>
        </w:rPr>
      </w:pPr>
      <w:r w:rsidRPr="0059711F">
        <w:rPr>
          <w:rFonts w:ascii="Times New Roman" w:hAnsi="Times New Roman" w:cs="Times New Roman"/>
        </w:rPr>
        <w:t>Com base nisso, um estudo de Sorlie et al.</w:t>
      </w:r>
      <w:r w:rsidRPr="0059711F">
        <w:rPr>
          <w:rFonts w:ascii="Times New Roman" w:hAnsi="Times New Roman" w:cs="Times New Roman"/>
          <w:vertAlign w:val="superscript"/>
        </w:rPr>
        <w:t xml:space="preserve">7 </w:t>
      </w:r>
      <w:r w:rsidRPr="0059711F">
        <w:rPr>
          <w:rFonts w:ascii="Times New Roman" w:hAnsi="Times New Roman" w:cs="Times New Roman"/>
        </w:rPr>
        <w:t>com mulheres com lipedema que fizeram uma dieta com 5-10% de carboidratos demostraram uma perda de água corporal total (ACT), justificada pela depleção de glicogênio muscular e, consequentemente, perda de peso. Outro ponto importante seria a</w:t>
      </w:r>
      <w:r w:rsidR="4FE06737" w:rsidRPr="0059711F">
        <w:rPr>
          <w:rFonts w:ascii="Times New Roman" w:hAnsi="Times New Roman" w:cs="Times New Roman"/>
        </w:rPr>
        <w:t xml:space="preserve"> pressão nos nervos, principalmente dos membros inferiores, devido a maior retenção de água e sódio, pode estar relacionada com a dor, dificuldade de mobilidade, inchaços frequentes e sensação de peso nas pernas</w:t>
      </w:r>
      <w:r w:rsidR="4FE06737" w:rsidRPr="0059711F">
        <w:rPr>
          <w:rFonts w:ascii="Times New Roman" w:hAnsi="Times New Roman" w:cs="Times New Roman"/>
          <w:vertAlign w:val="superscript"/>
        </w:rPr>
        <w:t>8,11,18</w:t>
      </w:r>
      <w:r w:rsidR="4FE06737" w:rsidRPr="0059711F">
        <w:rPr>
          <w:rFonts w:ascii="Times New Roman" w:hAnsi="Times New Roman" w:cs="Times New Roman"/>
        </w:rPr>
        <w:t xml:space="preserve">. </w:t>
      </w:r>
      <w:r w:rsidR="4FE06737" w:rsidRPr="0059711F">
        <w:rPr>
          <w:rFonts w:ascii="Times New Roman" w:eastAsia="Times New Roman" w:hAnsi="Times New Roman" w:cs="Times New Roman"/>
        </w:rPr>
        <w:t>O acúmulo intersticial de fluido pode desencadear alterações estruturais no tecido adiposo, levando à inflamação e fibrose que dificultam a redução da gordura, possivelmente associadas a disfunções do tecido conjuntivo observadas no lipedema</w:t>
      </w:r>
      <w:r w:rsidR="4FE06737" w:rsidRPr="0059711F">
        <w:rPr>
          <w:rFonts w:ascii="Times New Roman" w:eastAsia="Times New Roman" w:hAnsi="Times New Roman" w:cs="Times New Roman"/>
          <w:vertAlign w:val="superscript"/>
        </w:rPr>
        <w:t>18</w:t>
      </w:r>
      <w:r w:rsidRPr="0059711F">
        <w:rPr>
          <w:rFonts w:ascii="Times New Roman" w:eastAsia="Times New Roman" w:hAnsi="Times New Roman" w:cs="Times New Roman"/>
        </w:rPr>
        <w:t>.</w:t>
      </w:r>
    </w:p>
    <w:p w14:paraId="7A6A065E" w14:textId="42D9EDDC" w:rsidR="009C38D7" w:rsidRPr="0059711F" w:rsidRDefault="00170E41" w:rsidP="4FE06737">
      <w:pPr>
        <w:spacing w:line="480" w:lineRule="auto"/>
        <w:rPr>
          <w:rFonts w:ascii="Times New Roman" w:hAnsi="Times New Roman" w:cs="Times New Roman"/>
          <w:vertAlign w:val="superscript"/>
        </w:rPr>
      </w:pPr>
      <w:r w:rsidRPr="0059711F">
        <w:rPr>
          <w:rFonts w:ascii="Times New Roman" w:hAnsi="Times New Roman" w:cs="Times New Roman"/>
        </w:rPr>
        <w:t xml:space="preserve">Um sinal clínico e um queixa comum entre essas mulheres são os hematomas e dor, resultado da </w:t>
      </w:r>
      <w:r w:rsidR="4FE06737" w:rsidRPr="0059711F">
        <w:rPr>
          <w:rFonts w:ascii="Times New Roman" w:hAnsi="Times New Roman" w:cs="Times New Roman"/>
        </w:rPr>
        <w:t>peculiaridade cardiovascular das doença</w:t>
      </w:r>
      <w:r w:rsidR="4FE06737" w:rsidRPr="0059711F">
        <w:rPr>
          <w:rFonts w:ascii="Times New Roman" w:eastAsia="Times New Roman" w:hAnsi="Times New Roman" w:cs="Times New Roman"/>
          <w:vertAlign w:val="superscript"/>
        </w:rPr>
        <w:t>1</w:t>
      </w:r>
      <w:r w:rsidR="4FE06737" w:rsidRPr="0059711F">
        <w:rPr>
          <w:rFonts w:ascii="Times New Roman" w:eastAsia="Times New Roman" w:hAnsi="Times New Roman" w:cs="Times New Roman"/>
        </w:rPr>
        <w:t>.</w:t>
      </w:r>
      <w:r w:rsidR="4FE06737" w:rsidRPr="0059711F">
        <w:rPr>
          <w:rFonts w:ascii="Times New Roman" w:hAnsi="Times New Roman" w:cs="Times New Roman"/>
        </w:rPr>
        <w:t xml:space="preserve"> Em um estudo voltado para a avaliação desses parâmetros têm mostrado rigidez aumentada da aorta e reflexo veno-arteriolar prejudicado, além do achado recente sobre o fator plaquetário 4, que apresenta níveis elevados em todos os </w:t>
      </w:r>
      <w:r w:rsidR="4FE06737" w:rsidRPr="0059711F">
        <w:rPr>
          <w:rFonts w:ascii="Times New Roman" w:hAnsi="Times New Roman" w:cs="Times New Roman"/>
        </w:rPr>
        <w:lastRenderedPageBreak/>
        <w:t>estágios da doença</w:t>
      </w:r>
      <w:r w:rsidR="4FE06737" w:rsidRPr="0059711F">
        <w:rPr>
          <w:rFonts w:ascii="Times New Roman" w:hAnsi="Times New Roman" w:cs="Times New Roman"/>
          <w:vertAlign w:val="superscript"/>
        </w:rPr>
        <w:t>1</w:t>
      </w:r>
      <w:r w:rsidR="4FE06737" w:rsidRPr="0059711F">
        <w:rPr>
          <w:rFonts w:ascii="Times New Roman" w:hAnsi="Times New Roman" w:cs="Times New Roman"/>
        </w:rPr>
        <w:t>. Consequentemente, as alterações dos vasos sanguíneos e a resposta inflamatória do tecido gera um quadro de microangiopatia</w:t>
      </w:r>
      <w:r w:rsidR="4FE06737" w:rsidRPr="0059711F">
        <w:rPr>
          <w:rFonts w:ascii="Times New Roman" w:hAnsi="Times New Roman" w:cs="Times New Roman"/>
          <w:vertAlign w:val="superscript"/>
        </w:rPr>
        <w:t>1,15,16</w:t>
      </w:r>
    </w:p>
    <w:p w14:paraId="1CB47D1C" w14:textId="77777777" w:rsidR="00BC3DC2" w:rsidRPr="0059711F" w:rsidRDefault="4FE06737" w:rsidP="1EB41FCB">
      <w:pPr>
        <w:spacing w:line="480" w:lineRule="auto"/>
        <w:rPr>
          <w:rFonts w:ascii="Times New Roman" w:hAnsi="Times New Roman" w:cs="Times New Roman"/>
        </w:rPr>
      </w:pPr>
      <w:r w:rsidRPr="0059711F">
        <w:rPr>
          <w:rFonts w:ascii="Times New Roman" w:hAnsi="Times New Roman" w:cs="Times New Roman"/>
        </w:rPr>
        <w:t>Ao analisar as possíveis causas genéticas para a hereditariedade do lipedema, encontrou-se um gene comum, o chamado AKR1C1</w:t>
      </w:r>
      <w:r w:rsidRPr="0059711F">
        <w:rPr>
          <w:rFonts w:ascii="Times New Roman" w:hAnsi="Times New Roman" w:cs="Times New Roman"/>
          <w:vertAlign w:val="superscript"/>
        </w:rPr>
        <w:t>20</w:t>
      </w:r>
      <w:r w:rsidRPr="0059711F">
        <w:rPr>
          <w:rFonts w:ascii="Times New Roman" w:hAnsi="Times New Roman" w:cs="Times New Roman"/>
        </w:rPr>
        <w:t>.</w:t>
      </w:r>
      <w:r w:rsidR="00170E41" w:rsidRPr="0059711F">
        <w:rPr>
          <w:rFonts w:ascii="Times New Roman" w:hAnsi="Times New Roman" w:cs="Times New Roman"/>
        </w:rPr>
        <w:t xml:space="preserve"> Estudos recentes também indicam que alterações na expressão de AKR1C1 podem estar relacionadas à resistência à perda de gordura em regiões dependentes de estrogênio, como quadris e pernas, possivelmente por interferir na sinalização de adipocinas e hormônios sexuais</w:t>
      </w:r>
      <w:r w:rsidR="00170E41" w:rsidRPr="0059711F">
        <w:rPr>
          <w:rFonts w:ascii="Times New Roman" w:hAnsi="Times New Roman" w:cs="Times New Roman"/>
          <w:vertAlign w:val="superscript"/>
        </w:rPr>
        <w:t>20,21</w:t>
      </w:r>
      <w:r w:rsidR="00170E41" w:rsidRPr="0059711F">
        <w:rPr>
          <w:rFonts w:ascii="Times New Roman" w:hAnsi="Times New Roman" w:cs="Times New Roman"/>
        </w:rPr>
        <w:t>.</w:t>
      </w:r>
      <w:r w:rsidRPr="0059711F">
        <w:rPr>
          <w:rFonts w:ascii="Times New Roman" w:hAnsi="Times New Roman" w:cs="Times New Roman"/>
        </w:rPr>
        <w:t xml:space="preserve"> Esse gene é responsável por catalisar a conversão de hormônios esteroides ativos, como a progesterona, em formas inativas, além de regular a atividade de prostaglandinas, substâncias envolvidas em processos inflamatórios locais. </w:t>
      </w:r>
    </w:p>
    <w:p w14:paraId="56DC42B3" w14:textId="15F96C17" w:rsidR="009C38D7" w:rsidRPr="0059711F" w:rsidRDefault="4FE06737" w:rsidP="1EB41FCB">
      <w:pPr>
        <w:spacing w:line="480" w:lineRule="auto"/>
        <w:rPr>
          <w:rFonts w:ascii="Times New Roman" w:hAnsi="Times New Roman" w:cs="Times New Roman"/>
        </w:rPr>
      </w:pPr>
      <w:r w:rsidRPr="0059711F">
        <w:rPr>
          <w:rFonts w:ascii="Times New Roman" w:hAnsi="Times New Roman" w:cs="Times New Roman"/>
        </w:rPr>
        <w:t>Há também uma associação entre flutuações hormonais, sobretudo de estrogênio</w:t>
      </w:r>
      <w:r w:rsidRPr="0059711F">
        <w:rPr>
          <w:rFonts w:ascii="Times New Roman" w:hAnsi="Times New Roman" w:cs="Times New Roman"/>
          <w:vertAlign w:val="superscript"/>
        </w:rPr>
        <w:t>21</w:t>
      </w:r>
      <w:r w:rsidRPr="0059711F">
        <w:rPr>
          <w:rFonts w:ascii="Times New Roman" w:hAnsi="Times New Roman" w:cs="Times New Roman"/>
        </w:rPr>
        <w:t xml:space="preserve">, e o acúmulo de gordura, principalmente nas regiões de membros inferiores, em mulheres com lipedema. </w:t>
      </w:r>
      <w:r w:rsidR="00170E41" w:rsidRPr="0059711F">
        <w:rPr>
          <w:rFonts w:ascii="Times New Roman" w:hAnsi="Times New Roman" w:cs="Times New Roman"/>
        </w:rPr>
        <w:t>Mecanismos mostram maior entrada de lipídios nos adipócitos, redução da lipólise, ativação de vias inflamatórias e fibrose tecidual, contribuindo para a progressão da doença e dificultando a resposta a intervenções convencionais de perda de peso</w:t>
      </w:r>
      <w:r w:rsidR="00170E41" w:rsidRPr="0059711F">
        <w:rPr>
          <w:rFonts w:ascii="Times New Roman" w:hAnsi="Times New Roman" w:cs="Times New Roman"/>
          <w:vertAlign w:val="superscript"/>
        </w:rPr>
        <w:t>22</w:t>
      </w:r>
      <w:r w:rsidR="00170E41" w:rsidRPr="0059711F">
        <w:rPr>
          <w:rFonts w:ascii="Times New Roman" w:hAnsi="Times New Roman" w:cs="Times New Roman"/>
        </w:rPr>
        <w:t xml:space="preserve">. </w:t>
      </w:r>
      <w:r w:rsidRPr="0059711F">
        <w:rPr>
          <w:rFonts w:ascii="Times New Roman" w:hAnsi="Times New Roman" w:cs="Times New Roman"/>
        </w:rPr>
        <w:t xml:space="preserve">Essa relação </w:t>
      </w:r>
      <w:r w:rsidR="00170E41" w:rsidRPr="0059711F">
        <w:rPr>
          <w:rFonts w:ascii="Times New Roman" w:hAnsi="Times New Roman" w:cs="Times New Roman"/>
        </w:rPr>
        <w:t>pode estar</w:t>
      </w:r>
      <w:r w:rsidRPr="0059711F">
        <w:rPr>
          <w:rFonts w:ascii="Times New Roman" w:hAnsi="Times New Roman" w:cs="Times New Roman"/>
        </w:rPr>
        <w:t xml:space="preserve"> ligada à expressão alterada dos receptores de estrogênio (ERα e ERβ) e à atividade aumentada de enzimas que regulam a produção local de estrogênio no tecido adiposo</w:t>
      </w:r>
      <w:r w:rsidRPr="0059711F">
        <w:rPr>
          <w:rFonts w:ascii="Times New Roman" w:hAnsi="Times New Roman" w:cs="Times New Roman"/>
          <w:vertAlign w:val="superscript"/>
        </w:rPr>
        <w:t>21</w:t>
      </w:r>
      <w:r w:rsidRPr="0059711F">
        <w:rPr>
          <w:rFonts w:ascii="Times New Roman" w:hAnsi="Times New Roman" w:cs="Times New Roman"/>
        </w:rPr>
        <w:t xml:space="preserve">. </w:t>
      </w:r>
    </w:p>
    <w:p w14:paraId="5AF7B5A0" w14:textId="0E81292F" w:rsidR="009C38D7" w:rsidRPr="0059711F" w:rsidRDefault="6E1C6AB6" w:rsidP="1EB41FCB">
      <w:pPr>
        <w:spacing w:line="480" w:lineRule="auto"/>
        <w:rPr>
          <w:rFonts w:ascii="Times New Roman" w:hAnsi="Times New Roman" w:cs="Times New Roman"/>
        </w:rPr>
      </w:pPr>
      <w:r w:rsidRPr="0059711F">
        <w:rPr>
          <w:rFonts w:ascii="Times New Roman" w:hAnsi="Times New Roman" w:cs="Times New Roman"/>
        </w:rPr>
        <w:t>De acordo com Lundanes et al.</w:t>
      </w:r>
      <w:r w:rsidRPr="0059711F">
        <w:rPr>
          <w:rFonts w:ascii="Times New Roman" w:hAnsi="Times New Roman" w:cs="Times New Roman"/>
          <w:vertAlign w:val="superscript"/>
        </w:rPr>
        <w:t>14</w:t>
      </w:r>
      <w:r w:rsidRPr="0059711F">
        <w:rPr>
          <w:rFonts w:ascii="Times New Roman" w:hAnsi="Times New Roman" w:cs="Times New Roman"/>
        </w:rPr>
        <w:t>, mulheres com lipedema têm demostrado respostas diferentes ao apetite, havendo aumento da fome durante as dietas apenas com restrição calórica e baixo teor de gordura, ao contrário da LCD, que demostrou controle da grelina pós-prandial e, consequentemente, maior perda de peso. Assim, entender peculiaridades metabólicas, como a resistência à degradação de adipócitos localizados, resistência à insulina, condição estrogênio-dependente e alterações no eixo da saciedade, são importantes ao se escolher a melhor alternativa de tratamento nutricional</w:t>
      </w:r>
      <w:r w:rsidRPr="0059711F">
        <w:rPr>
          <w:rFonts w:ascii="Times New Roman" w:hAnsi="Times New Roman" w:cs="Times New Roman"/>
          <w:vertAlign w:val="superscript"/>
        </w:rPr>
        <w:t>18,21,22.</w:t>
      </w:r>
      <w:r w:rsidRPr="0059711F">
        <w:rPr>
          <w:rFonts w:ascii="Times New Roman" w:hAnsi="Times New Roman" w:cs="Times New Roman"/>
        </w:rPr>
        <w:t xml:space="preserve"> Para isso, diferentes padrões dietéticos têm sido avaliados a fim de melhorar não só a composição corporal e a perda de </w:t>
      </w:r>
      <w:r w:rsidRPr="0059711F">
        <w:rPr>
          <w:rFonts w:ascii="Times New Roman" w:hAnsi="Times New Roman" w:cs="Times New Roman"/>
        </w:rPr>
        <w:lastRenderedPageBreak/>
        <w:t>peso nessas mulheres, mas também controlar e melhorar parâmetros ligados à doença, como dor, edema, textura da pele e qualidade de vida</w:t>
      </w:r>
      <w:r w:rsidRPr="0059711F">
        <w:rPr>
          <w:rFonts w:ascii="Times New Roman" w:hAnsi="Times New Roman" w:cs="Times New Roman"/>
          <w:vertAlign w:val="superscript"/>
        </w:rPr>
        <w:t>4,7,10,13</w:t>
      </w:r>
      <w:r w:rsidRPr="0059711F">
        <w:rPr>
          <w:rFonts w:ascii="Times New Roman" w:hAnsi="Times New Roman" w:cs="Times New Roman"/>
        </w:rPr>
        <w:t xml:space="preserve">. </w:t>
      </w:r>
    </w:p>
    <w:p w14:paraId="37746478" w14:textId="5A41A8D5" w:rsidR="009C38D7" w:rsidRPr="0059711F" w:rsidRDefault="4FE06737" w:rsidP="00170E41">
      <w:pPr>
        <w:spacing w:line="480" w:lineRule="auto"/>
        <w:rPr>
          <w:rFonts w:ascii="Times New Roman" w:hAnsi="Times New Roman" w:cs="Times New Roman"/>
        </w:rPr>
      </w:pPr>
      <w:r w:rsidRPr="0059711F">
        <w:rPr>
          <w:rFonts w:ascii="Times New Roman" w:hAnsi="Times New Roman" w:cs="Times New Roman"/>
        </w:rPr>
        <w:t>Apesar do acúmulo de gordura ser em regiões corporais mais específicas, o efeito inflamatório da doença é por todo o corpo</w:t>
      </w:r>
      <w:r w:rsidRPr="0059711F">
        <w:rPr>
          <w:rFonts w:ascii="Times New Roman" w:hAnsi="Times New Roman" w:cs="Times New Roman"/>
          <w:vertAlign w:val="superscript"/>
        </w:rPr>
        <w:t>13</w:t>
      </w:r>
      <w:r w:rsidRPr="0059711F">
        <w:rPr>
          <w:rFonts w:ascii="Times New Roman" w:hAnsi="Times New Roman" w:cs="Times New Roman"/>
        </w:rPr>
        <w:t xml:space="preserve">. </w:t>
      </w:r>
      <w:r w:rsidR="00BA7D65" w:rsidRPr="0059711F">
        <w:rPr>
          <w:rFonts w:ascii="Times New Roman" w:hAnsi="Times New Roman" w:cs="Times New Roman"/>
        </w:rPr>
        <w:t>Para modular esse quando, estudos</w:t>
      </w:r>
      <w:r w:rsidR="00170E41" w:rsidRPr="0059711F">
        <w:rPr>
          <w:rFonts w:ascii="Times New Roman" w:hAnsi="Times New Roman" w:cs="Times New Roman"/>
        </w:rPr>
        <w:t xml:space="preserve"> aplicaram dietas com base anti-inflamatória, voltadas mais para o padrão mediterrâneo, como o consumo controlado de cereais integrais, oleaginosas, carnes magras (frango e, principalmente, peixes), ômega 3 e polifenóis, sendo essa associada com o baixo consumo de carboidratos</w:t>
      </w:r>
      <w:r w:rsidR="00170E41" w:rsidRPr="0059711F">
        <w:rPr>
          <w:rFonts w:ascii="Times New Roman" w:hAnsi="Times New Roman" w:cs="Times New Roman"/>
          <w:vertAlign w:val="superscript"/>
        </w:rPr>
        <w:t>5-7,10,13</w:t>
      </w:r>
      <w:r w:rsidR="00170E41" w:rsidRPr="0059711F">
        <w:rPr>
          <w:rFonts w:ascii="Times New Roman" w:hAnsi="Times New Roman" w:cs="Times New Roman"/>
        </w:rPr>
        <w:t xml:space="preserve">. </w:t>
      </w:r>
      <w:r w:rsidRPr="0059711F">
        <w:rPr>
          <w:rFonts w:ascii="Times New Roman" w:hAnsi="Times New Roman" w:cs="Times New Roman"/>
        </w:rPr>
        <w:t>Isso pode ser evidenciado pela presença de marcadores como o fator de necrose tumoral (TNF)-α</w:t>
      </w:r>
      <w:r w:rsidRPr="0059711F">
        <w:rPr>
          <w:rFonts w:ascii="Times New Roman" w:hAnsi="Times New Roman" w:cs="Times New Roman"/>
          <w:vertAlign w:val="superscript"/>
        </w:rPr>
        <w:t>23</w:t>
      </w:r>
      <w:r w:rsidRPr="0059711F">
        <w:rPr>
          <w:rFonts w:ascii="Times New Roman" w:hAnsi="Times New Roman" w:cs="Times New Roman"/>
        </w:rPr>
        <w:t>, fator de crescimento endotelial vascular (VEGF)-A e fator de crescimento transformador (TGF)- α, bem como VEGF-C, IL-6, IL-11, IL-28, IL-29 e MIP-1β</w:t>
      </w:r>
      <w:r w:rsidRPr="0059711F">
        <w:rPr>
          <w:rFonts w:ascii="Times New Roman" w:hAnsi="Times New Roman" w:cs="Times New Roman"/>
          <w:vertAlign w:val="superscript"/>
        </w:rPr>
        <w:t>23</w:t>
      </w:r>
      <w:r w:rsidRPr="0059711F">
        <w:rPr>
          <w:rFonts w:ascii="Times New Roman" w:hAnsi="Times New Roman" w:cs="Times New Roman"/>
        </w:rPr>
        <w:t xml:space="preserve">. </w:t>
      </w:r>
      <w:r w:rsidR="008E5AA4" w:rsidRPr="0059711F">
        <w:rPr>
          <w:rFonts w:ascii="Times New Roman" w:hAnsi="Times New Roman" w:cs="Times New Roman"/>
        </w:rPr>
        <w:t>Foi observado também que a hiperglicemia pós prandial contribui para a formação de Produtos Finais de Glicação Avançada (AGEs), os quais estimulam o aumento da resistência à insulina e, também, induz o marcador inflamatório VEGF através de respostas inflamatórias</w:t>
      </w:r>
      <w:r w:rsidR="008E5AA4" w:rsidRPr="0059711F">
        <w:rPr>
          <w:rFonts w:ascii="Times New Roman" w:hAnsi="Times New Roman" w:cs="Times New Roman"/>
          <w:vertAlign w:val="superscript"/>
        </w:rPr>
        <w:t>9</w:t>
      </w:r>
      <w:r w:rsidR="008E5AA4" w:rsidRPr="0059711F">
        <w:rPr>
          <w:rFonts w:ascii="Times New Roman" w:hAnsi="Times New Roman" w:cs="Times New Roman"/>
        </w:rPr>
        <w:t>. Além disso, também observado uma hiperinsulinemia compensatória, situação que impede a lipólise e estimula a lipogênese</w:t>
      </w:r>
      <w:r w:rsidR="008E5AA4" w:rsidRPr="0059711F">
        <w:rPr>
          <w:rFonts w:ascii="Times New Roman" w:hAnsi="Times New Roman" w:cs="Times New Roman"/>
          <w:vertAlign w:val="superscript"/>
        </w:rPr>
        <w:t>9</w:t>
      </w:r>
      <w:r w:rsidR="008E5AA4" w:rsidRPr="0059711F">
        <w:rPr>
          <w:rFonts w:ascii="Times New Roman" w:hAnsi="Times New Roman" w:cs="Times New Roman"/>
        </w:rPr>
        <w:t>. </w:t>
      </w:r>
      <w:r w:rsidRPr="0059711F">
        <w:rPr>
          <w:rFonts w:ascii="Times New Roman" w:hAnsi="Times New Roman" w:cs="Times New Roman"/>
        </w:rPr>
        <w:t xml:space="preserve"> </w:t>
      </w:r>
    </w:p>
    <w:p w14:paraId="6BFFAAD7" w14:textId="39BF6667" w:rsidR="009C38D7" w:rsidRPr="0059711F" w:rsidRDefault="6E1C6AB6" w:rsidP="4FE06737">
      <w:pPr>
        <w:spacing w:line="480" w:lineRule="auto"/>
        <w:rPr>
          <w:rFonts w:ascii="Times New Roman" w:hAnsi="Times New Roman" w:cs="Times New Roman"/>
        </w:rPr>
      </w:pPr>
      <w:r w:rsidRPr="0059711F">
        <w:rPr>
          <w:rFonts w:ascii="Times New Roman" w:hAnsi="Times New Roman" w:cs="Times New Roman"/>
        </w:rPr>
        <w:t>Ao acontecer a cetose, a presença do β-hidroxibutirato também mostrou potenciais efeitos ao liberar citocinas pró-inflamatórias</w:t>
      </w:r>
      <w:r w:rsidRPr="0059711F">
        <w:rPr>
          <w:rFonts w:ascii="Times New Roman" w:hAnsi="Times New Roman" w:cs="Times New Roman"/>
          <w:vertAlign w:val="superscript"/>
        </w:rPr>
        <w:t>22</w:t>
      </w:r>
      <w:r w:rsidRPr="0059711F">
        <w:rPr>
          <w:rFonts w:ascii="Times New Roman" w:hAnsi="Times New Roman" w:cs="Times New Roman"/>
        </w:rPr>
        <w:t>, como a IL-6 e TNF-α, por se ligar a receptores ácido hidroxicarboxílico nos adipócitos e células imunes</w:t>
      </w:r>
      <w:r w:rsidRPr="0059711F">
        <w:rPr>
          <w:rFonts w:ascii="Times New Roman" w:hAnsi="Times New Roman" w:cs="Times New Roman"/>
          <w:vertAlign w:val="superscript"/>
        </w:rPr>
        <w:t>22</w:t>
      </w:r>
      <w:r w:rsidRPr="0059711F">
        <w:rPr>
          <w:rFonts w:ascii="Times New Roman" w:hAnsi="Times New Roman" w:cs="Times New Roman"/>
        </w:rPr>
        <w:t>. Observou-se também redução nos níveis de PCR-us</w:t>
      </w:r>
      <w:r w:rsidRPr="0059711F">
        <w:rPr>
          <w:rFonts w:ascii="Times New Roman" w:hAnsi="Times New Roman" w:cs="Times New Roman"/>
          <w:vertAlign w:val="superscript"/>
        </w:rPr>
        <w:t>10-13</w:t>
      </w:r>
      <w:r w:rsidRPr="0059711F">
        <w:rPr>
          <w:rFonts w:ascii="Times New Roman" w:hAnsi="Times New Roman" w:cs="Times New Roman"/>
        </w:rPr>
        <w:t>, MIP-1β e NF-κB</w:t>
      </w:r>
      <w:r w:rsidRPr="0059711F">
        <w:rPr>
          <w:rFonts w:ascii="Times New Roman" w:hAnsi="Times New Roman" w:cs="Times New Roman"/>
          <w:vertAlign w:val="superscript"/>
        </w:rPr>
        <w:t>12</w:t>
      </w:r>
      <w:r w:rsidRPr="0059711F">
        <w:rPr>
          <w:rFonts w:ascii="Times New Roman" w:hAnsi="Times New Roman" w:cs="Times New Roman"/>
        </w:rPr>
        <w:t>. O controle dessa inflamação mostrou diminuir edema e o tecido adiposo localizado dessas mulheres, mas sem associação da dor e dor marcadores inflamatórios ligados à fibrose</w:t>
      </w:r>
      <w:r w:rsidRPr="0059711F">
        <w:rPr>
          <w:rFonts w:ascii="Times New Roman" w:hAnsi="Times New Roman" w:cs="Times New Roman"/>
          <w:vertAlign w:val="superscript"/>
        </w:rPr>
        <w:t>12</w:t>
      </w:r>
      <w:r w:rsidRPr="0059711F">
        <w:rPr>
          <w:rFonts w:ascii="Times New Roman" w:hAnsi="Times New Roman" w:cs="Times New Roman"/>
        </w:rPr>
        <w:t xml:space="preserve">. </w:t>
      </w:r>
    </w:p>
    <w:p w14:paraId="40E9E5EF" w14:textId="74C8EE2F" w:rsidR="009C38D7" w:rsidRPr="0059711F" w:rsidRDefault="6E1C6AB6" w:rsidP="1EB41FCB">
      <w:pPr>
        <w:spacing w:line="480" w:lineRule="auto"/>
        <w:rPr>
          <w:rFonts w:ascii="Times New Roman" w:hAnsi="Times New Roman" w:cs="Times New Roman"/>
        </w:rPr>
      </w:pPr>
      <w:r w:rsidRPr="0059711F">
        <w:rPr>
          <w:rFonts w:ascii="Times New Roman" w:hAnsi="Times New Roman" w:cs="Times New Roman"/>
        </w:rPr>
        <w:t>Além dos pontos principais abordados para a redução de peso, o controle calórico e glicêmico também são fundamentais no tratamento</w:t>
      </w:r>
      <w:r w:rsidRPr="0059711F">
        <w:rPr>
          <w:rFonts w:ascii="Times New Roman" w:hAnsi="Times New Roman" w:cs="Times New Roman"/>
          <w:vertAlign w:val="superscript"/>
        </w:rPr>
        <w:t>10-13</w:t>
      </w:r>
      <w:r w:rsidRPr="0059711F">
        <w:rPr>
          <w:rFonts w:ascii="Times New Roman" w:hAnsi="Times New Roman" w:cs="Times New Roman"/>
        </w:rPr>
        <w:t>. Apesar de nem todas as mulheres com lipedema serem acima do peso, é muito comum que a obesidade esteja associada, pois devido às oscilações metabólicas e hormonais, o acúmulo de gordura torna-se mais facilitado</w:t>
      </w:r>
      <w:r w:rsidRPr="0059711F">
        <w:rPr>
          <w:rFonts w:ascii="Times New Roman" w:hAnsi="Times New Roman" w:cs="Times New Roman"/>
          <w:vertAlign w:val="superscript"/>
        </w:rPr>
        <w:t>16,18,21</w:t>
      </w:r>
      <w:r w:rsidRPr="0059711F">
        <w:rPr>
          <w:rFonts w:ascii="Times New Roman" w:hAnsi="Times New Roman" w:cs="Times New Roman"/>
        </w:rPr>
        <w:t xml:space="preserve">.  </w:t>
      </w:r>
      <w:r w:rsidRPr="0059711F">
        <w:rPr>
          <w:rFonts w:ascii="Times New Roman" w:hAnsi="Times New Roman" w:cs="Times New Roman"/>
        </w:rPr>
        <w:lastRenderedPageBreak/>
        <w:t>Com isso, alimentos ricos em carboidratos refinados, açúcares e ultraprocessados podem favorecer para o desbalanço da insulina e glicose</w:t>
      </w:r>
      <w:r w:rsidRPr="0059711F">
        <w:rPr>
          <w:rFonts w:ascii="Times New Roman" w:hAnsi="Times New Roman" w:cs="Times New Roman"/>
          <w:vertAlign w:val="superscript"/>
        </w:rPr>
        <w:t>4,5,13</w:t>
      </w:r>
      <w:r w:rsidRPr="0059711F">
        <w:rPr>
          <w:rFonts w:ascii="Times New Roman" w:hAnsi="Times New Roman" w:cs="Times New Roman"/>
        </w:rPr>
        <w:t>, estimulando maior formação e/ou hipertrofia das células de gordura</w:t>
      </w:r>
      <w:r w:rsidRPr="0059711F">
        <w:rPr>
          <w:rFonts w:ascii="Times New Roman" w:hAnsi="Times New Roman" w:cs="Times New Roman"/>
          <w:vertAlign w:val="superscript"/>
        </w:rPr>
        <w:t>18</w:t>
      </w:r>
      <w:r w:rsidRPr="0059711F">
        <w:rPr>
          <w:rFonts w:ascii="Times New Roman" w:hAnsi="Times New Roman" w:cs="Times New Roman"/>
        </w:rPr>
        <w:t xml:space="preserve">, principalmente nas regiões mais forem afetadas pela doença. </w:t>
      </w:r>
    </w:p>
    <w:p w14:paraId="1214A609" w14:textId="59E26D31" w:rsidR="009C38D7" w:rsidRPr="0059711F" w:rsidRDefault="4FE06737" w:rsidP="4FE06737">
      <w:pPr>
        <w:spacing w:line="480" w:lineRule="auto"/>
        <w:rPr>
          <w:rFonts w:ascii="Times New Roman" w:hAnsi="Times New Roman" w:cs="Times New Roman"/>
        </w:rPr>
      </w:pPr>
      <w:r w:rsidRPr="0059711F">
        <w:rPr>
          <w:rFonts w:ascii="Times New Roman" w:eastAsia="Times New Roman" w:hAnsi="Times New Roman" w:cs="Times New Roman"/>
        </w:rPr>
        <w:t>Em um estudo conduzido por Cannataro et al.</w:t>
      </w:r>
      <w:r w:rsidRPr="0059711F">
        <w:rPr>
          <w:rFonts w:ascii="Times New Roman" w:eastAsia="Times New Roman" w:hAnsi="Times New Roman" w:cs="Times New Roman"/>
          <w:vertAlign w:val="superscript"/>
        </w:rPr>
        <w:t>10</w:t>
      </w:r>
      <w:r w:rsidRPr="0059711F">
        <w:rPr>
          <w:rFonts w:ascii="Times New Roman" w:eastAsia="Times New Roman" w:hAnsi="Times New Roman" w:cs="Times New Roman"/>
        </w:rPr>
        <w:t xml:space="preserve"> é apresentado um relato de caso que avaliou, ao longo de 22 meses, os efeitos de uma dieta cetogênica</w:t>
      </w:r>
      <w:r w:rsidR="00BA7D65" w:rsidRPr="0059711F">
        <w:rPr>
          <w:rFonts w:ascii="Times New Roman" w:eastAsia="Times New Roman" w:hAnsi="Times New Roman" w:cs="Times New Roman"/>
        </w:rPr>
        <w:t>, com 25g/dia de carboidrato</w:t>
      </w:r>
      <w:r w:rsidRPr="0059711F">
        <w:rPr>
          <w:rFonts w:ascii="Times New Roman" w:eastAsia="Times New Roman" w:hAnsi="Times New Roman" w:cs="Times New Roman"/>
        </w:rPr>
        <w:t xml:space="preserve"> no manejo do lipedema. O objetivo foi verificar se a redução drástica de carboidratos poderia melhorar dor, composição corporal e qualidade de vida. A paciente, uma mulher de 32 anos, foi acompanhada com análises bioquímicas, bioimpedância e questionários de dor e qualidade de vida. Os resultados mostraram uma re</w:t>
      </w:r>
      <w:r w:rsidR="008E5AA4" w:rsidRPr="0059711F">
        <w:rPr>
          <w:rFonts w:ascii="Times New Roman" w:eastAsia="Times New Roman" w:hAnsi="Times New Roman" w:cs="Times New Roman"/>
        </w:rPr>
        <w:t>duç</w:t>
      </w:r>
      <w:r w:rsidRPr="0059711F">
        <w:rPr>
          <w:rFonts w:ascii="Times New Roman" w:eastAsia="Times New Roman" w:hAnsi="Times New Roman" w:cs="Times New Roman"/>
        </w:rPr>
        <w:t xml:space="preserve">ão do peso de 41kg, redução significativa das circunferências corporais, melhora de marcadores metabólicos (como insulina e HOMA-IR) e queda expressiva nos escores de dor e limitação funcional, com efeitos colaterais transitórios. Apesar dos desfechos positivos, o estudo inclui apenas uma participante, o que impede generalizações e reforça a necessidade de pesquisas maiores. </w:t>
      </w:r>
      <w:r w:rsidRPr="0059711F">
        <w:rPr>
          <w:rFonts w:ascii="Times New Roman" w:hAnsi="Times New Roman" w:cs="Times New Roman"/>
        </w:rPr>
        <w:t>No entanto, esses achados podem ser importantes no momento de avaliar e aprofundar estudos que busquem a melhor estratégia dietética para o lipedema.</w:t>
      </w:r>
    </w:p>
    <w:p w14:paraId="3D325760" w14:textId="2C7439FE" w:rsidR="009C38D7" w:rsidRPr="0059711F" w:rsidRDefault="6E1C6AB6" w:rsidP="1EB41FCB">
      <w:pPr>
        <w:spacing w:line="480" w:lineRule="auto"/>
        <w:rPr>
          <w:rFonts w:ascii="Times New Roman" w:hAnsi="Times New Roman" w:cs="Times New Roman"/>
        </w:rPr>
      </w:pPr>
      <w:r w:rsidRPr="0059711F">
        <w:rPr>
          <w:rFonts w:ascii="Times New Roman" w:hAnsi="Times New Roman" w:cs="Times New Roman"/>
        </w:rPr>
        <w:t>O manejo nutricional do lipedema em estudos recentes tem demonstrado que dietas de baixo carboidratos em relação a dietas apenas com restrição calórica apresentou efeitos satisfatórios na redução de circunferências relevantes, como a tornozelo, panturrilha e quadris</w:t>
      </w:r>
      <w:r w:rsidRPr="0059711F">
        <w:rPr>
          <w:rFonts w:ascii="Times New Roman" w:hAnsi="Times New Roman" w:cs="Times New Roman"/>
          <w:vertAlign w:val="superscript"/>
        </w:rPr>
        <w:t>4,5,7,8,10</w:t>
      </w:r>
      <w:r w:rsidRPr="0059711F">
        <w:rPr>
          <w:rFonts w:ascii="Times New Roman" w:hAnsi="Times New Roman" w:cs="Times New Roman"/>
        </w:rPr>
        <w:t>. A redução de gordura nessas regiões pode ser explicada por meio do controle da insulina</w:t>
      </w:r>
      <w:r w:rsidRPr="0059711F">
        <w:rPr>
          <w:rFonts w:ascii="Times New Roman" w:hAnsi="Times New Roman" w:cs="Times New Roman"/>
          <w:vertAlign w:val="superscript"/>
        </w:rPr>
        <w:t>7,13</w:t>
      </w:r>
      <w:r w:rsidRPr="0059711F">
        <w:rPr>
          <w:rFonts w:ascii="Times New Roman" w:hAnsi="Times New Roman" w:cs="Times New Roman"/>
        </w:rPr>
        <w:t>, menor acúmulo de fluidos</w:t>
      </w:r>
      <w:r w:rsidRPr="0059711F">
        <w:rPr>
          <w:rFonts w:ascii="Times New Roman" w:hAnsi="Times New Roman" w:cs="Times New Roman"/>
          <w:vertAlign w:val="superscript"/>
        </w:rPr>
        <w:t>5,6,8,9,19</w:t>
      </w:r>
      <w:r w:rsidRPr="0059711F">
        <w:rPr>
          <w:rFonts w:ascii="Times New Roman" w:hAnsi="Times New Roman" w:cs="Times New Roman"/>
        </w:rPr>
        <w:t xml:space="preserve"> e controle do apetite</w:t>
      </w:r>
      <w:r w:rsidRPr="0059711F">
        <w:rPr>
          <w:rFonts w:ascii="Times New Roman" w:hAnsi="Times New Roman" w:cs="Times New Roman"/>
          <w:vertAlign w:val="superscript"/>
        </w:rPr>
        <w:t>14</w:t>
      </w:r>
      <w:r w:rsidRPr="0059711F">
        <w:rPr>
          <w:rFonts w:ascii="Times New Roman" w:hAnsi="Times New Roman" w:cs="Times New Roman"/>
        </w:rPr>
        <w:t>, que através da dieta, favoreceram para um processo de lipólise eficiente e, consequentemente, alterações no tecido fibrótico</w:t>
      </w:r>
      <w:r w:rsidRPr="0059711F">
        <w:rPr>
          <w:rFonts w:ascii="Times New Roman" w:hAnsi="Times New Roman" w:cs="Times New Roman"/>
          <w:vertAlign w:val="superscript"/>
        </w:rPr>
        <w:t>13,22</w:t>
      </w:r>
      <w:r w:rsidRPr="0059711F">
        <w:rPr>
          <w:rFonts w:ascii="Times New Roman" w:hAnsi="Times New Roman" w:cs="Times New Roman"/>
        </w:rPr>
        <w:t>.</w:t>
      </w:r>
    </w:p>
    <w:p w14:paraId="5050FE92" w14:textId="20B6CEF7" w:rsidR="008E5AA4" w:rsidRPr="0059711F" w:rsidRDefault="4FE06737" w:rsidP="4FE06737">
      <w:pPr>
        <w:spacing w:line="480" w:lineRule="auto"/>
        <w:rPr>
          <w:rFonts w:ascii="Times New Roman" w:hAnsi="Times New Roman" w:cs="Times New Roman"/>
          <w:color w:val="EE0000"/>
        </w:rPr>
      </w:pPr>
      <w:r w:rsidRPr="0059711F">
        <w:rPr>
          <w:rFonts w:ascii="Times New Roman" w:hAnsi="Times New Roman" w:cs="Times New Roman"/>
        </w:rPr>
        <w:t xml:space="preserve">Apesar dos resultados promissores, </w:t>
      </w:r>
      <w:r w:rsidR="008E5AA4" w:rsidRPr="0059711F">
        <w:rPr>
          <w:rFonts w:ascii="Times New Roman" w:hAnsi="Times New Roman" w:cs="Times New Roman"/>
        </w:rPr>
        <w:t>a</w:t>
      </w:r>
      <w:r w:rsidRPr="0059711F">
        <w:rPr>
          <w:rFonts w:ascii="Times New Roman" w:hAnsi="Times New Roman" w:cs="Times New Roman"/>
        </w:rPr>
        <w:t xml:space="preserve"> </w:t>
      </w:r>
      <w:r w:rsidR="00BC3DC2" w:rsidRPr="0059711F">
        <w:rPr>
          <w:rFonts w:ascii="Times New Roman" w:hAnsi="Times New Roman" w:cs="Times New Roman"/>
          <w:color w:val="0D0D0D" w:themeColor="text1" w:themeTint="F2"/>
        </w:rPr>
        <w:t>muitos</w:t>
      </w:r>
      <w:r w:rsidR="008E5AA4" w:rsidRPr="0059711F">
        <w:rPr>
          <w:rFonts w:ascii="Times New Roman" w:hAnsi="Times New Roman" w:cs="Times New Roman"/>
          <w:color w:val="0D0D0D" w:themeColor="text1" w:themeTint="F2"/>
        </w:rPr>
        <w:t xml:space="preserve"> dos estudos não são ensaios clínicos, e sem a avaliação comparada à um grupo controle é impossível separar o efeito da restrição de carboidratos </w:t>
      </w:r>
      <w:r w:rsidR="008E5AA4" w:rsidRPr="0059711F">
        <w:rPr>
          <w:rFonts w:ascii="Times New Roman" w:hAnsi="Times New Roman" w:cs="Times New Roman"/>
          <w:i/>
          <w:iCs/>
          <w:color w:val="0D0D0D" w:themeColor="text1" w:themeTint="F2"/>
        </w:rPr>
        <w:t>per se</w:t>
      </w:r>
      <w:r w:rsidR="008E5AA4" w:rsidRPr="0059711F">
        <w:rPr>
          <w:rFonts w:ascii="Times New Roman" w:hAnsi="Times New Roman" w:cs="Times New Roman"/>
          <w:color w:val="0D0D0D" w:themeColor="text1" w:themeTint="F2"/>
        </w:rPr>
        <w:t xml:space="preserve"> do efeito da perda de peso, da restrição calórica geral ou do efeito placebo; </w:t>
      </w:r>
      <w:r w:rsidR="008E5AA4" w:rsidRPr="0059711F">
        <w:rPr>
          <w:rFonts w:ascii="Times New Roman" w:hAnsi="Times New Roman" w:cs="Times New Roman"/>
          <w:color w:val="0D0D0D" w:themeColor="text1" w:themeTint="F2"/>
        </w:rPr>
        <w:lastRenderedPageBreak/>
        <w:t>estudos com amostras pequenas, o que dificulta a generalização dos resultados; falta de padronização na definição de dieta restrita em carboidrato ou com baixo teor (variação muito ampla na quantidade de carboidratos); tempo de duração dos estudos.</w:t>
      </w:r>
    </w:p>
    <w:p w14:paraId="4F4EC8E1" w14:textId="39157B42" w:rsidR="009C38D7" w:rsidRPr="0059711F" w:rsidRDefault="4FE06737" w:rsidP="4FE06737">
      <w:pPr>
        <w:spacing w:line="480" w:lineRule="auto"/>
        <w:rPr>
          <w:rFonts w:ascii="Times New Roman" w:hAnsi="Times New Roman" w:cs="Times New Roman"/>
        </w:rPr>
      </w:pPr>
      <w:r w:rsidRPr="0059711F">
        <w:rPr>
          <w:rFonts w:ascii="Times New Roman" w:hAnsi="Times New Roman" w:cs="Times New Roman"/>
        </w:rPr>
        <w:t xml:space="preserve">É fundamental também investigar os efeitos das dietas sobre marcadores metabólicos e hormonais, além de ensaios clínicos voltados ao ganho de massa muscular, transtornos alimentares e aprofundamento sobre marcadores inflamatórios, sono e saciedade, a fim de compreender melhor os mecanismos envolvidos. </w:t>
      </w:r>
    </w:p>
    <w:p w14:paraId="6FDC9DE1" w14:textId="54221CBB" w:rsidR="76CEB96F" w:rsidRPr="0059711F" w:rsidRDefault="76CEB96F" w:rsidP="76CEB96F">
      <w:pPr>
        <w:spacing w:line="480" w:lineRule="auto"/>
        <w:rPr>
          <w:rFonts w:ascii="Times New Roman" w:hAnsi="Times New Roman" w:cs="Times New Roman"/>
        </w:rPr>
      </w:pPr>
      <w:r w:rsidRPr="0059711F">
        <w:rPr>
          <w:rFonts w:ascii="Times New Roman" w:hAnsi="Times New Roman" w:cs="Times New Roman"/>
        </w:rPr>
        <w:t>Com base na complexidade metabólica e individual relacionadas ao lipedema, entende-se a importância de uma equipe multiprofissional, desde a prevenção (embora ainda não seja totalmente compreendida), ao diagnóstico e tratamento. Apesar dos poucos estudos em busca de uma dieta considerada “ideal”, vê-se efeitos satisfatórios não só no controle de calorias, mas também na qualidade do padrão alimentar vivenciado e no controle de macronutrientes, como o carboidrato. Com isso, o nutricionista tem um papel primordial em aplicar estratégias que ajudem no controle dos sintomas e garanta uma qualidade de vida para essas mulheres.</w:t>
      </w:r>
      <w:bookmarkEnd w:id="3"/>
    </w:p>
    <w:p w14:paraId="54AFF773" w14:textId="583D76C5" w:rsidR="76CEB96F" w:rsidRPr="0059711F" w:rsidRDefault="76CEB96F" w:rsidP="76CEB96F">
      <w:pPr>
        <w:spacing w:line="480" w:lineRule="auto"/>
        <w:rPr>
          <w:rFonts w:ascii="Times New Roman" w:hAnsi="Times New Roman" w:cs="Times New Roman"/>
        </w:rPr>
      </w:pPr>
    </w:p>
    <w:p w14:paraId="1628C448" w14:textId="377FC992" w:rsidR="009C38D7" w:rsidRPr="0059711F" w:rsidRDefault="1EB41FCB" w:rsidP="1EB41FCB">
      <w:pPr>
        <w:spacing w:line="480" w:lineRule="auto"/>
        <w:rPr>
          <w:rFonts w:ascii="Times New Roman" w:hAnsi="Times New Roman" w:cs="Times New Roman"/>
          <w:b/>
          <w:bCs/>
        </w:rPr>
      </w:pPr>
      <w:r w:rsidRPr="0059711F">
        <w:rPr>
          <w:rFonts w:ascii="Times New Roman" w:hAnsi="Times New Roman" w:cs="Times New Roman"/>
          <w:b/>
          <w:bCs/>
        </w:rPr>
        <w:t>Conclusão</w:t>
      </w:r>
    </w:p>
    <w:p w14:paraId="6632265E" w14:textId="685201B1" w:rsidR="009956A3" w:rsidRPr="0059711F" w:rsidRDefault="76CEB96F" w:rsidP="1EB41FCB">
      <w:pPr>
        <w:spacing w:line="480" w:lineRule="auto"/>
        <w:rPr>
          <w:rFonts w:ascii="Times New Roman" w:hAnsi="Times New Roman" w:cs="Times New Roman"/>
        </w:rPr>
      </w:pPr>
      <w:r w:rsidRPr="0059711F">
        <w:rPr>
          <w:rFonts w:ascii="Times New Roman" w:hAnsi="Times New Roman" w:cs="Times New Roman"/>
        </w:rPr>
        <w:t xml:space="preserve">Com base nos estudos analisados, é possível concluir que dietas com baixo teor de carboidratos apresentaram potencial como estratégia complementar no tratamento do lipedema em mulheres. Os principais benefícios observados incluíram a redução de edema, peso e tecido adiposo subcutâneo em regiões afetadas (como circunferências da panturrilha, tornozelo, quadril e cintura), diminuição da dor, melhora de perfil bioquímico (PCR, HDL, hemoglobina glicada, fosfatase alcalina, função hepática, triglicerídeos e perfil glicêmico/insulina, mas com piora de LDL), qualidade de vida (mobilidade, aparência e disposição) e melhora de parâmetros metabólicos relacionados à inflamação (MIP, TNF-α e IL-6). Houve também melhora do sono e da textura da pele nas regiões afetadas, quando </w:t>
      </w:r>
      <w:r w:rsidRPr="0059711F">
        <w:rPr>
          <w:rFonts w:ascii="Times New Roman" w:hAnsi="Times New Roman" w:cs="Times New Roman"/>
        </w:rPr>
        <w:lastRenderedPageBreak/>
        <w:t xml:space="preserve">associada à carboxiterapia. Tais efeitos sugerem que a composição </w:t>
      </w:r>
      <w:r w:rsidR="008E5AA4" w:rsidRPr="0059711F">
        <w:rPr>
          <w:rFonts w:ascii="Times New Roman" w:hAnsi="Times New Roman" w:cs="Times New Roman"/>
        </w:rPr>
        <w:t>macro nutricional</w:t>
      </w:r>
      <w:r w:rsidRPr="0059711F">
        <w:rPr>
          <w:rFonts w:ascii="Times New Roman" w:hAnsi="Times New Roman" w:cs="Times New Roman"/>
        </w:rPr>
        <w:t xml:space="preserve"> e qualitativa da dieta, e não apenas o déficit calórico, pode influenciar positivamente os sintomas e a progressão da doença.</w:t>
      </w:r>
    </w:p>
    <w:p w14:paraId="0304DCA6" w14:textId="77777777" w:rsidR="008E5AA4" w:rsidRPr="0059711F" w:rsidRDefault="008E5AA4" w:rsidP="1EB41FCB">
      <w:pPr>
        <w:spacing w:line="480" w:lineRule="auto"/>
        <w:rPr>
          <w:rFonts w:ascii="Times New Roman" w:hAnsi="Times New Roman" w:cs="Times New Roman"/>
        </w:rPr>
      </w:pPr>
    </w:p>
    <w:p w14:paraId="273B922D" w14:textId="77777777" w:rsidR="008E5AA4" w:rsidRPr="0059711F" w:rsidRDefault="008E5AA4" w:rsidP="1EB41FCB">
      <w:pPr>
        <w:spacing w:line="480" w:lineRule="auto"/>
        <w:rPr>
          <w:rFonts w:ascii="Times New Roman" w:hAnsi="Times New Roman" w:cs="Times New Roman"/>
        </w:rPr>
      </w:pPr>
    </w:p>
    <w:p w14:paraId="0AC01D42" w14:textId="77777777" w:rsidR="008E5AA4" w:rsidRPr="0059711F" w:rsidRDefault="008E5AA4" w:rsidP="1EB41FCB">
      <w:pPr>
        <w:spacing w:line="480" w:lineRule="auto"/>
        <w:rPr>
          <w:rFonts w:ascii="Times New Roman" w:hAnsi="Times New Roman" w:cs="Times New Roman"/>
        </w:rPr>
      </w:pPr>
    </w:p>
    <w:p w14:paraId="378981F7" w14:textId="77777777" w:rsidR="008E5AA4" w:rsidRPr="0059711F" w:rsidRDefault="008E5AA4" w:rsidP="1EB41FCB">
      <w:pPr>
        <w:spacing w:line="480" w:lineRule="auto"/>
        <w:rPr>
          <w:rFonts w:ascii="Times New Roman" w:hAnsi="Times New Roman" w:cs="Times New Roman"/>
        </w:rPr>
      </w:pPr>
    </w:p>
    <w:p w14:paraId="4232B9D9" w14:textId="77777777" w:rsidR="008E5AA4" w:rsidRPr="0059711F" w:rsidRDefault="008E5AA4" w:rsidP="1EB41FCB">
      <w:pPr>
        <w:spacing w:line="480" w:lineRule="auto"/>
        <w:rPr>
          <w:rFonts w:ascii="Times New Roman" w:hAnsi="Times New Roman" w:cs="Times New Roman"/>
        </w:rPr>
      </w:pPr>
    </w:p>
    <w:p w14:paraId="29CA417C" w14:textId="77777777" w:rsidR="008E5AA4" w:rsidRPr="0059711F" w:rsidRDefault="008E5AA4" w:rsidP="1EB41FCB">
      <w:pPr>
        <w:spacing w:line="480" w:lineRule="auto"/>
        <w:rPr>
          <w:rFonts w:ascii="Times New Roman" w:hAnsi="Times New Roman" w:cs="Times New Roman"/>
        </w:rPr>
      </w:pPr>
    </w:p>
    <w:p w14:paraId="0F05A287" w14:textId="14535703" w:rsidR="009956A3" w:rsidRPr="0059711F" w:rsidRDefault="009956A3" w:rsidP="4FE06737">
      <w:pPr>
        <w:spacing w:line="480" w:lineRule="auto"/>
        <w:rPr>
          <w:rFonts w:ascii="Times New Roman" w:hAnsi="Times New Roman" w:cs="Times New Roman"/>
          <w:b/>
          <w:bCs/>
        </w:rPr>
      </w:pPr>
    </w:p>
    <w:p w14:paraId="59C5A254" w14:textId="5DBC121E" w:rsidR="5568D437" w:rsidRPr="0059711F" w:rsidRDefault="5568D437" w:rsidP="5568D437">
      <w:pPr>
        <w:spacing w:line="480" w:lineRule="auto"/>
        <w:rPr>
          <w:rFonts w:ascii="Times New Roman" w:hAnsi="Times New Roman" w:cs="Times New Roman"/>
          <w:b/>
          <w:bCs/>
        </w:rPr>
      </w:pPr>
    </w:p>
    <w:p w14:paraId="0B5440F5" w14:textId="29C9B5B1" w:rsidR="009956A3" w:rsidRPr="0059711F" w:rsidRDefault="009956A3" w:rsidP="76CEB96F">
      <w:pPr>
        <w:spacing w:line="480" w:lineRule="auto"/>
        <w:rPr>
          <w:rFonts w:ascii="Times New Roman" w:hAnsi="Times New Roman" w:cs="Times New Roman"/>
          <w:b/>
          <w:bCs/>
        </w:rPr>
      </w:pPr>
    </w:p>
    <w:p w14:paraId="1F781914" w14:textId="733E17B7" w:rsidR="009956A3" w:rsidRPr="0059711F" w:rsidRDefault="009956A3" w:rsidP="76CEB96F">
      <w:pPr>
        <w:spacing w:line="480" w:lineRule="auto"/>
        <w:rPr>
          <w:rFonts w:ascii="Times New Roman" w:hAnsi="Times New Roman" w:cs="Times New Roman"/>
          <w:b/>
          <w:bCs/>
        </w:rPr>
      </w:pPr>
    </w:p>
    <w:p w14:paraId="3331D97A" w14:textId="08591B58" w:rsidR="009956A3" w:rsidRPr="0059711F" w:rsidRDefault="009956A3" w:rsidP="76CEB96F">
      <w:pPr>
        <w:spacing w:line="480" w:lineRule="auto"/>
        <w:rPr>
          <w:rFonts w:ascii="Times New Roman" w:hAnsi="Times New Roman" w:cs="Times New Roman"/>
          <w:b/>
          <w:bCs/>
        </w:rPr>
      </w:pPr>
    </w:p>
    <w:p w14:paraId="0740DDA9" w14:textId="0B1E7F8C" w:rsidR="6E1C6AB6" w:rsidRPr="0059711F" w:rsidRDefault="6E1C6AB6" w:rsidP="6E1C6AB6">
      <w:pPr>
        <w:spacing w:line="480" w:lineRule="auto"/>
        <w:rPr>
          <w:rFonts w:ascii="Times New Roman" w:hAnsi="Times New Roman" w:cs="Times New Roman"/>
          <w:b/>
          <w:bCs/>
        </w:rPr>
      </w:pPr>
    </w:p>
    <w:p w14:paraId="3545E052" w14:textId="0633228E" w:rsidR="6E1C6AB6" w:rsidRPr="0059711F" w:rsidRDefault="6E1C6AB6" w:rsidP="6E1C6AB6">
      <w:pPr>
        <w:spacing w:line="480" w:lineRule="auto"/>
        <w:rPr>
          <w:rFonts w:ascii="Times New Roman" w:hAnsi="Times New Roman" w:cs="Times New Roman"/>
          <w:b/>
          <w:bCs/>
        </w:rPr>
      </w:pPr>
    </w:p>
    <w:p w14:paraId="5CB67F60" w14:textId="2AD644B9" w:rsidR="6E1C6AB6" w:rsidRPr="0059711F" w:rsidRDefault="6E1C6AB6" w:rsidP="6E1C6AB6">
      <w:pPr>
        <w:spacing w:line="480" w:lineRule="auto"/>
        <w:rPr>
          <w:rFonts w:ascii="Times New Roman" w:hAnsi="Times New Roman" w:cs="Times New Roman"/>
          <w:b/>
          <w:bCs/>
        </w:rPr>
      </w:pPr>
    </w:p>
    <w:p w14:paraId="29F0CDCA" w14:textId="3CE0F14B" w:rsidR="6E1C6AB6" w:rsidRPr="0059711F" w:rsidRDefault="6E1C6AB6" w:rsidP="6E1C6AB6">
      <w:pPr>
        <w:spacing w:line="480" w:lineRule="auto"/>
        <w:rPr>
          <w:rFonts w:ascii="Times New Roman" w:hAnsi="Times New Roman" w:cs="Times New Roman"/>
          <w:b/>
          <w:bCs/>
        </w:rPr>
      </w:pPr>
    </w:p>
    <w:p w14:paraId="518CE816" w14:textId="77777777" w:rsidR="00BA7D65" w:rsidRPr="0059711F" w:rsidRDefault="00BA7D65" w:rsidP="6E1C6AB6">
      <w:pPr>
        <w:spacing w:line="480" w:lineRule="auto"/>
        <w:rPr>
          <w:rFonts w:ascii="Times New Roman" w:hAnsi="Times New Roman" w:cs="Times New Roman"/>
          <w:b/>
          <w:bCs/>
        </w:rPr>
      </w:pPr>
    </w:p>
    <w:p w14:paraId="00354ABB" w14:textId="77777777" w:rsidR="00BA7D65" w:rsidRPr="0059711F" w:rsidRDefault="00BA7D65" w:rsidP="6E1C6AB6">
      <w:pPr>
        <w:spacing w:line="480" w:lineRule="auto"/>
        <w:rPr>
          <w:rFonts w:ascii="Times New Roman" w:hAnsi="Times New Roman" w:cs="Times New Roman"/>
          <w:b/>
          <w:bCs/>
        </w:rPr>
      </w:pPr>
    </w:p>
    <w:p w14:paraId="3BD9BCB0" w14:textId="77777777" w:rsidR="00BA7D65" w:rsidRPr="0059711F" w:rsidRDefault="00BA7D65" w:rsidP="6E1C6AB6">
      <w:pPr>
        <w:spacing w:line="480" w:lineRule="auto"/>
        <w:rPr>
          <w:rFonts w:ascii="Times New Roman" w:hAnsi="Times New Roman" w:cs="Times New Roman"/>
          <w:b/>
          <w:bCs/>
        </w:rPr>
      </w:pPr>
    </w:p>
    <w:p w14:paraId="4E18CC13" w14:textId="77777777" w:rsidR="00BA7D65" w:rsidRPr="0059711F" w:rsidRDefault="00BA7D65" w:rsidP="6E1C6AB6">
      <w:pPr>
        <w:spacing w:line="480" w:lineRule="auto"/>
        <w:rPr>
          <w:rFonts w:ascii="Times New Roman" w:hAnsi="Times New Roman" w:cs="Times New Roman"/>
          <w:b/>
          <w:bCs/>
        </w:rPr>
      </w:pPr>
    </w:p>
    <w:p w14:paraId="184BE179" w14:textId="77777777" w:rsidR="00BA7D65" w:rsidRPr="0059711F" w:rsidRDefault="00BA7D65" w:rsidP="6E1C6AB6">
      <w:pPr>
        <w:spacing w:line="480" w:lineRule="auto"/>
        <w:rPr>
          <w:rFonts w:ascii="Times New Roman" w:hAnsi="Times New Roman" w:cs="Times New Roman"/>
          <w:b/>
          <w:bCs/>
        </w:rPr>
      </w:pPr>
    </w:p>
    <w:p w14:paraId="0442D419" w14:textId="77777777" w:rsidR="00BA7D65" w:rsidRPr="0059711F" w:rsidRDefault="00BA7D65" w:rsidP="6E1C6AB6">
      <w:pPr>
        <w:spacing w:line="480" w:lineRule="auto"/>
        <w:rPr>
          <w:rFonts w:ascii="Times New Roman" w:hAnsi="Times New Roman" w:cs="Times New Roman"/>
          <w:b/>
          <w:bCs/>
        </w:rPr>
      </w:pPr>
    </w:p>
    <w:p w14:paraId="3165CDE4" w14:textId="57205ACB" w:rsidR="6E1C6AB6" w:rsidRPr="0059711F" w:rsidRDefault="6E1C6AB6" w:rsidP="6E1C6AB6">
      <w:pPr>
        <w:spacing w:line="480" w:lineRule="auto"/>
        <w:rPr>
          <w:rFonts w:ascii="Times New Roman" w:hAnsi="Times New Roman" w:cs="Times New Roman"/>
          <w:b/>
          <w:bCs/>
        </w:rPr>
      </w:pPr>
    </w:p>
    <w:p w14:paraId="1652A5FE" w14:textId="471505E1" w:rsidR="009956A3" w:rsidRPr="0059711F" w:rsidRDefault="76CEB96F" w:rsidP="76CEB96F">
      <w:pPr>
        <w:spacing w:line="480" w:lineRule="auto"/>
        <w:rPr>
          <w:rFonts w:ascii="Times New Roman" w:hAnsi="Times New Roman" w:cs="Times New Roman"/>
          <w:b/>
          <w:bCs/>
        </w:rPr>
      </w:pPr>
      <w:r w:rsidRPr="0059711F">
        <w:rPr>
          <w:rFonts w:ascii="Times New Roman" w:hAnsi="Times New Roman" w:cs="Times New Roman"/>
          <w:b/>
          <w:bCs/>
        </w:rPr>
        <w:lastRenderedPageBreak/>
        <w:t>Referências</w:t>
      </w:r>
    </w:p>
    <w:p w14:paraId="46B3BE7B" w14:textId="24EBF839" w:rsidR="4FE06737" w:rsidRPr="0059711F" w:rsidRDefault="4FE06737" w:rsidP="4FE06737">
      <w:pPr>
        <w:pStyle w:val="PargrafodaLista"/>
        <w:numPr>
          <w:ilvl w:val="0"/>
          <w:numId w:val="1"/>
        </w:numPr>
        <w:spacing w:line="480" w:lineRule="auto"/>
        <w:rPr>
          <w:rFonts w:ascii="Times New Roman" w:eastAsia="Times New Roman" w:hAnsi="Times New Roman" w:cs="Times New Roman"/>
          <w:lang w:val="en-US"/>
        </w:rPr>
      </w:pPr>
      <w:r w:rsidRPr="0059711F">
        <w:rPr>
          <w:rFonts w:ascii="Times New Roman" w:eastAsia="Times New Roman" w:hAnsi="Times New Roman" w:cs="Times New Roman"/>
          <w:lang w:val="en-US"/>
        </w:rPr>
        <w:t>Forner-Cordero I, Forner-Cordero A, Szolnoky G. Update in the management of lipedema. Minerva Medica. 2021</w:t>
      </w:r>
      <w:r w:rsidRPr="0059711F">
        <w:rPr>
          <w:rFonts w:ascii="Times New Roman" w:eastAsia="Times New Roman" w:hAnsi="Times New Roman" w:cs="Times New Roman"/>
          <w:color w:val="000000" w:themeColor="text1"/>
          <w:lang w:val="en-US"/>
        </w:rPr>
        <w:t>;40(4):345-57. http://10.23736/S0392-9590.21.04604-6</w:t>
      </w:r>
    </w:p>
    <w:p w14:paraId="1D3DF95C" w14:textId="7A705794" w:rsidR="4FE06737" w:rsidRPr="0059711F" w:rsidRDefault="4FE06737" w:rsidP="4FE06737">
      <w:pPr>
        <w:pStyle w:val="PargrafodaLista"/>
        <w:numPr>
          <w:ilvl w:val="0"/>
          <w:numId w:val="1"/>
        </w:numPr>
        <w:spacing w:line="480" w:lineRule="auto"/>
        <w:rPr>
          <w:rFonts w:ascii="Times New Roman" w:eastAsia="Times New Roman" w:hAnsi="Times New Roman" w:cs="Times New Roman"/>
        </w:rPr>
      </w:pPr>
      <w:r w:rsidRPr="0059711F">
        <w:rPr>
          <w:rFonts w:ascii="Times New Roman" w:eastAsia="Times New Roman" w:hAnsi="Times New Roman" w:cs="Times New Roman"/>
        </w:rPr>
        <w:t xml:space="preserve">Amato ACM, Amato FCM, Amato JLS, Benitti DA. Prevalência e fatores de risco para lipedema no Brasil. J Vasc Bras. 2022;21:e20210198. </w:t>
      </w:r>
      <w:r w:rsidRPr="0059711F">
        <w:rPr>
          <w:rFonts w:ascii="Times New Roman" w:eastAsia="Times New Roman" w:hAnsi="Times New Roman" w:cs="Times New Roman"/>
          <w:color w:val="000000" w:themeColor="text1"/>
        </w:rPr>
        <w:t>https://doi.org/10.1590/1677-5449.202101981</w:t>
      </w:r>
    </w:p>
    <w:p w14:paraId="63A55D68" w14:textId="7E72CBCE" w:rsidR="4FE06737" w:rsidRPr="0059711F" w:rsidRDefault="6E1C6AB6" w:rsidP="4FE06737">
      <w:pPr>
        <w:pStyle w:val="PargrafodaLista"/>
        <w:numPr>
          <w:ilvl w:val="0"/>
          <w:numId w:val="1"/>
        </w:numPr>
        <w:spacing w:line="480" w:lineRule="auto"/>
        <w:rPr>
          <w:rFonts w:ascii="Times New Roman" w:eastAsia="Times New Roman" w:hAnsi="Times New Roman" w:cs="Times New Roman"/>
          <w:lang w:val="en-US"/>
        </w:rPr>
      </w:pPr>
      <w:r w:rsidRPr="0059711F">
        <w:rPr>
          <w:rFonts w:ascii="Times New Roman" w:eastAsia="Times New Roman" w:hAnsi="Times New Roman" w:cs="Times New Roman"/>
        </w:rPr>
        <w:t xml:space="preserve">Kamamoto F, Baiocchi JMT, Batista BN, Ribeiro RDA, Modena DAO, Gornati VC. </w:t>
      </w:r>
      <w:r w:rsidRPr="0059711F">
        <w:rPr>
          <w:rFonts w:ascii="Times New Roman" w:eastAsia="Times New Roman" w:hAnsi="Times New Roman" w:cs="Times New Roman"/>
          <w:lang w:val="en-US"/>
        </w:rPr>
        <w:t xml:space="preserve">Lipedema: exploring pathophysiology and treatment strategies – state of the art. J Vasc Bras. 2024;23:e20240025. </w:t>
      </w:r>
      <w:hyperlink r:id="rId9" w:history="1">
        <w:r w:rsidR="00EE3872" w:rsidRPr="0059711F">
          <w:rPr>
            <w:rStyle w:val="Hyperlink"/>
            <w:rFonts w:ascii="Times New Roman" w:eastAsia="Times New Roman" w:hAnsi="Times New Roman" w:cs="Times New Roman"/>
            <w:lang w:val="en-US"/>
          </w:rPr>
          <w:t>https://doi.org/10.1590/1677- 5449.20240025</w:t>
        </w:r>
      </w:hyperlink>
    </w:p>
    <w:p w14:paraId="7773F630" w14:textId="6888C89D" w:rsidR="6E1C6AB6" w:rsidRPr="0059711F" w:rsidRDefault="00EE3872" w:rsidP="00EE3872">
      <w:pPr>
        <w:pStyle w:val="PargrafodaLista"/>
        <w:numPr>
          <w:ilvl w:val="0"/>
          <w:numId w:val="1"/>
        </w:numPr>
        <w:spacing w:line="480" w:lineRule="auto"/>
        <w:rPr>
          <w:rFonts w:ascii="Times New Roman" w:eastAsia="Times New Roman" w:hAnsi="Times New Roman" w:cs="Times New Roman"/>
          <w:color w:val="000000" w:themeColor="text1"/>
        </w:rPr>
      </w:pPr>
      <w:r w:rsidRPr="0059711F">
        <w:rPr>
          <w:rFonts w:ascii="Times New Roman" w:eastAsia="Times New Roman" w:hAnsi="Times New Roman" w:cs="Times New Roman"/>
          <w:lang w:val="en-US"/>
        </w:rPr>
        <w:t>Jeziorek M, Chachaj A, Sowiz M. The benefits of low-carbohydrate, high-fat (LCHF) diet on body composition, leg volume, and pain in women with lipedema. J of Obsity. 2023;5826630;11:4-5</w:t>
      </w:r>
      <w:r w:rsidRPr="0059711F">
        <w:rPr>
          <w:rFonts w:ascii="Times New Roman" w:eastAsia="Times New Roman" w:hAnsi="Times New Roman" w:cs="Times New Roman"/>
          <w:color w:val="000000" w:themeColor="text1"/>
          <w:lang w:val="en-US"/>
        </w:rPr>
        <w:t>. https://doi.org/10.1155/2023/5826630</w:t>
      </w:r>
    </w:p>
    <w:p w14:paraId="33AAE2FB" w14:textId="41055A52" w:rsidR="00325CC9" w:rsidRPr="0059711F" w:rsidRDefault="6E1C6AB6" w:rsidP="1EB41FCB">
      <w:pPr>
        <w:pStyle w:val="PargrafodaLista"/>
        <w:numPr>
          <w:ilvl w:val="0"/>
          <w:numId w:val="1"/>
        </w:numPr>
        <w:spacing w:line="480" w:lineRule="auto"/>
        <w:rPr>
          <w:rFonts w:ascii="Times New Roman" w:eastAsia="Times New Roman" w:hAnsi="Times New Roman" w:cs="Times New Roman"/>
          <w:lang w:val="en-US"/>
        </w:rPr>
      </w:pPr>
      <w:r w:rsidRPr="0059711F">
        <w:rPr>
          <w:rFonts w:ascii="Times New Roman" w:eastAsia="Times New Roman" w:hAnsi="Times New Roman" w:cs="Times New Roman"/>
          <w:lang w:val="en-US"/>
        </w:rPr>
        <w:t>Di Renzo L, Gualtieri P, Zomparelli S, et al. Modified mediterraneanketogenic diet and carboxytherapy as personalized therapeutic strategies in lipedema: a pilot study. Nutrients. 2023;15:3654. https:// doi.org/10.3390/nu15163654</w:t>
      </w:r>
    </w:p>
    <w:p w14:paraId="36420637" w14:textId="68A47B60" w:rsidR="6E1C6AB6" w:rsidRPr="0059711F" w:rsidRDefault="6E1C6AB6" w:rsidP="6E1C6AB6">
      <w:pPr>
        <w:pStyle w:val="PargrafodaLista"/>
        <w:numPr>
          <w:ilvl w:val="0"/>
          <w:numId w:val="1"/>
        </w:numPr>
        <w:spacing w:line="480" w:lineRule="auto"/>
        <w:rPr>
          <w:rFonts w:ascii="Times New Roman" w:eastAsia="Times New Roman" w:hAnsi="Times New Roman" w:cs="Times New Roman"/>
          <w:lang w:val="en-US"/>
        </w:rPr>
      </w:pPr>
      <w:r w:rsidRPr="0059711F">
        <w:rPr>
          <w:rFonts w:ascii="Times New Roman" w:eastAsia="Times New Roman" w:hAnsi="Times New Roman" w:cs="Times New Roman"/>
          <w:lang w:val="en-US"/>
        </w:rPr>
        <w:t>Jeziorek M, Szuba A, Sowicz M, Adaszy ´nska A, Kujawa K, Chachaj A. The effect of a low-carbohydrate high-fat diet on laboratory parameters in women with lipedema in comparison to overweight/obese women. Nutrients. 2023;15:2619. https://doi.org/10.3390/nu15112619</w:t>
      </w:r>
    </w:p>
    <w:p w14:paraId="59889A00" w14:textId="77777777" w:rsidR="00EE3872" w:rsidRPr="0059711F" w:rsidRDefault="00EE3872" w:rsidP="00EE3872">
      <w:pPr>
        <w:pStyle w:val="PargrafodaLista"/>
        <w:numPr>
          <w:ilvl w:val="0"/>
          <w:numId w:val="1"/>
        </w:numPr>
        <w:spacing w:line="480" w:lineRule="auto"/>
        <w:rPr>
          <w:rFonts w:ascii="Times New Roman" w:eastAsia="Times New Roman" w:hAnsi="Times New Roman" w:cs="Times New Roman"/>
          <w:color w:val="000000" w:themeColor="text1"/>
        </w:rPr>
      </w:pPr>
      <w:r w:rsidRPr="0059711F">
        <w:rPr>
          <w:rFonts w:ascii="Times New Roman" w:eastAsia="Times New Roman" w:hAnsi="Times New Roman" w:cs="Times New Roman"/>
          <w:color w:val="000000" w:themeColor="text1"/>
          <w:lang w:val="en-US"/>
        </w:rPr>
        <w:t xml:space="preserve">Lundanes J, Sandnes F, Gjeilo KH, et al. Effect of a low-carbohydrate diet on pain and quality of life in female patients with lipedema: a randomized controlled trial. Obesity (Silver Spring). 2024; 32(6):1071-1082. </w:t>
      </w:r>
      <w:hyperlink r:id="rId10">
        <w:r w:rsidRPr="0059711F">
          <w:rPr>
            <w:rStyle w:val="Hyperlink"/>
            <w:rFonts w:ascii="Times New Roman" w:eastAsia="Times New Roman" w:hAnsi="Times New Roman" w:cs="Times New Roman"/>
            <w:color w:val="000000" w:themeColor="text1"/>
            <w:u w:val="none"/>
            <w:lang w:val="en-US"/>
          </w:rPr>
          <w:t>https://doi.org/10.1002%2Foby.24026</w:t>
        </w:r>
      </w:hyperlink>
    </w:p>
    <w:p w14:paraId="338951CD" w14:textId="3BDB3B98" w:rsidR="4FE06737" w:rsidRPr="0059711F" w:rsidRDefault="4FE06737" w:rsidP="4FE06737">
      <w:pPr>
        <w:pStyle w:val="PargrafodaLista"/>
        <w:numPr>
          <w:ilvl w:val="0"/>
          <w:numId w:val="1"/>
        </w:numPr>
        <w:spacing w:line="480" w:lineRule="auto"/>
        <w:rPr>
          <w:rFonts w:ascii="Times New Roman" w:eastAsia="Times New Roman" w:hAnsi="Times New Roman" w:cs="Times New Roman"/>
        </w:rPr>
      </w:pPr>
      <w:r w:rsidRPr="0059711F">
        <w:rPr>
          <w:rFonts w:ascii="Times New Roman" w:eastAsia="Times New Roman" w:hAnsi="Times New Roman" w:cs="Times New Roman"/>
          <w:lang w:val="en-US"/>
        </w:rPr>
        <w:lastRenderedPageBreak/>
        <w:t>Sørlie V, Soysa A, Hyldmo Å, Retterstøl K, Martins C, Nymo S. Effect of a ketogenic diet on pain and quality of life inpatients with lipedema: The lipodiet pilot study. Obes Sci Pract. 2022;8:483–493. https://doi.org/10.2147/DMSO.S377720</w:t>
      </w:r>
    </w:p>
    <w:p w14:paraId="618D11F8" w14:textId="2A4F8A63" w:rsidR="00325CC9" w:rsidRPr="0059711F" w:rsidRDefault="4FE06737" w:rsidP="1EB41FCB">
      <w:pPr>
        <w:pStyle w:val="PargrafodaLista"/>
        <w:numPr>
          <w:ilvl w:val="0"/>
          <w:numId w:val="1"/>
        </w:numPr>
        <w:spacing w:line="480" w:lineRule="auto"/>
        <w:rPr>
          <w:rFonts w:ascii="Times New Roman" w:eastAsia="Times New Roman" w:hAnsi="Times New Roman" w:cs="Times New Roman"/>
          <w:lang w:val="en-US"/>
        </w:rPr>
      </w:pPr>
      <w:r w:rsidRPr="0059711F">
        <w:rPr>
          <w:rFonts w:ascii="Times New Roman" w:eastAsia="Times New Roman" w:hAnsi="Times New Roman" w:cs="Times New Roman"/>
          <w:lang w:val="en-US"/>
        </w:rPr>
        <w:t xml:space="preserve">Jeziorek M, Szuba A, Kujawa K, Regulska-Ilow B. The effect of a low-carbohydrate, high-fat diet versus moderate-carbohydrate and fat diet on body composition in </w:t>
      </w:r>
      <w:r w:rsidRPr="0059711F">
        <w:rPr>
          <w:rFonts w:ascii="Times New Roman" w:eastAsia="Times New Roman" w:hAnsi="Times New Roman" w:cs="Times New Roman"/>
          <w:color w:val="000000" w:themeColor="text1"/>
          <w:lang w:val="en-US"/>
        </w:rPr>
        <w:t>patients with lipedema. Dovepress. 2022;15:2545–2561. https://doi.org/10.2147/DMSO.S377720</w:t>
      </w:r>
    </w:p>
    <w:p w14:paraId="67D818BC" w14:textId="75A0657C" w:rsidR="4FE06737" w:rsidRPr="0059711F" w:rsidRDefault="4FE06737" w:rsidP="4FE06737">
      <w:pPr>
        <w:pStyle w:val="PargrafodaLista"/>
        <w:numPr>
          <w:ilvl w:val="0"/>
          <w:numId w:val="1"/>
        </w:numPr>
        <w:spacing w:line="480" w:lineRule="auto"/>
        <w:rPr>
          <w:rFonts w:ascii="Times New Roman" w:eastAsia="Times New Roman" w:hAnsi="Times New Roman" w:cs="Times New Roman"/>
          <w:lang w:val="en-US"/>
        </w:rPr>
      </w:pPr>
      <w:r w:rsidRPr="0059711F">
        <w:rPr>
          <w:rFonts w:ascii="Times New Roman" w:eastAsia="Times New Roman" w:hAnsi="Times New Roman" w:cs="Times New Roman"/>
          <w:lang w:val="en-US"/>
        </w:rPr>
        <w:t>Cannataro R, et al. Management of lipedema with ketogenic diet: 22-month follow-up. Life. 2021;11,1402. https://doi.org/10.3390/life11121402</w:t>
      </w:r>
    </w:p>
    <w:p w14:paraId="738A8A36" w14:textId="4500867C" w:rsidR="00325CC9" w:rsidRPr="0059711F" w:rsidRDefault="4FE06737" w:rsidP="1EB41FCB">
      <w:pPr>
        <w:pStyle w:val="PargrafodaLista"/>
        <w:numPr>
          <w:ilvl w:val="0"/>
          <w:numId w:val="1"/>
        </w:numPr>
        <w:spacing w:line="480" w:lineRule="auto"/>
        <w:rPr>
          <w:rFonts w:ascii="Times New Roman" w:eastAsia="Times New Roman" w:hAnsi="Times New Roman" w:cs="Times New Roman"/>
        </w:rPr>
      </w:pPr>
      <w:r w:rsidRPr="0059711F">
        <w:rPr>
          <w:rFonts w:ascii="Times New Roman" w:eastAsia="Times New Roman" w:hAnsi="Times New Roman" w:cs="Times New Roman"/>
          <w:lang w:val="en-US"/>
        </w:rPr>
        <w:t>Lundanes J, Gårseth M, Taylor S, et al. The effect of a low-carbohydrate diet on subcutaneous adipose tissue in females with lipedema. Front Nutr. 2024;11:1484612. https://doi.org/10.3389/fnut.2024.1484612</w:t>
      </w:r>
    </w:p>
    <w:p w14:paraId="323903B7" w14:textId="0820EE03" w:rsidR="00325CC9" w:rsidRPr="0059711F" w:rsidRDefault="4FE06737" w:rsidP="1EB41FCB">
      <w:pPr>
        <w:pStyle w:val="PargrafodaLista"/>
        <w:numPr>
          <w:ilvl w:val="0"/>
          <w:numId w:val="1"/>
        </w:numPr>
        <w:spacing w:line="480" w:lineRule="auto"/>
        <w:rPr>
          <w:rFonts w:ascii="Times New Roman" w:eastAsia="Times New Roman" w:hAnsi="Times New Roman" w:cs="Times New Roman"/>
          <w:lang w:val="en-US"/>
        </w:rPr>
      </w:pPr>
      <w:r w:rsidRPr="0059711F">
        <w:rPr>
          <w:rFonts w:ascii="Times New Roman" w:eastAsia="Times New Roman" w:hAnsi="Times New Roman" w:cs="Times New Roman"/>
          <w:lang w:val="en-US"/>
        </w:rPr>
        <w:t xml:space="preserve">Lundanes J, Nes V, Aakervik O, et al. Changes in cytokines and fibrotic growth factors after low-carbohydrate or low-fat low-energy diets in females with lipedema. </w:t>
      </w:r>
      <w:r w:rsidRPr="0059711F">
        <w:rPr>
          <w:rFonts w:ascii="Times New Roman" w:eastAsia="Times New Roman" w:hAnsi="Times New Roman" w:cs="Times New Roman"/>
          <w:color w:val="000000" w:themeColor="text1"/>
          <w:lang w:val="en-US"/>
        </w:rPr>
        <w:t>Current Developments in Nutrition. 2025;9:104571 https://doi.org/10.1016/j.cdnut.2025.104571</w:t>
      </w:r>
    </w:p>
    <w:p w14:paraId="2CC24335" w14:textId="6E1BC104" w:rsidR="4FE06737" w:rsidRPr="0059711F" w:rsidRDefault="4FE06737" w:rsidP="4FE06737">
      <w:pPr>
        <w:pStyle w:val="PargrafodaLista"/>
        <w:numPr>
          <w:ilvl w:val="0"/>
          <w:numId w:val="1"/>
        </w:numPr>
        <w:spacing w:line="480" w:lineRule="auto"/>
        <w:rPr>
          <w:rFonts w:ascii="Times New Roman" w:eastAsia="Times New Roman" w:hAnsi="Times New Roman" w:cs="Times New Roman"/>
          <w:lang w:val="en-US"/>
        </w:rPr>
      </w:pPr>
      <w:r w:rsidRPr="0059711F">
        <w:rPr>
          <w:rFonts w:ascii="Times New Roman" w:eastAsia="Times New Roman" w:hAnsi="Times New Roman" w:cs="Times New Roman"/>
          <w:color w:val="1B1B1B"/>
          <w:lang w:val="en-US"/>
        </w:rPr>
        <w:t>Jeziorek M, Chachaj A, Szuba A, Różańska D, Prescha A. Exploring the Anti-Inflammatory Potential of a Mediterranean-Style Ketogenic Diet in Women with Lipedema. Nutrients. 2025;17(18):3014. https:</w:t>
      </w:r>
      <w:r w:rsidRPr="0059711F">
        <w:rPr>
          <w:rFonts w:ascii="Times New Roman" w:eastAsia="Times New Roman" w:hAnsi="Times New Roman" w:cs="Times New Roman"/>
          <w:color w:val="000000" w:themeColor="text1"/>
          <w:lang w:val="en-US"/>
        </w:rPr>
        <w:t>//10.3390/nu17183014</w:t>
      </w:r>
    </w:p>
    <w:p w14:paraId="499E9A6F" w14:textId="7A81036E" w:rsidR="00325CC9" w:rsidRPr="0059711F" w:rsidRDefault="4FE06737" w:rsidP="1EB41FCB">
      <w:pPr>
        <w:pStyle w:val="PargrafodaLista"/>
        <w:numPr>
          <w:ilvl w:val="0"/>
          <w:numId w:val="1"/>
        </w:numPr>
        <w:spacing w:line="480" w:lineRule="auto"/>
        <w:rPr>
          <w:rFonts w:ascii="Times New Roman" w:eastAsia="Times New Roman" w:hAnsi="Times New Roman" w:cs="Times New Roman"/>
        </w:rPr>
      </w:pPr>
      <w:r w:rsidRPr="0059711F">
        <w:rPr>
          <w:rFonts w:ascii="Times New Roman" w:eastAsia="Times New Roman" w:hAnsi="Times New Roman" w:cs="Times New Roman"/>
          <w:lang w:val="en-US"/>
        </w:rPr>
        <w:t xml:space="preserve">Lundanes J, Storliløkken GE, Solem MS, et al. Gastrointestinal hormones and subjective ratings of appetite after low-carbohydrate vs low-fat low-energy diets in females with lipedema: a randomized controlled trial. Clin Nutr ESPEN. 2025;65:16-24. https://doi.org/10.1016/j.clnesp.2024.11.018                </w:t>
      </w:r>
    </w:p>
    <w:p w14:paraId="24AFD44C" w14:textId="280947A3" w:rsidR="00325CC9" w:rsidRPr="0059711F" w:rsidRDefault="4FE06737" w:rsidP="4FE06737">
      <w:pPr>
        <w:pStyle w:val="PargrafodaLista"/>
        <w:numPr>
          <w:ilvl w:val="0"/>
          <w:numId w:val="1"/>
        </w:numPr>
        <w:spacing w:line="480" w:lineRule="auto"/>
        <w:rPr>
          <w:rFonts w:ascii="Times New Roman" w:eastAsia="Times New Roman" w:hAnsi="Times New Roman" w:cs="Times New Roman"/>
          <w:lang w:val="en-US"/>
        </w:rPr>
      </w:pPr>
      <w:r w:rsidRPr="0059711F">
        <w:rPr>
          <w:rFonts w:ascii="Times New Roman" w:eastAsia="Times New Roman" w:hAnsi="Times New Roman" w:cs="Times New Roman"/>
          <w:lang w:val="en-US"/>
        </w:rPr>
        <w:lastRenderedPageBreak/>
        <w:t>Poojari A, Dev K, Rabiee A. Lipedema: insights into morphology, pathophysiology, and challenges. Biomedicines. 2022;30;10(12):3081. https://doi.org/10.3390/biomedicines10123081</w:t>
      </w:r>
    </w:p>
    <w:p w14:paraId="73E31357" w14:textId="0C439762" w:rsidR="00325CC9" w:rsidRPr="0059711F" w:rsidRDefault="4FE06737" w:rsidP="1EB41FCB">
      <w:pPr>
        <w:pStyle w:val="PargrafodaLista"/>
        <w:numPr>
          <w:ilvl w:val="0"/>
          <w:numId w:val="1"/>
        </w:numPr>
        <w:spacing w:line="480" w:lineRule="auto"/>
        <w:rPr>
          <w:rFonts w:ascii="Times New Roman" w:eastAsia="Times New Roman" w:hAnsi="Times New Roman" w:cs="Times New Roman"/>
        </w:rPr>
      </w:pPr>
      <w:r w:rsidRPr="0059711F">
        <w:rPr>
          <w:rFonts w:ascii="Times New Roman" w:eastAsia="Times New Roman" w:hAnsi="Times New Roman" w:cs="Times New Roman"/>
          <w:lang w:val="en-US"/>
        </w:rPr>
        <w:t>Herbst KL, Kahn LA, Iker E, et al. Standard of care for lipedema in the United States. Phlebology: The Journal of Venous Disease. 2021;36(10):779-796. https://doi.org/10.1177/02683555211015887</w:t>
      </w:r>
    </w:p>
    <w:p w14:paraId="23587368" w14:textId="32737831" w:rsidR="4FE06737" w:rsidRPr="0059711F" w:rsidRDefault="4FE06737" w:rsidP="4FE06737">
      <w:pPr>
        <w:pStyle w:val="PargrafodaLista"/>
        <w:numPr>
          <w:ilvl w:val="0"/>
          <w:numId w:val="1"/>
        </w:numPr>
        <w:spacing w:line="480" w:lineRule="auto"/>
        <w:rPr>
          <w:rFonts w:ascii="Times New Roman" w:eastAsia="Times New Roman" w:hAnsi="Times New Roman" w:cs="Times New Roman"/>
        </w:rPr>
      </w:pPr>
      <w:r w:rsidRPr="0059711F">
        <w:rPr>
          <w:rFonts w:ascii="Times New Roman" w:eastAsia="Times New Roman" w:hAnsi="Times New Roman" w:cs="Times New Roman"/>
        </w:rPr>
        <w:t>Amato ACM, Amato FCM, Benitti DA, Santos RV. Tradução, adaptação cultural e validação do questionário de avaliação sintomática do lipedema (QuASiL). J Vasc Bras. 2020;19:e20200049. https://doi.org/10.1590/1677-5449.200049</w:t>
      </w:r>
    </w:p>
    <w:p w14:paraId="74C4FF09" w14:textId="627713BD" w:rsidR="4FE06737" w:rsidRPr="0059711F" w:rsidRDefault="4FE06737" w:rsidP="4FE06737">
      <w:pPr>
        <w:pStyle w:val="PargrafodaLista"/>
        <w:numPr>
          <w:ilvl w:val="0"/>
          <w:numId w:val="1"/>
        </w:numPr>
        <w:spacing w:line="480" w:lineRule="auto"/>
        <w:rPr>
          <w:rFonts w:ascii="Times New Roman" w:eastAsia="Times New Roman" w:hAnsi="Times New Roman" w:cs="Times New Roman"/>
          <w:lang w:val="en-US"/>
        </w:rPr>
      </w:pPr>
      <w:r w:rsidRPr="0059711F">
        <w:rPr>
          <w:rFonts w:ascii="Times New Roman" w:eastAsia="Times New Roman" w:hAnsi="Times New Roman" w:cs="Times New Roman"/>
          <w:color w:val="222222"/>
          <w:lang w:val="en-US"/>
        </w:rPr>
        <w:t xml:space="preserve">AL-Ghadban, S.; Cromer, W.; Allen, M.; Ussery, C.; Badowski, M.; Harris, D.; Herbst, K.L. Dilated Blood and Lymphatic Microvessels, Angiogenesis, Increased Macrophages, and Adipocyte Hypertrophy in Lipedema Thigh Skin and Fat Tissue. J. Obes. 2019;10(3-9). </w:t>
      </w:r>
      <w:r w:rsidRPr="0059711F">
        <w:rPr>
          <w:rFonts w:ascii="Times New Roman" w:eastAsia="Times New Roman" w:hAnsi="Times New Roman" w:cs="Times New Roman"/>
          <w:lang w:val="en-US"/>
        </w:rPr>
        <w:t>https://doi.org/10.1155/2019/8747461</w:t>
      </w:r>
    </w:p>
    <w:p w14:paraId="5F41CE99" w14:textId="5B30A16D" w:rsidR="4FE06737" w:rsidRPr="0059711F" w:rsidRDefault="4FE06737" w:rsidP="4FE06737">
      <w:pPr>
        <w:pStyle w:val="PargrafodaLista"/>
        <w:numPr>
          <w:ilvl w:val="0"/>
          <w:numId w:val="1"/>
        </w:numPr>
        <w:spacing w:line="480" w:lineRule="auto"/>
        <w:rPr>
          <w:rFonts w:ascii="Times New Roman" w:eastAsia="Times New Roman" w:hAnsi="Times New Roman" w:cs="Times New Roman"/>
          <w:color w:val="000000" w:themeColor="text1"/>
          <w:lang w:val="en-US"/>
        </w:rPr>
      </w:pPr>
      <w:r w:rsidRPr="0059711F">
        <w:rPr>
          <w:rFonts w:ascii="Times New Roman" w:eastAsia="Times New Roman" w:hAnsi="Times New Roman" w:cs="Times New Roman"/>
          <w:color w:val="000000" w:themeColor="text1"/>
          <w:lang w:val="en-US"/>
        </w:rPr>
        <w:t>Crescenzi R, et al. Tissue Sodium Content is Elevated in the Skin and Subcutaneous Adipose Tissue in Women with Lipedema. Obesity (Silver Spring). 2018;26:310–7. https://https://doi.org/10.1002/oby.22090</w:t>
      </w:r>
    </w:p>
    <w:p w14:paraId="5E4862EB" w14:textId="7581B580" w:rsidR="4FE06737" w:rsidRPr="0059711F" w:rsidRDefault="4FE06737" w:rsidP="4FE06737">
      <w:pPr>
        <w:pStyle w:val="PargrafodaLista"/>
        <w:numPr>
          <w:ilvl w:val="0"/>
          <w:numId w:val="1"/>
        </w:numPr>
        <w:spacing w:line="480" w:lineRule="auto"/>
        <w:rPr>
          <w:rFonts w:ascii="Times New Roman" w:eastAsia="Times New Roman" w:hAnsi="Times New Roman" w:cs="Times New Roman"/>
          <w:color w:val="000000" w:themeColor="text1"/>
          <w:lang w:val="en-US"/>
        </w:rPr>
      </w:pPr>
      <w:r w:rsidRPr="0059711F">
        <w:rPr>
          <w:rFonts w:ascii="Times New Roman" w:eastAsia="Times New Roman" w:hAnsi="Times New Roman" w:cs="Times New Roman"/>
          <w:color w:val="000000" w:themeColor="text1"/>
          <w:lang w:val="en-US"/>
        </w:rPr>
        <w:t>Michelini S, et al. Aldo-Keto Reductase 1C1 (AKR1C1) as the First Mutated Gene in a Family with Nonsyndromic Primary Lipedema. Int J Mol Sci. 2020;29;21(17):6264. https://doi.org/10.3390/ijms21176264</w:t>
      </w:r>
    </w:p>
    <w:p w14:paraId="545E40B7" w14:textId="2C4D40ED" w:rsidR="00325CC9" w:rsidRPr="0059711F" w:rsidRDefault="4FE06737" w:rsidP="1EB41FCB">
      <w:pPr>
        <w:pStyle w:val="PargrafodaLista"/>
        <w:numPr>
          <w:ilvl w:val="0"/>
          <w:numId w:val="1"/>
        </w:numPr>
        <w:spacing w:line="480" w:lineRule="auto"/>
        <w:rPr>
          <w:rFonts w:ascii="Times New Roman" w:eastAsia="Times New Roman" w:hAnsi="Times New Roman" w:cs="Times New Roman"/>
        </w:rPr>
      </w:pPr>
      <w:r w:rsidRPr="0059711F">
        <w:rPr>
          <w:rFonts w:ascii="Times New Roman" w:eastAsia="Times New Roman" w:hAnsi="Times New Roman" w:cs="Times New Roman"/>
          <w:lang w:val="en-US"/>
        </w:rPr>
        <w:t>Katzer K, Hill JL, McIver KB, Foster MT. Lipedema and the potential role of estrogen in excessive adipose tissue accumulation. Int J Mol Sci. 2021;29;22(21):11720. https://doi.org/10.3390/ijms222111720</w:t>
      </w:r>
    </w:p>
    <w:p w14:paraId="0AB10180" w14:textId="0F8D53C5" w:rsidR="4FE06737" w:rsidRPr="0059711F" w:rsidRDefault="4FE06737" w:rsidP="4FE06737">
      <w:pPr>
        <w:pStyle w:val="PargrafodaLista"/>
        <w:numPr>
          <w:ilvl w:val="0"/>
          <w:numId w:val="1"/>
        </w:numPr>
        <w:spacing w:line="480" w:lineRule="auto"/>
        <w:rPr>
          <w:rFonts w:ascii="Times New Roman" w:eastAsia="Times New Roman" w:hAnsi="Times New Roman" w:cs="Times New Roman"/>
        </w:rPr>
      </w:pPr>
      <w:r w:rsidRPr="0059711F">
        <w:rPr>
          <w:rFonts w:ascii="Times New Roman" w:eastAsia="Times New Roman" w:hAnsi="Times New Roman" w:cs="Times New Roman"/>
        </w:rPr>
        <w:t>Verde L, Camajani E, Annunziata G. Ketogenic diet: a nutritional therapeutic tool for lipedema? Curr Obes Rep. 2023;12(4):529-543. https://doi.org/10.1007/s13679-023-00536-x</w:t>
      </w:r>
    </w:p>
    <w:p w14:paraId="181AACE1" w14:textId="52840F58" w:rsidR="4FE06737" w:rsidRPr="0059711F" w:rsidRDefault="76CEB96F" w:rsidP="4FE06737">
      <w:pPr>
        <w:pStyle w:val="PargrafodaLista"/>
        <w:numPr>
          <w:ilvl w:val="0"/>
          <w:numId w:val="1"/>
        </w:numPr>
        <w:spacing w:line="480" w:lineRule="auto"/>
        <w:rPr>
          <w:rFonts w:ascii="Times New Roman" w:eastAsia="Times New Roman" w:hAnsi="Times New Roman" w:cs="Times New Roman"/>
          <w:color w:val="000000" w:themeColor="text1"/>
          <w:lang w:val="en-US"/>
        </w:rPr>
      </w:pPr>
      <w:r w:rsidRPr="0059711F">
        <w:rPr>
          <w:rFonts w:ascii="Times New Roman" w:eastAsia="Times New Roman" w:hAnsi="Times New Roman" w:cs="Times New Roman"/>
          <w:color w:val="000000" w:themeColor="text1"/>
          <w:lang w:val="en-US"/>
        </w:rPr>
        <w:lastRenderedPageBreak/>
        <w:t>Wolf S,  et al. A distinct cytokine profile and stromal vascular fraction metabolic status without significant changes in the lipid composition characterizes lipedema. Int. J. Mol. Sci. 2021;22(7):3313. https://doi.org/10.3390/ijms22073313</w:t>
      </w:r>
    </w:p>
    <w:p w14:paraId="35392137" w14:textId="4BB24D80" w:rsidR="76CEB96F" w:rsidRPr="0059711F" w:rsidRDefault="76CEB96F" w:rsidP="76CEB96F">
      <w:pPr>
        <w:spacing w:line="480" w:lineRule="auto"/>
        <w:rPr>
          <w:rFonts w:ascii="Times New Roman" w:eastAsia="Times New Roman" w:hAnsi="Times New Roman" w:cs="Times New Roman"/>
          <w:sz w:val="20"/>
          <w:szCs w:val="20"/>
        </w:rPr>
      </w:pPr>
    </w:p>
    <w:p w14:paraId="2BE5C35D" w14:textId="2568FD1F" w:rsidR="6E1C6AB6" w:rsidRPr="0059711F" w:rsidRDefault="6E1C6AB6" w:rsidP="6E1C6AB6">
      <w:pPr>
        <w:spacing w:line="480" w:lineRule="auto"/>
        <w:rPr>
          <w:rFonts w:ascii="Times New Roman" w:eastAsia="Times New Roman" w:hAnsi="Times New Roman" w:cs="Times New Roman"/>
          <w:sz w:val="20"/>
          <w:szCs w:val="20"/>
        </w:rPr>
      </w:pPr>
    </w:p>
    <w:p w14:paraId="3B888219" w14:textId="28F4187A" w:rsidR="6E1C6AB6" w:rsidRPr="0059711F" w:rsidRDefault="6E1C6AB6" w:rsidP="6E1C6AB6">
      <w:pPr>
        <w:spacing w:line="480" w:lineRule="auto"/>
        <w:rPr>
          <w:rFonts w:ascii="Times New Roman" w:eastAsia="Times New Roman" w:hAnsi="Times New Roman" w:cs="Times New Roman"/>
          <w:sz w:val="20"/>
          <w:szCs w:val="20"/>
        </w:rPr>
      </w:pPr>
    </w:p>
    <w:p w14:paraId="3DE93C1C" w14:textId="40A60270" w:rsidR="6E1C6AB6" w:rsidRPr="0059711F" w:rsidRDefault="6E1C6AB6" w:rsidP="6E1C6AB6">
      <w:pPr>
        <w:spacing w:line="480" w:lineRule="auto"/>
        <w:rPr>
          <w:rFonts w:ascii="Times New Roman" w:eastAsia="Times New Roman" w:hAnsi="Times New Roman" w:cs="Times New Roman"/>
          <w:sz w:val="20"/>
          <w:szCs w:val="20"/>
        </w:rPr>
      </w:pPr>
    </w:p>
    <w:p w14:paraId="1FAAB234" w14:textId="67F127CD" w:rsidR="6E1C6AB6" w:rsidRPr="0059711F" w:rsidRDefault="6E1C6AB6" w:rsidP="6E1C6AB6">
      <w:pPr>
        <w:spacing w:line="480" w:lineRule="auto"/>
        <w:rPr>
          <w:rFonts w:ascii="Times New Roman" w:eastAsia="Times New Roman" w:hAnsi="Times New Roman" w:cs="Times New Roman"/>
          <w:sz w:val="20"/>
          <w:szCs w:val="20"/>
        </w:rPr>
      </w:pPr>
    </w:p>
    <w:p w14:paraId="7FF4301A" w14:textId="354F13D2" w:rsidR="6E1C6AB6" w:rsidRPr="0059711F" w:rsidRDefault="6E1C6AB6" w:rsidP="6E1C6AB6">
      <w:pPr>
        <w:spacing w:line="480" w:lineRule="auto"/>
        <w:rPr>
          <w:rFonts w:ascii="Times New Roman" w:eastAsia="Times New Roman" w:hAnsi="Times New Roman" w:cs="Times New Roman"/>
          <w:sz w:val="20"/>
          <w:szCs w:val="20"/>
        </w:rPr>
      </w:pPr>
    </w:p>
    <w:p w14:paraId="4C1076DB" w14:textId="700D65D8" w:rsidR="6E1C6AB6" w:rsidRPr="0059711F" w:rsidRDefault="6E1C6AB6" w:rsidP="6E1C6AB6">
      <w:pPr>
        <w:spacing w:line="480" w:lineRule="auto"/>
        <w:rPr>
          <w:rFonts w:ascii="Times New Roman" w:eastAsia="Times New Roman" w:hAnsi="Times New Roman" w:cs="Times New Roman"/>
          <w:sz w:val="20"/>
          <w:szCs w:val="20"/>
        </w:rPr>
      </w:pPr>
    </w:p>
    <w:p w14:paraId="11CC6502" w14:textId="08B6DEC9" w:rsidR="6E1C6AB6" w:rsidRPr="0059711F" w:rsidRDefault="6E1C6AB6" w:rsidP="6E1C6AB6">
      <w:pPr>
        <w:spacing w:line="480" w:lineRule="auto"/>
        <w:rPr>
          <w:rFonts w:ascii="Times New Roman" w:eastAsia="Times New Roman" w:hAnsi="Times New Roman" w:cs="Times New Roman"/>
          <w:sz w:val="20"/>
          <w:szCs w:val="20"/>
        </w:rPr>
      </w:pPr>
    </w:p>
    <w:p w14:paraId="6F5FA993" w14:textId="34C0BB22" w:rsidR="6E1C6AB6" w:rsidRPr="0059711F" w:rsidRDefault="6E1C6AB6" w:rsidP="6E1C6AB6">
      <w:pPr>
        <w:spacing w:line="480" w:lineRule="auto"/>
        <w:rPr>
          <w:rFonts w:ascii="Times New Roman" w:eastAsia="Times New Roman" w:hAnsi="Times New Roman" w:cs="Times New Roman"/>
          <w:sz w:val="20"/>
          <w:szCs w:val="20"/>
        </w:rPr>
      </w:pPr>
    </w:p>
    <w:p w14:paraId="28819EF3" w14:textId="72EFA35E" w:rsidR="6E1C6AB6" w:rsidRPr="0059711F" w:rsidRDefault="6E1C6AB6" w:rsidP="6E1C6AB6">
      <w:pPr>
        <w:spacing w:line="480" w:lineRule="auto"/>
        <w:rPr>
          <w:rFonts w:ascii="Times New Roman" w:eastAsia="Times New Roman" w:hAnsi="Times New Roman" w:cs="Times New Roman"/>
          <w:sz w:val="20"/>
          <w:szCs w:val="20"/>
        </w:rPr>
      </w:pPr>
    </w:p>
    <w:p w14:paraId="5961BF18" w14:textId="162CB752" w:rsidR="6E1C6AB6" w:rsidRPr="0059711F" w:rsidRDefault="6E1C6AB6" w:rsidP="6E1C6AB6">
      <w:pPr>
        <w:spacing w:line="480" w:lineRule="auto"/>
        <w:rPr>
          <w:rFonts w:ascii="Times New Roman" w:eastAsia="Times New Roman" w:hAnsi="Times New Roman" w:cs="Times New Roman"/>
          <w:sz w:val="20"/>
          <w:szCs w:val="20"/>
        </w:rPr>
      </w:pPr>
    </w:p>
    <w:p w14:paraId="02B0891F" w14:textId="76998959" w:rsidR="6E1C6AB6" w:rsidRPr="0059711F" w:rsidRDefault="6E1C6AB6" w:rsidP="6E1C6AB6">
      <w:pPr>
        <w:spacing w:line="480" w:lineRule="auto"/>
        <w:rPr>
          <w:rFonts w:ascii="Times New Roman" w:eastAsia="Times New Roman" w:hAnsi="Times New Roman" w:cs="Times New Roman"/>
          <w:sz w:val="20"/>
          <w:szCs w:val="20"/>
        </w:rPr>
      </w:pPr>
    </w:p>
    <w:p w14:paraId="45FC5DC9" w14:textId="4490B3ED" w:rsidR="6E1C6AB6" w:rsidRPr="0059711F" w:rsidRDefault="6E1C6AB6" w:rsidP="6E1C6AB6">
      <w:pPr>
        <w:spacing w:line="480" w:lineRule="auto"/>
        <w:rPr>
          <w:rFonts w:ascii="Times New Roman" w:eastAsia="Times New Roman" w:hAnsi="Times New Roman" w:cs="Times New Roman"/>
          <w:sz w:val="20"/>
          <w:szCs w:val="20"/>
        </w:rPr>
      </w:pPr>
    </w:p>
    <w:p w14:paraId="61D77852" w14:textId="0A2F60FA" w:rsidR="6E1C6AB6" w:rsidRPr="0059711F" w:rsidRDefault="6E1C6AB6" w:rsidP="6E1C6AB6">
      <w:pPr>
        <w:spacing w:line="480" w:lineRule="auto"/>
        <w:rPr>
          <w:rFonts w:ascii="Times New Roman" w:eastAsia="Times New Roman" w:hAnsi="Times New Roman" w:cs="Times New Roman"/>
          <w:sz w:val="20"/>
          <w:szCs w:val="20"/>
        </w:rPr>
      </w:pPr>
    </w:p>
    <w:p w14:paraId="757355D2" w14:textId="6D9A356C" w:rsidR="6E1C6AB6" w:rsidRPr="0059711F" w:rsidRDefault="6E1C6AB6" w:rsidP="6E1C6AB6">
      <w:pPr>
        <w:spacing w:line="480" w:lineRule="auto"/>
        <w:rPr>
          <w:rFonts w:ascii="Times New Roman" w:eastAsia="Times New Roman" w:hAnsi="Times New Roman" w:cs="Times New Roman"/>
          <w:sz w:val="20"/>
          <w:szCs w:val="20"/>
        </w:rPr>
      </w:pPr>
    </w:p>
    <w:p w14:paraId="6C76FC78" w14:textId="1565A78B" w:rsidR="6E1C6AB6" w:rsidRPr="0059711F" w:rsidRDefault="6E1C6AB6" w:rsidP="6E1C6AB6">
      <w:pPr>
        <w:spacing w:line="480" w:lineRule="auto"/>
        <w:rPr>
          <w:rFonts w:ascii="Times New Roman" w:eastAsia="Times New Roman" w:hAnsi="Times New Roman" w:cs="Times New Roman"/>
          <w:sz w:val="20"/>
          <w:szCs w:val="20"/>
        </w:rPr>
      </w:pPr>
    </w:p>
    <w:p w14:paraId="79B6388D" w14:textId="3F2A4FB0" w:rsidR="6E1C6AB6" w:rsidRPr="0059711F" w:rsidRDefault="6E1C6AB6" w:rsidP="6E1C6AB6">
      <w:pPr>
        <w:spacing w:line="480" w:lineRule="auto"/>
        <w:rPr>
          <w:rFonts w:ascii="Times New Roman" w:eastAsia="Times New Roman" w:hAnsi="Times New Roman" w:cs="Times New Roman"/>
          <w:sz w:val="20"/>
          <w:szCs w:val="20"/>
        </w:rPr>
      </w:pPr>
    </w:p>
    <w:p w14:paraId="44116B98" w14:textId="4E2BACF0" w:rsidR="6E1C6AB6" w:rsidRPr="0059711F" w:rsidRDefault="6E1C6AB6" w:rsidP="6E1C6AB6">
      <w:pPr>
        <w:spacing w:line="480" w:lineRule="auto"/>
        <w:rPr>
          <w:rFonts w:ascii="Times New Roman" w:eastAsia="Times New Roman" w:hAnsi="Times New Roman" w:cs="Times New Roman"/>
          <w:sz w:val="20"/>
          <w:szCs w:val="20"/>
        </w:rPr>
      </w:pPr>
    </w:p>
    <w:p w14:paraId="5CFF490D" w14:textId="7339B7DE" w:rsidR="6E1C6AB6" w:rsidRPr="0059711F" w:rsidRDefault="6E1C6AB6" w:rsidP="6E1C6AB6">
      <w:pPr>
        <w:spacing w:line="480" w:lineRule="auto"/>
        <w:rPr>
          <w:rFonts w:ascii="Times New Roman" w:eastAsia="Times New Roman" w:hAnsi="Times New Roman" w:cs="Times New Roman"/>
          <w:sz w:val="20"/>
          <w:szCs w:val="20"/>
        </w:rPr>
      </w:pPr>
    </w:p>
    <w:p w14:paraId="5A2C44F5" w14:textId="1A894C77" w:rsidR="6E1C6AB6" w:rsidRPr="0059711F" w:rsidRDefault="6E1C6AB6" w:rsidP="6E1C6AB6">
      <w:pPr>
        <w:spacing w:line="480" w:lineRule="auto"/>
        <w:rPr>
          <w:rFonts w:ascii="Times New Roman" w:eastAsia="Times New Roman" w:hAnsi="Times New Roman" w:cs="Times New Roman"/>
          <w:sz w:val="20"/>
          <w:szCs w:val="20"/>
        </w:rPr>
      </w:pPr>
    </w:p>
    <w:p w14:paraId="3F3A5ACC" w14:textId="77777777" w:rsidR="006A48A3" w:rsidRPr="0059711F" w:rsidRDefault="006A48A3" w:rsidP="6E1C6AB6">
      <w:pPr>
        <w:spacing w:line="480" w:lineRule="auto"/>
        <w:rPr>
          <w:rFonts w:ascii="Times New Roman" w:eastAsia="Times New Roman" w:hAnsi="Times New Roman" w:cs="Times New Roman"/>
          <w:sz w:val="20"/>
          <w:szCs w:val="20"/>
        </w:rPr>
      </w:pPr>
    </w:p>
    <w:p w14:paraId="4D496BDC" w14:textId="77777777" w:rsidR="006A48A3" w:rsidRPr="0059711F" w:rsidRDefault="006A48A3" w:rsidP="6E1C6AB6">
      <w:pPr>
        <w:spacing w:line="480" w:lineRule="auto"/>
        <w:rPr>
          <w:rFonts w:ascii="Times New Roman" w:eastAsia="Times New Roman" w:hAnsi="Times New Roman" w:cs="Times New Roman"/>
          <w:sz w:val="20"/>
          <w:szCs w:val="20"/>
        </w:rPr>
      </w:pPr>
    </w:p>
    <w:p w14:paraId="005370B0" w14:textId="77777777" w:rsidR="006A48A3" w:rsidRPr="0059711F" w:rsidRDefault="006A48A3" w:rsidP="6E1C6AB6">
      <w:pPr>
        <w:spacing w:line="480" w:lineRule="auto"/>
        <w:rPr>
          <w:rFonts w:ascii="Times New Roman" w:eastAsia="Times New Roman" w:hAnsi="Times New Roman" w:cs="Times New Roman"/>
          <w:sz w:val="20"/>
          <w:szCs w:val="20"/>
        </w:rPr>
      </w:pPr>
    </w:p>
    <w:p w14:paraId="2F50D6D2" w14:textId="77777777" w:rsidR="006A48A3" w:rsidRPr="0059711F" w:rsidRDefault="006A48A3" w:rsidP="6E1C6AB6">
      <w:pPr>
        <w:spacing w:line="480" w:lineRule="auto"/>
        <w:rPr>
          <w:rFonts w:ascii="Times New Roman" w:eastAsia="Times New Roman" w:hAnsi="Times New Roman" w:cs="Times New Roman"/>
          <w:sz w:val="20"/>
          <w:szCs w:val="20"/>
        </w:rPr>
      </w:pPr>
    </w:p>
    <w:p w14:paraId="573A3520" w14:textId="19C2B908" w:rsidR="6E1C6AB6" w:rsidRPr="0059711F" w:rsidRDefault="6E1C6AB6" w:rsidP="6E1C6AB6">
      <w:pPr>
        <w:spacing w:line="480" w:lineRule="auto"/>
        <w:rPr>
          <w:rFonts w:ascii="Times New Roman" w:eastAsia="Times New Roman" w:hAnsi="Times New Roman" w:cs="Times New Roman"/>
          <w:sz w:val="20"/>
          <w:szCs w:val="20"/>
        </w:rPr>
      </w:pPr>
    </w:p>
    <w:p w14:paraId="17E3CEF0" w14:textId="4C1EB95F" w:rsidR="6E1C6AB6" w:rsidRPr="0059711F" w:rsidRDefault="6E1C6AB6" w:rsidP="6E1C6AB6">
      <w:pPr>
        <w:spacing w:line="480" w:lineRule="auto"/>
        <w:rPr>
          <w:rFonts w:ascii="Times New Roman" w:eastAsia="Times New Roman" w:hAnsi="Times New Roman" w:cs="Times New Roman"/>
          <w:sz w:val="20"/>
          <w:szCs w:val="20"/>
        </w:rPr>
      </w:pPr>
    </w:p>
    <w:p w14:paraId="51BA5324" w14:textId="77777777" w:rsidR="00E309FD" w:rsidRPr="0059711F" w:rsidRDefault="00E309FD" w:rsidP="6E1C6AB6">
      <w:pPr>
        <w:spacing w:line="480" w:lineRule="auto"/>
        <w:rPr>
          <w:rFonts w:ascii="Times New Roman" w:eastAsia="Times New Roman" w:hAnsi="Times New Roman" w:cs="Times New Roman"/>
          <w:sz w:val="20"/>
          <w:szCs w:val="20"/>
        </w:rPr>
      </w:pPr>
    </w:p>
    <w:p w14:paraId="46B36BCF" w14:textId="65B2A1AE" w:rsidR="00325CC9" w:rsidRPr="0059711F" w:rsidRDefault="76CEB96F" w:rsidP="76CEB96F">
      <w:pPr>
        <w:spacing w:line="480" w:lineRule="auto"/>
        <w:rPr>
          <w:rFonts w:ascii="Times New Roman" w:eastAsia="Times New Roman" w:hAnsi="Times New Roman" w:cs="Times New Roman"/>
          <w:color w:val="000000" w:themeColor="text1"/>
        </w:rPr>
      </w:pPr>
      <w:r w:rsidRPr="0059711F">
        <w:rPr>
          <w:rFonts w:ascii="Times New Roman" w:eastAsia="Times New Roman" w:hAnsi="Times New Roman" w:cs="Times New Roman"/>
          <w:sz w:val="20"/>
          <w:szCs w:val="20"/>
        </w:rPr>
        <w:lastRenderedPageBreak/>
        <w:t xml:space="preserve">Tabela 1. Dados dos estudos incluídos na revisão de literatura. </w:t>
      </w:r>
    </w:p>
    <w:tbl>
      <w:tblPr>
        <w:tblW w:w="90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73"/>
        <w:gridCol w:w="1202"/>
        <w:gridCol w:w="1620"/>
        <w:gridCol w:w="1181"/>
        <w:gridCol w:w="1440"/>
        <w:gridCol w:w="2645"/>
      </w:tblGrid>
      <w:tr w:rsidR="0E1CE3A0" w:rsidRPr="0059711F" w14:paraId="522D8603" w14:textId="77777777" w:rsidTr="76CEB96F">
        <w:trPr>
          <w:trHeight w:val="300"/>
        </w:trPr>
        <w:tc>
          <w:tcPr>
            <w:tcW w:w="973" w:type="dxa"/>
            <w:tcBorders>
              <w:top w:val="single" w:sz="12" w:space="0" w:color="000000" w:themeColor="text1"/>
              <w:left w:val="nil"/>
              <w:bottom w:val="single" w:sz="12" w:space="0" w:color="000000" w:themeColor="text1"/>
              <w:right w:val="nil"/>
            </w:tcBorders>
          </w:tcPr>
          <w:p w14:paraId="4C7321CD" w14:textId="7DC892AB" w:rsidR="0E1CE3A0" w:rsidRPr="0059711F" w:rsidRDefault="0B63BC84" w:rsidP="0B63BC84">
            <w:pPr>
              <w:ind w:right="164"/>
              <w:jc w:val="both"/>
            </w:pPr>
            <w:r w:rsidRPr="0059711F">
              <w:rPr>
                <w:rFonts w:ascii="Times New Roman" w:eastAsia="Times New Roman" w:hAnsi="Times New Roman" w:cs="Times New Roman"/>
                <w:b/>
                <w:bCs/>
                <w:sz w:val="20"/>
                <w:szCs w:val="20"/>
              </w:rPr>
              <w:t>Autor/ano e Local</w:t>
            </w:r>
          </w:p>
        </w:tc>
        <w:tc>
          <w:tcPr>
            <w:tcW w:w="1202" w:type="dxa"/>
            <w:tcBorders>
              <w:top w:val="single" w:sz="12" w:space="0" w:color="000000" w:themeColor="text1"/>
              <w:left w:val="nil"/>
              <w:bottom w:val="single" w:sz="12" w:space="0" w:color="000000" w:themeColor="text1"/>
              <w:right w:val="nil"/>
            </w:tcBorders>
          </w:tcPr>
          <w:p w14:paraId="11461DDD" w14:textId="1FE3DFCD" w:rsidR="0E1CE3A0" w:rsidRPr="0059711F" w:rsidRDefault="0B63BC84" w:rsidP="0B63BC84">
            <w:pPr>
              <w:ind w:right="99"/>
              <w:jc w:val="both"/>
            </w:pPr>
            <w:r w:rsidRPr="0059711F">
              <w:rPr>
                <w:rFonts w:ascii="Times New Roman" w:eastAsia="Times New Roman" w:hAnsi="Times New Roman" w:cs="Times New Roman"/>
                <w:b/>
                <w:bCs/>
                <w:sz w:val="20"/>
                <w:szCs w:val="20"/>
              </w:rPr>
              <w:t>Tipo de estudo</w:t>
            </w:r>
          </w:p>
        </w:tc>
        <w:tc>
          <w:tcPr>
            <w:tcW w:w="1620" w:type="dxa"/>
            <w:tcBorders>
              <w:top w:val="single" w:sz="12" w:space="0" w:color="000000" w:themeColor="text1"/>
              <w:left w:val="nil"/>
              <w:bottom w:val="single" w:sz="12" w:space="0" w:color="000000" w:themeColor="text1"/>
              <w:right w:val="nil"/>
            </w:tcBorders>
          </w:tcPr>
          <w:p w14:paraId="637207EC" w14:textId="73399FB3" w:rsidR="0E1CE3A0" w:rsidRPr="0059711F" w:rsidRDefault="0B63BC84" w:rsidP="0B63BC84">
            <w:pPr>
              <w:jc w:val="both"/>
            </w:pPr>
            <w:r w:rsidRPr="0059711F">
              <w:rPr>
                <w:rFonts w:ascii="Times New Roman" w:eastAsia="Times New Roman" w:hAnsi="Times New Roman" w:cs="Times New Roman"/>
                <w:b/>
                <w:bCs/>
                <w:sz w:val="20"/>
                <w:szCs w:val="20"/>
              </w:rPr>
              <w:t>Objetivo</w:t>
            </w:r>
          </w:p>
        </w:tc>
        <w:tc>
          <w:tcPr>
            <w:tcW w:w="1181" w:type="dxa"/>
            <w:tcBorders>
              <w:top w:val="single" w:sz="12" w:space="0" w:color="000000" w:themeColor="text1"/>
              <w:left w:val="nil"/>
              <w:bottom w:val="single" w:sz="12" w:space="0" w:color="000000" w:themeColor="text1"/>
              <w:right w:val="nil"/>
            </w:tcBorders>
          </w:tcPr>
          <w:p w14:paraId="46ED02DF" w14:textId="01088276" w:rsidR="0E1CE3A0" w:rsidRPr="0059711F" w:rsidRDefault="0B63BC84" w:rsidP="0B63BC84">
            <w:pPr>
              <w:jc w:val="both"/>
            </w:pPr>
            <w:r w:rsidRPr="0059711F">
              <w:rPr>
                <w:rFonts w:ascii="Times New Roman" w:eastAsia="Times New Roman" w:hAnsi="Times New Roman" w:cs="Times New Roman"/>
                <w:b/>
                <w:bCs/>
                <w:sz w:val="20"/>
                <w:szCs w:val="20"/>
              </w:rPr>
              <w:t>Duração do tratamento</w:t>
            </w:r>
          </w:p>
        </w:tc>
        <w:tc>
          <w:tcPr>
            <w:tcW w:w="1440" w:type="dxa"/>
            <w:tcBorders>
              <w:top w:val="single" w:sz="12" w:space="0" w:color="000000" w:themeColor="text1"/>
              <w:left w:val="nil"/>
              <w:bottom w:val="single" w:sz="12" w:space="0" w:color="000000" w:themeColor="text1"/>
              <w:right w:val="nil"/>
            </w:tcBorders>
          </w:tcPr>
          <w:p w14:paraId="7B092EFD" w14:textId="35E2E50B" w:rsidR="0E1CE3A0" w:rsidRPr="0059711F" w:rsidRDefault="0B63BC84" w:rsidP="0B63BC84">
            <w:pPr>
              <w:ind w:left="209" w:firstLine="2"/>
              <w:jc w:val="both"/>
            </w:pPr>
            <w:r w:rsidRPr="0059711F">
              <w:rPr>
                <w:rFonts w:ascii="Times New Roman" w:eastAsia="Times New Roman" w:hAnsi="Times New Roman" w:cs="Times New Roman"/>
                <w:b/>
                <w:bCs/>
                <w:sz w:val="20"/>
                <w:szCs w:val="20"/>
              </w:rPr>
              <w:t>CHO da dieta</w:t>
            </w:r>
          </w:p>
        </w:tc>
        <w:tc>
          <w:tcPr>
            <w:tcW w:w="2645" w:type="dxa"/>
            <w:tcBorders>
              <w:top w:val="single" w:sz="12" w:space="0" w:color="000000" w:themeColor="text1"/>
              <w:left w:val="nil"/>
              <w:bottom w:val="single" w:sz="12" w:space="0" w:color="000000" w:themeColor="text1"/>
              <w:right w:val="nil"/>
            </w:tcBorders>
          </w:tcPr>
          <w:p w14:paraId="793A532E" w14:textId="5DBE47CD" w:rsidR="0E1CE3A0" w:rsidRPr="0059711F" w:rsidRDefault="0B63BC84" w:rsidP="0B63BC84">
            <w:pPr>
              <w:ind w:left="141" w:firstLine="1"/>
              <w:jc w:val="both"/>
            </w:pPr>
            <w:r w:rsidRPr="0059711F">
              <w:rPr>
                <w:rFonts w:ascii="Times New Roman" w:eastAsia="Times New Roman" w:hAnsi="Times New Roman" w:cs="Times New Roman"/>
                <w:b/>
                <w:bCs/>
                <w:sz w:val="20"/>
                <w:szCs w:val="20"/>
              </w:rPr>
              <w:t>Principais resultados</w:t>
            </w:r>
          </w:p>
        </w:tc>
      </w:tr>
      <w:tr w:rsidR="0E1CE3A0" w:rsidRPr="0059711F" w14:paraId="53F91B94" w14:textId="77777777" w:rsidTr="76CEB96F">
        <w:trPr>
          <w:trHeight w:val="300"/>
        </w:trPr>
        <w:tc>
          <w:tcPr>
            <w:tcW w:w="973" w:type="dxa"/>
            <w:tcBorders>
              <w:top w:val="single" w:sz="12" w:space="0" w:color="000000" w:themeColor="text1"/>
              <w:left w:val="nil"/>
              <w:bottom w:val="none" w:sz="12" w:space="0" w:color="000000" w:themeColor="text1"/>
              <w:right w:val="nil"/>
            </w:tcBorders>
          </w:tcPr>
          <w:p w14:paraId="140047B6" w14:textId="06AD920C" w:rsidR="0E1CE3A0" w:rsidRPr="0059711F" w:rsidRDefault="380116D5" w:rsidP="0E1CE3A0">
            <w:pPr>
              <w:ind w:right="164"/>
              <w:jc w:val="both"/>
            </w:pPr>
            <w:r w:rsidRPr="0059711F">
              <w:rPr>
                <w:rFonts w:ascii="Times New Roman" w:eastAsia="Times New Roman" w:hAnsi="Times New Roman" w:cs="Times New Roman"/>
                <w:sz w:val="20"/>
                <w:szCs w:val="20"/>
              </w:rPr>
              <w:t>Sorlie et al.</w:t>
            </w:r>
            <w:r w:rsidRPr="0059711F">
              <w:rPr>
                <w:rFonts w:ascii="Times New Roman" w:eastAsia="Times New Roman" w:hAnsi="Times New Roman" w:cs="Times New Roman"/>
                <w:sz w:val="20"/>
                <w:szCs w:val="20"/>
                <w:vertAlign w:val="superscript"/>
              </w:rPr>
              <w:t xml:space="preserve">7 </w:t>
            </w:r>
            <w:r w:rsidRPr="0059711F">
              <w:rPr>
                <w:rFonts w:ascii="Times New Roman" w:eastAsia="Times New Roman" w:hAnsi="Times New Roman" w:cs="Times New Roman"/>
                <w:sz w:val="20"/>
                <w:szCs w:val="20"/>
              </w:rPr>
              <w:t>2021; Noruega</w:t>
            </w:r>
          </w:p>
        </w:tc>
        <w:tc>
          <w:tcPr>
            <w:tcW w:w="1202" w:type="dxa"/>
            <w:tcBorders>
              <w:top w:val="single" w:sz="12" w:space="0" w:color="000000" w:themeColor="text1"/>
              <w:left w:val="nil"/>
              <w:bottom w:val="none" w:sz="12" w:space="0" w:color="000000" w:themeColor="text1"/>
              <w:right w:val="nil"/>
            </w:tcBorders>
          </w:tcPr>
          <w:p w14:paraId="113ED341" w14:textId="14AB1079" w:rsidR="0E1CE3A0" w:rsidRPr="0059711F" w:rsidRDefault="0E1CE3A0" w:rsidP="0E1CE3A0">
            <w:pPr>
              <w:ind w:right="-242"/>
              <w:jc w:val="both"/>
            </w:pPr>
            <w:r w:rsidRPr="0059711F">
              <w:rPr>
                <w:rFonts w:ascii="Times New Roman" w:eastAsia="Times New Roman" w:hAnsi="Times New Roman" w:cs="Times New Roman"/>
                <w:sz w:val="20"/>
                <w:szCs w:val="20"/>
              </w:rPr>
              <w:t xml:space="preserve">Piloto </w:t>
            </w:r>
          </w:p>
        </w:tc>
        <w:tc>
          <w:tcPr>
            <w:tcW w:w="1620" w:type="dxa"/>
            <w:tcBorders>
              <w:top w:val="single" w:sz="12" w:space="0" w:color="000000" w:themeColor="text1"/>
              <w:left w:val="nil"/>
              <w:bottom w:val="none" w:sz="12" w:space="0" w:color="000000" w:themeColor="text1"/>
              <w:right w:val="nil"/>
            </w:tcBorders>
          </w:tcPr>
          <w:p w14:paraId="3EC46A74" w14:textId="1F79AD32" w:rsidR="0E1CE3A0" w:rsidRPr="0059711F" w:rsidRDefault="0B63BC84" w:rsidP="0B63BC84">
            <w:pPr>
              <w:jc w:val="both"/>
            </w:pPr>
            <w:r w:rsidRPr="0059711F">
              <w:rPr>
                <w:rFonts w:ascii="Times New Roman" w:eastAsia="Times New Roman" w:hAnsi="Times New Roman" w:cs="Times New Roman"/>
                <w:color w:val="000000" w:themeColor="text1"/>
                <w:sz w:val="20"/>
                <w:szCs w:val="20"/>
              </w:rPr>
              <w:t xml:space="preserve">Investigar se uma dieta LCHF eucalórica melhorou a dor e a qualidade de vida e se causou alguma alteração no peso e na composição corporal.  </w:t>
            </w:r>
            <w:r w:rsidRPr="0059711F">
              <w:rPr>
                <w:rFonts w:ascii="Times New Roman" w:eastAsia="Times New Roman" w:hAnsi="Times New Roman" w:cs="Times New Roman"/>
                <w:sz w:val="20"/>
                <w:szCs w:val="20"/>
              </w:rPr>
              <w:t xml:space="preserve">  </w:t>
            </w:r>
          </w:p>
          <w:p w14:paraId="68A37864" w14:textId="3967D23A" w:rsidR="0E1CE3A0" w:rsidRPr="0059711F" w:rsidRDefault="0E1CE3A0" w:rsidP="0B63BC84">
            <w:pPr>
              <w:jc w:val="both"/>
              <w:rPr>
                <w:rFonts w:ascii="Times New Roman" w:eastAsia="Times New Roman" w:hAnsi="Times New Roman" w:cs="Times New Roman"/>
                <w:sz w:val="20"/>
                <w:szCs w:val="20"/>
              </w:rPr>
            </w:pPr>
          </w:p>
        </w:tc>
        <w:tc>
          <w:tcPr>
            <w:tcW w:w="1181" w:type="dxa"/>
            <w:tcBorders>
              <w:top w:val="single" w:sz="12" w:space="0" w:color="000000" w:themeColor="text1"/>
              <w:left w:val="nil"/>
              <w:bottom w:val="none" w:sz="12" w:space="0" w:color="000000" w:themeColor="text1"/>
              <w:right w:val="nil"/>
            </w:tcBorders>
          </w:tcPr>
          <w:p w14:paraId="279B3A98" w14:textId="207A0D7E" w:rsidR="0E1CE3A0" w:rsidRPr="0059711F" w:rsidRDefault="0E1CE3A0" w:rsidP="0E1CE3A0">
            <w:pPr>
              <w:jc w:val="both"/>
            </w:pPr>
            <w:r w:rsidRPr="0059711F">
              <w:rPr>
                <w:rFonts w:ascii="Times New Roman" w:eastAsia="Times New Roman" w:hAnsi="Times New Roman" w:cs="Times New Roman"/>
                <w:sz w:val="20"/>
                <w:szCs w:val="20"/>
              </w:rPr>
              <w:t xml:space="preserve">13 semanas </w:t>
            </w:r>
          </w:p>
        </w:tc>
        <w:tc>
          <w:tcPr>
            <w:tcW w:w="1440" w:type="dxa"/>
            <w:tcBorders>
              <w:top w:val="single" w:sz="12" w:space="0" w:color="000000" w:themeColor="text1"/>
              <w:left w:val="nil"/>
              <w:bottom w:val="none" w:sz="12" w:space="0" w:color="000000" w:themeColor="text1"/>
              <w:right w:val="nil"/>
            </w:tcBorders>
          </w:tcPr>
          <w:p w14:paraId="1EB10F3D" w14:textId="40BD65A6" w:rsidR="0E1CE3A0" w:rsidRPr="0059711F" w:rsidRDefault="0E1CE3A0" w:rsidP="0E1CE3A0">
            <w:pPr>
              <w:ind w:firstLine="2"/>
              <w:jc w:val="both"/>
            </w:pPr>
            <w:r w:rsidRPr="0059711F">
              <w:rPr>
                <w:rFonts w:ascii="Times New Roman" w:eastAsia="Times New Roman" w:hAnsi="Times New Roman" w:cs="Times New Roman"/>
                <w:sz w:val="20"/>
                <w:szCs w:val="20"/>
              </w:rPr>
              <w:t xml:space="preserve">5-10% do VET </w:t>
            </w:r>
          </w:p>
        </w:tc>
        <w:tc>
          <w:tcPr>
            <w:tcW w:w="2645" w:type="dxa"/>
            <w:tcBorders>
              <w:top w:val="single" w:sz="12" w:space="0" w:color="000000" w:themeColor="text1"/>
              <w:left w:val="nil"/>
              <w:bottom w:val="none" w:sz="12" w:space="0" w:color="000000" w:themeColor="text1"/>
              <w:right w:val="nil"/>
            </w:tcBorders>
          </w:tcPr>
          <w:p w14:paraId="2EB8740C" w14:textId="5B430808" w:rsidR="0E1CE3A0" w:rsidRPr="0059711F" w:rsidRDefault="0B63BC84" w:rsidP="0B63BC84">
            <w:pPr>
              <w:ind w:left="141" w:firstLine="1"/>
              <w:jc w:val="both"/>
            </w:pPr>
            <w:r w:rsidRPr="0059711F">
              <w:rPr>
                <w:rFonts w:ascii="Times New Roman" w:eastAsia="Times New Roman" w:hAnsi="Times New Roman" w:cs="Times New Roman"/>
                <w:color w:val="000000" w:themeColor="text1"/>
                <w:sz w:val="20"/>
                <w:szCs w:val="20"/>
              </w:rPr>
              <w:t xml:space="preserve">LCHF: reduziu dor, peso, melhorou parâmetros como TG, hemoglobina glicada e fosfotase alcalina, e de qualidade de vida em relação à aparência física.  </w:t>
            </w:r>
          </w:p>
          <w:p w14:paraId="3B1C404F" w14:textId="146CC421" w:rsidR="0E1CE3A0" w:rsidRPr="0059711F" w:rsidRDefault="0B63BC84" w:rsidP="0B63BC84">
            <w:pPr>
              <w:ind w:left="141" w:firstLine="1"/>
              <w:jc w:val="both"/>
            </w:pPr>
            <w:r w:rsidRPr="0059711F">
              <w:rPr>
                <w:rFonts w:ascii="Times New Roman" w:eastAsia="Times New Roman" w:hAnsi="Times New Roman" w:cs="Times New Roman"/>
                <w:color w:val="000000" w:themeColor="text1"/>
                <w:sz w:val="20"/>
                <w:szCs w:val="20"/>
              </w:rPr>
              <w:t xml:space="preserve">NNR: dor aumentou e a perda de peso foi mantida.  </w:t>
            </w:r>
          </w:p>
          <w:p w14:paraId="0C202A43" w14:textId="0245E844" w:rsidR="0E1CE3A0" w:rsidRPr="0059711F" w:rsidRDefault="0B63BC84" w:rsidP="0B63BC84">
            <w:pPr>
              <w:ind w:left="141" w:firstLine="1"/>
              <w:jc w:val="both"/>
            </w:pPr>
            <w:r w:rsidRPr="0059711F">
              <w:rPr>
                <w:rFonts w:ascii="Times New Roman" w:eastAsia="Times New Roman" w:hAnsi="Times New Roman" w:cs="Times New Roman"/>
                <w:color w:val="000000" w:themeColor="text1"/>
                <w:sz w:val="20"/>
                <w:szCs w:val="20"/>
              </w:rPr>
              <w:t xml:space="preserve"> </w:t>
            </w:r>
          </w:p>
        </w:tc>
      </w:tr>
      <w:tr w:rsidR="4FE06737" w:rsidRPr="0059711F" w14:paraId="79D76158" w14:textId="77777777" w:rsidTr="76CEB96F">
        <w:trPr>
          <w:trHeight w:val="300"/>
        </w:trPr>
        <w:tc>
          <w:tcPr>
            <w:tcW w:w="973" w:type="dxa"/>
            <w:tcBorders>
              <w:top w:val="none" w:sz="12" w:space="0" w:color="000000" w:themeColor="text1"/>
              <w:left w:val="none" w:sz="6" w:space="0" w:color="000000" w:themeColor="text1"/>
              <w:bottom w:val="none" w:sz="12" w:space="0" w:color="000000" w:themeColor="text1"/>
              <w:right w:val="none" w:sz="12" w:space="0" w:color="000000" w:themeColor="text1"/>
            </w:tcBorders>
          </w:tcPr>
          <w:p w14:paraId="1087ECD3" w14:textId="2617F66D" w:rsidR="4FE06737" w:rsidRPr="0059711F" w:rsidRDefault="4FE06737" w:rsidP="4FE06737">
            <w:pPr>
              <w:jc w:val="both"/>
              <w:rPr>
                <w:rFonts w:ascii="Times New Roman" w:eastAsia="Times New Roman" w:hAnsi="Times New Roman" w:cs="Times New Roman"/>
                <w:sz w:val="20"/>
                <w:szCs w:val="20"/>
              </w:rPr>
            </w:pPr>
            <w:r w:rsidRPr="0059711F">
              <w:rPr>
                <w:rFonts w:ascii="Times New Roman" w:eastAsia="Times New Roman" w:hAnsi="Times New Roman" w:cs="Times New Roman"/>
                <w:sz w:val="20"/>
                <w:szCs w:val="20"/>
              </w:rPr>
              <w:t>Cannataro et al.</w:t>
            </w:r>
            <w:r w:rsidRPr="0059711F">
              <w:rPr>
                <w:rFonts w:ascii="Times New Roman" w:eastAsia="Times New Roman" w:hAnsi="Times New Roman" w:cs="Times New Roman"/>
                <w:sz w:val="20"/>
                <w:szCs w:val="20"/>
                <w:vertAlign w:val="superscript"/>
              </w:rPr>
              <w:t>10</w:t>
            </w:r>
            <w:r w:rsidRPr="0059711F">
              <w:rPr>
                <w:rFonts w:ascii="Times New Roman" w:eastAsia="Times New Roman" w:hAnsi="Times New Roman" w:cs="Times New Roman"/>
                <w:sz w:val="20"/>
                <w:szCs w:val="20"/>
              </w:rPr>
              <w:t xml:space="preserve"> 2021; Itália</w:t>
            </w:r>
          </w:p>
        </w:tc>
        <w:tc>
          <w:tcPr>
            <w:tcW w:w="1202" w:type="dxa"/>
            <w:tcBorders>
              <w:top w:val="none" w:sz="12" w:space="0" w:color="000000" w:themeColor="text1"/>
              <w:left w:val="none" w:sz="6" w:space="0" w:color="000000" w:themeColor="text1"/>
              <w:bottom w:val="none" w:sz="12" w:space="0" w:color="000000" w:themeColor="text1"/>
              <w:right w:val="none" w:sz="12" w:space="0" w:color="000000" w:themeColor="text1"/>
            </w:tcBorders>
          </w:tcPr>
          <w:p w14:paraId="49530429" w14:textId="0B59BD13" w:rsidR="4FE06737" w:rsidRPr="0059711F" w:rsidRDefault="4FE06737" w:rsidP="4FE06737">
            <w:pPr>
              <w:jc w:val="both"/>
              <w:rPr>
                <w:rFonts w:ascii="Times New Roman" w:eastAsia="Times New Roman" w:hAnsi="Times New Roman" w:cs="Times New Roman"/>
                <w:sz w:val="20"/>
                <w:szCs w:val="20"/>
              </w:rPr>
            </w:pPr>
            <w:r w:rsidRPr="0059711F">
              <w:rPr>
                <w:rFonts w:ascii="Times New Roman" w:eastAsia="Times New Roman" w:hAnsi="Times New Roman" w:cs="Times New Roman"/>
                <w:sz w:val="20"/>
                <w:szCs w:val="20"/>
              </w:rPr>
              <w:t>Relato de caso</w:t>
            </w:r>
          </w:p>
        </w:tc>
        <w:tc>
          <w:tcPr>
            <w:tcW w:w="162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4E9AFD62" w14:textId="01D874BE" w:rsidR="4FE06737" w:rsidRPr="0059711F" w:rsidRDefault="4FE06737" w:rsidP="4FE06737">
            <w:pPr>
              <w:jc w:val="both"/>
            </w:pPr>
            <w:r w:rsidRPr="0059711F">
              <w:rPr>
                <w:rFonts w:ascii="Times New Roman" w:eastAsia="Times New Roman" w:hAnsi="Times New Roman" w:cs="Times New Roman"/>
                <w:sz w:val="20"/>
                <w:szCs w:val="20"/>
              </w:rPr>
              <w:t>Testar a hipótese de que a restrição de carboidratos e a indução de cetose poderiam modular o estado inflamatório no lipedema, melhorar a composição corporal, reduzir dor e elevar a qualidade de vida.</w:t>
            </w:r>
          </w:p>
        </w:tc>
        <w:tc>
          <w:tcPr>
            <w:tcW w:w="1181"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16B62036" w14:textId="354C52BB" w:rsidR="4FE06737" w:rsidRPr="0059711F" w:rsidRDefault="4FE06737" w:rsidP="4FE06737">
            <w:pPr>
              <w:jc w:val="both"/>
              <w:rPr>
                <w:rFonts w:ascii="Times New Roman" w:eastAsia="Times New Roman" w:hAnsi="Times New Roman" w:cs="Times New Roman"/>
                <w:sz w:val="20"/>
                <w:szCs w:val="20"/>
              </w:rPr>
            </w:pPr>
            <w:r w:rsidRPr="0059711F">
              <w:rPr>
                <w:rFonts w:ascii="Times New Roman" w:eastAsia="Times New Roman" w:hAnsi="Times New Roman" w:cs="Times New Roman"/>
                <w:sz w:val="20"/>
                <w:szCs w:val="20"/>
              </w:rPr>
              <w:t>22 meses</w:t>
            </w:r>
          </w:p>
        </w:tc>
        <w:tc>
          <w:tcPr>
            <w:tcW w:w="144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4B7D6C3E" w14:textId="49EC6CC6" w:rsidR="4FE06737" w:rsidRPr="0059711F" w:rsidRDefault="4FE06737" w:rsidP="4FE06737">
            <w:pPr>
              <w:ind w:firstLine="2"/>
              <w:jc w:val="both"/>
              <w:rPr>
                <w:rFonts w:ascii="Times New Roman" w:eastAsia="Times New Roman" w:hAnsi="Times New Roman" w:cs="Times New Roman"/>
                <w:sz w:val="20"/>
                <w:szCs w:val="20"/>
              </w:rPr>
            </w:pPr>
            <w:r w:rsidRPr="0059711F">
              <w:rPr>
                <w:rFonts w:ascii="Times New Roman" w:eastAsia="Times New Roman" w:hAnsi="Times New Roman" w:cs="Times New Roman"/>
                <w:sz w:val="20"/>
                <w:szCs w:val="20"/>
              </w:rPr>
              <w:t>25g/dia</w:t>
            </w:r>
          </w:p>
        </w:tc>
        <w:tc>
          <w:tcPr>
            <w:tcW w:w="2645" w:type="dxa"/>
            <w:tcBorders>
              <w:top w:val="none" w:sz="12" w:space="0" w:color="000000" w:themeColor="text1"/>
              <w:left w:val="none" w:sz="12" w:space="0" w:color="000000" w:themeColor="text1"/>
              <w:bottom w:val="none" w:sz="12" w:space="0" w:color="000000" w:themeColor="text1"/>
              <w:right w:val="none" w:sz="6" w:space="0" w:color="000000" w:themeColor="text1"/>
            </w:tcBorders>
          </w:tcPr>
          <w:p w14:paraId="6442C9FC" w14:textId="23663A1D" w:rsidR="4FE06737" w:rsidRPr="0059711F" w:rsidRDefault="76CEB96F" w:rsidP="76CEB96F">
            <w:pPr>
              <w:ind w:left="90"/>
              <w:jc w:val="both"/>
            </w:pPr>
            <w:r w:rsidRPr="0059711F">
              <w:rPr>
                <w:rFonts w:ascii="Times New Roman" w:eastAsia="Times New Roman" w:hAnsi="Times New Roman" w:cs="Times New Roman"/>
                <w:sz w:val="20"/>
                <w:szCs w:val="20"/>
              </w:rPr>
              <w:t>Redução de peso (41kg), de circunferências (braços, antebraço, joelhos, panturrilha e tornozelos), do percentual de gordura, melhora dos marcadores metabólicos (insulina, HOMA-IR) e da vitamina D. Melhora expressiva na qualidade de vida, sono e dor (VAS caiu ~ 67 %, WOMAC ~ 53 %, SQS ~ 48 %). Efeitos adversos: leves e transitórios, como halitose e dificuldade de foco no início.</w:t>
            </w:r>
          </w:p>
        </w:tc>
      </w:tr>
      <w:tr w:rsidR="0E1CE3A0" w:rsidRPr="0059711F" w14:paraId="0A9A3917" w14:textId="77777777" w:rsidTr="76CEB96F">
        <w:trPr>
          <w:trHeight w:val="300"/>
        </w:trPr>
        <w:tc>
          <w:tcPr>
            <w:tcW w:w="973" w:type="dxa"/>
            <w:tcBorders>
              <w:top w:val="none" w:sz="12" w:space="0" w:color="000000" w:themeColor="text1"/>
              <w:left w:val="nil"/>
              <w:bottom w:val="nil"/>
              <w:right w:val="nil"/>
            </w:tcBorders>
          </w:tcPr>
          <w:p w14:paraId="65EEB53C" w14:textId="4F27891A" w:rsidR="0E1CE3A0" w:rsidRPr="0059711F" w:rsidRDefault="4FE06737" w:rsidP="0E1CE3A0">
            <w:pPr>
              <w:ind w:right="164"/>
              <w:jc w:val="both"/>
            </w:pPr>
            <w:r w:rsidRPr="0059711F">
              <w:rPr>
                <w:rFonts w:ascii="Times New Roman" w:eastAsia="Times New Roman" w:hAnsi="Times New Roman" w:cs="Times New Roman"/>
                <w:sz w:val="20"/>
                <w:szCs w:val="20"/>
              </w:rPr>
              <w:t>Jeziorek et al.</w:t>
            </w:r>
            <w:r w:rsidRPr="0059711F">
              <w:rPr>
                <w:rFonts w:ascii="Times New Roman" w:eastAsia="Times New Roman" w:hAnsi="Times New Roman" w:cs="Times New Roman"/>
                <w:sz w:val="20"/>
                <w:szCs w:val="20"/>
                <w:vertAlign w:val="superscript"/>
              </w:rPr>
              <w:t>9</w:t>
            </w:r>
            <w:r w:rsidRPr="0059711F">
              <w:rPr>
                <w:rFonts w:ascii="Times New Roman" w:eastAsia="Times New Roman" w:hAnsi="Times New Roman" w:cs="Times New Roman"/>
                <w:sz w:val="20"/>
                <w:szCs w:val="20"/>
              </w:rPr>
              <w:t xml:space="preserve"> 2022; Polônia</w:t>
            </w:r>
          </w:p>
        </w:tc>
        <w:tc>
          <w:tcPr>
            <w:tcW w:w="1202" w:type="dxa"/>
            <w:tcBorders>
              <w:top w:val="none" w:sz="12" w:space="0" w:color="000000" w:themeColor="text1"/>
              <w:left w:val="nil"/>
              <w:bottom w:val="nil"/>
              <w:right w:val="nil"/>
            </w:tcBorders>
          </w:tcPr>
          <w:p w14:paraId="0D661058" w14:textId="1AC1B955" w:rsidR="0E1CE3A0" w:rsidRPr="0059711F" w:rsidRDefault="00A55F70" w:rsidP="0E1CE3A0">
            <w:pPr>
              <w:jc w:val="both"/>
            </w:pPr>
            <w:r w:rsidRPr="0059711F">
              <w:rPr>
                <w:rFonts w:ascii="Times New Roman" w:eastAsia="Times New Roman" w:hAnsi="Times New Roman" w:cs="Times New Roman"/>
                <w:sz w:val="20"/>
                <w:szCs w:val="20"/>
              </w:rPr>
              <w:t>Ensaio clínico não randomizado</w:t>
            </w:r>
          </w:p>
        </w:tc>
        <w:tc>
          <w:tcPr>
            <w:tcW w:w="1620" w:type="dxa"/>
            <w:tcBorders>
              <w:top w:val="none" w:sz="12" w:space="0" w:color="000000" w:themeColor="text1"/>
              <w:left w:val="nil"/>
              <w:bottom w:val="nil"/>
              <w:right w:val="nil"/>
            </w:tcBorders>
          </w:tcPr>
          <w:p w14:paraId="5A716D27" w14:textId="7FC0FE27" w:rsidR="0E1CE3A0" w:rsidRPr="0059711F" w:rsidRDefault="0B63BC84" w:rsidP="0B63BC84">
            <w:pPr>
              <w:jc w:val="both"/>
            </w:pPr>
            <w:r w:rsidRPr="0059711F">
              <w:rPr>
                <w:rFonts w:ascii="Times New Roman" w:eastAsia="Times New Roman" w:hAnsi="Times New Roman" w:cs="Times New Roman"/>
                <w:color w:val="1B1B1B"/>
                <w:sz w:val="20"/>
                <w:szCs w:val="20"/>
              </w:rPr>
              <w:t xml:space="preserve">Comparar a eficácia de uma dieta LCHF e dieta MFMC na redução do peso corporal, da gordura e de circunferências. </w:t>
            </w:r>
          </w:p>
          <w:p w14:paraId="42180736" w14:textId="7600A194" w:rsidR="0E1CE3A0" w:rsidRPr="0059711F" w:rsidRDefault="0B63BC84" w:rsidP="0B63BC84">
            <w:pPr>
              <w:jc w:val="both"/>
            </w:pPr>
            <w:r w:rsidRPr="0059711F">
              <w:rPr>
                <w:rFonts w:ascii="Times New Roman" w:eastAsia="Times New Roman" w:hAnsi="Times New Roman" w:cs="Times New Roman"/>
                <w:color w:val="000000" w:themeColor="text1"/>
                <w:sz w:val="20"/>
                <w:szCs w:val="20"/>
              </w:rPr>
              <w:t xml:space="preserve"> </w:t>
            </w:r>
          </w:p>
        </w:tc>
        <w:tc>
          <w:tcPr>
            <w:tcW w:w="1181" w:type="dxa"/>
            <w:tcBorders>
              <w:top w:val="none" w:sz="12" w:space="0" w:color="000000" w:themeColor="text1"/>
              <w:left w:val="nil"/>
              <w:bottom w:val="nil"/>
              <w:right w:val="nil"/>
            </w:tcBorders>
          </w:tcPr>
          <w:p w14:paraId="01978839" w14:textId="66EBF16C" w:rsidR="0E1CE3A0" w:rsidRPr="0059711F" w:rsidRDefault="0E1CE3A0" w:rsidP="0E1CE3A0">
            <w:pPr>
              <w:jc w:val="both"/>
            </w:pPr>
            <w:r w:rsidRPr="0059711F">
              <w:rPr>
                <w:rFonts w:ascii="Times New Roman" w:eastAsia="Times New Roman" w:hAnsi="Times New Roman" w:cs="Times New Roman"/>
                <w:sz w:val="20"/>
                <w:szCs w:val="20"/>
              </w:rPr>
              <w:t xml:space="preserve">16 semanas </w:t>
            </w:r>
          </w:p>
        </w:tc>
        <w:tc>
          <w:tcPr>
            <w:tcW w:w="1440" w:type="dxa"/>
            <w:tcBorders>
              <w:top w:val="none" w:sz="12" w:space="0" w:color="000000" w:themeColor="text1"/>
              <w:left w:val="nil"/>
              <w:bottom w:val="nil"/>
              <w:right w:val="nil"/>
            </w:tcBorders>
          </w:tcPr>
          <w:p w14:paraId="47007EB6" w14:textId="7909A4A8" w:rsidR="0E1CE3A0" w:rsidRPr="0059711F" w:rsidRDefault="0B63BC84" w:rsidP="0B63BC84">
            <w:pPr>
              <w:ind w:firstLine="2"/>
              <w:jc w:val="both"/>
            </w:pPr>
            <w:r w:rsidRPr="0059711F">
              <w:rPr>
                <w:rFonts w:ascii="Times New Roman" w:eastAsia="Times New Roman" w:hAnsi="Times New Roman" w:cs="Times New Roman"/>
                <w:color w:val="000000" w:themeColor="text1"/>
                <w:sz w:val="20"/>
                <w:szCs w:val="20"/>
              </w:rPr>
              <w:t xml:space="preserve">LCHF: 1.390 a 2.022kcal/dia com 29,8g/dia de CHO ou 6,1% do valor energético </w:t>
            </w:r>
          </w:p>
          <w:p w14:paraId="286AE0AF" w14:textId="31561368" w:rsidR="0E1CE3A0" w:rsidRPr="0059711F" w:rsidRDefault="0B63BC84" w:rsidP="0B63BC84">
            <w:pPr>
              <w:ind w:firstLine="2"/>
              <w:jc w:val="both"/>
            </w:pPr>
            <w:r w:rsidRPr="0059711F">
              <w:rPr>
                <w:rFonts w:ascii="Times New Roman" w:eastAsia="Times New Roman" w:hAnsi="Times New Roman" w:cs="Times New Roman"/>
                <w:color w:val="000000" w:themeColor="text1"/>
                <w:sz w:val="20"/>
                <w:szCs w:val="20"/>
              </w:rPr>
              <w:t xml:space="preserve">MFMC: 1.480 a 2.088kcal/dia com 189,4g/dia de CHO ou 39,1% do valor energético. </w:t>
            </w:r>
          </w:p>
          <w:p w14:paraId="2E4B79CF" w14:textId="6BDAE7F0" w:rsidR="0E1CE3A0" w:rsidRPr="0059711F" w:rsidRDefault="0E1CE3A0" w:rsidP="0E1CE3A0">
            <w:pPr>
              <w:ind w:firstLine="2"/>
              <w:jc w:val="both"/>
            </w:pPr>
            <w:r w:rsidRPr="0059711F">
              <w:rPr>
                <w:rFonts w:ascii="Times New Roman" w:eastAsia="Times New Roman" w:hAnsi="Times New Roman" w:cs="Times New Roman"/>
                <w:sz w:val="20"/>
                <w:szCs w:val="20"/>
              </w:rPr>
              <w:t xml:space="preserve"> </w:t>
            </w:r>
          </w:p>
        </w:tc>
        <w:tc>
          <w:tcPr>
            <w:tcW w:w="2645" w:type="dxa"/>
            <w:tcBorders>
              <w:top w:val="none" w:sz="12" w:space="0" w:color="000000" w:themeColor="text1"/>
              <w:left w:val="nil"/>
              <w:bottom w:val="nil"/>
              <w:right w:val="nil"/>
            </w:tcBorders>
          </w:tcPr>
          <w:p w14:paraId="7EB0BA6B" w14:textId="305E9249" w:rsidR="0E1CE3A0" w:rsidRPr="0059711F" w:rsidRDefault="0B63BC84" w:rsidP="0B63BC84">
            <w:pPr>
              <w:ind w:left="141" w:firstLine="1"/>
              <w:jc w:val="both"/>
            </w:pPr>
            <w:r w:rsidRPr="0059711F">
              <w:rPr>
                <w:rFonts w:ascii="Times New Roman" w:eastAsia="Times New Roman" w:hAnsi="Times New Roman" w:cs="Times New Roman"/>
                <w:color w:val="000000" w:themeColor="text1"/>
                <w:sz w:val="20"/>
                <w:szCs w:val="20"/>
              </w:rPr>
              <w:t xml:space="preserve">Em ambas houve redução do peso corporal e melhora da qualidade de vida. LCHF mostrou-se mais eficaz na redução da gordura corporal e circunferências (cintura, quadris, coxas e panturrilha), melhora da dor, inchaço, aumento da mobilidade, além da melhora da proporção corporal entre membros inferiores e superiores em relação à dieta MFMC, que também mostrou-se com maior teor de vitaminas e minerais. </w:t>
            </w:r>
          </w:p>
          <w:p w14:paraId="050A0221" w14:textId="535E9632" w:rsidR="0E1CE3A0" w:rsidRPr="0059711F" w:rsidRDefault="0B63BC84" w:rsidP="0B63BC84">
            <w:pPr>
              <w:ind w:left="141" w:firstLine="1"/>
              <w:jc w:val="both"/>
            </w:pPr>
            <w:r w:rsidRPr="0059711F">
              <w:rPr>
                <w:rFonts w:ascii="Times New Roman" w:eastAsia="Times New Roman" w:hAnsi="Times New Roman" w:cs="Times New Roman"/>
                <w:color w:val="000000" w:themeColor="text1"/>
                <w:sz w:val="20"/>
                <w:szCs w:val="20"/>
              </w:rPr>
              <w:t xml:space="preserve"> </w:t>
            </w:r>
          </w:p>
        </w:tc>
      </w:tr>
      <w:tr w:rsidR="005C63A3" w:rsidRPr="0059711F" w14:paraId="06ADC9C0" w14:textId="77777777" w:rsidTr="76CEB96F">
        <w:trPr>
          <w:trHeight w:val="300"/>
        </w:trPr>
        <w:tc>
          <w:tcPr>
            <w:tcW w:w="973" w:type="dxa"/>
            <w:tcBorders>
              <w:top w:val="nil"/>
              <w:left w:val="nil"/>
              <w:bottom w:val="nil"/>
              <w:right w:val="nil"/>
            </w:tcBorders>
          </w:tcPr>
          <w:p w14:paraId="6701D514" w14:textId="5109967E" w:rsidR="005C63A3" w:rsidRPr="0059711F" w:rsidRDefault="005C63A3" w:rsidP="005C63A3">
            <w:pPr>
              <w:ind w:right="164"/>
              <w:jc w:val="both"/>
            </w:pPr>
            <w:r w:rsidRPr="0059711F">
              <w:rPr>
                <w:rFonts w:ascii="Times New Roman" w:eastAsia="Times New Roman" w:hAnsi="Times New Roman" w:cs="Times New Roman"/>
                <w:sz w:val="20"/>
                <w:szCs w:val="20"/>
              </w:rPr>
              <w:t>Jeziorek et al.</w:t>
            </w:r>
            <w:r w:rsidRPr="0059711F">
              <w:rPr>
                <w:rFonts w:ascii="Times New Roman" w:eastAsia="Times New Roman" w:hAnsi="Times New Roman" w:cs="Times New Roman"/>
                <w:sz w:val="20"/>
                <w:szCs w:val="20"/>
                <w:vertAlign w:val="superscript"/>
              </w:rPr>
              <w:t xml:space="preserve">8 </w:t>
            </w:r>
            <w:r w:rsidRPr="0059711F">
              <w:rPr>
                <w:rFonts w:ascii="Times New Roman" w:eastAsia="Times New Roman" w:hAnsi="Times New Roman" w:cs="Times New Roman"/>
                <w:sz w:val="20"/>
                <w:szCs w:val="20"/>
              </w:rPr>
              <w:t xml:space="preserve">2023; Polônia </w:t>
            </w:r>
          </w:p>
        </w:tc>
        <w:tc>
          <w:tcPr>
            <w:tcW w:w="1202" w:type="dxa"/>
            <w:tcBorders>
              <w:top w:val="nil"/>
              <w:left w:val="nil"/>
              <w:bottom w:val="nil"/>
              <w:right w:val="nil"/>
            </w:tcBorders>
          </w:tcPr>
          <w:p w14:paraId="128FA18D" w14:textId="789285CB" w:rsidR="005C63A3" w:rsidRPr="0059711F" w:rsidRDefault="005C63A3" w:rsidP="005C63A3">
            <w:pPr>
              <w:jc w:val="both"/>
            </w:pPr>
            <w:r w:rsidRPr="0059711F">
              <w:rPr>
                <w:rFonts w:ascii="Times New Roman" w:eastAsia="Times New Roman" w:hAnsi="Times New Roman" w:cs="Times New Roman"/>
                <w:sz w:val="20"/>
                <w:szCs w:val="20"/>
              </w:rPr>
              <w:t>Prospectivo de intervenção de delineamento caso-controle</w:t>
            </w:r>
          </w:p>
        </w:tc>
        <w:tc>
          <w:tcPr>
            <w:tcW w:w="1620" w:type="dxa"/>
            <w:tcBorders>
              <w:top w:val="nil"/>
              <w:left w:val="nil"/>
              <w:bottom w:val="nil"/>
              <w:right w:val="nil"/>
            </w:tcBorders>
          </w:tcPr>
          <w:p w14:paraId="41959855" w14:textId="027F7AF3" w:rsidR="005C63A3" w:rsidRPr="0059711F" w:rsidRDefault="005C63A3" w:rsidP="005C63A3">
            <w:pPr>
              <w:jc w:val="both"/>
            </w:pPr>
            <w:r w:rsidRPr="0059711F">
              <w:rPr>
                <w:rFonts w:ascii="Times New Roman" w:eastAsia="Times New Roman" w:hAnsi="Times New Roman" w:cs="Times New Roman"/>
                <w:color w:val="1B1B1B"/>
                <w:sz w:val="20"/>
                <w:szCs w:val="20"/>
              </w:rPr>
              <w:t xml:space="preserve">Avaliar os benefícios potenciais de uma dieta LCHF na composição corporal, volume das pernas e redução da dor em mulheres com lipedema em comparação a </w:t>
            </w:r>
            <w:r w:rsidRPr="0059711F">
              <w:rPr>
                <w:rFonts w:ascii="Times New Roman" w:eastAsia="Times New Roman" w:hAnsi="Times New Roman" w:cs="Times New Roman"/>
                <w:color w:val="1B1B1B"/>
                <w:sz w:val="20"/>
                <w:szCs w:val="20"/>
              </w:rPr>
              <w:lastRenderedPageBreak/>
              <w:t xml:space="preserve">mulheres com sobrepeso ou obesidade. </w:t>
            </w:r>
          </w:p>
          <w:p w14:paraId="40ADD696" w14:textId="305610A1" w:rsidR="005C63A3" w:rsidRPr="0059711F" w:rsidRDefault="005C63A3" w:rsidP="005C63A3">
            <w:pPr>
              <w:jc w:val="both"/>
            </w:pPr>
            <w:r w:rsidRPr="0059711F">
              <w:rPr>
                <w:rFonts w:ascii="Times New Roman" w:eastAsia="Times New Roman" w:hAnsi="Times New Roman" w:cs="Times New Roman"/>
                <w:color w:val="1B1B1B"/>
                <w:sz w:val="20"/>
                <w:szCs w:val="20"/>
              </w:rPr>
              <w:t xml:space="preserve"> </w:t>
            </w:r>
          </w:p>
        </w:tc>
        <w:tc>
          <w:tcPr>
            <w:tcW w:w="1181" w:type="dxa"/>
            <w:tcBorders>
              <w:top w:val="nil"/>
              <w:left w:val="nil"/>
              <w:bottom w:val="nil"/>
              <w:right w:val="nil"/>
            </w:tcBorders>
          </w:tcPr>
          <w:p w14:paraId="0C05EAD0" w14:textId="57527097" w:rsidR="005C63A3" w:rsidRPr="0059711F" w:rsidRDefault="005C63A3" w:rsidP="005C63A3">
            <w:pPr>
              <w:jc w:val="both"/>
            </w:pPr>
            <w:r w:rsidRPr="0059711F">
              <w:rPr>
                <w:rFonts w:ascii="Times New Roman" w:eastAsia="Times New Roman" w:hAnsi="Times New Roman" w:cs="Times New Roman"/>
                <w:sz w:val="20"/>
                <w:szCs w:val="20"/>
              </w:rPr>
              <w:lastRenderedPageBreak/>
              <w:t xml:space="preserve">6 meses  </w:t>
            </w:r>
          </w:p>
        </w:tc>
        <w:tc>
          <w:tcPr>
            <w:tcW w:w="1440" w:type="dxa"/>
            <w:tcBorders>
              <w:top w:val="nil"/>
              <w:left w:val="nil"/>
              <w:bottom w:val="nil"/>
              <w:right w:val="nil"/>
            </w:tcBorders>
          </w:tcPr>
          <w:p w14:paraId="09C73B53" w14:textId="4EE4F260" w:rsidR="005C63A3" w:rsidRPr="0059711F" w:rsidRDefault="005C63A3" w:rsidP="005C63A3">
            <w:pPr>
              <w:ind w:firstLine="2"/>
              <w:jc w:val="both"/>
            </w:pPr>
            <w:r w:rsidRPr="0059711F">
              <w:rPr>
                <w:rFonts w:ascii="Times New Roman" w:eastAsia="Times New Roman" w:hAnsi="Times New Roman" w:cs="Times New Roman"/>
                <w:color w:val="000000" w:themeColor="text1"/>
                <w:sz w:val="20"/>
                <w:szCs w:val="20"/>
              </w:rPr>
              <w:t xml:space="preserve">&lt;50g/dia </w:t>
            </w:r>
          </w:p>
        </w:tc>
        <w:tc>
          <w:tcPr>
            <w:tcW w:w="2645" w:type="dxa"/>
            <w:tcBorders>
              <w:top w:val="nil"/>
              <w:left w:val="nil"/>
              <w:bottom w:val="nil"/>
              <w:right w:val="nil"/>
            </w:tcBorders>
          </w:tcPr>
          <w:p w14:paraId="14D136A3" w14:textId="56053DF8" w:rsidR="005C63A3" w:rsidRPr="0059711F" w:rsidRDefault="005C63A3" w:rsidP="005C63A3">
            <w:pPr>
              <w:ind w:left="141" w:firstLine="1"/>
              <w:jc w:val="both"/>
            </w:pPr>
            <w:r w:rsidRPr="0059711F">
              <w:rPr>
                <w:rFonts w:ascii="Times New Roman" w:eastAsia="Times New Roman" w:hAnsi="Times New Roman" w:cs="Times New Roman"/>
                <w:color w:val="1B1B1B"/>
                <w:sz w:val="20"/>
                <w:szCs w:val="20"/>
              </w:rPr>
              <w:t xml:space="preserve">Ambos os grupos tiveram redução de peso corporal e melhora da composição corporal (redução de gordura corporal). </w:t>
            </w:r>
            <w:r w:rsidRPr="0059711F">
              <w:rPr>
                <w:rFonts w:ascii="Times New Roman" w:eastAsia="Times New Roman" w:hAnsi="Times New Roman" w:cs="Times New Roman"/>
                <w:color w:val="000000" w:themeColor="text1"/>
                <w:sz w:val="20"/>
                <w:szCs w:val="20"/>
              </w:rPr>
              <w:t xml:space="preserve"> Observou-se redução significativa da dor e da circunferência do tornozelo no grupo com lipedema. </w:t>
            </w:r>
          </w:p>
          <w:p w14:paraId="4D8A0FF8" w14:textId="0D30D077" w:rsidR="005C63A3" w:rsidRPr="0059711F" w:rsidRDefault="005C63A3" w:rsidP="005C63A3">
            <w:pPr>
              <w:ind w:left="141" w:firstLine="1"/>
              <w:jc w:val="both"/>
            </w:pPr>
            <w:r w:rsidRPr="0059711F">
              <w:rPr>
                <w:rFonts w:ascii="Times New Roman" w:eastAsia="Times New Roman" w:hAnsi="Times New Roman" w:cs="Times New Roman"/>
                <w:color w:val="000000" w:themeColor="text1"/>
                <w:sz w:val="20"/>
                <w:szCs w:val="20"/>
              </w:rPr>
              <w:t xml:space="preserve"> </w:t>
            </w:r>
          </w:p>
        </w:tc>
      </w:tr>
      <w:tr w:rsidR="00D05233" w:rsidRPr="0059711F" w14:paraId="5CBD80A1" w14:textId="77777777" w:rsidTr="76CEB96F">
        <w:trPr>
          <w:trHeight w:val="300"/>
        </w:trPr>
        <w:tc>
          <w:tcPr>
            <w:tcW w:w="973" w:type="dxa"/>
            <w:tcBorders>
              <w:top w:val="nil"/>
              <w:left w:val="nil"/>
              <w:bottom w:val="nil"/>
              <w:right w:val="nil"/>
            </w:tcBorders>
          </w:tcPr>
          <w:p w14:paraId="30AD3208" w14:textId="03DEEA70" w:rsidR="00D05233" w:rsidRPr="0059711F" w:rsidRDefault="00D05233" w:rsidP="00D05233">
            <w:pPr>
              <w:ind w:right="164"/>
              <w:jc w:val="both"/>
            </w:pPr>
            <w:r w:rsidRPr="0059711F">
              <w:rPr>
                <w:rFonts w:ascii="Times New Roman" w:eastAsia="Times New Roman" w:hAnsi="Times New Roman" w:cs="Times New Roman"/>
                <w:sz w:val="20"/>
                <w:szCs w:val="20"/>
              </w:rPr>
              <w:t>Jeziorek et al.</w:t>
            </w:r>
            <w:r w:rsidRPr="0059711F">
              <w:rPr>
                <w:rFonts w:ascii="Times New Roman" w:eastAsia="Times New Roman" w:hAnsi="Times New Roman" w:cs="Times New Roman"/>
                <w:sz w:val="20"/>
                <w:szCs w:val="20"/>
                <w:vertAlign w:val="superscript"/>
              </w:rPr>
              <w:t>4</w:t>
            </w:r>
            <w:r w:rsidRPr="0059711F">
              <w:rPr>
                <w:rFonts w:ascii="Times New Roman" w:eastAsia="Times New Roman" w:hAnsi="Times New Roman" w:cs="Times New Roman"/>
                <w:sz w:val="20"/>
                <w:szCs w:val="20"/>
              </w:rPr>
              <w:t xml:space="preserve"> 2023; Polônia </w:t>
            </w:r>
          </w:p>
        </w:tc>
        <w:tc>
          <w:tcPr>
            <w:tcW w:w="1202" w:type="dxa"/>
            <w:tcBorders>
              <w:top w:val="nil"/>
              <w:left w:val="nil"/>
              <w:bottom w:val="nil"/>
              <w:right w:val="nil"/>
            </w:tcBorders>
          </w:tcPr>
          <w:p w14:paraId="11B1BEF6" w14:textId="071FA420" w:rsidR="00D05233" w:rsidRPr="0059711F" w:rsidRDefault="005C63A3" w:rsidP="00D05233">
            <w:pPr>
              <w:jc w:val="both"/>
            </w:pPr>
            <w:r w:rsidRPr="0059711F">
              <w:rPr>
                <w:rFonts w:ascii="Times New Roman" w:eastAsia="Times New Roman" w:hAnsi="Times New Roman" w:cs="Times New Roman"/>
                <w:sz w:val="20"/>
                <w:szCs w:val="20"/>
              </w:rPr>
              <w:t>Observacional caso-controle</w:t>
            </w:r>
          </w:p>
        </w:tc>
        <w:tc>
          <w:tcPr>
            <w:tcW w:w="1620" w:type="dxa"/>
            <w:tcBorders>
              <w:top w:val="nil"/>
              <w:left w:val="nil"/>
              <w:bottom w:val="nil"/>
              <w:right w:val="nil"/>
            </w:tcBorders>
          </w:tcPr>
          <w:p w14:paraId="1191E419" w14:textId="49ED1E59" w:rsidR="00D05233" w:rsidRPr="0059711F" w:rsidRDefault="00D05233" w:rsidP="00D05233">
            <w:pPr>
              <w:jc w:val="both"/>
            </w:pPr>
            <w:r w:rsidRPr="0059711F">
              <w:rPr>
                <w:rFonts w:ascii="Times New Roman" w:eastAsia="Times New Roman" w:hAnsi="Times New Roman" w:cs="Times New Roman"/>
                <w:color w:val="1B1B1B"/>
                <w:sz w:val="20"/>
                <w:szCs w:val="20"/>
              </w:rPr>
              <w:t xml:space="preserve">Avaliar alterações nos parâmetros sanguíneos após uma dieta LCHF em mulheres com lipedema em comparação a mulheres com sobrepeso ou obesidade. </w:t>
            </w:r>
          </w:p>
        </w:tc>
        <w:tc>
          <w:tcPr>
            <w:tcW w:w="1181" w:type="dxa"/>
            <w:tcBorders>
              <w:top w:val="nil"/>
              <w:left w:val="nil"/>
              <w:bottom w:val="nil"/>
              <w:right w:val="nil"/>
            </w:tcBorders>
          </w:tcPr>
          <w:p w14:paraId="3E788BBF" w14:textId="079DF286" w:rsidR="00D05233" w:rsidRPr="0059711F" w:rsidRDefault="00D05233" w:rsidP="00D05233">
            <w:pPr>
              <w:jc w:val="both"/>
            </w:pPr>
            <w:r w:rsidRPr="0059711F">
              <w:rPr>
                <w:rFonts w:ascii="Times New Roman" w:eastAsia="Times New Roman" w:hAnsi="Times New Roman" w:cs="Times New Roman"/>
                <w:sz w:val="20"/>
                <w:szCs w:val="20"/>
              </w:rPr>
              <w:t xml:space="preserve">7 meses </w:t>
            </w:r>
          </w:p>
        </w:tc>
        <w:tc>
          <w:tcPr>
            <w:tcW w:w="1440" w:type="dxa"/>
            <w:tcBorders>
              <w:top w:val="nil"/>
              <w:left w:val="nil"/>
              <w:bottom w:val="nil"/>
              <w:right w:val="nil"/>
            </w:tcBorders>
          </w:tcPr>
          <w:p w14:paraId="2E44F915" w14:textId="03335B1A"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33,6-36,5g/dia </w:t>
            </w:r>
          </w:p>
        </w:tc>
        <w:tc>
          <w:tcPr>
            <w:tcW w:w="2645" w:type="dxa"/>
            <w:tcBorders>
              <w:top w:val="nil"/>
              <w:left w:val="nil"/>
              <w:bottom w:val="nil"/>
              <w:right w:val="nil"/>
            </w:tcBorders>
          </w:tcPr>
          <w:p w14:paraId="7C1E76F2" w14:textId="40D1F81F"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Em ambos os grupos, teve ausência de efeitos na função renal e tireoide, sem alterações no ácido úrico, diminuição do TG e aumento de HDL-c, melhora do perfl glicêmico/insulina e da função hepática. Houve também perda de peso e melhora do IMC. No grupo lipedema houve aumento significativo de LDL-c. </w:t>
            </w:r>
          </w:p>
          <w:p w14:paraId="2668FC57" w14:textId="08469664" w:rsidR="00D05233" w:rsidRPr="0059711F" w:rsidRDefault="00D05233" w:rsidP="00D05233">
            <w:pPr>
              <w:ind w:left="141" w:firstLine="1"/>
              <w:jc w:val="both"/>
            </w:pPr>
            <w:r w:rsidRPr="0059711F">
              <w:rPr>
                <w:rFonts w:ascii="Times New Roman" w:eastAsia="Times New Roman" w:hAnsi="Times New Roman" w:cs="Times New Roman"/>
                <w:color w:val="1B1B1B"/>
                <w:sz w:val="20"/>
                <w:szCs w:val="20"/>
              </w:rPr>
              <w:t xml:space="preserve"> </w:t>
            </w:r>
          </w:p>
        </w:tc>
      </w:tr>
      <w:tr w:rsidR="00D05233" w:rsidRPr="0059711F" w14:paraId="2F96C5EB" w14:textId="77777777" w:rsidTr="76CEB96F">
        <w:trPr>
          <w:trHeight w:val="300"/>
        </w:trPr>
        <w:tc>
          <w:tcPr>
            <w:tcW w:w="973" w:type="dxa"/>
            <w:tcBorders>
              <w:top w:val="nil"/>
              <w:left w:val="nil"/>
              <w:bottom w:val="nil"/>
              <w:right w:val="nil"/>
            </w:tcBorders>
          </w:tcPr>
          <w:p w14:paraId="42AC5A0E" w14:textId="0C574ED1" w:rsidR="00D05233" w:rsidRPr="0059711F" w:rsidRDefault="00D05233" w:rsidP="00D05233">
            <w:pPr>
              <w:ind w:right="164"/>
              <w:jc w:val="both"/>
            </w:pPr>
            <w:r w:rsidRPr="0059711F">
              <w:rPr>
                <w:rFonts w:ascii="Times New Roman" w:eastAsia="Times New Roman" w:hAnsi="Times New Roman" w:cs="Times New Roman"/>
                <w:sz w:val="20"/>
                <w:szCs w:val="20"/>
              </w:rPr>
              <w:t>Renzo et al.</w:t>
            </w:r>
            <w:r w:rsidRPr="0059711F">
              <w:rPr>
                <w:rFonts w:ascii="Times New Roman" w:eastAsia="Times New Roman" w:hAnsi="Times New Roman" w:cs="Times New Roman"/>
                <w:sz w:val="20"/>
                <w:szCs w:val="20"/>
                <w:vertAlign w:val="superscript"/>
              </w:rPr>
              <w:t>5</w:t>
            </w:r>
            <w:r w:rsidRPr="0059711F">
              <w:rPr>
                <w:rFonts w:ascii="Times New Roman" w:eastAsia="Times New Roman" w:hAnsi="Times New Roman" w:cs="Times New Roman"/>
                <w:sz w:val="20"/>
                <w:szCs w:val="20"/>
              </w:rPr>
              <w:t xml:space="preserve"> 2023; Roma ³ </w:t>
            </w:r>
          </w:p>
        </w:tc>
        <w:tc>
          <w:tcPr>
            <w:tcW w:w="1202" w:type="dxa"/>
            <w:tcBorders>
              <w:top w:val="nil"/>
              <w:left w:val="nil"/>
              <w:bottom w:val="nil"/>
              <w:right w:val="nil"/>
            </w:tcBorders>
          </w:tcPr>
          <w:p w14:paraId="3E58B8A4" w14:textId="32FD7844" w:rsidR="00D05233" w:rsidRPr="0059711F" w:rsidRDefault="00D05233" w:rsidP="00D05233">
            <w:pPr>
              <w:jc w:val="both"/>
            </w:pPr>
            <w:r w:rsidRPr="0059711F">
              <w:rPr>
                <w:rFonts w:ascii="Times New Roman" w:eastAsia="Times New Roman" w:hAnsi="Times New Roman" w:cs="Times New Roman"/>
                <w:sz w:val="20"/>
                <w:szCs w:val="20"/>
              </w:rPr>
              <w:t xml:space="preserve">Piloto </w:t>
            </w:r>
          </w:p>
        </w:tc>
        <w:tc>
          <w:tcPr>
            <w:tcW w:w="1620" w:type="dxa"/>
            <w:tcBorders>
              <w:top w:val="nil"/>
              <w:left w:val="nil"/>
              <w:bottom w:val="nil"/>
              <w:right w:val="nil"/>
            </w:tcBorders>
          </w:tcPr>
          <w:p w14:paraId="3E499B9D" w14:textId="354845B3" w:rsidR="00D05233" w:rsidRPr="0059711F" w:rsidRDefault="00D05233" w:rsidP="00D05233">
            <w:pPr>
              <w:jc w:val="both"/>
            </w:pPr>
            <w:r w:rsidRPr="0059711F">
              <w:rPr>
                <w:rFonts w:ascii="Times New Roman" w:eastAsia="Times New Roman" w:hAnsi="Times New Roman" w:cs="Times New Roman"/>
                <w:color w:val="222222"/>
                <w:sz w:val="20"/>
                <w:szCs w:val="20"/>
              </w:rPr>
              <w:t xml:space="preserve">Avaliar efeitos da dieta cetogênica e carboxiterapia em pacientes com lipedema. </w:t>
            </w:r>
          </w:p>
          <w:p w14:paraId="618F4392" w14:textId="60333223" w:rsidR="00D05233" w:rsidRPr="0059711F" w:rsidRDefault="00D05233" w:rsidP="00D05233">
            <w:pPr>
              <w:jc w:val="both"/>
            </w:pPr>
            <w:r w:rsidRPr="0059711F">
              <w:rPr>
                <w:rFonts w:ascii="Times New Roman" w:eastAsia="Times New Roman" w:hAnsi="Times New Roman" w:cs="Times New Roman"/>
                <w:color w:val="1B1B1B"/>
                <w:sz w:val="20"/>
                <w:szCs w:val="20"/>
              </w:rPr>
              <w:t xml:space="preserve"> </w:t>
            </w:r>
          </w:p>
        </w:tc>
        <w:tc>
          <w:tcPr>
            <w:tcW w:w="1181" w:type="dxa"/>
            <w:tcBorders>
              <w:top w:val="nil"/>
              <w:left w:val="nil"/>
              <w:bottom w:val="nil"/>
              <w:right w:val="nil"/>
            </w:tcBorders>
          </w:tcPr>
          <w:p w14:paraId="54993925" w14:textId="1CC4AD35" w:rsidR="00D05233" w:rsidRPr="0059711F" w:rsidRDefault="00D05233" w:rsidP="00D05233">
            <w:pPr>
              <w:jc w:val="both"/>
            </w:pPr>
            <w:r w:rsidRPr="0059711F">
              <w:rPr>
                <w:rFonts w:ascii="Times New Roman" w:eastAsia="Times New Roman" w:hAnsi="Times New Roman" w:cs="Times New Roman"/>
                <w:sz w:val="20"/>
                <w:szCs w:val="20"/>
              </w:rPr>
              <w:t xml:space="preserve">10 semanas </w:t>
            </w:r>
          </w:p>
        </w:tc>
        <w:tc>
          <w:tcPr>
            <w:tcW w:w="1440" w:type="dxa"/>
            <w:tcBorders>
              <w:top w:val="nil"/>
              <w:left w:val="nil"/>
              <w:bottom w:val="nil"/>
              <w:right w:val="nil"/>
            </w:tcBorders>
          </w:tcPr>
          <w:p w14:paraId="0FF1964E" w14:textId="78AC36CB"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30g/dia ou 10% do VET </w:t>
            </w:r>
          </w:p>
        </w:tc>
        <w:tc>
          <w:tcPr>
            <w:tcW w:w="2645" w:type="dxa"/>
            <w:tcBorders>
              <w:top w:val="nil"/>
              <w:left w:val="nil"/>
              <w:bottom w:val="nil"/>
              <w:right w:val="nil"/>
            </w:tcBorders>
          </w:tcPr>
          <w:p w14:paraId="5E76C7F3" w14:textId="5CB0577A"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Em ambos estratégias houve redução do peso corporal, IMC, perda de gordura nos membros inferiores, circunferência do quadril, textura da pele e qualidade do sono. Somente a dieta mostrou redução na circunferência da cintura. </w:t>
            </w:r>
            <w:r w:rsidRPr="0059711F">
              <w:rPr>
                <w:rFonts w:ascii="Times New Roman" w:eastAsia="Times New Roman" w:hAnsi="Times New Roman" w:cs="Times New Roman"/>
                <w:sz w:val="20"/>
                <w:szCs w:val="20"/>
              </w:rPr>
              <w:t xml:space="preserve">  </w:t>
            </w:r>
          </w:p>
          <w:p w14:paraId="7BC953CC" w14:textId="59C5ACBF"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 </w:t>
            </w:r>
          </w:p>
        </w:tc>
      </w:tr>
      <w:tr w:rsidR="00D05233" w:rsidRPr="0059711F" w14:paraId="339AA681" w14:textId="77777777" w:rsidTr="76CEB96F">
        <w:trPr>
          <w:trHeight w:val="300"/>
        </w:trPr>
        <w:tc>
          <w:tcPr>
            <w:tcW w:w="973" w:type="dxa"/>
            <w:tcBorders>
              <w:top w:val="nil"/>
              <w:left w:val="nil"/>
              <w:bottom w:val="nil"/>
              <w:right w:val="nil"/>
            </w:tcBorders>
          </w:tcPr>
          <w:p w14:paraId="26F88CBB" w14:textId="2F6F6423" w:rsidR="00D05233" w:rsidRPr="0059711F" w:rsidRDefault="00D05233" w:rsidP="00D05233">
            <w:pPr>
              <w:ind w:right="164"/>
              <w:jc w:val="both"/>
            </w:pPr>
            <w:r w:rsidRPr="0059711F">
              <w:rPr>
                <w:rFonts w:ascii="Times New Roman" w:eastAsia="Times New Roman" w:hAnsi="Times New Roman" w:cs="Times New Roman"/>
                <w:sz w:val="20"/>
                <w:szCs w:val="20"/>
              </w:rPr>
              <w:t>Lundanes et al.</w:t>
            </w:r>
            <w:r w:rsidRPr="0059711F">
              <w:rPr>
                <w:rFonts w:ascii="Times New Roman" w:eastAsia="Times New Roman" w:hAnsi="Times New Roman" w:cs="Times New Roman"/>
                <w:sz w:val="20"/>
                <w:szCs w:val="20"/>
                <w:vertAlign w:val="superscript"/>
              </w:rPr>
              <w:t>6</w:t>
            </w:r>
            <w:r w:rsidRPr="0059711F">
              <w:rPr>
                <w:rFonts w:ascii="Times New Roman" w:eastAsia="Times New Roman" w:hAnsi="Times New Roman" w:cs="Times New Roman"/>
                <w:sz w:val="20"/>
                <w:szCs w:val="20"/>
              </w:rPr>
              <w:t xml:space="preserve"> 2024; Noruega </w:t>
            </w:r>
          </w:p>
        </w:tc>
        <w:tc>
          <w:tcPr>
            <w:tcW w:w="1202" w:type="dxa"/>
            <w:tcBorders>
              <w:top w:val="nil"/>
              <w:left w:val="nil"/>
              <w:bottom w:val="nil"/>
              <w:right w:val="nil"/>
            </w:tcBorders>
          </w:tcPr>
          <w:p w14:paraId="30BCB925" w14:textId="398754A7" w:rsidR="00D05233" w:rsidRPr="0059711F" w:rsidRDefault="00D05233" w:rsidP="00D05233">
            <w:pPr>
              <w:jc w:val="both"/>
            </w:pPr>
            <w:r w:rsidRPr="0059711F">
              <w:rPr>
                <w:rFonts w:ascii="Times New Roman" w:eastAsia="Times New Roman" w:hAnsi="Times New Roman" w:cs="Times New Roman"/>
                <w:sz w:val="20"/>
                <w:szCs w:val="20"/>
              </w:rPr>
              <w:t xml:space="preserve">Ensaio clínico </w:t>
            </w:r>
            <w:r w:rsidR="0066530B" w:rsidRPr="0059711F">
              <w:rPr>
                <w:rFonts w:ascii="Times New Roman" w:eastAsia="Times New Roman" w:hAnsi="Times New Roman" w:cs="Times New Roman"/>
                <w:sz w:val="20"/>
                <w:szCs w:val="20"/>
              </w:rPr>
              <w:t>randomizado</w:t>
            </w:r>
          </w:p>
        </w:tc>
        <w:tc>
          <w:tcPr>
            <w:tcW w:w="1620" w:type="dxa"/>
            <w:tcBorders>
              <w:top w:val="nil"/>
              <w:left w:val="nil"/>
              <w:bottom w:val="nil"/>
              <w:right w:val="nil"/>
            </w:tcBorders>
          </w:tcPr>
          <w:p w14:paraId="3CDFB400" w14:textId="59BAF737" w:rsidR="00D05233" w:rsidRPr="0059711F" w:rsidRDefault="00D05233" w:rsidP="00D05233">
            <w:pPr>
              <w:ind w:left="100"/>
              <w:jc w:val="both"/>
            </w:pPr>
            <w:r w:rsidRPr="0059711F">
              <w:rPr>
                <w:rFonts w:ascii="Times New Roman" w:eastAsia="Times New Roman" w:hAnsi="Times New Roman" w:cs="Times New Roman"/>
                <w:color w:val="000000" w:themeColor="text1"/>
                <w:sz w:val="20"/>
                <w:szCs w:val="20"/>
              </w:rPr>
              <w:t xml:space="preserve">Avaliar o efeito de uma dieta LCD em comparação com uma dieta controle sobre a dor, qualidade de vida, peso corporal, composição corporal e cetose. </w:t>
            </w:r>
          </w:p>
          <w:p w14:paraId="1D757DF4" w14:textId="7EEA4849" w:rsidR="00D05233" w:rsidRPr="0059711F" w:rsidRDefault="00D05233" w:rsidP="00D05233">
            <w:pPr>
              <w:ind w:left="100"/>
              <w:jc w:val="both"/>
              <w:rPr>
                <w:rFonts w:ascii="Times New Roman" w:eastAsia="Times New Roman" w:hAnsi="Times New Roman" w:cs="Times New Roman"/>
                <w:color w:val="000000" w:themeColor="text1"/>
                <w:sz w:val="20"/>
                <w:szCs w:val="20"/>
              </w:rPr>
            </w:pPr>
          </w:p>
        </w:tc>
        <w:tc>
          <w:tcPr>
            <w:tcW w:w="1181" w:type="dxa"/>
            <w:tcBorders>
              <w:top w:val="nil"/>
              <w:left w:val="nil"/>
              <w:bottom w:val="nil"/>
              <w:right w:val="nil"/>
            </w:tcBorders>
          </w:tcPr>
          <w:p w14:paraId="6ABAB8C7" w14:textId="2382D258" w:rsidR="00D05233" w:rsidRPr="0059711F" w:rsidRDefault="00D05233" w:rsidP="00D05233">
            <w:pPr>
              <w:jc w:val="both"/>
            </w:pPr>
            <w:r w:rsidRPr="0059711F">
              <w:rPr>
                <w:rFonts w:ascii="Times New Roman" w:eastAsia="Times New Roman" w:hAnsi="Times New Roman" w:cs="Times New Roman"/>
                <w:sz w:val="20"/>
                <w:szCs w:val="20"/>
              </w:rPr>
              <w:t xml:space="preserve">8 semanas </w:t>
            </w:r>
          </w:p>
        </w:tc>
        <w:tc>
          <w:tcPr>
            <w:tcW w:w="1440" w:type="dxa"/>
            <w:tcBorders>
              <w:top w:val="nil"/>
              <w:left w:val="nil"/>
              <w:bottom w:val="nil"/>
              <w:right w:val="nil"/>
            </w:tcBorders>
          </w:tcPr>
          <w:p w14:paraId="7E0F90E9" w14:textId="2249BEB3"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LCD: 75g de CHO e 73g de gordura </w:t>
            </w:r>
          </w:p>
          <w:p w14:paraId="2ED1E634" w14:textId="26C92949"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Controle: 180g de CHO e 27g de gordura </w:t>
            </w:r>
          </w:p>
          <w:p w14:paraId="1F74FB9D" w14:textId="395C16EE"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 </w:t>
            </w:r>
          </w:p>
        </w:tc>
        <w:tc>
          <w:tcPr>
            <w:tcW w:w="2645" w:type="dxa"/>
            <w:tcBorders>
              <w:top w:val="nil"/>
              <w:left w:val="nil"/>
              <w:bottom w:val="nil"/>
              <w:right w:val="nil"/>
            </w:tcBorders>
          </w:tcPr>
          <w:p w14:paraId="786062FB" w14:textId="2DB05725"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Ambos os grupos apresentaram melhora da qualidade de vida, energia, saúde geral, funcionamento físico, autoestima, trabalho e aparência. O grupo LCD teve maior redução na dor e maior perda de peso em relação ao grupo controle. </w:t>
            </w:r>
          </w:p>
          <w:p w14:paraId="35BAAFF9" w14:textId="3A204693"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 </w:t>
            </w:r>
          </w:p>
        </w:tc>
      </w:tr>
      <w:tr w:rsidR="00D05233" w:rsidRPr="0059711F" w14:paraId="0C44BA21" w14:textId="77777777" w:rsidTr="76CEB96F">
        <w:trPr>
          <w:trHeight w:val="300"/>
        </w:trPr>
        <w:tc>
          <w:tcPr>
            <w:tcW w:w="973" w:type="dxa"/>
            <w:tcBorders>
              <w:top w:val="nil"/>
              <w:left w:val="nil"/>
              <w:bottom w:val="nil"/>
              <w:right w:val="nil"/>
            </w:tcBorders>
          </w:tcPr>
          <w:p w14:paraId="69543485" w14:textId="6A9E8324" w:rsidR="00D05233" w:rsidRPr="0059711F" w:rsidRDefault="00D05233" w:rsidP="00D05233">
            <w:pPr>
              <w:ind w:right="164"/>
              <w:jc w:val="both"/>
            </w:pPr>
            <w:r w:rsidRPr="0059711F">
              <w:rPr>
                <w:rFonts w:ascii="Times New Roman" w:eastAsia="Times New Roman" w:hAnsi="Times New Roman" w:cs="Times New Roman"/>
                <w:sz w:val="20"/>
                <w:szCs w:val="20"/>
              </w:rPr>
              <w:t>Lundanes et al.</w:t>
            </w:r>
            <w:r w:rsidRPr="0059711F">
              <w:rPr>
                <w:rFonts w:ascii="Times New Roman" w:eastAsia="Times New Roman" w:hAnsi="Times New Roman" w:cs="Times New Roman"/>
                <w:sz w:val="20"/>
                <w:szCs w:val="20"/>
                <w:vertAlign w:val="superscript"/>
              </w:rPr>
              <w:t>11</w:t>
            </w:r>
            <w:r w:rsidRPr="0059711F">
              <w:rPr>
                <w:rFonts w:ascii="Times New Roman" w:eastAsia="Times New Roman" w:hAnsi="Times New Roman" w:cs="Times New Roman"/>
                <w:sz w:val="20"/>
                <w:szCs w:val="20"/>
              </w:rPr>
              <w:t xml:space="preserve"> 2024; Noruega </w:t>
            </w:r>
          </w:p>
        </w:tc>
        <w:tc>
          <w:tcPr>
            <w:tcW w:w="1202" w:type="dxa"/>
            <w:tcBorders>
              <w:top w:val="nil"/>
              <w:left w:val="nil"/>
              <w:bottom w:val="nil"/>
              <w:right w:val="nil"/>
            </w:tcBorders>
          </w:tcPr>
          <w:p w14:paraId="15A53E0B" w14:textId="07A54D3B" w:rsidR="00D05233" w:rsidRPr="0059711F" w:rsidRDefault="00D05233" w:rsidP="00D05233">
            <w:pPr>
              <w:jc w:val="both"/>
            </w:pPr>
            <w:r w:rsidRPr="0059711F">
              <w:rPr>
                <w:rFonts w:ascii="Times New Roman" w:eastAsia="Times New Roman" w:hAnsi="Times New Roman" w:cs="Times New Roman"/>
                <w:sz w:val="20"/>
                <w:szCs w:val="20"/>
              </w:rPr>
              <w:t xml:space="preserve">Ensaio clínico </w:t>
            </w:r>
            <w:r w:rsidR="0066530B" w:rsidRPr="0059711F">
              <w:rPr>
                <w:rFonts w:ascii="Times New Roman" w:eastAsia="Times New Roman" w:hAnsi="Times New Roman" w:cs="Times New Roman"/>
                <w:sz w:val="20"/>
                <w:szCs w:val="20"/>
              </w:rPr>
              <w:t>randomizado</w:t>
            </w:r>
          </w:p>
        </w:tc>
        <w:tc>
          <w:tcPr>
            <w:tcW w:w="1620" w:type="dxa"/>
            <w:tcBorders>
              <w:top w:val="nil"/>
              <w:left w:val="nil"/>
              <w:bottom w:val="nil"/>
              <w:right w:val="nil"/>
            </w:tcBorders>
          </w:tcPr>
          <w:p w14:paraId="45935BA9" w14:textId="67901AD4" w:rsidR="00D05233" w:rsidRPr="0059711F" w:rsidRDefault="00D05233" w:rsidP="00D05233">
            <w:pPr>
              <w:ind w:left="100"/>
              <w:jc w:val="both"/>
            </w:pPr>
            <w:r w:rsidRPr="0059711F">
              <w:rPr>
                <w:rFonts w:ascii="Times New Roman" w:eastAsia="Times New Roman" w:hAnsi="Times New Roman" w:cs="Times New Roman"/>
                <w:color w:val="1B1B1B"/>
                <w:sz w:val="20"/>
                <w:szCs w:val="20"/>
              </w:rPr>
              <w:t xml:space="preserve">Avaliar o efeito de uma dieta LCD em comparação com uma dieta controle isoenergética com baixo teor de gordura, na área do TAS na panturrilha. </w:t>
            </w:r>
          </w:p>
          <w:p w14:paraId="47C6A98A" w14:textId="112308AF" w:rsidR="00D05233" w:rsidRPr="0059711F" w:rsidRDefault="00D05233" w:rsidP="00D05233">
            <w:pPr>
              <w:jc w:val="both"/>
            </w:pPr>
            <w:r w:rsidRPr="0059711F">
              <w:rPr>
                <w:rFonts w:ascii="Times New Roman" w:eastAsia="Times New Roman" w:hAnsi="Times New Roman" w:cs="Times New Roman"/>
                <w:color w:val="000000" w:themeColor="text1"/>
                <w:sz w:val="20"/>
                <w:szCs w:val="20"/>
              </w:rPr>
              <w:t xml:space="preserve"> </w:t>
            </w:r>
          </w:p>
        </w:tc>
        <w:tc>
          <w:tcPr>
            <w:tcW w:w="1181" w:type="dxa"/>
            <w:tcBorders>
              <w:top w:val="nil"/>
              <w:left w:val="nil"/>
              <w:bottom w:val="nil"/>
              <w:right w:val="nil"/>
            </w:tcBorders>
          </w:tcPr>
          <w:p w14:paraId="71CB57AB" w14:textId="61B199CD" w:rsidR="00D05233" w:rsidRPr="0059711F" w:rsidRDefault="00D05233" w:rsidP="00D05233">
            <w:pPr>
              <w:jc w:val="both"/>
            </w:pPr>
            <w:r w:rsidRPr="0059711F">
              <w:rPr>
                <w:rFonts w:ascii="Times New Roman" w:eastAsia="Times New Roman" w:hAnsi="Times New Roman" w:cs="Times New Roman"/>
                <w:sz w:val="20"/>
                <w:szCs w:val="20"/>
              </w:rPr>
              <w:t xml:space="preserve">8 semanas </w:t>
            </w:r>
          </w:p>
        </w:tc>
        <w:tc>
          <w:tcPr>
            <w:tcW w:w="1440" w:type="dxa"/>
            <w:tcBorders>
              <w:top w:val="nil"/>
              <w:left w:val="nil"/>
              <w:bottom w:val="nil"/>
              <w:right w:val="nil"/>
            </w:tcBorders>
          </w:tcPr>
          <w:p w14:paraId="3F6F328B" w14:textId="67EAB78E"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Dieta LCD: 75g/dia </w:t>
            </w:r>
          </w:p>
          <w:p w14:paraId="0D64057B" w14:textId="7351B2F0"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Dieta controle:180g/dia </w:t>
            </w:r>
          </w:p>
          <w:p w14:paraId="4BD9A1CA" w14:textId="5F991B29"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Ambas com 1.200kcal/dia </w:t>
            </w:r>
          </w:p>
        </w:tc>
        <w:tc>
          <w:tcPr>
            <w:tcW w:w="2645" w:type="dxa"/>
            <w:tcBorders>
              <w:top w:val="nil"/>
              <w:left w:val="nil"/>
              <w:bottom w:val="nil"/>
              <w:right w:val="nil"/>
            </w:tcBorders>
          </w:tcPr>
          <w:p w14:paraId="0911DD5E" w14:textId="5A9965AC"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Em ambas as dietas houve redução do peso corporal, gordura, massa muscular e IMC, mas somente a dieta LCD mostrou redução significativa na circunferência da panturrilha (apesar da redução de massa muscular) e dor. </w:t>
            </w:r>
          </w:p>
          <w:p w14:paraId="59D27FA1" w14:textId="0038A84D"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 </w:t>
            </w:r>
          </w:p>
        </w:tc>
      </w:tr>
      <w:tr w:rsidR="00D05233" w:rsidRPr="0059711F" w14:paraId="0DF34A65" w14:textId="77777777" w:rsidTr="76CEB96F">
        <w:trPr>
          <w:trHeight w:val="300"/>
        </w:trPr>
        <w:tc>
          <w:tcPr>
            <w:tcW w:w="973" w:type="dxa"/>
            <w:tcBorders>
              <w:top w:val="nil"/>
              <w:left w:val="nil"/>
              <w:bottom w:val="nil"/>
              <w:right w:val="nil"/>
            </w:tcBorders>
          </w:tcPr>
          <w:p w14:paraId="1FB9BBD6" w14:textId="6CAF2099" w:rsidR="00D05233" w:rsidRPr="0059711F" w:rsidRDefault="00D05233" w:rsidP="00D05233">
            <w:pPr>
              <w:ind w:right="164"/>
              <w:jc w:val="both"/>
            </w:pPr>
            <w:r w:rsidRPr="0059711F">
              <w:rPr>
                <w:rFonts w:ascii="Times New Roman" w:eastAsia="Times New Roman" w:hAnsi="Times New Roman" w:cs="Times New Roman"/>
                <w:sz w:val="20"/>
                <w:szCs w:val="20"/>
              </w:rPr>
              <w:t>Lundanes et al.</w:t>
            </w:r>
            <w:r w:rsidRPr="0059711F">
              <w:rPr>
                <w:rFonts w:ascii="Times New Roman" w:eastAsia="Times New Roman" w:hAnsi="Times New Roman" w:cs="Times New Roman"/>
                <w:sz w:val="20"/>
                <w:szCs w:val="20"/>
                <w:vertAlign w:val="superscript"/>
              </w:rPr>
              <w:t>12</w:t>
            </w:r>
            <w:r w:rsidRPr="0059711F">
              <w:rPr>
                <w:rFonts w:ascii="Times New Roman" w:eastAsia="Times New Roman" w:hAnsi="Times New Roman" w:cs="Times New Roman"/>
                <w:sz w:val="20"/>
                <w:szCs w:val="20"/>
              </w:rPr>
              <w:t xml:space="preserve"> 2025; Noruega </w:t>
            </w:r>
          </w:p>
        </w:tc>
        <w:tc>
          <w:tcPr>
            <w:tcW w:w="1202" w:type="dxa"/>
            <w:tcBorders>
              <w:top w:val="nil"/>
              <w:left w:val="nil"/>
              <w:bottom w:val="nil"/>
              <w:right w:val="nil"/>
            </w:tcBorders>
          </w:tcPr>
          <w:p w14:paraId="3F75BDE6" w14:textId="6A51D959" w:rsidR="00D05233" w:rsidRPr="0059711F" w:rsidRDefault="00D05233" w:rsidP="00D05233">
            <w:pPr>
              <w:jc w:val="both"/>
            </w:pPr>
            <w:r w:rsidRPr="0059711F">
              <w:rPr>
                <w:rFonts w:ascii="Times New Roman" w:eastAsia="Times New Roman" w:hAnsi="Times New Roman" w:cs="Times New Roman"/>
                <w:sz w:val="20"/>
                <w:szCs w:val="20"/>
              </w:rPr>
              <w:t xml:space="preserve">Ensaio clínico </w:t>
            </w:r>
            <w:r w:rsidR="0066530B" w:rsidRPr="0059711F">
              <w:rPr>
                <w:rFonts w:ascii="Times New Roman" w:eastAsia="Times New Roman" w:hAnsi="Times New Roman" w:cs="Times New Roman"/>
                <w:sz w:val="20"/>
                <w:szCs w:val="20"/>
              </w:rPr>
              <w:t>randomizado</w:t>
            </w:r>
          </w:p>
        </w:tc>
        <w:tc>
          <w:tcPr>
            <w:tcW w:w="1620" w:type="dxa"/>
            <w:tcBorders>
              <w:top w:val="nil"/>
              <w:left w:val="nil"/>
              <w:bottom w:val="nil"/>
              <w:right w:val="nil"/>
            </w:tcBorders>
          </w:tcPr>
          <w:p w14:paraId="06CA6E02" w14:textId="7304FD6C" w:rsidR="00D05233" w:rsidRPr="0059711F" w:rsidRDefault="00D05233" w:rsidP="00D05233">
            <w:pPr>
              <w:ind w:left="100"/>
              <w:jc w:val="both"/>
            </w:pPr>
            <w:r w:rsidRPr="0059711F">
              <w:rPr>
                <w:rFonts w:ascii="Times New Roman" w:eastAsia="Times New Roman" w:hAnsi="Times New Roman" w:cs="Times New Roman"/>
                <w:color w:val="000000" w:themeColor="text1"/>
                <w:sz w:val="20"/>
                <w:szCs w:val="20"/>
              </w:rPr>
              <w:t xml:space="preserve">Comparar os efeitos de dietas LCD e de baixa gordura em marcadores inflamatórios e de fibrose, e </w:t>
            </w:r>
            <w:r w:rsidRPr="0059711F">
              <w:rPr>
                <w:rFonts w:ascii="Times New Roman" w:eastAsia="Times New Roman" w:hAnsi="Times New Roman" w:cs="Times New Roman"/>
                <w:color w:val="000000" w:themeColor="text1"/>
                <w:sz w:val="20"/>
                <w:szCs w:val="20"/>
              </w:rPr>
              <w:lastRenderedPageBreak/>
              <w:t xml:space="preserve">suas associações com a dor em mulheres com lipedema. </w:t>
            </w:r>
          </w:p>
          <w:p w14:paraId="4038C064" w14:textId="0B8D7727" w:rsidR="00D05233" w:rsidRPr="0059711F" w:rsidRDefault="00D05233" w:rsidP="00D05233">
            <w:pPr>
              <w:jc w:val="both"/>
            </w:pPr>
            <w:r w:rsidRPr="0059711F">
              <w:rPr>
                <w:rFonts w:ascii="Times New Roman" w:eastAsia="Times New Roman" w:hAnsi="Times New Roman" w:cs="Times New Roman"/>
                <w:color w:val="1B1B1B"/>
                <w:sz w:val="20"/>
                <w:szCs w:val="20"/>
              </w:rPr>
              <w:t xml:space="preserve"> </w:t>
            </w:r>
          </w:p>
        </w:tc>
        <w:tc>
          <w:tcPr>
            <w:tcW w:w="1181" w:type="dxa"/>
            <w:tcBorders>
              <w:top w:val="nil"/>
              <w:left w:val="nil"/>
              <w:bottom w:val="nil"/>
              <w:right w:val="nil"/>
            </w:tcBorders>
          </w:tcPr>
          <w:p w14:paraId="462520E9" w14:textId="30BA38F3" w:rsidR="00D05233" w:rsidRPr="0059711F" w:rsidRDefault="00D05233" w:rsidP="00D05233">
            <w:pPr>
              <w:jc w:val="both"/>
            </w:pPr>
            <w:r w:rsidRPr="0059711F">
              <w:rPr>
                <w:rFonts w:ascii="Times New Roman" w:eastAsia="Times New Roman" w:hAnsi="Times New Roman" w:cs="Times New Roman"/>
                <w:sz w:val="20"/>
                <w:szCs w:val="20"/>
              </w:rPr>
              <w:lastRenderedPageBreak/>
              <w:t xml:space="preserve">8 semanas </w:t>
            </w:r>
          </w:p>
        </w:tc>
        <w:tc>
          <w:tcPr>
            <w:tcW w:w="1440" w:type="dxa"/>
            <w:tcBorders>
              <w:top w:val="nil"/>
              <w:left w:val="nil"/>
              <w:bottom w:val="nil"/>
              <w:right w:val="nil"/>
            </w:tcBorders>
          </w:tcPr>
          <w:p w14:paraId="1F2D613A" w14:textId="4F084C59"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Dieta LCD: 75g/dia e 73g/dia de gordura. </w:t>
            </w:r>
          </w:p>
          <w:p w14:paraId="6AD82075" w14:textId="6FFED5DE"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Dieta controle:180g/</w:t>
            </w:r>
            <w:r w:rsidRPr="0059711F">
              <w:rPr>
                <w:rFonts w:ascii="Times New Roman" w:eastAsia="Times New Roman" w:hAnsi="Times New Roman" w:cs="Times New Roman"/>
                <w:color w:val="000000" w:themeColor="text1"/>
                <w:sz w:val="20"/>
                <w:szCs w:val="20"/>
              </w:rPr>
              <w:lastRenderedPageBreak/>
              <w:t xml:space="preserve">dia e 27g/dia de gordura </w:t>
            </w:r>
          </w:p>
          <w:p w14:paraId="7039E328" w14:textId="07039C97"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Ambas com 1.200kcal/dia </w:t>
            </w:r>
          </w:p>
          <w:p w14:paraId="5853E34D" w14:textId="03555C96"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 </w:t>
            </w:r>
          </w:p>
        </w:tc>
        <w:tc>
          <w:tcPr>
            <w:tcW w:w="2645" w:type="dxa"/>
            <w:tcBorders>
              <w:top w:val="nil"/>
              <w:left w:val="nil"/>
              <w:bottom w:val="nil"/>
              <w:right w:val="nil"/>
            </w:tcBorders>
          </w:tcPr>
          <w:p w14:paraId="75C841C1" w14:textId="44B77767"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lastRenderedPageBreak/>
              <w:t xml:space="preserve">Ambos os grupos apresentaram redução no peso corporal, gordura e massa livre de gordura.  </w:t>
            </w:r>
          </w:p>
          <w:p w14:paraId="025F62C3" w14:textId="65AFD31B"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Apenas com a LCD houve redução de PCR-us, MIP e TNF-α, além da maior perda </w:t>
            </w:r>
            <w:r w:rsidRPr="0059711F">
              <w:rPr>
                <w:rFonts w:ascii="Times New Roman" w:eastAsia="Times New Roman" w:hAnsi="Times New Roman" w:cs="Times New Roman"/>
                <w:color w:val="000000" w:themeColor="text1"/>
                <w:sz w:val="20"/>
                <w:szCs w:val="20"/>
              </w:rPr>
              <w:lastRenderedPageBreak/>
              <w:t xml:space="preserve">de gordura. Essas diferenças não foram significativas entre os grupos. </w:t>
            </w:r>
          </w:p>
          <w:p w14:paraId="4390595A" w14:textId="57CCCFC0"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Não houve associações entre alterações de dor e nos marcadores inflamatórios ligados à fibrose. </w:t>
            </w:r>
          </w:p>
          <w:p w14:paraId="2723E105" w14:textId="40936194"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 </w:t>
            </w:r>
          </w:p>
        </w:tc>
      </w:tr>
      <w:tr w:rsidR="00D05233" w:rsidRPr="0059711F" w14:paraId="54EA20AB" w14:textId="77777777" w:rsidTr="76CEB96F">
        <w:trPr>
          <w:trHeight w:val="300"/>
        </w:trPr>
        <w:tc>
          <w:tcPr>
            <w:tcW w:w="973" w:type="dxa"/>
            <w:tcBorders>
              <w:top w:val="nil"/>
              <w:left w:val="nil"/>
              <w:bottom w:val="none" w:sz="12" w:space="0" w:color="000000" w:themeColor="text1"/>
              <w:right w:val="nil"/>
            </w:tcBorders>
          </w:tcPr>
          <w:p w14:paraId="5035B664" w14:textId="5D0640E3" w:rsidR="00D05233" w:rsidRPr="0059711F" w:rsidRDefault="00D05233" w:rsidP="00D05233">
            <w:pPr>
              <w:ind w:right="164"/>
              <w:jc w:val="both"/>
            </w:pPr>
            <w:r w:rsidRPr="0059711F">
              <w:rPr>
                <w:rFonts w:ascii="Times New Roman" w:eastAsia="Times New Roman" w:hAnsi="Times New Roman" w:cs="Times New Roman"/>
                <w:sz w:val="20"/>
                <w:szCs w:val="20"/>
              </w:rPr>
              <w:lastRenderedPageBreak/>
              <w:t>Lundanes et al.</w:t>
            </w:r>
            <w:r w:rsidRPr="0059711F">
              <w:rPr>
                <w:rFonts w:ascii="Times New Roman" w:eastAsia="Times New Roman" w:hAnsi="Times New Roman" w:cs="Times New Roman"/>
                <w:sz w:val="20"/>
                <w:szCs w:val="20"/>
                <w:vertAlign w:val="superscript"/>
              </w:rPr>
              <w:t>14</w:t>
            </w:r>
            <w:r w:rsidRPr="0059711F">
              <w:rPr>
                <w:rFonts w:ascii="Times New Roman" w:eastAsia="Times New Roman" w:hAnsi="Times New Roman" w:cs="Times New Roman"/>
                <w:sz w:val="20"/>
                <w:szCs w:val="20"/>
              </w:rPr>
              <w:t xml:space="preserve"> 2025; Noruega </w:t>
            </w:r>
          </w:p>
        </w:tc>
        <w:tc>
          <w:tcPr>
            <w:tcW w:w="1202" w:type="dxa"/>
            <w:tcBorders>
              <w:top w:val="nil"/>
              <w:left w:val="nil"/>
              <w:bottom w:val="none" w:sz="12" w:space="0" w:color="000000" w:themeColor="text1"/>
              <w:right w:val="nil"/>
            </w:tcBorders>
          </w:tcPr>
          <w:p w14:paraId="5749ACFC" w14:textId="4D27F0DD" w:rsidR="00D05233" w:rsidRPr="0059711F" w:rsidRDefault="00D05233" w:rsidP="00D05233">
            <w:pPr>
              <w:jc w:val="both"/>
            </w:pPr>
            <w:r w:rsidRPr="0059711F">
              <w:rPr>
                <w:rFonts w:ascii="Times New Roman" w:eastAsia="Times New Roman" w:hAnsi="Times New Roman" w:cs="Times New Roman"/>
                <w:sz w:val="20"/>
                <w:szCs w:val="20"/>
              </w:rPr>
              <w:t xml:space="preserve">Ensaio clínico </w:t>
            </w:r>
            <w:r w:rsidR="0066530B" w:rsidRPr="0059711F">
              <w:rPr>
                <w:rFonts w:ascii="Times New Roman" w:eastAsia="Times New Roman" w:hAnsi="Times New Roman" w:cs="Times New Roman"/>
                <w:sz w:val="20"/>
                <w:szCs w:val="20"/>
              </w:rPr>
              <w:t>randomizado</w:t>
            </w:r>
          </w:p>
        </w:tc>
        <w:tc>
          <w:tcPr>
            <w:tcW w:w="1620" w:type="dxa"/>
            <w:tcBorders>
              <w:top w:val="nil"/>
              <w:left w:val="nil"/>
              <w:bottom w:val="none" w:sz="12" w:space="0" w:color="000000" w:themeColor="text1"/>
              <w:right w:val="nil"/>
            </w:tcBorders>
          </w:tcPr>
          <w:p w14:paraId="6C72EE02" w14:textId="6035DF3A" w:rsidR="00D05233" w:rsidRPr="0059711F" w:rsidRDefault="00D05233" w:rsidP="00D05233">
            <w:pPr>
              <w:ind w:left="100"/>
              <w:jc w:val="both"/>
            </w:pPr>
            <w:r w:rsidRPr="0059711F">
              <w:rPr>
                <w:rFonts w:ascii="Times New Roman" w:eastAsia="Times New Roman" w:hAnsi="Times New Roman" w:cs="Times New Roman"/>
                <w:color w:val="000000" w:themeColor="text1"/>
                <w:sz w:val="20"/>
                <w:szCs w:val="20"/>
              </w:rPr>
              <w:t xml:space="preserve">Comparar as alterações nas concentrações plasmáticas de hormônios da apetite e gastrointestinas após uma dieta LCD versus uma dieta controle isocalórica com baixo teor de gordura. </w:t>
            </w:r>
          </w:p>
        </w:tc>
        <w:tc>
          <w:tcPr>
            <w:tcW w:w="1181" w:type="dxa"/>
            <w:tcBorders>
              <w:top w:val="nil"/>
              <w:left w:val="nil"/>
              <w:bottom w:val="none" w:sz="12" w:space="0" w:color="000000" w:themeColor="text1"/>
              <w:right w:val="nil"/>
            </w:tcBorders>
          </w:tcPr>
          <w:p w14:paraId="711DCB6D" w14:textId="2AD0D992" w:rsidR="00D05233" w:rsidRPr="0059711F" w:rsidRDefault="00D05233" w:rsidP="00D05233">
            <w:pPr>
              <w:jc w:val="both"/>
            </w:pPr>
            <w:r w:rsidRPr="0059711F">
              <w:rPr>
                <w:rFonts w:ascii="Times New Roman" w:eastAsia="Times New Roman" w:hAnsi="Times New Roman" w:cs="Times New Roman"/>
                <w:sz w:val="20"/>
                <w:szCs w:val="20"/>
              </w:rPr>
              <w:t xml:space="preserve">8 semanas </w:t>
            </w:r>
          </w:p>
        </w:tc>
        <w:tc>
          <w:tcPr>
            <w:tcW w:w="1440" w:type="dxa"/>
            <w:tcBorders>
              <w:top w:val="nil"/>
              <w:left w:val="nil"/>
              <w:bottom w:val="none" w:sz="12" w:space="0" w:color="000000" w:themeColor="text1"/>
              <w:right w:val="nil"/>
            </w:tcBorders>
          </w:tcPr>
          <w:p w14:paraId="182AC512" w14:textId="601CC44C"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Dieta LCD: 75g/dia e 73g/dia de gordura.  </w:t>
            </w:r>
          </w:p>
          <w:p w14:paraId="1B63407E" w14:textId="217B8C8B"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Dieta controle:180g/dia e 27g/dia de gordura  </w:t>
            </w:r>
          </w:p>
          <w:p w14:paraId="45E4E999" w14:textId="106BF4E8" w:rsidR="00D05233" w:rsidRPr="0059711F" w:rsidRDefault="00D05233" w:rsidP="00D05233">
            <w:pPr>
              <w:ind w:firstLine="2"/>
              <w:jc w:val="both"/>
            </w:pPr>
            <w:r w:rsidRPr="0059711F">
              <w:rPr>
                <w:rFonts w:ascii="Times New Roman" w:eastAsia="Times New Roman" w:hAnsi="Times New Roman" w:cs="Times New Roman"/>
                <w:color w:val="000000" w:themeColor="text1"/>
                <w:sz w:val="20"/>
                <w:szCs w:val="20"/>
              </w:rPr>
              <w:t xml:space="preserve">Ambas com 1.200kcal/dia </w:t>
            </w:r>
          </w:p>
        </w:tc>
        <w:tc>
          <w:tcPr>
            <w:tcW w:w="2645" w:type="dxa"/>
            <w:tcBorders>
              <w:top w:val="nil"/>
              <w:left w:val="nil"/>
              <w:bottom w:val="none" w:sz="12" w:space="0" w:color="000000" w:themeColor="text1"/>
              <w:right w:val="nil"/>
            </w:tcBorders>
          </w:tcPr>
          <w:p w14:paraId="40092BDF" w14:textId="7443A7D8"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Em ambos os grupos observou-se redução de peso, da fome pós-prandial e da CCK pós-prandial. </w:t>
            </w:r>
          </w:p>
          <w:p w14:paraId="1C18DEE9" w14:textId="6B9DF854"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Somente no grupo LDC houve redução da grelina pós-prandial, aumento na saciedade pós-prandial e maior perda de peso. </w:t>
            </w:r>
          </w:p>
          <w:p w14:paraId="0C846986" w14:textId="5242D2A7"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Apenas no grupo com baixo teor de gordura teve aumento na fome em jejum, mas não tão significativa. </w:t>
            </w:r>
          </w:p>
          <w:p w14:paraId="2279C44D" w14:textId="7459C353"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Não houve diferenças significativas no GLP-1 e PYY pós-prandiais e grelina em jejum nas duas dietas. </w:t>
            </w:r>
          </w:p>
          <w:p w14:paraId="671CBBF8" w14:textId="0DEDA821" w:rsidR="00D05233" w:rsidRPr="0059711F" w:rsidRDefault="00D05233" w:rsidP="00D05233">
            <w:pPr>
              <w:ind w:left="141" w:firstLine="1"/>
              <w:jc w:val="both"/>
            </w:pPr>
            <w:r w:rsidRPr="0059711F">
              <w:rPr>
                <w:rFonts w:ascii="Times New Roman" w:eastAsia="Times New Roman" w:hAnsi="Times New Roman" w:cs="Times New Roman"/>
                <w:color w:val="000000" w:themeColor="text1"/>
                <w:sz w:val="20"/>
                <w:szCs w:val="20"/>
              </w:rPr>
              <w:t xml:space="preserve"> </w:t>
            </w:r>
          </w:p>
        </w:tc>
      </w:tr>
      <w:tr w:rsidR="00D05233" w:rsidRPr="0059711F" w14:paraId="1552F8E0" w14:textId="77777777" w:rsidTr="76CEB96F">
        <w:trPr>
          <w:trHeight w:val="300"/>
        </w:trPr>
        <w:tc>
          <w:tcPr>
            <w:tcW w:w="973" w:type="dxa"/>
            <w:tcBorders>
              <w:top w:val="none" w:sz="12" w:space="0" w:color="000000" w:themeColor="text1"/>
              <w:left w:val="none" w:sz="6" w:space="0" w:color="000000" w:themeColor="text1"/>
              <w:bottom w:val="single" w:sz="12" w:space="0" w:color="000000" w:themeColor="text1"/>
              <w:right w:val="none" w:sz="12" w:space="0" w:color="000000" w:themeColor="text1"/>
            </w:tcBorders>
          </w:tcPr>
          <w:p w14:paraId="3DAC81F4" w14:textId="08ED1870" w:rsidR="00D05233" w:rsidRPr="0059711F" w:rsidRDefault="00D05233" w:rsidP="00D05233">
            <w:pPr>
              <w:jc w:val="both"/>
              <w:rPr>
                <w:rFonts w:ascii="Times New Roman" w:eastAsia="Times New Roman" w:hAnsi="Times New Roman" w:cs="Times New Roman"/>
                <w:sz w:val="20"/>
                <w:szCs w:val="20"/>
              </w:rPr>
            </w:pPr>
            <w:r w:rsidRPr="0059711F">
              <w:rPr>
                <w:rFonts w:ascii="Times New Roman" w:eastAsia="Times New Roman" w:hAnsi="Times New Roman" w:cs="Times New Roman"/>
                <w:sz w:val="20"/>
                <w:szCs w:val="20"/>
              </w:rPr>
              <w:t>Jeziorekk et al.</w:t>
            </w:r>
            <w:r w:rsidRPr="0059711F">
              <w:rPr>
                <w:rFonts w:ascii="Times New Roman" w:eastAsia="Times New Roman" w:hAnsi="Times New Roman" w:cs="Times New Roman"/>
                <w:sz w:val="20"/>
                <w:szCs w:val="20"/>
                <w:vertAlign w:val="superscript"/>
              </w:rPr>
              <w:t>13</w:t>
            </w:r>
            <w:r w:rsidRPr="0059711F">
              <w:rPr>
                <w:rFonts w:ascii="Times New Roman" w:eastAsia="Times New Roman" w:hAnsi="Times New Roman" w:cs="Times New Roman"/>
                <w:sz w:val="20"/>
                <w:szCs w:val="20"/>
              </w:rPr>
              <w:t xml:space="preserve"> 2025; Polônia</w:t>
            </w:r>
          </w:p>
        </w:tc>
        <w:tc>
          <w:tcPr>
            <w:tcW w:w="1202" w:type="dxa"/>
            <w:tcBorders>
              <w:top w:val="none" w:sz="12" w:space="0" w:color="000000" w:themeColor="text1"/>
              <w:left w:val="none" w:sz="6" w:space="0" w:color="000000" w:themeColor="text1"/>
              <w:bottom w:val="single" w:sz="12" w:space="0" w:color="000000" w:themeColor="text1"/>
              <w:right w:val="none" w:sz="12" w:space="0" w:color="000000" w:themeColor="text1"/>
            </w:tcBorders>
          </w:tcPr>
          <w:p w14:paraId="3C92C0D2" w14:textId="6CEB14F8" w:rsidR="00D05233" w:rsidRPr="0059711F" w:rsidRDefault="00D05233" w:rsidP="00D05233">
            <w:pPr>
              <w:jc w:val="both"/>
              <w:rPr>
                <w:rFonts w:ascii="Times New Roman" w:eastAsia="Times New Roman" w:hAnsi="Times New Roman" w:cs="Times New Roman"/>
                <w:sz w:val="20"/>
                <w:szCs w:val="20"/>
              </w:rPr>
            </w:pPr>
            <w:r w:rsidRPr="0059711F">
              <w:rPr>
                <w:rFonts w:ascii="Times New Roman" w:eastAsia="Times New Roman" w:hAnsi="Times New Roman" w:cs="Times New Roman"/>
                <w:sz w:val="20"/>
                <w:szCs w:val="20"/>
              </w:rPr>
              <w:t xml:space="preserve">Prospectivo </w:t>
            </w:r>
            <w:r w:rsidR="005C63A3" w:rsidRPr="0059711F">
              <w:rPr>
                <w:rFonts w:ascii="Times New Roman" w:eastAsia="Times New Roman" w:hAnsi="Times New Roman" w:cs="Times New Roman"/>
                <w:sz w:val="20"/>
                <w:szCs w:val="20"/>
              </w:rPr>
              <w:t>de intervenção</w:t>
            </w:r>
          </w:p>
        </w:tc>
        <w:tc>
          <w:tcPr>
            <w:tcW w:w="1620" w:type="dxa"/>
            <w:tcBorders>
              <w:top w:val="none" w:sz="12" w:space="0" w:color="000000" w:themeColor="text1"/>
              <w:left w:val="none" w:sz="12" w:space="0" w:color="000000" w:themeColor="text1"/>
              <w:bottom w:val="single" w:sz="12" w:space="0" w:color="000000" w:themeColor="text1"/>
              <w:right w:val="none" w:sz="12" w:space="0" w:color="000000" w:themeColor="text1"/>
            </w:tcBorders>
          </w:tcPr>
          <w:p w14:paraId="4986DB98" w14:textId="417AD402" w:rsidR="00D05233" w:rsidRPr="0059711F" w:rsidRDefault="00D05233" w:rsidP="00D05233">
            <w:pPr>
              <w:jc w:val="both"/>
              <w:rPr>
                <w:rFonts w:ascii="Times New Roman" w:eastAsia="Times New Roman" w:hAnsi="Times New Roman" w:cs="Times New Roman"/>
                <w:color w:val="000000" w:themeColor="text1"/>
                <w:sz w:val="20"/>
                <w:szCs w:val="20"/>
              </w:rPr>
            </w:pPr>
            <w:r w:rsidRPr="0059711F">
              <w:rPr>
                <w:rFonts w:ascii="Times New Roman" w:eastAsia="Times New Roman" w:hAnsi="Times New Roman" w:cs="Times New Roman"/>
                <w:color w:val="000000" w:themeColor="text1"/>
                <w:sz w:val="20"/>
                <w:szCs w:val="20"/>
              </w:rPr>
              <w:t>Avaliar o impacto da dieta cetogênica no estilo mediterrâneo, com restrição calórica, nos marcadores inflamatórios de mulheres com lipedema e de mulheres com sobrepeso/obesidade.</w:t>
            </w:r>
          </w:p>
        </w:tc>
        <w:tc>
          <w:tcPr>
            <w:tcW w:w="1181" w:type="dxa"/>
            <w:tcBorders>
              <w:top w:val="none" w:sz="12" w:space="0" w:color="000000" w:themeColor="text1"/>
              <w:left w:val="none" w:sz="12" w:space="0" w:color="000000" w:themeColor="text1"/>
              <w:bottom w:val="single" w:sz="12" w:space="0" w:color="000000" w:themeColor="text1"/>
              <w:right w:val="none" w:sz="12" w:space="0" w:color="000000" w:themeColor="text1"/>
            </w:tcBorders>
          </w:tcPr>
          <w:p w14:paraId="14726AA0" w14:textId="158E21E4" w:rsidR="00D05233" w:rsidRPr="0059711F" w:rsidRDefault="00D05233" w:rsidP="00D05233">
            <w:pPr>
              <w:jc w:val="both"/>
              <w:rPr>
                <w:rFonts w:ascii="Times New Roman" w:eastAsia="Times New Roman" w:hAnsi="Times New Roman" w:cs="Times New Roman"/>
                <w:sz w:val="20"/>
                <w:szCs w:val="20"/>
              </w:rPr>
            </w:pPr>
            <w:r w:rsidRPr="0059711F">
              <w:rPr>
                <w:rFonts w:ascii="Times New Roman" w:eastAsia="Times New Roman" w:hAnsi="Times New Roman" w:cs="Times New Roman"/>
                <w:sz w:val="20"/>
                <w:szCs w:val="20"/>
              </w:rPr>
              <w:t>7 meses</w:t>
            </w:r>
          </w:p>
        </w:tc>
        <w:tc>
          <w:tcPr>
            <w:tcW w:w="1440" w:type="dxa"/>
            <w:tcBorders>
              <w:top w:val="none" w:sz="12" w:space="0" w:color="000000" w:themeColor="text1"/>
              <w:left w:val="none" w:sz="12" w:space="0" w:color="000000" w:themeColor="text1"/>
              <w:bottom w:val="single" w:sz="12" w:space="0" w:color="000000" w:themeColor="text1"/>
              <w:right w:val="none" w:sz="12" w:space="0" w:color="000000" w:themeColor="text1"/>
            </w:tcBorders>
          </w:tcPr>
          <w:p w14:paraId="6E11322C" w14:textId="5E01E1DE" w:rsidR="00D05233" w:rsidRPr="0059711F" w:rsidRDefault="00D05233" w:rsidP="00D05233">
            <w:pPr>
              <w:ind w:firstLine="2"/>
              <w:jc w:val="both"/>
              <w:rPr>
                <w:rFonts w:ascii="Times New Roman" w:eastAsia="Times New Roman" w:hAnsi="Times New Roman" w:cs="Times New Roman"/>
                <w:color w:val="000000" w:themeColor="text1"/>
                <w:sz w:val="20"/>
                <w:szCs w:val="20"/>
              </w:rPr>
            </w:pPr>
            <w:r w:rsidRPr="0059711F">
              <w:rPr>
                <w:rFonts w:ascii="Times New Roman" w:eastAsia="Times New Roman" w:hAnsi="Times New Roman" w:cs="Times New Roman"/>
                <w:color w:val="000000" w:themeColor="text1"/>
                <w:sz w:val="20"/>
                <w:szCs w:val="20"/>
              </w:rPr>
              <w:t>&lt;50gdia ou até 10% do VET</w:t>
            </w:r>
          </w:p>
        </w:tc>
        <w:tc>
          <w:tcPr>
            <w:tcW w:w="2645" w:type="dxa"/>
            <w:tcBorders>
              <w:top w:val="none" w:sz="12" w:space="0" w:color="000000" w:themeColor="text1"/>
              <w:left w:val="none" w:sz="12" w:space="0" w:color="000000" w:themeColor="text1"/>
              <w:bottom w:val="single" w:sz="12" w:space="0" w:color="000000" w:themeColor="text1"/>
              <w:right w:val="none" w:sz="12" w:space="0" w:color="000000" w:themeColor="text1"/>
            </w:tcBorders>
          </w:tcPr>
          <w:p w14:paraId="35AAEB31" w14:textId="6D9BDA7C" w:rsidR="00D05233" w:rsidRPr="0059711F" w:rsidRDefault="00D05233" w:rsidP="00D05233">
            <w:pPr>
              <w:ind w:firstLine="1"/>
              <w:jc w:val="both"/>
              <w:rPr>
                <w:rFonts w:ascii="Times New Roman" w:eastAsia="Times New Roman" w:hAnsi="Times New Roman" w:cs="Times New Roman"/>
                <w:color w:val="000000" w:themeColor="text1"/>
                <w:sz w:val="20"/>
                <w:szCs w:val="20"/>
              </w:rPr>
            </w:pPr>
            <w:r w:rsidRPr="0059711F">
              <w:rPr>
                <w:rFonts w:ascii="Times New Roman" w:eastAsia="Times New Roman" w:hAnsi="Times New Roman" w:cs="Times New Roman"/>
                <w:color w:val="000000" w:themeColor="text1"/>
                <w:sz w:val="20"/>
                <w:szCs w:val="20"/>
              </w:rPr>
              <w:t>Em ambos os grupos (excesso de peso e lipedema) houve redução de peso corporal, gordura corporal e visceral, de circunferências (cintura, quadril, coxas, panturrilhas e tornozelos), IID e do marcador PCR-us. Somente no grupo do lipedema observou-se redução da IL-6 em correlação com IID por dia da dieta basal.</w:t>
            </w:r>
          </w:p>
        </w:tc>
      </w:tr>
    </w:tbl>
    <w:p w14:paraId="394AD736" w14:textId="3CC44990" w:rsidR="00325CC9" w:rsidRPr="00325CC9" w:rsidRDefault="6E1C6AB6" w:rsidP="5568D437">
      <w:pPr>
        <w:rPr>
          <w:rFonts w:ascii="Times New Roman" w:eastAsia="Times New Roman" w:hAnsi="Times New Roman" w:cs="Times New Roman"/>
          <w:sz w:val="20"/>
          <w:szCs w:val="20"/>
        </w:rPr>
      </w:pPr>
      <w:r w:rsidRPr="0059711F">
        <w:rPr>
          <w:rFonts w:ascii="Times New Roman" w:eastAsia="Times New Roman" w:hAnsi="Times New Roman" w:cs="Times New Roman"/>
          <w:b/>
          <w:bCs/>
          <w:color w:val="000000" w:themeColor="text1"/>
          <w:sz w:val="20"/>
          <w:szCs w:val="20"/>
        </w:rPr>
        <w:t>Siglas e abreviaturas:</w:t>
      </w:r>
      <w:r w:rsidRPr="0059711F">
        <w:rPr>
          <w:rFonts w:ascii="Times New Roman" w:eastAsia="Times New Roman" w:hAnsi="Times New Roman" w:cs="Times New Roman"/>
          <w:color w:val="000000" w:themeColor="text1"/>
          <w:sz w:val="20"/>
          <w:szCs w:val="20"/>
        </w:rPr>
        <w:t xml:space="preserve"> CCK= colecistocinina; GLP-1= peptídeo 1 semelhante ao glucagon-1; HDL-c= lipoproteina de alta densidade; HOMA-IR= Homeostasis Model Assessment of Insulin Resistance; IID=índice inflamatório da dieta; IL-6=interleucina 6; IMC=índice de massa corporal; LCD= dieta de baixo carboidrato; LCHF= dieta de baixo carboidrato e rica em gordura; LDL-c= lipoproteina de baixa densidade; MFMC= dieta média em gordura e médio em carboidratos; MIP= proteína quimiotáxica de monócitos; NNR= recomendações nutricionais nórdicas; PCR-us= proteina C reativa ultrassensível; PYY= peptídeo YY; QVRS= qualidade de vida relacionada à saúde; SOC= senso de coerência; SQS= </w:t>
      </w:r>
      <w:r w:rsidRPr="0059711F">
        <w:rPr>
          <w:rFonts w:ascii="Times New Roman" w:eastAsia="Times New Roman" w:hAnsi="Times New Roman" w:cs="Times New Roman"/>
          <w:color w:val="222222"/>
          <w:sz w:val="20"/>
          <w:szCs w:val="20"/>
        </w:rPr>
        <w:t>Sleep Quality Scale</w:t>
      </w:r>
      <w:r w:rsidRPr="0059711F">
        <w:rPr>
          <w:rFonts w:ascii="Arial" w:eastAsia="Arial" w:hAnsi="Arial" w:cs="Arial"/>
          <w:color w:val="222222"/>
          <w:sz w:val="19"/>
          <w:szCs w:val="19"/>
        </w:rPr>
        <w:t>;</w:t>
      </w:r>
      <w:r w:rsidRPr="0059711F">
        <w:rPr>
          <w:rFonts w:ascii="Times New Roman" w:eastAsia="Times New Roman" w:hAnsi="Times New Roman" w:cs="Times New Roman"/>
          <w:color w:val="000000" w:themeColor="text1"/>
          <w:sz w:val="20"/>
          <w:szCs w:val="20"/>
        </w:rPr>
        <w:t xml:space="preserve"> TAS= tecido adiposo subcutâneo; TG= triglicerídeos; TGF= taxa de filtração glomerular; TNF-α=fator de necrose tumoral; VAS= Visual Analogue Scale; WOMAC=</w:t>
      </w:r>
      <w:r w:rsidRPr="0059711F">
        <w:rPr>
          <w:rFonts w:ascii="Roboto" w:eastAsia="Roboto" w:hAnsi="Roboto" w:cs="Roboto"/>
          <w:color w:val="E6E8F0"/>
        </w:rPr>
        <w:t xml:space="preserve"> </w:t>
      </w:r>
      <w:r w:rsidRPr="0059711F">
        <w:rPr>
          <w:rFonts w:ascii="Times New Roman" w:eastAsia="Times New Roman" w:hAnsi="Times New Roman" w:cs="Times New Roman"/>
          <w:color w:val="000000" w:themeColor="text1"/>
          <w:sz w:val="20"/>
          <w:szCs w:val="20"/>
        </w:rPr>
        <w:t>Western Ontario and McMaster Universities Osteoarthritis Index.</w:t>
      </w:r>
    </w:p>
    <w:p w14:paraId="6D554448" w14:textId="31AE9BF6" w:rsidR="00325CC9" w:rsidRPr="00325CC9" w:rsidRDefault="00325CC9" w:rsidP="1EB41FCB">
      <w:pPr>
        <w:spacing w:line="480" w:lineRule="auto"/>
        <w:rPr>
          <w:rFonts w:ascii="Times New Roman" w:eastAsia="Times New Roman" w:hAnsi="Times New Roman" w:cs="Times New Roman"/>
          <w:sz w:val="20"/>
          <w:szCs w:val="20"/>
        </w:rPr>
      </w:pPr>
    </w:p>
    <w:p w14:paraId="686FADAF" w14:textId="384AEE6D" w:rsidR="00325CC9" w:rsidRPr="00325CC9" w:rsidRDefault="00325CC9" w:rsidP="0E1CE3A0">
      <w:pPr>
        <w:jc w:val="both"/>
        <w:rPr>
          <w:rFonts w:ascii="Times New Roman" w:eastAsia="Times New Roman" w:hAnsi="Times New Roman" w:cs="Times New Roman"/>
          <w:color w:val="000000" w:themeColor="text1"/>
          <w:sz w:val="22"/>
          <w:szCs w:val="22"/>
        </w:rPr>
      </w:pPr>
    </w:p>
    <w:p w14:paraId="424D9B99" w14:textId="4F3B7EAE" w:rsidR="00325CC9" w:rsidRPr="00325CC9" w:rsidRDefault="00325CC9" w:rsidP="0E1CE3A0">
      <w:pPr>
        <w:spacing w:line="480" w:lineRule="auto"/>
        <w:rPr>
          <w:rFonts w:ascii="Times New Roman" w:eastAsia="Times New Roman" w:hAnsi="Times New Roman" w:cs="Times New Roman"/>
          <w:color w:val="000000" w:themeColor="text1"/>
        </w:rPr>
      </w:pPr>
    </w:p>
    <w:p w14:paraId="42244165" w14:textId="2A37A74F" w:rsidR="00325CC9" w:rsidRPr="00325CC9" w:rsidRDefault="00325CC9" w:rsidP="00325CC9">
      <w:pPr>
        <w:spacing w:line="480" w:lineRule="auto"/>
        <w:rPr>
          <w:rFonts w:ascii="Times New Roman" w:hAnsi="Times New Roman" w:cs="Times New Roman"/>
        </w:rPr>
      </w:pPr>
    </w:p>
    <w:p w14:paraId="6EC05BAD" w14:textId="522F91CF" w:rsidR="00EA7368" w:rsidRPr="00EA7368" w:rsidRDefault="00EA7368" w:rsidP="380116D5">
      <w:pPr>
        <w:spacing w:line="480" w:lineRule="auto"/>
        <w:rPr>
          <w:rFonts w:ascii="Times New Roman" w:hAnsi="Times New Roman" w:cs="Times New Roman"/>
        </w:rPr>
      </w:pPr>
    </w:p>
    <w:sectPr w:rsidR="00EA7368" w:rsidRPr="00EA7368" w:rsidSect="009C38D7">
      <w:pgSz w:w="11906" w:h="16838"/>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onta da Microsoft" w:date="2025-11-30T19:10:00Z" w:initials="CdM">
    <w:p w14:paraId="277AF838" w14:textId="56195E08" w:rsidR="00A90F96" w:rsidRDefault="00A90F96">
      <w:pPr>
        <w:pStyle w:val="Textodecomentrio"/>
      </w:pPr>
      <w:r>
        <w:rPr>
          <w:rStyle w:val="Refdecomentrio"/>
        </w:rPr>
        <w:annotationRef/>
      </w:r>
      <w:r>
        <w:t>Este fluxograma já traz parte dos resultados. Deixar nos métodos somente as estratégias de busca e seleção</w:t>
      </w:r>
    </w:p>
    <w:p w14:paraId="785B6CD8" w14:textId="1783EF3D" w:rsidR="00A90F96" w:rsidRDefault="00A90F96">
      <w:pPr>
        <w:pStyle w:val="Textodecomentrio"/>
      </w:pPr>
    </w:p>
  </w:comment>
  <w:comment w:id="1" w:author="Conta da Microsoft" w:date="2025-11-30T19:12:00Z" w:initials="CdM">
    <w:p w14:paraId="40CE9BD9" w14:textId="58EF0BA0" w:rsidR="00A90F96" w:rsidRDefault="00A90F96">
      <w:pPr>
        <w:pStyle w:val="Textodecomentrio"/>
      </w:pPr>
      <w:r>
        <w:rPr>
          <w:rStyle w:val="Refdecomentrio"/>
        </w:rPr>
        <w:annotationRef/>
      </w:r>
      <w:r>
        <w:t>Foram quantos? É o dado que está no fluxograma (n=11)</w:t>
      </w:r>
    </w:p>
  </w:comment>
  <w:comment w:id="2" w:author="Conta da Microsoft" w:date="2025-11-30T19:41:00Z" w:initials="CdM">
    <w:p w14:paraId="69B0BE54" w14:textId="47E42938" w:rsidR="002D7A8E" w:rsidRDefault="002D7A8E">
      <w:pPr>
        <w:pStyle w:val="Textodecomentrio"/>
      </w:pPr>
      <w:r>
        <w:rPr>
          <w:rStyle w:val="Refdecomentrio"/>
        </w:rPr>
        <w:annotationRef/>
      </w:r>
      <w:r>
        <w:t>Achei que a discussão não abordou os achados das quantidades de CHO na redução dos parâmetros que foram propostos. Os dados trazidos de fisiopatologia poderiam auxiliar na discussão dos resultados encontrados nos 11 estudos.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85B6CD8" w15:done="0"/>
  <w15:commentEx w15:paraId="40CE9BD9" w15:done="0"/>
  <w15:commentEx w15:paraId="69B0BE5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85B6CD8" w16cid:durableId="785B6CD8"/>
  <w16cid:commentId w16cid:paraId="40CE9BD9" w16cid:durableId="40CE9BD9"/>
  <w16cid:commentId w16cid:paraId="69B0BE54" w16cid:durableId="69B0BE5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ronos Pro Light">
    <w:altName w:val="Arial"/>
    <w:panose1 w:val="020B0604020202020204"/>
    <w:charset w:val="00"/>
    <w:family w:val="swiss"/>
    <w:notTrueType/>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066097"/>
    <w:multiLevelType w:val="hybridMultilevel"/>
    <w:tmpl w:val="286C0C94"/>
    <w:lvl w:ilvl="0" w:tplc="0DF820EA">
      <w:start w:val="1"/>
      <w:numFmt w:val="decimal"/>
      <w:lvlText w:val="%1."/>
      <w:lvlJc w:val="left"/>
      <w:pPr>
        <w:ind w:left="720" w:hanging="360"/>
      </w:pPr>
    </w:lvl>
    <w:lvl w:ilvl="1" w:tplc="23A49162">
      <w:start w:val="1"/>
      <w:numFmt w:val="lowerLetter"/>
      <w:lvlText w:val="%2."/>
      <w:lvlJc w:val="left"/>
      <w:pPr>
        <w:ind w:left="1440" w:hanging="360"/>
      </w:pPr>
    </w:lvl>
    <w:lvl w:ilvl="2" w:tplc="E71CC91C">
      <w:start w:val="1"/>
      <w:numFmt w:val="lowerRoman"/>
      <w:lvlText w:val="%3."/>
      <w:lvlJc w:val="right"/>
      <w:pPr>
        <w:ind w:left="2160" w:hanging="180"/>
      </w:pPr>
    </w:lvl>
    <w:lvl w:ilvl="3" w:tplc="B4E43CF6">
      <w:start w:val="1"/>
      <w:numFmt w:val="decimal"/>
      <w:lvlText w:val="%4."/>
      <w:lvlJc w:val="left"/>
      <w:pPr>
        <w:ind w:left="2880" w:hanging="360"/>
      </w:pPr>
    </w:lvl>
    <w:lvl w:ilvl="4" w:tplc="296447FA">
      <w:start w:val="1"/>
      <w:numFmt w:val="lowerLetter"/>
      <w:lvlText w:val="%5."/>
      <w:lvlJc w:val="left"/>
      <w:pPr>
        <w:ind w:left="3600" w:hanging="360"/>
      </w:pPr>
    </w:lvl>
    <w:lvl w:ilvl="5" w:tplc="D0606F06">
      <w:start w:val="1"/>
      <w:numFmt w:val="lowerRoman"/>
      <w:lvlText w:val="%6."/>
      <w:lvlJc w:val="right"/>
      <w:pPr>
        <w:ind w:left="4320" w:hanging="180"/>
      </w:pPr>
    </w:lvl>
    <w:lvl w:ilvl="6" w:tplc="C138FA3A">
      <w:start w:val="1"/>
      <w:numFmt w:val="decimal"/>
      <w:lvlText w:val="%7."/>
      <w:lvlJc w:val="left"/>
      <w:pPr>
        <w:ind w:left="5040" w:hanging="360"/>
      </w:pPr>
    </w:lvl>
    <w:lvl w:ilvl="7" w:tplc="22660454">
      <w:start w:val="1"/>
      <w:numFmt w:val="lowerLetter"/>
      <w:lvlText w:val="%8."/>
      <w:lvlJc w:val="left"/>
      <w:pPr>
        <w:ind w:left="5760" w:hanging="360"/>
      </w:pPr>
    </w:lvl>
    <w:lvl w:ilvl="8" w:tplc="63FC27AA">
      <w:start w:val="1"/>
      <w:numFmt w:val="lowerRoman"/>
      <w:lvlText w:val="%9."/>
      <w:lvlJc w:val="right"/>
      <w:pPr>
        <w:ind w:left="6480" w:hanging="180"/>
      </w:pPr>
    </w:lvl>
  </w:abstractNum>
  <w:abstractNum w:abstractNumId="1" w15:restartNumberingAfterBreak="0">
    <w:nsid w:val="5B0D9653"/>
    <w:multiLevelType w:val="hybridMultilevel"/>
    <w:tmpl w:val="612C6680"/>
    <w:lvl w:ilvl="0" w:tplc="D0644932">
      <w:start w:val="1"/>
      <w:numFmt w:val="decimal"/>
      <w:lvlText w:val="%1."/>
      <w:lvlJc w:val="left"/>
      <w:pPr>
        <w:ind w:left="720" w:hanging="360"/>
      </w:pPr>
    </w:lvl>
    <w:lvl w:ilvl="1" w:tplc="99BAEF9C">
      <w:start w:val="1"/>
      <w:numFmt w:val="lowerLetter"/>
      <w:lvlText w:val="%2."/>
      <w:lvlJc w:val="left"/>
      <w:pPr>
        <w:ind w:left="1440" w:hanging="360"/>
      </w:pPr>
    </w:lvl>
    <w:lvl w:ilvl="2" w:tplc="C5AA8CA6">
      <w:start w:val="1"/>
      <w:numFmt w:val="lowerRoman"/>
      <w:lvlText w:val="%3."/>
      <w:lvlJc w:val="right"/>
      <w:pPr>
        <w:ind w:left="2160" w:hanging="180"/>
      </w:pPr>
    </w:lvl>
    <w:lvl w:ilvl="3" w:tplc="659232E4">
      <w:start w:val="1"/>
      <w:numFmt w:val="decimal"/>
      <w:lvlText w:val="%4."/>
      <w:lvlJc w:val="left"/>
      <w:pPr>
        <w:ind w:left="2880" w:hanging="360"/>
      </w:pPr>
    </w:lvl>
    <w:lvl w:ilvl="4" w:tplc="E62CD3C6">
      <w:start w:val="1"/>
      <w:numFmt w:val="lowerLetter"/>
      <w:lvlText w:val="%5."/>
      <w:lvlJc w:val="left"/>
      <w:pPr>
        <w:ind w:left="3600" w:hanging="360"/>
      </w:pPr>
    </w:lvl>
    <w:lvl w:ilvl="5" w:tplc="0750D330">
      <w:start w:val="1"/>
      <w:numFmt w:val="lowerRoman"/>
      <w:lvlText w:val="%6."/>
      <w:lvlJc w:val="right"/>
      <w:pPr>
        <w:ind w:left="4320" w:hanging="180"/>
      </w:pPr>
    </w:lvl>
    <w:lvl w:ilvl="6" w:tplc="7A0E0DCC">
      <w:start w:val="1"/>
      <w:numFmt w:val="decimal"/>
      <w:lvlText w:val="%7."/>
      <w:lvlJc w:val="left"/>
      <w:pPr>
        <w:ind w:left="5040" w:hanging="360"/>
      </w:pPr>
    </w:lvl>
    <w:lvl w:ilvl="7" w:tplc="CF9C4B36">
      <w:start w:val="1"/>
      <w:numFmt w:val="lowerLetter"/>
      <w:lvlText w:val="%8."/>
      <w:lvlJc w:val="left"/>
      <w:pPr>
        <w:ind w:left="5760" w:hanging="360"/>
      </w:pPr>
    </w:lvl>
    <w:lvl w:ilvl="8" w:tplc="E02E066E">
      <w:start w:val="1"/>
      <w:numFmt w:val="lowerRoman"/>
      <w:lvlText w:val="%9."/>
      <w:lvlJc w:val="right"/>
      <w:pPr>
        <w:ind w:left="6480" w:hanging="180"/>
      </w:pPr>
    </w:lvl>
  </w:abstractNum>
  <w:num w:numId="1" w16cid:durableId="1340697728">
    <w:abstractNumId w:val="0"/>
  </w:num>
  <w:num w:numId="2" w16cid:durableId="108206540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nta da Microsoft">
    <w15:presenceInfo w15:providerId="Windows Live" w15:userId="7a36938a7fee27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oNotDisplayPageBoundaries/>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368"/>
    <w:rsid w:val="00012257"/>
    <w:rsid w:val="00036DA8"/>
    <w:rsid w:val="00045E68"/>
    <w:rsid w:val="000D736C"/>
    <w:rsid w:val="00170E41"/>
    <w:rsid w:val="001A1D20"/>
    <w:rsid w:val="001A2928"/>
    <w:rsid w:val="002053F5"/>
    <w:rsid w:val="002D7A8E"/>
    <w:rsid w:val="002E43C1"/>
    <w:rsid w:val="00325CC9"/>
    <w:rsid w:val="00476EA9"/>
    <w:rsid w:val="004B2740"/>
    <w:rsid w:val="00512CA8"/>
    <w:rsid w:val="005218A2"/>
    <w:rsid w:val="0059711F"/>
    <w:rsid w:val="005C63A3"/>
    <w:rsid w:val="00642CF9"/>
    <w:rsid w:val="0066530B"/>
    <w:rsid w:val="00690910"/>
    <w:rsid w:val="006A48A3"/>
    <w:rsid w:val="0073769A"/>
    <w:rsid w:val="008665D6"/>
    <w:rsid w:val="008A56BC"/>
    <w:rsid w:val="008E5AA4"/>
    <w:rsid w:val="009956A3"/>
    <w:rsid w:val="009C38D7"/>
    <w:rsid w:val="00A10199"/>
    <w:rsid w:val="00A55F70"/>
    <w:rsid w:val="00A90F96"/>
    <w:rsid w:val="00AB03A5"/>
    <w:rsid w:val="00B37B13"/>
    <w:rsid w:val="00B46BA5"/>
    <w:rsid w:val="00BA7D65"/>
    <w:rsid w:val="00BC3DC2"/>
    <w:rsid w:val="00C347FC"/>
    <w:rsid w:val="00C376BD"/>
    <w:rsid w:val="00C421DA"/>
    <w:rsid w:val="00C97FB8"/>
    <w:rsid w:val="00D05233"/>
    <w:rsid w:val="00E309FD"/>
    <w:rsid w:val="00EA7368"/>
    <w:rsid w:val="00EE3872"/>
    <w:rsid w:val="00FE0848"/>
    <w:rsid w:val="0B63BC84"/>
    <w:rsid w:val="0C2A937A"/>
    <w:rsid w:val="0E1CE3A0"/>
    <w:rsid w:val="0EEF9791"/>
    <w:rsid w:val="17A565FA"/>
    <w:rsid w:val="1EB41FCB"/>
    <w:rsid w:val="2DC49AA6"/>
    <w:rsid w:val="380116D5"/>
    <w:rsid w:val="4804BBF2"/>
    <w:rsid w:val="4FE06737"/>
    <w:rsid w:val="5568D437"/>
    <w:rsid w:val="56814B70"/>
    <w:rsid w:val="6E1C6AB6"/>
    <w:rsid w:val="6E60EA06"/>
    <w:rsid w:val="76CEB96F"/>
    <w:rsid w:val="7D4FFB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9495F"/>
  <w15:chartTrackingRefBased/>
  <w15:docId w15:val="{A3E5B40B-FA62-4771-86B3-7A795BA8B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368"/>
    <w:pPr>
      <w:spacing w:after="0" w:line="240" w:lineRule="auto"/>
    </w:pPr>
    <w:rPr>
      <w:rFonts w:eastAsiaTheme="minorEastAsia"/>
      <w:kern w:val="0"/>
      <w14:ligatures w14:val="none"/>
    </w:rPr>
  </w:style>
  <w:style w:type="paragraph" w:styleId="Ttulo1">
    <w:name w:val="heading 1"/>
    <w:basedOn w:val="Normal"/>
    <w:next w:val="Normal"/>
    <w:link w:val="Ttulo1Char"/>
    <w:uiPriority w:val="9"/>
    <w:qFormat/>
    <w:rsid w:val="00EA7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EA7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EA736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EA736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EA736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EA736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A736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A736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A7368"/>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A736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EA736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EA736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EA736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EA736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EA736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A736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A736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A7368"/>
    <w:rPr>
      <w:rFonts w:eastAsiaTheme="majorEastAsia" w:cstheme="majorBidi"/>
      <w:color w:val="272727" w:themeColor="text1" w:themeTint="D8"/>
    </w:rPr>
  </w:style>
  <w:style w:type="paragraph" w:styleId="Ttulo">
    <w:name w:val="Title"/>
    <w:basedOn w:val="Normal"/>
    <w:next w:val="Normal"/>
    <w:link w:val="TtuloChar"/>
    <w:uiPriority w:val="10"/>
    <w:qFormat/>
    <w:rsid w:val="00EA7368"/>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A73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A736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A736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A7368"/>
    <w:pPr>
      <w:spacing w:before="160"/>
      <w:jc w:val="center"/>
    </w:pPr>
    <w:rPr>
      <w:i/>
      <w:iCs/>
      <w:color w:val="404040" w:themeColor="text1" w:themeTint="BF"/>
    </w:rPr>
  </w:style>
  <w:style w:type="character" w:customStyle="1" w:styleId="CitaoChar">
    <w:name w:val="Citação Char"/>
    <w:basedOn w:val="Fontepargpadro"/>
    <w:link w:val="Citao"/>
    <w:uiPriority w:val="29"/>
    <w:rsid w:val="00EA7368"/>
    <w:rPr>
      <w:i/>
      <w:iCs/>
      <w:color w:val="404040" w:themeColor="text1" w:themeTint="BF"/>
    </w:rPr>
  </w:style>
  <w:style w:type="paragraph" w:styleId="PargrafodaLista">
    <w:name w:val="List Paragraph"/>
    <w:basedOn w:val="Normal"/>
    <w:uiPriority w:val="34"/>
    <w:qFormat/>
    <w:rsid w:val="00EA7368"/>
    <w:pPr>
      <w:ind w:left="720"/>
      <w:contextualSpacing/>
    </w:pPr>
  </w:style>
  <w:style w:type="character" w:styleId="nfaseIntensa">
    <w:name w:val="Intense Emphasis"/>
    <w:basedOn w:val="Fontepargpadro"/>
    <w:uiPriority w:val="21"/>
    <w:qFormat/>
    <w:rsid w:val="00EA7368"/>
    <w:rPr>
      <w:i/>
      <w:iCs/>
      <w:color w:val="0F4761" w:themeColor="accent1" w:themeShade="BF"/>
    </w:rPr>
  </w:style>
  <w:style w:type="paragraph" w:styleId="CitaoIntensa">
    <w:name w:val="Intense Quote"/>
    <w:basedOn w:val="Normal"/>
    <w:next w:val="Normal"/>
    <w:link w:val="CitaoIntensaChar"/>
    <w:uiPriority w:val="30"/>
    <w:qFormat/>
    <w:rsid w:val="00EA7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EA7368"/>
    <w:rPr>
      <w:i/>
      <w:iCs/>
      <w:color w:val="0F4761" w:themeColor="accent1" w:themeShade="BF"/>
    </w:rPr>
  </w:style>
  <w:style w:type="character" w:styleId="RefernciaIntensa">
    <w:name w:val="Intense Reference"/>
    <w:basedOn w:val="Fontepargpadro"/>
    <w:uiPriority w:val="32"/>
    <w:qFormat/>
    <w:rsid w:val="00EA7368"/>
    <w:rPr>
      <w:b/>
      <w:bCs/>
      <w:smallCaps/>
      <w:color w:val="0F4761" w:themeColor="accent1" w:themeShade="BF"/>
      <w:spacing w:val="5"/>
    </w:rPr>
  </w:style>
  <w:style w:type="paragraph" w:customStyle="1" w:styleId="correspondncia">
    <w:name w:val="correspondência"/>
    <w:basedOn w:val="Normal"/>
    <w:uiPriority w:val="99"/>
    <w:rsid w:val="00EA7368"/>
    <w:pPr>
      <w:suppressAutoHyphens/>
      <w:autoSpaceDE w:val="0"/>
      <w:autoSpaceDN w:val="0"/>
      <w:adjustRightInd w:val="0"/>
      <w:spacing w:line="180" w:lineRule="atLeast"/>
      <w:jc w:val="right"/>
      <w:textAlignment w:val="center"/>
    </w:pPr>
    <w:rPr>
      <w:rFonts w:ascii="Cronos Pro Light" w:eastAsia="Calibri" w:hAnsi="Cronos Pro Light" w:cs="Cronos Pro Light"/>
      <w:color w:val="000000"/>
      <w:sz w:val="16"/>
      <w:szCs w:val="16"/>
      <w:lang w:val="en-GB"/>
    </w:rPr>
  </w:style>
  <w:style w:type="character" w:styleId="Hyperlink">
    <w:name w:val="Hyperlink"/>
    <w:basedOn w:val="Fontepargpadro"/>
    <w:uiPriority w:val="99"/>
    <w:unhideWhenUsed/>
    <w:rsid w:val="009C38D7"/>
    <w:rPr>
      <w:color w:val="467886" w:themeColor="hyperlink"/>
      <w:u w:val="single"/>
    </w:rPr>
  </w:style>
  <w:style w:type="character" w:customStyle="1" w:styleId="MenoPendente1">
    <w:name w:val="Menção Pendente1"/>
    <w:basedOn w:val="Fontepargpadro"/>
    <w:uiPriority w:val="99"/>
    <w:semiHidden/>
    <w:unhideWhenUsed/>
    <w:rsid w:val="009C38D7"/>
    <w:rPr>
      <w:color w:val="605E5C"/>
      <w:shd w:val="clear" w:color="auto" w:fill="E1DFDD"/>
    </w:rPr>
  </w:style>
  <w:style w:type="table" w:styleId="Tabelacomgrade">
    <w:name w:val="Table Grid"/>
    <w:basedOn w:val="Tabelanormal"/>
    <w:uiPriority w:val="39"/>
    <w:rsid w:val="009C3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A">
    <w:name w:val="Corpo A"/>
    <w:basedOn w:val="Normal"/>
    <w:link w:val="CorpoAChar"/>
    <w:uiPriority w:val="1"/>
    <w:rsid w:val="0E1CE3A0"/>
    <w:pPr>
      <w:pBdr>
        <w:top w:val="nil"/>
        <w:left w:val="nil"/>
        <w:bottom w:val="nil"/>
        <w:right w:val="nil"/>
        <w:between w:val="nil"/>
        <w:bar w:val="nil"/>
      </w:pBdr>
    </w:pPr>
    <w:rPr>
      <w:color w:val="000000" w:themeColor="text1"/>
      <w:lang w:val="pt-PT" w:eastAsia="pt-BR"/>
    </w:rPr>
  </w:style>
  <w:style w:type="character" w:customStyle="1" w:styleId="CorpoAChar">
    <w:name w:val="Corpo A Char"/>
    <w:basedOn w:val="Fontepargpadro"/>
    <w:link w:val="CorpoA"/>
    <w:uiPriority w:val="1"/>
    <w:rsid w:val="0E1CE3A0"/>
    <w:rPr>
      <w:rFonts w:asciiTheme="minorHAnsi" w:eastAsiaTheme="minorEastAsia" w:hAnsiTheme="minorHAnsi" w:cstheme="minorBidi"/>
      <w:color w:val="000000" w:themeColor="text1"/>
      <w:sz w:val="24"/>
      <w:szCs w:val="24"/>
      <w:lang w:val="pt-PT" w:eastAsia="pt-BR"/>
    </w:rPr>
  </w:style>
  <w:style w:type="character" w:customStyle="1" w:styleId="Nenhum">
    <w:name w:val="Nenhum"/>
    <w:basedOn w:val="Fontepargpadro"/>
    <w:uiPriority w:val="1"/>
    <w:rsid w:val="0E1CE3A0"/>
    <w:rPr>
      <w:rFonts w:asciiTheme="minorHAnsi" w:eastAsiaTheme="minorEastAsia" w:hAnsiTheme="minorHAnsi" w:cstheme="minorBidi"/>
      <w:sz w:val="22"/>
      <w:szCs w:val="22"/>
    </w:rPr>
  </w:style>
  <w:style w:type="paragraph" w:customStyle="1" w:styleId="CorpoAA">
    <w:name w:val="Corpo A A"/>
    <w:basedOn w:val="Normal"/>
    <w:uiPriority w:val="1"/>
    <w:rsid w:val="0E1CE3A0"/>
    <w:pPr>
      <w:pBdr>
        <w:top w:val="nil"/>
        <w:left w:val="nil"/>
        <w:bottom w:val="nil"/>
        <w:right w:val="nil"/>
        <w:between w:val="nil"/>
        <w:bar w:val="nil"/>
      </w:pBdr>
    </w:pPr>
    <w:rPr>
      <w:color w:val="000000" w:themeColor="text1"/>
      <w:sz w:val="20"/>
      <w:szCs w:val="20"/>
      <w:lang w:val="pt-PT" w:eastAsia="pt-BR"/>
    </w:rPr>
  </w:style>
  <w:style w:type="character" w:styleId="Refdecomentrio">
    <w:name w:val="annotation reference"/>
    <w:basedOn w:val="Fontepargpadro"/>
    <w:uiPriority w:val="99"/>
    <w:semiHidden/>
    <w:unhideWhenUsed/>
    <w:rsid w:val="00AB03A5"/>
    <w:rPr>
      <w:sz w:val="16"/>
      <w:szCs w:val="16"/>
    </w:rPr>
  </w:style>
  <w:style w:type="paragraph" w:styleId="Textodecomentrio">
    <w:name w:val="annotation text"/>
    <w:basedOn w:val="Normal"/>
    <w:link w:val="TextodecomentrioChar"/>
    <w:uiPriority w:val="99"/>
    <w:unhideWhenUsed/>
    <w:rsid w:val="00AB03A5"/>
    <w:rPr>
      <w:sz w:val="20"/>
      <w:szCs w:val="20"/>
    </w:rPr>
  </w:style>
  <w:style w:type="character" w:customStyle="1" w:styleId="TextodecomentrioChar">
    <w:name w:val="Texto de comentário Char"/>
    <w:basedOn w:val="Fontepargpadro"/>
    <w:link w:val="Textodecomentrio"/>
    <w:uiPriority w:val="99"/>
    <w:rsid w:val="00AB03A5"/>
    <w:rPr>
      <w:rFonts w:eastAsiaTheme="minorEastAsia"/>
      <w:kern w:val="0"/>
      <w:sz w:val="20"/>
      <w:szCs w:val="20"/>
      <w14:ligatures w14:val="none"/>
    </w:rPr>
  </w:style>
  <w:style w:type="paragraph" w:styleId="Assuntodocomentrio">
    <w:name w:val="annotation subject"/>
    <w:basedOn w:val="Textodecomentrio"/>
    <w:next w:val="Textodecomentrio"/>
    <w:link w:val="AssuntodocomentrioChar"/>
    <w:uiPriority w:val="99"/>
    <w:semiHidden/>
    <w:unhideWhenUsed/>
    <w:rsid w:val="00AB03A5"/>
    <w:rPr>
      <w:b/>
      <w:bCs/>
    </w:rPr>
  </w:style>
  <w:style w:type="character" w:customStyle="1" w:styleId="AssuntodocomentrioChar">
    <w:name w:val="Assunto do comentário Char"/>
    <w:basedOn w:val="TextodecomentrioChar"/>
    <w:link w:val="Assuntodocomentrio"/>
    <w:uiPriority w:val="99"/>
    <w:semiHidden/>
    <w:rsid w:val="00AB03A5"/>
    <w:rPr>
      <w:rFonts w:eastAsiaTheme="minorEastAsia"/>
      <w:b/>
      <w:bCs/>
      <w:kern w:val="0"/>
      <w:sz w:val="20"/>
      <w:szCs w:val="20"/>
      <w14:ligatures w14:val="none"/>
    </w:rPr>
  </w:style>
  <w:style w:type="paragraph" w:styleId="Textodebalo">
    <w:name w:val="Balloon Text"/>
    <w:basedOn w:val="Normal"/>
    <w:link w:val="TextodebaloChar"/>
    <w:uiPriority w:val="99"/>
    <w:semiHidden/>
    <w:unhideWhenUsed/>
    <w:rsid w:val="00AB03A5"/>
    <w:rPr>
      <w:rFonts w:ascii="Segoe UI" w:hAnsi="Segoe UI" w:cs="Segoe UI"/>
      <w:sz w:val="18"/>
      <w:szCs w:val="18"/>
    </w:rPr>
  </w:style>
  <w:style w:type="character" w:customStyle="1" w:styleId="TextodebaloChar">
    <w:name w:val="Texto de balão Char"/>
    <w:basedOn w:val="Fontepargpadro"/>
    <w:link w:val="Textodebalo"/>
    <w:uiPriority w:val="99"/>
    <w:semiHidden/>
    <w:rsid w:val="00AB03A5"/>
    <w:rPr>
      <w:rFonts w:ascii="Segoe UI" w:eastAsiaTheme="minorEastAsia" w:hAnsi="Segoe UI" w:cs="Segoe UI"/>
      <w:kern w:val="0"/>
      <w:sz w:val="18"/>
      <w:szCs w:val="18"/>
      <w14:ligatures w14:val="none"/>
    </w:rPr>
  </w:style>
  <w:style w:type="character" w:styleId="MenoPendente">
    <w:name w:val="Unresolved Mention"/>
    <w:basedOn w:val="Fontepargpadro"/>
    <w:uiPriority w:val="99"/>
    <w:semiHidden/>
    <w:unhideWhenUsed/>
    <w:rsid w:val="00EE3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ettings" Target="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doi.org/10.1002%2Foby.24026" TargetMode="External"/><Relationship Id="rId4" Type="http://schemas.openxmlformats.org/officeDocument/2006/relationships/webSettings" Target="webSettings.xml"/><Relationship Id="rId9" Type="http://schemas.openxmlformats.org/officeDocument/2006/relationships/hyperlink" Target="https://doi.org/10.1590/1677-%205449.20240025"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5568</Words>
  <Characters>30070</Characters>
  <Application>Microsoft Office Word</Application>
  <DocSecurity>0</DocSecurity>
  <Lines>250</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Manoela Viana Theodoro</dc:creator>
  <cp:keywords/>
  <dc:description/>
  <cp:lastModifiedBy>VANESSA RORIZ FERREIRA DE ABREU</cp:lastModifiedBy>
  <cp:revision>3</cp:revision>
  <dcterms:created xsi:type="dcterms:W3CDTF">2025-12-07T10:51:00Z</dcterms:created>
  <dcterms:modified xsi:type="dcterms:W3CDTF">2025-12-08T19:10:00Z</dcterms:modified>
</cp:coreProperties>
</file>