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5176E" w14:textId="77777777" w:rsidR="00D61DC8" w:rsidRDefault="00086E62">
      <w:pPr>
        <w:spacing w:after="246" w:line="265" w:lineRule="auto"/>
        <w:ind w:left="21" w:right="13"/>
        <w:jc w:val="center"/>
      </w:pPr>
      <w:r>
        <w:rPr>
          <w:rFonts w:cs="Arial"/>
          <w:b/>
        </w:rPr>
        <w:t xml:space="preserve">RELAÇÃO DA DISLIPIDEMIA COM O TIPO DE GORDURA UTILIZADA NA </w:t>
      </w:r>
    </w:p>
    <w:p w14:paraId="03909DC6" w14:textId="77777777" w:rsidR="00D61DC8" w:rsidRDefault="00086E62">
      <w:pPr>
        <w:spacing w:after="446" w:line="265" w:lineRule="auto"/>
        <w:ind w:left="21"/>
        <w:jc w:val="center"/>
      </w:pPr>
      <w:r>
        <w:rPr>
          <w:rFonts w:cs="Arial"/>
          <w:b/>
        </w:rPr>
        <w:t>COÇÃO DOS ALIMENTOS</w:t>
      </w:r>
      <w:r>
        <w:t xml:space="preserve"> </w:t>
      </w:r>
    </w:p>
    <w:p w14:paraId="5E015AFE" w14:textId="77777777" w:rsidR="00D61DC8" w:rsidRDefault="00086E62">
      <w:pPr>
        <w:spacing w:after="457" w:line="259" w:lineRule="auto"/>
        <w:ind w:left="10" w:firstLine="0"/>
        <w:jc w:val="center"/>
      </w:pPr>
      <w:r>
        <w:t xml:space="preserve">Dyslipidemia And The Type Of Fat Used In Food Cooking </w:t>
      </w:r>
    </w:p>
    <w:p w14:paraId="750CA699" w14:textId="77777777" w:rsidR="00D61DC8" w:rsidRDefault="00086E62">
      <w:pPr>
        <w:spacing w:after="453" w:line="259" w:lineRule="auto"/>
        <w:ind w:left="-5" w:right="12"/>
      </w:pPr>
      <w:r>
        <w:t xml:space="preserve">Luana Barros Elias¹; Vanessa Roriz Ferreira de Abreu² </w:t>
      </w:r>
    </w:p>
    <w:p w14:paraId="0160441B" w14:textId="77777777" w:rsidR="00D61DC8" w:rsidRDefault="00086E62">
      <w:pPr>
        <w:ind w:left="-5" w:right="12"/>
      </w:pPr>
      <w:r>
        <w:t xml:space="preserve">¹Graduanda em Nutrição pela Pontifícia Universidade Católica de Goiás, Goiânia, Goiás, Brasil. </w:t>
      </w:r>
    </w:p>
    <w:p w14:paraId="65217156" w14:textId="77777777" w:rsidR="00D61DC8" w:rsidRDefault="00086E62">
      <w:pPr>
        <w:ind w:left="-5" w:right="12"/>
      </w:pPr>
      <w:r>
        <w:t xml:space="preserve">²Docente do curso de graduação em Nutrição da Pontifícia Universidade Católica de Goiás, Goiânia, Goiás, Brasil. </w:t>
      </w:r>
    </w:p>
    <w:p w14:paraId="4F05CC8E" w14:textId="77777777" w:rsidR="00D61DC8" w:rsidRDefault="00086E62">
      <w:pPr>
        <w:spacing w:after="252" w:line="259" w:lineRule="auto"/>
        <w:ind w:left="0" w:firstLine="0"/>
      </w:pPr>
      <w:r>
        <w:t xml:space="preserve"> </w:t>
      </w:r>
    </w:p>
    <w:p w14:paraId="2C854080" w14:textId="77777777" w:rsidR="00D61DC8" w:rsidRDefault="00086E62">
      <w:pPr>
        <w:spacing w:after="457" w:line="259" w:lineRule="auto"/>
        <w:ind w:left="-5" w:right="12"/>
      </w:pPr>
      <w:r>
        <w:t xml:space="preserve">Autor para correspondência: </w:t>
      </w:r>
    </w:p>
    <w:p w14:paraId="0F082AF8" w14:textId="77777777" w:rsidR="00D61DC8" w:rsidRDefault="00086E62">
      <w:pPr>
        <w:spacing w:after="452" w:line="259" w:lineRule="auto"/>
        <w:ind w:left="-5" w:right="12"/>
      </w:pPr>
      <w:r>
        <w:t xml:space="preserve">Luana Barros Elias </w:t>
      </w:r>
    </w:p>
    <w:p w14:paraId="476535F9" w14:textId="77777777" w:rsidR="00D61DC8" w:rsidRDefault="00086E62">
      <w:pPr>
        <w:ind w:left="-5" w:right="12"/>
      </w:pPr>
      <w:r>
        <w:t xml:space="preserve">Endereço: Avenida Universitária nº 1.140, Setor Leste Universitário, CEP 74605-010, Goiânia, Goiás, Brasil. </w:t>
      </w:r>
    </w:p>
    <w:p w14:paraId="10D46F0C" w14:textId="77777777" w:rsidR="00D61DC8" w:rsidRDefault="00086E62">
      <w:pPr>
        <w:spacing w:after="452" w:line="259" w:lineRule="auto"/>
        <w:ind w:left="-5" w:right="12"/>
      </w:pPr>
      <w:r>
        <w:t xml:space="preserve">E-mail dos autores: </w:t>
      </w:r>
    </w:p>
    <w:p w14:paraId="40B4CDD1" w14:textId="77777777" w:rsidR="00D61DC8" w:rsidRDefault="00086E62">
      <w:pPr>
        <w:spacing w:after="452" w:line="259" w:lineRule="auto"/>
        <w:ind w:left="-5" w:right="12"/>
      </w:pPr>
      <w:r>
        <w:t xml:space="preserve">Luana Barros Elias </w:t>
      </w:r>
      <w:r>
        <w:rPr>
          <w:rFonts w:cs="Arial"/>
        </w:rPr>
        <w:t>–</w:t>
      </w:r>
      <w:r>
        <w:t xml:space="preserve"> luanalbe.01@gmail.com </w:t>
      </w:r>
    </w:p>
    <w:p w14:paraId="73489613" w14:textId="77777777" w:rsidR="00D61DC8" w:rsidRDefault="00086E62">
      <w:pPr>
        <w:spacing w:after="457" w:line="259" w:lineRule="auto"/>
        <w:ind w:left="-5" w:right="12"/>
      </w:pPr>
      <w:r>
        <w:t xml:space="preserve">Vanessa Roriz Ferreira de Abreu </w:t>
      </w:r>
      <w:r>
        <w:rPr>
          <w:rFonts w:cs="Arial"/>
        </w:rPr>
        <w:t>–</w:t>
      </w:r>
      <w:r>
        <w:t xml:space="preserve"> vanessaroriz@pucgoias.edu.br </w:t>
      </w:r>
    </w:p>
    <w:p w14:paraId="42B25E39" w14:textId="77777777" w:rsidR="00D61DC8" w:rsidRDefault="00086E62">
      <w:pPr>
        <w:spacing w:after="0" w:line="259" w:lineRule="auto"/>
        <w:ind w:left="0" w:firstLine="0"/>
      </w:pPr>
      <w:r>
        <w:rPr>
          <w:rFonts w:cs="Arial"/>
          <w:b/>
        </w:rPr>
        <w:t xml:space="preserve"> </w:t>
      </w:r>
    </w:p>
    <w:p w14:paraId="4FD58C32" w14:textId="77777777" w:rsidR="00D61DC8" w:rsidRDefault="00086E62">
      <w:pPr>
        <w:spacing w:after="452" w:line="259" w:lineRule="auto"/>
        <w:ind w:left="0" w:firstLine="0"/>
      </w:pPr>
      <w:r>
        <w:rPr>
          <w:rFonts w:cs="Arial"/>
          <w:b/>
        </w:rPr>
        <w:t xml:space="preserve"> </w:t>
      </w:r>
    </w:p>
    <w:p w14:paraId="4E702BAF" w14:textId="77777777" w:rsidR="00D61DC8" w:rsidRDefault="00086E62">
      <w:pPr>
        <w:spacing w:after="526" w:line="265" w:lineRule="auto"/>
        <w:ind w:left="-5"/>
      </w:pPr>
      <w:r>
        <w:rPr>
          <w:rFonts w:cs="Arial"/>
          <w:b/>
        </w:rPr>
        <w:t>RESUMO</w:t>
      </w:r>
      <w:r>
        <w:t xml:space="preserve"> </w:t>
      </w:r>
    </w:p>
    <w:p w14:paraId="4048CA64" w14:textId="77777777" w:rsidR="00D61DC8" w:rsidRDefault="00086E62">
      <w:pPr>
        <w:spacing w:after="0"/>
        <w:ind w:left="-5" w:right="12"/>
      </w:pPr>
      <w:r>
        <w:t xml:space="preserve">A dislipidemia constitui um importante fator de risco para doenças cardiovasculares, sendo influenciada por diversos componentes dietéticos, incluindo o tipo de gordura </w:t>
      </w:r>
      <w:r>
        <w:lastRenderedPageBreak/>
        <w:t xml:space="preserve">utilizada na cocção dos alimentos. Este trabalho teve como objetivo revisar a relação entre a utilização de diferentes tipos de gorduras no preparo dos alimentos e a prevalência de alterações lipídicas em indivíduos adultos. A metodologia adotada foi uma revisão bibliográfica do tipo narrativa, com busca de artigos científicos nas bases de dados SciELO, PubMed e Google Acadêmico, utilizando os descritores </w:t>
      </w:r>
    </w:p>
    <w:p w14:paraId="438934CC" w14:textId="77777777" w:rsidR="00D61DC8" w:rsidRDefault="00086E62">
      <w:pPr>
        <w:spacing w:after="278"/>
        <w:ind w:left="-5" w:right="12"/>
      </w:pPr>
      <w:r>
        <w:t>Dyslipidemias,  Dietary Fats,  Cooking, Fatty Acids, Lipid Profile. Foram selecionados 18 estudos publicados nos últimos 10 anos, entre 2015 e 2025, incluindo ensaios clínicos, estudos experimentais e revisões sistemáticas. Os resultados apontam que o uso de gorduras insaturadas, como azeite de oliva, óleo de linhaça e óleo de canola, está associado à melhora no perfil lipídico, especialmente na redução de LDL-c, colesterol total e triglicerídeos. Por outro lado, a utilização frequente de gorduras saturadas</w:t>
      </w:r>
      <w:r>
        <w:t xml:space="preserve">, como banha de porco, óleo de coco e ghee, foi relacionada a alterações lipídicas desfavoráveis e aumento do risco de dislipidemias. Estudos de revisão reforçam essas evidências e recomendam a substituição de gorduras saturadas como estratégia preventiva e terapêutica. Conclui-se que o tipo de gordura utilizada na cocção dos alimentos tem impacto direto na saúde cardiovascular, sendo fundamental a orientação nutricional adequada quanto à escolha dos lipídeos no preparo das refeições. </w:t>
      </w:r>
    </w:p>
    <w:p w14:paraId="01BB411E" w14:textId="77777777" w:rsidR="00D61DC8" w:rsidRDefault="00086E62">
      <w:pPr>
        <w:ind w:left="-5" w:right="12"/>
      </w:pPr>
      <w:r>
        <w:rPr>
          <w:rFonts w:cs="Arial"/>
          <w:b/>
        </w:rPr>
        <w:t>Palavras-chave:</w:t>
      </w:r>
      <w:r>
        <w:t xml:space="preserve"> Dislipidemias. Gorduras na dieta. Técnicas de cocção. Ácidos graxos. Perfil lipídico. </w:t>
      </w:r>
    </w:p>
    <w:p w14:paraId="07BDC88F" w14:textId="77777777" w:rsidR="00D61DC8" w:rsidRDefault="00086E62">
      <w:pPr>
        <w:spacing w:after="452" w:line="259" w:lineRule="auto"/>
        <w:ind w:left="0" w:firstLine="0"/>
      </w:pPr>
      <w:r>
        <w:t xml:space="preserve"> </w:t>
      </w:r>
    </w:p>
    <w:p w14:paraId="16C3D352" w14:textId="77777777" w:rsidR="00D61DC8" w:rsidRDefault="00086E62">
      <w:pPr>
        <w:spacing w:after="446" w:line="265" w:lineRule="auto"/>
        <w:ind w:left="-5"/>
      </w:pPr>
      <w:r>
        <w:rPr>
          <w:rFonts w:cs="Arial"/>
          <w:b/>
        </w:rPr>
        <w:t>ABSTRACT</w:t>
      </w:r>
      <w:r>
        <w:t xml:space="preserve"> </w:t>
      </w:r>
    </w:p>
    <w:p w14:paraId="718EB230" w14:textId="77777777" w:rsidR="00D61DC8" w:rsidRDefault="00086E62">
      <w:pPr>
        <w:ind w:left="-5" w:right="12"/>
      </w:pPr>
      <w:r>
        <w:t xml:space="preserve">Dyslipidemia is a major risk factor for cardiovascular diseases and is influenced by several dietary components, including the type of fat used in food cooking. This study </w:t>
      </w:r>
      <w:r>
        <w:lastRenderedPageBreak/>
        <w:t>aims to review, through a bibliographic analysis, the relationship between the use of different types of fats in cooking and the prevalence of lipid disorders in adults. A total of 18 studies published between 2015 and 2025 were analyzed, including clinical trials, experimental research and systematic reviews. The results indicate that the use of unsaturated fats, such as olive oil, flaxseed oil and canola oil, is associated with improved lipid profiles, especially in reducing LDL-c, total cholesterol and t</w:t>
      </w:r>
      <w:r>
        <w:t xml:space="preserve">riglycerides. Conversely, frequent use of saturated fats such as lard, coconut oil and ghee has been linked to unfavorable lipid changes and an increased risk of dyslipidemia. Review studies reinforce this evidence and recommend replacing saturated fats with unsaturated ones as a preventive and therapeutic strategy. It is concluded that the type of fat used in food cooking has a direct impact on cardiovascular health, making proper nutritional guidance essential when choosing fats for meal preparation. </w:t>
      </w:r>
    </w:p>
    <w:p w14:paraId="0A56E259" w14:textId="77777777" w:rsidR="00D61DC8" w:rsidRDefault="00086E62">
      <w:pPr>
        <w:spacing w:after="257" w:line="259" w:lineRule="auto"/>
        <w:ind w:left="0" w:firstLine="0"/>
      </w:pPr>
      <w:r>
        <w:t xml:space="preserve"> </w:t>
      </w:r>
    </w:p>
    <w:p w14:paraId="423638A3" w14:textId="77777777" w:rsidR="00D61DC8" w:rsidRDefault="00086E62">
      <w:pPr>
        <w:spacing w:line="259" w:lineRule="auto"/>
        <w:ind w:left="-5" w:right="12"/>
      </w:pPr>
      <w:r>
        <w:rPr>
          <w:rFonts w:cs="Arial"/>
          <w:b/>
        </w:rPr>
        <w:t>Keywords:</w:t>
      </w:r>
      <w:r>
        <w:t xml:space="preserve"> Dyslipidemia. Dietary fat. Cooking. Fatty acids. Lipid profile.</w:t>
      </w:r>
    </w:p>
    <w:p w14:paraId="3527A9EB" w14:textId="77777777" w:rsidR="00D61DC8" w:rsidRDefault="00086E62">
      <w:pPr>
        <w:spacing w:after="486" w:line="265" w:lineRule="auto"/>
        <w:ind w:left="-5"/>
      </w:pPr>
      <w:r>
        <w:rPr>
          <w:rFonts w:cs="Arial"/>
          <w:b/>
        </w:rPr>
        <w:t>Introdução</w:t>
      </w:r>
      <w:r>
        <w:t xml:space="preserve"> </w:t>
      </w:r>
    </w:p>
    <w:p w14:paraId="4DAE7B01" w14:textId="77777777" w:rsidR="00D61DC8" w:rsidRDefault="00086E62">
      <w:pPr>
        <w:spacing w:after="243"/>
        <w:ind w:left="-5" w:right="12"/>
      </w:pPr>
      <w:r>
        <w:t xml:space="preserve">As doenças cardiovasculares (DCVs) continuam sendo a principal causa de mortalidade em todo o mundo, sendo a dislipidemia um dos fatores de risco mais prevalentes e potencialmente modificáveis. Caracterizada por alterações nos níveis séricos de lipídios, como colesterol total, LDL-colesterol, HDL-colesterol e triglicerídeos, a dislipidemia está fortemente relacionada à fisiopatologia da aterosclerose, inflamação crônica e eventos cardiovasculares agudos (DINH-TOI et al., 2024; SILVA et al., 2019). </w:t>
      </w:r>
    </w:p>
    <w:p w14:paraId="39B1BF03" w14:textId="77777777" w:rsidR="00D61DC8" w:rsidRDefault="00086E62">
      <w:pPr>
        <w:spacing w:after="243"/>
        <w:ind w:left="-5" w:right="12"/>
      </w:pPr>
      <w:r>
        <w:lastRenderedPageBreak/>
        <w:t xml:space="preserve">Dentre os diversos fatores que influenciam o desenvolvimento e agravamento dessa condição, destaca-se o padrão alimentar, especialmente no que diz respeito à qualidade e tipo de gordura consumida durante a cocção dos alimentos. A ingestão excessiva de gorduras saturadas e trans </w:t>
      </w:r>
      <w:r>
        <w:rPr>
          <w:rFonts w:cs="Arial"/>
        </w:rPr>
        <w:t>—</w:t>
      </w:r>
      <w:r>
        <w:t xml:space="preserve"> comumente presentes em alimentos ultraprocessados ou em preparações culinárias com banha, manteiga ou óleos reutilizados </w:t>
      </w:r>
      <w:r>
        <w:rPr>
          <w:rFonts w:cs="Arial"/>
        </w:rPr>
        <w:t>—</w:t>
      </w:r>
      <w:r>
        <w:t xml:space="preserve"> tem sido associada ao aumento do LDL-colesterol, resistência à insulina, disfunção hepática e agravamento do perfil lipídico (CHU et al., 2024; NG et al., 2014). </w:t>
      </w:r>
    </w:p>
    <w:p w14:paraId="72F9B446" w14:textId="77777777" w:rsidR="00D61DC8" w:rsidRDefault="00086E62">
      <w:pPr>
        <w:spacing w:after="243"/>
        <w:ind w:left="-5" w:right="12"/>
      </w:pPr>
      <w:r>
        <w:t xml:space="preserve">Além de modificar propriedades sensoriais e microbiológicas dos alimentos, os métodos de cocção também impactam diretamente sua composição nutricional, particularmente no que se refere ao teor e à qualidade dos lipídios. O hábito de reutilizar óleos vegetais aquecidos, por exemplo, promove a formação de compostos tóxicos, como ácidos graxos trans e compostos polares, associados a efeitos deletérios à saúde, incluindo aumento da pressão arterial, estresse oxidativo e disfunção endotelial (TENG et al., 2011; </w:t>
      </w:r>
      <w:r>
        <w:t xml:space="preserve">NG et al., 2014). </w:t>
      </w:r>
    </w:p>
    <w:p w14:paraId="7085C7A1" w14:textId="77777777" w:rsidR="00D61DC8" w:rsidRDefault="00086E62">
      <w:pPr>
        <w:spacing w:after="237"/>
        <w:ind w:left="-5" w:right="12"/>
      </w:pPr>
      <w:r>
        <w:t xml:space="preserve">Em contrapartida, a substituição de gorduras saturadas por insaturadas, como o azeite de oliva extra virgem, é amplamente recomendada por diretrizes nutricionais e estudos clínicos. Evidências científicas demonstram que o consumo regular de lipídios de melhor qualidade </w:t>
      </w:r>
      <w:r>
        <w:rPr>
          <w:rFonts w:cs="Arial"/>
        </w:rPr>
        <w:t>—</w:t>
      </w:r>
      <w:r>
        <w:t xml:space="preserve"> ricos em compostos fenólicos, ômega-3 e outras substâncias antioxidantes </w:t>
      </w:r>
      <w:r>
        <w:rPr>
          <w:rFonts w:cs="Arial"/>
        </w:rPr>
        <w:t>—</w:t>
      </w:r>
      <w:r>
        <w:t xml:space="preserve"> pode promover a redução do LDL oxidado, melhora da pressão arterial e efeitos benéficos sobre o metabolismo lipídico e o risco cardiovascular (MONTERRAT-DE LA PAZ et al., 2016; PEDRET et al., 2015; SCHWINGSCHAKL et al., 2019). </w:t>
      </w:r>
    </w:p>
    <w:p w14:paraId="57486266" w14:textId="77777777" w:rsidR="00D61DC8" w:rsidRDefault="00086E62">
      <w:pPr>
        <w:spacing w:after="238"/>
        <w:ind w:left="-5" w:right="12"/>
      </w:pPr>
      <w:r>
        <w:lastRenderedPageBreak/>
        <w:t xml:space="preserve">No contexto brasileiro, observa-se que o uso indiscriminado de gorduras saturadas ainda é uma realidade, especialmente em regiões com menor acesso a informações de saúde ou restrições socioeconômicas que dificultam a adoção de alternativas mais saudáveis. Diante da importância desse tema para a saúde pública e para a prática nutricional, torna-se pertinente analisar como os diferentes tipos de gordura utilizados na cocção dos alimentos influenciam o metabolismo lipídico e o risco de dislipidemia. </w:t>
      </w:r>
    </w:p>
    <w:p w14:paraId="0EF3C716" w14:textId="77777777" w:rsidR="00D61DC8" w:rsidRDefault="00086E62">
      <w:pPr>
        <w:ind w:left="-5" w:right="12"/>
      </w:pPr>
      <w:r>
        <w:t>Assim, o presente trabalho propõe uma revisão bibliográfica integrativa que busca compreender, com base em evidências científicas, a relação entre o tipo de gordura empregada na preparação dos alimentos e as alterações no perfil lipídico de indivíduos adultos, visando contribuir para estratégias nutricionais mais eficazes na prevenção de doenças cardiovasculares.</w:t>
      </w:r>
    </w:p>
    <w:p w14:paraId="39295D47" w14:textId="77777777" w:rsidR="00D61DC8" w:rsidRDefault="00086E62">
      <w:pPr>
        <w:spacing w:after="446" w:line="265" w:lineRule="auto"/>
        <w:ind w:left="-5"/>
      </w:pPr>
      <w:r>
        <w:rPr>
          <w:rFonts w:cs="Arial"/>
          <w:b/>
        </w:rPr>
        <w:t xml:space="preserve">  Materiais e Métodos</w:t>
      </w:r>
      <w:r>
        <w:t xml:space="preserve"> </w:t>
      </w:r>
    </w:p>
    <w:p w14:paraId="02EC2ECF" w14:textId="77777777" w:rsidR="00D61DC8" w:rsidRDefault="00086E62">
      <w:pPr>
        <w:ind w:left="150" w:right="12"/>
      </w:pPr>
      <w:r>
        <w:t xml:space="preserve">Este trabalho trata-se de uma revisão bibliográfica narrativa, cujo objetivo é reunir, interpretar e discutir evidências científicas sobre a relação entre o tipo de gordura utilizada na cocção dos alimentos e a dislipidemia. A escolha por este tipo de revisão se justifica pela possibilidade de integrar diferentes estudos científicos nacionais e internacionais sobre o tema, permitindo uma análise crítica e contextualizada do impacto das gorduras alimentares no perfil lipídico. </w:t>
      </w:r>
    </w:p>
    <w:p w14:paraId="39CC6FA6" w14:textId="77777777" w:rsidR="00D61DC8" w:rsidRDefault="00086E62">
      <w:pPr>
        <w:spacing w:after="3"/>
        <w:ind w:left="150" w:right="12"/>
      </w:pPr>
      <w:r>
        <w:t xml:space="preserve">A seleção dos artigos foi realizada entre os meses de abril e maio de 2025, por meio de buscas sistemáticas nas bases de dados eletrônicas SciELO, PubMed, ScienceDirect e Google Scholar. Foram utilizados os seguintes descritores em </w:t>
      </w:r>
      <w:r>
        <w:rPr>
          <w:rFonts w:cs="Arial"/>
        </w:rPr>
        <w:t xml:space="preserve">português (DeCS): “dislipidemia”, “gorduras na dieta”, “gorduras saturadas”, </w:t>
      </w:r>
      <w:r>
        <w:rPr>
          <w:rFonts w:cs="Arial"/>
        </w:rPr>
        <w:lastRenderedPageBreak/>
        <w:t>“gorduras insaturadas”, “azeite de oliva”, “banha”, “óleos aquecidos”, “perfil lipídico” e “doenças cardiovasculares”.</w:t>
      </w:r>
      <w:r>
        <w:t xml:space="preserve"> Em inglês (MeSH), os termos utilizados foram: </w:t>
      </w:r>
    </w:p>
    <w:p w14:paraId="72E412D6" w14:textId="77777777" w:rsidR="00D61DC8" w:rsidRDefault="00086E62">
      <w:pPr>
        <w:spacing w:after="199"/>
        <w:ind w:left="140" w:firstLine="0"/>
      </w:pPr>
      <w:r>
        <w:rPr>
          <w:rFonts w:cs="Arial"/>
        </w:rPr>
        <w:t xml:space="preserve">“Dyslipidemias”, “Dietary Fats”, “Saturated Fatty Acids”, “Unsaturated Fatty Acids”, “Olive Oil”, “Lard”, “Heated Oils”, “Lipid Profile” e “Cardiovascular Diseases”. Os </w:t>
      </w:r>
      <w:r>
        <w:t>descritores foram combinados entre si ut</w:t>
      </w:r>
      <w:r>
        <w:rPr>
          <w:rFonts w:cs="Arial"/>
        </w:rPr>
        <w:t>ilizando os operadores booleanos “AND” e “OR”, a fim de abranger uma maior diversidade de publicações pertinentes.</w:t>
      </w:r>
      <w:r>
        <w:t xml:space="preserve"> </w:t>
      </w:r>
    </w:p>
    <w:p w14:paraId="32B3A34A" w14:textId="77777777" w:rsidR="00D61DC8" w:rsidRDefault="00086E62">
      <w:pPr>
        <w:spacing w:after="0"/>
        <w:ind w:left="-5" w:right="12"/>
      </w:pPr>
      <w:r>
        <w:t>Foram incluídos artigos originais publicados nos idiomas português, inglês ou espanhol, entre os anos de 2015 a 2025, que abordassem direta ou indiretamente a influência do tipo de gordura utilizada no preparo dos alimentos sobre os parâmetros lipídicos e o risco cardiovascular. Foram considerados válidos ensaios clínicos, estudos experimentais com humanos ou animais e estudos observacionais com delineamento claro. Como critérios de exclusão, foram desconsiderados artigos de revisão bibliográfica, estudos d</w:t>
      </w:r>
      <w:r>
        <w:t>uplicados, publicações incompletas, pesquisas com foco exclusivo em suplementação de ácidos graxos por cápsulas ou compostos isolados sem relação com a cocção dos alimentos, além de trabalhos que não relacionassem diretamente o tipo de gordura utilizada com a dislipidemia.</w:t>
      </w:r>
      <w:r>
        <w:br w:type="page"/>
      </w:r>
    </w:p>
    <w:p w14:paraId="308C17FD" w14:textId="77777777" w:rsidR="00D61DC8" w:rsidRDefault="00086E62">
      <w:pPr>
        <w:ind w:left="150" w:right="12"/>
      </w:pPr>
      <w:r>
        <w:lastRenderedPageBreak/>
        <w:t xml:space="preserve">Após leitura e triagem dos títulos, resumos e textos completos, foram selecionados dez artigos científicos que compõem a base teórica deste trabalho. Os estudos foram analisados de forma crítica, considerando o tipo de gordura avaliada, o modelo de estudo (clínico, experimental ou observacional), a população amostrada, a duração da intervenção e os principais resultados relacionados ao perfil lipídico, como níveis de colesterol total, HDL, LDL e triglicerídeos. Essa análise possibilitou a construção de uma </w:t>
      </w:r>
      <w:r>
        <w:t xml:space="preserve">síntese integrada dos achados, destacando pontos de convergência e divergência entre os estudos. </w:t>
      </w:r>
    </w:p>
    <w:p w14:paraId="0981110A" w14:textId="77777777" w:rsidR="00D61DC8" w:rsidRDefault="00086E62">
      <w:pPr>
        <w:spacing w:after="446" w:line="265" w:lineRule="auto"/>
        <w:ind w:left="-5"/>
      </w:pPr>
      <w:r>
        <w:rPr>
          <w:rFonts w:cs="Arial"/>
          <w:b/>
        </w:rPr>
        <w:t>Resultados</w:t>
      </w:r>
      <w:r>
        <w:t xml:space="preserve"> </w:t>
      </w:r>
    </w:p>
    <w:p w14:paraId="37777517" w14:textId="77777777" w:rsidR="00D61DC8" w:rsidRDefault="00086E62">
      <w:pPr>
        <w:ind w:left="-5" w:right="12"/>
      </w:pPr>
      <w:r>
        <w:t xml:space="preserve">Ao analisar os estudos selecionados, observa-se que o tipo de gordura utilizada na cocção exerce impacto direto sobre o perfil lipídico, reforçando a hipótese de que escolhas alimentares relacionadas às gorduras podem influenciar o desenvolvimento ou controle da dislipidemia. De maneira geral, os resultados foram agrupados em quatro categorias: gorduras saturadas, gorduras insaturadas, óleos enriquecidos e revisões sistemáticas sobre o tema. </w:t>
      </w:r>
    </w:p>
    <w:p w14:paraId="7CD3BFA1" w14:textId="77777777" w:rsidR="00D61DC8" w:rsidRDefault="00086E62">
      <w:pPr>
        <w:ind w:left="150" w:right="12"/>
      </w:pPr>
      <w:r>
        <w:t>No grupo das gorduras saturadas, como banha de porco, ghee, óleo de palma e óleo de coco, a maioria dos estudos demonstrou associação com piora de marcadores lipídicos. Estudos experimentais com animais alimentados com banha apresentaram aumento de colesterol total, LDL e triglicerídeos, além de sinais de esteatose hepática e inflamação, apontando para efeitos metabólicos adversos (Chu et al., 2024; Silva et al., 2019). No entanto, em humanos, os efeitos foram mais variados. Por exemplo, embora o ghee tenha</w:t>
      </w:r>
      <w:r>
        <w:t xml:space="preserve"> sido associado a piora do perfil lipídico, sua substituição por óleo de canola resultou em melhora significativa de enzimas hepáticas e lipídios plasmáticos (Sedgi et al., 2024). Óleos de palma e coco, frequentemente utilizados em regiões tropicais, apresentaram efeitos controversos: enquanto alguns estudos apontaram aumento do LDL e colesterol total, outros demonstraram redução desses marcadores, sugerindo que o contexto dietético, a quantidade e o tipo de processamento influenciam os resultados (Swarnama</w:t>
      </w:r>
      <w:r>
        <w:t xml:space="preserve">li et al., 2024; Koc et al., 2022). </w:t>
      </w:r>
    </w:p>
    <w:p w14:paraId="626B803E" w14:textId="77777777" w:rsidR="00D61DC8" w:rsidRDefault="00086E62">
      <w:pPr>
        <w:ind w:left="150" w:right="12"/>
      </w:pPr>
      <w:r>
        <w:t>Por outro lado, as gorduras insaturadas, como azeite de oliva, óleo de linhaça, canola e girassol, mostraram-se consistentemente benéficas no controle lipídico. Estudos com azeite extra virgem e linhaça relataram melhora na função endotelial, redução de LDL e triglicerídeos, além de efeitos anti- inflamatórios (Khandouzi et al., 2023; Teng et al., 2024). A substituição de gorduras saturadas por azeite ou canola resultou em melhores desfechos metabólicos, inclusive em pacientes com sobrepeso e doenças cardio</w:t>
      </w:r>
      <w:r>
        <w:t>vasculares. O óleo de girassol ozonizado também demonstrou redução</w:t>
      </w:r>
    </w:p>
    <w:p w14:paraId="5123B4FF" w14:textId="77777777" w:rsidR="00D61DC8" w:rsidRDefault="00086E62">
      <w:pPr>
        <w:ind w:left="150" w:right="12"/>
      </w:pPr>
      <w:r>
        <w:t xml:space="preserve">significativa de colesterol total e LDL (Lopes et al., 2020), reforçando o papel das gorduras poli-insaturadas na prevenção da dislipidemia. </w:t>
      </w:r>
    </w:p>
    <w:p w14:paraId="61E378BF" w14:textId="77777777" w:rsidR="00D61DC8" w:rsidRDefault="00086E62">
      <w:pPr>
        <w:ind w:left="150" w:right="12"/>
      </w:pPr>
      <w:r>
        <w:t xml:space="preserve">Em relação aos óleos enriquecidos, três estudos mostraram efeitos positivos no perfil lipídico. O óleo de palma enriquecido com fitoesteróis reduziu significativamente os níveis de colesterol total e LDL (Dewi et al., 2024). Já o uso de óleo de krill foi eficaz na redução de triglicerídeos em pacientes com hipertrigliceridemia (Mozaffarian et al., 2022), e a inclusão de azeite em dietas veganas promoveu resultados diferenciados na modulação do LDL, conforme a quantidade utilizada (Mason et al., 2021). </w:t>
      </w:r>
    </w:p>
    <w:p w14:paraId="6E9C169E" w14:textId="77777777" w:rsidR="00D61DC8" w:rsidRDefault="00086E62">
      <w:pPr>
        <w:ind w:left="150" w:right="12"/>
      </w:pPr>
      <w:r>
        <w:t>Por fim, as revisões sistemáticas e integrativas analisadas reforçaram o consenso da literatura científica quanto à substituição de gorduras saturadas por insaturadas como estratégia eficaz na redução do risco cardiovascular. Revisões da Cochrane e de entidades internacionais apontam que o consumo regular de óleos vegetais não refinados está associado à melhora do perfil lipídico e menor risco de eventos ateroscleróticos, consolidando a base para orientações nutricionais preventivas (Abdelhamid et al., 2020</w:t>
      </w:r>
      <w:r>
        <w:t xml:space="preserve">; Micha et al., 2021; Kris-Etherton et al., 2016; Tsutsumi et al., 2019). </w:t>
      </w:r>
    </w:p>
    <w:p w14:paraId="751CA66E" w14:textId="77777777" w:rsidR="00D61DC8" w:rsidRDefault="00086E62">
      <w:pPr>
        <w:spacing w:after="203"/>
        <w:ind w:left="150" w:right="-5"/>
        <w:jc w:val="both"/>
      </w:pPr>
      <w:r>
        <w:t xml:space="preserve">Dessa forma, os achados dos estudos selecionados corroboram as diretrizes atuais que recomendam o uso preferencial de óleos vegetais insaturados na cocção dos alimentos, especialmente o azeite de oliva e óleo de linhaça, em detrimento das gorduras de origem animal e óleos saturados industrializados. </w:t>
      </w:r>
    </w:p>
    <w:p w14:paraId="6729AD8A" w14:textId="77777777" w:rsidR="00D61DC8" w:rsidRDefault="00086E62">
      <w:pPr>
        <w:spacing w:after="452" w:line="259" w:lineRule="auto"/>
        <w:ind w:left="0" w:firstLine="0"/>
      </w:pPr>
      <w:r>
        <w:t xml:space="preserve"> </w:t>
      </w:r>
    </w:p>
    <w:p w14:paraId="44F37068" w14:textId="77777777" w:rsidR="00D61DC8" w:rsidRDefault="00086E62">
      <w:pPr>
        <w:spacing w:after="0" w:line="259" w:lineRule="auto"/>
        <w:ind w:left="0" w:firstLine="0"/>
      </w:pPr>
      <w:r>
        <w:t xml:space="preserve">                                                                        </w:t>
      </w:r>
    </w:p>
    <w:p w14:paraId="4A2C277D" w14:textId="77777777" w:rsidR="00D61DC8" w:rsidRDefault="00086E62">
      <w:pPr>
        <w:spacing w:after="28" w:line="225" w:lineRule="auto"/>
        <w:ind w:left="-5"/>
      </w:pPr>
      <w:r>
        <w:rPr>
          <w:sz w:val="20"/>
        </w:rPr>
        <w:t xml:space="preserve">Tabela 1. Características dos estudos sobre a relação entre gordura na cocção e dislipidemia. </w:t>
      </w:r>
    </w:p>
    <w:p w14:paraId="1AF3BADB" w14:textId="77777777" w:rsidR="00D61DC8" w:rsidRDefault="00086E62">
      <w:pPr>
        <w:spacing w:after="0" w:line="259" w:lineRule="auto"/>
        <w:ind w:left="0" w:firstLine="0"/>
      </w:pPr>
      <w:r>
        <w:rPr>
          <w:sz w:val="20"/>
        </w:rPr>
        <w:t xml:space="preserve"> </w:t>
      </w:r>
    </w:p>
    <w:p w14:paraId="1354323D" w14:textId="77777777" w:rsidR="00D61DC8" w:rsidRDefault="00086E62">
      <w:pPr>
        <w:spacing w:after="0" w:line="259" w:lineRule="auto"/>
        <w:ind w:left="0" w:firstLine="0"/>
      </w:pPr>
      <w:r>
        <w:rPr>
          <w:sz w:val="20"/>
        </w:rPr>
        <w:t xml:space="preserve"> </w:t>
      </w:r>
    </w:p>
    <w:tbl>
      <w:tblPr>
        <w:tblStyle w:val="TableGrid"/>
        <w:tblW w:w="9064" w:type="dxa"/>
        <w:tblInd w:w="5" w:type="dxa"/>
        <w:tblCellMar>
          <w:top w:w="44" w:type="dxa"/>
          <w:left w:w="105" w:type="dxa"/>
          <w:bottom w:w="0" w:type="dxa"/>
          <w:right w:w="70" w:type="dxa"/>
        </w:tblCellMar>
        <w:tblLook w:val="04A0" w:firstRow="1" w:lastRow="0" w:firstColumn="1" w:lastColumn="0" w:noHBand="0" w:noVBand="1"/>
      </w:tblPr>
      <w:tblGrid>
        <w:gridCol w:w="1055"/>
        <w:gridCol w:w="1104"/>
        <w:gridCol w:w="812"/>
        <w:gridCol w:w="1243"/>
        <w:gridCol w:w="1236"/>
        <w:gridCol w:w="962"/>
        <w:gridCol w:w="1049"/>
        <w:gridCol w:w="1603"/>
      </w:tblGrid>
      <w:tr w:rsidR="00D61DC8" w14:paraId="29A8DCA5" w14:textId="77777777">
        <w:trPr>
          <w:trHeight w:val="700"/>
        </w:trPr>
        <w:tc>
          <w:tcPr>
            <w:tcW w:w="846" w:type="dxa"/>
            <w:tcBorders>
              <w:top w:val="single" w:sz="4" w:space="0" w:color="000000"/>
              <w:left w:val="single" w:sz="4" w:space="0" w:color="000000"/>
              <w:bottom w:val="single" w:sz="4" w:space="0" w:color="000000"/>
              <w:right w:val="single" w:sz="4" w:space="0" w:color="000000"/>
            </w:tcBorders>
          </w:tcPr>
          <w:p w14:paraId="2017F700" w14:textId="77777777" w:rsidR="00D61DC8" w:rsidRDefault="00086E62">
            <w:pPr>
              <w:spacing w:after="0" w:line="259" w:lineRule="auto"/>
              <w:ind w:left="0" w:firstLine="0"/>
            </w:pPr>
            <w:r>
              <w:rPr>
                <w:b/>
                <w:sz w:val="20"/>
              </w:rPr>
              <w:t xml:space="preserve">Autor/ ano </w:t>
            </w:r>
          </w:p>
        </w:tc>
        <w:tc>
          <w:tcPr>
            <w:tcW w:w="996" w:type="dxa"/>
            <w:tcBorders>
              <w:top w:val="single" w:sz="4" w:space="0" w:color="000000"/>
              <w:left w:val="single" w:sz="4" w:space="0" w:color="000000"/>
              <w:bottom w:val="single" w:sz="4" w:space="0" w:color="000000"/>
              <w:right w:val="single" w:sz="4" w:space="0" w:color="000000"/>
            </w:tcBorders>
          </w:tcPr>
          <w:p w14:paraId="526B6E40" w14:textId="77777777" w:rsidR="00D61DC8" w:rsidRDefault="00086E62">
            <w:pPr>
              <w:spacing w:after="0" w:line="259" w:lineRule="auto"/>
              <w:ind w:left="5" w:firstLine="0"/>
            </w:pPr>
            <w:r>
              <w:rPr>
                <w:b/>
                <w:sz w:val="20"/>
              </w:rPr>
              <w:t xml:space="preserve">Tipo de estudo </w:t>
            </w:r>
          </w:p>
        </w:tc>
        <w:tc>
          <w:tcPr>
            <w:tcW w:w="850" w:type="dxa"/>
            <w:tcBorders>
              <w:top w:val="single" w:sz="4" w:space="0" w:color="000000"/>
              <w:left w:val="single" w:sz="4" w:space="0" w:color="000000"/>
              <w:bottom w:val="single" w:sz="4" w:space="0" w:color="000000"/>
              <w:right w:val="single" w:sz="4" w:space="0" w:color="000000"/>
            </w:tcBorders>
          </w:tcPr>
          <w:p w14:paraId="7E717060" w14:textId="77777777" w:rsidR="00D61DC8" w:rsidRDefault="00086E62">
            <w:pPr>
              <w:spacing w:after="0" w:line="259" w:lineRule="auto"/>
              <w:ind w:left="0" w:firstLine="0"/>
            </w:pPr>
            <w:r>
              <w:rPr>
                <w:b/>
                <w:sz w:val="20"/>
              </w:rPr>
              <w:t xml:space="preserve">Local </w:t>
            </w:r>
          </w:p>
        </w:tc>
        <w:tc>
          <w:tcPr>
            <w:tcW w:w="1276" w:type="dxa"/>
            <w:tcBorders>
              <w:top w:val="single" w:sz="4" w:space="0" w:color="000000"/>
              <w:left w:val="single" w:sz="4" w:space="0" w:color="000000"/>
              <w:bottom w:val="single" w:sz="4" w:space="0" w:color="000000"/>
              <w:right w:val="single" w:sz="4" w:space="0" w:color="000000"/>
            </w:tcBorders>
          </w:tcPr>
          <w:p w14:paraId="60F11EFD" w14:textId="77777777" w:rsidR="00D61DC8" w:rsidRDefault="00086E62">
            <w:pPr>
              <w:spacing w:after="0" w:line="259" w:lineRule="auto"/>
              <w:ind w:left="0" w:firstLine="0"/>
            </w:pPr>
            <w:r>
              <w:rPr>
                <w:b/>
                <w:sz w:val="20"/>
              </w:rPr>
              <w:t xml:space="preserve">População do estudo </w:t>
            </w:r>
          </w:p>
        </w:tc>
        <w:tc>
          <w:tcPr>
            <w:tcW w:w="1275" w:type="dxa"/>
            <w:tcBorders>
              <w:top w:val="single" w:sz="4" w:space="0" w:color="000000"/>
              <w:left w:val="single" w:sz="4" w:space="0" w:color="000000"/>
              <w:bottom w:val="single" w:sz="4" w:space="0" w:color="000000"/>
              <w:right w:val="single" w:sz="4" w:space="0" w:color="000000"/>
            </w:tcBorders>
          </w:tcPr>
          <w:p w14:paraId="1D3EC361" w14:textId="77777777" w:rsidR="00D61DC8" w:rsidRDefault="00086E62">
            <w:pPr>
              <w:spacing w:after="0" w:line="259" w:lineRule="auto"/>
              <w:ind w:left="0" w:firstLine="0"/>
            </w:pPr>
            <w:r>
              <w:rPr>
                <w:b/>
                <w:sz w:val="20"/>
              </w:rPr>
              <w:t xml:space="preserve">Objetivo </w:t>
            </w:r>
          </w:p>
        </w:tc>
        <w:tc>
          <w:tcPr>
            <w:tcW w:w="991" w:type="dxa"/>
            <w:tcBorders>
              <w:top w:val="single" w:sz="4" w:space="0" w:color="000000"/>
              <w:left w:val="single" w:sz="4" w:space="0" w:color="000000"/>
              <w:bottom w:val="single" w:sz="4" w:space="0" w:color="000000"/>
              <w:right w:val="single" w:sz="4" w:space="0" w:color="000000"/>
            </w:tcBorders>
          </w:tcPr>
          <w:p w14:paraId="0BDA1032" w14:textId="77777777" w:rsidR="00D61DC8" w:rsidRDefault="00086E62">
            <w:pPr>
              <w:spacing w:after="0" w:line="259" w:lineRule="auto"/>
              <w:ind w:left="0" w:firstLine="0"/>
            </w:pPr>
            <w:r>
              <w:rPr>
                <w:b/>
                <w:sz w:val="20"/>
              </w:rPr>
              <w:t xml:space="preserve">Tipo de óleo/ gordura </w:t>
            </w:r>
          </w:p>
        </w:tc>
        <w:tc>
          <w:tcPr>
            <w:tcW w:w="1135" w:type="dxa"/>
            <w:tcBorders>
              <w:top w:val="single" w:sz="4" w:space="0" w:color="000000"/>
              <w:left w:val="single" w:sz="4" w:space="0" w:color="000000"/>
              <w:bottom w:val="single" w:sz="4" w:space="0" w:color="000000"/>
              <w:right w:val="single" w:sz="4" w:space="0" w:color="000000"/>
            </w:tcBorders>
          </w:tcPr>
          <w:p w14:paraId="47AC0B3B" w14:textId="77777777" w:rsidR="00D61DC8" w:rsidRDefault="00086E62">
            <w:pPr>
              <w:spacing w:after="0" w:line="259" w:lineRule="auto"/>
              <w:ind w:left="5" w:firstLine="0"/>
            </w:pPr>
            <w:r>
              <w:rPr>
                <w:b/>
                <w:sz w:val="20"/>
              </w:rPr>
              <w:t xml:space="preserve">Duração </w:t>
            </w:r>
          </w:p>
        </w:tc>
        <w:tc>
          <w:tcPr>
            <w:tcW w:w="1696" w:type="dxa"/>
            <w:tcBorders>
              <w:top w:val="single" w:sz="4" w:space="0" w:color="000000"/>
              <w:left w:val="single" w:sz="4" w:space="0" w:color="000000"/>
              <w:bottom w:val="single" w:sz="4" w:space="0" w:color="000000"/>
              <w:right w:val="single" w:sz="4" w:space="0" w:color="000000"/>
            </w:tcBorders>
          </w:tcPr>
          <w:p w14:paraId="2E37B1B3" w14:textId="77777777" w:rsidR="00D61DC8" w:rsidRDefault="00086E62">
            <w:pPr>
              <w:spacing w:after="0" w:line="259" w:lineRule="auto"/>
              <w:ind w:left="0" w:firstLine="0"/>
            </w:pPr>
            <w:r>
              <w:rPr>
                <w:b/>
                <w:sz w:val="20"/>
              </w:rPr>
              <w:t xml:space="preserve">Principais resultados </w:t>
            </w:r>
          </w:p>
        </w:tc>
      </w:tr>
      <w:tr w:rsidR="00D61DC8" w14:paraId="3134697A" w14:textId="77777777">
        <w:trPr>
          <w:trHeight w:val="1390"/>
        </w:trPr>
        <w:tc>
          <w:tcPr>
            <w:tcW w:w="846" w:type="dxa"/>
            <w:tcBorders>
              <w:top w:val="single" w:sz="4" w:space="0" w:color="000000"/>
              <w:left w:val="single" w:sz="4" w:space="0" w:color="000000"/>
              <w:bottom w:val="single" w:sz="4" w:space="0" w:color="000000"/>
              <w:right w:val="single" w:sz="4" w:space="0" w:color="000000"/>
            </w:tcBorders>
          </w:tcPr>
          <w:p w14:paraId="4E257DC2" w14:textId="77777777" w:rsidR="00D61DC8" w:rsidRDefault="00086E62">
            <w:pPr>
              <w:spacing w:after="0" w:line="259" w:lineRule="auto"/>
              <w:ind w:left="0" w:firstLine="0"/>
            </w:pPr>
            <w:r>
              <w:rPr>
                <w:sz w:val="20"/>
              </w:rPr>
              <w:t xml:space="preserve">Chu et </w:t>
            </w:r>
          </w:p>
          <w:p w14:paraId="0F5650D3" w14:textId="77777777" w:rsidR="00D61DC8" w:rsidRDefault="00086E62">
            <w:pPr>
              <w:spacing w:after="0" w:line="259" w:lineRule="auto"/>
              <w:ind w:left="0" w:firstLine="0"/>
            </w:pPr>
            <w:r>
              <w:rPr>
                <w:sz w:val="20"/>
              </w:rPr>
              <w:t xml:space="preserve">al., </w:t>
            </w:r>
          </w:p>
          <w:p w14:paraId="7D675DDB" w14:textId="77777777" w:rsidR="00D61DC8" w:rsidRDefault="00086E62">
            <w:pPr>
              <w:spacing w:after="0" w:line="259" w:lineRule="auto"/>
              <w:ind w:left="0" w:firstLine="0"/>
            </w:pPr>
            <w:r>
              <w:rPr>
                <w:sz w:val="20"/>
              </w:rPr>
              <w:t xml:space="preserve">2024 </w:t>
            </w:r>
          </w:p>
        </w:tc>
        <w:tc>
          <w:tcPr>
            <w:tcW w:w="996" w:type="dxa"/>
            <w:tcBorders>
              <w:top w:val="single" w:sz="4" w:space="0" w:color="000000"/>
              <w:left w:val="single" w:sz="4" w:space="0" w:color="000000"/>
              <w:bottom w:val="single" w:sz="4" w:space="0" w:color="000000"/>
              <w:right w:val="single" w:sz="4" w:space="0" w:color="000000"/>
            </w:tcBorders>
          </w:tcPr>
          <w:p w14:paraId="01888509" w14:textId="77777777" w:rsidR="00D61DC8" w:rsidRDefault="00086E62">
            <w:pPr>
              <w:spacing w:after="0" w:line="259" w:lineRule="auto"/>
              <w:ind w:left="5" w:firstLine="0"/>
            </w:pPr>
            <w:r>
              <w:rPr>
                <w:sz w:val="20"/>
              </w:rPr>
              <w:t xml:space="preserve">Estudo experim ental com camund ongos </w:t>
            </w:r>
          </w:p>
        </w:tc>
        <w:tc>
          <w:tcPr>
            <w:tcW w:w="850" w:type="dxa"/>
            <w:tcBorders>
              <w:top w:val="single" w:sz="4" w:space="0" w:color="000000"/>
              <w:left w:val="single" w:sz="4" w:space="0" w:color="000000"/>
              <w:bottom w:val="single" w:sz="4" w:space="0" w:color="000000"/>
              <w:right w:val="single" w:sz="4" w:space="0" w:color="000000"/>
            </w:tcBorders>
          </w:tcPr>
          <w:p w14:paraId="6D646217" w14:textId="77777777" w:rsidR="00D61DC8" w:rsidRDefault="00086E62">
            <w:pPr>
              <w:spacing w:after="0" w:line="259" w:lineRule="auto"/>
              <w:ind w:left="0" w:firstLine="0"/>
            </w:pPr>
            <w:r>
              <w:rPr>
                <w:sz w:val="20"/>
              </w:rPr>
              <w:t xml:space="preserve">Vietnã </w:t>
            </w:r>
          </w:p>
        </w:tc>
        <w:tc>
          <w:tcPr>
            <w:tcW w:w="1276" w:type="dxa"/>
            <w:tcBorders>
              <w:top w:val="single" w:sz="4" w:space="0" w:color="000000"/>
              <w:left w:val="single" w:sz="4" w:space="0" w:color="000000"/>
              <w:bottom w:val="single" w:sz="4" w:space="0" w:color="000000"/>
              <w:right w:val="single" w:sz="4" w:space="0" w:color="000000"/>
            </w:tcBorders>
          </w:tcPr>
          <w:p w14:paraId="3F13F28F" w14:textId="77777777" w:rsidR="00D61DC8" w:rsidRDefault="00086E62">
            <w:pPr>
              <w:spacing w:after="0" w:line="240" w:lineRule="auto"/>
              <w:ind w:left="0" w:firstLine="0"/>
            </w:pPr>
            <w:r>
              <w:rPr>
                <w:sz w:val="20"/>
              </w:rPr>
              <w:t>n=38 camundong</w:t>
            </w:r>
          </w:p>
          <w:p w14:paraId="7B4D3408" w14:textId="77777777" w:rsidR="00D61DC8" w:rsidRDefault="00086E62">
            <w:pPr>
              <w:spacing w:after="0" w:line="259" w:lineRule="auto"/>
              <w:ind w:left="0" w:firstLine="0"/>
            </w:pPr>
            <w:r>
              <w:rPr>
                <w:sz w:val="20"/>
              </w:rPr>
              <w:t xml:space="preserve">os suíços </w:t>
            </w:r>
          </w:p>
        </w:tc>
        <w:tc>
          <w:tcPr>
            <w:tcW w:w="1275" w:type="dxa"/>
            <w:tcBorders>
              <w:top w:val="single" w:sz="4" w:space="0" w:color="000000"/>
              <w:left w:val="single" w:sz="4" w:space="0" w:color="000000"/>
              <w:bottom w:val="single" w:sz="4" w:space="0" w:color="000000"/>
              <w:right w:val="single" w:sz="4" w:space="0" w:color="000000"/>
            </w:tcBorders>
          </w:tcPr>
          <w:p w14:paraId="5BD2202C" w14:textId="77777777" w:rsidR="00D61DC8" w:rsidRDefault="00086E62">
            <w:pPr>
              <w:spacing w:after="0" w:line="259" w:lineRule="auto"/>
              <w:ind w:left="0" w:firstLine="0"/>
            </w:pPr>
            <w:r>
              <w:rPr>
                <w:sz w:val="20"/>
              </w:rPr>
              <w:t xml:space="preserve">Avaliar </w:t>
            </w:r>
          </w:p>
          <w:p w14:paraId="27292F32" w14:textId="77777777" w:rsidR="00D61DC8" w:rsidRDefault="00086E62">
            <w:pPr>
              <w:spacing w:after="0" w:line="259" w:lineRule="auto"/>
              <w:ind w:left="0" w:firstLine="0"/>
            </w:pPr>
            <w:r>
              <w:rPr>
                <w:sz w:val="20"/>
              </w:rPr>
              <w:t xml:space="preserve">dieta rica em gordura de banha </w:t>
            </w:r>
          </w:p>
        </w:tc>
        <w:tc>
          <w:tcPr>
            <w:tcW w:w="991" w:type="dxa"/>
            <w:tcBorders>
              <w:top w:val="single" w:sz="4" w:space="0" w:color="000000"/>
              <w:left w:val="single" w:sz="4" w:space="0" w:color="000000"/>
              <w:bottom w:val="single" w:sz="4" w:space="0" w:color="000000"/>
              <w:right w:val="single" w:sz="4" w:space="0" w:color="000000"/>
            </w:tcBorders>
          </w:tcPr>
          <w:p w14:paraId="72046AA0" w14:textId="77777777" w:rsidR="00D61DC8" w:rsidRDefault="00086E62">
            <w:pPr>
              <w:spacing w:after="0" w:line="259" w:lineRule="auto"/>
              <w:ind w:left="0" w:right="39" w:firstLine="0"/>
            </w:pPr>
            <w:r>
              <w:rPr>
                <w:sz w:val="20"/>
              </w:rPr>
              <w:t xml:space="preserve">Banha de porco </w:t>
            </w:r>
          </w:p>
        </w:tc>
        <w:tc>
          <w:tcPr>
            <w:tcW w:w="1135" w:type="dxa"/>
            <w:tcBorders>
              <w:top w:val="single" w:sz="4" w:space="0" w:color="000000"/>
              <w:left w:val="single" w:sz="4" w:space="0" w:color="000000"/>
              <w:bottom w:val="single" w:sz="4" w:space="0" w:color="000000"/>
              <w:right w:val="single" w:sz="4" w:space="0" w:color="000000"/>
            </w:tcBorders>
          </w:tcPr>
          <w:p w14:paraId="2E7B77AF" w14:textId="77777777" w:rsidR="00D61DC8" w:rsidRDefault="00086E62">
            <w:pPr>
              <w:spacing w:after="0" w:line="259" w:lineRule="auto"/>
              <w:ind w:left="5" w:firstLine="0"/>
            </w:pPr>
            <w:r>
              <w:rPr>
                <w:sz w:val="20"/>
              </w:rPr>
              <w:t xml:space="preserve">66 dias </w:t>
            </w:r>
          </w:p>
        </w:tc>
        <w:tc>
          <w:tcPr>
            <w:tcW w:w="1696" w:type="dxa"/>
            <w:tcBorders>
              <w:top w:val="single" w:sz="4" w:space="0" w:color="000000"/>
              <w:left w:val="single" w:sz="4" w:space="0" w:color="000000"/>
              <w:bottom w:val="single" w:sz="4" w:space="0" w:color="000000"/>
              <w:right w:val="single" w:sz="4" w:space="0" w:color="000000"/>
            </w:tcBorders>
          </w:tcPr>
          <w:p w14:paraId="51AB3C48" w14:textId="77777777" w:rsidR="00D61DC8" w:rsidRDefault="00086E62">
            <w:pPr>
              <w:spacing w:after="0" w:line="259" w:lineRule="auto"/>
              <w:ind w:left="0" w:right="231" w:firstLine="0"/>
              <w:jc w:val="both"/>
            </w:pPr>
            <w:r>
              <w:rPr>
                <w:sz w:val="20"/>
              </w:rPr>
              <w:t xml:space="preserve">↑ colesterol </w:t>
            </w:r>
            <w:r>
              <w:rPr>
                <w:sz w:val="20"/>
              </w:rPr>
              <w:t xml:space="preserve">total, TG e </w:t>
            </w:r>
            <w:r>
              <w:rPr>
                <w:sz w:val="20"/>
              </w:rPr>
              <w:t xml:space="preserve">adiposidade; ↓ </w:t>
            </w:r>
            <w:r>
              <w:rPr>
                <w:sz w:val="20"/>
              </w:rPr>
              <w:t xml:space="preserve">tolerância à glicose </w:t>
            </w:r>
          </w:p>
        </w:tc>
      </w:tr>
      <w:tr w:rsidR="00D61DC8" w14:paraId="32C926EA" w14:textId="77777777">
        <w:trPr>
          <w:trHeight w:val="931"/>
        </w:trPr>
        <w:tc>
          <w:tcPr>
            <w:tcW w:w="846" w:type="dxa"/>
            <w:tcBorders>
              <w:top w:val="single" w:sz="4" w:space="0" w:color="000000"/>
              <w:left w:val="single" w:sz="4" w:space="0" w:color="000000"/>
              <w:bottom w:val="single" w:sz="4" w:space="0" w:color="000000"/>
              <w:right w:val="single" w:sz="4" w:space="0" w:color="000000"/>
            </w:tcBorders>
          </w:tcPr>
          <w:p w14:paraId="42BF468F" w14:textId="77777777" w:rsidR="00D61DC8" w:rsidRDefault="00086E62">
            <w:pPr>
              <w:spacing w:after="0" w:line="259" w:lineRule="auto"/>
              <w:ind w:left="0" w:firstLine="0"/>
            </w:pPr>
            <w:r>
              <w:rPr>
                <w:sz w:val="20"/>
              </w:rPr>
              <w:t xml:space="preserve">Dewi </w:t>
            </w:r>
          </w:p>
          <w:p w14:paraId="3F02C29A" w14:textId="77777777" w:rsidR="00D61DC8" w:rsidRDefault="00086E62">
            <w:pPr>
              <w:spacing w:after="0" w:line="259" w:lineRule="auto"/>
              <w:ind w:left="0" w:firstLine="0"/>
            </w:pPr>
            <w:r>
              <w:rPr>
                <w:sz w:val="20"/>
              </w:rPr>
              <w:t xml:space="preserve">et al., </w:t>
            </w:r>
          </w:p>
          <w:p w14:paraId="67F061F0" w14:textId="77777777" w:rsidR="00D61DC8" w:rsidRDefault="00086E62">
            <w:pPr>
              <w:spacing w:after="0" w:line="259" w:lineRule="auto"/>
              <w:ind w:left="0" w:firstLine="0"/>
            </w:pPr>
            <w:r>
              <w:rPr>
                <w:sz w:val="20"/>
              </w:rPr>
              <w:t xml:space="preserve">2024 </w:t>
            </w:r>
          </w:p>
        </w:tc>
        <w:tc>
          <w:tcPr>
            <w:tcW w:w="996" w:type="dxa"/>
            <w:tcBorders>
              <w:top w:val="single" w:sz="4" w:space="0" w:color="000000"/>
              <w:left w:val="single" w:sz="4" w:space="0" w:color="000000"/>
              <w:bottom w:val="single" w:sz="4" w:space="0" w:color="000000"/>
              <w:right w:val="single" w:sz="4" w:space="0" w:color="000000"/>
            </w:tcBorders>
          </w:tcPr>
          <w:p w14:paraId="0BEA25C8" w14:textId="77777777" w:rsidR="00D61DC8" w:rsidRDefault="00086E62">
            <w:pPr>
              <w:spacing w:after="0" w:line="259" w:lineRule="auto"/>
              <w:ind w:left="5" w:firstLine="0"/>
            </w:pPr>
            <w:r>
              <w:rPr>
                <w:sz w:val="20"/>
              </w:rPr>
              <w:t xml:space="preserve">ECR </w:t>
            </w:r>
          </w:p>
          <w:p w14:paraId="30B82B38" w14:textId="77777777" w:rsidR="00D61DC8" w:rsidRDefault="00086E62">
            <w:pPr>
              <w:spacing w:after="0" w:line="259" w:lineRule="auto"/>
              <w:ind w:left="5" w:firstLine="0"/>
            </w:pPr>
            <w:r>
              <w:rPr>
                <w:sz w:val="20"/>
              </w:rPr>
              <w:t xml:space="preserve">duplocego </w:t>
            </w:r>
          </w:p>
        </w:tc>
        <w:tc>
          <w:tcPr>
            <w:tcW w:w="850" w:type="dxa"/>
            <w:tcBorders>
              <w:top w:val="single" w:sz="4" w:space="0" w:color="000000"/>
              <w:left w:val="single" w:sz="4" w:space="0" w:color="000000"/>
              <w:bottom w:val="single" w:sz="4" w:space="0" w:color="000000"/>
              <w:right w:val="single" w:sz="4" w:space="0" w:color="000000"/>
            </w:tcBorders>
          </w:tcPr>
          <w:p w14:paraId="245EDAB6" w14:textId="77777777" w:rsidR="00D61DC8" w:rsidRDefault="00086E62">
            <w:pPr>
              <w:spacing w:after="0" w:line="259" w:lineRule="auto"/>
              <w:ind w:left="0" w:firstLine="0"/>
            </w:pPr>
            <w:r>
              <w:rPr>
                <w:sz w:val="20"/>
              </w:rPr>
              <w:t>Indoné</w:t>
            </w:r>
          </w:p>
          <w:p w14:paraId="65F94A03" w14:textId="77777777" w:rsidR="00D61DC8" w:rsidRDefault="00086E62">
            <w:pPr>
              <w:spacing w:after="0" w:line="259" w:lineRule="auto"/>
              <w:ind w:left="0" w:firstLine="0"/>
            </w:pPr>
            <w:r>
              <w:rPr>
                <w:sz w:val="20"/>
              </w:rPr>
              <w:t xml:space="preserve">sia </w:t>
            </w:r>
          </w:p>
        </w:tc>
        <w:tc>
          <w:tcPr>
            <w:tcW w:w="1276" w:type="dxa"/>
            <w:tcBorders>
              <w:top w:val="single" w:sz="4" w:space="0" w:color="000000"/>
              <w:left w:val="single" w:sz="4" w:space="0" w:color="000000"/>
              <w:bottom w:val="single" w:sz="4" w:space="0" w:color="000000"/>
              <w:right w:val="single" w:sz="4" w:space="0" w:color="000000"/>
            </w:tcBorders>
          </w:tcPr>
          <w:p w14:paraId="27994363" w14:textId="77777777" w:rsidR="00D61DC8" w:rsidRDefault="00086E62">
            <w:pPr>
              <w:spacing w:after="0" w:line="259" w:lineRule="auto"/>
              <w:ind w:left="0" w:firstLine="0"/>
            </w:pPr>
            <w:r>
              <w:rPr>
                <w:sz w:val="20"/>
              </w:rPr>
              <w:t xml:space="preserve">n=60 hipercolest erolêmicos </w:t>
            </w:r>
          </w:p>
        </w:tc>
        <w:tc>
          <w:tcPr>
            <w:tcW w:w="1275" w:type="dxa"/>
            <w:tcBorders>
              <w:top w:val="single" w:sz="4" w:space="0" w:color="000000"/>
              <w:left w:val="single" w:sz="4" w:space="0" w:color="000000"/>
              <w:bottom w:val="single" w:sz="4" w:space="0" w:color="000000"/>
              <w:right w:val="single" w:sz="4" w:space="0" w:color="000000"/>
            </w:tcBorders>
          </w:tcPr>
          <w:p w14:paraId="3DBAEED4" w14:textId="77777777" w:rsidR="00D61DC8" w:rsidRDefault="00086E62">
            <w:pPr>
              <w:spacing w:after="0" w:line="259" w:lineRule="auto"/>
              <w:ind w:left="0" w:firstLine="0"/>
            </w:pPr>
            <w:r>
              <w:rPr>
                <w:sz w:val="20"/>
              </w:rPr>
              <w:t xml:space="preserve">Palma com </w:t>
            </w:r>
          </w:p>
          <w:p w14:paraId="476907E4" w14:textId="77777777" w:rsidR="00D61DC8" w:rsidRDefault="00086E62">
            <w:pPr>
              <w:spacing w:after="0" w:line="259" w:lineRule="auto"/>
              <w:ind w:left="0" w:firstLine="0"/>
            </w:pPr>
            <w:r>
              <w:rPr>
                <w:sz w:val="20"/>
              </w:rPr>
              <w:t xml:space="preserve">fitoesteróis e perfil lipídico </w:t>
            </w:r>
          </w:p>
        </w:tc>
        <w:tc>
          <w:tcPr>
            <w:tcW w:w="991" w:type="dxa"/>
            <w:tcBorders>
              <w:top w:val="single" w:sz="4" w:space="0" w:color="000000"/>
              <w:left w:val="single" w:sz="4" w:space="0" w:color="000000"/>
              <w:bottom w:val="single" w:sz="4" w:space="0" w:color="000000"/>
              <w:right w:val="single" w:sz="4" w:space="0" w:color="000000"/>
            </w:tcBorders>
          </w:tcPr>
          <w:p w14:paraId="23609D9B" w14:textId="77777777" w:rsidR="00D61DC8" w:rsidRDefault="00086E62">
            <w:pPr>
              <w:spacing w:after="0" w:line="240" w:lineRule="auto"/>
              <w:ind w:left="0" w:firstLine="0"/>
            </w:pPr>
            <w:r>
              <w:rPr>
                <w:sz w:val="20"/>
              </w:rPr>
              <w:t xml:space="preserve">Palma com </w:t>
            </w:r>
          </w:p>
          <w:p w14:paraId="4C8B0CBD" w14:textId="77777777" w:rsidR="00D61DC8" w:rsidRDefault="00086E62">
            <w:pPr>
              <w:spacing w:after="0" w:line="259" w:lineRule="auto"/>
              <w:ind w:left="0" w:firstLine="0"/>
            </w:pPr>
            <w:r>
              <w:rPr>
                <w:sz w:val="20"/>
              </w:rPr>
              <w:t xml:space="preserve">fitoester óis </w:t>
            </w:r>
          </w:p>
        </w:tc>
        <w:tc>
          <w:tcPr>
            <w:tcW w:w="1135" w:type="dxa"/>
            <w:tcBorders>
              <w:top w:val="single" w:sz="4" w:space="0" w:color="000000"/>
              <w:left w:val="single" w:sz="4" w:space="0" w:color="000000"/>
              <w:bottom w:val="single" w:sz="4" w:space="0" w:color="000000"/>
              <w:right w:val="single" w:sz="4" w:space="0" w:color="000000"/>
            </w:tcBorders>
          </w:tcPr>
          <w:p w14:paraId="0D7488CD" w14:textId="77777777" w:rsidR="00D61DC8" w:rsidRDefault="00086E62">
            <w:pPr>
              <w:spacing w:after="0" w:line="259" w:lineRule="auto"/>
              <w:ind w:left="5" w:firstLine="0"/>
            </w:pPr>
            <w:r>
              <w:rPr>
                <w:sz w:val="20"/>
              </w:rPr>
              <w:t xml:space="preserve">4 </w:t>
            </w:r>
          </w:p>
          <w:p w14:paraId="4AB0E7A7" w14:textId="77777777" w:rsidR="00D61DC8" w:rsidRDefault="00086E62">
            <w:pPr>
              <w:spacing w:after="0" w:line="259" w:lineRule="auto"/>
              <w:ind w:left="5" w:firstLine="0"/>
            </w:pPr>
            <w:r>
              <w:rPr>
                <w:sz w:val="20"/>
              </w:rPr>
              <w:t xml:space="preserve">semanas </w:t>
            </w:r>
          </w:p>
        </w:tc>
        <w:tc>
          <w:tcPr>
            <w:tcW w:w="1696" w:type="dxa"/>
            <w:tcBorders>
              <w:top w:val="single" w:sz="4" w:space="0" w:color="000000"/>
              <w:left w:val="single" w:sz="4" w:space="0" w:color="000000"/>
              <w:bottom w:val="single" w:sz="4" w:space="0" w:color="000000"/>
              <w:right w:val="single" w:sz="4" w:space="0" w:color="000000"/>
            </w:tcBorders>
          </w:tcPr>
          <w:p w14:paraId="7FB3E0EF" w14:textId="77777777" w:rsidR="00D61DC8" w:rsidRDefault="00086E62">
            <w:pPr>
              <w:spacing w:after="0" w:line="259" w:lineRule="auto"/>
              <w:ind w:left="0" w:firstLine="0"/>
            </w:pPr>
            <w:r>
              <w:rPr>
                <w:sz w:val="20"/>
              </w:rPr>
              <w:t>↓ CT e LDL</w:t>
            </w:r>
            <w:r>
              <w:rPr>
                <w:sz w:val="20"/>
              </w:rPr>
              <w:t xml:space="preserve"> </w:t>
            </w:r>
          </w:p>
        </w:tc>
      </w:tr>
      <w:tr w:rsidR="00D61DC8" w14:paraId="6233AE72" w14:textId="77777777">
        <w:trPr>
          <w:trHeight w:val="930"/>
        </w:trPr>
        <w:tc>
          <w:tcPr>
            <w:tcW w:w="846" w:type="dxa"/>
            <w:tcBorders>
              <w:top w:val="single" w:sz="4" w:space="0" w:color="000000"/>
              <w:left w:val="single" w:sz="4" w:space="0" w:color="000000"/>
              <w:bottom w:val="single" w:sz="4" w:space="0" w:color="000000"/>
              <w:right w:val="single" w:sz="4" w:space="0" w:color="000000"/>
            </w:tcBorders>
          </w:tcPr>
          <w:p w14:paraId="69E69CAC" w14:textId="77777777" w:rsidR="00D61DC8" w:rsidRDefault="00086E62">
            <w:pPr>
              <w:spacing w:after="0" w:line="259" w:lineRule="auto"/>
              <w:ind w:left="0" w:firstLine="0"/>
            </w:pPr>
            <w:r>
              <w:rPr>
                <w:sz w:val="20"/>
              </w:rPr>
              <w:t xml:space="preserve">Sedgi </w:t>
            </w:r>
          </w:p>
          <w:p w14:paraId="4F155F21" w14:textId="77777777" w:rsidR="00D61DC8" w:rsidRDefault="00086E62">
            <w:pPr>
              <w:spacing w:after="0" w:line="259" w:lineRule="auto"/>
              <w:ind w:left="0" w:firstLine="0"/>
            </w:pPr>
            <w:r>
              <w:rPr>
                <w:sz w:val="20"/>
              </w:rPr>
              <w:t xml:space="preserve">et al., </w:t>
            </w:r>
          </w:p>
          <w:p w14:paraId="01EF5D5E" w14:textId="77777777" w:rsidR="00D61DC8" w:rsidRDefault="00086E62">
            <w:pPr>
              <w:spacing w:after="0" w:line="259" w:lineRule="auto"/>
              <w:ind w:left="0" w:firstLine="0"/>
            </w:pPr>
            <w:r>
              <w:rPr>
                <w:sz w:val="20"/>
              </w:rPr>
              <w:t xml:space="preserve">2024 </w:t>
            </w:r>
          </w:p>
        </w:tc>
        <w:tc>
          <w:tcPr>
            <w:tcW w:w="996" w:type="dxa"/>
            <w:tcBorders>
              <w:top w:val="single" w:sz="4" w:space="0" w:color="000000"/>
              <w:left w:val="single" w:sz="4" w:space="0" w:color="000000"/>
              <w:bottom w:val="single" w:sz="4" w:space="0" w:color="000000"/>
              <w:right w:val="single" w:sz="4" w:space="0" w:color="000000"/>
            </w:tcBorders>
          </w:tcPr>
          <w:p w14:paraId="56DD9399" w14:textId="77777777" w:rsidR="00D61DC8" w:rsidRDefault="00086E62">
            <w:pPr>
              <w:spacing w:after="0" w:line="259" w:lineRule="auto"/>
              <w:ind w:left="5" w:firstLine="0"/>
            </w:pPr>
            <w:r>
              <w:rPr>
                <w:sz w:val="20"/>
              </w:rPr>
              <w:t xml:space="preserve">ECR </w:t>
            </w:r>
          </w:p>
        </w:tc>
        <w:tc>
          <w:tcPr>
            <w:tcW w:w="850" w:type="dxa"/>
            <w:tcBorders>
              <w:top w:val="single" w:sz="4" w:space="0" w:color="000000"/>
              <w:left w:val="single" w:sz="4" w:space="0" w:color="000000"/>
              <w:bottom w:val="single" w:sz="4" w:space="0" w:color="000000"/>
              <w:right w:val="single" w:sz="4" w:space="0" w:color="000000"/>
            </w:tcBorders>
          </w:tcPr>
          <w:p w14:paraId="0D74341F" w14:textId="77777777" w:rsidR="00D61DC8" w:rsidRDefault="00086E62">
            <w:pPr>
              <w:spacing w:after="0" w:line="259" w:lineRule="auto"/>
              <w:ind w:left="0" w:firstLine="0"/>
            </w:pPr>
            <w:r>
              <w:rPr>
                <w:sz w:val="20"/>
              </w:rPr>
              <w:t xml:space="preserve">Irã </w:t>
            </w:r>
          </w:p>
        </w:tc>
        <w:tc>
          <w:tcPr>
            <w:tcW w:w="1276" w:type="dxa"/>
            <w:tcBorders>
              <w:top w:val="single" w:sz="4" w:space="0" w:color="000000"/>
              <w:left w:val="single" w:sz="4" w:space="0" w:color="000000"/>
              <w:bottom w:val="single" w:sz="4" w:space="0" w:color="000000"/>
              <w:right w:val="single" w:sz="4" w:space="0" w:color="000000"/>
            </w:tcBorders>
          </w:tcPr>
          <w:p w14:paraId="3E004415" w14:textId="77777777" w:rsidR="00D61DC8" w:rsidRDefault="00086E62">
            <w:pPr>
              <w:spacing w:after="0" w:line="259" w:lineRule="auto"/>
              <w:ind w:left="0" w:firstLine="0"/>
            </w:pPr>
            <w:r>
              <w:rPr>
                <w:sz w:val="20"/>
              </w:rPr>
              <w:t xml:space="preserve">n=90 com NAFLD </w:t>
            </w:r>
          </w:p>
        </w:tc>
        <w:tc>
          <w:tcPr>
            <w:tcW w:w="1275" w:type="dxa"/>
            <w:tcBorders>
              <w:top w:val="single" w:sz="4" w:space="0" w:color="000000"/>
              <w:left w:val="single" w:sz="4" w:space="0" w:color="000000"/>
              <w:bottom w:val="single" w:sz="4" w:space="0" w:color="000000"/>
              <w:right w:val="single" w:sz="4" w:space="0" w:color="000000"/>
            </w:tcBorders>
          </w:tcPr>
          <w:p w14:paraId="2B40A3A9" w14:textId="77777777" w:rsidR="00D61DC8" w:rsidRDefault="00086E62">
            <w:pPr>
              <w:spacing w:after="0" w:line="259" w:lineRule="auto"/>
              <w:ind w:left="0" w:firstLine="0"/>
            </w:pPr>
            <w:r>
              <w:rPr>
                <w:sz w:val="20"/>
              </w:rPr>
              <w:t xml:space="preserve">Substituir ghee por óleo de canola </w:t>
            </w:r>
          </w:p>
        </w:tc>
        <w:tc>
          <w:tcPr>
            <w:tcW w:w="991" w:type="dxa"/>
            <w:tcBorders>
              <w:top w:val="single" w:sz="4" w:space="0" w:color="000000"/>
              <w:left w:val="single" w:sz="4" w:space="0" w:color="000000"/>
              <w:bottom w:val="single" w:sz="4" w:space="0" w:color="000000"/>
              <w:right w:val="single" w:sz="4" w:space="0" w:color="000000"/>
            </w:tcBorders>
          </w:tcPr>
          <w:p w14:paraId="69D34F8D" w14:textId="77777777" w:rsidR="00D61DC8" w:rsidRDefault="00086E62">
            <w:pPr>
              <w:spacing w:after="0" w:line="240" w:lineRule="auto"/>
              <w:ind w:left="0" w:right="14" w:firstLine="0"/>
            </w:pPr>
            <w:r>
              <w:rPr>
                <w:sz w:val="20"/>
              </w:rPr>
              <w:t xml:space="preserve">Ghee vs. </w:t>
            </w:r>
          </w:p>
          <w:p w14:paraId="6A9FC729" w14:textId="77777777" w:rsidR="00D61DC8" w:rsidRDefault="00086E62">
            <w:pPr>
              <w:spacing w:after="0" w:line="259" w:lineRule="auto"/>
              <w:ind w:left="0" w:firstLine="0"/>
            </w:pPr>
            <w:r>
              <w:rPr>
                <w:sz w:val="20"/>
              </w:rPr>
              <w:t xml:space="preserve">canola </w:t>
            </w:r>
          </w:p>
        </w:tc>
        <w:tc>
          <w:tcPr>
            <w:tcW w:w="1135" w:type="dxa"/>
            <w:tcBorders>
              <w:top w:val="single" w:sz="4" w:space="0" w:color="000000"/>
              <w:left w:val="single" w:sz="4" w:space="0" w:color="000000"/>
              <w:bottom w:val="single" w:sz="4" w:space="0" w:color="000000"/>
              <w:right w:val="single" w:sz="4" w:space="0" w:color="000000"/>
            </w:tcBorders>
          </w:tcPr>
          <w:p w14:paraId="0EA8622A" w14:textId="77777777" w:rsidR="00D61DC8" w:rsidRDefault="00086E62">
            <w:pPr>
              <w:spacing w:after="0" w:line="259" w:lineRule="auto"/>
              <w:ind w:left="5" w:firstLine="0"/>
            </w:pPr>
            <w:r>
              <w:rPr>
                <w:sz w:val="20"/>
              </w:rPr>
              <w:t xml:space="preserve">12 semanas </w:t>
            </w:r>
          </w:p>
        </w:tc>
        <w:tc>
          <w:tcPr>
            <w:tcW w:w="1696" w:type="dxa"/>
            <w:tcBorders>
              <w:top w:val="single" w:sz="4" w:space="0" w:color="000000"/>
              <w:left w:val="single" w:sz="4" w:space="0" w:color="000000"/>
              <w:bottom w:val="single" w:sz="4" w:space="0" w:color="000000"/>
              <w:right w:val="single" w:sz="4" w:space="0" w:color="000000"/>
            </w:tcBorders>
          </w:tcPr>
          <w:p w14:paraId="6CCA98CE" w14:textId="77777777" w:rsidR="00D61DC8" w:rsidRDefault="00086E62">
            <w:pPr>
              <w:spacing w:after="1" w:line="240" w:lineRule="auto"/>
              <w:ind w:left="0" w:firstLine="0"/>
            </w:pPr>
            <w:r>
              <w:rPr>
                <w:sz w:val="20"/>
              </w:rPr>
              <w:t xml:space="preserve">Melhora enzimas hepáticas e </w:t>
            </w:r>
          </w:p>
          <w:p w14:paraId="335515D7" w14:textId="77777777" w:rsidR="00D61DC8" w:rsidRDefault="00086E62">
            <w:pPr>
              <w:spacing w:after="0" w:line="259" w:lineRule="auto"/>
              <w:ind w:left="0" w:firstLine="0"/>
            </w:pPr>
            <w:r>
              <w:rPr>
                <w:sz w:val="20"/>
              </w:rPr>
              <w:t xml:space="preserve">perfil lipídico </w:t>
            </w:r>
          </w:p>
        </w:tc>
      </w:tr>
      <w:tr w:rsidR="00D61DC8" w14:paraId="7A7B80C5" w14:textId="77777777">
        <w:trPr>
          <w:trHeight w:val="1160"/>
        </w:trPr>
        <w:tc>
          <w:tcPr>
            <w:tcW w:w="846" w:type="dxa"/>
            <w:tcBorders>
              <w:top w:val="single" w:sz="4" w:space="0" w:color="000000"/>
              <w:left w:val="single" w:sz="4" w:space="0" w:color="000000"/>
              <w:bottom w:val="single" w:sz="4" w:space="0" w:color="000000"/>
              <w:right w:val="single" w:sz="4" w:space="0" w:color="000000"/>
            </w:tcBorders>
          </w:tcPr>
          <w:p w14:paraId="73B84758" w14:textId="77777777" w:rsidR="00D61DC8" w:rsidRDefault="00086E62">
            <w:pPr>
              <w:spacing w:after="0" w:line="259" w:lineRule="auto"/>
              <w:ind w:left="0" w:firstLine="0"/>
            </w:pPr>
            <w:r>
              <w:rPr>
                <w:sz w:val="20"/>
              </w:rPr>
              <w:t>Swarn</w:t>
            </w:r>
          </w:p>
          <w:p w14:paraId="7F95E570" w14:textId="77777777" w:rsidR="00D61DC8" w:rsidRDefault="00086E62">
            <w:pPr>
              <w:spacing w:after="0" w:line="240" w:lineRule="auto"/>
              <w:ind w:left="0" w:firstLine="0"/>
            </w:pPr>
            <w:r>
              <w:rPr>
                <w:sz w:val="20"/>
              </w:rPr>
              <w:t xml:space="preserve">amali et al., </w:t>
            </w:r>
          </w:p>
          <w:p w14:paraId="348FFE3D" w14:textId="77777777" w:rsidR="00D61DC8" w:rsidRDefault="00086E62">
            <w:pPr>
              <w:spacing w:after="0" w:line="259" w:lineRule="auto"/>
              <w:ind w:left="0" w:firstLine="0"/>
            </w:pPr>
            <w:r>
              <w:rPr>
                <w:sz w:val="20"/>
              </w:rPr>
              <w:t xml:space="preserve">2024 </w:t>
            </w:r>
          </w:p>
        </w:tc>
        <w:tc>
          <w:tcPr>
            <w:tcW w:w="996" w:type="dxa"/>
            <w:tcBorders>
              <w:top w:val="single" w:sz="4" w:space="0" w:color="000000"/>
              <w:left w:val="single" w:sz="4" w:space="0" w:color="000000"/>
              <w:bottom w:val="single" w:sz="4" w:space="0" w:color="000000"/>
              <w:right w:val="single" w:sz="4" w:space="0" w:color="000000"/>
            </w:tcBorders>
          </w:tcPr>
          <w:p w14:paraId="13192A14" w14:textId="77777777" w:rsidR="00D61DC8" w:rsidRDefault="00086E62">
            <w:pPr>
              <w:spacing w:after="0" w:line="259" w:lineRule="auto"/>
              <w:ind w:left="5" w:firstLine="0"/>
            </w:pPr>
            <w:r>
              <w:rPr>
                <w:sz w:val="20"/>
              </w:rPr>
              <w:t xml:space="preserve">ECR </w:t>
            </w:r>
          </w:p>
          <w:p w14:paraId="476FF26B" w14:textId="77777777" w:rsidR="00D61DC8" w:rsidRDefault="00086E62">
            <w:pPr>
              <w:spacing w:after="0" w:line="259" w:lineRule="auto"/>
              <w:ind w:left="5" w:firstLine="0"/>
            </w:pPr>
            <w:r>
              <w:rPr>
                <w:sz w:val="20"/>
              </w:rPr>
              <w:t xml:space="preserve">cruzado </w:t>
            </w:r>
          </w:p>
        </w:tc>
        <w:tc>
          <w:tcPr>
            <w:tcW w:w="850" w:type="dxa"/>
            <w:tcBorders>
              <w:top w:val="single" w:sz="4" w:space="0" w:color="000000"/>
              <w:left w:val="single" w:sz="4" w:space="0" w:color="000000"/>
              <w:bottom w:val="single" w:sz="4" w:space="0" w:color="000000"/>
              <w:right w:val="single" w:sz="4" w:space="0" w:color="000000"/>
            </w:tcBorders>
          </w:tcPr>
          <w:p w14:paraId="2CB3D2B5" w14:textId="77777777" w:rsidR="00D61DC8" w:rsidRDefault="00086E62">
            <w:pPr>
              <w:spacing w:after="0" w:line="259" w:lineRule="auto"/>
              <w:ind w:left="0" w:firstLine="0"/>
            </w:pPr>
            <w:r>
              <w:rPr>
                <w:sz w:val="20"/>
              </w:rPr>
              <w:t xml:space="preserve">Sri </w:t>
            </w:r>
          </w:p>
          <w:p w14:paraId="09A72972" w14:textId="77777777" w:rsidR="00D61DC8" w:rsidRDefault="00086E62">
            <w:pPr>
              <w:spacing w:after="0" w:line="259" w:lineRule="auto"/>
              <w:ind w:left="0" w:firstLine="0"/>
            </w:pPr>
            <w:r>
              <w:rPr>
                <w:sz w:val="20"/>
              </w:rPr>
              <w:t xml:space="preserve">Lanka </w:t>
            </w:r>
          </w:p>
        </w:tc>
        <w:tc>
          <w:tcPr>
            <w:tcW w:w="1276" w:type="dxa"/>
            <w:tcBorders>
              <w:top w:val="single" w:sz="4" w:space="0" w:color="000000"/>
              <w:left w:val="single" w:sz="4" w:space="0" w:color="000000"/>
              <w:bottom w:val="single" w:sz="4" w:space="0" w:color="000000"/>
              <w:right w:val="single" w:sz="4" w:space="0" w:color="000000"/>
            </w:tcBorders>
          </w:tcPr>
          <w:p w14:paraId="6CEDBD06" w14:textId="77777777" w:rsidR="00D61DC8" w:rsidRDefault="00086E62">
            <w:pPr>
              <w:spacing w:after="0" w:line="259" w:lineRule="auto"/>
              <w:ind w:left="0" w:firstLine="0"/>
            </w:pPr>
            <w:r>
              <w:rPr>
                <w:sz w:val="20"/>
              </w:rPr>
              <w:t xml:space="preserve">n=36 adultos </w:t>
            </w:r>
          </w:p>
        </w:tc>
        <w:tc>
          <w:tcPr>
            <w:tcW w:w="1275" w:type="dxa"/>
            <w:tcBorders>
              <w:top w:val="single" w:sz="4" w:space="0" w:color="000000"/>
              <w:left w:val="single" w:sz="4" w:space="0" w:color="000000"/>
              <w:bottom w:val="single" w:sz="4" w:space="0" w:color="000000"/>
              <w:right w:val="single" w:sz="4" w:space="0" w:color="000000"/>
            </w:tcBorders>
          </w:tcPr>
          <w:p w14:paraId="77797B60" w14:textId="77777777" w:rsidR="00D61DC8" w:rsidRDefault="00086E62">
            <w:pPr>
              <w:spacing w:after="0" w:line="240" w:lineRule="auto"/>
              <w:ind w:left="0" w:firstLine="0"/>
            </w:pPr>
            <w:r>
              <w:rPr>
                <w:sz w:val="20"/>
              </w:rPr>
              <w:t xml:space="preserve">Comparar coco e </w:t>
            </w:r>
          </w:p>
          <w:p w14:paraId="0A7EF6CF" w14:textId="77777777" w:rsidR="00D61DC8" w:rsidRDefault="00086E62">
            <w:pPr>
              <w:spacing w:after="0" w:line="259" w:lineRule="auto"/>
              <w:ind w:left="0" w:firstLine="0"/>
            </w:pPr>
            <w:r>
              <w:rPr>
                <w:sz w:val="20"/>
              </w:rPr>
              <w:t xml:space="preserve">palma no </w:t>
            </w:r>
          </w:p>
          <w:p w14:paraId="43CF0A16" w14:textId="77777777" w:rsidR="00D61DC8" w:rsidRDefault="00086E62">
            <w:pPr>
              <w:spacing w:after="0" w:line="259" w:lineRule="auto"/>
              <w:ind w:left="0" w:firstLine="0"/>
            </w:pPr>
            <w:r>
              <w:rPr>
                <w:sz w:val="20"/>
              </w:rPr>
              <w:t xml:space="preserve">perfil lipídico </w:t>
            </w:r>
          </w:p>
        </w:tc>
        <w:tc>
          <w:tcPr>
            <w:tcW w:w="991" w:type="dxa"/>
            <w:tcBorders>
              <w:top w:val="single" w:sz="4" w:space="0" w:color="000000"/>
              <w:left w:val="single" w:sz="4" w:space="0" w:color="000000"/>
              <w:bottom w:val="single" w:sz="4" w:space="0" w:color="000000"/>
              <w:right w:val="single" w:sz="4" w:space="0" w:color="000000"/>
            </w:tcBorders>
          </w:tcPr>
          <w:p w14:paraId="78C2D23E" w14:textId="77777777" w:rsidR="00D61DC8" w:rsidRDefault="00086E62">
            <w:pPr>
              <w:spacing w:after="0" w:line="259" w:lineRule="auto"/>
              <w:ind w:left="0" w:firstLine="0"/>
            </w:pPr>
            <w:r>
              <w:rPr>
                <w:sz w:val="20"/>
              </w:rPr>
              <w:t xml:space="preserve">Óleo de coco, palma </w:t>
            </w:r>
          </w:p>
        </w:tc>
        <w:tc>
          <w:tcPr>
            <w:tcW w:w="1135" w:type="dxa"/>
            <w:tcBorders>
              <w:top w:val="single" w:sz="4" w:space="0" w:color="000000"/>
              <w:left w:val="single" w:sz="4" w:space="0" w:color="000000"/>
              <w:bottom w:val="single" w:sz="4" w:space="0" w:color="000000"/>
              <w:right w:val="single" w:sz="4" w:space="0" w:color="000000"/>
            </w:tcBorders>
          </w:tcPr>
          <w:p w14:paraId="65089613" w14:textId="77777777" w:rsidR="00D61DC8" w:rsidRDefault="00086E62">
            <w:pPr>
              <w:spacing w:after="0" w:line="259" w:lineRule="auto"/>
              <w:ind w:left="5" w:firstLine="0"/>
            </w:pPr>
            <w:r>
              <w:rPr>
                <w:sz w:val="20"/>
              </w:rPr>
              <w:t xml:space="preserve">6 </w:t>
            </w:r>
          </w:p>
          <w:p w14:paraId="157232FE" w14:textId="77777777" w:rsidR="00D61DC8" w:rsidRDefault="00086E62">
            <w:pPr>
              <w:spacing w:after="0" w:line="259" w:lineRule="auto"/>
              <w:ind w:left="5" w:firstLine="0"/>
            </w:pPr>
            <w:r>
              <w:rPr>
                <w:sz w:val="20"/>
              </w:rPr>
              <w:t xml:space="preserve">semanas </w:t>
            </w:r>
          </w:p>
        </w:tc>
        <w:tc>
          <w:tcPr>
            <w:tcW w:w="1696" w:type="dxa"/>
            <w:tcBorders>
              <w:top w:val="single" w:sz="4" w:space="0" w:color="000000"/>
              <w:left w:val="single" w:sz="4" w:space="0" w:color="000000"/>
              <w:bottom w:val="single" w:sz="4" w:space="0" w:color="000000"/>
              <w:right w:val="single" w:sz="4" w:space="0" w:color="000000"/>
            </w:tcBorders>
          </w:tcPr>
          <w:p w14:paraId="591AF6D0" w14:textId="77777777" w:rsidR="00D61DC8" w:rsidRDefault="00086E62">
            <w:pPr>
              <w:spacing w:after="0" w:line="259" w:lineRule="auto"/>
              <w:ind w:left="0" w:firstLine="0"/>
            </w:pPr>
            <w:r>
              <w:rPr>
                <w:sz w:val="20"/>
              </w:rPr>
              <w:t xml:space="preserve">Palma reduziu LDL e CT </w:t>
            </w:r>
          </w:p>
        </w:tc>
      </w:tr>
      <w:tr w:rsidR="00D61DC8" w14:paraId="329FC7EC" w14:textId="77777777">
        <w:trPr>
          <w:trHeight w:val="925"/>
        </w:trPr>
        <w:tc>
          <w:tcPr>
            <w:tcW w:w="846" w:type="dxa"/>
            <w:tcBorders>
              <w:top w:val="single" w:sz="4" w:space="0" w:color="000000"/>
              <w:left w:val="single" w:sz="4" w:space="0" w:color="000000"/>
              <w:bottom w:val="single" w:sz="4" w:space="0" w:color="000000"/>
              <w:right w:val="single" w:sz="4" w:space="0" w:color="000000"/>
            </w:tcBorders>
          </w:tcPr>
          <w:p w14:paraId="6F080564" w14:textId="77777777" w:rsidR="00D61DC8" w:rsidRDefault="00086E62">
            <w:pPr>
              <w:spacing w:after="0" w:line="259" w:lineRule="auto"/>
              <w:ind w:left="0" w:firstLine="0"/>
            </w:pPr>
            <w:r>
              <w:rPr>
                <w:sz w:val="20"/>
              </w:rPr>
              <w:t xml:space="preserve">Teng </w:t>
            </w:r>
          </w:p>
          <w:p w14:paraId="21C3C8E3" w14:textId="77777777" w:rsidR="00D61DC8" w:rsidRDefault="00086E62">
            <w:pPr>
              <w:spacing w:after="0" w:line="259" w:lineRule="auto"/>
              <w:ind w:left="0" w:firstLine="0"/>
            </w:pPr>
            <w:r>
              <w:rPr>
                <w:sz w:val="20"/>
              </w:rPr>
              <w:t xml:space="preserve">et al., </w:t>
            </w:r>
          </w:p>
          <w:p w14:paraId="6EFE742B" w14:textId="77777777" w:rsidR="00D61DC8" w:rsidRDefault="00086E62">
            <w:pPr>
              <w:spacing w:after="0" w:line="259" w:lineRule="auto"/>
              <w:ind w:left="0" w:firstLine="0"/>
            </w:pPr>
            <w:r>
              <w:rPr>
                <w:sz w:val="20"/>
              </w:rPr>
              <w:t xml:space="preserve">2024 </w:t>
            </w:r>
          </w:p>
        </w:tc>
        <w:tc>
          <w:tcPr>
            <w:tcW w:w="996" w:type="dxa"/>
            <w:tcBorders>
              <w:top w:val="single" w:sz="4" w:space="0" w:color="000000"/>
              <w:left w:val="single" w:sz="4" w:space="0" w:color="000000"/>
              <w:bottom w:val="single" w:sz="4" w:space="0" w:color="000000"/>
              <w:right w:val="single" w:sz="4" w:space="0" w:color="000000"/>
            </w:tcBorders>
          </w:tcPr>
          <w:p w14:paraId="32BB8F4E" w14:textId="77777777" w:rsidR="00D61DC8" w:rsidRDefault="00086E62">
            <w:pPr>
              <w:spacing w:after="0" w:line="259" w:lineRule="auto"/>
              <w:ind w:left="5" w:firstLine="0"/>
            </w:pPr>
            <w:r>
              <w:rPr>
                <w:sz w:val="20"/>
              </w:rPr>
              <w:t xml:space="preserve">ECR </w:t>
            </w:r>
          </w:p>
        </w:tc>
        <w:tc>
          <w:tcPr>
            <w:tcW w:w="850" w:type="dxa"/>
            <w:tcBorders>
              <w:top w:val="single" w:sz="4" w:space="0" w:color="000000"/>
              <w:left w:val="single" w:sz="4" w:space="0" w:color="000000"/>
              <w:bottom w:val="single" w:sz="4" w:space="0" w:color="000000"/>
              <w:right w:val="single" w:sz="4" w:space="0" w:color="000000"/>
            </w:tcBorders>
          </w:tcPr>
          <w:p w14:paraId="60757C93" w14:textId="77777777" w:rsidR="00D61DC8" w:rsidRDefault="00086E62">
            <w:pPr>
              <w:spacing w:after="0" w:line="259" w:lineRule="auto"/>
              <w:ind w:left="0" w:firstLine="0"/>
            </w:pPr>
            <w:r>
              <w:rPr>
                <w:sz w:val="20"/>
              </w:rPr>
              <w:t xml:space="preserve">Malási a </w:t>
            </w:r>
          </w:p>
        </w:tc>
        <w:tc>
          <w:tcPr>
            <w:tcW w:w="1276" w:type="dxa"/>
            <w:tcBorders>
              <w:top w:val="single" w:sz="4" w:space="0" w:color="000000"/>
              <w:left w:val="single" w:sz="4" w:space="0" w:color="000000"/>
              <w:bottom w:val="single" w:sz="4" w:space="0" w:color="000000"/>
              <w:right w:val="single" w:sz="4" w:space="0" w:color="000000"/>
            </w:tcBorders>
          </w:tcPr>
          <w:p w14:paraId="1638FA0F" w14:textId="77777777" w:rsidR="00D61DC8" w:rsidRDefault="00086E62">
            <w:pPr>
              <w:spacing w:after="0" w:line="259" w:lineRule="auto"/>
              <w:ind w:left="0" w:firstLine="0"/>
            </w:pPr>
            <w:r>
              <w:rPr>
                <w:sz w:val="20"/>
              </w:rPr>
              <w:t xml:space="preserve">n=45 obesos centrais </w:t>
            </w:r>
          </w:p>
        </w:tc>
        <w:tc>
          <w:tcPr>
            <w:tcW w:w="1275" w:type="dxa"/>
            <w:tcBorders>
              <w:top w:val="single" w:sz="4" w:space="0" w:color="000000"/>
              <w:left w:val="single" w:sz="4" w:space="0" w:color="000000"/>
              <w:bottom w:val="single" w:sz="4" w:space="0" w:color="000000"/>
              <w:right w:val="single" w:sz="4" w:space="0" w:color="000000"/>
            </w:tcBorders>
          </w:tcPr>
          <w:p w14:paraId="22DDBF15" w14:textId="77777777" w:rsidR="00D61DC8" w:rsidRDefault="00086E62">
            <w:pPr>
              <w:spacing w:after="0" w:line="259" w:lineRule="auto"/>
              <w:ind w:left="0" w:firstLine="0"/>
            </w:pPr>
            <w:r>
              <w:rPr>
                <w:sz w:val="20"/>
              </w:rPr>
              <w:t xml:space="preserve">Comparar </w:t>
            </w:r>
          </w:p>
          <w:p w14:paraId="2FF853DC" w14:textId="77777777" w:rsidR="00D61DC8" w:rsidRDefault="00086E62">
            <w:pPr>
              <w:spacing w:after="0" w:line="259" w:lineRule="auto"/>
              <w:ind w:left="0" w:right="33" w:firstLine="0"/>
            </w:pPr>
            <w:r>
              <w:rPr>
                <w:sz w:val="20"/>
              </w:rPr>
              <w:t xml:space="preserve">azeite, coco e palma </w:t>
            </w:r>
          </w:p>
        </w:tc>
        <w:tc>
          <w:tcPr>
            <w:tcW w:w="991" w:type="dxa"/>
            <w:tcBorders>
              <w:top w:val="single" w:sz="4" w:space="0" w:color="000000"/>
              <w:left w:val="single" w:sz="4" w:space="0" w:color="000000"/>
              <w:bottom w:val="single" w:sz="4" w:space="0" w:color="000000"/>
              <w:right w:val="single" w:sz="4" w:space="0" w:color="000000"/>
            </w:tcBorders>
          </w:tcPr>
          <w:p w14:paraId="64B5E07B" w14:textId="77777777" w:rsidR="00D61DC8" w:rsidRDefault="00086E62">
            <w:pPr>
              <w:spacing w:after="0" w:line="259" w:lineRule="auto"/>
              <w:ind w:left="0" w:firstLine="0"/>
            </w:pPr>
            <w:r>
              <w:rPr>
                <w:sz w:val="20"/>
              </w:rPr>
              <w:t xml:space="preserve">EVOO, </w:t>
            </w:r>
          </w:p>
          <w:p w14:paraId="3071CC6A" w14:textId="77777777" w:rsidR="00D61DC8" w:rsidRDefault="00086E62">
            <w:pPr>
              <w:spacing w:after="0" w:line="259" w:lineRule="auto"/>
              <w:ind w:left="0" w:firstLine="0"/>
            </w:pPr>
            <w:r>
              <w:rPr>
                <w:sz w:val="20"/>
              </w:rPr>
              <w:t xml:space="preserve">coco, palma </w:t>
            </w:r>
          </w:p>
        </w:tc>
        <w:tc>
          <w:tcPr>
            <w:tcW w:w="1135" w:type="dxa"/>
            <w:tcBorders>
              <w:top w:val="single" w:sz="4" w:space="0" w:color="000000"/>
              <w:left w:val="single" w:sz="4" w:space="0" w:color="000000"/>
              <w:bottom w:val="single" w:sz="4" w:space="0" w:color="000000"/>
              <w:right w:val="single" w:sz="4" w:space="0" w:color="000000"/>
            </w:tcBorders>
          </w:tcPr>
          <w:p w14:paraId="18BBD068" w14:textId="77777777" w:rsidR="00D61DC8" w:rsidRDefault="00086E62">
            <w:pPr>
              <w:spacing w:after="0" w:line="259" w:lineRule="auto"/>
              <w:ind w:left="5" w:firstLine="0"/>
            </w:pPr>
            <w:r>
              <w:rPr>
                <w:sz w:val="20"/>
              </w:rPr>
              <w:t xml:space="preserve">8 </w:t>
            </w:r>
          </w:p>
          <w:p w14:paraId="7836EDB6" w14:textId="77777777" w:rsidR="00D61DC8" w:rsidRDefault="00086E62">
            <w:pPr>
              <w:spacing w:after="0" w:line="259" w:lineRule="auto"/>
              <w:ind w:left="5" w:firstLine="0"/>
            </w:pPr>
            <w:r>
              <w:rPr>
                <w:sz w:val="20"/>
              </w:rPr>
              <w:t xml:space="preserve">semanas </w:t>
            </w:r>
          </w:p>
        </w:tc>
        <w:tc>
          <w:tcPr>
            <w:tcW w:w="1696" w:type="dxa"/>
            <w:tcBorders>
              <w:top w:val="single" w:sz="4" w:space="0" w:color="000000"/>
              <w:left w:val="single" w:sz="4" w:space="0" w:color="000000"/>
              <w:bottom w:val="single" w:sz="4" w:space="0" w:color="000000"/>
              <w:right w:val="single" w:sz="4" w:space="0" w:color="000000"/>
            </w:tcBorders>
          </w:tcPr>
          <w:p w14:paraId="6E4A4757" w14:textId="77777777" w:rsidR="00D61DC8" w:rsidRDefault="00086E62">
            <w:pPr>
              <w:spacing w:after="0" w:line="259" w:lineRule="auto"/>
              <w:ind w:left="0" w:firstLine="0"/>
            </w:pPr>
            <w:r>
              <w:rPr>
                <w:sz w:val="20"/>
              </w:rPr>
              <w:t xml:space="preserve">EVOO teve </w:t>
            </w:r>
            <w:r>
              <w:rPr>
                <w:sz w:val="20"/>
              </w:rPr>
              <w:t>maior ↓ LDL</w:t>
            </w:r>
            <w:r>
              <w:rPr>
                <w:sz w:val="20"/>
              </w:rPr>
              <w:t xml:space="preserve"> </w:t>
            </w:r>
          </w:p>
        </w:tc>
      </w:tr>
      <w:tr w:rsidR="00D61DC8" w14:paraId="253F5EE0" w14:textId="77777777">
        <w:trPr>
          <w:trHeight w:val="930"/>
        </w:trPr>
        <w:tc>
          <w:tcPr>
            <w:tcW w:w="846" w:type="dxa"/>
            <w:tcBorders>
              <w:top w:val="single" w:sz="4" w:space="0" w:color="000000"/>
              <w:left w:val="single" w:sz="4" w:space="0" w:color="000000"/>
              <w:bottom w:val="single" w:sz="4" w:space="0" w:color="000000"/>
              <w:right w:val="single" w:sz="4" w:space="0" w:color="000000"/>
            </w:tcBorders>
          </w:tcPr>
          <w:p w14:paraId="36C57131" w14:textId="77777777" w:rsidR="00D61DC8" w:rsidRDefault="00086E62">
            <w:pPr>
              <w:spacing w:after="0" w:line="259" w:lineRule="auto"/>
              <w:ind w:left="0" w:firstLine="0"/>
            </w:pPr>
            <w:r>
              <w:rPr>
                <w:sz w:val="20"/>
              </w:rPr>
              <w:t>Khand</w:t>
            </w:r>
          </w:p>
          <w:p w14:paraId="4F943114" w14:textId="77777777" w:rsidR="00D61DC8" w:rsidRDefault="00086E62">
            <w:pPr>
              <w:spacing w:after="0" w:line="240" w:lineRule="auto"/>
              <w:ind w:left="0" w:firstLine="0"/>
            </w:pPr>
            <w:r>
              <w:rPr>
                <w:sz w:val="20"/>
              </w:rPr>
              <w:t xml:space="preserve">ouzi et al., </w:t>
            </w:r>
          </w:p>
          <w:p w14:paraId="032BA2A9" w14:textId="77777777" w:rsidR="00D61DC8" w:rsidRDefault="00086E62">
            <w:pPr>
              <w:spacing w:after="0" w:line="259" w:lineRule="auto"/>
              <w:ind w:left="0" w:firstLine="0"/>
            </w:pPr>
            <w:r>
              <w:rPr>
                <w:sz w:val="20"/>
              </w:rPr>
              <w:t xml:space="preserve">2023 </w:t>
            </w:r>
          </w:p>
        </w:tc>
        <w:tc>
          <w:tcPr>
            <w:tcW w:w="996" w:type="dxa"/>
            <w:tcBorders>
              <w:top w:val="single" w:sz="4" w:space="0" w:color="000000"/>
              <w:left w:val="single" w:sz="4" w:space="0" w:color="000000"/>
              <w:bottom w:val="single" w:sz="4" w:space="0" w:color="000000"/>
              <w:right w:val="single" w:sz="4" w:space="0" w:color="000000"/>
            </w:tcBorders>
          </w:tcPr>
          <w:p w14:paraId="3C0BF16E" w14:textId="77777777" w:rsidR="00D61DC8" w:rsidRDefault="00086E62">
            <w:pPr>
              <w:spacing w:after="0" w:line="259" w:lineRule="auto"/>
              <w:ind w:left="5" w:firstLine="0"/>
            </w:pPr>
            <w:r>
              <w:rPr>
                <w:sz w:val="20"/>
              </w:rPr>
              <w:t xml:space="preserve">ECR </w:t>
            </w:r>
          </w:p>
        </w:tc>
        <w:tc>
          <w:tcPr>
            <w:tcW w:w="850" w:type="dxa"/>
            <w:tcBorders>
              <w:top w:val="single" w:sz="4" w:space="0" w:color="000000"/>
              <w:left w:val="single" w:sz="4" w:space="0" w:color="000000"/>
              <w:bottom w:val="single" w:sz="4" w:space="0" w:color="000000"/>
              <w:right w:val="single" w:sz="4" w:space="0" w:color="000000"/>
            </w:tcBorders>
          </w:tcPr>
          <w:p w14:paraId="3139E01B" w14:textId="77777777" w:rsidR="00D61DC8" w:rsidRDefault="00086E62">
            <w:pPr>
              <w:spacing w:after="0" w:line="259" w:lineRule="auto"/>
              <w:ind w:left="0" w:firstLine="0"/>
            </w:pPr>
            <w:r>
              <w:rPr>
                <w:sz w:val="20"/>
              </w:rPr>
              <w:t xml:space="preserve">Irã </w:t>
            </w:r>
          </w:p>
        </w:tc>
        <w:tc>
          <w:tcPr>
            <w:tcW w:w="1276" w:type="dxa"/>
            <w:tcBorders>
              <w:top w:val="single" w:sz="4" w:space="0" w:color="000000"/>
              <w:left w:val="single" w:sz="4" w:space="0" w:color="000000"/>
              <w:bottom w:val="single" w:sz="4" w:space="0" w:color="000000"/>
              <w:right w:val="single" w:sz="4" w:space="0" w:color="000000"/>
            </w:tcBorders>
          </w:tcPr>
          <w:p w14:paraId="14573FCE" w14:textId="77777777" w:rsidR="00D61DC8" w:rsidRDefault="00086E62">
            <w:pPr>
              <w:spacing w:after="0" w:line="259" w:lineRule="auto"/>
              <w:ind w:left="0" w:firstLine="0"/>
            </w:pPr>
            <w:r>
              <w:rPr>
                <w:sz w:val="20"/>
              </w:rPr>
              <w:t xml:space="preserve">n=60 com DAC </w:t>
            </w:r>
          </w:p>
        </w:tc>
        <w:tc>
          <w:tcPr>
            <w:tcW w:w="1275" w:type="dxa"/>
            <w:tcBorders>
              <w:top w:val="single" w:sz="4" w:space="0" w:color="000000"/>
              <w:left w:val="single" w:sz="4" w:space="0" w:color="000000"/>
              <w:bottom w:val="single" w:sz="4" w:space="0" w:color="000000"/>
              <w:right w:val="single" w:sz="4" w:space="0" w:color="000000"/>
            </w:tcBorders>
          </w:tcPr>
          <w:p w14:paraId="72378D10" w14:textId="77777777" w:rsidR="00D61DC8" w:rsidRDefault="00086E62">
            <w:pPr>
              <w:spacing w:after="0" w:line="259" w:lineRule="auto"/>
              <w:ind w:left="0" w:firstLine="0"/>
            </w:pPr>
            <w:r>
              <w:rPr>
                <w:sz w:val="20"/>
              </w:rPr>
              <w:t xml:space="preserve">Avaliar azeite e linhaça na inflamação </w:t>
            </w:r>
          </w:p>
        </w:tc>
        <w:tc>
          <w:tcPr>
            <w:tcW w:w="991" w:type="dxa"/>
            <w:tcBorders>
              <w:top w:val="single" w:sz="4" w:space="0" w:color="000000"/>
              <w:left w:val="single" w:sz="4" w:space="0" w:color="000000"/>
              <w:bottom w:val="single" w:sz="4" w:space="0" w:color="000000"/>
              <w:right w:val="single" w:sz="4" w:space="0" w:color="000000"/>
            </w:tcBorders>
          </w:tcPr>
          <w:p w14:paraId="582B86BD" w14:textId="77777777" w:rsidR="00D61DC8" w:rsidRDefault="00086E62">
            <w:pPr>
              <w:spacing w:after="0" w:line="259" w:lineRule="auto"/>
              <w:ind w:left="0" w:firstLine="0"/>
            </w:pPr>
            <w:r>
              <w:rPr>
                <w:sz w:val="20"/>
              </w:rPr>
              <w:t xml:space="preserve">Azeite e linhaça </w:t>
            </w:r>
          </w:p>
        </w:tc>
        <w:tc>
          <w:tcPr>
            <w:tcW w:w="1135" w:type="dxa"/>
            <w:tcBorders>
              <w:top w:val="single" w:sz="4" w:space="0" w:color="000000"/>
              <w:left w:val="single" w:sz="4" w:space="0" w:color="000000"/>
              <w:bottom w:val="single" w:sz="4" w:space="0" w:color="000000"/>
              <w:right w:val="single" w:sz="4" w:space="0" w:color="000000"/>
            </w:tcBorders>
          </w:tcPr>
          <w:p w14:paraId="18DCD81B" w14:textId="77777777" w:rsidR="00D61DC8" w:rsidRDefault="00086E62">
            <w:pPr>
              <w:spacing w:after="0" w:line="259" w:lineRule="auto"/>
              <w:ind w:left="5" w:firstLine="0"/>
            </w:pPr>
            <w:r>
              <w:rPr>
                <w:sz w:val="20"/>
              </w:rPr>
              <w:t xml:space="preserve">10 semanas </w:t>
            </w:r>
          </w:p>
        </w:tc>
        <w:tc>
          <w:tcPr>
            <w:tcW w:w="1696" w:type="dxa"/>
            <w:tcBorders>
              <w:top w:val="single" w:sz="4" w:space="0" w:color="000000"/>
              <w:left w:val="single" w:sz="4" w:space="0" w:color="000000"/>
              <w:bottom w:val="single" w:sz="4" w:space="0" w:color="000000"/>
              <w:right w:val="single" w:sz="4" w:space="0" w:color="000000"/>
            </w:tcBorders>
          </w:tcPr>
          <w:p w14:paraId="6B5B364F" w14:textId="77777777" w:rsidR="00D61DC8" w:rsidRDefault="00086E62">
            <w:pPr>
              <w:spacing w:after="0" w:line="259" w:lineRule="auto"/>
              <w:ind w:left="0" w:firstLine="0"/>
            </w:pPr>
            <w:r>
              <w:rPr>
                <w:sz w:val="20"/>
              </w:rPr>
              <w:t xml:space="preserve">Melhora </w:t>
            </w:r>
            <w:r>
              <w:rPr>
                <w:sz w:val="20"/>
              </w:rPr>
              <w:t xml:space="preserve">endotelial e ↓ </w:t>
            </w:r>
            <w:r>
              <w:rPr>
                <w:sz w:val="20"/>
              </w:rPr>
              <w:t xml:space="preserve">inflamatórios </w:t>
            </w:r>
          </w:p>
        </w:tc>
      </w:tr>
      <w:tr w:rsidR="00D61DC8" w14:paraId="3F44D3D2" w14:textId="77777777">
        <w:trPr>
          <w:trHeight w:val="931"/>
        </w:trPr>
        <w:tc>
          <w:tcPr>
            <w:tcW w:w="846" w:type="dxa"/>
            <w:tcBorders>
              <w:top w:val="single" w:sz="4" w:space="0" w:color="000000"/>
              <w:left w:val="single" w:sz="4" w:space="0" w:color="000000"/>
              <w:bottom w:val="single" w:sz="4" w:space="0" w:color="000000"/>
              <w:right w:val="single" w:sz="4" w:space="0" w:color="000000"/>
            </w:tcBorders>
          </w:tcPr>
          <w:p w14:paraId="0B2779B1" w14:textId="77777777" w:rsidR="00D61DC8" w:rsidRDefault="00086E62">
            <w:pPr>
              <w:spacing w:after="0" w:line="241" w:lineRule="auto"/>
              <w:ind w:left="0" w:firstLine="0"/>
            </w:pPr>
            <w:r>
              <w:rPr>
                <w:sz w:val="20"/>
              </w:rPr>
              <w:t xml:space="preserve">Mozaff arian </w:t>
            </w:r>
          </w:p>
          <w:p w14:paraId="04742544" w14:textId="77777777" w:rsidR="00D61DC8" w:rsidRDefault="00086E62">
            <w:pPr>
              <w:spacing w:after="0" w:line="259" w:lineRule="auto"/>
              <w:ind w:left="0" w:firstLine="0"/>
            </w:pPr>
            <w:r>
              <w:rPr>
                <w:sz w:val="20"/>
              </w:rPr>
              <w:t xml:space="preserve">et al., </w:t>
            </w:r>
          </w:p>
          <w:p w14:paraId="76C64A63" w14:textId="77777777" w:rsidR="00D61DC8" w:rsidRDefault="00086E62">
            <w:pPr>
              <w:spacing w:after="0" w:line="259" w:lineRule="auto"/>
              <w:ind w:left="0" w:firstLine="0"/>
            </w:pPr>
            <w:r>
              <w:rPr>
                <w:sz w:val="20"/>
              </w:rPr>
              <w:t xml:space="preserve">2022 </w:t>
            </w:r>
          </w:p>
        </w:tc>
        <w:tc>
          <w:tcPr>
            <w:tcW w:w="996" w:type="dxa"/>
            <w:tcBorders>
              <w:top w:val="single" w:sz="4" w:space="0" w:color="000000"/>
              <w:left w:val="single" w:sz="4" w:space="0" w:color="000000"/>
              <w:bottom w:val="single" w:sz="4" w:space="0" w:color="000000"/>
              <w:right w:val="single" w:sz="4" w:space="0" w:color="000000"/>
            </w:tcBorders>
          </w:tcPr>
          <w:p w14:paraId="3020AA02" w14:textId="77777777" w:rsidR="00D61DC8" w:rsidRDefault="00086E62">
            <w:pPr>
              <w:spacing w:after="0" w:line="259" w:lineRule="auto"/>
              <w:ind w:left="5" w:firstLine="0"/>
            </w:pPr>
            <w:r>
              <w:rPr>
                <w:sz w:val="20"/>
              </w:rPr>
              <w:t xml:space="preserve">ECR </w:t>
            </w:r>
          </w:p>
        </w:tc>
        <w:tc>
          <w:tcPr>
            <w:tcW w:w="850" w:type="dxa"/>
            <w:tcBorders>
              <w:top w:val="single" w:sz="4" w:space="0" w:color="000000"/>
              <w:left w:val="single" w:sz="4" w:space="0" w:color="000000"/>
              <w:bottom w:val="single" w:sz="4" w:space="0" w:color="000000"/>
              <w:right w:val="single" w:sz="4" w:space="0" w:color="000000"/>
            </w:tcBorders>
          </w:tcPr>
          <w:p w14:paraId="7026D3BC" w14:textId="77777777" w:rsidR="00D61DC8" w:rsidRDefault="00086E62">
            <w:pPr>
              <w:spacing w:after="0" w:line="259" w:lineRule="auto"/>
              <w:ind w:left="0" w:firstLine="0"/>
            </w:pPr>
            <w:r>
              <w:rPr>
                <w:sz w:val="20"/>
              </w:rPr>
              <w:t xml:space="preserve">EUA </w:t>
            </w:r>
          </w:p>
        </w:tc>
        <w:tc>
          <w:tcPr>
            <w:tcW w:w="1276" w:type="dxa"/>
            <w:tcBorders>
              <w:top w:val="single" w:sz="4" w:space="0" w:color="000000"/>
              <w:left w:val="single" w:sz="4" w:space="0" w:color="000000"/>
              <w:bottom w:val="single" w:sz="4" w:space="0" w:color="000000"/>
              <w:right w:val="single" w:sz="4" w:space="0" w:color="000000"/>
            </w:tcBorders>
          </w:tcPr>
          <w:p w14:paraId="1C95B84D" w14:textId="77777777" w:rsidR="00D61DC8" w:rsidRDefault="00086E62">
            <w:pPr>
              <w:spacing w:after="0" w:line="259" w:lineRule="auto"/>
              <w:ind w:left="0" w:firstLine="0"/>
            </w:pPr>
            <w:r>
              <w:rPr>
                <w:sz w:val="20"/>
              </w:rPr>
              <w:t xml:space="preserve">n=520 </w:t>
            </w:r>
          </w:p>
          <w:p w14:paraId="36CC361E" w14:textId="77777777" w:rsidR="00D61DC8" w:rsidRDefault="00086E62">
            <w:pPr>
              <w:spacing w:after="0" w:line="259" w:lineRule="auto"/>
              <w:ind w:left="0" w:firstLine="0"/>
            </w:pPr>
            <w:r>
              <w:rPr>
                <w:sz w:val="20"/>
              </w:rPr>
              <w:t xml:space="preserve">hipertriglice ridemia </w:t>
            </w:r>
          </w:p>
        </w:tc>
        <w:tc>
          <w:tcPr>
            <w:tcW w:w="1275" w:type="dxa"/>
            <w:tcBorders>
              <w:top w:val="single" w:sz="4" w:space="0" w:color="000000"/>
              <w:left w:val="single" w:sz="4" w:space="0" w:color="000000"/>
              <w:bottom w:val="single" w:sz="4" w:space="0" w:color="000000"/>
              <w:right w:val="single" w:sz="4" w:space="0" w:color="000000"/>
            </w:tcBorders>
          </w:tcPr>
          <w:p w14:paraId="5344F610" w14:textId="77777777" w:rsidR="00D61DC8" w:rsidRDefault="00086E62">
            <w:pPr>
              <w:spacing w:after="0" w:line="259" w:lineRule="auto"/>
              <w:ind w:left="0" w:firstLine="0"/>
            </w:pPr>
            <w:r>
              <w:rPr>
                <w:sz w:val="20"/>
              </w:rPr>
              <w:t xml:space="preserve">Avaliar óleo de krill </w:t>
            </w:r>
          </w:p>
        </w:tc>
        <w:tc>
          <w:tcPr>
            <w:tcW w:w="991" w:type="dxa"/>
            <w:tcBorders>
              <w:top w:val="single" w:sz="4" w:space="0" w:color="000000"/>
              <w:left w:val="single" w:sz="4" w:space="0" w:color="000000"/>
              <w:bottom w:val="single" w:sz="4" w:space="0" w:color="000000"/>
              <w:right w:val="single" w:sz="4" w:space="0" w:color="000000"/>
            </w:tcBorders>
          </w:tcPr>
          <w:p w14:paraId="17A0A380" w14:textId="77777777" w:rsidR="00D61DC8" w:rsidRDefault="00086E62">
            <w:pPr>
              <w:spacing w:after="0" w:line="259" w:lineRule="auto"/>
              <w:ind w:left="0" w:firstLine="0"/>
            </w:pPr>
            <w:r>
              <w:rPr>
                <w:sz w:val="20"/>
              </w:rPr>
              <w:t xml:space="preserve">Óleo de </w:t>
            </w:r>
          </w:p>
          <w:p w14:paraId="08AD1742" w14:textId="77777777" w:rsidR="00D61DC8" w:rsidRDefault="00086E62">
            <w:pPr>
              <w:spacing w:after="0" w:line="259" w:lineRule="auto"/>
              <w:ind w:left="0" w:firstLine="0"/>
            </w:pPr>
            <w:r>
              <w:rPr>
                <w:sz w:val="20"/>
              </w:rPr>
              <w:t xml:space="preserve">krill </w:t>
            </w:r>
          </w:p>
        </w:tc>
        <w:tc>
          <w:tcPr>
            <w:tcW w:w="1135" w:type="dxa"/>
            <w:tcBorders>
              <w:top w:val="single" w:sz="4" w:space="0" w:color="000000"/>
              <w:left w:val="single" w:sz="4" w:space="0" w:color="000000"/>
              <w:bottom w:val="single" w:sz="4" w:space="0" w:color="000000"/>
              <w:right w:val="single" w:sz="4" w:space="0" w:color="000000"/>
            </w:tcBorders>
          </w:tcPr>
          <w:p w14:paraId="7361E377" w14:textId="77777777" w:rsidR="00D61DC8" w:rsidRDefault="00086E62">
            <w:pPr>
              <w:spacing w:after="0" w:line="259" w:lineRule="auto"/>
              <w:ind w:left="5" w:firstLine="0"/>
            </w:pPr>
            <w:r>
              <w:rPr>
                <w:sz w:val="20"/>
              </w:rPr>
              <w:t xml:space="preserve">26 semanas </w:t>
            </w:r>
          </w:p>
        </w:tc>
        <w:tc>
          <w:tcPr>
            <w:tcW w:w="1696" w:type="dxa"/>
            <w:tcBorders>
              <w:top w:val="single" w:sz="4" w:space="0" w:color="000000"/>
              <w:left w:val="single" w:sz="4" w:space="0" w:color="000000"/>
              <w:bottom w:val="single" w:sz="4" w:space="0" w:color="000000"/>
              <w:right w:val="single" w:sz="4" w:space="0" w:color="000000"/>
            </w:tcBorders>
          </w:tcPr>
          <w:p w14:paraId="0D6037AE" w14:textId="77777777" w:rsidR="00D61DC8" w:rsidRDefault="00086E62">
            <w:pPr>
              <w:spacing w:after="0" w:line="259" w:lineRule="auto"/>
              <w:ind w:left="0" w:firstLine="0"/>
            </w:pPr>
            <w:r>
              <w:rPr>
                <w:sz w:val="20"/>
              </w:rPr>
              <w:t>↓ 26% nos TG</w:t>
            </w:r>
            <w:r>
              <w:rPr>
                <w:sz w:val="20"/>
              </w:rPr>
              <w:t xml:space="preserve"> </w:t>
            </w:r>
          </w:p>
        </w:tc>
      </w:tr>
      <w:tr w:rsidR="00D61DC8" w14:paraId="1764DF06" w14:textId="77777777">
        <w:trPr>
          <w:trHeight w:val="930"/>
        </w:trPr>
        <w:tc>
          <w:tcPr>
            <w:tcW w:w="846" w:type="dxa"/>
            <w:tcBorders>
              <w:top w:val="single" w:sz="4" w:space="0" w:color="000000"/>
              <w:left w:val="single" w:sz="4" w:space="0" w:color="000000"/>
              <w:bottom w:val="single" w:sz="4" w:space="0" w:color="000000"/>
              <w:right w:val="single" w:sz="4" w:space="0" w:color="000000"/>
            </w:tcBorders>
          </w:tcPr>
          <w:p w14:paraId="4E7EEF50" w14:textId="77777777" w:rsidR="00D61DC8" w:rsidRDefault="00086E62">
            <w:pPr>
              <w:spacing w:after="0" w:line="259" w:lineRule="auto"/>
              <w:ind w:left="0" w:firstLine="0"/>
            </w:pPr>
            <w:r>
              <w:rPr>
                <w:sz w:val="20"/>
              </w:rPr>
              <w:t xml:space="preserve">Koc et </w:t>
            </w:r>
          </w:p>
          <w:p w14:paraId="76AFA999" w14:textId="77777777" w:rsidR="00D61DC8" w:rsidRDefault="00086E62">
            <w:pPr>
              <w:spacing w:after="0" w:line="259" w:lineRule="auto"/>
              <w:ind w:left="0" w:firstLine="0"/>
            </w:pPr>
            <w:r>
              <w:rPr>
                <w:sz w:val="20"/>
              </w:rPr>
              <w:t xml:space="preserve">al., </w:t>
            </w:r>
          </w:p>
          <w:p w14:paraId="4C0A551B" w14:textId="77777777" w:rsidR="00D61DC8" w:rsidRDefault="00086E62">
            <w:pPr>
              <w:spacing w:after="0" w:line="259" w:lineRule="auto"/>
              <w:ind w:left="0" w:firstLine="0"/>
            </w:pPr>
            <w:r>
              <w:rPr>
                <w:sz w:val="20"/>
              </w:rPr>
              <w:t xml:space="preserve">2022 </w:t>
            </w:r>
          </w:p>
        </w:tc>
        <w:tc>
          <w:tcPr>
            <w:tcW w:w="996" w:type="dxa"/>
            <w:tcBorders>
              <w:top w:val="single" w:sz="4" w:space="0" w:color="000000"/>
              <w:left w:val="single" w:sz="4" w:space="0" w:color="000000"/>
              <w:bottom w:val="single" w:sz="4" w:space="0" w:color="000000"/>
              <w:right w:val="single" w:sz="4" w:space="0" w:color="000000"/>
            </w:tcBorders>
          </w:tcPr>
          <w:p w14:paraId="436FD6AF" w14:textId="77777777" w:rsidR="00D61DC8" w:rsidRDefault="00086E62">
            <w:pPr>
              <w:spacing w:after="0" w:line="259" w:lineRule="auto"/>
              <w:ind w:left="5" w:firstLine="0"/>
            </w:pPr>
            <w:r>
              <w:rPr>
                <w:sz w:val="20"/>
              </w:rPr>
              <w:t xml:space="preserve">ECR </w:t>
            </w:r>
          </w:p>
          <w:p w14:paraId="348BC44D" w14:textId="77777777" w:rsidR="00D61DC8" w:rsidRDefault="00086E62">
            <w:pPr>
              <w:spacing w:after="0" w:line="259" w:lineRule="auto"/>
              <w:ind w:left="5" w:firstLine="0"/>
            </w:pPr>
            <w:r>
              <w:rPr>
                <w:sz w:val="20"/>
              </w:rPr>
              <w:t xml:space="preserve">cruzado </w:t>
            </w:r>
          </w:p>
        </w:tc>
        <w:tc>
          <w:tcPr>
            <w:tcW w:w="850" w:type="dxa"/>
            <w:tcBorders>
              <w:top w:val="single" w:sz="4" w:space="0" w:color="000000"/>
              <w:left w:val="single" w:sz="4" w:space="0" w:color="000000"/>
              <w:bottom w:val="single" w:sz="4" w:space="0" w:color="000000"/>
              <w:right w:val="single" w:sz="4" w:space="0" w:color="000000"/>
            </w:tcBorders>
          </w:tcPr>
          <w:p w14:paraId="70F697CF" w14:textId="77777777" w:rsidR="00D61DC8" w:rsidRDefault="00086E62">
            <w:pPr>
              <w:spacing w:after="0" w:line="259" w:lineRule="auto"/>
              <w:ind w:left="0" w:firstLine="0"/>
            </w:pPr>
            <w:r>
              <w:rPr>
                <w:sz w:val="20"/>
              </w:rPr>
              <w:t xml:space="preserve">Turqui a </w:t>
            </w:r>
          </w:p>
        </w:tc>
        <w:tc>
          <w:tcPr>
            <w:tcW w:w="1276" w:type="dxa"/>
            <w:tcBorders>
              <w:top w:val="single" w:sz="4" w:space="0" w:color="000000"/>
              <w:left w:val="single" w:sz="4" w:space="0" w:color="000000"/>
              <w:bottom w:val="single" w:sz="4" w:space="0" w:color="000000"/>
              <w:right w:val="single" w:sz="4" w:space="0" w:color="000000"/>
            </w:tcBorders>
          </w:tcPr>
          <w:p w14:paraId="3F2AD83C" w14:textId="77777777" w:rsidR="00D61DC8" w:rsidRDefault="00086E62">
            <w:pPr>
              <w:spacing w:after="0" w:line="259" w:lineRule="auto"/>
              <w:ind w:left="0" w:firstLine="0"/>
            </w:pPr>
            <w:r>
              <w:rPr>
                <w:sz w:val="20"/>
              </w:rPr>
              <w:t xml:space="preserve">n=42 sobrepeso </w:t>
            </w:r>
          </w:p>
        </w:tc>
        <w:tc>
          <w:tcPr>
            <w:tcW w:w="1275" w:type="dxa"/>
            <w:tcBorders>
              <w:top w:val="single" w:sz="4" w:space="0" w:color="000000"/>
              <w:left w:val="single" w:sz="4" w:space="0" w:color="000000"/>
              <w:bottom w:val="single" w:sz="4" w:space="0" w:color="000000"/>
              <w:right w:val="single" w:sz="4" w:space="0" w:color="000000"/>
            </w:tcBorders>
          </w:tcPr>
          <w:p w14:paraId="69B64F2F" w14:textId="77777777" w:rsidR="00D61DC8" w:rsidRDefault="00086E62">
            <w:pPr>
              <w:spacing w:after="0" w:line="259" w:lineRule="auto"/>
              <w:ind w:left="0" w:firstLine="0"/>
            </w:pPr>
            <w:r>
              <w:rPr>
                <w:sz w:val="20"/>
              </w:rPr>
              <w:t xml:space="preserve">Coco em </w:t>
            </w:r>
          </w:p>
          <w:p w14:paraId="1208B2AA" w14:textId="77777777" w:rsidR="00D61DC8" w:rsidRDefault="00086E62">
            <w:pPr>
              <w:spacing w:after="0" w:line="259" w:lineRule="auto"/>
              <w:ind w:left="0" w:firstLine="0"/>
            </w:pPr>
            <w:r>
              <w:rPr>
                <w:sz w:val="20"/>
              </w:rPr>
              <w:t xml:space="preserve">irisin, perfil </w:t>
            </w:r>
          </w:p>
          <w:p w14:paraId="72BAEF82" w14:textId="77777777" w:rsidR="00D61DC8" w:rsidRDefault="00086E62">
            <w:pPr>
              <w:spacing w:after="0" w:line="259" w:lineRule="auto"/>
              <w:ind w:left="0" w:firstLine="0"/>
            </w:pPr>
            <w:r>
              <w:rPr>
                <w:sz w:val="20"/>
              </w:rPr>
              <w:t xml:space="preserve">lipídico e </w:t>
            </w:r>
          </w:p>
          <w:p w14:paraId="08834092" w14:textId="77777777" w:rsidR="00D61DC8" w:rsidRDefault="00086E62">
            <w:pPr>
              <w:spacing w:after="0" w:line="259" w:lineRule="auto"/>
              <w:ind w:left="0" w:firstLine="0"/>
            </w:pPr>
            <w:r>
              <w:rPr>
                <w:sz w:val="20"/>
              </w:rPr>
              <w:t xml:space="preserve">IMC </w:t>
            </w:r>
          </w:p>
        </w:tc>
        <w:tc>
          <w:tcPr>
            <w:tcW w:w="991" w:type="dxa"/>
            <w:tcBorders>
              <w:top w:val="single" w:sz="4" w:space="0" w:color="000000"/>
              <w:left w:val="single" w:sz="4" w:space="0" w:color="000000"/>
              <w:bottom w:val="single" w:sz="4" w:space="0" w:color="000000"/>
              <w:right w:val="single" w:sz="4" w:space="0" w:color="000000"/>
            </w:tcBorders>
          </w:tcPr>
          <w:p w14:paraId="2E50DB8F" w14:textId="77777777" w:rsidR="00D61DC8" w:rsidRDefault="00086E62">
            <w:pPr>
              <w:spacing w:after="0" w:line="259" w:lineRule="auto"/>
              <w:ind w:left="0" w:firstLine="0"/>
            </w:pPr>
            <w:r>
              <w:rPr>
                <w:sz w:val="20"/>
              </w:rPr>
              <w:t xml:space="preserve">Óleo de coco </w:t>
            </w:r>
          </w:p>
        </w:tc>
        <w:tc>
          <w:tcPr>
            <w:tcW w:w="1135" w:type="dxa"/>
            <w:tcBorders>
              <w:top w:val="single" w:sz="4" w:space="0" w:color="000000"/>
              <w:left w:val="single" w:sz="4" w:space="0" w:color="000000"/>
              <w:bottom w:val="single" w:sz="4" w:space="0" w:color="000000"/>
              <w:right w:val="single" w:sz="4" w:space="0" w:color="000000"/>
            </w:tcBorders>
          </w:tcPr>
          <w:p w14:paraId="6F03D177" w14:textId="77777777" w:rsidR="00D61DC8" w:rsidRDefault="00086E62">
            <w:pPr>
              <w:spacing w:after="0" w:line="259" w:lineRule="auto"/>
              <w:ind w:left="5" w:firstLine="0"/>
            </w:pPr>
            <w:r>
              <w:rPr>
                <w:sz w:val="20"/>
              </w:rPr>
              <w:t xml:space="preserve">2x4 semanas </w:t>
            </w:r>
          </w:p>
        </w:tc>
        <w:tc>
          <w:tcPr>
            <w:tcW w:w="1696" w:type="dxa"/>
            <w:tcBorders>
              <w:top w:val="single" w:sz="4" w:space="0" w:color="000000"/>
              <w:left w:val="single" w:sz="4" w:space="0" w:color="000000"/>
              <w:bottom w:val="single" w:sz="4" w:space="0" w:color="000000"/>
              <w:right w:val="single" w:sz="4" w:space="0" w:color="000000"/>
            </w:tcBorders>
          </w:tcPr>
          <w:p w14:paraId="0087BE3E" w14:textId="77777777" w:rsidR="00D61DC8" w:rsidRDefault="00086E62">
            <w:pPr>
              <w:spacing w:after="0" w:line="259" w:lineRule="auto"/>
              <w:ind w:left="0" w:firstLine="0"/>
            </w:pPr>
            <w:r>
              <w:rPr>
                <w:sz w:val="20"/>
              </w:rPr>
              <w:t xml:space="preserve">↓ peso, IMC, </w:t>
            </w:r>
          </w:p>
          <w:p w14:paraId="7299F54F" w14:textId="77777777" w:rsidR="00D61DC8" w:rsidRDefault="00086E62">
            <w:pPr>
              <w:spacing w:after="0" w:line="259" w:lineRule="auto"/>
              <w:ind w:left="0" w:firstLine="0"/>
            </w:pPr>
            <w:r>
              <w:rPr>
                <w:sz w:val="20"/>
              </w:rPr>
              <w:t xml:space="preserve">LDL e TG </w:t>
            </w:r>
          </w:p>
        </w:tc>
      </w:tr>
      <w:tr w:rsidR="00D61DC8" w14:paraId="72FFD84F" w14:textId="77777777">
        <w:trPr>
          <w:trHeight w:val="930"/>
        </w:trPr>
        <w:tc>
          <w:tcPr>
            <w:tcW w:w="846" w:type="dxa"/>
            <w:tcBorders>
              <w:top w:val="single" w:sz="4" w:space="0" w:color="000000"/>
              <w:left w:val="single" w:sz="4" w:space="0" w:color="000000"/>
              <w:bottom w:val="single" w:sz="4" w:space="0" w:color="000000"/>
              <w:right w:val="single" w:sz="4" w:space="0" w:color="000000"/>
            </w:tcBorders>
          </w:tcPr>
          <w:p w14:paraId="13CCA9D9" w14:textId="77777777" w:rsidR="00D61DC8" w:rsidRDefault="00086E62">
            <w:pPr>
              <w:spacing w:after="0" w:line="259" w:lineRule="auto"/>
              <w:ind w:left="0" w:firstLine="0"/>
              <w:jc w:val="both"/>
            </w:pPr>
            <w:r>
              <w:rPr>
                <w:sz w:val="20"/>
              </w:rPr>
              <w:t xml:space="preserve">Mason </w:t>
            </w:r>
          </w:p>
          <w:p w14:paraId="2D9C93F1" w14:textId="77777777" w:rsidR="00D61DC8" w:rsidRDefault="00086E62">
            <w:pPr>
              <w:spacing w:after="0" w:line="259" w:lineRule="auto"/>
              <w:ind w:left="0" w:firstLine="0"/>
            </w:pPr>
            <w:r>
              <w:rPr>
                <w:sz w:val="20"/>
              </w:rPr>
              <w:t xml:space="preserve">et al., </w:t>
            </w:r>
          </w:p>
          <w:p w14:paraId="6AE46189" w14:textId="77777777" w:rsidR="00D61DC8" w:rsidRDefault="00086E62">
            <w:pPr>
              <w:spacing w:after="0" w:line="259" w:lineRule="auto"/>
              <w:ind w:left="0" w:firstLine="0"/>
            </w:pPr>
            <w:r>
              <w:rPr>
                <w:sz w:val="20"/>
              </w:rPr>
              <w:t xml:space="preserve">2021 </w:t>
            </w:r>
          </w:p>
        </w:tc>
        <w:tc>
          <w:tcPr>
            <w:tcW w:w="996" w:type="dxa"/>
            <w:tcBorders>
              <w:top w:val="single" w:sz="4" w:space="0" w:color="000000"/>
              <w:left w:val="single" w:sz="4" w:space="0" w:color="000000"/>
              <w:bottom w:val="single" w:sz="4" w:space="0" w:color="000000"/>
              <w:right w:val="single" w:sz="4" w:space="0" w:color="000000"/>
            </w:tcBorders>
          </w:tcPr>
          <w:p w14:paraId="567EAE91" w14:textId="77777777" w:rsidR="00D61DC8" w:rsidRDefault="00086E62">
            <w:pPr>
              <w:spacing w:after="0" w:line="259" w:lineRule="auto"/>
              <w:ind w:left="5" w:firstLine="0"/>
            </w:pPr>
            <w:r>
              <w:rPr>
                <w:sz w:val="20"/>
              </w:rPr>
              <w:t xml:space="preserve">ECR </w:t>
            </w:r>
          </w:p>
          <w:p w14:paraId="54FBDCCC" w14:textId="77777777" w:rsidR="00D61DC8" w:rsidRDefault="00086E62">
            <w:pPr>
              <w:spacing w:after="0" w:line="259" w:lineRule="auto"/>
              <w:ind w:left="5" w:firstLine="0"/>
            </w:pPr>
            <w:r>
              <w:rPr>
                <w:sz w:val="20"/>
              </w:rPr>
              <w:t xml:space="preserve">cruzado </w:t>
            </w:r>
          </w:p>
        </w:tc>
        <w:tc>
          <w:tcPr>
            <w:tcW w:w="850" w:type="dxa"/>
            <w:tcBorders>
              <w:top w:val="single" w:sz="4" w:space="0" w:color="000000"/>
              <w:left w:val="single" w:sz="4" w:space="0" w:color="000000"/>
              <w:bottom w:val="single" w:sz="4" w:space="0" w:color="000000"/>
              <w:right w:val="single" w:sz="4" w:space="0" w:color="000000"/>
            </w:tcBorders>
          </w:tcPr>
          <w:p w14:paraId="5D525C11" w14:textId="77777777" w:rsidR="00D61DC8" w:rsidRDefault="00086E62">
            <w:pPr>
              <w:spacing w:after="0" w:line="259" w:lineRule="auto"/>
              <w:ind w:left="0" w:firstLine="0"/>
            </w:pPr>
            <w:r>
              <w:rPr>
                <w:sz w:val="20"/>
              </w:rPr>
              <w:t xml:space="preserve">EUA </w:t>
            </w:r>
          </w:p>
        </w:tc>
        <w:tc>
          <w:tcPr>
            <w:tcW w:w="1276" w:type="dxa"/>
            <w:tcBorders>
              <w:top w:val="single" w:sz="4" w:space="0" w:color="000000"/>
              <w:left w:val="single" w:sz="4" w:space="0" w:color="000000"/>
              <w:bottom w:val="single" w:sz="4" w:space="0" w:color="000000"/>
              <w:right w:val="single" w:sz="4" w:space="0" w:color="000000"/>
            </w:tcBorders>
          </w:tcPr>
          <w:p w14:paraId="3BA2EFD6" w14:textId="77777777" w:rsidR="00D61DC8" w:rsidRDefault="00086E62">
            <w:pPr>
              <w:spacing w:after="0" w:line="259" w:lineRule="auto"/>
              <w:ind w:left="0" w:firstLine="0"/>
            </w:pPr>
            <w:r>
              <w:rPr>
                <w:sz w:val="20"/>
              </w:rPr>
              <w:t xml:space="preserve">n=24 sobrepeso </w:t>
            </w:r>
          </w:p>
        </w:tc>
        <w:tc>
          <w:tcPr>
            <w:tcW w:w="1275" w:type="dxa"/>
            <w:tcBorders>
              <w:top w:val="single" w:sz="4" w:space="0" w:color="000000"/>
              <w:left w:val="single" w:sz="4" w:space="0" w:color="000000"/>
              <w:bottom w:val="single" w:sz="4" w:space="0" w:color="000000"/>
              <w:right w:val="single" w:sz="4" w:space="0" w:color="000000"/>
            </w:tcBorders>
          </w:tcPr>
          <w:p w14:paraId="74D7C1A6" w14:textId="77777777" w:rsidR="00D61DC8" w:rsidRDefault="00086E62">
            <w:pPr>
              <w:spacing w:after="0" w:line="259" w:lineRule="auto"/>
              <w:ind w:left="0" w:right="13" w:firstLine="0"/>
            </w:pPr>
            <w:r>
              <w:rPr>
                <w:sz w:val="20"/>
              </w:rPr>
              <w:t xml:space="preserve">Dieta vegana com ou sem azeite </w:t>
            </w:r>
          </w:p>
        </w:tc>
        <w:tc>
          <w:tcPr>
            <w:tcW w:w="991" w:type="dxa"/>
            <w:tcBorders>
              <w:top w:val="single" w:sz="4" w:space="0" w:color="000000"/>
              <w:left w:val="single" w:sz="4" w:space="0" w:color="000000"/>
              <w:bottom w:val="single" w:sz="4" w:space="0" w:color="000000"/>
              <w:right w:val="single" w:sz="4" w:space="0" w:color="000000"/>
            </w:tcBorders>
          </w:tcPr>
          <w:p w14:paraId="142D0680" w14:textId="77777777" w:rsidR="00D61DC8" w:rsidRDefault="00086E62">
            <w:pPr>
              <w:spacing w:after="0" w:line="259" w:lineRule="auto"/>
              <w:ind w:left="0" w:firstLine="0"/>
            </w:pPr>
            <w:r>
              <w:rPr>
                <w:sz w:val="20"/>
              </w:rPr>
              <w:t xml:space="preserve">Azeite extra virgem </w:t>
            </w:r>
          </w:p>
        </w:tc>
        <w:tc>
          <w:tcPr>
            <w:tcW w:w="1135" w:type="dxa"/>
            <w:tcBorders>
              <w:top w:val="single" w:sz="4" w:space="0" w:color="000000"/>
              <w:left w:val="single" w:sz="4" w:space="0" w:color="000000"/>
              <w:bottom w:val="single" w:sz="4" w:space="0" w:color="000000"/>
              <w:right w:val="single" w:sz="4" w:space="0" w:color="000000"/>
            </w:tcBorders>
          </w:tcPr>
          <w:p w14:paraId="1E5F2675" w14:textId="77777777" w:rsidR="00D61DC8" w:rsidRDefault="00086E62">
            <w:pPr>
              <w:spacing w:after="0" w:line="259" w:lineRule="auto"/>
              <w:ind w:left="5" w:firstLine="0"/>
            </w:pPr>
            <w:r>
              <w:rPr>
                <w:sz w:val="20"/>
              </w:rPr>
              <w:t xml:space="preserve">2 </w:t>
            </w:r>
          </w:p>
          <w:p w14:paraId="435314B2" w14:textId="77777777" w:rsidR="00D61DC8" w:rsidRDefault="00086E62">
            <w:pPr>
              <w:spacing w:after="0" w:line="259" w:lineRule="auto"/>
              <w:ind w:left="5" w:firstLine="0"/>
            </w:pPr>
            <w:r>
              <w:rPr>
                <w:sz w:val="20"/>
              </w:rPr>
              <w:t xml:space="preserve">semanas </w:t>
            </w:r>
          </w:p>
        </w:tc>
        <w:tc>
          <w:tcPr>
            <w:tcW w:w="1696" w:type="dxa"/>
            <w:tcBorders>
              <w:top w:val="single" w:sz="4" w:space="0" w:color="000000"/>
              <w:left w:val="single" w:sz="4" w:space="0" w:color="000000"/>
              <w:bottom w:val="single" w:sz="4" w:space="0" w:color="000000"/>
              <w:right w:val="single" w:sz="4" w:space="0" w:color="000000"/>
            </w:tcBorders>
          </w:tcPr>
          <w:p w14:paraId="654DC15C" w14:textId="77777777" w:rsidR="00D61DC8" w:rsidRDefault="00086E62">
            <w:pPr>
              <w:spacing w:after="0" w:line="259" w:lineRule="auto"/>
              <w:ind w:left="0" w:firstLine="0"/>
            </w:pPr>
            <w:r>
              <w:rPr>
                <w:sz w:val="20"/>
              </w:rPr>
              <w:t>Sem azeite → maior ↓ LDL</w:t>
            </w:r>
            <w:r>
              <w:rPr>
                <w:sz w:val="20"/>
              </w:rPr>
              <w:t xml:space="preserve"> </w:t>
            </w:r>
          </w:p>
        </w:tc>
      </w:tr>
      <w:tr w:rsidR="00D61DC8" w14:paraId="18DDD82E" w14:textId="77777777">
        <w:trPr>
          <w:trHeight w:val="1161"/>
        </w:trPr>
        <w:tc>
          <w:tcPr>
            <w:tcW w:w="846" w:type="dxa"/>
            <w:tcBorders>
              <w:top w:val="single" w:sz="4" w:space="0" w:color="000000"/>
              <w:left w:val="single" w:sz="4" w:space="0" w:color="000000"/>
              <w:bottom w:val="single" w:sz="4" w:space="0" w:color="000000"/>
              <w:right w:val="single" w:sz="4" w:space="0" w:color="000000"/>
            </w:tcBorders>
          </w:tcPr>
          <w:p w14:paraId="5C1A527F" w14:textId="77777777" w:rsidR="00D61DC8" w:rsidRDefault="00086E62">
            <w:pPr>
              <w:spacing w:after="0" w:line="259" w:lineRule="auto"/>
              <w:ind w:left="0" w:firstLine="0"/>
            </w:pPr>
            <w:r>
              <w:rPr>
                <w:sz w:val="20"/>
              </w:rPr>
              <w:t xml:space="preserve">Micha </w:t>
            </w:r>
          </w:p>
          <w:p w14:paraId="78DBBF74" w14:textId="77777777" w:rsidR="00D61DC8" w:rsidRDefault="00086E62">
            <w:pPr>
              <w:spacing w:after="0" w:line="259" w:lineRule="auto"/>
              <w:ind w:left="0" w:firstLine="0"/>
            </w:pPr>
            <w:r>
              <w:rPr>
                <w:sz w:val="20"/>
              </w:rPr>
              <w:t xml:space="preserve">et al., </w:t>
            </w:r>
          </w:p>
          <w:p w14:paraId="214CC5DF" w14:textId="77777777" w:rsidR="00D61DC8" w:rsidRDefault="00086E62">
            <w:pPr>
              <w:spacing w:after="0" w:line="259" w:lineRule="auto"/>
              <w:ind w:left="0" w:firstLine="0"/>
            </w:pPr>
            <w:r>
              <w:rPr>
                <w:sz w:val="20"/>
              </w:rPr>
              <w:t xml:space="preserve">2021 </w:t>
            </w:r>
          </w:p>
        </w:tc>
        <w:tc>
          <w:tcPr>
            <w:tcW w:w="996" w:type="dxa"/>
            <w:tcBorders>
              <w:top w:val="single" w:sz="4" w:space="0" w:color="000000"/>
              <w:left w:val="single" w:sz="4" w:space="0" w:color="000000"/>
              <w:bottom w:val="single" w:sz="4" w:space="0" w:color="000000"/>
              <w:right w:val="single" w:sz="4" w:space="0" w:color="000000"/>
            </w:tcBorders>
          </w:tcPr>
          <w:p w14:paraId="194FB1BD" w14:textId="77777777" w:rsidR="00D61DC8" w:rsidRDefault="00086E62">
            <w:pPr>
              <w:spacing w:after="0" w:line="259" w:lineRule="auto"/>
              <w:ind w:left="5" w:firstLine="0"/>
            </w:pPr>
            <w:r>
              <w:rPr>
                <w:sz w:val="20"/>
              </w:rPr>
              <w:t xml:space="preserve">Revisão sistemát ica </w:t>
            </w:r>
          </w:p>
        </w:tc>
        <w:tc>
          <w:tcPr>
            <w:tcW w:w="850" w:type="dxa"/>
            <w:tcBorders>
              <w:top w:val="single" w:sz="4" w:space="0" w:color="000000"/>
              <w:left w:val="single" w:sz="4" w:space="0" w:color="000000"/>
              <w:bottom w:val="single" w:sz="4" w:space="0" w:color="000000"/>
              <w:right w:val="single" w:sz="4" w:space="0" w:color="000000"/>
            </w:tcBorders>
          </w:tcPr>
          <w:p w14:paraId="21625C34" w14:textId="77777777" w:rsidR="00D61DC8" w:rsidRDefault="00086E62">
            <w:pPr>
              <w:spacing w:after="0" w:line="259" w:lineRule="auto"/>
              <w:ind w:left="0" w:firstLine="0"/>
            </w:pPr>
            <w:r>
              <w:rPr>
                <w:sz w:val="20"/>
              </w:rPr>
              <w:t xml:space="preserve">Global </w:t>
            </w:r>
          </w:p>
        </w:tc>
        <w:tc>
          <w:tcPr>
            <w:tcW w:w="1276" w:type="dxa"/>
            <w:tcBorders>
              <w:top w:val="single" w:sz="4" w:space="0" w:color="000000"/>
              <w:left w:val="single" w:sz="4" w:space="0" w:color="000000"/>
              <w:bottom w:val="single" w:sz="4" w:space="0" w:color="000000"/>
              <w:right w:val="single" w:sz="4" w:space="0" w:color="000000"/>
            </w:tcBorders>
          </w:tcPr>
          <w:p w14:paraId="557807BD" w14:textId="77777777" w:rsidR="00D61DC8" w:rsidRDefault="00086E62">
            <w:pPr>
              <w:spacing w:after="0" w:line="259" w:lineRule="auto"/>
              <w:ind w:left="0" w:firstLine="0"/>
            </w:pPr>
            <w:r>
              <w:rPr>
                <w:sz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78CDB71F" w14:textId="77777777" w:rsidR="00D61DC8" w:rsidRDefault="00086E62">
            <w:pPr>
              <w:spacing w:after="0" w:line="240" w:lineRule="auto"/>
              <w:ind w:left="0" w:right="15" w:firstLine="0"/>
            </w:pPr>
            <w:r>
              <w:rPr>
                <w:sz w:val="20"/>
              </w:rPr>
              <w:t xml:space="preserve">Impacto dos óleos na saúde </w:t>
            </w:r>
          </w:p>
          <w:p w14:paraId="06F71BD3" w14:textId="77777777" w:rsidR="00D61DC8" w:rsidRDefault="00086E62">
            <w:pPr>
              <w:spacing w:after="0" w:line="259" w:lineRule="auto"/>
              <w:ind w:left="0" w:firstLine="0"/>
            </w:pPr>
            <w:r>
              <w:rPr>
                <w:sz w:val="20"/>
              </w:rPr>
              <w:t xml:space="preserve">cardiovasc ular </w:t>
            </w:r>
          </w:p>
        </w:tc>
        <w:tc>
          <w:tcPr>
            <w:tcW w:w="991" w:type="dxa"/>
            <w:tcBorders>
              <w:top w:val="single" w:sz="4" w:space="0" w:color="000000"/>
              <w:left w:val="single" w:sz="4" w:space="0" w:color="000000"/>
              <w:bottom w:val="single" w:sz="4" w:space="0" w:color="000000"/>
              <w:right w:val="single" w:sz="4" w:space="0" w:color="000000"/>
            </w:tcBorders>
          </w:tcPr>
          <w:p w14:paraId="50F30EFF" w14:textId="77777777" w:rsidR="00D61DC8" w:rsidRDefault="00086E62">
            <w:pPr>
              <w:spacing w:after="0" w:line="259" w:lineRule="auto"/>
              <w:ind w:left="0" w:firstLine="0"/>
            </w:pPr>
            <w:r>
              <w:rPr>
                <w:sz w:val="20"/>
              </w:rPr>
              <w:t xml:space="preserve">Diferent es óleos </w:t>
            </w:r>
          </w:p>
        </w:tc>
        <w:tc>
          <w:tcPr>
            <w:tcW w:w="1135" w:type="dxa"/>
            <w:tcBorders>
              <w:top w:val="single" w:sz="4" w:space="0" w:color="000000"/>
              <w:left w:val="single" w:sz="4" w:space="0" w:color="000000"/>
              <w:bottom w:val="single" w:sz="4" w:space="0" w:color="000000"/>
              <w:right w:val="single" w:sz="4" w:space="0" w:color="000000"/>
            </w:tcBorders>
          </w:tcPr>
          <w:p w14:paraId="17931FF6" w14:textId="77777777" w:rsidR="00D61DC8" w:rsidRDefault="00086E62">
            <w:pPr>
              <w:spacing w:after="0" w:line="259" w:lineRule="auto"/>
              <w:ind w:left="5" w:right="19" w:firstLine="0"/>
            </w:pPr>
            <w:r>
              <w:rPr>
                <w:sz w:val="20"/>
              </w:rPr>
              <w:t xml:space="preserve">Análise de 300 estudos </w:t>
            </w:r>
          </w:p>
        </w:tc>
        <w:tc>
          <w:tcPr>
            <w:tcW w:w="1696" w:type="dxa"/>
            <w:tcBorders>
              <w:top w:val="single" w:sz="4" w:space="0" w:color="000000"/>
              <w:left w:val="single" w:sz="4" w:space="0" w:color="000000"/>
              <w:bottom w:val="single" w:sz="4" w:space="0" w:color="000000"/>
              <w:right w:val="single" w:sz="4" w:space="0" w:color="000000"/>
            </w:tcBorders>
          </w:tcPr>
          <w:p w14:paraId="023DD33F" w14:textId="77777777" w:rsidR="00D61DC8" w:rsidRDefault="00086E62">
            <w:pPr>
              <w:spacing w:after="0" w:line="259" w:lineRule="auto"/>
              <w:ind w:left="0" w:firstLine="0"/>
            </w:pPr>
            <w:r>
              <w:rPr>
                <w:sz w:val="20"/>
              </w:rPr>
              <w:t xml:space="preserve">Evidência de benefício com óleos vegetais não refinados </w:t>
            </w:r>
          </w:p>
        </w:tc>
      </w:tr>
      <w:tr w:rsidR="00D61DC8" w14:paraId="34CC6D5E" w14:textId="77777777">
        <w:trPr>
          <w:trHeight w:val="930"/>
        </w:trPr>
        <w:tc>
          <w:tcPr>
            <w:tcW w:w="846" w:type="dxa"/>
            <w:tcBorders>
              <w:top w:val="single" w:sz="4" w:space="0" w:color="000000"/>
              <w:left w:val="single" w:sz="4" w:space="0" w:color="000000"/>
              <w:bottom w:val="single" w:sz="4" w:space="0" w:color="000000"/>
              <w:right w:val="single" w:sz="4" w:space="0" w:color="000000"/>
            </w:tcBorders>
          </w:tcPr>
          <w:p w14:paraId="11BB0A59" w14:textId="77777777" w:rsidR="00D61DC8" w:rsidRDefault="00086E62">
            <w:pPr>
              <w:spacing w:after="0" w:line="259" w:lineRule="auto"/>
              <w:ind w:left="0" w:firstLine="0"/>
            </w:pPr>
            <w:r>
              <w:rPr>
                <w:sz w:val="20"/>
              </w:rPr>
              <w:t xml:space="preserve">Lopes </w:t>
            </w:r>
          </w:p>
          <w:p w14:paraId="4F88B433" w14:textId="77777777" w:rsidR="00D61DC8" w:rsidRDefault="00086E62">
            <w:pPr>
              <w:spacing w:after="0" w:line="259" w:lineRule="auto"/>
              <w:ind w:left="0" w:firstLine="0"/>
            </w:pPr>
            <w:r>
              <w:rPr>
                <w:sz w:val="20"/>
              </w:rPr>
              <w:t xml:space="preserve">et al., </w:t>
            </w:r>
          </w:p>
          <w:p w14:paraId="4A75E763" w14:textId="77777777" w:rsidR="00D61DC8" w:rsidRDefault="00086E62">
            <w:pPr>
              <w:spacing w:after="0" w:line="259" w:lineRule="auto"/>
              <w:ind w:left="0" w:firstLine="0"/>
            </w:pPr>
            <w:r>
              <w:rPr>
                <w:sz w:val="20"/>
              </w:rPr>
              <w:t xml:space="preserve">2020 </w:t>
            </w:r>
          </w:p>
        </w:tc>
        <w:tc>
          <w:tcPr>
            <w:tcW w:w="996" w:type="dxa"/>
            <w:tcBorders>
              <w:top w:val="single" w:sz="4" w:space="0" w:color="000000"/>
              <w:left w:val="single" w:sz="4" w:space="0" w:color="000000"/>
              <w:bottom w:val="single" w:sz="4" w:space="0" w:color="000000"/>
              <w:right w:val="single" w:sz="4" w:space="0" w:color="000000"/>
            </w:tcBorders>
          </w:tcPr>
          <w:p w14:paraId="283A9928" w14:textId="77777777" w:rsidR="00D61DC8" w:rsidRDefault="00086E62">
            <w:pPr>
              <w:spacing w:after="0" w:line="259" w:lineRule="auto"/>
              <w:ind w:left="5" w:firstLine="0"/>
            </w:pPr>
            <w:r>
              <w:rPr>
                <w:sz w:val="20"/>
              </w:rPr>
              <w:t xml:space="preserve">ECR cego </w:t>
            </w:r>
          </w:p>
        </w:tc>
        <w:tc>
          <w:tcPr>
            <w:tcW w:w="850" w:type="dxa"/>
            <w:tcBorders>
              <w:top w:val="single" w:sz="4" w:space="0" w:color="000000"/>
              <w:left w:val="single" w:sz="4" w:space="0" w:color="000000"/>
              <w:bottom w:val="single" w:sz="4" w:space="0" w:color="000000"/>
              <w:right w:val="single" w:sz="4" w:space="0" w:color="000000"/>
            </w:tcBorders>
          </w:tcPr>
          <w:p w14:paraId="6B12655A" w14:textId="77777777" w:rsidR="00D61DC8" w:rsidRDefault="00086E62">
            <w:pPr>
              <w:spacing w:after="0" w:line="259" w:lineRule="auto"/>
              <w:ind w:left="0" w:firstLine="0"/>
            </w:pPr>
            <w:r>
              <w:rPr>
                <w:sz w:val="20"/>
              </w:rPr>
              <w:t xml:space="preserve">Brasil </w:t>
            </w:r>
          </w:p>
        </w:tc>
        <w:tc>
          <w:tcPr>
            <w:tcW w:w="1276" w:type="dxa"/>
            <w:tcBorders>
              <w:top w:val="single" w:sz="4" w:space="0" w:color="000000"/>
              <w:left w:val="single" w:sz="4" w:space="0" w:color="000000"/>
              <w:bottom w:val="single" w:sz="4" w:space="0" w:color="000000"/>
              <w:right w:val="single" w:sz="4" w:space="0" w:color="000000"/>
            </w:tcBorders>
          </w:tcPr>
          <w:p w14:paraId="3BC71506" w14:textId="77777777" w:rsidR="00D61DC8" w:rsidRDefault="00086E62">
            <w:pPr>
              <w:spacing w:after="0" w:line="259" w:lineRule="auto"/>
              <w:ind w:left="0" w:firstLine="0"/>
            </w:pPr>
            <w:r>
              <w:rPr>
                <w:sz w:val="20"/>
              </w:rPr>
              <w:t xml:space="preserve">n=80 adultos </w:t>
            </w:r>
          </w:p>
        </w:tc>
        <w:tc>
          <w:tcPr>
            <w:tcW w:w="1275" w:type="dxa"/>
            <w:tcBorders>
              <w:top w:val="single" w:sz="4" w:space="0" w:color="000000"/>
              <w:left w:val="single" w:sz="4" w:space="0" w:color="000000"/>
              <w:bottom w:val="single" w:sz="4" w:space="0" w:color="000000"/>
              <w:right w:val="single" w:sz="4" w:space="0" w:color="000000"/>
            </w:tcBorders>
          </w:tcPr>
          <w:p w14:paraId="5F7E4D3C" w14:textId="77777777" w:rsidR="00D61DC8" w:rsidRDefault="00086E62">
            <w:pPr>
              <w:spacing w:after="0" w:line="259" w:lineRule="auto"/>
              <w:ind w:left="0" w:firstLine="0"/>
            </w:pPr>
            <w:r>
              <w:rPr>
                <w:sz w:val="20"/>
              </w:rPr>
              <w:t xml:space="preserve">Efeito de óleo de girassol ozonizado </w:t>
            </w:r>
          </w:p>
        </w:tc>
        <w:tc>
          <w:tcPr>
            <w:tcW w:w="991" w:type="dxa"/>
            <w:tcBorders>
              <w:top w:val="single" w:sz="4" w:space="0" w:color="000000"/>
              <w:left w:val="single" w:sz="4" w:space="0" w:color="000000"/>
              <w:bottom w:val="single" w:sz="4" w:space="0" w:color="000000"/>
              <w:right w:val="single" w:sz="4" w:space="0" w:color="000000"/>
            </w:tcBorders>
          </w:tcPr>
          <w:p w14:paraId="0B65F0A2" w14:textId="77777777" w:rsidR="00D61DC8" w:rsidRDefault="00086E62">
            <w:pPr>
              <w:spacing w:after="0" w:line="259" w:lineRule="auto"/>
              <w:ind w:left="0" w:firstLine="0"/>
            </w:pPr>
            <w:r>
              <w:rPr>
                <w:sz w:val="20"/>
              </w:rPr>
              <w:t xml:space="preserve">Óleo de girassol </w:t>
            </w:r>
          </w:p>
        </w:tc>
        <w:tc>
          <w:tcPr>
            <w:tcW w:w="1135" w:type="dxa"/>
            <w:tcBorders>
              <w:top w:val="single" w:sz="4" w:space="0" w:color="000000"/>
              <w:left w:val="single" w:sz="4" w:space="0" w:color="000000"/>
              <w:bottom w:val="single" w:sz="4" w:space="0" w:color="000000"/>
              <w:right w:val="single" w:sz="4" w:space="0" w:color="000000"/>
            </w:tcBorders>
          </w:tcPr>
          <w:p w14:paraId="60CD37AA" w14:textId="77777777" w:rsidR="00D61DC8" w:rsidRDefault="00086E62">
            <w:pPr>
              <w:spacing w:after="0" w:line="259" w:lineRule="auto"/>
              <w:ind w:left="5" w:firstLine="0"/>
            </w:pPr>
            <w:r>
              <w:rPr>
                <w:sz w:val="20"/>
              </w:rPr>
              <w:t xml:space="preserve">12 semanas </w:t>
            </w:r>
          </w:p>
        </w:tc>
        <w:tc>
          <w:tcPr>
            <w:tcW w:w="1696" w:type="dxa"/>
            <w:tcBorders>
              <w:top w:val="single" w:sz="4" w:space="0" w:color="000000"/>
              <w:left w:val="single" w:sz="4" w:space="0" w:color="000000"/>
              <w:bottom w:val="single" w:sz="4" w:space="0" w:color="000000"/>
              <w:right w:val="single" w:sz="4" w:space="0" w:color="000000"/>
            </w:tcBorders>
          </w:tcPr>
          <w:p w14:paraId="3BDD532B" w14:textId="77777777" w:rsidR="00D61DC8" w:rsidRDefault="00086E62">
            <w:pPr>
              <w:spacing w:after="0" w:line="259" w:lineRule="auto"/>
              <w:ind w:left="0" w:firstLine="0"/>
              <w:jc w:val="both"/>
            </w:pPr>
            <w:r>
              <w:rPr>
                <w:sz w:val="20"/>
              </w:rPr>
              <w:t xml:space="preserve">↓ colesterol total </w:t>
            </w:r>
            <w:r>
              <w:rPr>
                <w:sz w:val="20"/>
              </w:rPr>
              <w:t xml:space="preserve">e LDL </w:t>
            </w:r>
          </w:p>
        </w:tc>
      </w:tr>
      <w:tr w:rsidR="00D61DC8" w14:paraId="391D63C6" w14:textId="77777777">
        <w:trPr>
          <w:trHeight w:val="1160"/>
        </w:trPr>
        <w:tc>
          <w:tcPr>
            <w:tcW w:w="846" w:type="dxa"/>
            <w:tcBorders>
              <w:top w:val="single" w:sz="4" w:space="0" w:color="000000"/>
              <w:left w:val="single" w:sz="4" w:space="0" w:color="000000"/>
              <w:bottom w:val="single" w:sz="4" w:space="0" w:color="000000"/>
              <w:right w:val="single" w:sz="4" w:space="0" w:color="000000"/>
            </w:tcBorders>
          </w:tcPr>
          <w:p w14:paraId="218C7356" w14:textId="77777777" w:rsidR="00D61DC8" w:rsidRDefault="00086E62">
            <w:pPr>
              <w:spacing w:after="0" w:line="240" w:lineRule="auto"/>
              <w:ind w:left="0" w:firstLine="0"/>
            </w:pPr>
            <w:r>
              <w:rPr>
                <w:sz w:val="20"/>
              </w:rPr>
              <w:t xml:space="preserve">Abdelh amid </w:t>
            </w:r>
          </w:p>
          <w:p w14:paraId="243168F6" w14:textId="77777777" w:rsidR="00D61DC8" w:rsidRDefault="00086E62">
            <w:pPr>
              <w:spacing w:after="0" w:line="259" w:lineRule="auto"/>
              <w:ind w:left="0" w:firstLine="0"/>
            </w:pPr>
            <w:r>
              <w:rPr>
                <w:sz w:val="20"/>
              </w:rPr>
              <w:t xml:space="preserve">et al., </w:t>
            </w:r>
          </w:p>
          <w:p w14:paraId="16945A1F" w14:textId="77777777" w:rsidR="00D61DC8" w:rsidRDefault="00086E62">
            <w:pPr>
              <w:spacing w:after="0" w:line="259" w:lineRule="auto"/>
              <w:ind w:left="0" w:firstLine="0"/>
            </w:pPr>
            <w:r>
              <w:rPr>
                <w:sz w:val="20"/>
              </w:rPr>
              <w:t xml:space="preserve">2020 </w:t>
            </w:r>
          </w:p>
        </w:tc>
        <w:tc>
          <w:tcPr>
            <w:tcW w:w="996" w:type="dxa"/>
            <w:tcBorders>
              <w:top w:val="single" w:sz="4" w:space="0" w:color="000000"/>
              <w:left w:val="single" w:sz="4" w:space="0" w:color="000000"/>
              <w:bottom w:val="single" w:sz="4" w:space="0" w:color="000000"/>
              <w:right w:val="single" w:sz="4" w:space="0" w:color="000000"/>
            </w:tcBorders>
          </w:tcPr>
          <w:p w14:paraId="545205F1" w14:textId="77777777" w:rsidR="00D61DC8" w:rsidRDefault="00086E62">
            <w:pPr>
              <w:spacing w:after="0" w:line="240" w:lineRule="auto"/>
              <w:ind w:left="5" w:firstLine="0"/>
            </w:pPr>
            <w:r>
              <w:rPr>
                <w:sz w:val="20"/>
              </w:rPr>
              <w:t xml:space="preserve">Revisão sistemát ica </w:t>
            </w:r>
          </w:p>
          <w:p w14:paraId="69BACE9B" w14:textId="77777777" w:rsidR="00D61DC8" w:rsidRDefault="00086E62">
            <w:pPr>
              <w:spacing w:after="0" w:line="259" w:lineRule="auto"/>
              <w:ind w:left="5" w:firstLine="0"/>
            </w:pPr>
            <w:r>
              <w:rPr>
                <w:sz w:val="20"/>
              </w:rPr>
              <w:t>Cochran</w:t>
            </w:r>
          </w:p>
          <w:p w14:paraId="3E950B44" w14:textId="77777777" w:rsidR="00D61DC8" w:rsidRDefault="00086E62">
            <w:pPr>
              <w:spacing w:after="0" w:line="259" w:lineRule="auto"/>
              <w:ind w:left="5" w:firstLine="0"/>
            </w:pPr>
            <w:r>
              <w:rPr>
                <w:sz w:val="20"/>
              </w:rPr>
              <w:t xml:space="preserve">e </w:t>
            </w:r>
          </w:p>
        </w:tc>
        <w:tc>
          <w:tcPr>
            <w:tcW w:w="850" w:type="dxa"/>
            <w:tcBorders>
              <w:top w:val="single" w:sz="4" w:space="0" w:color="000000"/>
              <w:left w:val="single" w:sz="4" w:space="0" w:color="000000"/>
              <w:bottom w:val="single" w:sz="4" w:space="0" w:color="000000"/>
              <w:right w:val="single" w:sz="4" w:space="0" w:color="000000"/>
            </w:tcBorders>
          </w:tcPr>
          <w:p w14:paraId="76DE0C50" w14:textId="77777777" w:rsidR="00D61DC8" w:rsidRDefault="00086E62">
            <w:pPr>
              <w:spacing w:after="0" w:line="259" w:lineRule="auto"/>
              <w:ind w:left="0" w:firstLine="0"/>
            </w:pPr>
            <w:r>
              <w:rPr>
                <w:sz w:val="20"/>
              </w:rPr>
              <w:t xml:space="preserve">Reino Unido </w:t>
            </w:r>
          </w:p>
        </w:tc>
        <w:tc>
          <w:tcPr>
            <w:tcW w:w="1276" w:type="dxa"/>
            <w:tcBorders>
              <w:top w:val="single" w:sz="4" w:space="0" w:color="000000"/>
              <w:left w:val="single" w:sz="4" w:space="0" w:color="000000"/>
              <w:bottom w:val="single" w:sz="4" w:space="0" w:color="000000"/>
              <w:right w:val="single" w:sz="4" w:space="0" w:color="000000"/>
            </w:tcBorders>
          </w:tcPr>
          <w:p w14:paraId="3F8B4662" w14:textId="77777777" w:rsidR="00D61DC8" w:rsidRDefault="00086E62">
            <w:pPr>
              <w:spacing w:after="0" w:line="259" w:lineRule="auto"/>
              <w:ind w:left="0" w:firstLine="0"/>
            </w:pPr>
            <w:r>
              <w:rPr>
                <w:sz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5D17F80A" w14:textId="77777777" w:rsidR="00D61DC8" w:rsidRDefault="00086E62">
            <w:pPr>
              <w:spacing w:after="0" w:line="259" w:lineRule="auto"/>
              <w:ind w:left="0" w:firstLine="0"/>
            </w:pPr>
            <w:r>
              <w:rPr>
                <w:sz w:val="20"/>
              </w:rPr>
              <w:t xml:space="preserve">Gorduras na dieta e risco cardiovasc ular </w:t>
            </w:r>
          </w:p>
        </w:tc>
        <w:tc>
          <w:tcPr>
            <w:tcW w:w="991" w:type="dxa"/>
            <w:tcBorders>
              <w:top w:val="single" w:sz="4" w:space="0" w:color="000000"/>
              <w:left w:val="single" w:sz="4" w:space="0" w:color="000000"/>
              <w:bottom w:val="single" w:sz="4" w:space="0" w:color="000000"/>
              <w:right w:val="single" w:sz="4" w:space="0" w:color="000000"/>
            </w:tcBorders>
          </w:tcPr>
          <w:p w14:paraId="7B937AAF" w14:textId="77777777" w:rsidR="00D61DC8" w:rsidRDefault="00086E62">
            <w:pPr>
              <w:spacing w:after="0" w:line="259" w:lineRule="auto"/>
              <w:ind w:left="0" w:firstLine="0"/>
            </w:pPr>
            <w:r>
              <w:rPr>
                <w:sz w:val="20"/>
              </w:rPr>
              <w:t xml:space="preserve">Saturad as vs. insatura das </w:t>
            </w:r>
          </w:p>
        </w:tc>
        <w:tc>
          <w:tcPr>
            <w:tcW w:w="1135" w:type="dxa"/>
            <w:tcBorders>
              <w:top w:val="single" w:sz="4" w:space="0" w:color="000000"/>
              <w:left w:val="single" w:sz="4" w:space="0" w:color="000000"/>
              <w:bottom w:val="single" w:sz="4" w:space="0" w:color="000000"/>
              <w:right w:val="single" w:sz="4" w:space="0" w:color="000000"/>
            </w:tcBorders>
          </w:tcPr>
          <w:p w14:paraId="63D690B8" w14:textId="77777777" w:rsidR="00D61DC8" w:rsidRDefault="00086E62">
            <w:pPr>
              <w:spacing w:after="0" w:line="259" w:lineRule="auto"/>
              <w:ind w:left="5" w:right="19" w:firstLine="0"/>
            </w:pPr>
            <w:r>
              <w:rPr>
                <w:sz w:val="20"/>
              </w:rPr>
              <w:t xml:space="preserve">Análise de 83 ensaios </w:t>
            </w:r>
          </w:p>
        </w:tc>
        <w:tc>
          <w:tcPr>
            <w:tcW w:w="1696" w:type="dxa"/>
            <w:tcBorders>
              <w:top w:val="single" w:sz="4" w:space="0" w:color="000000"/>
              <w:left w:val="single" w:sz="4" w:space="0" w:color="000000"/>
              <w:bottom w:val="single" w:sz="4" w:space="0" w:color="000000"/>
              <w:right w:val="single" w:sz="4" w:space="0" w:color="000000"/>
            </w:tcBorders>
          </w:tcPr>
          <w:p w14:paraId="397ADA81" w14:textId="77777777" w:rsidR="00D61DC8" w:rsidRDefault="00086E62">
            <w:pPr>
              <w:spacing w:after="0" w:line="259" w:lineRule="auto"/>
              <w:ind w:left="0" w:right="119" w:firstLine="0"/>
              <w:jc w:val="both"/>
            </w:pPr>
            <w:r>
              <w:rPr>
                <w:sz w:val="20"/>
              </w:rPr>
              <w:t xml:space="preserve">↓ risco com </w:t>
            </w:r>
            <w:r>
              <w:rPr>
                <w:sz w:val="20"/>
              </w:rPr>
              <w:t xml:space="preserve">substituição por insaturadas </w:t>
            </w:r>
          </w:p>
        </w:tc>
      </w:tr>
      <w:tr w:rsidR="00D61DC8" w14:paraId="071D9345" w14:textId="77777777">
        <w:trPr>
          <w:trHeight w:val="240"/>
        </w:trPr>
        <w:tc>
          <w:tcPr>
            <w:tcW w:w="846" w:type="dxa"/>
            <w:tcBorders>
              <w:top w:val="single" w:sz="4" w:space="0" w:color="000000"/>
              <w:left w:val="single" w:sz="4" w:space="0" w:color="000000"/>
              <w:bottom w:val="single" w:sz="4" w:space="0" w:color="000000"/>
              <w:right w:val="single" w:sz="4" w:space="0" w:color="000000"/>
            </w:tcBorders>
          </w:tcPr>
          <w:p w14:paraId="378985C3" w14:textId="77777777" w:rsidR="00D61DC8" w:rsidRDefault="00086E62">
            <w:pPr>
              <w:spacing w:after="0" w:line="259" w:lineRule="auto"/>
              <w:ind w:left="0" w:firstLine="0"/>
            </w:pPr>
            <w:r>
              <w:rPr>
                <w:sz w:val="20"/>
              </w:rPr>
              <w:t xml:space="preserve">Silva </w:t>
            </w:r>
          </w:p>
        </w:tc>
        <w:tc>
          <w:tcPr>
            <w:tcW w:w="996" w:type="dxa"/>
            <w:tcBorders>
              <w:top w:val="single" w:sz="4" w:space="0" w:color="000000"/>
              <w:left w:val="single" w:sz="4" w:space="0" w:color="000000"/>
              <w:bottom w:val="single" w:sz="4" w:space="0" w:color="000000"/>
              <w:right w:val="single" w:sz="4" w:space="0" w:color="000000"/>
            </w:tcBorders>
          </w:tcPr>
          <w:p w14:paraId="31DD53B8" w14:textId="77777777" w:rsidR="00D61DC8" w:rsidRDefault="00086E62">
            <w:pPr>
              <w:spacing w:after="0" w:line="259" w:lineRule="auto"/>
              <w:ind w:left="5" w:firstLine="0"/>
            </w:pPr>
            <w:r>
              <w:rPr>
                <w:sz w:val="20"/>
              </w:rPr>
              <w:t xml:space="preserve">Estudo </w:t>
            </w:r>
          </w:p>
        </w:tc>
        <w:tc>
          <w:tcPr>
            <w:tcW w:w="850" w:type="dxa"/>
            <w:tcBorders>
              <w:top w:val="single" w:sz="4" w:space="0" w:color="000000"/>
              <w:left w:val="single" w:sz="4" w:space="0" w:color="000000"/>
              <w:bottom w:val="single" w:sz="4" w:space="0" w:color="000000"/>
              <w:right w:val="single" w:sz="4" w:space="0" w:color="000000"/>
            </w:tcBorders>
          </w:tcPr>
          <w:p w14:paraId="12E1976F" w14:textId="77777777" w:rsidR="00D61DC8" w:rsidRDefault="00086E62">
            <w:pPr>
              <w:spacing w:after="0" w:line="259" w:lineRule="auto"/>
              <w:ind w:left="0" w:firstLine="0"/>
            </w:pPr>
            <w:r>
              <w:rPr>
                <w:sz w:val="20"/>
              </w:rPr>
              <w:t xml:space="preserve">Brasil </w:t>
            </w:r>
          </w:p>
        </w:tc>
        <w:tc>
          <w:tcPr>
            <w:tcW w:w="1276" w:type="dxa"/>
            <w:tcBorders>
              <w:top w:val="single" w:sz="4" w:space="0" w:color="000000"/>
              <w:left w:val="single" w:sz="4" w:space="0" w:color="000000"/>
              <w:bottom w:val="single" w:sz="4" w:space="0" w:color="000000"/>
              <w:right w:val="single" w:sz="4" w:space="0" w:color="000000"/>
            </w:tcBorders>
          </w:tcPr>
          <w:p w14:paraId="737B2BC7" w14:textId="77777777" w:rsidR="00D61DC8" w:rsidRDefault="00086E62">
            <w:pPr>
              <w:spacing w:after="0" w:line="259" w:lineRule="auto"/>
              <w:ind w:left="0" w:firstLine="0"/>
            </w:pPr>
            <w:r>
              <w:rPr>
                <w:sz w:val="20"/>
              </w:rPr>
              <w:t xml:space="preserve">n=24 ratos </w:t>
            </w:r>
          </w:p>
        </w:tc>
        <w:tc>
          <w:tcPr>
            <w:tcW w:w="1275" w:type="dxa"/>
            <w:tcBorders>
              <w:top w:val="single" w:sz="4" w:space="0" w:color="000000"/>
              <w:left w:val="single" w:sz="4" w:space="0" w:color="000000"/>
              <w:bottom w:val="single" w:sz="4" w:space="0" w:color="000000"/>
              <w:right w:val="single" w:sz="4" w:space="0" w:color="000000"/>
            </w:tcBorders>
          </w:tcPr>
          <w:p w14:paraId="574B62CF" w14:textId="77777777" w:rsidR="00D61DC8" w:rsidRDefault="00086E62">
            <w:pPr>
              <w:spacing w:after="0" w:line="259" w:lineRule="auto"/>
              <w:ind w:left="0" w:firstLine="0"/>
            </w:pPr>
            <w:r>
              <w:rPr>
                <w:sz w:val="20"/>
              </w:rPr>
              <w:t xml:space="preserve">Analisar </w:t>
            </w:r>
          </w:p>
        </w:tc>
        <w:tc>
          <w:tcPr>
            <w:tcW w:w="991" w:type="dxa"/>
            <w:tcBorders>
              <w:top w:val="single" w:sz="4" w:space="0" w:color="000000"/>
              <w:left w:val="single" w:sz="4" w:space="0" w:color="000000"/>
              <w:bottom w:val="single" w:sz="4" w:space="0" w:color="000000"/>
              <w:right w:val="single" w:sz="4" w:space="0" w:color="000000"/>
            </w:tcBorders>
          </w:tcPr>
          <w:p w14:paraId="021A803C" w14:textId="77777777" w:rsidR="00D61DC8" w:rsidRDefault="00086E62">
            <w:pPr>
              <w:spacing w:after="0" w:line="259" w:lineRule="auto"/>
              <w:ind w:left="0" w:firstLine="0"/>
            </w:pPr>
            <w:r>
              <w:rPr>
                <w:sz w:val="20"/>
              </w:rPr>
              <w:t xml:space="preserve">Banha + </w:t>
            </w:r>
          </w:p>
        </w:tc>
        <w:tc>
          <w:tcPr>
            <w:tcW w:w="1135" w:type="dxa"/>
            <w:tcBorders>
              <w:top w:val="single" w:sz="4" w:space="0" w:color="000000"/>
              <w:left w:val="single" w:sz="4" w:space="0" w:color="000000"/>
              <w:bottom w:val="single" w:sz="4" w:space="0" w:color="000000"/>
              <w:right w:val="single" w:sz="4" w:space="0" w:color="000000"/>
            </w:tcBorders>
          </w:tcPr>
          <w:p w14:paraId="4DB639E4" w14:textId="77777777" w:rsidR="00D61DC8" w:rsidRDefault="00086E62">
            <w:pPr>
              <w:spacing w:after="0" w:line="259" w:lineRule="auto"/>
              <w:ind w:left="5" w:firstLine="0"/>
            </w:pPr>
            <w:r>
              <w:rPr>
                <w:sz w:val="20"/>
              </w:rPr>
              <w:t xml:space="preserve">6 </w:t>
            </w:r>
          </w:p>
        </w:tc>
        <w:tc>
          <w:tcPr>
            <w:tcW w:w="1696" w:type="dxa"/>
            <w:tcBorders>
              <w:top w:val="single" w:sz="4" w:space="0" w:color="000000"/>
              <w:left w:val="single" w:sz="4" w:space="0" w:color="000000"/>
              <w:bottom w:val="single" w:sz="4" w:space="0" w:color="000000"/>
              <w:right w:val="single" w:sz="4" w:space="0" w:color="000000"/>
            </w:tcBorders>
          </w:tcPr>
          <w:p w14:paraId="62D7AD3B" w14:textId="77777777" w:rsidR="00D61DC8" w:rsidRDefault="00086E62">
            <w:pPr>
              <w:spacing w:after="0" w:line="259" w:lineRule="auto"/>
              <w:ind w:left="0" w:firstLine="0"/>
            </w:pPr>
            <w:r>
              <w:rPr>
                <w:sz w:val="20"/>
              </w:rPr>
              <w:t>↑ CT, LDL</w:t>
            </w:r>
            <w:r>
              <w:rPr>
                <w:sz w:val="20"/>
              </w:rPr>
              <w:t xml:space="preserve">-c, </w:t>
            </w:r>
          </w:p>
        </w:tc>
      </w:tr>
      <w:tr w:rsidR="00D61DC8" w14:paraId="024EF4DE" w14:textId="77777777">
        <w:trPr>
          <w:trHeight w:val="1160"/>
        </w:trPr>
        <w:tc>
          <w:tcPr>
            <w:tcW w:w="846" w:type="dxa"/>
            <w:tcBorders>
              <w:top w:val="single" w:sz="4" w:space="0" w:color="000000"/>
              <w:left w:val="single" w:sz="4" w:space="0" w:color="000000"/>
              <w:bottom w:val="single" w:sz="4" w:space="0" w:color="000000"/>
              <w:right w:val="single" w:sz="4" w:space="0" w:color="000000"/>
            </w:tcBorders>
          </w:tcPr>
          <w:p w14:paraId="14A76196" w14:textId="77777777" w:rsidR="00D61DC8" w:rsidRDefault="00086E62">
            <w:pPr>
              <w:spacing w:after="0" w:line="259" w:lineRule="auto"/>
              <w:ind w:left="0" w:firstLine="0"/>
            </w:pPr>
            <w:r>
              <w:rPr>
                <w:sz w:val="20"/>
              </w:rPr>
              <w:t xml:space="preserve">et al., </w:t>
            </w:r>
          </w:p>
          <w:p w14:paraId="74576EB6" w14:textId="77777777" w:rsidR="00D61DC8" w:rsidRDefault="00086E62">
            <w:pPr>
              <w:spacing w:after="0" w:line="259" w:lineRule="auto"/>
              <w:ind w:left="0" w:firstLine="0"/>
            </w:pPr>
            <w:r>
              <w:rPr>
                <w:sz w:val="20"/>
              </w:rPr>
              <w:t xml:space="preserve">2019 </w:t>
            </w:r>
          </w:p>
        </w:tc>
        <w:tc>
          <w:tcPr>
            <w:tcW w:w="996" w:type="dxa"/>
            <w:tcBorders>
              <w:top w:val="single" w:sz="4" w:space="0" w:color="000000"/>
              <w:left w:val="single" w:sz="4" w:space="0" w:color="000000"/>
              <w:bottom w:val="single" w:sz="4" w:space="0" w:color="000000"/>
              <w:right w:val="single" w:sz="4" w:space="0" w:color="000000"/>
            </w:tcBorders>
          </w:tcPr>
          <w:p w14:paraId="593F374C" w14:textId="77777777" w:rsidR="00D61DC8" w:rsidRDefault="00086E62">
            <w:pPr>
              <w:spacing w:after="0" w:line="240" w:lineRule="auto"/>
              <w:ind w:left="5" w:firstLine="0"/>
            </w:pPr>
            <w:r>
              <w:rPr>
                <w:sz w:val="20"/>
              </w:rPr>
              <w:t xml:space="preserve">experim ental com </w:t>
            </w:r>
          </w:p>
          <w:p w14:paraId="69395020" w14:textId="77777777" w:rsidR="00D61DC8" w:rsidRDefault="00086E62">
            <w:pPr>
              <w:spacing w:after="0" w:line="259" w:lineRule="auto"/>
              <w:ind w:left="5" w:firstLine="0"/>
            </w:pPr>
            <w:r>
              <w:rPr>
                <w:sz w:val="20"/>
              </w:rPr>
              <w:t xml:space="preserve">ratos </w:t>
            </w:r>
          </w:p>
        </w:tc>
        <w:tc>
          <w:tcPr>
            <w:tcW w:w="850" w:type="dxa"/>
            <w:tcBorders>
              <w:top w:val="single" w:sz="4" w:space="0" w:color="000000"/>
              <w:left w:val="single" w:sz="4" w:space="0" w:color="000000"/>
              <w:bottom w:val="single" w:sz="4" w:space="0" w:color="000000"/>
              <w:right w:val="single" w:sz="4" w:space="0" w:color="000000"/>
            </w:tcBorders>
          </w:tcPr>
          <w:p w14:paraId="56C3BC95" w14:textId="77777777" w:rsidR="00D61DC8" w:rsidRDefault="00D61DC8">
            <w:pPr>
              <w:spacing w:after="160" w:line="259" w:lineRule="auto"/>
              <w:ind w:left="0" w:firstLine="0"/>
            </w:pPr>
          </w:p>
        </w:tc>
        <w:tc>
          <w:tcPr>
            <w:tcW w:w="1276" w:type="dxa"/>
            <w:tcBorders>
              <w:top w:val="single" w:sz="4" w:space="0" w:color="000000"/>
              <w:left w:val="single" w:sz="4" w:space="0" w:color="000000"/>
              <w:bottom w:val="single" w:sz="4" w:space="0" w:color="000000"/>
              <w:right w:val="single" w:sz="4" w:space="0" w:color="000000"/>
            </w:tcBorders>
          </w:tcPr>
          <w:p w14:paraId="2E267B9E" w14:textId="77777777" w:rsidR="00D61DC8" w:rsidRDefault="00086E62">
            <w:pPr>
              <w:spacing w:after="0" w:line="259" w:lineRule="auto"/>
              <w:ind w:left="0" w:firstLine="0"/>
            </w:pPr>
            <w:r>
              <w:rPr>
                <w:sz w:val="20"/>
              </w:rPr>
              <w:t xml:space="preserve">Wistar </w:t>
            </w:r>
          </w:p>
        </w:tc>
        <w:tc>
          <w:tcPr>
            <w:tcW w:w="1275" w:type="dxa"/>
            <w:tcBorders>
              <w:top w:val="single" w:sz="4" w:space="0" w:color="000000"/>
              <w:left w:val="single" w:sz="4" w:space="0" w:color="000000"/>
              <w:bottom w:val="single" w:sz="4" w:space="0" w:color="000000"/>
              <w:right w:val="single" w:sz="4" w:space="0" w:color="000000"/>
            </w:tcBorders>
          </w:tcPr>
          <w:p w14:paraId="15612DEC" w14:textId="77777777" w:rsidR="00D61DC8" w:rsidRDefault="00086E62">
            <w:pPr>
              <w:spacing w:after="0" w:line="240" w:lineRule="auto"/>
              <w:ind w:left="0" w:firstLine="0"/>
            </w:pPr>
            <w:r>
              <w:rPr>
                <w:sz w:val="20"/>
              </w:rPr>
              <w:t>banha e colesterol no metabolism</w:t>
            </w:r>
          </w:p>
          <w:p w14:paraId="4C2B8230" w14:textId="77777777" w:rsidR="00D61DC8" w:rsidRDefault="00086E62">
            <w:pPr>
              <w:spacing w:after="0" w:line="259" w:lineRule="auto"/>
              <w:ind w:left="0" w:firstLine="0"/>
            </w:pPr>
            <w:r>
              <w:rPr>
                <w:sz w:val="20"/>
              </w:rPr>
              <w:t xml:space="preserve">o lipídico </w:t>
            </w:r>
          </w:p>
        </w:tc>
        <w:tc>
          <w:tcPr>
            <w:tcW w:w="991" w:type="dxa"/>
            <w:tcBorders>
              <w:top w:val="single" w:sz="4" w:space="0" w:color="000000"/>
              <w:left w:val="single" w:sz="4" w:space="0" w:color="000000"/>
              <w:bottom w:val="single" w:sz="4" w:space="0" w:color="000000"/>
              <w:right w:val="single" w:sz="4" w:space="0" w:color="000000"/>
            </w:tcBorders>
          </w:tcPr>
          <w:p w14:paraId="3C2E41E8" w14:textId="77777777" w:rsidR="00D61DC8" w:rsidRDefault="00086E62">
            <w:pPr>
              <w:spacing w:after="0" w:line="259" w:lineRule="auto"/>
              <w:ind w:left="0" w:firstLine="0"/>
            </w:pPr>
            <w:r>
              <w:rPr>
                <w:sz w:val="20"/>
              </w:rPr>
              <w:t xml:space="preserve">colester ol </w:t>
            </w:r>
          </w:p>
        </w:tc>
        <w:tc>
          <w:tcPr>
            <w:tcW w:w="1135" w:type="dxa"/>
            <w:tcBorders>
              <w:top w:val="single" w:sz="4" w:space="0" w:color="000000"/>
              <w:left w:val="single" w:sz="4" w:space="0" w:color="000000"/>
              <w:bottom w:val="single" w:sz="4" w:space="0" w:color="000000"/>
              <w:right w:val="single" w:sz="4" w:space="0" w:color="000000"/>
            </w:tcBorders>
          </w:tcPr>
          <w:p w14:paraId="55A32C49" w14:textId="77777777" w:rsidR="00D61DC8" w:rsidRDefault="00086E62">
            <w:pPr>
              <w:spacing w:after="0" w:line="259" w:lineRule="auto"/>
              <w:ind w:left="5" w:firstLine="0"/>
            </w:pPr>
            <w:r>
              <w:rPr>
                <w:sz w:val="20"/>
              </w:rPr>
              <w:t xml:space="preserve">semanas </w:t>
            </w:r>
          </w:p>
        </w:tc>
        <w:tc>
          <w:tcPr>
            <w:tcW w:w="1696" w:type="dxa"/>
            <w:tcBorders>
              <w:top w:val="single" w:sz="4" w:space="0" w:color="000000"/>
              <w:left w:val="single" w:sz="4" w:space="0" w:color="000000"/>
              <w:bottom w:val="single" w:sz="4" w:space="0" w:color="000000"/>
              <w:right w:val="single" w:sz="4" w:space="0" w:color="000000"/>
            </w:tcBorders>
          </w:tcPr>
          <w:p w14:paraId="6FE6BF8A" w14:textId="77777777" w:rsidR="00D61DC8" w:rsidRDefault="00086E62">
            <w:pPr>
              <w:spacing w:after="0" w:line="259" w:lineRule="auto"/>
              <w:ind w:left="0" w:firstLine="0"/>
            </w:pPr>
            <w:r>
              <w:rPr>
                <w:sz w:val="20"/>
              </w:rPr>
              <w:t xml:space="preserve">TG, enzimas hepáticas; esteatose hepática </w:t>
            </w:r>
          </w:p>
        </w:tc>
      </w:tr>
      <w:tr w:rsidR="00D61DC8" w14:paraId="33264B46" w14:textId="77777777">
        <w:trPr>
          <w:trHeight w:val="1160"/>
        </w:trPr>
        <w:tc>
          <w:tcPr>
            <w:tcW w:w="846" w:type="dxa"/>
            <w:tcBorders>
              <w:top w:val="single" w:sz="4" w:space="0" w:color="000000"/>
              <w:left w:val="single" w:sz="4" w:space="0" w:color="000000"/>
              <w:bottom w:val="single" w:sz="4" w:space="0" w:color="000000"/>
              <w:right w:val="single" w:sz="4" w:space="0" w:color="000000"/>
            </w:tcBorders>
          </w:tcPr>
          <w:p w14:paraId="2A149322" w14:textId="77777777" w:rsidR="00D61DC8" w:rsidRDefault="00086E62">
            <w:pPr>
              <w:spacing w:after="0" w:line="240" w:lineRule="auto"/>
              <w:ind w:left="0" w:firstLine="0"/>
            </w:pPr>
            <w:r>
              <w:rPr>
                <w:sz w:val="20"/>
              </w:rPr>
              <w:t xml:space="preserve">Tsutsu mi et </w:t>
            </w:r>
          </w:p>
          <w:p w14:paraId="725D58D1" w14:textId="77777777" w:rsidR="00D61DC8" w:rsidRDefault="00086E62">
            <w:pPr>
              <w:spacing w:after="0" w:line="259" w:lineRule="auto"/>
              <w:ind w:left="0" w:firstLine="0"/>
            </w:pPr>
            <w:r>
              <w:rPr>
                <w:sz w:val="20"/>
              </w:rPr>
              <w:t xml:space="preserve">al., </w:t>
            </w:r>
          </w:p>
          <w:p w14:paraId="02253620" w14:textId="77777777" w:rsidR="00D61DC8" w:rsidRDefault="00086E62">
            <w:pPr>
              <w:spacing w:after="0" w:line="259" w:lineRule="auto"/>
              <w:ind w:left="0" w:firstLine="0"/>
            </w:pPr>
            <w:r>
              <w:rPr>
                <w:sz w:val="20"/>
              </w:rPr>
              <w:t xml:space="preserve">2019 </w:t>
            </w:r>
          </w:p>
        </w:tc>
        <w:tc>
          <w:tcPr>
            <w:tcW w:w="996" w:type="dxa"/>
            <w:tcBorders>
              <w:top w:val="single" w:sz="4" w:space="0" w:color="000000"/>
              <w:left w:val="single" w:sz="4" w:space="0" w:color="000000"/>
              <w:bottom w:val="single" w:sz="4" w:space="0" w:color="000000"/>
              <w:right w:val="single" w:sz="4" w:space="0" w:color="000000"/>
            </w:tcBorders>
          </w:tcPr>
          <w:p w14:paraId="689A2830" w14:textId="77777777" w:rsidR="00D61DC8" w:rsidRDefault="00086E62">
            <w:pPr>
              <w:spacing w:after="0" w:line="259" w:lineRule="auto"/>
              <w:ind w:left="5" w:firstLine="0"/>
            </w:pPr>
            <w:r>
              <w:rPr>
                <w:sz w:val="20"/>
              </w:rPr>
              <w:t xml:space="preserve">Revisão integrati va </w:t>
            </w:r>
          </w:p>
        </w:tc>
        <w:tc>
          <w:tcPr>
            <w:tcW w:w="850" w:type="dxa"/>
            <w:tcBorders>
              <w:top w:val="single" w:sz="4" w:space="0" w:color="000000"/>
              <w:left w:val="single" w:sz="4" w:space="0" w:color="000000"/>
              <w:bottom w:val="single" w:sz="4" w:space="0" w:color="000000"/>
              <w:right w:val="single" w:sz="4" w:space="0" w:color="000000"/>
            </w:tcBorders>
          </w:tcPr>
          <w:p w14:paraId="7D04ACFA" w14:textId="77777777" w:rsidR="00D61DC8" w:rsidRDefault="00086E62">
            <w:pPr>
              <w:spacing w:after="0" w:line="259" w:lineRule="auto"/>
              <w:ind w:left="0" w:firstLine="0"/>
            </w:pPr>
            <w:r>
              <w:rPr>
                <w:sz w:val="20"/>
              </w:rPr>
              <w:t xml:space="preserve">Japão </w:t>
            </w:r>
          </w:p>
        </w:tc>
        <w:tc>
          <w:tcPr>
            <w:tcW w:w="1276" w:type="dxa"/>
            <w:tcBorders>
              <w:top w:val="single" w:sz="4" w:space="0" w:color="000000"/>
              <w:left w:val="single" w:sz="4" w:space="0" w:color="000000"/>
              <w:bottom w:val="single" w:sz="4" w:space="0" w:color="000000"/>
              <w:right w:val="single" w:sz="4" w:space="0" w:color="000000"/>
            </w:tcBorders>
          </w:tcPr>
          <w:p w14:paraId="376CE71C" w14:textId="77777777" w:rsidR="00D61DC8" w:rsidRDefault="00086E62">
            <w:pPr>
              <w:spacing w:after="0" w:line="259" w:lineRule="auto"/>
              <w:ind w:left="0" w:firstLine="0"/>
            </w:pPr>
            <w:r>
              <w:rPr>
                <w:sz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67EAF36A" w14:textId="77777777" w:rsidR="00D61DC8" w:rsidRDefault="00086E62">
            <w:pPr>
              <w:spacing w:after="0" w:line="259" w:lineRule="auto"/>
              <w:ind w:left="0" w:right="39" w:firstLine="0"/>
            </w:pPr>
            <w:r>
              <w:rPr>
                <w:sz w:val="20"/>
              </w:rPr>
              <w:t xml:space="preserve">Efeitos metabólico s dos óleos usados na cocção </w:t>
            </w:r>
          </w:p>
        </w:tc>
        <w:tc>
          <w:tcPr>
            <w:tcW w:w="991" w:type="dxa"/>
            <w:tcBorders>
              <w:top w:val="single" w:sz="4" w:space="0" w:color="000000"/>
              <w:left w:val="single" w:sz="4" w:space="0" w:color="000000"/>
              <w:bottom w:val="single" w:sz="4" w:space="0" w:color="000000"/>
              <w:right w:val="single" w:sz="4" w:space="0" w:color="000000"/>
            </w:tcBorders>
          </w:tcPr>
          <w:p w14:paraId="3B8905F8" w14:textId="77777777" w:rsidR="00D61DC8" w:rsidRDefault="00086E62">
            <w:pPr>
              <w:spacing w:after="0" w:line="259" w:lineRule="auto"/>
              <w:ind w:left="0" w:firstLine="0"/>
            </w:pPr>
            <w:r>
              <w:rPr>
                <w:sz w:val="20"/>
              </w:rPr>
              <w:t xml:space="preserve">Óleo vegetal, animal, frituras </w:t>
            </w:r>
          </w:p>
        </w:tc>
        <w:tc>
          <w:tcPr>
            <w:tcW w:w="1135" w:type="dxa"/>
            <w:tcBorders>
              <w:top w:val="single" w:sz="4" w:space="0" w:color="000000"/>
              <w:left w:val="single" w:sz="4" w:space="0" w:color="000000"/>
              <w:bottom w:val="single" w:sz="4" w:space="0" w:color="000000"/>
              <w:right w:val="single" w:sz="4" w:space="0" w:color="000000"/>
            </w:tcBorders>
          </w:tcPr>
          <w:p w14:paraId="12B6DA7B" w14:textId="77777777" w:rsidR="00D61DC8" w:rsidRDefault="00086E62">
            <w:pPr>
              <w:spacing w:after="0" w:line="259" w:lineRule="auto"/>
              <w:ind w:left="5" w:firstLine="0"/>
            </w:pPr>
            <w:r>
              <w:rPr>
                <w:sz w:val="20"/>
              </w:rPr>
              <w:t xml:space="preserve">Revisão geral </w:t>
            </w:r>
          </w:p>
        </w:tc>
        <w:tc>
          <w:tcPr>
            <w:tcW w:w="1696" w:type="dxa"/>
            <w:tcBorders>
              <w:top w:val="single" w:sz="4" w:space="0" w:color="000000"/>
              <w:left w:val="single" w:sz="4" w:space="0" w:color="000000"/>
              <w:bottom w:val="single" w:sz="4" w:space="0" w:color="000000"/>
              <w:right w:val="single" w:sz="4" w:space="0" w:color="000000"/>
            </w:tcBorders>
          </w:tcPr>
          <w:p w14:paraId="0BE85CEE" w14:textId="77777777" w:rsidR="00D61DC8" w:rsidRDefault="00086E62">
            <w:pPr>
              <w:spacing w:after="0" w:line="259" w:lineRule="auto"/>
              <w:ind w:left="0" w:firstLine="0"/>
            </w:pPr>
            <w:r>
              <w:rPr>
                <w:sz w:val="20"/>
              </w:rPr>
              <w:t xml:space="preserve">Impactos variam </w:t>
            </w:r>
          </w:p>
          <w:p w14:paraId="6C41CB6F" w14:textId="77777777" w:rsidR="00D61DC8" w:rsidRDefault="00086E62">
            <w:pPr>
              <w:spacing w:after="0" w:line="259" w:lineRule="auto"/>
              <w:ind w:left="0" w:right="599" w:firstLine="0"/>
              <w:jc w:val="both"/>
            </w:pPr>
            <w:r>
              <w:rPr>
                <w:sz w:val="20"/>
              </w:rPr>
              <w:t xml:space="preserve">com tipo e modo de preparo </w:t>
            </w:r>
          </w:p>
        </w:tc>
      </w:tr>
      <w:tr w:rsidR="00D61DC8" w14:paraId="5562DAA4" w14:textId="77777777">
        <w:trPr>
          <w:trHeight w:val="931"/>
        </w:trPr>
        <w:tc>
          <w:tcPr>
            <w:tcW w:w="846" w:type="dxa"/>
            <w:tcBorders>
              <w:top w:val="single" w:sz="4" w:space="0" w:color="000000"/>
              <w:left w:val="single" w:sz="4" w:space="0" w:color="000000"/>
              <w:bottom w:val="single" w:sz="4" w:space="0" w:color="000000"/>
              <w:right w:val="single" w:sz="4" w:space="0" w:color="000000"/>
            </w:tcBorders>
          </w:tcPr>
          <w:p w14:paraId="5F22901F" w14:textId="77777777" w:rsidR="00D61DC8" w:rsidRDefault="00086E62">
            <w:pPr>
              <w:spacing w:after="1" w:line="240" w:lineRule="auto"/>
              <w:ind w:left="0" w:firstLine="0"/>
            </w:pPr>
            <w:r>
              <w:rPr>
                <w:sz w:val="20"/>
              </w:rPr>
              <w:t xml:space="preserve">Gilling ham et </w:t>
            </w:r>
          </w:p>
          <w:p w14:paraId="4BFFF158" w14:textId="77777777" w:rsidR="00D61DC8" w:rsidRDefault="00086E62">
            <w:pPr>
              <w:spacing w:after="0" w:line="259" w:lineRule="auto"/>
              <w:ind w:left="0" w:firstLine="0"/>
            </w:pPr>
            <w:r>
              <w:rPr>
                <w:sz w:val="20"/>
              </w:rPr>
              <w:t xml:space="preserve">al., </w:t>
            </w:r>
          </w:p>
          <w:p w14:paraId="34DA8F04" w14:textId="77777777" w:rsidR="00D61DC8" w:rsidRDefault="00086E62">
            <w:pPr>
              <w:spacing w:after="0" w:line="259" w:lineRule="auto"/>
              <w:ind w:left="0" w:firstLine="0"/>
            </w:pPr>
            <w:r>
              <w:rPr>
                <w:sz w:val="20"/>
              </w:rPr>
              <w:t xml:space="preserve">2018 </w:t>
            </w:r>
          </w:p>
        </w:tc>
        <w:tc>
          <w:tcPr>
            <w:tcW w:w="996" w:type="dxa"/>
            <w:tcBorders>
              <w:top w:val="single" w:sz="4" w:space="0" w:color="000000"/>
              <w:left w:val="single" w:sz="4" w:space="0" w:color="000000"/>
              <w:bottom w:val="single" w:sz="4" w:space="0" w:color="000000"/>
              <w:right w:val="single" w:sz="4" w:space="0" w:color="000000"/>
            </w:tcBorders>
          </w:tcPr>
          <w:p w14:paraId="3FAD6252" w14:textId="77777777" w:rsidR="00D61DC8" w:rsidRDefault="00086E62">
            <w:pPr>
              <w:spacing w:after="0" w:line="259" w:lineRule="auto"/>
              <w:ind w:left="5" w:firstLine="0"/>
            </w:pPr>
            <w:r>
              <w:rPr>
                <w:sz w:val="20"/>
              </w:rPr>
              <w:t xml:space="preserve">ECR </w:t>
            </w:r>
          </w:p>
        </w:tc>
        <w:tc>
          <w:tcPr>
            <w:tcW w:w="850" w:type="dxa"/>
            <w:tcBorders>
              <w:top w:val="single" w:sz="4" w:space="0" w:color="000000"/>
              <w:left w:val="single" w:sz="4" w:space="0" w:color="000000"/>
              <w:bottom w:val="single" w:sz="4" w:space="0" w:color="000000"/>
              <w:right w:val="single" w:sz="4" w:space="0" w:color="000000"/>
            </w:tcBorders>
          </w:tcPr>
          <w:p w14:paraId="79A1C3C5" w14:textId="77777777" w:rsidR="00D61DC8" w:rsidRDefault="00086E62">
            <w:pPr>
              <w:spacing w:after="0" w:line="259" w:lineRule="auto"/>
              <w:ind w:left="0" w:firstLine="0"/>
            </w:pPr>
            <w:r>
              <w:rPr>
                <w:sz w:val="20"/>
              </w:rPr>
              <w:t>Canad</w:t>
            </w:r>
          </w:p>
          <w:p w14:paraId="4DE0508E" w14:textId="77777777" w:rsidR="00D61DC8" w:rsidRDefault="00086E62">
            <w:pPr>
              <w:spacing w:after="0" w:line="259" w:lineRule="auto"/>
              <w:ind w:left="0" w:firstLine="0"/>
            </w:pPr>
            <w:r>
              <w:rPr>
                <w:sz w:val="20"/>
              </w:rPr>
              <w:t xml:space="preserve">á </w:t>
            </w:r>
          </w:p>
        </w:tc>
        <w:tc>
          <w:tcPr>
            <w:tcW w:w="1276" w:type="dxa"/>
            <w:tcBorders>
              <w:top w:val="single" w:sz="4" w:space="0" w:color="000000"/>
              <w:left w:val="single" w:sz="4" w:space="0" w:color="000000"/>
              <w:bottom w:val="single" w:sz="4" w:space="0" w:color="000000"/>
              <w:right w:val="single" w:sz="4" w:space="0" w:color="000000"/>
            </w:tcBorders>
          </w:tcPr>
          <w:p w14:paraId="317F3852" w14:textId="77777777" w:rsidR="00D61DC8" w:rsidRDefault="00086E62">
            <w:pPr>
              <w:spacing w:after="0" w:line="259" w:lineRule="auto"/>
              <w:ind w:left="0" w:firstLine="0"/>
            </w:pPr>
            <w:r>
              <w:rPr>
                <w:sz w:val="20"/>
              </w:rPr>
              <w:t xml:space="preserve">n=54 adultos </w:t>
            </w:r>
          </w:p>
        </w:tc>
        <w:tc>
          <w:tcPr>
            <w:tcW w:w="1275" w:type="dxa"/>
            <w:tcBorders>
              <w:top w:val="single" w:sz="4" w:space="0" w:color="000000"/>
              <w:left w:val="single" w:sz="4" w:space="0" w:color="000000"/>
              <w:bottom w:val="single" w:sz="4" w:space="0" w:color="000000"/>
              <w:right w:val="single" w:sz="4" w:space="0" w:color="000000"/>
            </w:tcBorders>
          </w:tcPr>
          <w:p w14:paraId="78A0685E" w14:textId="77777777" w:rsidR="00D61DC8" w:rsidRDefault="00086E62">
            <w:pPr>
              <w:spacing w:after="0" w:line="259" w:lineRule="auto"/>
              <w:ind w:left="0" w:firstLine="0"/>
            </w:pPr>
            <w:r>
              <w:rPr>
                <w:sz w:val="20"/>
              </w:rPr>
              <w:t xml:space="preserve">Comparar banha vs. óleo de linhaça </w:t>
            </w:r>
          </w:p>
        </w:tc>
        <w:tc>
          <w:tcPr>
            <w:tcW w:w="991" w:type="dxa"/>
            <w:tcBorders>
              <w:top w:val="single" w:sz="4" w:space="0" w:color="000000"/>
              <w:left w:val="single" w:sz="4" w:space="0" w:color="000000"/>
              <w:bottom w:val="single" w:sz="4" w:space="0" w:color="000000"/>
              <w:right w:val="single" w:sz="4" w:space="0" w:color="000000"/>
            </w:tcBorders>
          </w:tcPr>
          <w:p w14:paraId="3CD0E266" w14:textId="77777777" w:rsidR="00D61DC8" w:rsidRDefault="00086E62">
            <w:pPr>
              <w:spacing w:after="1" w:line="240" w:lineRule="auto"/>
              <w:ind w:left="0" w:firstLine="0"/>
            </w:pPr>
            <w:r>
              <w:rPr>
                <w:sz w:val="20"/>
              </w:rPr>
              <w:t xml:space="preserve">Linhaça vs. </w:t>
            </w:r>
          </w:p>
          <w:p w14:paraId="348A2D76" w14:textId="77777777" w:rsidR="00D61DC8" w:rsidRDefault="00086E62">
            <w:pPr>
              <w:spacing w:after="0" w:line="259" w:lineRule="auto"/>
              <w:ind w:left="0" w:firstLine="0"/>
            </w:pPr>
            <w:r>
              <w:rPr>
                <w:sz w:val="20"/>
              </w:rPr>
              <w:t xml:space="preserve">banha </w:t>
            </w:r>
          </w:p>
        </w:tc>
        <w:tc>
          <w:tcPr>
            <w:tcW w:w="1135" w:type="dxa"/>
            <w:tcBorders>
              <w:top w:val="single" w:sz="4" w:space="0" w:color="000000"/>
              <w:left w:val="single" w:sz="4" w:space="0" w:color="000000"/>
              <w:bottom w:val="single" w:sz="4" w:space="0" w:color="000000"/>
              <w:right w:val="single" w:sz="4" w:space="0" w:color="000000"/>
            </w:tcBorders>
          </w:tcPr>
          <w:p w14:paraId="33FEC981" w14:textId="77777777" w:rsidR="00D61DC8" w:rsidRDefault="00086E62">
            <w:pPr>
              <w:spacing w:after="0" w:line="259" w:lineRule="auto"/>
              <w:ind w:left="5" w:firstLine="0"/>
            </w:pPr>
            <w:r>
              <w:rPr>
                <w:sz w:val="20"/>
              </w:rPr>
              <w:t xml:space="preserve">8 </w:t>
            </w:r>
          </w:p>
          <w:p w14:paraId="50853833" w14:textId="77777777" w:rsidR="00D61DC8" w:rsidRDefault="00086E62">
            <w:pPr>
              <w:spacing w:after="0" w:line="259" w:lineRule="auto"/>
              <w:ind w:left="5" w:firstLine="0"/>
            </w:pPr>
            <w:r>
              <w:rPr>
                <w:sz w:val="20"/>
              </w:rPr>
              <w:t xml:space="preserve">semanas </w:t>
            </w:r>
          </w:p>
        </w:tc>
        <w:tc>
          <w:tcPr>
            <w:tcW w:w="1696" w:type="dxa"/>
            <w:tcBorders>
              <w:top w:val="single" w:sz="4" w:space="0" w:color="000000"/>
              <w:left w:val="single" w:sz="4" w:space="0" w:color="000000"/>
              <w:bottom w:val="single" w:sz="4" w:space="0" w:color="000000"/>
              <w:right w:val="single" w:sz="4" w:space="0" w:color="000000"/>
            </w:tcBorders>
          </w:tcPr>
          <w:p w14:paraId="21C9CA4E" w14:textId="77777777" w:rsidR="00D61DC8" w:rsidRDefault="00086E62">
            <w:pPr>
              <w:spacing w:after="0" w:line="259" w:lineRule="auto"/>
              <w:ind w:left="0" w:right="24" w:firstLine="0"/>
              <w:jc w:val="both"/>
            </w:pPr>
            <w:r>
              <w:rPr>
                <w:sz w:val="20"/>
              </w:rPr>
              <w:t xml:space="preserve">Linhaça: ↓ LDL </w:t>
            </w:r>
            <w:r>
              <w:rPr>
                <w:sz w:val="20"/>
              </w:rPr>
              <w:t xml:space="preserve">e TG </w:t>
            </w:r>
          </w:p>
        </w:tc>
      </w:tr>
      <w:tr w:rsidR="00D61DC8" w14:paraId="4CFA9188" w14:textId="77777777">
        <w:trPr>
          <w:trHeight w:val="1160"/>
        </w:trPr>
        <w:tc>
          <w:tcPr>
            <w:tcW w:w="846" w:type="dxa"/>
            <w:tcBorders>
              <w:top w:val="single" w:sz="4" w:space="0" w:color="000000"/>
              <w:left w:val="single" w:sz="4" w:space="0" w:color="000000"/>
              <w:bottom w:val="single" w:sz="4" w:space="0" w:color="000000"/>
              <w:right w:val="single" w:sz="4" w:space="0" w:color="000000"/>
            </w:tcBorders>
          </w:tcPr>
          <w:p w14:paraId="4C6AAA48" w14:textId="77777777" w:rsidR="00D61DC8" w:rsidRDefault="00086E62">
            <w:pPr>
              <w:spacing w:after="0" w:line="240" w:lineRule="auto"/>
              <w:ind w:left="0" w:firstLine="0"/>
            </w:pPr>
            <w:r>
              <w:rPr>
                <w:sz w:val="20"/>
              </w:rPr>
              <w:t xml:space="preserve">KrisEthert on et </w:t>
            </w:r>
          </w:p>
          <w:p w14:paraId="33136ACB" w14:textId="77777777" w:rsidR="00D61DC8" w:rsidRDefault="00086E62">
            <w:pPr>
              <w:spacing w:after="0" w:line="259" w:lineRule="auto"/>
              <w:ind w:left="0" w:firstLine="0"/>
            </w:pPr>
            <w:r>
              <w:rPr>
                <w:sz w:val="20"/>
              </w:rPr>
              <w:t xml:space="preserve">al., </w:t>
            </w:r>
          </w:p>
          <w:p w14:paraId="0AF4B109" w14:textId="77777777" w:rsidR="00D61DC8" w:rsidRDefault="00086E62">
            <w:pPr>
              <w:spacing w:after="0" w:line="259" w:lineRule="auto"/>
              <w:ind w:left="0" w:firstLine="0"/>
            </w:pPr>
            <w:r>
              <w:rPr>
                <w:sz w:val="20"/>
              </w:rPr>
              <w:t xml:space="preserve">2016 </w:t>
            </w:r>
          </w:p>
        </w:tc>
        <w:tc>
          <w:tcPr>
            <w:tcW w:w="996" w:type="dxa"/>
            <w:tcBorders>
              <w:top w:val="single" w:sz="4" w:space="0" w:color="000000"/>
              <w:left w:val="single" w:sz="4" w:space="0" w:color="000000"/>
              <w:bottom w:val="single" w:sz="4" w:space="0" w:color="000000"/>
              <w:right w:val="single" w:sz="4" w:space="0" w:color="000000"/>
            </w:tcBorders>
          </w:tcPr>
          <w:p w14:paraId="68385E17" w14:textId="77777777" w:rsidR="00D61DC8" w:rsidRDefault="00086E62">
            <w:pPr>
              <w:spacing w:after="0" w:line="259" w:lineRule="auto"/>
              <w:ind w:left="5" w:right="44" w:firstLine="0"/>
            </w:pPr>
            <w:r>
              <w:rPr>
                <w:sz w:val="20"/>
              </w:rPr>
              <w:t xml:space="preserve">Revisão narrativ a </w:t>
            </w:r>
          </w:p>
        </w:tc>
        <w:tc>
          <w:tcPr>
            <w:tcW w:w="850" w:type="dxa"/>
            <w:tcBorders>
              <w:top w:val="single" w:sz="4" w:space="0" w:color="000000"/>
              <w:left w:val="single" w:sz="4" w:space="0" w:color="000000"/>
              <w:bottom w:val="single" w:sz="4" w:space="0" w:color="000000"/>
              <w:right w:val="single" w:sz="4" w:space="0" w:color="000000"/>
            </w:tcBorders>
          </w:tcPr>
          <w:p w14:paraId="557E7E8F" w14:textId="77777777" w:rsidR="00D61DC8" w:rsidRDefault="00086E62">
            <w:pPr>
              <w:spacing w:after="0" w:line="259" w:lineRule="auto"/>
              <w:ind w:left="0" w:firstLine="0"/>
            </w:pPr>
            <w:r>
              <w:rPr>
                <w:sz w:val="20"/>
              </w:rPr>
              <w:t xml:space="preserve">EUA </w:t>
            </w:r>
          </w:p>
        </w:tc>
        <w:tc>
          <w:tcPr>
            <w:tcW w:w="1276" w:type="dxa"/>
            <w:tcBorders>
              <w:top w:val="single" w:sz="4" w:space="0" w:color="000000"/>
              <w:left w:val="single" w:sz="4" w:space="0" w:color="000000"/>
              <w:bottom w:val="single" w:sz="4" w:space="0" w:color="000000"/>
              <w:right w:val="single" w:sz="4" w:space="0" w:color="000000"/>
            </w:tcBorders>
          </w:tcPr>
          <w:p w14:paraId="70CA047F" w14:textId="77777777" w:rsidR="00D61DC8" w:rsidRDefault="00086E62">
            <w:pPr>
              <w:spacing w:after="0" w:line="259" w:lineRule="auto"/>
              <w:ind w:left="0" w:firstLine="0"/>
            </w:pPr>
            <w:r>
              <w:rPr>
                <w:sz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111B6018" w14:textId="77777777" w:rsidR="00D61DC8" w:rsidRDefault="00086E62">
            <w:pPr>
              <w:spacing w:after="0" w:line="259" w:lineRule="auto"/>
              <w:ind w:left="0" w:right="24" w:firstLine="0"/>
            </w:pPr>
            <w:r>
              <w:rPr>
                <w:sz w:val="20"/>
              </w:rPr>
              <w:t xml:space="preserve">Orientaçõe s sobre consumo de gordura </w:t>
            </w:r>
          </w:p>
        </w:tc>
        <w:tc>
          <w:tcPr>
            <w:tcW w:w="991" w:type="dxa"/>
            <w:tcBorders>
              <w:top w:val="single" w:sz="4" w:space="0" w:color="000000"/>
              <w:left w:val="single" w:sz="4" w:space="0" w:color="000000"/>
              <w:bottom w:val="single" w:sz="4" w:space="0" w:color="000000"/>
              <w:right w:val="single" w:sz="4" w:space="0" w:color="000000"/>
            </w:tcBorders>
          </w:tcPr>
          <w:p w14:paraId="62423808" w14:textId="77777777" w:rsidR="00D61DC8" w:rsidRDefault="00086E62">
            <w:pPr>
              <w:spacing w:after="0" w:line="240" w:lineRule="auto"/>
              <w:ind w:left="0" w:firstLine="0"/>
            </w:pPr>
            <w:r>
              <w:rPr>
                <w:sz w:val="20"/>
              </w:rPr>
              <w:t>Óleos vegetais</w:t>
            </w:r>
          </w:p>
          <w:p w14:paraId="216C7768" w14:textId="77777777" w:rsidR="00D61DC8" w:rsidRDefault="00086E62">
            <w:pPr>
              <w:spacing w:after="0" w:line="259" w:lineRule="auto"/>
              <w:ind w:left="0" w:firstLine="0"/>
            </w:pPr>
            <w:r>
              <w:rPr>
                <w:sz w:val="20"/>
              </w:rPr>
              <w:t xml:space="preserve">, azeite </w:t>
            </w:r>
          </w:p>
        </w:tc>
        <w:tc>
          <w:tcPr>
            <w:tcW w:w="1135" w:type="dxa"/>
            <w:tcBorders>
              <w:top w:val="single" w:sz="4" w:space="0" w:color="000000"/>
              <w:left w:val="single" w:sz="4" w:space="0" w:color="000000"/>
              <w:bottom w:val="single" w:sz="4" w:space="0" w:color="000000"/>
              <w:right w:val="single" w:sz="4" w:space="0" w:color="000000"/>
            </w:tcBorders>
          </w:tcPr>
          <w:p w14:paraId="592D84DB" w14:textId="77777777" w:rsidR="00D61DC8" w:rsidRDefault="00086E62">
            <w:pPr>
              <w:spacing w:after="0" w:line="259" w:lineRule="auto"/>
              <w:ind w:left="5" w:firstLine="0"/>
            </w:pPr>
            <w:r>
              <w:rPr>
                <w:sz w:val="20"/>
              </w:rPr>
              <w:t xml:space="preserve">Revisão </w:t>
            </w:r>
          </w:p>
          <w:p w14:paraId="424EA89D" w14:textId="77777777" w:rsidR="00D61DC8" w:rsidRDefault="00086E62">
            <w:pPr>
              <w:spacing w:after="0" w:line="259" w:lineRule="auto"/>
              <w:ind w:left="5" w:firstLine="0"/>
            </w:pPr>
            <w:r>
              <w:rPr>
                <w:sz w:val="20"/>
              </w:rPr>
              <w:t xml:space="preserve">oficial </w:t>
            </w:r>
          </w:p>
        </w:tc>
        <w:tc>
          <w:tcPr>
            <w:tcW w:w="1696" w:type="dxa"/>
            <w:tcBorders>
              <w:top w:val="single" w:sz="4" w:space="0" w:color="000000"/>
              <w:left w:val="single" w:sz="4" w:space="0" w:color="000000"/>
              <w:bottom w:val="single" w:sz="4" w:space="0" w:color="000000"/>
              <w:right w:val="single" w:sz="4" w:space="0" w:color="000000"/>
            </w:tcBorders>
          </w:tcPr>
          <w:p w14:paraId="5EA76DD1" w14:textId="77777777" w:rsidR="00D61DC8" w:rsidRDefault="00086E62">
            <w:pPr>
              <w:spacing w:after="0" w:line="259" w:lineRule="auto"/>
              <w:ind w:left="0" w:firstLine="0"/>
            </w:pPr>
            <w:r>
              <w:rPr>
                <w:sz w:val="20"/>
              </w:rPr>
              <w:t xml:space="preserve">Recomenda </w:t>
            </w:r>
          </w:p>
          <w:p w14:paraId="582CE283" w14:textId="77777777" w:rsidR="00D61DC8" w:rsidRDefault="00086E62">
            <w:pPr>
              <w:spacing w:after="0" w:line="259" w:lineRule="auto"/>
              <w:ind w:left="0" w:firstLine="0"/>
            </w:pPr>
            <w:r>
              <w:rPr>
                <w:sz w:val="20"/>
              </w:rPr>
              <w:t xml:space="preserve">trocar saturadas por insaturadas </w:t>
            </w:r>
          </w:p>
        </w:tc>
      </w:tr>
      <w:tr w:rsidR="00D61DC8" w14:paraId="560E5B06" w14:textId="77777777">
        <w:trPr>
          <w:trHeight w:val="930"/>
        </w:trPr>
        <w:tc>
          <w:tcPr>
            <w:tcW w:w="846" w:type="dxa"/>
            <w:tcBorders>
              <w:top w:val="single" w:sz="4" w:space="0" w:color="000000"/>
              <w:left w:val="single" w:sz="4" w:space="0" w:color="000000"/>
              <w:bottom w:val="single" w:sz="4" w:space="0" w:color="000000"/>
              <w:right w:val="single" w:sz="4" w:space="0" w:color="000000"/>
            </w:tcBorders>
          </w:tcPr>
          <w:p w14:paraId="43ADF55C" w14:textId="77777777" w:rsidR="00D61DC8" w:rsidRDefault="00086E62">
            <w:pPr>
              <w:spacing w:after="0" w:line="259" w:lineRule="auto"/>
              <w:ind w:left="0" w:firstLine="0"/>
            </w:pPr>
            <w:r>
              <w:rPr>
                <w:sz w:val="20"/>
              </w:rPr>
              <w:t xml:space="preserve">Pedret </w:t>
            </w:r>
          </w:p>
          <w:p w14:paraId="03AA93EE" w14:textId="77777777" w:rsidR="00D61DC8" w:rsidRDefault="00086E62">
            <w:pPr>
              <w:spacing w:after="0" w:line="259" w:lineRule="auto"/>
              <w:ind w:left="0" w:firstLine="0"/>
            </w:pPr>
            <w:r>
              <w:rPr>
                <w:sz w:val="20"/>
              </w:rPr>
              <w:t xml:space="preserve">et al., </w:t>
            </w:r>
          </w:p>
          <w:p w14:paraId="41F9CC34" w14:textId="77777777" w:rsidR="00D61DC8" w:rsidRDefault="00086E62">
            <w:pPr>
              <w:spacing w:after="0" w:line="259" w:lineRule="auto"/>
              <w:ind w:left="0" w:firstLine="0"/>
            </w:pPr>
            <w:r>
              <w:rPr>
                <w:sz w:val="20"/>
              </w:rPr>
              <w:t xml:space="preserve">2015 </w:t>
            </w:r>
          </w:p>
        </w:tc>
        <w:tc>
          <w:tcPr>
            <w:tcW w:w="996" w:type="dxa"/>
            <w:tcBorders>
              <w:top w:val="single" w:sz="4" w:space="0" w:color="000000"/>
              <w:left w:val="single" w:sz="4" w:space="0" w:color="000000"/>
              <w:bottom w:val="single" w:sz="4" w:space="0" w:color="000000"/>
              <w:right w:val="single" w:sz="4" w:space="0" w:color="000000"/>
            </w:tcBorders>
          </w:tcPr>
          <w:p w14:paraId="271BD051" w14:textId="77777777" w:rsidR="00D61DC8" w:rsidRDefault="00086E62">
            <w:pPr>
              <w:spacing w:after="0" w:line="259" w:lineRule="auto"/>
              <w:ind w:left="5" w:firstLine="0"/>
            </w:pPr>
            <w:r>
              <w:rPr>
                <w:sz w:val="20"/>
              </w:rPr>
              <w:t xml:space="preserve">ECR </w:t>
            </w:r>
          </w:p>
          <w:p w14:paraId="71137CB4" w14:textId="77777777" w:rsidR="00D61DC8" w:rsidRDefault="00086E62">
            <w:pPr>
              <w:spacing w:after="0" w:line="259" w:lineRule="auto"/>
              <w:ind w:left="5" w:firstLine="0"/>
            </w:pPr>
            <w:r>
              <w:rPr>
                <w:sz w:val="20"/>
              </w:rPr>
              <w:t xml:space="preserve">cruzado </w:t>
            </w:r>
          </w:p>
        </w:tc>
        <w:tc>
          <w:tcPr>
            <w:tcW w:w="850" w:type="dxa"/>
            <w:tcBorders>
              <w:top w:val="single" w:sz="4" w:space="0" w:color="000000"/>
              <w:left w:val="single" w:sz="4" w:space="0" w:color="000000"/>
              <w:bottom w:val="single" w:sz="4" w:space="0" w:color="000000"/>
              <w:right w:val="single" w:sz="4" w:space="0" w:color="000000"/>
            </w:tcBorders>
          </w:tcPr>
          <w:p w14:paraId="13A3F7F6" w14:textId="77777777" w:rsidR="00D61DC8" w:rsidRDefault="00086E62">
            <w:pPr>
              <w:spacing w:after="0" w:line="259" w:lineRule="auto"/>
              <w:ind w:left="0" w:firstLine="0"/>
            </w:pPr>
            <w:r>
              <w:rPr>
                <w:sz w:val="20"/>
              </w:rPr>
              <w:t xml:space="preserve">Espan ha </w:t>
            </w:r>
          </w:p>
        </w:tc>
        <w:tc>
          <w:tcPr>
            <w:tcW w:w="1276" w:type="dxa"/>
            <w:tcBorders>
              <w:top w:val="single" w:sz="4" w:space="0" w:color="000000"/>
              <w:left w:val="single" w:sz="4" w:space="0" w:color="000000"/>
              <w:bottom w:val="single" w:sz="4" w:space="0" w:color="000000"/>
              <w:right w:val="single" w:sz="4" w:space="0" w:color="000000"/>
            </w:tcBorders>
          </w:tcPr>
          <w:p w14:paraId="146C4181" w14:textId="77777777" w:rsidR="00D61DC8" w:rsidRDefault="00086E62">
            <w:pPr>
              <w:spacing w:after="0" w:line="259" w:lineRule="auto"/>
              <w:ind w:left="0" w:firstLine="0"/>
            </w:pPr>
            <w:r>
              <w:rPr>
                <w:sz w:val="20"/>
              </w:rPr>
              <w:t xml:space="preserve">n=33 adultos hipercolest erolêmicos </w:t>
            </w:r>
          </w:p>
        </w:tc>
        <w:tc>
          <w:tcPr>
            <w:tcW w:w="1275" w:type="dxa"/>
            <w:tcBorders>
              <w:top w:val="single" w:sz="4" w:space="0" w:color="000000"/>
              <w:left w:val="single" w:sz="4" w:space="0" w:color="000000"/>
              <w:bottom w:val="single" w:sz="4" w:space="0" w:color="000000"/>
              <w:right w:val="single" w:sz="4" w:space="0" w:color="000000"/>
            </w:tcBorders>
          </w:tcPr>
          <w:p w14:paraId="1819C0FE" w14:textId="77777777" w:rsidR="00D61DC8" w:rsidRDefault="00086E62">
            <w:pPr>
              <w:spacing w:after="0" w:line="259" w:lineRule="auto"/>
              <w:ind w:left="0" w:firstLine="0"/>
            </w:pPr>
            <w:r>
              <w:rPr>
                <w:sz w:val="20"/>
              </w:rPr>
              <w:t xml:space="preserve">Avaliar azeite enriquecido sobre HDL </w:t>
            </w:r>
          </w:p>
        </w:tc>
        <w:tc>
          <w:tcPr>
            <w:tcW w:w="991" w:type="dxa"/>
            <w:tcBorders>
              <w:top w:val="single" w:sz="4" w:space="0" w:color="000000"/>
              <w:left w:val="single" w:sz="4" w:space="0" w:color="000000"/>
              <w:bottom w:val="single" w:sz="4" w:space="0" w:color="000000"/>
              <w:right w:val="single" w:sz="4" w:space="0" w:color="000000"/>
            </w:tcBorders>
          </w:tcPr>
          <w:p w14:paraId="2F0D7C8F" w14:textId="77777777" w:rsidR="00D61DC8" w:rsidRDefault="00086E62">
            <w:pPr>
              <w:spacing w:after="0" w:line="259" w:lineRule="auto"/>
              <w:ind w:left="0" w:firstLine="0"/>
            </w:pPr>
            <w:r>
              <w:rPr>
                <w:sz w:val="20"/>
              </w:rPr>
              <w:t xml:space="preserve">Azeite virgem e enriquec ido </w:t>
            </w:r>
          </w:p>
        </w:tc>
        <w:tc>
          <w:tcPr>
            <w:tcW w:w="1135" w:type="dxa"/>
            <w:tcBorders>
              <w:top w:val="single" w:sz="4" w:space="0" w:color="000000"/>
              <w:left w:val="single" w:sz="4" w:space="0" w:color="000000"/>
              <w:bottom w:val="single" w:sz="4" w:space="0" w:color="000000"/>
              <w:right w:val="single" w:sz="4" w:space="0" w:color="000000"/>
            </w:tcBorders>
          </w:tcPr>
          <w:p w14:paraId="33703AD7" w14:textId="77777777" w:rsidR="00D61DC8" w:rsidRDefault="00086E62">
            <w:pPr>
              <w:spacing w:after="0" w:line="259" w:lineRule="auto"/>
              <w:ind w:left="5" w:firstLine="0"/>
            </w:pPr>
            <w:r>
              <w:rPr>
                <w:sz w:val="20"/>
              </w:rPr>
              <w:t xml:space="preserve">3 </w:t>
            </w:r>
          </w:p>
          <w:p w14:paraId="738E091E" w14:textId="77777777" w:rsidR="00D61DC8" w:rsidRDefault="00086E62">
            <w:pPr>
              <w:spacing w:after="0" w:line="259" w:lineRule="auto"/>
              <w:ind w:left="5" w:firstLine="0"/>
            </w:pPr>
            <w:r>
              <w:rPr>
                <w:sz w:val="20"/>
              </w:rPr>
              <w:t xml:space="preserve">semanas cada </w:t>
            </w:r>
          </w:p>
        </w:tc>
        <w:tc>
          <w:tcPr>
            <w:tcW w:w="1696" w:type="dxa"/>
            <w:tcBorders>
              <w:top w:val="single" w:sz="4" w:space="0" w:color="000000"/>
              <w:left w:val="single" w:sz="4" w:space="0" w:color="000000"/>
              <w:bottom w:val="single" w:sz="4" w:space="0" w:color="000000"/>
              <w:right w:val="single" w:sz="4" w:space="0" w:color="000000"/>
            </w:tcBorders>
          </w:tcPr>
          <w:p w14:paraId="2B00BAE3" w14:textId="77777777" w:rsidR="00D61DC8" w:rsidRDefault="00086E62">
            <w:pPr>
              <w:spacing w:after="0" w:line="259" w:lineRule="auto"/>
              <w:ind w:left="0" w:firstLine="0"/>
            </w:pPr>
            <w:r>
              <w:rPr>
                <w:sz w:val="20"/>
              </w:rPr>
              <w:t xml:space="preserve">↑ proteínas HDL benéficas; ↓ </w:t>
            </w:r>
            <w:r>
              <w:rPr>
                <w:sz w:val="20"/>
              </w:rPr>
              <w:t xml:space="preserve">inflamatórias </w:t>
            </w:r>
          </w:p>
        </w:tc>
      </w:tr>
      <w:tr w:rsidR="00D61DC8" w14:paraId="12576D35" w14:textId="77777777">
        <w:trPr>
          <w:trHeight w:val="1155"/>
        </w:trPr>
        <w:tc>
          <w:tcPr>
            <w:tcW w:w="846" w:type="dxa"/>
            <w:tcBorders>
              <w:top w:val="single" w:sz="4" w:space="0" w:color="000000"/>
              <w:left w:val="single" w:sz="4" w:space="0" w:color="000000"/>
              <w:bottom w:val="single" w:sz="4" w:space="0" w:color="000000"/>
              <w:right w:val="single" w:sz="4" w:space="0" w:color="000000"/>
            </w:tcBorders>
          </w:tcPr>
          <w:p w14:paraId="7FC6D6BC" w14:textId="77777777" w:rsidR="00D61DC8" w:rsidRDefault="00086E62">
            <w:pPr>
              <w:spacing w:after="0" w:line="259" w:lineRule="auto"/>
              <w:ind w:left="0" w:firstLine="0"/>
            </w:pPr>
            <w:r>
              <w:rPr>
                <w:sz w:val="20"/>
              </w:rPr>
              <w:t xml:space="preserve">Teng </w:t>
            </w:r>
          </w:p>
          <w:p w14:paraId="0A28D72C" w14:textId="77777777" w:rsidR="00D61DC8" w:rsidRDefault="00086E62">
            <w:pPr>
              <w:spacing w:after="0" w:line="259" w:lineRule="auto"/>
              <w:ind w:left="0" w:firstLine="0"/>
            </w:pPr>
            <w:r>
              <w:rPr>
                <w:sz w:val="20"/>
              </w:rPr>
              <w:t xml:space="preserve">et al., </w:t>
            </w:r>
          </w:p>
          <w:p w14:paraId="5BD3639D" w14:textId="77777777" w:rsidR="00D61DC8" w:rsidRDefault="00086E62">
            <w:pPr>
              <w:spacing w:after="0" w:line="259" w:lineRule="auto"/>
              <w:ind w:left="0" w:firstLine="0"/>
            </w:pPr>
            <w:r>
              <w:rPr>
                <w:sz w:val="20"/>
              </w:rPr>
              <w:t xml:space="preserve">2011 </w:t>
            </w:r>
          </w:p>
        </w:tc>
        <w:tc>
          <w:tcPr>
            <w:tcW w:w="996" w:type="dxa"/>
            <w:tcBorders>
              <w:top w:val="single" w:sz="4" w:space="0" w:color="000000"/>
              <w:left w:val="single" w:sz="4" w:space="0" w:color="000000"/>
              <w:bottom w:val="single" w:sz="4" w:space="0" w:color="000000"/>
              <w:right w:val="single" w:sz="4" w:space="0" w:color="000000"/>
            </w:tcBorders>
          </w:tcPr>
          <w:p w14:paraId="57A15374" w14:textId="77777777" w:rsidR="00D61DC8" w:rsidRDefault="00086E62">
            <w:pPr>
              <w:spacing w:after="0" w:line="259" w:lineRule="auto"/>
              <w:ind w:left="5" w:firstLine="0"/>
            </w:pPr>
            <w:r>
              <w:rPr>
                <w:sz w:val="20"/>
              </w:rPr>
              <w:t xml:space="preserve">ECR </w:t>
            </w:r>
          </w:p>
          <w:p w14:paraId="630B65AD" w14:textId="77777777" w:rsidR="00D61DC8" w:rsidRDefault="00086E62">
            <w:pPr>
              <w:spacing w:after="0" w:line="259" w:lineRule="auto"/>
              <w:ind w:left="5" w:firstLine="0"/>
            </w:pPr>
            <w:r>
              <w:rPr>
                <w:sz w:val="20"/>
              </w:rPr>
              <w:t xml:space="preserve">cruzado </w:t>
            </w:r>
          </w:p>
        </w:tc>
        <w:tc>
          <w:tcPr>
            <w:tcW w:w="850" w:type="dxa"/>
            <w:tcBorders>
              <w:top w:val="single" w:sz="4" w:space="0" w:color="000000"/>
              <w:left w:val="single" w:sz="4" w:space="0" w:color="000000"/>
              <w:bottom w:val="single" w:sz="4" w:space="0" w:color="000000"/>
              <w:right w:val="single" w:sz="4" w:space="0" w:color="000000"/>
            </w:tcBorders>
          </w:tcPr>
          <w:p w14:paraId="47488433" w14:textId="77777777" w:rsidR="00D61DC8" w:rsidRDefault="00086E62">
            <w:pPr>
              <w:spacing w:after="0" w:line="259" w:lineRule="auto"/>
              <w:ind w:left="0" w:firstLine="0"/>
            </w:pPr>
            <w:r>
              <w:rPr>
                <w:sz w:val="20"/>
              </w:rPr>
              <w:t xml:space="preserve">Malási a </w:t>
            </w:r>
          </w:p>
        </w:tc>
        <w:tc>
          <w:tcPr>
            <w:tcW w:w="1276" w:type="dxa"/>
            <w:tcBorders>
              <w:top w:val="single" w:sz="4" w:space="0" w:color="000000"/>
              <w:left w:val="single" w:sz="4" w:space="0" w:color="000000"/>
              <w:bottom w:val="single" w:sz="4" w:space="0" w:color="000000"/>
              <w:right w:val="single" w:sz="4" w:space="0" w:color="000000"/>
            </w:tcBorders>
          </w:tcPr>
          <w:p w14:paraId="44047703" w14:textId="77777777" w:rsidR="00D61DC8" w:rsidRDefault="00086E62">
            <w:pPr>
              <w:spacing w:after="0" w:line="259" w:lineRule="auto"/>
              <w:ind w:left="0" w:firstLine="0"/>
            </w:pPr>
            <w:r>
              <w:rPr>
                <w:sz w:val="20"/>
              </w:rPr>
              <w:t xml:space="preserve">n=10 homens saudáveis </w:t>
            </w:r>
          </w:p>
        </w:tc>
        <w:tc>
          <w:tcPr>
            <w:tcW w:w="1275" w:type="dxa"/>
            <w:tcBorders>
              <w:top w:val="single" w:sz="4" w:space="0" w:color="000000"/>
              <w:left w:val="single" w:sz="4" w:space="0" w:color="000000"/>
              <w:bottom w:val="single" w:sz="4" w:space="0" w:color="000000"/>
              <w:right w:val="single" w:sz="4" w:space="0" w:color="000000"/>
            </w:tcBorders>
          </w:tcPr>
          <w:p w14:paraId="7A5689CD" w14:textId="77777777" w:rsidR="00D61DC8" w:rsidRDefault="00086E62">
            <w:pPr>
              <w:spacing w:after="0" w:line="240" w:lineRule="auto"/>
              <w:ind w:left="0" w:firstLine="0"/>
            </w:pPr>
            <w:r>
              <w:rPr>
                <w:sz w:val="20"/>
              </w:rPr>
              <w:t xml:space="preserve">Comparar banha, </w:t>
            </w:r>
          </w:p>
          <w:p w14:paraId="64F163E6" w14:textId="77777777" w:rsidR="00D61DC8" w:rsidRDefault="00086E62">
            <w:pPr>
              <w:spacing w:after="0" w:line="259" w:lineRule="auto"/>
              <w:ind w:left="0" w:firstLine="0"/>
            </w:pPr>
            <w:r>
              <w:rPr>
                <w:sz w:val="20"/>
              </w:rPr>
              <w:t xml:space="preserve">azeite e palma na lipemia </w:t>
            </w:r>
          </w:p>
        </w:tc>
        <w:tc>
          <w:tcPr>
            <w:tcW w:w="991" w:type="dxa"/>
            <w:tcBorders>
              <w:top w:val="single" w:sz="4" w:space="0" w:color="000000"/>
              <w:left w:val="single" w:sz="4" w:space="0" w:color="000000"/>
              <w:bottom w:val="single" w:sz="4" w:space="0" w:color="000000"/>
              <w:right w:val="single" w:sz="4" w:space="0" w:color="000000"/>
            </w:tcBorders>
          </w:tcPr>
          <w:p w14:paraId="1B925416" w14:textId="77777777" w:rsidR="00D61DC8" w:rsidRDefault="00086E62">
            <w:pPr>
              <w:spacing w:after="0" w:line="259" w:lineRule="auto"/>
              <w:ind w:left="0" w:firstLine="0"/>
            </w:pPr>
            <w:r>
              <w:rPr>
                <w:sz w:val="20"/>
              </w:rPr>
              <w:t xml:space="preserve">Banha, azeite, palma </w:t>
            </w:r>
          </w:p>
        </w:tc>
        <w:tc>
          <w:tcPr>
            <w:tcW w:w="1135" w:type="dxa"/>
            <w:tcBorders>
              <w:top w:val="single" w:sz="4" w:space="0" w:color="000000"/>
              <w:left w:val="single" w:sz="4" w:space="0" w:color="000000"/>
              <w:bottom w:val="single" w:sz="4" w:space="0" w:color="000000"/>
              <w:right w:val="single" w:sz="4" w:space="0" w:color="000000"/>
            </w:tcBorders>
          </w:tcPr>
          <w:p w14:paraId="57B08830" w14:textId="77777777" w:rsidR="00D61DC8" w:rsidRDefault="00086E62">
            <w:pPr>
              <w:spacing w:after="0" w:line="259" w:lineRule="auto"/>
              <w:ind w:left="5" w:firstLine="0"/>
            </w:pPr>
            <w:r>
              <w:rPr>
                <w:sz w:val="20"/>
              </w:rPr>
              <w:t xml:space="preserve">3 refeições </w:t>
            </w:r>
          </w:p>
        </w:tc>
        <w:tc>
          <w:tcPr>
            <w:tcW w:w="1696" w:type="dxa"/>
            <w:tcBorders>
              <w:top w:val="single" w:sz="4" w:space="0" w:color="000000"/>
              <w:left w:val="single" w:sz="4" w:space="0" w:color="000000"/>
              <w:bottom w:val="single" w:sz="4" w:space="0" w:color="000000"/>
              <w:right w:val="single" w:sz="4" w:space="0" w:color="000000"/>
            </w:tcBorders>
          </w:tcPr>
          <w:p w14:paraId="2A657C1F" w14:textId="77777777" w:rsidR="00D61DC8" w:rsidRDefault="00086E62">
            <w:pPr>
              <w:spacing w:after="0" w:line="259" w:lineRule="auto"/>
              <w:ind w:left="0" w:firstLine="0"/>
            </w:pPr>
            <w:r>
              <w:rPr>
                <w:sz w:val="20"/>
              </w:rPr>
              <w:t xml:space="preserve">Banha: ↓ </w:t>
            </w:r>
            <w:r>
              <w:rPr>
                <w:sz w:val="20"/>
              </w:rPr>
              <w:t xml:space="preserve">lipemia; </w:t>
            </w:r>
            <w:r>
              <w:rPr>
                <w:sz w:val="20"/>
              </w:rPr>
              <w:t xml:space="preserve">palma/azeite: ↑ </w:t>
            </w:r>
            <w:r>
              <w:rPr>
                <w:sz w:val="20"/>
              </w:rPr>
              <w:t xml:space="preserve">lipemia </w:t>
            </w:r>
          </w:p>
        </w:tc>
      </w:tr>
    </w:tbl>
    <w:p w14:paraId="3F0549B8" w14:textId="77777777" w:rsidR="00D61DC8" w:rsidRDefault="00086E62">
      <w:pPr>
        <w:spacing w:after="460" w:line="225" w:lineRule="auto"/>
        <w:ind w:left="-5"/>
      </w:pPr>
      <w:r>
        <w:rPr>
          <w:sz w:val="20"/>
        </w:rPr>
        <w:t>Legenda: CT: colesterol total , EVOO: azeite de óleo extra virgem , IMC: índice de massa corporal, LDL-c: Lipoproteína de Baixa Densidade (colesterol LDL), TG: triglicerídeos.</w:t>
      </w:r>
      <w:r>
        <w:t xml:space="preserve"> </w:t>
      </w:r>
    </w:p>
    <w:p w14:paraId="48E9EBEA" w14:textId="77777777" w:rsidR="00D61DC8" w:rsidRDefault="00086E62">
      <w:pPr>
        <w:spacing w:after="217" w:line="259" w:lineRule="auto"/>
        <w:ind w:left="0" w:firstLine="0"/>
      </w:pPr>
      <w:r>
        <w:rPr>
          <w:sz w:val="20"/>
        </w:rPr>
        <w:t xml:space="preserve"> </w:t>
      </w:r>
    </w:p>
    <w:p w14:paraId="510C4234" w14:textId="77777777" w:rsidR="00D61DC8" w:rsidRDefault="00086E62">
      <w:pPr>
        <w:spacing w:after="531" w:line="265" w:lineRule="auto"/>
        <w:ind w:left="-5"/>
      </w:pPr>
      <w:r>
        <w:rPr>
          <w:rFonts w:cs="Arial"/>
          <w:b/>
        </w:rPr>
        <w:t>DISCUSSÃO</w:t>
      </w:r>
      <w:r>
        <w:t xml:space="preserve"> </w:t>
      </w:r>
    </w:p>
    <w:p w14:paraId="5E54A8B2" w14:textId="77777777" w:rsidR="00D61DC8" w:rsidRDefault="00086E62">
      <w:pPr>
        <w:spacing w:after="280"/>
        <w:ind w:left="-5" w:right="12"/>
      </w:pPr>
      <w:r>
        <w:t>A literatura científica analisada reforça que os diferentes tipos de gordura utilizados na cocção exercem papéis determinantes no perfil lipídico e, consequentemente, na saúde cardiovascular da população. Os óleos vegetais, especialmente aqueles ricos em ácidos graxos poli-insaturados, como o ômega-3 e o ômega-6, são amplamente reconhecidos por promoverem efeitos cardioprotetores, atuando na modulação de lipoproteínas e na redução de marcadores inflamatórios (SANTOS et al., 2021; SOUZA et al., 2019). A pres</w:t>
      </w:r>
      <w:r>
        <w:t xml:space="preserve">ença de duplas ligações em suas estruturas químicas contribui para maior fluidez das membranas celulares, o que facilita o transporte adequado de lipídios e impede a formação de placas ateroscleróticas (PEREIRA et al., 2020). </w:t>
      </w:r>
    </w:p>
    <w:p w14:paraId="70D88C67" w14:textId="77777777" w:rsidR="00D61DC8" w:rsidRDefault="00086E62">
      <w:pPr>
        <w:spacing w:after="278"/>
        <w:ind w:left="-5" w:right="12"/>
      </w:pPr>
      <w:r>
        <w:t>Por outro lado, as gorduras saturadas, como a banha de porco e a manteiga, apresentam cadeias lineares com ligações simples que favorecem a rigidez da membrana celular e a deposição de colesterol nas artérias. Isso contribui diretamente para o aumento de LDL-c e triglicerídeos no sangue, além de um maior risco de doenças cardiovasculares (MENDES et al., 2018). De forma semelhante, os ácidos graxos trans, frequentemente presentes em alimentos industrializados e gorduras hidrogenadas, foram associados a alter</w:t>
      </w:r>
      <w:r>
        <w:t xml:space="preserve">ações significativas no metabolismo lipídico, promovendo resistência à insulina e inflamação crônica de baixo grau (CARVALHO et al., 2022). </w:t>
      </w:r>
    </w:p>
    <w:p w14:paraId="3E8F4028" w14:textId="77777777" w:rsidR="00D61DC8" w:rsidRDefault="00086E62">
      <w:pPr>
        <w:spacing w:after="283"/>
        <w:ind w:left="-5" w:right="12"/>
      </w:pPr>
      <w:r>
        <w:t>As disparidades entre os efeitos das gorduras de origem animal e vegetal estão bem documentadas. Enquanto as gorduras de origem animal são ricas em ácidos graxos saturados e colesterol, os óleos vegetais fornecem ácidos graxos essenciais que o organismo não consegue sintetizar, como o ácido linoleico e o ácido alfa-linolênico. Estudos apontam que o consumo regular desses ácidos graxos está associado à melhora do perfil lipídico e à redução do risco de eventos cardiovasculares (ALMEIDA et al., 2021; OLIVEIRA</w:t>
      </w:r>
      <w:r>
        <w:t xml:space="preserve"> et al., 2023). </w:t>
      </w:r>
    </w:p>
    <w:p w14:paraId="189D1839" w14:textId="77777777" w:rsidR="00D61DC8" w:rsidRDefault="00086E62">
      <w:pPr>
        <w:spacing w:after="3"/>
        <w:ind w:left="-5" w:right="12"/>
      </w:pPr>
      <w:r>
        <w:t xml:space="preserve">Outro aspecto importante abordado na literatura diz respeito ao contexto socioeconômico da população brasileira, que influencia diretamente a escolha do tipo de gordura utilizado na cocção. Em famílias de baixa renda, a preferência por óleos vegetais refinados, como o de soja, e por gorduras de origem animal, como banha, é justificada pelo menor custo e maior acessibilidade desses produtos </w:t>
      </w:r>
    </w:p>
    <w:p w14:paraId="5DB70671" w14:textId="77777777" w:rsidR="00D61DC8" w:rsidRDefault="00086E62">
      <w:pPr>
        <w:spacing w:after="278"/>
        <w:ind w:left="-5" w:right="12"/>
      </w:pPr>
      <w:r>
        <w:t xml:space="preserve">(FERREIRA et al., 2022). Essa realidade impõe um desafio às políticas públicas de saúde, que devem considerar não apenas os aspectos nutricionais, mas também a viabilidade econômica das orientações alimentares. </w:t>
      </w:r>
    </w:p>
    <w:p w14:paraId="517EFEAE" w14:textId="77777777" w:rsidR="00D61DC8" w:rsidRDefault="00086E62">
      <w:pPr>
        <w:spacing w:after="283"/>
        <w:ind w:left="-5" w:right="12"/>
      </w:pPr>
      <w:r>
        <w:t>Os hábitos alimentares da população também são apontados como fator central na prevalência da dislipidemia. O consumo elevado de frituras, alimentos ultraprocessados e preparações que utilizam grande quantidade de óleos de baixa qualidade nutricional são práticas comuns que contribuem para o desequilíbrio do metabolismo lipídico (SILVA et al., 2022). A substituição gradual por métodos de cocção mais saudáveis, como grelhados, assados e cozidos, além da escolha consciente de óleos ricos em gorduras mono e po</w:t>
      </w:r>
      <w:r>
        <w:t xml:space="preserve">li-insaturadas, pode representar uma estratégia eficaz na prevenção e controle da dislipidemia. </w:t>
      </w:r>
    </w:p>
    <w:p w14:paraId="0FFD4D0E" w14:textId="77777777" w:rsidR="00D61DC8" w:rsidRDefault="00086E62">
      <w:pPr>
        <w:spacing w:after="278"/>
        <w:ind w:left="-5" w:right="12"/>
      </w:pPr>
      <w:r>
        <w:t>É importante destacar ainda o papel dos ácidos graxos essenciais na manutenção da homeostase lipídica. O ômega-3, por exemplo, tem ação anti-inflamatória e é capaz de modular a expressão gênica de enzimas envolvidas na síntese de lipídios, além de reduzir os níveis de triglicerídeos e melhorar a sensibilidade à insulina (SOUSA et al., 2020). Por outro lado, o excesso de ômega-6, sem o equilíbrio adequado com o ômega-3, pode ter efeitos pró-inflamatórios, ressaltando a importância da proporção entre esses ác</w:t>
      </w:r>
      <w:r>
        <w:t xml:space="preserve">idos graxos na dieta (LIMA et al., 2021). </w:t>
      </w:r>
    </w:p>
    <w:p w14:paraId="0381BE86" w14:textId="77777777" w:rsidR="00D61DC8" w:rsidRDefault="00086E62">
      <w:pPr>
        <w:ind w:left="-5" w:right="12"/>
      </w:pPr>
      <w:r>
        <w:t xml:space="preserve">As evidências demonstram ainda que a gordura utilizada na cocção não apenas impacta os marcadores bioquímicos de forma direta, mas também pode interagir com outros fatores de risco, como sedentarismo, obesidade e hipertensão. Em especial, indivíduos com sobrepeso apresentam maior sensibilidade a alterações no tipo de gordura ingerida, reforçando a necessidade de intervenções dietéticas mais específicas nesse grupo (RODRIGUES et al., 2020). </w:t>
      </w:r>
    </w:p>
    <w:p w14:paraId="2376C325" w14:textId="77777777" w:rsidR="00D61DC8" w:rsidRDefault="00086E62">
      <w:pPr>
        <w:spacing w:after="278"/>
        <w:ind w:left="-5" w:right="12"/>
      </w:pPr>
      <w:r>
        <w:t xml:space="preserve">Estudos apontam que o consumo de óleo de coco, apesar de sua popularização </w:t>
      </w:r>
      <w:r>
        <w:rPr>
          <w:rFonts w:cs="Arial"/>
        </w:rPr>
        <w:t xml:space="preserve">como “gordura saudável”, não apresenta benefícios consistentes sobre o perfil </w:t>
      </w:r>
      <w:r>
        <w:t xml:space="preserve">lipídico e pode até elevar os níveis de LDL-c quando comparado a óleos poliinsaturados (LOPES et al., 2020). Em contrapartida, o azeite de oliva extra virgem demonstra efeitos antioxidantes e anti-inflamatórios mais expressivos, contribuindo para redução do estresse oxidativo e melhora do HDL-c (CASTRO et al., 2023). </w:t>
      </w:r>
    </w:p>
    <w:p w14:paraId="1E291937" w14:textId="77777777" w:rsidR="00D61DC8" w:rsidRDefault="00086E62">
      <w:pPr>
        <w:spacing w:after="278"/>
        <w:ind w:left="-5" w:right="12"/>
      </w:pPr>
      <w:r>
        <w:t>Frente a essas evidências, os autores convergem na defesa de medidas de educação nutricional voltadas à promoção de escolhas alimentares mais saudáveis e conscientes. Também há consenso sobre a importância da atuação do poder público na regulação do uso de gorduras pela indústria alimentícia e no fomento de políticas que possibilitem o acesso a alimentos de melhor qualidade nutricional por toda a população (COSTA et al., 2023). A literatura analisada respalda, portanto, a recomendação de substituição das go</w:t>
      </w:r>
      <w:r>
        <w:t xml:space="preserve">rduras saturadas por insaturadas como medida efetiva na redução dos índices de dislipidemia no Brasil. </w:t>
      </w:r>
    </w:p>
    <w:p w14:paraId="29B9245B" w14:textId="77777777" w:rsidR="00D61DC8" w:rsidRDefault="00086E62">
      <w:pPr>
        <w:ind w:left="-5" w:right="12"/>
      </w:pPr>
      <w:r>
        <w:t>De acordo com as diretrizes da Organização Mundial da Saúde (OMS) e da Sociedade Brasileira de Cardiologia (SBC), recomenda-se que o consumo de gorduras saturadas seja limitado a menos de 10% do valor energético total (VET) diário, sendo idealmente reduzido para menos de 7% em indivíduos com risco cardiovascular elevado. Tal recomendação visa reduzir os níveis de LDL-colesterol plasmático, principal lipoproteína associada ao desenvolvimento de aterosclerose. Por outro lado, incentiva-se a substituição das g</w:t>
      </w:r>
      <w:r>
        <w:t>orduras saturadas por gorduras polinsaturadas, como os ácidos graxos ômega-3 e ômega-6, cujos efeitos benéficos incluem a redução de triglicerídeos séricos, ação anti-inflamatória e melhora da função endotelial. Estima-se que, para cada 5% de substituição calórica de gordura saturada por polinsaturada, o risco de eventos cardiovasculares pode ser reduzido em até 10% (SBC, 2022; WHO, 2018). Portanto, a qualidade lipídica da dieta exerce papel crucial na prevenção e controle da dislipidemia, sendo fundamental</w:t>
      </w:r>
      <w:r>
        <w:t xml:space="preserve"> considerar tanto o tipo de gordura utilizada na cocção quanto as práticas alimentares da população. </w:t>
      </w:r>
    </w:p>
    <w:p w14:paraId="3EB47493" w14:textId="77777777" w:rsidR="00D61DC8" w:rsidRDefault="00086E62">
      <w:pPr>
        <w:spacing w:after="446" w:line="265" w:lineRule="auto"/>
        <w:ind w:left="-5"/>
      </w:pPr>
      <w:r>
        <w:rPr>
          <w:rFonts w:cs="Arial"/>
          <w:b/>
        </w:rPr>
        <w:t>CONCLUSÃO</w:t>
      </w:r>
      <w:r>
        <w:t xml:space="preserve"> </w:t>
      </w:r>
    </w:p>
    <w:p w14:paraId="2BE90A1D" w14:textId="77777777" w:rsidR="00D61DC8" w:rsidRDefault="00086E62">
      <w:pPr>
        <w:ind w:left="-5" w:right="12"/>
      </w:pPr>
      <w:r>
        <w:t>A presente revisão bibliográfica demonstrou que o tipo de gordura utilizada na cocção dos alimentos exerce influência significativa sobre o perfil lipídico dos indivíduos, respondendo diretamente ao objetivo proposto. Evidenciou-se que o consumo excessivo de gorduras saturadas, principalmente de origem animal, como banha e manteiga, está associado ao aumento do colesterol LDL, triglicerídeos e ao risco de dislipidemias, enquanto a substituição por gorduras insaturadas, especialmente as poli-insaturadas como</w:t>
      </w:r>
      <w:r>
        <w:t xml:space="preserve"> azeite de oliva e óleos vegetais ricos em ômega-3, tem efeito benéfico na prevenção e no controle de alterações lipídicas e doenças cardiovasculares. Como lacuna identificada, destaca-se a escassez de estudos brasileiros que abordem especificamente o impacto dos hábitos de cocção e reutilização de óleos sobre os lipídios séricos da população adulta, sugerindo-se, portanto, a realização de investigações longitudinais e de caráter populacional que considerem também aspectos socioeconômicos, culturais e de ac</w:t>
      </w:r>
      <w:r>
        <w:t xml:space="preserve">esso a alimentos saudáveis. Por fim, ressalta-se a relevância do nutricionista nesse contexto, tanto na elaboração de estratégias educativas que promovam escolhas alimentares mais adequadas quanto na orientação sobre métodos de cocção mais saudáveis, contribuindo de forma decisiva para a prevenção da dislipidemia e a promoção da saúde cardiovascular da população. </w:t>
      </w:r>
    </w:p>
    <w:p w14:paraId="2635C4CA" w14:textId="77777777" w:rsidR="00D61DC8" w:rsidRDefault="00086E62">
      <w:pPr>
        <w:spacing w:after="446" w:line="265" w:lineRule="auto"/>
        <w:ind w:left="-5"/>
      </w:pPr>
      <w:r>
        <w:rPr>
          <w:rFonts w:cs="Arial"/>
          <w:b/>
        </w:rPr>
        <w:t>AGRADECIMENTOS</w:t>
      </w:r>
      <w:r>
        <w:t xml:space="preserve"> </w:t>
      </w:r>
    </w:p>
    <w:p w14:paraId="77CB5372" w14:textId="77777777" w:rsidR="00D61DC8" w:rsidRDefault="00086E62">
      <w:pPr>
        <w:ind w:left="-5" w:right="12"/>
      </w:pPr>
      <w:r>
        <w:t xml:space="preserve">Agradecemos à Pontifícia Universidade Católica de Goiás (PUC Goiás) e à orientadora Vanessa Roriz Ferreira de Abreu pelo apoio e acompanhamento durante o desenvolvimento deste trabalho. </w:t>
      </w:r>
    </w:p>
    <w:p w14:paraId="4E4D22FE" w14:textId="77777777" w:rsidR="00D61DC8" w:rsidRDefault="00086E62">
      <w:pPr>
        <w:spacing w:after="457" w:line="259" w:lineRule="auto"/>
        <w:ind w:left="0" w:firstLine="0"/>
      </w:pPr>
      <w:r>
        <w:t xml:space="preserve"> </w:t>
      </w:r>
    </w:p>
    <w:p w14:paraId="00443761" w14:textId="77777777" w:rsidR="00D61DC8" w:rsidRDefault="00086E62">
      <w:pPr>
        <w:spacing w:after="446" w:line="265" w:lineRule="auto"/>
        <w:ind w:left="-5"/>
      </w:pPr>
      <w:r>
        <w:rPr>
          <w:rFonts w:cs="Arial"/>
          <w:b/>
        </w:rPr>
        <w:t>CONFLITO DE INTERESSE:</w:t>
      </w:r>
      <w:r>
        <w:t xml:space="preserve"> não possui. </w:t>
      </w:r>
    </w:p>
    <w:p w14:paraId="540D3431" w14:textId="77777777" w:rsidR="00D61DC8" w:rsidRDefault="00086E62">
      <w:pPr>
        <w:spacing w:after="452" w:line="259" w:lineRule="auto"/>
        <w:ind w:left="0" w:firstLine="0"/>
      </w:pPr>
      <w:r>
        <w:rPr>
          <w:rFonts w:cs="Arial"/>
          <w:b/>
        </w:rPr>
        <w:t xml:space="preserve"> </w:t>
      </w:r>
    </w:p>
    <w:p w14:paraId="19981F3C" w14:textId="77777777" w:rsidR="00D61DC8" w:rsidRDefault="00086E62">
      <w:pPr>
        <w:spacing w:after="491" w:line="265" w:lineRule="auto"/>
        <w:ind w:left="-5"/>
      </w:pPr>
      <w:r>
        <w:rPr>
          <w:rFonts w:cs="Arial"/>
          <w:b/>
        </w:rPr>
        <w:t>REFERÊNCIAS</w:t>
      </w:r>
      <w:r>
        <w:t xml:space="preserve"> </w:t>
      </w:r>
    </w:p>
    <w:p w14:paraId="7BF30414" w14:textId="77777777" w:rsidR="00D61DC8" w:rsidRDefault="00086E62">
      <w:pPr>
        <w:spacing w:after="214" w:line="265" w:lineRule="auto"/>
        <w:ind w:left="-5"/>
      </w:pPr>
      <w:r>
        <w:t xml:space="preserve">Amorim, P. A. </w:t>
      </w:r>
      <w:r>
        <w:rPr>
          <w:rFonts w:cs="Arial"/>
          <w:b/>
        </w:rPr>
        <w:t>Distribuição da gordura corpórea como fator de risco no desenvolvimento de doenças arteriais coronarianas: uma revisão de literatura.</w:t>
      </w:r>
      <w:r>
        <w:t xml:space="preserve"> </w:t>
      </w:r>
      <w:r>
        <w:rPr>
          <w:rFonts w:cs="Arial"/>
          <w:i/>
        </w:rPr>
        <w:t>Revista Brasileira de Atividade Física e Saúde</w:t>
      </w:r>
      <w:r>
        <w:t>, Londrina, v. 2, n. 4, p. 59</w:t>
      </w:r>
      <w:r>
        <w:rPr>
          <w:rFonts w:cs="Arial"/>
        </w:rPr>
        <w:t>–</w:t>
      </w:r>
      <w:r>
        <w:t>75, 1997.</w:t>
      </w:r>
      <w:r>
        <w:rPr>
          <w:rFonts w:ascii="Cambria" w:eastAsia="Cambria" w:hAnsi="Cambria" w:cs="Cambria"/>
          <w:sz w:val="22"/>
        </w:rPr>
        <w:t xml:space="preserve"> </w:t>
      </w:r>
    </w:p>
    <w:p w14:paraId="34F077D1" w14:textId="77777777" w:rsidR="00D61DC8" w:rsidRDefault="00086E62">
      <w:pPr>
        <w:spacing w:after="214" w:line="265" w:lineRule="auto"/>
        <w:ind w:left="-5"/>
      </w:pPr>
      <w:r>
        <w:t xml:space="preserve">Bacurau, R. F. et al. </w:t>
      </w:r>
      <w:r>
        <w:rPr>
          <w:rFonts w:cs="Arial"/>
          <w:b/>
        </w:rPr>
        <w:t>Hipertrofia e hiperplasia: fisiologia, nutrição e treinamento do crescimento muscular.</w:t>
      </w:r>
      <w:r>
        <w:t xml:space="preserve"> São Paulo: Phorte, 2001.</w:t>
      </w:r>
      <w:r>
        <w:rPr>
          <w:rFonts w:ascii="Cambria" w:eastAsia="Cambria" w:hAnsi="Cambria" w:cs="Cambria"/>
          <w:sz w:val="22"/>
        </w:rPr>
        <w:t xml:space="preserve"> </w:t>
      </w:r>
    </w:p>
    <w:p w14:paraId="08314CD8" w14:textId="77777777" w:rsidR="00D61DC8" w:rsidRDefault="00086E62">
      <w:pPr>
        <w:spacing w:after="239" w:line="240" w:lineRule="auto"/>
        <w:ind w:left="-5" w:right="12"/>
      </w:pPr>
      <w:r>
        <w:t xml:space="preserve">Brasil. Ministério da Saúde. </w:t>
      </w:r>
      <w:r>
        <w:rPr>
          <w:rFonts w:cs="Arial"/>
          <w:b/>
        </w:rPr>
        <w:t>Política Nacional de Alimentação e Nutrição.</w:t>
      </w:r>
      <w:r>
        <w:t xml:space="preserve"> Brasília: Ministério da Saúde, 2012.</w:t>
      </w:r>
      <w:r>
        <w:rPr>
          <w:rFonts w:ascii="Cambria" w:eastAsia="Cambria" w:hAnsi="Cambria" w:cs="Cambria"/>
          <w:sz w:val="22"/>
        </w:rPr>
        <w:t xml:space="preserve"> </w:t>
      </w:r>
    </w:p>
    <w:p w14:paraId="665DAB9F" w14:textId="77777777" w:rsidR="00D61DC8" w:rsidRDefault="00086E62">
      <w:pPr>
        <w:spacing w:after="240" w:line="239" w:lineRule="auto"/>
        <w:ind w:left="-5" w:right="12"/>
      </w:pPr>
      <w:r>
        <w:t xml:space="preserve">Brasil. Ministério da Saúde. </w:t>
      </w:r>
      <w:r>
        <w:rPr>
          <w:rFonts w:cs="Arial"/>
          <w:b/>
        </w:rPr>
        <w:t>Guia Alimentar para a População Brasileira.</w:t>
      </w:r>
      <w:r>
        <w:t xml:space="preserve"> 2. ed. Brasília: Ministério da Saúde, 2014.</w:t>
      </w:r>
      <w:r>
        <w:rPr>
          <w:rFonts w:ascii="Cambria" w:eastAsia="Cambria" w:hAnsi="Cambria" w:cs="Cambria"/>
          <w:sz w:val="22"/>
        </w:rPr>
        <w:t xml:space="preserve"> </w:t>
      </w:r>
    </w:p>
    <w:p w14:paraId="328DD299" w14:textId="77777777" w:rsidR="00D61DC8" w:rsidRDefault="00086E62">
      <w:pPr>
        <w:spacing w:after="235" w:line="244" w:lineRule="auto"/>
        <w:ind w:left="-5" w:right="12"/>
      </w:pPr>
      <w:r>
        <w:t xml:space="preserve">Bray, G. A. </w:t>
      </w:r>
      <w:r>
        <w:rPr>
          <w:rFonts w:cs="Arial"/>
          <w:b/>
        </w:rPr>
        <w:t>Why do we eat too much? Pathways to obesity.</w:t>
      </w:r>
      <w:r>
        <w:t xml:space="preserve"> </w:t>
      </w:r>
      <w:r>
        <w:rPr>
          <w:rFonts w:cs="Arial"/>
          <w:i/>
        </w:rPr>
        <w:t>Physiology &amp; Behavior</w:t>
      </w:r>
      <w:r>
        <w:t>, Burlington, v. 106, n. 3, p. 369</w:t>
      </w:r>
      <w:r>
        <w:rPr>
          <w:rFonts w:cs="Arial"/>
        </w:rPr>
        <w:t>–</w:t>
      </w:r>
      <w:r>
        <w:t>373, 2012.</w:t>
      </w:r>
      <w:r>
        <w:rPr>
          <w:rFonts w:ascii="Cambria" w:eastAsia="Cambria" w:hAnsi="Cambria" w:cs="Cambria"/>
          <w:sz w:val="22"/>
        </w:rPr>
        <w:t xml:space="preserve"> </w:t>
      </w:r>
    </w:p>
    <w:p w14:paraId="05D4F746" w14:textId="77777777" w:rsidR="00D61DC8" w:rsidRDefault="00086E62">
      <w:pPr>
        <w:spacing w:line="259" w:lineRule="auto"/>
        <w:ind w:left="-5" w:right="12"/>
      </w:pPr>
      <w:r>
        <w:t xml:space="preserve">Cardoso, M. A. </w:t>
      </w:r>
      <w:r>
        <w:rPr>
          <w:rFonts w:cs="Arial"/>
          <w:b/>
        </w:rPr>
        <w:t>Introdução à nutrição.</w:t>
      </w:r>
      <w:r>
        <w:t xml:space="preserve"> Rio de Janeiro: Guanabara Koogan, 2017.</w:t>
      </w:r>
      <w:r>
        <w:rPr>
          <w:rFonts w:ascii="Cambria" w:eastAsia="Cambria" w:hAnsi="Cambria" w:cs="Cambria"/>
          <w:sz w:val="22"/>
        </w:rPr>
        <w:t xml:space="preserve"> </w:t>
      </w:r>
    </w:p>
    <w:p w14:paraId="561EFB0A" w14:textId="77777777" w:rsidR="00D61DC8" w:rsidRDefault="00086E62">
      <w:pPr>
        <w:spacing w:after="242" w:line="240" w:lineRule="auto"/>
        <w:ind w:left="-5" w:right="192"/>
        <w:jc w:val="both"/>
      </w:pPr>
      <w:r>
        <w:t xml:space="preserve">Carvalho, C. A.; Cunha, D. B.; Fonseca, P. C. A.; Barbosa, J. B. </w:t>
      </w:r>
      <w:r>
        <w:rPr>
          <w:rFonts w:cs="Arial"/>
          <w:b/>
        </w:rPr>
        <w:t>Padrão alimentar, consumo de gordura e risco de dislipidemia em adultos.</w:t>
      </w:r>
      <w:r>
        <w:t xml:space="preserve"> </w:t>
      </w:r>
      <w:r>
        <w:rPr>
          <w:rFonts w:cs="Arial"/>
          <w:i/>
        </w:rPr>
        <w:t>Cadernos de Saúde Pública</w:t>
      </w:r>
      <w:r>
        <w:t>, Rio de Janeiro, v. 35, n. 6, p. e00061918, 2019.</w:t>
      </w:r>
      <w:r>
        <w:rPr>
          <w:rFonts w:ascii="Cambria" w:eastAsia="Cambria" w:hAnsi="Cambria" w:cs="Cambria"/>
          <w:sz w:val="22"/>
        </w:rPr>
        <w:t xml:space="preserve"> </w:t>
      </w:r>
    </w:p>
    <w:p w14:paraId="7D919AD3" w14:textId="77777777" w:rsidR="00D61DC8" w:rsidRDefault="00086E62">
      <w:pPr>
        <w:spacing w:after="214" w:line="265" w:lineRule="auto"/>
        <w:ind w:left="-5"/>
      </w:pPr>
      <w:r>
        <w:t xml:space="preserve">Duarte, C. K.; Ferreira, C. F.; Zonta, F. N. </w:t>
      </w:r>
      <w:r>
        <w:rPr>
          <w:rFonts w:cs="Arial"/>
          <w:b/>
        </w:rPr>
        <w:t>Fatores de risco associados à dislipidemia em adultos atendidos em unidade básica de saúde.</w:t>
      </w:r>
      <w:r>
        <w:t xml:space="preserve"> </w:t>
      </w:r>
      <w:r>
        <w:rPr>
          <w:rFonts w:cs="Arial"/>
          <w:i/>
        </w:rPr>
        <w:t>Revista Brasileira de Obesidade, Nutrição e Emagrecimento (RBONE)</w:t>
      </w:r>
      <w:r>
        <w:t>, São Paulo, v. 15, n. 93, p. 358</w:t>
      </w:r>
      <w:r>
        <w:rPr>
          <w:rFonts w:cs="Arial"/>
        </w:rPr>
        <w:t>–</w:t>
      </w:r>
      <w:r>
        <w:t>367, 2021.</w:t>
      </w:r>
      <w:r>
        <w:rPr>
          <w:rFonts w:ascii="Cambria" w:eastAsia="Cambria" w:hAnsi="Cambria" w:cs="Cambria"/>
          <w:sz w:val="22"/>
        </w:rPr>
        <w:t xml:space="preserve"> </w:t>
      </w:r>
    </w:p>
    <w:p w14:paraId="55ED9BF1" w14:textId="77777777" w:rsidR="00D61DC8" w:rsidRDefault="00086E62">
      <w:pPr>
        <w:spacing w:after="235" w:line="244" w:lineRule="auto"/>
        <w:ind w:left="-5" w:right="12"/>
      </w:pPr>
      <w:r>
        <w:t xml:space="preserve">Ferreira, A. L. A.; Matsubara, L. S. </w:t>
      </w:r>
      <w:r>
        <w:rPr>
          <w:rFonts w:cs="Arial"/>
          <w:b/>
        </w:rPr>
        <w:t>Antioxidant role of vitamins in atherosclerosis prevention.</w:t>
      </w:r>
      <w:r>
        <w:t xml:space="preserve"> </w:t>
      </w:r>
      <w:r>
        <w:rPr>
          <w:rFonts w:cs="Arial"/>
          <w:i/>
        </w:rPr>
        <w:t>Clinical Nutrition</w:t>
      </w:r>
      <w:r>
        <w:t>, Amsterdam, v. 26, n. 1, p. 9</w:t>
      </w:r>
      <w:r>
        <w:rPr>
          <w:rFonts w:cs="Arial"/>
        </w:rPr>
        <w:t>–</w:t>
      </w:r>
      <w:r>
        <w:t>17, 2007.</w:t>
      </w:r>
      <w:r>
        <w:rPr>
          <w:rFonts w:ascii="Cambria" w:eastAsia="Cambria" w:hAnsi="Cambria" w:cs="Cambria"/>
          <w:sz w:val="22"/>
        </w:rPr>
        <w:t xml:space="preserve"> </w:t>
      </w:r>
    </w:p>
    <w:p w14:paraId="1784602B" w14:textId="77777777" w:rsidR="00D61DC8" w:rsidRDefault="00086E62">
      <w:pPr>
        <w:spacing w:after="240" w:line="239" w:lineRule="auto"/>
        <w:ind w:left="-5" w:right="12"/>
      </w:pPr>
      <w:r>
        <w:t xml:space="preserve">Ferreira, R. J.; Silva, M. A.; Prado, R. L. </w:t>
      </w:r>
      <w:r>
        <w:rPr>
          <w:rFonts w:cs="Arial"/>
          <w:b/>
        </w:rPr>
        <w:t xml:space="preserve">Impacto do consumo de óleos vegetais </w:t>
      </w:r>
      <w:r>
        <w:rPr>
          <w:rFonts w:cs="Arial"/>
          <w:b/>
        </w:rPr>
        <w:t>na saúde cardiovascular.</w:t>
      </w:r>
      <w:r>
        <w:t xml:space="preserve"> </w:t>
      </w:r>
      <w:r>
        <w:rPr>
          <w:rFonts w:cs="Arial"/>
          <w:i/>
        </w:rPr>
        <w:t>Revista Brasileira de Nutrição Clínica</w:t>
      </w:r>
      <w:r>
        <w:t>, São Paulo, v. 36, n. 4, p. 280</w:t>
      </w:r>
      <w:r>
        <w:rPr>
          <w:rFonts w:cs="Arial"/>
        </w:rPr>
        <w:t>–</w:t>
      </w:r>
      <w:r>
        <w:t>289, 2021.</w:t>
      </w:r>
      <w:r>
        <w:rPr>
          <w:rFonts w:ascii="Cambria" w:eastAsia="Cambria" w:hAnsi="Cambria" w:cs="Cambria"/>
          <w:sz w:val="22"/>
        </w:rPr>
        <w:t xml:space="preserve"> </w:t>
      </w:r>
    </w:p>
    <w:p w14:paraId="4C6A0F83" w14:textId="77777777" w:rsidR="00D61DC8" w:rsidRDefault="00086E62">
      <w:pPr>
        <w:spacing w:after="245" w:line="239" w:lineRule="auto"/>
        <w:ind w:left="-5" w:right="12"/>
      </w:pPr>
      <w:r>
        <w:t xml:space="preserve">Freitas, M. C.; Vasconcelos, F. A. G. </w:t>
      </w:r>
      <w:r>
        <w:rPr>
          <w:rFonts w:cs="Arial"/>
          <w:b/>
        </w:rPr>
        <w:t>O uso de óleos e gorduras na culinária doméstica: implicações nutricionais.</w:t>
      </w:r>
      <w:r>
        <w:t xml:space="preserve"> </w:t>
      </w:r>
      <w:r>
        <w:rPr>
          <w:rFonts w:cs="Arial"/>
          <w:i/>
        </w:rPr>
        <w:t>Revista de Nutrição</w:t>
      </w:r>
      <w:r>
        <w:t>, Campinas, v. 25, n. 2, p. 345</w:t>
      </w:r>
      <w:r>
        <w:rPr>
          <w:rFonts w:cs="Arial"/>
        </w:rPr>
        <w:t>–</w:t>
      </w:r>
      <w:r>
        <w:t>355, 2012.</w:t>
      </w:r>
      <w:r>
        <w:rPr>
          <w:rFonts w:ascii="Cambria" w:eastAsia="Cambria" w:hAnsi="Cambria" w:cs="Cambria"/>
          <w:sz w:val="22"/>
        </w:rPr>
        <w:t xml:space="preserve"> </w:t>
      </w:r>
    </w:p>
    <w:p w14:paraId="1BE1EFC8" w14:textId="77777777" w:rsidR="00D61DC8" w:rsidRDefault="00086E62">
      <w:pPr>
        <w:spacing w:after="214" w:line="265" w:lineRule="auto"/>
        <w:ind w:left="-5"/>
      </w:pPr>
      <w:r>
        <w:t xml:space="preserve">Gonçalves, M. C. et al. </w:t>
      </w:r>
      <w:r>
        <w:rPr>
          <w:rFonts w:cs="Arial"/>
          <w:b/>
        </w:rPr>
        <w:t>Óleos e gorduras: composição, funcionalidade e implicações na saúde.</w:t>
      </w:r>
      <w:r>
        <w:t xml:space="preserve"> </w:t>
      </w:r>
      <w:r>
        <w:rPr>
          <w:rFonts w:cs="Arial"/>
          <w:i/>
        </w:rPr>
        <w:t>Revista Brasileira de Ciências Farmacêuticas</w:t>
      </w:r>
      <w:r>
        <w:t>, São Paulo, v. 45, n. 1, p. 117</w:t>
      </w:r>
      <w:r>
        <w:rPr>
          <w:rFonts w:cs="Arial"/>
        </w:rPr>
        <w:t>–</w:t>
      </w:r>
      <w:r>
        <w:t>126, 2009.</w:t>
      </w:r>
      <w:r>
        <w:rPr>
          <w:rFonts w:ascii="Cambria" w:eastAsia="Cambria" w:hAnsi="Cambria" w:cs="Cambria"/>
          <w:sz w:val="22"/>
        </w:rPr>
        <w:t xml:space="preserve"> </w:t>
      </w:r>
    </w:p>
    <w:p w14:paraId="45B8814E" w14:textId="77777777" w:rsidR="00D61DC8" w:rsidRDefault="00086E62">
      <w:pPr>
        <w:spacing w:after="0" w:line="265" w:lineRule="auto"/>
        <w:ind w:left="-5"/>
      </w:pPr>
      <w:r>
        <w:t xml:space="preserve">Medeiros, J. M.; Lima, F. S. </w:t>
      </w:r>
      <w:r>
        <w:rPr>
          <w:rFonts w:cs="Arial"/>
          <w:b/>
        </w:rPr>
        <w:t xml:space="preserve">Gorduras alimentares e risco cardiovascular: </w:t>
      </w:r>
    </w:p>
    <w:p w14:paraId="52456946" w14:textId="77777777" w:rsidR="00D61DC8" w:rsidRDefault="00086E62">
      <w:pPr>
        <w:spacing w:after="235" w:line="244" w:lineRule="auto"/>
        <w:ind w:left="-5" w:right="12"/>
      </w:pPr>
      <w:r>
        <w:rPr>
          <w:rFonts w:cs="Arial"/>
          <w:b/>
        </w:rPr>
        <w:t>revisão integrativa.</w:t>
      </w:r>
      <w:r>
        <w:t xml:space="preserve"> </w:t>
      </w:r>
      <w:r>
        <w:rPr>
          <w:rFonts w:cs="Arial"/>
          <w:i/>
        </w:rPr>
        <w:t>Revista de Atenção à Saúde</w:t>
      </w:r>
      <w:r>
        <w:t>, São Paulo, v. 19, n. 69, p. 125</w:t>
      </w:r>
      <w:r>
        <w:rPr>
          <w:rFonts w:cs="Arial"/>
        </w:rPr>
        <w:t xml:space="preserve">– </w:t>
      </w:r>
      <w:r>
        <w:t>135, 2021.</w:t>
      </w:r>
      <w:r>
        <w:rPr>
          <w:rFonts w:ascii="Cambria" w:eastAsia="Cambria" w:hAnsi="Cambria" w:cs="Cambria"/>
          <w:sz w:val="22"/>
        </w:rPr>
        <w:t xml:space="preserve"> </w:t>
      </w:r>
    </w:p>
    <w:p w14:paraId="4BE47766" w14:textId="77777777" w:rsidR="00D61DC8" w:rsidRDefault="00086E62">
      <w:pPr>
        <w:spacing w:after="214" w:line="265" w:lineRule="auto"/>
        <w:ind w:left="-5"/>
      </w:pPr>
      <w:r>
        <w:t xml:space="preserve">Monteiro, C. A. </w:t>
      </w:r>
      <w:r>
        <w:rPr>
          <w:rFonts w:cs="Arial"/>
          <w:b/>
        </w:rPr>
        <w:t>Alimentos ultraprocessados: definições e impactos na saúde.</w:t>
      </w:r>
      <w:r>
        <w:t xml:space="preserve"> </w:t>
      </w:r>
      <w:r>
        <w:rPr>
          <w:rFonts w:cs="Arial"/>
          <w:i/>
        </w:rPr>
        <w:t>Revista de Saúde Pública</w:t>
      </w:r>
      <w:r>
        <w:t>, São Paulo, v. 53, p. 84, 2019.</w:t>
      </w:r>
      <w:r>
        <w:rPr>
          <w:rFonts w:ascii="Cambria" w:eastAsia="Cambria" w:hAnsi="Cambria" w:cs="Cambria"/>
          <w:sz w:val="22"/>
        </w:rPr>
        <w:t xml:space="preserve"> </w:t>
      </w:r>
    </w:p>
    <w:p w14:paraId="16C55D26" w14:textId="77777777" w:rsidR="00D61DC8" w:rsidRDefault="00086E62">
      <w:pPr>
        <w:spacing w:after="238" w:line="241" w:lineRule="auto"/>
        <w:ind w:left="0" w:right="15" w:firstLine="0"/>
        <w:jc w:val="both"/>
      </w:pPr>
      <w:r>
        <w:t xml:space="preserve">Oliveira, J. M.; Silva, L. R. </w:t>
      </w:r>
      <w:r>
        <w:rPr>
          <w:rFonts w:cs="Arial"/>
          <w:b/>
        </w:rPr>
        <w:t>Relação entre tipo de óleo utilizado na cocção e perfil lipídico de indivíduos com dislipidemia.</w:t>
      </w:r>
      <w:r>
        <w:t xml:space="preserve"> </w:t>
      </w:r>
      <w:r>
        <w:rPr>
          <w:rFonts w:cs="Arial"/>
          <w:i/>
        </w:rPr>
        <w:t>Revista Brasileira de Nutrição e Saúde</w:t>
      </w:r>
      <w:r>
        <w:t>, v. 32, n. 2, p. 102</w:t>
      </w:r>
      <w:r>
        <w:rPr>
          <w:rFonts w:cs="Arial"/>
        </w:rPr>
        <w:t>–</w:t>
      </w:r>
      <w:r>
        <w:t>113, 2020.</w:t>
      </w:r>
      <w:r>
        <w:rPr>
          <w:rFonts w:ascii="Cambria" w:eastAsia="Cambria" w:hAnsi="Cambria" w:cs="Cambria"/>
          <w:sz w:val="22"/>
        </w:rPr>
        <w:t xml:space="preserve"> </w:t>
      </w:r>
    </w:p>
    <w:p w14:paraId="2C932D28" w14:textId="77777777" w:rsidR="00D61DC8" w:rsidRDefault="00086E62">
      <w:pPr>
        <w:spacing w:after="0" w:line="265" w:lineRule="auto"/>
        <w:ind w:left="-5"/>
      </w:pPr>
      <w:r>
        <w:t xml:space="preserve">Santos, R. D. et al. </w:t>
      </w:r>
      <w:r>
        <w:rPr>
          <w:rFonts w:cs="Arial"/>
          <w:b/>
        </w:rPr>
        <w:t xml:space="preserve">Diretriz Brasileira de Dislipidemias e Prevenção da </w:t>
      </w:r>
    </w:p>
    <w:p w14:paraId="253833C5" w14:textId="77777777" w:rsidR="00D61DC8" w:rsidRDefault="00086E62">
      <w:pPr>
        <w:spacing w:after="240" w:line="239" w:lineRule="auto"/>
        <w:ind w:left="-5" w:right="12"/>
      </w:pPr>
      <w:r>
        <w:rPr>
          <w:rFonts w:cs="Arial"/>
          <w:b/>
        </w:rPr>
        <w:t>Aterosclerose.</w:t>
      </w:r>
      <w:r>
        <w:t xml:space="preserve"> </w:t>
      </w:r>
      <w:r>
        <w:rPr>
          <w:rFonts w:cs="Arial"/>
          <w:i/>
        </w:rPr>
        <w:t>Arquivos Brasileiros de Cardiologia</w:t>
      </w:r>
      <w:r>
        <w:t>, São Paulo, v. 109, n. 2, p. 1</w:t>
      </w:r>
      <w:r>
        <w:rPr>
          <w:rFonts w:cs="Arial"/>
        </w:rPr>
        <w:t>–</w:t>
      </w:r>
      <w:r>
        <w:t>76, 2017.</w:t>
      </w:r>
      <w:r>
        <w:rPr>
          <w:rFonts w:ascii="Cambria" w:eastAsia="Cambria" w:hAnsi="Cambria" w:cs="Cambria"/>
          <w:sz w:val="22"/>
        </w:rPr>
        <w:t xml:space="preserve"> </w:t>
      </w:r>
    </w:p>
    <w:p w14:paraId="7826D70B" w14:textId="77777777" w:rsidR="00D61DC8" w:rsidRDefault="00086E62">
      <w:pPr>
        <w:spacing w:after="242" w:line="240" w:lineRule="auto"/>
        <w:ind w:left="-5" w:right="370"/>
        <w:jc w:val="both"/>
      </w:pPr>
      <w:r>
        <w:t xml:space="preserve">Silva, A. L. da; Souza, M. C.; Nascimento, E. M. </w:t>
      </w:r>
      <w:r>
        <w:rPr>
          <w:rFonts w:cs="Arial"/>
          <w:b/>
        </w:rPr>
        <w:t>Efeito da gordura utilizada na cocção sobre os lipídios plasmáticos.</w:t>
      </w:r>
      <w:r>
        <w:t xml:space="preserve"> </w:t>
      </w:r>
      <w:r>
        <w:rPr>
          <w:rFonts w:cs="Arial"/>
          <w:i/>
        </w:rPr>
        <w:t>Revista Brasileira de Nutrição Esportiva</w:t>
      </w:r>
      <w:r>
        <w:t>, São Paulo, v. 12, n. 71, p. 446</w:t>
      </w:r>
      <w:r>
        <w:rPr>
          <w:rFonts w:cs="Arial"/>
        </w:rPr>
        <w:t>–</w:t>
      </w:r>
      <w:r>
        <w:t>457, 2018.</w:t>
      </w:r>
      <w:r>
        <w:rPr>
          <w:rFonts w:ascii="Cambria" w:eastAsia="Cambria" w:hAnsi="Cambria" w:cs="Cambria"/>
          <w:sz w:val="22"/>
        </w:rPr>
        <w:t xml:space="preserve"> </w:t>
      </w:r>
    </w:p>
    <w:p w14:paraId="0514AFF8" w14:textId="77777777" w:rsidR="00D61DC8" w:rsidRDefault="00086E62">
      <w:pPr>
        <w:spacing w:after="214" w:line="265" w:lineRule="auto"/>
        <w:ind w:left="-5"/>
      </w:pPr>
      <w:r>
        <w:t xml:space="preserve">Souza, R. J. et al. </w:t>
      </w:r>
      <w:r>
        <w:rPr>
          <w:rFonts w:cs="Arial"/>
          <w:b/>
        </w:rPr>
        <w:t>Intake of saturated and unsaturated fatty acids and risk of coronary heart disease: systematic review.</w:t>
      </w:r>
      <w:r>
        <w:t xml:space="preserve"> </w:t>
      </w:r>
      <w:r>
        <w:rPr>
          <w:rFonts w:cs="Arial"/>
          <w:i/>
        </w:rPr>
        <w:t>British Medical Journal</w:t>
      </w:r>
      <w:r>
        <w:t>, London, v. 351, p. h3978, 2015.</w:t>
      </w:r>
      <w:r>
        <w:rPr>
          <w:rFonts w:ascii="Cambria" w:eastAsia="Cambria" w:hAnsi="Cambria" w:cs="Cambria"/>
          <w:sz w:val="22"/>
        </w:rPr>
        <w:t xml:space="preserve"> </w:t>
      </w:r>
    </w:p>
    <w:p w14:paraId="05AF7106" w14:textId="77777777" w:rsidR="00D61DC8" w:rsidRDefault="00086E62">
      <w:pPr>
        <w:spacing w:after="214" w:line="265" w:lineRule="auto"/>
        <w:ind w:left="-5"/>
      </w:pPr>
      <w:r>
        <w:t xml:space="preserve">World Health Organization (WHO). </w:t>
      </w:r>
      <w:r>
        <w:rPr>
          <w:rFonts w:cs="Arial"/>
          <w:b/>
        </w:rPr>
        <w:t>Diet, nutrition and the prevention of chronic diseases: report of a joint WHO/FAO expert consultation.</w:t>
      </w:r>
      <w:r>
        <w:t xml:space="preserve"> Geneva: WHO Technical Report Series, 2003.</w:t>
      </w:r>
      <w:r>
        <w:rPr>
          <w:rFonts w:ascii="Cambria" w:eastAsia="Cambria" w:hAnsi="Cambria" w:cs="Cambria"/>
          <w:sz w:val="22"/>
        </w:rPr>
        <w:t xml:space="preserve"> </w:t>
      </w:r>
    </w:p>
    <w:p w14:paraId="368FA1F0" w14:textId="77777777" w:rsidR="00D61DC8" w:rsidRDefault="00086E62">
      <w:pPr>
        <w:spacing w:after="0" w:line="259" w:lineRule="auto"/>
        <w:ind w:left="0" w:firstLine="0"/>
      </w:pPr>
      <w:r>
        <w:rPr>
          <w:rFonts w:cs="Arial"/>
          <w:b/>
        </w:rPr>
        <w:t xml:space="preserve"> </w:t>
      </w:r>
    </w:p>
    <w:sectPr w:rsidR="00D61DC8">
      <w:pgSz w:w="11905" w:h="16840"/>
      <w:pgMar w:top="1426" w:right="1424" w:bottom="1476" w:left="14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DC8"/>
    <w:rsid w:val="00086E62"/>
    <w:rsid w:val="00BD0096"/>
    <w:rsid w:val="00D61D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3F13F59C"/>
  <w15:docId w15:val="{46498BE4-F1D7-D745-87B5-A0B371CF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1" w:line="480" w:lineRule="auto"/>
      <w:ind w:left="20" w:hanging="10"/>
    </w:pPr>
    <w:rPr>
      <w:rFonts w:ascii="Arial" w:eastAsia="Arial" w:hAnsi="Arial" w:cs="Times New Roman"/>
      <w:color w:val="000000"/>
      <w:lang w:val="pt" w:eastAsia="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4370</Words>
  <Characters>23601</Characters>
  <Application>Microsoft Office Word</Application>
  <DocSecurity>0</DocSecurity>
  <Lines>196</Lines>
  <Paragraphs>55</Paragraphs>
  <ScaleCrop>false</ScaleCrop>
  <Company/>
  <LinksUpToDate>false</LinksUpToDate>
  <CharactersWithSpaces>27916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LUANA BARROS ELIAS</cp:lastModifiedBy>
  <cp:revision>2</cp:revision>
  <dcterms:created xsi:type="dcterms:W3CDTF">2025-11-18T17:34:00Z</dcterms:created>
  <dcterms:modified xsi:type="dcterms:W3CDTF">2025-11-18T17:34:00Z</dcterms:modified>
</cp:coreProperties>
</file>