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D8A323" w14:textId="1E63C334" w:rsidR="00B92A60" w:rsidRPr="00B92A60" w:rsidRDefault="00B92A60" w:rsidP="00B92A60">
      <w:pPr>
        <w:widowControl w:val="0"/>
        <w:autoSpaceDE w:val="0"/>
        <w:autoSpaceDN w:val="0"/>
        <w:spacing w:before="76" w:after="0" w:line="360" w:lineRule="auto"/>
        <w:ind w:left="7" w:right="17"/>
        <w:jc w:val="center"/>
        <w:outlineLvl w:val="0"/>
        <w:rPr>
          <w:rFonts w:ascii="Times New Roman" w:eastAsia="Times New Roman" w:hAnsi="Times New Roman" w:cs="Times New Roman"/>
          <w:b/>
          <w:bCs/>
          <w:kern w:val="0"/>
          <w:lang w:val="pt-PT"/>
          <w14:ligatures w14:val="none"/>
        </w:rPr>
      </w:pPr>
      <w:bookmarkStart w:id="0" w:name="_bookmark0"/>
      <w:bookmarkEnd w:id="0"/>
      <w:r w:rsidRPr="00B92A60">
        <w:rPr>
          <w:rFonts w:ascii="Times New Roman" w:eastAsia="Times New Roman" w:hAnsi="Times New Roman" w:cs="Times New Roman"/>
          <w:b/>
          <w:bCs/>
          <w:kern w:val="0"/>
          <w:lang w:val="pt-PT"/>
          <w14:ligatures w14:val="none"/>
        </w:rPr>
        <w:t>ANÁLISE</w:t>
      </w:r>
      <w:r w:rsidRPr="00B92A60">
        <w:rPr>
          <w:rFonts w:ascii="Times New Roman" w:eastAsia="Times New Roman" w:hAnsi="Times New Roman" w:cs="Times New Roman"/>
          <w:b/>
          <w:bCs/>
          <w:spacing w:val="-5"/>
          <w:kern w:val="0"/>
          <w:lang w:val="pt-PT"/>
          <w14:ligatures w14:val="none"/>
        </w:rPr>
        <w:t xml:space="preserve"> </w:t>
      </w:r>
      <w:r w:rsidRPr="00B92A60">
        <w:rPr>
          <w:rFonts w:ascii="Times New Roman" w:eastAsia="Times New Roman" w:hAnsi="Times New Roman" w:cs="Times New Roman"/>
          <w:b/>
          <w:bCs/>
          <w:kern w:val="0"/>
          <w:lang w:val="pt-PT"/>
          <w14:ligatures w14:val="none"/>
        </w:rPr>
        <w:t>DA</w:t>
      </w:r>
      <w:r w:rsidRPr="00B92A60">
        <w:rPr>
          <w:rFonts w:ascii="Times New Roman" w:eastAsia="Times New Roman" w:hAnsi="Times New Roman" w:cs="Times New Roman"/>
          <w:b/>
          <w:bCs/>
          <w:spacing w:val="-9"/>
          <w:kern w:val="0"/>
          <w:lang w:val="pt-PT"/>
          <w14:ligatures w14:val="none"/>
        </w:rPr>
        <w:t xml:space="preserve"> </w:t>
      </w:r>
      <w:r w:rsidRPr="00B92A60">
        <w:rPr>
          <w:rFonts w:ascii="Times New Roman" w:eastAsia="Times New Roman" w:hAnsi="Times New Roman" w:cs="Times New Roman"/>
          <w:b/>
          <w:bCs/>
          <w:kern w:val="0"/>
          <w:lang w:val="pt-PT"/>
          <w14:ligatures w14:val="none"/>
        </w:rPr>
        <w:t>VIABILIDADE</w:t>
      </w:r>
      <w:r w:rsidRPr="00B92A60">
        <w:rPr>
          <w:rFonts w:ascii="Times New Roman" w:eastAsia="Times New Roman" w:hAnsi="Times New Roman" w:cs="Times New Roman"/>
          <w:b/>
          <w:bCs/>
          <w:spacing w:val="-5"/>
          <w:kern w:val="0"/>
          <w:lang w:val="pt-PT"/>
          <w14:ligatures w14:val="none"/>
        </w:rPr>
        <w:t xml:space="preserve"> </w:t>
      </w:r>
      <w:r w:rsidRPr="00B92A60">
        <w:rPr>
          <w:rFonts w:ascii="Times New Roman" w:eastAsia="Times New Roman" w:hAnsi="Times New Roman" w:cs="Times New Roman"/>
          <w:b/>
          <w:bCs/>
          <w:kern w:val="0"/>
          <w:lang w:val="pt-PT"/>
          <w14:ligatures w14:val="none"/>
        </w:rPr>
        <w:t>ECONÔMICA</w:t>
      </w:r>
      <w:r w:rsidRPr="00B92A60">
        <w:rPr>
          <w:rFonts w:ascii="Times New Roman" w:eastAsia="Times New Roman" w:hAnsi="Times New Roman" w:cs="Times New Roman"/>
          <w:b/>
          <w:bCs/>
          <w:spacing w:val="-4"/>
          <w:kern w:val="0"/>
          <w:lang w:val="pt-PT"/>
          <w14:ligatures w14:val="none"/>
        </w:rPr>
        <w:t xml:space="preserve"> </w:t>
      </w:r>
      <w:r w:rsidRPr="00B92A60">
        <w:rPr>
          <w:rFonts w:ascii="Times New Roman" w:eastAsia="Times New Roman" w:hAnsi="Times New Roman" w:cs="Times New Roman"/>
          <w:b/>
          <w:bCs/>
          <w:kern w:val="0"/>
          <w:lang w:val="pt-PT"/>
          <w14:ligatures w14:val="none"/>
        </w:rPr>
        <w:t>DA</w:t>
      </w:r>
      <w:r w:rsidRPr="00B92A60">
        <w:rPr>
          <w:rFonts w:ascii="Times New Roman" w:eastAsia="Times New Roman" w:hAnsi="Times New Roman" w:cs="Times New Roman"/>
          <w:b/>
          <w:bCs/>
          <w:spacing w:val="-4"/>
          <w:kern w:val="0"/>
          <w:lang w:val="pt-PT"/>
          <w14:ligatures w14:val="none"/>
        </w:rPr>
        <w:t xml:space="preserve"> </w:t>
      </w:r>
      <w:r w:rsidR="00A30A5F">
        <w:rPr>
          <w:rFonts w:ascii="Times New Roman" w:eastAsia="Times New Roman" w:hAnsi="Times New Roman" w:cs="Times New Roman"/>
          <w:b/>
          <w:bCs/>
          <w:spacing w:val="-4"/>
          <w:kern w:val="0"/>
          <w:lang w:val="pt-PT"/>
          <w14:ligatures w14:val="none"/>
        </w:rPr>
        <w:t>PRODUÇÃO DE SOJA E PECUÁRIA EM UMA FAZENDA FAMILIAR</w:t>
      </w:r>
    </w:p>
    <w:p w14:paraId="7027499D" w14:textId="7EB324E8" w:rsidR="00B92A60" w:rsidRPr="003C59CA" w:rsidRDefault="00B92A60" w:rsidP="003C59CA">
      <w:pPr>
        <w:widowControl w:val="0"/>
        <w:autoSpaceDE w:val="0"/>
        <w:autoSpaceDN w:val="0"/>
        <w:spacing w:before="123" w:after="0" w:line="360" w:lineRule="auto"/>
        <w:ind w:left="16" w:right="10"/>
        <w:jc w:val="center"/>
        <w:rPr>
          <w:rFonts w:ascii="Times New Roman" w:eastAsia="Times New Roman" w:hAnsi="Times New Roman" w:cs="Times New Roman"/>
          <w:kern w:val="0"/>
          <w:lang w:val="pt-PT"/>
          <w14:ligatures w14:val="none"/>
        </w:rPr>
      </w:pPr>
      <w:r>
        <w:rPr>
          <w:rFonts w:ascii="Times New Roman" w:eastAsia="Times New Roman" w:hAnsi="Times New Roman" w:cs="Times New Roman"/>
          <w:kern w:val="0"/>
          <w:lang w:val="pt-PT"/>
          <w14:ligatures w14:val="none"/>
        </w:rPr>
        <w:t>CANEDO</w:t>
      </w:r>
      <w:r w:rsidRPr="00B92A60">
        <w:rPr>
          <w:rFonts w:ascii="Times New Roman" w:eastAsia="Times New Roman" w:hAnsi="Times New Roman" w:cs="Times New Roman"/>
          <w:kern w:val="0"/>
          <w:lang w:val="pt-PT"/>
          <w14:ligatures w14:val="none"/>
        </w:rPr>
        <w:t>,</w:t>
      </w:r>
      <w:r>
        <w:rPr>
          <w:rFonts w:ascii="Times New Roman" w:eastAsia="Times New Roman" w:hAnsi="Times New Roman" w:cs="Times New Roman"/>
          <w:kern w:val="0"/>
          <w:lang w:val="pt-PT"/>
          <w14:ligatures w14:val="none"/>
        </w:rPr>
        <w:t xml:space="preserve"> JOÃO PEDRO ARANTES</w:t>
      </w:r>
      <w:r w:rsidRPr="00B92A60">
        <w:rPr>
          <w:rFonts w:ascii="Times New Roman" w:eastAsia="Times New Roman" w:hAnsi="Times New Roman" w:cs="Times New Roman"/>
          <w:kern w:val="0"/>
          <w:lang w:val="pt-PT"/>
          <w14:ligatures w14:val="none"/>
        </w:rPr>
        <w:fldChar w:fldCharType="begin"/>
      </w:r>
      <w:r w:rsidRPr="00B92A60">
        <w:rPr>
          <w:rFonts w:ascii="Times New Roman" w:eastAsia="Times New Roman" w:hAnsi="Times New Roman" w:cs="Times New Roman"/>
          <w:kern w:val="0"/>
          <w:lang w:val="pt-PT"/>
          <w14:ligatures w14:val="none"/>
        </w:rPr>
        <w:instrText>HYPERLINK \l "_bookmark0"</w:instrText>
      </w:r>
      <w:r w:rsidRPr="00B92A60">
        <w:rPr>
          <w:rFonts w:ascii="Times New Roman" w:eastAsia="Times New Roman" w:hAnsi="Times New Roman" w:cs="Times New Roman"/>
          <w:kern w:val="0"/>
          <w:lang w:val="pt-PT"/>
          <w14:ligatures w14:val="none"/>
        </w:rPr>
        <w:fldChar w:fldCharType="separate"/>
      </w:r>
      <w:r w:rsidRPr="00B92A60">
        <w:rPr>
          <w:rFonts w:ascii="Times New Roman" w:eastAsia="Times New Roman" w:hAnsi="Times New Roman" w:cs="Times New Roman"/>
          <w:kern w:val="0"/>
          <w:lang w:val="pt-PT"/>
          <w14:ligatures w14:val="none"/>
        </w:rPr>
        <w:t>.</w:t>
      </w:r>
      <w:r w:rsidRPr="00B92A60">
        <w:rPr>
          <w:rFonts w:ascii="Times New Roman" w:eastAsia="Times New Roman" w:hAnsi="Times New Roman" w:cs="Times New Roman"/>
          <w:kern w:val="0"/>
          <w:lang w:val="pt-PT"/>
          <w14:ligatures w14:val="none"/>
        </w:rPr>
        <w:fldChar w:fldCharType="end"/>
      </w:r>
      <w:r w:rsidRPr="00B92A60">
        <w:rPr>
          <w:rFonts w:ascii="Times New Roman" w:eastAsia="Times New Roman" w:hAnsi="Times New Roman" w:cs="Times New Roman"/>
          <w:spacing w:val="-3"/>
          <w:kern w:val="0"/>
          <w:lang w:val="pt-PT"/>
          <w14:ligatures w14:val="none"/>
        </w:rPr>
        <w:t xml:space="preserve"> </w:t>
      </w:r>
      <w:r w:rsidRPr="00B92A60">
        <w:rPr>
          <w:rFonts w:ascii="Times New Roman" w:eastAsia="Times New Roman" w:hAnsi="Times New Roman" w:cs="Times New Roman"/>
          <w:kern w:val="0"/>
          <w:lang w:val="pt-PT"/>
          <w14:ligatures w14:val="none"/>
        </w:rPr>
        <w:t>VITTOY,</w:t>
      </w:r>
      <w:r w:rsidRPr="00B92A60">
        <w:rPr>
          <w:rFonts w:ascii="Times New Roman" w:eastAsia="Times New Roman" w:hAnsi="Times New Roman" w:cs="Times New Roman"/>
          <w:spacing w:val="-3"/>
          <w:kern w:val="0"/>
          <w:lang w:val="pt-PT"/>
          <w14:ligatures w14:val="none"/>
        </w:rPr>
        <w:t xml:space="preserve"> </w:t>
      </w:r>
      <w:r w:rsidRPr="00B92A60">
        <w:rPr>
          <w:rFonts w:ascii="Times New Roman" w:eastAsia="Times New Roman" w:hAnsi="Times New Roman" w:cs="Times New Roman"/>
          <w:kern w:val="0"/>
          <w:lang w:val="pt-PT"/>
          <w14:ligatures w14:val="none"/>
        </w:rPr>
        <w:t>RICARDO.</w:t>
      </w:r>
      <w:r w:rsidRPr="00B92A60">
        <w:rPr>
          <w:rFonts w:ascii="Times New Roman" w:eastAsia="Times New Roman" w:hAnsi="Times New Roman" w:cs="Times New Roman"/>
          <w:spacing w:val="-4"/>
          <w:kern w:val="0"/>
          <w:lang w:val="pt-PT"/>
          <w14:ligatures w14:val="none"/>
        </w:rPr>
        <w:t xml:space="preserve"> </w:t>
      </w:r>
      <w:r>
        <w:rPr>
          <w:rFonts w:ascii="Times New Roman" w:eastAsia="Times New Roman" w:hAnsi="Times New Roman" w:cs="Times New Roman"/>
          <w:spacing w:val="-4"/>
          <w:kern w:val="0"/>
          <w:lang w:val="pt-PT"/>
          <w14:ligatures w14:val="none"/>
        </w:rPr>
        <w:t>RODRIGUES, PRISCILLA BORGES DE FREITAS</w:t>
      </w:r>
      <w:r w:rsidRPr="00B92A60">
        <w:rPr>
          <w:rFonts w:ascii="Times New Roman" w:eastAsia="Times New Roman" w:hAnsi="Times New Roman" w:cs="Times New Roman"/>
          <w:kern w:val="0"/>
          <w:lang w:val="pt-PT"/>
          <w14:ligatures w14:val="none"/>
        </w:rPr>
        <w:t>, MORAIS, ELÓDIA TEODORO VALADÃO DE.</w:t>
      </w:r>
      <w:r w:rsidR="003C59CA">
        <w:rPr>
          <w:rFonts w:ascii="Times New Roman" w:eastAsia="Times New Roman" w:hAnsi="Times New Roman" w:cs="Times New Roman"/>
          <w:kern w:val="0"/>
          <w:lang w:val="pt-PT"/>
          <w14:ligatures w14:val="none"/>
        </w:rPr>
        <w:br/>
      </w:r>
      <w:r w:rsidR="003C59CA" w:rsidRPr="003C59CA">
        <w:rPr>
          <w:rFonts w:ascii="Times New Roman" w:eastAsia="Times New Roman" w:hAnsi="Times New Roman" w:cs="Times New Roman"/>
          <w:kern w:val="0"/>
          <w:sz w:val="20"/>
          <w:szCs w:val="20"/>
          <w:lang w:val="pt-PT"/>
          <w14:ligatures w14:val="none"/>
        </w:rPr>
        <w:t>Escola Politécnica e de Artes Pontificia Universidade Católica de Goiás</w:t>
      </w:r>
      <w:r w:rsidR="003C59CA">
        <w:rPr>
          <w:rFonts w:ascii="Times New Roman" w:eastAsia="Times New Roman" w:hAnsi="Times New Roman" w:cs="Times New Roman"/>
          <w:kern w:val="0"/>
          <w:lang w:val="pt-PT"/>
          <w14:ligatures w14:val="none"/>
        </w:rPr>
        <w:t xml:space="preserve"> </w:t>
      </w:r>
      <w:r w:rsidR="003C59CA">
        <w:rPr>
          <w:rFonts w:ascii="Times New Roman" w:eastAsia="Times New Roman" w:hAnsi="Times New Roman" w:cs="Times New Roman"/>
          <w:kern w:val="0"/>
          <w:sz w:val="20"/>
          <w:szCs w:val="22"/>
          <w:lang w:val="pt-PT"/>
          <w14:ligatures w14:val="none"/>
        </w:rPr>
        <w:br/>
        <w:t>Engenharia de Produção</w:t>
      </w:r>
    </w:p>
    <w:p w14:paraId="2E3FF430" w14:textId="77777777" w:rsidR="00B92A60" w:rsidRPr="00B92A60" w:rsidRDefault="00B92A60" w:rsidP="00B92A60">
      <w:pPr>
        <w:widowControl w:val="0"/>
        <w:autoSpaceDE w:val="0"/>
        <w:autoSpaceDN w:val="0"/>
        <w:spacing w:before="2" w:after="0" w:line="240" w:lineRule="auto"/>
        <w:ind w:left="10" w:right="10"/>
        <w:jc w:val="center"/>
        <w:rPr>
          <w:rFonts w:ascii="Times New Roman" w:eastAsia="Times New Roman" w:hAnsi="Times New Roman" w:cs="Times New Roman"/>
          <w:kern w:val="0"/>
          <w:sz w:val="20"/>
          <w:szCs w:val="22"/>
          <w:lang w:val="pt-PT"/>
          <w14:ligatures w14:val="none"/>
        </w:rPr>
      </w:pPr>
      <w:r w:rsidRPr="00B92A60">
        <w:rPr>
          <w:rFonts w:ascii="Times New Roman" w:eastAsia="Times New Roman" w:hAnsi="Times New Roman" w:cs="Times New Roman"/>
          <w:spacing w:val="-2"/>
          <w:kern w:val="0"/>
          <w:sz w:val="20"/>
          <w:szCs w:val="22"/>
          <w:lang w:val="pt-PT"/>
          <w14:ligatures w14:val="none"/>
        </w:rPr>
        <w:t>Goiânia-GO-Brasil</w:t>
      </w:r>
    </w:p>
    <w:p w14:paraId="66879B7E" w14:textId="77777777" w:rsidR="00B92A60" w:rsidRPr="00B92A60" w:rsidRDefault="00B92A60" w:rsidP="00B92A60">
      <w:pPr>
        <w:widowControl w:val="0"/>
        <w:autoSpaceDE w:val="0"/>
        <w:autoSpaceDN w:val="0"/>
        <w:spacing w:before="12" w:after="0" w:line="240" w:lineRule="auto"/>
        <w:rPr>
          <w:rFonts w:ascii="Times New Roman" w:eastAsia="Times New Roman" w:hAnsi="Times New Roman" w:cs="Times New Roman"/>
          <w:kern w:val="0"/>
          <w:sz w:val="20"/>
          <w:lang w:val="pt-PT"/>
          <w14:ligatures w14:val="none"/>
        </w:rPr>
      </w:pPr>
    </w:p>
    <w:p w14:paraId="7B652A9B" w14:textId="4DDF9E5E" w:rsidR="00B92A60" w:rsidRPr="00B92A60" w:rsidRDefault="00B92A60" w:rsidP="00B92A60">
      <w:pPr>
        <w:widowControl w:val="0"/>
        <w:autoSpaceDE w:val="0"/>
        <w:autoSpaceDN w:val="0"/>
        <w:spacing w:after="0" w:line="259" w:lineRule="auto"/>
        <w:ind w:left="141" w:right="136"/>
        <w:jc w:val="both"/>
        <w:rPr>
          <w:rFonts w:ascii="Times New Roman" w:eastAsia="Times New Roman" w:hAnsi="Times New Roman" w:cs="Times New Roman"/>
          <w:kern w:val="0"/>
          <w:lang w:val="pt-PT"/>
          <w14:ligatures w14:val="none"/>
        </w:rPr>
      </w:pPr>
      <w:r w:rsidRPr="62E28D7A">
        <w:rPr>
          <w:rFonts w:ascii="Times New Roman" w:eastAsia="Times New Roman" w:hAnsi="Times New Roman" w:cs="Times New Roman"/>
          <w:b/>
          <w:bCs/>
          <w:kern w:val="0"/>
          <w:lang w:val="pt-PT"/>
          <w14:ligatures w14:val="none"/>
        </w:rPr>
        <w:t xml:space="preserve">RESUMO: </w:t>
      </w:r>
      <w:r w:rsidR="00FC5048" w:rsidRPr="00FC5048">
        <w:rPr>
          <w:rFonts w:ascii="Times New Roman" w:eastAsia="Times New Roman" w:hAnsi="Times New Roman" w:cs="Times New Roman"/>
          <w:kern w:val="0"/>
          <w:lang w:val="pt-PT"/>
          <w14:ligatures w14:val="none"/>
        </w:rPr>
        <w:t>O presente estudo teve como objetivo analisar a viabilid</w:t>
      </w:r>
      <w:r w:rsidR="003C59CA">
        <w:rPr>
          <w:rFonts w:ascii="Times New Roman" w:eastAsia="Times New Roman" w:hAnsi="Times New Roman" w:cs="Times New Roman"/>
          <w:kern w:val="0"/>
          <w:lang w:val="pt-PT"/>
          <w14:ligatures w14:val="none"/>
        </w:rPr>
        <w:t>ade financeira</w:t>
      </w:r>
      <w:r w:rsidR="00FC5048" w:rsidRPr="00FC5048">
        <w:rPr>
          <w:rFonts w:ascii="Times New Roman" w:eastAsia="Times New Roman" w:hAnsi="Times New Roman" w:cs="Times New Roman"/>
          <w:kern w:val="0"/>
          <w:lang w:val="pt-PT"/>
          <w14:ligatures w14:val="none"/>
        </w:rPr>
        <w:t xml:space="preserve"> entre duas atividades desenvolvidas em uma propriedade rural localizada no estado de Goiás: o arrendamento de área para o cultivo de soja e a pecuária bovina de corte. A metodologia adotada envolveu a elaboração de fluxos de caixa comparativos para um horizonte de cinco anos, consider</w:t>
      </w:r>
      <w:r w:rsidR="54AF5B0A" w:rsidRPr="00FC5048">
        <w:rPr>
          <w:rFonts w:ascii="Times New Roman" w:eastAsia="Times New Roman" w:hAnsi="Times New Roman" w:cs="Times New Roman"/>
          <w:kern w:val="0"/>
          <w:lang w:val="pt-PT"/>
          <w14:ligatures w14:val="none"/>
        </w:rPr>
        <w:t>ou</w:t>
      </w:r>
      <w:r w:rsidR="00FC5048" w:rsidRPr="00FC5048">
        <w:rPr>
          <w:rFonts w:ascii="Times New Roman" w:eastAsia="Times New Roman" w:hAnsi="Times New Roman" w:cs="Times New Roman"/>
          <w:kern w:val="0"/>
          <w:lang w:val="pt-PT"/>
          <w14:ligatures w14:val="none"/>
        </w:rPr>
        <w:t xml:space="preserve"> receitas, custos, investimentos e impostos, além da aplicação de análise de regressão linear para projeção dos preços futuros. Foram utilizados, no caso da pecuária, os indicadores financeiros Valor Presente Líquido (VPL), Taxa Interna de Retorno (TIR), Índice de Lucratividade (IL) e Payback Descontado (PBD). Os resultados demonstraram que a pecuária de corte apresentou inviabilidade econômica, com VPL negativo e TIR inferior à Taxa Mínima de Atratividade (TMA) de 24</w:t>
      </w:r>
      <w:r w:rsidR="00E970C6">
        <w:rPr>
          <w:rFonts w:ascii="Times New Roman" w:eastAsia="Times New Roman" w:hAnsi="Times New Roman" w:cs="Times New Roman"/>
          <w:kern w:val="0"/>
          <w:lang w:val="pt-PT"/>
          <w14:ligatures w14:val="none"/>
        </w:rPr>
        <w:t>,50</w:t>
      </w:r>
      <w:r w:rsidR="00FC5048" w:rsidRPr="00FC5048">
        <w:rPr>
          <w:rFonts w:ascii="Times New Roman" w:eastAsia="Times New Roman" w:hAnsi="Times New Roman" w:cs="Times New Roman"/>
          <w:kern w:val="0"/>
          <w:lang w:val="pt-PT"/>
          <w14:ligatures w14:val="none"/>
        </w:rPr>
        <w:t>% ao ano, enquanto o arrendamento da soja apresentou resultado líquido positivo, mostrando-se financeiramente vantajoso e de baixo risco operacional. Conclui-se que o arrendamento agrícola representa a alternativa mais rentável e segura para a propriedade analisada, por garantir retorno estável e previsível no médio prazo.</w:t>
      </w:r>
    </w:p>
    <w:p w14:paraId="7320637B" w14:textId="267416C0" w:rsidR="00B92A60" w:rsidRPr="00B92A60" w:rsidRDefault="00B92A60" w:rsidP="00B92A60">
      <w:pPr>
        <w:widowControl w:val="0"/>
        <w:autoSpaceDE w:val="0"/>
        <w:autoSpaceDN w:val="0"/>
        <w:spacing w:before="111" w:after="0" w:line="240" w:lineRule="auto"/>
        <w:ind w:left="141" w:right="141"/>
        <w:jc w:val="both"/>
        <w:rPr>
          <w:rFonts w:ascii="Times New Roman" w:eastAsia="Times New Roman" w:hAnsi="Times New Roman" w:cs="Times New Roman"/>
          <w:kern w:val="0"/>
          <w:lang w:val="pt-PT"/>
          <w14:ligatures w14:val="none"/>
        </w:rPr>
      </w:pPr>
      <w:r w:rsidRPr="00B92A60">
        <w:rPr>
          <w:rFonts w:ascii="Times New Roman" w:eastAsia="Times New Roman" w:hAnsi="Times New Roman" w:cs="Times New Roman"/>
          <w:b/>
          <w:kern w:val="0"/>
          <w:lang w:val="pt-PT"/>
          <w14:ligatures w14:val="none"/>
        </w:rPr>
        <w:t xml:space="preserve">Palavras-chave: </w:t>
      </w:r>
      <w:r w:rsidR="00A30A5F" w:rsidRPr="00A30A5F">
        <w:rPr>
          <w:rFonts w:ascii="Times New Roman" w:eastAsia="Times New Roman" w:hAnsi="Times New Roman" w:cs="Times New Roman"/>
          <w:kern w:val="0"/>
          <w:lang w:val="pt-PT"/>
          <w14:ligatures w14:val="none"/>
        </w:rPr>
        <w:t xml:space="preserve">Viabilidade </w:t>
      </w:r>
      <w:r w:rsidR="003C59CA">
        <w:rPr>
          <w:rFonts w:ascii="Times New Roman" w:eastAsia="Times New Roman" w:hAnsi="Times New Roman" w:cs="Times New Roman"/>
          <w:kern w:val="0"/>
          <w:lang w:val="pt-PT"/>
          <w14:ligatures w14:val="none"/>
        </w:rPr>
        <w:t>financeira</w:t>
      </w:r>
      <w:r w:rsidR="00A30A5F" w:rsidRPr="00A30A5F">
        <w:rPr>
          <w:rFonts w:ascii="Times New Roman" w:eastAsia="Times New Roman" w:hAnsi="Times New Roman" w:cs="Times New Roman"/>
          <w:kern w:val="0"/>
          <w:lang w:val="pt-PT"/>
          <w14:ligatures w14:val="none"/>
        </w:rPr>
        <w:t xml:space="preserve">. Arrendamento agrícola. Pecuária bovina. </w:t>
      </w:r>
      <w:r w:rsidR="00E92A9D" w:rsidRPr="00E92A9D">
        <w:rPr>
          <w:rFonts w:ascii="Times New Roman" w:eastAsia="Times New Roman" w:hAnsi="Times New Roman" w:cs="Times New Roman"/>
          <w:kern w:val="0"/>
          <w:lang w:val="pt-PT"/>
          <w14:ligatures w14:val="none"/>
        </w:rPr>
        <w:t>Gestão rural</w:t>
      </w:r>
      <w:r w:rsidR="00A30A5F" w:rsidRPr="00A30A5F">
        <w:rPr>
          <w:rFonts w:ascii="Times New Roman" w:eastAsia="Times New Roman" w:hAnsi="Times New Roman" w:cs="Times New Roman"/>
          <w:kern w:val="0"/>
          <w:lang w:val="pt-PT"/>
          <w14:ligatures w14:val="none"/>
        </w:rPr>
        <w:t>. Agronegócio goiano.</w:t>
      </w:r>
    </w:p>
    <w:p w14:paraId="3C956A88" w14:textId="77777777" w:rsidR="00B92A60" w:rsidRPr="00B92A60" w:rsidRDefault="00B92A60" w:rsidP="00B92A60">
      <w:pPr>
        <w:widowControl w:val="0"/>
        <w:autoSpaceDE w:val="0"/>
        <w:autoSpaceDN w:val="0"/>
        <w:spacing w:before="243" w:after="0" w:line="240" w:lineRule="auto"/>
        <w:rPr>
          <w:rFonts w:ascii="Times New Roman" w:eastAsia="Times New Roman" w:hAnsi="Times New Roman" w:cs="Times New Roman"/>
          <w:kern w:val="0"/>
          <w:lang w:val="pt-PT"/>
          <w14:ligatures w14:val="none"/>
        </w:rPr>
      </w:pPr>
    </w:p>
    <w:p w14:paraId="4B24BF31" w14:textId="44FBABC8" w:rsidR="00B92A60" w:rsidRPr="000A6E48" w:rsidRDefault="00B92A60" w:rsidP="00B92A60">
      <w:pPr>
        <w:widowControl w:val="0"/>
        <w:autoSpaceDE w:val="0"/>
        <w:autoSpaceDN w:val="0"/>
        <w:spacing w:after="0" w:line="259" w:lineRule="auto"/>
        <w:ind w:left="141" w:right="136"/>
        <w:jc w:val="both"/>
        <w:rPr>
          <w:rFonts w:ascii="Times New Roman" w:eastAsia="Times New Roman" w:hAnsi="Times New Roman" w:cs="Times New Roman"/>
          <w:kern w:val="0"/>
          <w:lang w:val="en-US"/>
          <w14:ligatures w14:val="none"/>
        </w:rPr>
      </w:pPr>
      <w:r w:rsidRPr="000A6E48">
        <w:rPr>
          <w:rFonts w:ascii="Times New Roman" w:eastAsia="Times New Roman" w:hAnsi="Times New Roman" w:cs="Times New Roman"/>
          <w:b/>
          <w:kern w:val="0"/>
          <w:lang w:val="en-US"/>
          <w14:ligatures w14:val="none"/>
        </w:rPr>
        <w:t xml:space="preserve">ABSTRACT: </w:t>
      </w:r>
      <w:r w:rsidR="00FC5048" w:rsidRPr="000A6E48">
        <w:rPr>
          <w:rFonts w:ascii="Times New Roman" w:eastAsia="Times New Roman" w:hAnsi="Times New Roman" w:cs="Times New Roman"/>
          <w:kern w:val="0"/>
          <w:lang w:val="en-US"/>
          <w14:ligatures w14:val="none"/>
        </w:rPr>
        <w:t xml:space="preserve">This study aimed to analyze the economic feasibility between two activities developed on a rural property located in the state of </w:t>
      </w:r>
      <w:proofErr w:type="spellStart"/>
      <w:r w:rsidR="00FC5048" w:rsidRPr="000A6E48">
        <w:rPr>
          <w:rFonts w:ascii="Times New Roman" w:eastAsia="Times New Roman" w:hAnsi="Times New Roman" w:cs="Times New Roman"/>
          <w:kern w:val="0"/>
          <w:lang w:val="en-US"/>
          <w14:ligatures w14:val="none"/>
        </w:rPr>
        <w:t>Goiás</w:t>
      </w:r>
      <w:proofErr w:type="spellEnd"/>
      <w:r w:rsidR="00FC5048" w:rsidRPr="000A6E48">
        <w:rPr>
          <w:rFonts w:ascii="Times New Roman" w:eastAsia="Times New Roman" w:hAnsi="Times New Roman" w:cs="Times New Roman"/>
          <w:kern w:val="0"/>
          <w:lang w:val="en-US"/>
          <w14:ligatures w14:val="none"/>
        </w:rPr>
        <w:t>, Brazil: the leasing of land for soybean cultivation and beef cattle farming. The methodology involved the preparation of comparative cash flow models over a five-year period, considering revenues, costs, investments, and taxes, as well as the application of linear regression analysis to project future price trends. For the cattle activity, the financial indicators Net Present Value (NPV), Internal Rate of Return (IRR), Profitability Index (PI), and Discounted Payback Period (DPP) were used. The results showed that beef cattle farming was economically unfeasible, presenting a negative NPV and IRR below the Minimum Attractive Rate of Return (MARR) of 24</w:t>
      </w:r>
      <w:r w:rsidR="00E970C6" w:rsidRPr="000A6E48">
        <w:rPr>
          <w:rFonts w:ascii="Times New Roman" w:eastAsia="Times New Roman" w:hAnsi="Times New Roman" w:cs="Times New Roman"/>
          <w:kern w:val="0"/>
          <w:lang w:val="en-US"/>
          <w14:ligatures w14:val="none"/>
        </w:rPr>
        <w:t>,50</w:t>
      </w:r>
      <w:r w:rsidR="00FC5048" w:rsidRPr="000A6E48">
        <w:rPr>
          <w:rFonts w:ascii="Times New Roman" w:eastAsia="Times New Roman" w:hAnsi="Times New Roman" w:cs="Times New Roman"/>
          <w:kern w:val="0"/>
          <w:lang w:val="en-US"/>
          <w14:ligatures w14:val="none"/>
        </w:rPr>
        <w:t>% per year, while the soybean land lease yielded a positive financial result, proving to be more profitable and less risky. Therefore, it is concluded that agricultural leasing represents the most profitable and secure alternative for the property analyzed, ensuring stable and predictable returns in the medium term.</w:t>
      </w:r>
    </w:p>
    <w:p w14:paraId="15003573" w14:textId="476A7A87" w:rsidR="00E278A3" w:rsidRPr="000A6E48" w:rsidRDefault="00B92A60" w:rsidP="00A30A5F">
      <w:pPr>
        <w:widowControl w:val="0"/>
        <w:autoSpaceDE w:val="0"/>
        <w:autoSpaceDN w:val="0"/>
        <w:spacing w:before="119" w:after="0" w:line="240" w:lineRule="auto"/>
        <w:ind w:left="141"/>
        <w:jc w:val="both"/>
        <w:rPr>
          <w:rFonts w:ascii="Arial" w:eastAsia="Arial" w:hAnsi="Arial" w:cs="Arial"/>
          <w:kern w:val="0"/>
          <w:sz w:val="22"/>
          <w:szCs w:val="22"/>
          <w:lang w:val="en-US"/>
          <w14:ligatures w14:val="none"/>
        </w:rPr>
        <w:sectPr w:rsidR="00E278A3" w:rsidRPr="000A6E48" w:rsidSect="003042CB">
          <w:headerReference w:type="default" r:id="rId7"/>
          <w:headerReference w:type="first" r:id="rId8"/>
          <w:pgSz w:w="11910" w:h="16840"/>
          <w:pgMar w:top="1620" w:right="992" w:bottom="280" w:left="1559" w:header="720" w:footer="720" w:gutter="0"/>
          <w:cols w:space="720"/>
          <w:titlePg/>
          <w:docGrid w:linePitch="326"/>
        </w:sectPr>
      </w:pPr>
      <w:r w:rsidRPr="000A6E48">
        <w:rPr>
          <w:rFonts w:ascii="Times New Roman" w:eastAsia="Times New Roman" w:hAnsi="Times New Roman" w:cs="Times New Roman"/>
          <w:b/>
          <w:kern w:val="0"/>
          <w:lang w:val="en-US"/>
          <w14:ligatures w14:val="none"/>
        </w:rPr>
        <w:t>Keywords:</w:t>
      </w:r>
      <w:r w:rsidRPr="000A6E48">
        <w:rPr>
          <w:rFonts w:ascii="Times New Roman" w:eastAsia="Times New Roman" w:hAnsi="Times New Roman" w:cs="Times New Roman"/>
          <w:b/>
          <w:spacing w:val="-3"/>
          <w:kern w:val="0"/>
          <w:lang w:val="en-US"/>
          <w14:ligatures w14:val="none"/>
        </w:rPr>
        <w:t xml:space="preserve"> </w:t>
      </w:r>
      <w:r w:rsidR="00A30A5F" w:rsidRPr="000A6E48">
        <w:rPr>
          <w:rFonts w:ascii="Times New Roman" w:eastAsia="Times New Roman" w:hAnsi="Times New Roman" w:cs="Times New Roman"/>
          <w:kern w:val="0"/>
          <w:lang w:val="en-US"/>
          <w14:ligatures w14:val="none"/>
        </w:rPr>
        <w:t xml:space="preserve">Economic feasibility. Agricultural leasing. Beef cattle. </w:t>
      </w:r>
      <w:r w:rsidR="00E92A9D" w:rsidRPr="000A6E48">
        <w:rPr>
          <w:rFonts w:ascii="Times New Roman" w:eastAsia="Times New Roman" w:hAnsi="Times New Roman" w:cs="Times New Roman"/>
          <w:kern w:val="0"/>
          <w:lang w:val="en-US"/>
          <w14:ligatures w14:val="none"/>
        </w:rPr>
        <w:t>Farm Management</w:t>
      </w:r>
      <w:r w:rsidR="00A30A5F" w:rsidRPr="000A6E48">
        <w:rPr>
          <w:rFonts w:ascii="Times New Roman" w:eastAsia="Times New Roman" w:hAnsi="Times New Roman" w:cs="Times New Roman"/>
          <w:kern w:val="0"/>
          <w:lang w:val="en-US"/>
          <w14:ligatures w14:val="none"/>
        </w:rPr>
        <w:t xml:space="preserve">. Agribusiness in </w:t>
      </w:r>
      <w:proofErr w:type="spellStart"/>
      <w:r w:rsidR="00A30A5F" w:rsidRPr="000A6E48">
        <w:rPr>
          <w:rFonts w:ascii="Times New Roman" w:eastAsia="Times New Roman" w:hAnsi="Times New Roman" w:cs="Times New Roman"/>
          <w:kern w:val="0"/>
          <w:lang w:val="en-US"/>
          <w14:ligatures w14:val="none"/>
        </w:rPr>
        <w:t>Goiás</w:t>
      </w:r>
      <w:proofErr w:type="spellEnd"/>
    </w:p>
    <w:p w14:paraId="264986A9" w14:textId="703725A0" w:rsidR="00CA43EE" w:rsidRPr="007B712D" w:rsidRDefault="00C02ECE" w:rsidP="00CA43EE">
      <w:pPr>
        <w:rPr>
          <w:rFonts w:ascii="Times New Roman" w:hAnsi="Times New Roman" w:cs="Times New Roman"/>
          <w:b/>
          <w:bCs/>
        </w:rPr>
      </w:pPr>
      <w:r w:rsidRPr="003C7385">
        <w:rPr>
          <w:rFonts w:ascii="Times New Roman" w:hAnsi="Times New Roman" w:cs="Times New Roman"/>
          <w:b/>
          <w:bCs/>
        </w:rPr>
        <w:lastRenderedPageBreak/>
        <w:t xml:space="preserve">1 </w:t>
      </w:r>
      <w:r w:rsidR="003C7385" w:rsidRPr="003C7385">
        <w:rPr>
          <w:rFonts w:ascii="Times New Roman" w:hAnsi="Times New Roman" w:cs="Times New Roman"/>
          <w:b/>
          <w:bCs/>
        </w:rPr>
        <w:t>Introdução</w:t>
      </w:r>
    </w:p>
    <w:p w14:paraId="5135E1EB" w14:textId="4B0C0844" w:rsidR="007B712D" w:rsidRDefault="00CA43EE" w:rsidP="007B712D">
      <w:pPr>
        <w:pStyle w:val="Corpodetexto"/>
        <w:spacing w:line="360" w:lineRule="auto"/>
        <w:ind w:right="140" w:firstLine="285"/>
      </w:pPr>
      <w:r w:rsidRPr="00CA43EE">
        <w:t>A</w:t>
      </w:r>
      <w:r w:rsidR="007B712D" w:rsidRPr="007B712D">
        <w:t xml:space="preserve"> produção agropecuária desempenha papel fundamental no desenvolvimento econômico e social de Goiás, impulsionada principalmente pela agricultura de grãos e pela pecuária bovina de corte. Essas atividades constituem pilares do estado, tanto pelo abastecimento interno quanto pela relevância nas exportações, contribuindo para geração de renda, empregos e investimentos no meio rural. A soja, principal commodity agrícola do país, atingiu produção de cerca de 350 milhões de toneladas em 2024, mantendo o Brasil como maior produtor mundial (CONAB, 2024). Em Goiás, ela representa quase 50% do valor bruto da produção agrícola, com produtividade média superior a 60 sacas por hectare em regiões centrais e sudeste do estado.</w:t>
      </w:r>
    </w:p>
    <w:p w14:paraId="4345A4D5" w14:textId="14606601" w:rsidR="003E301E" w:rsidRDefault="003E301E" w:rsidP="007B712D">
      <w:pPr>
        <w:pStyle w:val="Corpodetexto"/>
        <w:spacing w:line="360" w:lineRule="auto"/>
        <w:ind w:right="140" w:firstLine="285"/>
      </w:pPr>
      <w:r w:rsidRPr="003E301E">
        <w:t>A pecuária bovina, por sua vez, também exerce papel estratégico na economia goiana, representando aproximadamente 10% do rebanho nacional, conforme o Instituto Brasileiro de Geografia e Estatística (IBGE, 2024). Além de sua relevância econômica, trata-se de uma atividade tradicional, fortemente ligada à cultura regional e responsável por sustentar milhares de pequenos e médios produtores. Essa convivência entre agricultura e pecuária é característica da dinâmica rural do estado, onde muitas propriedades combinam diferentes usos da terra como forma de diversificação de renda.</w:t>
      </w:r>
    </w:p>
    <w:p w14:paraId="08DA67BE" w14:textId="46C4CCBC" w:rsidR="003E301E" w:rsidRDefault="003E301E" w:rsidP="00482187">
      <w:pPr>
        <w:pStyle w:val="Corpodetexto"/>
        <w:spacing w:line="360" w:lineRule="auto"/>
        <w:ind w:right="140" w:firstLine="285"/>
      </w:pPr>
      <w:r w:rsidRPr="003E301E">
        <w:t>Diante desse cenário, o problema que norteia esta pesquisa consiste em analisar qual das atividades</w:t>
      </w:r>
      <w:r w:rsidR="00772F02">
        <w:t xml:space="preserve">, </w:t>
      </w:r>
      <w:r w:rsidRPr="003E301E">
        <w:t>o arrendamento de terras para cultivo de soja ou a pecuária bovina de corte apresenta maior viabilidade econômica em uma propriedade rural localizada no estado de Goiás, considerando o desempenho recente e as perspectivas futuras dos mercados.</w:t>
      </w:r>
    </w:p>
    <w:p w14:paraId="1DAFB2A4" w14:textId="558BBA7D" w:rsidR="003E301E" w:rsidRDefault="005E10BF" w:rsidP="00482187">
      <w:pPr>
        <w:pStyle w:val="Corpodetexto"/>
        <w:spacing w:line="360" w:lineRule="auto"/>
        <w:ind w:right="140" w:firstLine="285"/>
      </w:pPr>
      <w:r w:rsidRPr="005E10BF">
        <w:t>Na área estudada, observa-se a combinação entre arrendamento de parte da propriedade para soja e manutenção de um rebanho de corte em pastagens próprias. Conforme a Embrapa (2020), o arrendamento é uma alternativa que gera renda estável e reduz a exposição a riscos produtivos, enquanto a bovinocultura de corte envolve ciclos mais longos e maior sensibilidade a fatores como manejo, nutrição e preço da arroba (EUCLIDES FILHO, 2004)</w:t>
      </w:r>
      <w:r w:rsidR="003E301E" w:rsidRPr="003E301E">
        <w:t>. Diante dessas particularidades, torna-se relevante avaliar comparativamente qual atividade apresenta maior viabilidade econômica no contexto atual da propriedade estudada.</w:t>
      </w:r>
    </w:p>
    <w:p w14:paraId="50FE77AA" w14:textId="5C035D72" w:rsidR="00482187" w:rsidRDefault="00CA43EE" w:rsidP="00482187">
      <w:pPr>
        <w:pStyle w:val="Corpodetexto"/>
        <w:spacing w:line="360" w:lineRule="auto"/>
        <w:ind w:right="140" w:firstLine="285"/>
      </w:pPr>
      <w:r w:rsidRPr="003C7385">
        <w:t xml:space="preserve">A importância deste estudo está em oferecer subsídios práticos para a gestão rural, </w:t>
      </w:r>
      <w:r w:rsidRPr="003C7385">
        <w:lastRenderedPageBreak/>
        <w:t>apoiando decisões de produtores que, assim como no caso analisado, precisam definir entre manter a pecuária ou expandir o arrendamento para grãos. Além disso, academicamente, o trabalho contribui para as análises de viabilidade econômica no agronegócio, explorando dois setores estratégicos do estado.</w:t>
      </w:r>
    </w:p>
    <w:p w14:paraId="5F7735D5" w14:textId="58FDC0F8" w:rsidR="00EB43E0" w:rsidRDefault="00CA43EE" w:rsidP="00482187">
      <w:pPr>
        <w:pStyle w:val="Corpodetexto"/>
        <w:spacing w:line="360" w:lineRule="auto"/>
        <w:ind w:right="140" w:firstLine="285"/>
      </w:pPr>
      <w:r w:rsidRPr="003C7385">
        <w:t xml:space="preserve">O objetivo geral é analisar a viabilidade econômica das atividades de soja via </w:t>
      </w:r>
      <w:r w:rsidR="00407893" w:rsidRPr="003C7385">
        <w:t>arrendamento</w:t>
      </w:r>
      <w:r w:rsidRPr="003C7385">
        <w:t xml:space="preserve"> e da pecuária bovina em uma propriedade rural de Goiás. Como objetivos específicos, destacam-se: levantar dados de custos, receitas e investimentos de cada </w:t>
      </w:r>
      <w:r w:rsidR="00407893" w:rsidRPr="003C7385">
        <w:t>atividade; elaborar</w:t>
      </w:r>
      <w:r w:rsidRPr="003C7385">
        <w:t xml:space="preserve"> fluxos de caixa comparativos analisar o comportamento de mercado da soja e da pecuária; e avaliar as previsões futuras</w:t>
      </w:r>
      <w:r w:rsidR="00DA469B">
        <w:t>.</w:t>
      </w:r>
    </w:p>
    <w:p w14:paraId="66A569D3" w14:textId="77777777" w:rsidR="005E10BF" w:rsidRPr="003C7385" w:rsidRDefault="005E10BF" w:rsidP="00482187">
      <w:pPr>
        <w:pStyle w:val="Corpodetexto"/>
        <w:spacing w:line="360" w:lineRule="auto"/>
        <w:ind w:right="140" w:firstLine="285"/>
      </w:pPr>
    </w:p>
    <w:p w14:paraId="7B5904CA" w14:textId="4D355886" w:rsidR="00EB43E0" w:rsidRPr="00482187" w:rsidRDefault="00EB43E0" w:rsidP="005E10BF">
      <w:pPr>
        <w:spacing w:line="360" w:lineRule="auto"/>
        <w:jc w:val="both"/>
        <w:rPr>
          <w:rFonts w:ascii="Times New Roman" w:eastAsia="Times New Roman" w:hAnsi="Times New Roman" w:cs="Times New Roman"/>
          <w:b/>
          <w:bCs/>
          <w:kern w:val="0"/>
          <w:lang w:val="pt-PT"/>
          <w14:ligatures w14:val="none"/>
        </w:rPr>
      </w:pPr>
      <w:r w:rsidRPr="00482187">
        <w:rPr>
          <w:rFonts w:ascii="Times New Roman" w:eastAsia="Times New Roman" w:hAnsi="Times New Roman" w:cs="Times New Roman"/>
          <w:b/>
          <w:bCs/>
          <w:kern w:val="0"/>
          <w:lang w:val="pt-PT"/>
          <w14:ligatures w14:val="none"/>
        </w:rPr>
        <w:t>2</w:t>
      </w:r>
      <w:r w:rsidR="00482187" w:rsidRPr="00482187">
        <w:rPr>
          <w:rFonts w:ascii="Times New Roman" w:eastAsia="Times New Roman" w:hAnsi="Times New Roman" w:cs="Times New Roman"/>
          <w:b/>
          <w:bCs/>
          <w:kern w:val="0"/>
          <w:lang w:val="pt-PT"/>
          <w14:ligatures w14:val="none"/>
        </w:rPr>
        <w:t xml:space="preserve"> Referencia Teórico</w:t>
      </w:r>
    </w:p>
    <w:p w14:paraId="7190C62D" w14:textId="5A0FB2B1" w:rsidR="00482187" w:rsidRPr="00482187" w:rsidRDefault="00482187" w:rsidP="005E10BF">
      <w:pPr>
        <w:spacing w:line="360" w:lineRule="auto"/>
        <w:jc w:val="both"/>
        <w:rPr>
          <w:rFonts w:ascii="Times New Roman" w:eastAsia="Times New Roman" w:hAnsi="Times New Roman" w:cs="Times New Roman"/>
          <w:b/>
          <w:bCs/>
          <w:kern w:val="0"/>
          <w:lang w:val="pt-PT"/>
          <w14:ligatures w14:val="none"/>
        </w:rPr>
      </w:pPr>
      <w:r w:rsidRPr="00482187">
        <w:rPr>
          <w:rFonts w:ascii="Times New Roman" w:eastAsia="Times New Roman" w:hAnsi="Times New Roman" w:cs="Times New Roman"/>
          <w:b/>
          <w:bCs/>
          <w:kern w:val="0"/>
          <w:lang w:val="pt-PT"/>
          <w14:ligatures w14:val="none"/>
        </w:rPr>
        <w:t>2.1 O agronegócio e a importância da soja e da pecuária em Goiás</w:t>
      </w:r>
    </w:p>
    <w:p w14:paraId="28E0F454" w14:textId="27789F59" w:rsidR="00482187" w:rsidRDefault="00EB43E0" w:rsidP="00482187">
      <w:pPr>
        <w:pStyle w:val="Corpodetexto"/>
        <w:spacing w:line="360" w:lineRule="auto"/>
        <w:ind w:right="140" w:firstLine="285"/>
      </w:pPr>
      <w:r w:rsidRPr="003C7385">
        <w:t>O agronegócio é um dos pilares da economia brasileira, representando cerca de 24% do Produto Interno Bruto (PIB) nacional e mais de 40% das exportações do país (CNA, 2024). Dentro desse setor, o estado de Goiás ocupa posição de destaque por reunir características naturais, geográficas e logísticas que favorecem tanto o cultivo de grãos quanto a criação de bovinos.</w:t>
      </w:r>
    </w:p>
    <w:p w14:paraId="2838DCE0" w14:textId="30BB4BFF" w:rsidR="00482187" w:rsidRDefault="00EB43E0" w:rsidP="00482187">
      <w:pPr>
        <w:pStyle w:val="Corpodetexto"/>
        <w:spacing w:line="360" w:lineRule="auto"/>
        <w:ind w:right="140" w:firstLine="285"/>
      </w:pPr>
      <w:r w:rsidRPr="003C7385">
        <w:t xml:space="preserve">De acordo com a Companhia Nacional de Abastecimento (CONAB, 2024), Goiás produziu mais de </w:t>
      </w:r>
      <w:r w:rsidR="00AB3532">
        <w:t>20,4</w:t>
      </w:r>
      <w:r w:rsidRPr="003C7385">
        <w:t xml:space="preserve"> milhões de toneladas de soja na safra 202</w:t>
      </w:r>
      <w:r w:rsidR="00AB3532">
        <w:t>4</w:t>
      </w:r>
      <w:r w:rsidRPr="003C7385">
        <w:t>/202</w:t>
      </w:r>
      <w:r w:rsidR="00AB3532">
        <w:t>5</w:t>
      </w:r>
      <w:r w:rsidRPr="003C7385">
        <w:t>, sendo o quarto maior produtor brasileiro, atrás apenas de Mato Grosso</w:t>
      </w:r>
      <w:r w:rsidR="00AB3532">
        <w:t xml:space="preserve"> e </w:t>
      </w:r>
      <w:r w:rsidRPr="003C7385">
        <w:t>Paraná</w:t>
      </w:r>
      <w:r w:rsidR="00AB3532">
        <w:t xml:space="preserve">. </w:t>
      </w:r>
      <w:r w:rsidRPr="003C7385">
        <w:t>A soja consolidou-se como a principal cultura agrícola do estado, responsável por quase 50% do Valor Bruto da Produção Agropecuária (VBP) goiano.</w:t>
      </w:r>
    </w:p>
    <w:p w14:paraId="5820AB7A" w14:textId="5BCDB3BE" w:rsidR="00482187" w:rsidRDefault="00EB43E0" w:rsidP="00482187">
      <w:pPr>
        <w:pStyle w:val="Corpodetexto"/>
        <w:spacing w:line="360" w:lineRule="auto"/>
        <w:ind w:right="140" w:firstLine="285"/>
      </w:pPr>
      <w:r w:rsidRPr="003C7385">
        <w:t>Paralelamente, a pecuária bovina de corte representa um dos segmentos mais tradicionais e relevantes do agronegócio goiano. O Instituto Brasileiro de Geografia e Estatística (IBGE, 2024) aponta que o estado possui um rebanho de aproximadamente 24 milhões de cabeças de gado, ocupando a quinta posição nacional. A pecuária goiana é caracterizada por rebanhos predominantemente da raça Nelore e sistemas de produção baseados em pastagens, com crescente adoção de tecnologias de manejo, suplementação e melhoramento genético.</w:t>
      </w:r>
    </w:p>
    <w:p w14:paraId="0FA66A65" w14:textId="5CD3E64A" w:rsidR="1811B806" w:rsidRDefault="00EB43E0" w:rsidP="005E10BF">
      <w:pPr>
        <w:pStyle w:val="Corpodetexto"/>
        <w:spacing w:line="360" w:lineRule="auto"/>
        <w:ind w:right="140" w:firstLine="285"/>
      </w:pPr>
      <w:r>
        <w:t xml:space="preserve">A convivência entre agricultura e pecuária é uma característica marcante do meio rural goiano, onde muitas propriedades utilizam parte da área para o arrendamento agrícola, especialmente da soja, e o restante para a criação de gado de corte. Esse </w:t>
      </w:r>
      <w:r>
        <w:lastRenderedPageBreak/>
        <w:t>modelo híbrido de ocupação do solo é vantajoso por permitir diversificação de receitas e redução de riscos, mas também exige planejamento econômico detalhado para identificar qual atividade apresenta melhor retorno financeiro no médio e longo prazo.</w:t>
      </w:r>
    </w:p>
    <w:p w14:paraId="55BBDBE4" w14:textId="45993EDE" w:rsidR="00EB43E0" w:rsidRDefault="00F32BB0" w:rsidP="00482187">
      <w:pPr>
        <w:spacing w:line="360" w:lineRule="auto"/>
        <w:jc w:val="both"/>
        <w:rPr>
          <w:rFonts w:ascii="Times New Roman" w:eastAsia="Times New Roman" w:hAnsi="Times New Roman" w:cs="Times New Roman"/>
          <w:b/>
          <w:bCs/>
          <w:kern w:val="0"/>
          <w:lang w:val="pt-PT"/>
          <w14:ligatures w14:val="none"/>
        </w:rPr>
      </w:pPr>
      <w:r w:rsidRPr="00482187">
        <w:rPr>
          <w:rFonts w:ascii="Times New Roman" w:eastAsia="Times New Roman" w:hAnsi="Times New Roman" w:cs="Times New Roman"/>
          <w:b/>
          <w:bCs/>
          <w:kern w:val="0"/>
          <w:lang w:val="pt-PT"/>
          <w14:ligatures w14:val="none"/>
        </w:rPr>
        <w:t>2</w:t>
      </w:r>
      <w:r w:rsidR="00EB43E0" w:rsidRPr="00482187">
        <w:rPr>
          <w:rFonts w:ascii="Times New Roman" w:eastAsia="Times New Roman" w:hAnsi="Times New Roman" w:cs="Times New Roman"/>
          <w:b/>
          <w:bCs/>
          <w:kern w:val="0"/>
          <w:lang w:val="pt-PT"/>
          <w14:ligatures w14:val="none"/>
        </w:rPr>
        <w:t>.</w:t>
      </w:r>
      <w:r w:rsidRPr="00482187">
        <w:rPr>
          <w:rFonts w:ascii="Times New Roman" w:eastAsia="Times New Roman" w:hAnsi="Times New Roman" w:cs="Times New Roman"/>
          <w:b/>
          <w:bCs/>
          <w:kern w:val="0"/>
          <w:lang w:val="pt-PT"/>
          <w14:ligatures w14:val="none"/>
        </w:rPr>
        <w:t>2</w:t>
      </w:r>
      <w:r w:rsidR="00EB43E0" w:rsidRPr="00482187">
        <w:rPr>
          <w:rFonts w:ascii="Times New Roman" w:eastAsia="Times New Roman" w:hAnsi="Times New Roman" w:cs="Times New Roman"/>
          <w:b/>
          <w:bCs/>
          <w:kern w:val="0"/>
          <w:lang w:val="pt-PT"/>
          <w14:ligatures w14:val="none"/>
        </w:rPr>
        <w:t xml:space="preserve"> </w:t>
      </w:r>
      <w:r w:rsidR="007F5AAA" w:rsidRPr="007F5AAA">
        <w:rPr>
          <w:rFonts w:ascii="Times New Roman" w:eastAsia="Times New Roman" w:hAnsi="Times New Roman" w:cs="Times New Roman"/>
          <w:b/>
          <w:bCs/>
          <w:kern w:val="0"/>
          <w:lang w:val="pt-PT"/>
          <w14:ligatures w14:val="none"/>
        </w:rPr>
        <w:t>Panorama Econômico e Produtivo da Pecuária Brasileira</w:t>
      </w:r>
    </w:p>
    <w:p w14:paraId="19045AA2" w14:textId="262D10E4" w:rsidR="00A659FF" w:rsidRDefault="00CA782F" w:rsidP="00CA782F">
      <w:pPr>
        <w:pStyle w:val="Corpodetexto"/>
        <w:spacing w:line="360" w:lineRule="auto"/>
        <w:ind w:right="140" w:firstLine="285"/>
      </w:pPr>
      <w:r>
        <w:t>A pecuária de corte brasileira é estruturada em três fases produtivas: cria, recria e engorda. O</w:t>
      </w:r>
      <w:r w:rsidRPr="00CA782F">
        <w:t xml:space="preserve"> sistema de cria é a etapa inicial da cadeia produtiva da pecuária de corte, responsável pela produção de bezerros até a desmama</w:t>
      </w:r>
      <w:r w:rsidR="00A659FF">
        <w:t xml:space="preserve">. </w:t>
      </w:r>
      <w:r>
        <w:t>A recria corresponde ao desenvolvimento dos animais do pós-desmame até a maturidade corporal, enquanto a engorda concentra-se na terminação dos bovinos até o peso de abate, podendo ocorrer a pasto, em semi-confinamento ou em confinamento (EMBRAPA, 2020). Entre essas etapas, o sistema de cria</w:t>
      </w:r>
      <w:r w:rsidR="00A659FF">
        <w:t xml:space="preserve"> é </w:t>
      </w:r>
      <w:r>
        <w:t>considerado o mais sensível, pois depende diretamente da eficiência reprodutiva das matrizes, da qualidade das pastagens e do manejo aplicado (</w:t>
      </w:r>
      <w:r w:rsidR="009C696C" w:rsidRPr="009C696C">
        <w:t>BARCELLOS, JÚLIO OTÁVIO, 2004)</w:t>
      </w:r>
      <w:r w:rsidR="009C696C">
        <w:t>.</w:t>
      </w:r>
    </w:p>
    <w:p w14:paraId="36A27927" w14:textId="77777777" w:rsidR="00BA6C6B" w:rsidRDefault="00BA6C6B" w:rsidP="00BA6C6B">
      <w:pPr>
        <w:pStyle w:val="Corpodetexto"/>
        <w:spacing w:line="360" w:lineRule="auto"/>
        <w:ind w:right="140" w:firstLine="285"/>
      </w:pPr>
      <w:r>
        <w:t>Já o adensamento do rebanho constitui um dos principais fatores de eficiência no uso da terra. Em sistemas extensivos típicos do Cerrado, a lotação varia entre 0,5 e 1,2 UA/ha, podendo ser ampliada quando há suplementação nutricional e utilização de pastagens de maior produtividade (EMBRAPA, 2020). A estrutura do rebanho também exerce influência direta no desempenho produtivo, sendo composta por matrizes adultas, novilhas de reposição e bezerros até a desmama, o que assegura reposição adequada e estabilidade na produção ao longo dos anos (ANUALPEC, 2023).</w:t>
      </w:r>
    </w:p>
    <w:p w14:paraId="1CDB732A" w14:textId="67F7C6CC" w:rsidR="00CA782F" w:rsidRDefault="00CA782F" w:rsidP="00CA782F">
      <w:pPr>
        <w:pStyle w:val="Corpodetexto"/>
        <w:spacing w:line="360" w:lineRule="auto"/>
        <w:ind w:right="140" w:firstLine="285"/>
      </w:pPr>
      <w:r>
        <w:t>Em termos de desempenho econômico, estudos recentes apontam que a margem de lucro na pecuária de corte, incluindo a fase de cria, apresenta grande variação conforme nível tecnológico, estrutura de custos e produtividade, situando-se geralmente entre 10% e 20% em propriedades bem geridas, podendo ser superior em sistemas altamente eficientes (REHAGRO, 2022).</w:t>
      </w:r>
    </w:p>
    <w:p w14:paraId="2F43A37A" w14:textId="7C8337B6" w:rsidR="00CA782F" w:rsidRDefault="00BA6C6B" w:rsidP="00BA6C6B">
      <w:pPr>
        <w:pStyle w:val="Corpodetexto"/>
        <w:spacing w:line="360" w:lineRule="auto"/>
        <w:ind w:right="140" w:firstLine="285"/>
      </w:pPr>
      <w:r>
        <w:t xml:space="preserve">A qualidade das pastagens constitui outro fator determinante no sucesso dos sistemas de cria. No Cerrado, predominam cultivares </w:t>
      </w:r>
      <w:r w:rsidR="007F5AAA" w:rsidRPr="007F5AAA">
        <w:t>de braquiária (gênero Urochloa)</w:t>
      </w:r>
      <w:r w:rsidR="007F5AAA">
        <w:t xml:space="preserve"> </w:t>
      </w:r>
      <w:r>
        <w:t xml:space="preserve"> e </w:t>
      </w:r>
      <w:r w:rsidR="007F5AAA">
        <w:t xml:space="preserve">de </w:t>
      </w:r>
      <w:r>
        <w:t>Panicum, como Marandu, Decumbens, Mombaça e Tanzânia, amplamente utilizadas devido à adaptabilidade e elevada capacidade de suporte. Sistemas com pastagens mais nutritivas permitem maior lotação e melhor desempenho das matrizes. (EMBRAPA.2021).</w:t>
      </w:r>
      <w:r w:rsidR="00CA782F">
        <w:t xml:space="preserve">No que se refere ao desempenho reprodutivo, a taxa de natalidade destaca-se como um dos principais indicadores. Propriedades tecnificadas podem atingir índices entre 70% e 80%, enquanto sistemas extensivos, com menor aporte </w:t>
      </w:r>
      <w:r w:rsidR="00CA782F">
        <w:lastRenderedPageBreak/>
        <w:t>nutricional e manejo limitado, frequentemente registram taxas inferiores a 60%, comprometendo a rentabilidade da atividade (</w:t>
      </w:r>
      <w:r w:rsidR="007B712D" w:rsidRPr="007B712D">
        <w:t>BARBERO, RONDINELI PAVEZZI; PAVEZZI, SIMONE</w:t>
      </w:r>
      <w:r w:rsidR="00CA782F">
        <w:t>, 20</w:t>
      </w:r>
      <w:r w:rsidR="007B712D">
        <w:t>21</w:t>
      </w:r>
      <w:r w:rsidR="00CA782F">
        <w:t xml:space="preserve">). </w:t>
      </w:r>
    </w:p>
    <w:p w14:paraId="79507016" w14:textId="50E3478D" w:rsidR="1811B806" w:rsidRDefault="00CA782F" w:rsidP="00CA782F">
      <w:pPr>
        <w:pStyle w:val="Corpodetexto"/>
        <w:spacing w:line="360" w:lineRule="auto"/>
        <w:ind w:right="140" w:firstLine="285"/>
      </w:pPr>
      <w:r>
        <w:t>No Brasil, o gado Nelore representa aproximadamente 80% do rebanho de corte, sendo amplamente adotado devido à rusticidade, adaptabilidade ao clima tropical e elevada eficiência reprodutiva (MAPA, 2023). Outras raças relevantes incluem Angus, Hereford, Brahman, Tabapuã e Senepol, além de cruzamentos industriais utilizados para melhorar precocidade, desempenho produtivo e qualidade de carne (ANUALPEC, 2023). A predominância do Nelore é especialmente importante nos sistemas de cria do Cerrado, como o analisado neste projeto, devido à sua adaptação às condições ambientais da região.</w:t>
      </w:r>
    </w:p>
    <w:p w14:paraId="25EE5126" w14:textId="3DB6D488" w:rsidR="002B1E20" w:rsidRDefault="002B1E20" w:rsidP="00CA782F">
      <w:pPr>
        <w:pStyle w:val="Corpodetexto"/>
        <w:spacing w:line="360" w:lineRule="auto"/>
        <w:ind w:right="140" w:firstLine="285"/>
      </w:pPr>
      <w:r w:rsidRPr="002B1E20">
        <w:rPr>
          <w:lang w:val="pt-BR"/>
        </w:rPr>
        <w:t>Dessa forma, a combinação entre um rebanho equilibrado, práticas adequadas de manejo reprodutivo, taxa de natalidade satisfatória e o uso de pastagens bem estabelecidas constitui a base técnica para a eficiência e viabilidade econômica dos sistemas de cria na pecuária bovina de corte.</w:t>
      </w:r>
    </w:p>
    <w:p w14:paraId="45C61CDD" w14:textId="00D64947" w:rsidR="00F32BB0" w:rsidRPr="00247759" w:rsidRDefault="00F32BB0" w:rsidP="00F32BB0">
      <w:pPr>
        <w:jc w:val="both"/>
        <w:rPr>
          <w:rFonts w:ascii="Times New Roman" w:eastAsia="Times New Roman" w:hAnsi="Times New Roman" w:cs="Times New Roman"/>
          <w:b/>
          <w:bCs/>
          <w:kern w:val="0"/>
          <w:lang w:val="pt-PT"/>
          <w14:ligatures w14:val="none"/>
        </w:rPr>
      </w:pPr>
      <w:r w:rsidRPr="00CC2A65">
        <w:rPr>
          <w:rFonts w:ascii="Times New Roman" w:eastAsia="Times New Roman" w:hAnsi="Times New Roman" w:cs="Times New Roman"/>
          <w:b/>
          <w:bCs/>
          <w:kern w:val="0"/>
          <w:lang w:val="pt-PT"/>
          <w14:ligatures w14:val="none"/>
        </w:rPr>
        <w:t>2.3 Análise de viabilidade econômica no agronegócio</w:t>
      </w:r>
    </w:p>
    <w:p w14:paraId="33B47FC4" w14:textId="62B440B6" w:rsidR="00247759" w:rsidRDefault="00F32BB0" w:rsidP="00247759">
      <w:pPr>
        <w:pStyle w:val="Corpodetexto"/>
        <w:spacing w:line="360" w:lineRule="auto"/>
        <w:ind w:right="140" w:firstLine="285"/>
      </w:pPr>
      <w:r w:rsidRPr="003C7385">
        <w:t>A análise de viabilidade econômica é uma ferramenta essencial para avaliar a rentabilidade de atividades agropecuárias. Ela permite determinar se o capital investido em determinado projeto ou atividade gera retorno superior ao custo de oportunidade representado pela Taxa Mínima de Atratividade (TMA) (EMBRAPA, 2024).</w:t>
      </w:r>
    </w:p>
    <w:p w14:paraId="2FE4726A" w14:textId="29ADBA20" w:rsidR="00247759" w:rsidRDefault="00F32BB0" w:rsidP="00247759">
      <w:pPr>
        <w:pStyle w:val="Corpodetexto"/>
        <w:spacing w:line="360" w:lineRule="auto"/>
        <w:ind w:right="140" w:firstLine="285"/>
      </w:pPr>
      <w:r w:rsidRPr="003C7385">
        <w:t xml:space="preserve">Os principais indicadores utilizados nesse tipo de análise são o Valor Presente Líquido (VPL), </w:t>
      </w:r>
      <w:r w:rsidR="00A17C34">
        <w:t xml:space="preserve">O Índice de Lucratividade (IL), </w:t>
      </w:r>
      <w:r w:rsidRPr="003C7385">
        <w:t>a Taxa Interna de Retorno (TIR) e o Payback.</w:t>
      </w:r>
    </w:p>
    <w:p w14:paraId="706BC0B2" w14:textId="44E1359E" w:rsidR="00247759" w:rsidRPr="00CC2A65" w:rsidRDefault="004B4B55" w:rsidP="00247759">
      <w:pPr>
        <w:pStyle w:val="Corpodetexto"/>
        <w:spacing w:line="360" w:lineRule="auto"/>
        <w:ind w:right="140" w:firstLine="285"/>
      </w:pPr>
      <w:r w:rsidRPr="004B4B55">
        <w:t>O VPL representa o valor atualizado dos fluxos de caixa futuros, descontados pela TMA. De forma geral, um VPL positivo indica que o projeto tende a gerar retorno superior ao custo do capital, sendo potencialmente economicamente atrativo</w:t>
      </w:r>
      <w:r>
        <w:t xml:space="preserve"> </w:t>
      </w:r>
      <w:r w:rsidR="00B92A60" w:rsidRPr="00CC2A65">
        <w:t>(LIRA; SILVA, 2025).</w:t>
      </w:r>
    </w:p>
    <w:p w14:paraId="77759D0A" w14:textId="52D6FFA4" w:rsidR="00A17C34" w:rsidRDefault="00A17C34" w:rsidP="00247759">
      <w:pPr>
        <w:pStyle w:val="Corpodetexto"/>
        <w:spacing w:line="360" w:lineRule="auto"/>
        <w:ind w:right="140" w:firstLine="285"/>
      </w:pPr>
      <w:r w:rsidRPr="00CC2A65">
        <w:t>O Índice de Lucratividade (IL) é um indicador complementar que relaciona o valor presente das entradas de caixa com o valor presente dos desembolsos iniciais do projeto</w:t>
      </w:r>
      <w:r w:rsidR="00CC2A65" w:rsidRPr="00CC2A65">
        <w:t xml:space="preserve"> (LIRA; SILVA, 2025).</w:t>
      </w:r>
    </w:p>
    <w:p w14:paraId="536A86E5" w14:textId="1FA6132A" w:rsidR="00247759" w:rsidRDefault="00F32BB0" w:rsidP="00247759">
      <w:pPr>
        <w:pStyle w:val="Corpodetexto"/>
        <w:spacing w:line="360" w:lineRule="auto"/>
        <w:ind w:right="140" w:firstLine="285"/>
      </w:pPr>
      <w:r w:rsidRPr="003C7385">
        <w:t xml:space="preserve">A TIR, por sua vez, corresponde à taxa de rentabilidade do projeto, sendo viável </w:t>
      </w:r>
      <w:r w:rsidRPr="003C7385">
        <w:lastRenderedPageBreak/>
        <w:t>quando supera a TMA. Já o Payback indica o tempo necessário para recuperar o capital investido, servindo como indicador de risco e liquidez (LIRA; SILVA, 2025).</w:t>
      </w:r>
    </w:p>
    <w:p w14:paraId="09AA2FF8" w14:textId="3CE3EE48" w:rsidR="00247759" w:rsidRDefault="00F32BB0" w:rsidP="00247759">
      <w:pPr>
        <w:pStyle w:val="Corpodetexto"/>
        <w:spacing w:line="360" w:lineRule="auto"/>
        <w:ind w:right="140" w:firstLine="285"/>
      </w:pPr>
      <w:r w:rsidRPr="003C7385">
        <w:t>Para calcular esses indicadores, é necessário elaborar o Fluxo de Caixa Operacional (FCO), que considera todas as receitas, custos, despesas e impostos da atividade (SEBRAE, 2021). N</w:t>
      </w:r>
      <w:r w:rsidR="004B4B55">
        <w:t>este caso</w:t>
      </w:r>
      <w:r w:rsidRPr="003C7385">
        <w:t>, o FCO mede a capacidade de geração de caixa das operações agropecuárias, sendo a base para comparar diferentes sistemas produtivos, como o arrendamento de soja e a pecuária bovina.</w:t>
      </w:r>
    </w:p>
    <w:p w14:paraId="11A235E5" w14:textId="061E063B" w:rsidR="00F32BB0" w:rsidRPr="003C7385" w:rsidRDefault="00F32BB0" w:rsidP="00247759">
      <w:pPr>
        <w:pStyle w:val="Corpodetexto"/>
        <w:spacing w:line="360" w:lineRule="auto"/>
        <w:ind w:right="140" w:firstLine="285"/>
      </w:pPr>
      <w:r w:rsidRPr="00823531">
        <w:t>Além disso, fatores como variação de preços de mercado, condições climáticas, políticas agrícolas e custos de insumos influenciam diretamente o desempenho econômico das atividades rurais. Por isso, a análise de viabilidade deve considerar tanto os resultados financeiros históricos quanto as projeções futuras de preços e produtividade (CEPEA, 2025).</w:t>
      </w:r>
    </w:p>
    <w:p w14:paraId="7F29D35D" w14:textId="77777777" w:rsidR="00816E6F" w:rsidRPr="00247759" w:rsidRDefault="00816E6F" w:rsidP="00816E6F">
      <w:pPr>
        <w:jc w:val="both"/>
        <w:rPr>
          <w:rFonts w:ascii="Times New Roman" w:eastAsia="Times New Roman" w:hAnsi="Times New Roman" w:cs="Times New Roman"/>
          <w:b/>
          <w:bCs/>
          <w:kern w:val="0"/>
          <w:lang w:val="pt-PT"/>
          <w14:ligatures w14:val="none"/>
        </w:rPr>
      </w:pPr>
      <w:r w:rsidRPr="003C7385">
        <w:rPr>
          <w:rFonts w:ascii="Times New Roman" w:eastAsia="Times New Roman" w:hAnsi="Times New Roman" w:cs="Times New Roman"/>
          <w:kern w:val="0"/>
          <w:lang w:val="pt-PT"/>
          <w14:ligatures w14:val="none"/>
        </w:rPr>
        <w:br/>
      </w:r>
      <w:r w:rsidRPr="00247759">
        <w:rPr>
          <w:rFonts w:ascii="Times New Roman" w:eastAsia="Times New Roman" w:hAnsi="Times New Roman" w:cs="Times New Roman"/>
          <w:b/>
          <w:bCs/>
          <w:kern w:val="0"/>
          <w:lang w:val="pt-PT"/>
          <w14:ligatures w14:val="none"/>
        </w:rPr>
        <w:t>3. Metodologia</w:t>
      </w:r>
    </w:p>
    <w:p w14:paraId="029E82FC" w14:textId="77777777" w:rsidR="00816E6F" w:rsidRPr="00247759" w:rsidRDefault="00816E6F" w:rsidP="00816E6F">
      <w:pPr>
        <w:jc w:val="both"/>
        <w:rPr>
          <w:rFonts w:ascii="Times New Roman" w:eastAsia="Times New Roman" w:hAnsi="Times New Roman" w:cs="Times New Roman"/>
          <w:b/>
          <w:bCs/>
          <w:kern w:val="0"/>
          <w:lang w:val="pt-PT"/>
          <w14:ligatures w14:val="none"/>
        </w:rPr>
      </w:pPr>
      <w:r w:rsidRPr="00247759">
        <w:rPr>
          <w:rFonts w:ascii="Times New Roman" w:eastAsia="Times New Roman" w:hAnsi="Times New Roman" w:cs="Times New Roman"/>
          <w:b/>
          <w:bCs/>
          <w:kern w:val="0"/>
          <w:lang w:val="pt-PT"/>
          <w14:ligatures w14:val="none"/>
        </w:rPr>
        <w:t>3.1 Tipo e abordagem da pesquisa</w:t>
      </w:r>
    </w:p>
    <w:p w14:paraId="6FB4FB3D" w14:textId="77777777" w:rsidR="00247759" w:rsidRDefault="00816E6F" w:rsidP="00247759">
      <w:pPr>
        <w:pStyle w:val="Corpodetexto"/>
        <w:spacing w:line="360" w:lineRule="auto"/>
        <w:ind w:right="140" w:firstLine="285"/>
      </w:pPr>
      <w:r w:rsidRPr="003C7385">
        <w:t>Este trabalho caracteriza-se como uma pesquisa aplicada, com abordagem quantitativa e natureza exploratória-descritiva. É aplicada por buscar uma solução prática para a tomada de decisão quanto à melhor utilização de áreas rurais entre arrendamento para soja e pecuária de corte. A abordagem quantitativa decorre do uso de dados numéricos reais e projeções econômicas, enquanto o caráter exploratório-descritivo refere-se à análise comparativa das duas atividades por meio de indicadores financeiros e tendências de mercado.</w:t>
      </w:r>
    </w:p>
    <w:p w14:paraId="3C5A9BCA" w14:textId="7DE25A73" w:rsidR="00816E6F" w:rsidRPr="00247759" w:rsidRDefault="00816E6F" w:rsidP="00247759">
      <w:pPr>
        <w:pStyle w:val="Corpodetexto"/>
        <w:spacing w:line="360" w:lineRule="auto"/>
        <w:ind w:left="0" w:right="140"/>
        <w:rPr>
          <w:b/>
          <w:bCs/>
        </w:rPr>
      </w:pPr>
      <w:r w:rsidRPr="00247759">
        <w:rPr>
          <w:b/>
          <w:bCs/>
        </w:rPr>
        <w:t>3.2 Coleta de dados e fontes de informação</w:t>
      </w:r>
    </w:p>
    <w:p w14:paraId="4C32D9A6" w14:textId="77777777" w:rsidR="00247759" w:rsidRDefault="00816E6F" w:rsidP="00247759">
      <w:pPr>
        <w:pStyle w:val="Corpodetexto"/>
        <w:spacing w:line="360" w:lineRule="auto"/>
        <w:ind w:right="140" w:firstLine="285"/>
      </w:pPr>
      <w:r w:rsidRPr="003C7385">
        <w:t>A coleta de dados ocorreu em duas etapas:</w:t>
      </w:r>
    </w:p>
    <w:p w14:paraId="634B430B" w14:textId="77777777" w:rsidR="00B00078" w:rsidRDefault="00816E6F" w:rsidP="00816E6F">
      <w:pPr>
        <w:pStyle w:val="Corpodetexto"/>
        <w:numPr>
          <w:ilvl w:val="0"/>
          <w:numId w:val="4"/>
        </w:numPr>
        <w:spacing w:line="360" w:lineRule="auto"/>
        <w:ind w:right="140"/>
      </w:pPr>
      <w:r w:rsidRPr="003C7385">
        <w:t>Fontes primárias: informações reais obtidas com o proprietário da fazenda, incluindo contratos de arrendamento, receitas, custos fixos e variáveis, despesas com manejo do rebanho, suplementação, vacinas, manutenção e mão de obra.</w:t>
      </w:r>
    </w:p>
    <w:p w14:paraId="5EC8C085" w14:textId="5BAEFDCB" w:rsidR="00C23D2C" w:rsidRPr="00B00078" w:rsidRDefault="00816E6F" w:rsidP="00816E6F">
      <w:pPr>
        <w:pStyle w:val="Corpodetexto"/>
        <w:numPr>
          <w:ilvl w:val="0"/>
          <w:numId w:val="4"/>
        </w:numPr>
        <w:spacing w:line="360" w:lineRule="auto"/>
        <w:ind w:right="140"/>
      </w:pPr>
      <w:r w:rsidRPr="00B00078">
        <w:t xml:space="preserve">Fontes secundárias: dados de mercado provenientes de instituições oficiais, como o Centro de Estudos Avançados em Economia Aplicada (CEPEA), a Companhia Nacional de Abastecimento (CONAB), a Confederação da Agricultura e Pecuária do Brasil (CNA), o Instituto Brasileiro de Geografia e </w:t>
      </w:r>
      <w:r w:rsidRPr="00B00078">
        <w:lastRenderedPageBreak/>
        <w:t>Estatística (IBGE) e a Embrapa Gado de Corte. Essas fontes forneceram séries históricas de preços, produtividade e projeções de tendência de mercado para a soja e a pecuária bovina.</w:t>
      </w:r>
      <w:r w:rsidR="00C23D2C" w:rsidRPr="00B00078">
        <w:t xml:space="preserve"> </w:t>
      </w:r>
    </w:p>
    <w:p w14:paraId="29A0BAC8" w14:textId="77777777" w:rsidR="00C23D2C" w:rsidRPr="00B00078" w:rsidRDefault="00C23D2C">
      <w:pPr>
        <w:rPr>
          <w:rFonts w:ascii="Times New Roman" w:eastAsia="Times New Roman" w:hAnsi="Times New Roman" w:cs="Times New Roman"/>
          <w:b/>
          <w:bCs/>
          <w:kern w:val="0"/>
          <w:lang w:val="pt-PT"/>
          <w14:ligatures w14:val="none"/>
        </w:rPr>
      </w:pPr>
      <w:r w:rsidRPr="003C7385">
        <w:rPr>
          <w:rFonts w:ascii="Times New Roman" w:eastAsia="Times New Roman" w:hAnsi="Times New Roman" w:cs="Times New Roman"/>
          <w:kern w:val="0"/>
          <w:lang w:val="pt-PT"/>
          <w14:ligatures w14:val="none"/>
        </w:rPr>
        <w:br/>
      </w:r>
      <w:r w:rsidRPr="00B00078">
        <w:rPr>
          <w:rFonts w:ascii="Times New Roman" w:eastAsia="Times New Roman" w:hAnsi="Times New Roman" w:cs="Times New Roman"/>
          <w:b/>
          <w:bCs/>
          <w:kern w:val="0"/>
          <w:lang w:val="pt-PT"/>
          <w14:ligatures w14:val="none"/>
        </w:rPr>
        <w:t xml:space="preserve">3.3 Elaboração dos Fluxos de Caixa e Análise Financeira </w:t>
      </w:r>
    </w:p>
    <w:p w14:paraId="3DEB6EF7" w14:textId="59837FE4" w:rsidR="005E10BF" w:rsidRDefault="005E10BF" w:rsidP="005E10BF">
      <w:pPr>
        <w:pStyle w:val="Corpodetexto"/>
        <w:spacing w:line="360" w:lineRule="auto"/>
        <w:ind w:right="140" w:firstLine="285"/>
      </w:pPr>
      <w:r>
        <w:t>A análise financeira deste estudo foi desenvolvida a partir de dois modelos independentes de fluxo de caixa, correspondentes ao arrendamento para cultivo de soja e à pecuária bovina de corte no sistema de cria. Ambos foram estruturados com base nos dados fornecidos pela propriedade, considerando receitas, custos e especificidades operacionais de cada atividade.</w:t>
      </w:r>
    </w:p>
    <w:p w14:paraId="61966B4C" w14:textId="24CE3C80" w:rsidR="005E10BF" w:rsidRDefault="005E10BF" w:rsidP="005E10BF">
      <w:pPr>
        <w:pStyle w:val="Corpodetexto"/>
        <w:spacing w:line="360" w:lineRule="auto"/>
        <w:ind w:right="140" w:firstLine="285"/>
      </w:pPr>
      <w:r>
        <w:t>No arrendamento agrícola, adotaram-se os valores de remuneração por hectare expressos em sacas de soja e os preços médios do grão divulgados pelo CEPEA, contemplando apenas as receitas estimadas e os tributos, já que os custos de produção são integralmente assumidos pelo arrendatário. Para a pecuária, foram incorporados todos os custos do sistema de cria, incluindo manejo, suplementação, sanidade, manutenção e mão de obra, além das receitas obtidas com a venda de bezerros.</w:t>
      </w:r>
    </w:p>
    <w:p w14:paraId="1082D1E1" w14:textId="16F3B8D8" w:rsidR="005E10BF" w:rsidRDefault="005E10BF" w:rsidP="005E10BF">
      <w:pPr>
        <w:pStyle w:val="Corpodetexto"/>
        <w:spacing w:line="360" w:lineRule="auto"/>
        <w:ind w:right="140" w:firstLine="285"/>
      </w:pPr>
      <w:r>
        <w:t>Os fluxos de caixa foram projetados para o período de 2026 a 2035 e avaliados por meio dos indicadores Valor Presente Líquido (VPL), Taxa Interna de Retorno (TIR), Índice de Lucratividade (IL) e Payback descontado, utilizando-se uma Taxa Mínima de Atratividade (TMA) de 24,50% ao ano.</w:t>
      </w:r>
    </w:p>
    <w:p w14:paraId="193BC5A4" w14:textId="260C37D7" w:rsidR="00B00078" w:rsidRDefault="005E10BF" w:rsidP="005E10BF">
      <w:pPr>
        <w:pStyle w:val="Corpodetexto"/>
        <w:spacing w:line="360" w:lineRule="auto"/>
        <w:ind w:right="140" w:firstLine="285"/>
      </w:pPr>
      <w:r>
        <w:t xml:space="preserve">Complementarmente, realizou-se uma análise de sensibilidade para examinar o impacto de variações nos principais parâmetros das atividades. No arrendamento, avaliou-se a alteração no preço da soja, já na pecuária, consideraram-se variações no custo operacional, no preço de venda dos bezerros e, especialmente, na taxa de natalidade  identificada como o fator mais determinante da rentabilidade no sistema de cria. </w:t>
      </w:r>
      <w:r w:rsidR="00DD3B35">
        <w:t>A metodologia adotada permitiu estruturar uma comparação financeira padronizada entre as duas atividades, fornecendo critérios quantitativos para avaliar o potencial econômico de cada alternativa dentro do período considerado.</w:t>
      </w:r>
    </w:p>
    <w:p w14:paraId="13E1A449" w14:textId="77777777" w:rsidR="005E10BF" w:rsidRDefault="005E10BF" w:rsidP="005E10BF">
      <w:pPr>
        <w:pStyle w:val="Corpodetexto"/>
        <w:spacing w:line="360" w:lineRule="auto"/>
        <w:ind w:right="140" w:firstLine="285"/>
      </w:pPr>
    </w:p>
    <w:p w14:paraId="67139E64" w14:textId="7105D030" w:rsidR="00C77FB9" w:rsidRPr="00B00078" w:rsidRDefault="00C77FB9" w:rsidP="00B00078">
      <w:pPr>
        <w:pStyle w:val="Corpodetexto"/>
        <w:spacing w:line="360" w:lineRule="auto"/>
        <w:ind w:left="0" w:right="140"/>
        <w:rPr>
          <w:b/>
          <w:bCs/>
        </w:rPr>
      </w:pPr>
      <w:r w:rsidRPr="00B00078">
        <w:rPr>
          <w:b/>
          <w:bCs/>
        </w:rPr>
        <w:t>4. Resultados e Discussões</w:t>
      </w:r>
    </w:p>
    <w:p w14:paraId="65A18585" w14:textId="77777777" w:rsidR="00C77FB9" w:rsidRPr="00B00078" w:rsidRDefault="00C77FB9" w:rsidP="00C77FB9">
      <w:pPr>
        <w:jc w:val="both"/>
        <w:rPr>
          <w:rFonts w:ascii="Times New Roman" w:eastAsia="Times New Roman" w:hAnsi="Times New Roman" w:cs="Times New Roman"/>
          <w:b/>
          <w:bCs/>
          <w:kern w:val="0"/>
          <w:lang w:val="pt-PT"/>
          <w14:ligatures w14:val="none"/>
        </w:rPr>
      </w:pPr>
      <w:r w:rsidRPr="00B00078">
        <w:rPr>
          <w:rFonts w:ascii="Times New Roman" w:eastAsia="Times New Roman" w:hAnsi="Times New Roman" w:cs="Times New Roman"/>
          <w:b/>
          <w:bCs/>
          <w:kern w:val="0"/>
          <w:lang w:val="pt-PT"/>
          <w14:ligatures w14:val="none"/>
        </w:rPr>
        <w:t>4.1 Resultados da Pecuária de Corte</w:t>
      </w:r>
    </w:p>
    <w:p w14:paraId="76332E1A" w14:textId="10803C95" w:rsidR="005A5AB4" w:rsidRDefault="005A5AB4" w:rsidP="005A5AB4">
      <w:pPr>
        <w:pStyle w:val="Corpodetexto"/>
        <w:spacing w:line="360" w:lineRule="auto"/>
        <w:ind w:right="140" w:firstLine="285"/>
      </w:pPr>
      <w:r>
        <w:t>A atividade pecuária considerada neste estudo opera no sistema de produção do tipo cria, conduzida em regime extensivo, com animais</w:t>
      </w:r>
      <w:r w:rsidR="005E10BF">
        <w:t xml:space="preserve"> da raça Nelore,</w:t>
      </w:r>
      <w:r>
        <w:t xml:space="preserve"> mantidos </w:t>
      </w:r>
      <w:r>
        <w:lastRenderedPageBreak/>
        <w:t>exclusivamente em pastagens de Brachiaria e suplementação mineral à base de sal. O rebanho é composto por 122 animais, sendo 4 machos acima de 36 meses, 100 fêmeas adultas com idade acima de 36 meses e 18 novilhas entre 13 e 24 meses.</w:t>
      </w:r>
      <w:r w:rsidR="007F5AAA">
        <w:t xml:space="preserve"> </w:t>
      </w:r>
      <w:r w:rsidR="007F5AAA" w:rsidRPr="007F5AAA">
        <w:t>O investimento total no rebanho é estimado em R$ 481.400,00, considerando o valor médio por categoria animal.</w:t>
      </w:r>
      <w:r>
        <w:t xml:space="preserve"> Para fins de modelagem produtiva, considerou-se que as 100 matrizes adultas iniciam o período analisado já prenhas, enquanto as 18 novilhas passam a integrar o grupo reprodutivo a partir do terceiro ano, aumentando gradualmente a capacidade produtiva do sistema. Com vistas a refletir de maneira mais realista o desempenho de sistemas extensivos da região, adotou-se uma taxa média de natalidade de 50% e taxa de mortalidade de 5% aplicada sobre os nascimentos, sem previsão de descarte de matrizes ao longo do horizonte de análise.</w:t>
      </w:r>
    </w:p>
    <w:p w14:paraId="5752D054" w14:textId="28AE9C2E" w:rsidR="005A5AB4" w:rsidRDefault="005A5AB4" w:rsidP="005A5AB4">
      <w:pPr>
        <w:pStyle w:val="Corpodetexto"/>
        <w:spacing w:line="360" w:lineRule="auto"/>
        <w:ind w:right="140" w:firstLine="285"/>
      </w:pPr>
      <w:r>
        <w:t>A área destinada ao pastoreio totaliza 127 hectares, sendo 90 hectares de áreas arrendadas e 37 hectares de terra própria. Embora a lotação esteja distribuída entre áreas próprias e arrendadas, apenas as 85 cabeças mantidas nos 90 hectares arrendados geram despesa de arrendamento, enquanto as 37 cabeças alojadas em área própria não acarretam custos dessa natureza. Com base no comportamento reprodutivo estabelecido, o primeiro ano não apresenta receita, uma vez que os bezerros oriundos das matrizes prenhas não atingem idade mínima de comercialização durante esse período. A primeira receita ocorre no segundo ano exclusivamente com os bezerros das 100 matrizes adultas. Aplicando-se a taxa de natalidade de 50% e a taxa de mortalidade de 5%, estima-se a produção de 47 bezerros vendáveis no segundo ano. A partir do terceiro ano, com a entrada das 18 novilhas no grupo de matrizes, o efetivo de reprodutoras passa a 118 animais, resultando em aproximadamente 56 bezerros vendáveis por ano, valor utilizado na projeção dos fluxos de caixa e na análise de viabilidade econômica.</w:t>
      </w:r>
    </w:p>
    <w:p w14:paraId="66701371" w14:textId="36062345" w:rsidR="005C3B38" w:rsidRDefault="005C3B38" w:rsidP="005A5AB4">
      <w:pPr>
        <w:pStyle w:val="Corpodetexto"/>
        <w:spacing w:line="360" w:lineRule="auto"/>
        <w:ind w:right="140" w:firstLine="285"/>
      </w:pPr>
      <w:r w:rsidRPr="005C3B38">
        <w:rPr>
          <w:lang w:val="pt-BR"/>
        </w:rPr>
        <w:t xml:space="preserve">Para fins de cálculo da capacidade de suporte, considerou-se também o consumo dos bezerros produzidos anualmente, estimados em 0,5 Unidade Animal (UA) por cabeça, conforme recomendações técnicas da Embrapa para sistemas de cria. Assim, o rebanho totaliza aproximadamente 140 Unidades Animais, resultando em uma lotação média de </w:t>
      </w:r>
      <w:r w:rsidRPr="007F5AAA">
        <w:rPr>
          <w:lang w:val="pt-BR"/>
        </w:rPr>
        <w:t>1,10 UA/ha</w:t>
      </w:r>
      <w:r w:rsidRPr="005C3B38">
        <w:rPr>
          <w:lang w:val="pt-BR"/>
        </w:rPr>
        <w:t xml:space="preserve"> sobre os 127 hectares de pastagem disponíveis, valor condizente com sistemas extensivos do Cerrado.</w:t>
      </w:r>
    </w:p>
    <w:p w14:paraId="20C66F9E" w14:textId="5CB6E8E4" w:rsidR="005A5AB4" w:rsidRDefault="005A5AB4" w:rsidP="005A5AB4">
      <w:pPr>
        <w:pStyle w:val="Corpodetexto"/>
        <w:spacing w:line="360" w:lineRule="auto"/>
        <w:ind w:right="140" w:firstLine="285"/>
      </w:pPr>
      <w:r>
        <w:t xml:space="preserve">A estrutura de custos da atividade pecuária foi elaborada a partir dos gastos operacionais necessários para a manutenção do sistema. Entre os custos variáveis </w:t>
      </w:r>
      <w:r>
        <w:lastRenderedPageBreak/>
        <w:t xml:space="preserve">incluem-se: o consumo de sal mineral no valor de R$ 1.000,00 mensais (R$ 12.000,00 anuais), despesas com remédios estimadas em R$ 500,00 anuais, vacinas no valor de R$ 450,00 anuais e o custo de arrendamento aplicado sobre as 85 cabeças alojadas nas áreas arrendadas, com valor mensal de R$ 85,00 por cabeça, totalizando R$ 7.225,00 ao mês e R$ 86.700,00 ao ano. Os custos fixos englobam a mão de obra empregada, no valor de R$ 10.000,00 anuais, e a manutenção de cercas, estimada em R$ 500,00 ao ano. </w:t>
      </w:r>
      <w:r w:rsidR="005C3B38" w:rsidRPr="005C3B38">
        <w:t xml:space="preserve">Não foram contabilizadas despesas com energia elétrica, serviços veterinários, seguros ou manutenção de curral, uma vez que a atividade utiliza infraestrutura cedida por um familiar, sem geração de ônus ao produtor. Além disso, parte das atividades </w:t>
      </w:r>
      <w:r w:rsidR="005C3B38">
        <w:t>veterinarias</w:t>
      </w:r>
      <w:r w:rsidR="005C3B38" w:rsidRPr="005C3B38">
        <w:t xml:space="preserve"> é executada por um familiar que presta auxílio sem remuneração, o que elimina a necessidade de incluir custos com mão de obra contratada nesse levantamento</w:t>
      </w:r>
      <w:r>
        <w:t>. A soma dos custos variáveis e fixos resulta em um gasto total anual de R$ 110.150,00.</w:t>
      </w:r>
    </w:p>
    <w:p w14:paraId="6B4E3F92" w14:textId="2F1F5C8C" w:rsidR="005A5AB4" w:rsidRDefault="005A5AB4" w:rsidP="005A5AB4">
      <w:pPr>
        <w:pStyle w:val="Corpodetexto"/>
        <w:spacing w:line="360" w:lineRule="auto"/>
        <w:ind w:right="140" w:firstLine="285"/>
      </w:pPr>
      <w:r>
        <w:t>A partir desse valor, foram estimados os custos unitários por bezerro com base na produção anual. No segundo ano, com a produção de 47 bezerros, o custo médio por animal alcança R$ 2.344,68. A partir do terceiro ano, com a produção anual estabilizada em 56 bezerros, o custo médio reduz-se para R$ 1.967,86 por cabeça. Esses valores constituem o custo mínimo necessário para cobrir a totalidade das despesas da atividade.</w:t>
      </w:r>
    </w:p>
    <w:p w14:paraId="5FECE0E5" w14:textId="10F7C5D0" w:rsidR="005A5AB4" w:rsidRDefault="005A5AB4" w:rsidP="005A5AB4">
      <w:pPr>
        <w:pStyle w:val="Corpodetexto"/>
        <w:spacing w:line="360" w:lineRule="auto"/>
        <w:ind w:right="140" w:firstLine="285"/>
      </w:pPr>
      <w:r>
        <w:t xml:space="preserve">Para fins de modelagem financeira adotou-se o valor médio de mercado de R$ 2.500,00 por bezerro, parâmetro utilizado para estimar receitas e margens operacionais. Com base nisso, o segundo ano apresenta receita total de R$ 117.500,00, resultante da venda de 47 bezerros, enquanto a partir do terceiro ano a receita anual passa a R$ 140.000,00. O lucro bruto por bezerro no segundo ano é de R$ 567,54, equivalente a uma margem bruta de 6,25%. Nos anos subsequentes, o lucro bruto por bezerro é de R$ 855,97, representando margem bruta de 21,32%. Após a aplicação da alíquota de 27,5% de Imposto de Renda sobre o lucro tributável, os lucros líquidos por bezerro passam a R$ 411,47 (margem líquida de 4,53%) no segundo ano e R$ 620,58 (margem líquida de 15,45%) a partir do terceiro ano. </w:t>
      </w:r>
      <w:r w:rsidR="007F5AAA">
        <w:t>C</w:t>
      </w:r>
      <w:r w:rsidR="007F5AAA" w:rsidRPr="007F5AAA">
        <w:t xml:space="preserve">onsiderou-se </w:t>
      </w:r>
      <w:r w:rsidR="007F5AAA">
        <w:t xml:space="preserve">para o projeto </w:t>
      </w:r>
      <w:r w:rsidR="007F5AAA" w:rsidRPr="007F5AAA">
        <w:t>um capital de giro equivalente a 20% da receita, destinado à cobertura das despesas operacionais da atividade.</w:t>
      </w:r>
    </w:p>
    <w:p w14:paraId="7E81B888" w14:textId="42662D78" w:rsidR="00866C7D" w:rsidRDefault="006A7310" w:rsidP="00866C7D">
      <w:pPr>
        <w:pStyle w:val="Corpodetexto"/>
        <w:spacing w:line="360" w:lineRule="auto"/>
        <w:ind w:right="140" w:firstLine="285"/>
      </w:pPr>
      <w:r w:rsidRPr="006A7310">
        <w:t xml:space="preserve">Com base nos custos, receitas e premissas produtivas previamente descritos, procedeu-se à avaliação da viabilidade econômica da atividade pecuária ao longo do </w:t>
      </w:r>
      <w:r w:rsidRPr="006A7310">
        <w:lastRenderedPageBreak/>
        <w:t>horizonte temporal estabelecido no estudo. A Tabela 1 apresenta os indicadores do fluxo de caixa consolidado.</w:t>
      </w:r>
    </w:p>
    <w:p w14:paraId="135D1C61" w14:textId="78EA2531" w:rsidR="005E2638" w:rsidRDefault="00866C7D" w:rsidP="007B712D">
      <w:pPr>
        <w:pStyle w:val="Corpodetexto"/>
        <w:spacing w:line="360" w:lineRule="auto"/>
        <w:ind w:left="0" w:right="140"/>
        <w:jc w:val="center"/>
      </w:pPr>
      <w:r w:rsidRPr="009B22B9">
        <w:rPr>
          <w:b/>
          <w:bCs/>
        </w:rPr>
        <w:t>Tabela 1</w:t>
      </w:r>
      <w:r>
        <w:t>: Indicadores financeiros de viabilidade do projeto</w:t>
      </w:r>
    </w:p>
    <w:tbl>
      <w:tblPr>
        <w:tblStyle w:val="Tabelacomgrade"/>
        <w:tblW w:w="0" w:type="auto"/>
        <w:tblInd w:w="141" w:type="dxa"/>
        <w:tblLook w:val="04A0" w:firstRow="1" w:lastRow="0" w:firstColumn="1" w:lastColumn="0" w:noHBand="0" w:noVBand="1"/>
      </w:tblPr>
      <w:tblGrid>
        <w:gridCol w:w="2413"/>
        <w:gridCol w:w="1977"/>
        <w:gridCol w:w="3963"/>
      </w:tblGrid>
      <w:tr w:rsidR="005A5AB4" w14:paraId="1E757565" w14:textId="16711632" w:rsidTr="005E10BF">
        <w:tc>
          <w:tcPr>
            <w:tcW w:w="2413" w:type="dxa"/>
          </w:tcPr>
          <w:p w14:paraId="6D332960" w14:textId="389C6CE2" w:rsidR="005A5AB4" w:rsidRPr="00F55F89" w:rsidRDefault="005A5AB4" w:rsidP="00B00078">
            <w:pPr>
              <w:pStyle w:val="Corpodetexto"/>
              <w:spacing w:line="360" w:lineRule="auto"/>
              <w:ind w:left="0" w:right="140"/>
              <w:rPr>
                <w:b/>
                <w:bCs/>
              </w:rPr>
            </w:pPr>
            <w:r w:rsidRPr="00F55F89">
              <w:rPr>
                <w:b/>
                <w:bCs/>
              </w:rPr>
              <w:t>Indicadores</w:t>
            </w:r>
          </w:p>
        </w:tc>
        <w:tc>
          <w:tcPr>
            <w:tcW w:w="1977" w:type="dxa"/>
          </w:tcPr>
          <w:p w14:paraId="5EC74A2C" w14:textId="15A9C4E8" w:rsidR="005A5AB4" w:rsidRPr="00F55F89" w:rsidRDefault="005A5AB4" w:rsidP="00B00078">
            <w:pPr>
              <w:pStyle w:val="Corpodetexto"/>
              <w:spacing w:line="360" w:lineRule="auto"/>
              <w:ind w:left="0" w:right="140"/>
              <w:rPr>
                <w:b/>
                <w:bCs/>
              </w:rPr>
            </w:pPr>
            <w:r w:rsidRPr="00F55F89">
              <w:rPr>
                <w:b/>
                <w:bCs/>
              </w:rPr>
              <w:t>Valores</w:t>
            </w:r>
          </w:p>
        </w:tc>
        <w:tc>
          <w:tcPr>
            <w:tcW w:w="3963" w:type="dxa"/>
          </w:tcPr>
          <w:p w14:paraId="0B6D466C" w14:textId="5394259A" w:rsidR="005A5AB4" w:rsidRPr="00F55F89" w:rsidRDefault="005A5AB4" w:rsidP="00B00078">
            <w:pPr>
              <w:pStyle w:val="Corpodetexto"/>
              <w:spacing w:line="360" w:lineRule="auto"/>
              <w:ind w:left="0" w:right="140"/>
              <w:rPr>
                <w:b/>
                <w:bCs/>
              </w:rPr>
            </w:pPr>
            <w:r w:rsidRPr="00F55F89">
              <w:rPr>
                <w:b/>
                <w:bCs/>
              </w:rPr>
              <w:t>Interpretação</w:t>
            </w:r>
          </w:p>
        </w:tc>
      </w:tr>
      <w:tr w:rsidR="005A5AB4" w14:paraId="586A118F" w14:textId="7A3350EF" w:rsidTr="005E10BF">
        <w:tc>
          <w:tcPr>
            <w:tcW w:w="2413" w:type="dxa"/>
          </w:tcPr>
          <w:p w14:paraId="1B255D64" w14:textId="6310E4A1" w:rsidR="005A5AB4" w:rsidRDefault="005A5AB4" w:rsidP="00B00078">
            <w:pPr>
              <w:pStyle w:val="Corpodetexto"/>
              <w:spacing w:line="360" w:lineRule="auto"/>
              <w:ind w:left="0" w:right="140"/>
            </w:pPr>
            <w:r>
              <w:t>Valor Presente Líquido (VPL)</w:t>
            </w:r>
            <w:r w:rsidR="375EE346">
              <w:t xml:space="preserve"> R$</w:t>
            </w:r>
          </w:p>
        </w:tc>
        <w:tc>
          <w:tcPr>
            <w:tcW w:w="1977" w:type="dxa"/>
          </w:tcPr>
          <w:p w14:paraId="037C7390" w14:textId="03325CAF" w:rsidR="005A5AB4" w:rsidRDefault="005A5AB4" w:rsidP="008A1C79">
            <w:pPr>
              <w:pStyle w:val="Corpodetexto"/>
              <w:spacing w:line="360" w:lineRule="auto"/>
              <w:ind w:left="0" w:right="140"/>
              <w:jc w:val="center"/>
            </w:pPr>
            <w:r>
              <w:t xml:space="preserve">R$ - </w:t>
            </w:r>
            <w:r w:rsidR="008A1C79">
              <w:t>511.024,99</w:t>
            </w:r>
          </w:p>
        </w:tc>
        <w:tc>
          <w:tcPr>
            <w:tcW w:w="3963" w:type="dxa"/>
          </w:tcPr>
          <w:p w14:paraId="1DB4C767" w14:textId="3A4511C1" w:rsidR="005A5AB4" w:rsidRDefault="008A1C79" w:rsidP="00B00078">
            <w:pPr>
              <w:pStyle w:val="Corpodetexto"/>
              <w:spacing w:line="360" w:lineRule="auto"/>
              <w:ind w:left="0" w:right="140"/>
            </w:pPr>
            <w:r>
              <w:t xml:space="preserve">O VPL negativo indica </w:t>
            </w:r>
            <w:r w:rsidRPr="004B4B55">
              <w:t xml:space="preserve">que o projeto </w:t>
            </w:r>
            <w:r>
              <w:t xml:space="preserve">não é economicamente viável e gera um valor a baixo da TMA de 24,50% </w:t>
            </w:r>
          </w:p>
        </w:tc>
      </w:tr>
      <w:tr w:rsidR="005A5AB4" w14:paraId="0E52ED33" w14:textId="3B528785" w:rsidTr="005E10BF">
        <w:tc>
          <w:tcPr>
            <w:tcW w:w="2413" w:type="dxa"/>
          </w:tcPr>
          <w:p w14:paraId="78308844" w14:textId="3BB64B65" w:rsidR="005A5AB4" w:rsidRDefault="005A5AB4" w:rsidP="00B00078">
            <w:pPr>
              <w:pStyle w:val="Corpodetexto"/>
              <w:spacing w:line="360" w:lineRule="auto"/>
              <w:ind w:left="0" w:right="140"/>
            </w:pPr>
            <w:r>
              <w:t>Payback Descontado (PBD)</w:t>
            </w:r>
            <w:r w:rsidR="5FECB89B">
              <w:t xml:space="preserve"> Mês</w:t>
            </w:r>
          </w:p>
        </w:tc>
        <w:tc>
          <w:tcPr>
            <w:tcW w:w="1977" w:type="dxa"/>
          </w:tcPr>
          <w:p w14:paraId="78E8996D" w14:textId="3E1A5D3F" w:rsidR="005A5AB4" w:rsidRDefault="008A1C79" w:rsidP="008A1C79">
            <w:pPr>
              <w:pStyle w:val="Corpodetexto"/>
              <w:spacing w:line="360" w:lineRule="auto"/>
              <w:ind w:left="0" w:right="140"/>
              <w:jc w:val="center"/>
            </w:pPr>
            <w:r>
              <w:t>0</w:t>
            </w:r>
          </w:p>
        </w:tc>
        <w:tc>
          <w:tcPr>
            <w:tcW w:w="3963" w:type="dxa"/>
          </w:tcPr>
          <w:p w14:paraId="6825CFA2" w14:textId="06B4AC55" w:rsidR="005A5AB4" w:rsidRDefault="008A1C79" w:rsidP="00B00078">
            <w:pPr>
              <w:pStyle w:val="Corpodetexto"/>
              <w:spacing w:line="360" w:lineRule="auto"/>
              <w:ind w:left="0" w:right="140"/>
            </w:pPr>
            <w:r>
              <w:t>O investimento não é recuperado dentro do horizonte da análise</w:t>
            </w:r>
          </w:p>
        </w:tc>
      </w:tr>
      <w:tr w:rsidR="005A5AB4" w14:paraId="600369FB" w14:textId="0D9B5D49" w:rsidTr="005E10BF">
        <w:tc>
          <w:tcPr>
            <w:tcW w:w="2413" w:type="dxa"/>
          </w:tcPr>
          <w:p w14:paraId="1E628815" w14:textId="325647DD" w:rsidR="005A5AB4" w:rsidRDefault="005A5AB4" w:rsidP="00B00078">
            <w:pPr>
              <w:pStyle w:val="Corpodetexto"/>
              <w:spacing w:line="360" w:lineRule="auto"/>
              <w:ind w:left="0" w:right="140"/>
            </w:pPr>
            <w:r>
              <w:t>Índice de Lucratividade (IL)</w:t>
            </w:r>
          </w:p>
        </w:tc>
        <w:tc>
          <w:tcPr>
            <w:tcW w:w="1977" w:type="dxa"/>
          </w:tcPr>
          <w:p w14:paraId="450B5D34" w14:textId="14781228" w:rsidR="005A5AB4" w:rsidRDefault="008A1C79" w:rsidP="008A1C79">
            <w:pPr>
              <w:pStyle w:val="Corpodetexto"/>
              <w:spacing w:line="360" w:lineRule="auto"/>
              <w:ind w:left="0" w:right="140"/>
              <w:jc w:val="center"/>
            </w:pPr>
            <w:r>
              <w:t>-0,06</w:t>
            </w:r>
          </w:p>
        </w:tc>
        <w:tc>
          <w:tcPr>
            <w:tcW w:w="3963" w:type="dxa"/>
          </w:tcPr>
          <w:p w14:paraId="1C566E6C" w14:textId="373E942E" w:rsidR="005A5AB4" w:rsidRDefault="008A1C79" w:rsidP="00B00078">
            <w:pPr>
              <w:pStyle w:val="Corpodetexto"/>
              <w:spacing w:line="360" w:lineRule="auto"/>
              <w:ind w:left="0" w:right="140"/>
            </w:pPr>
            <w:r w:rsidRPr="008A1C79">
              <w:rPr>
                <w:lang w:val="pt-BR"/>
              </w:rPr>
              <w:t>Para cada R$ 1 investido, retorna menos de R$ 1, mostrando ineficiência econômica.</w:t>
            </w:r>
          </w:p>
        </w:tc>
      </w:tr>
      <w:tr w:rsidR="005A5AB4" w14:paraId="7431CE30" w14:textId="3AD6E1DA" w:rsidTr="005E10BF">
        <w:tc>
          <w:tcPr>
            <w:tcW w:w="2413" w:type="dxa"/>
          </w:tcPr>
          <w:p w14:paraId="7E05B711" w14:textId="3C909292" w:rsidR="005A5AB4" w:rsidRDefault="005A5AB4" w:rsidP="00B00078">
            <w:pPr>
              <w:pStyle w:val="Corpodetexto"/>
              <w:spacing w:line="360" w:lineRule="auto"/>
              <w:ind w:left="0" w:right="140"/>
            </w:pPr>
            <w:r>
              <w:t>Taxa Interna de Retorno (TIR)</w:t>
            </w:r>
            <w:r w:rsidR="72464F5F">
              <w:t xml:space="preserve"> %</w:t>
            </w:r>
          </w:p>
        </w:tc>
        <w:tc>
          <w:tcPr>
            <w:tcW w:w="1977" w:type="dxa"/>
          </w:tcPr>
          <w:p w14:paraId="3C4D152A" w14:textId="5D5D51F6" w:rsidR="005A5AB4" w:rsidRDefault="008A1C79" w:rsidP="008A1C79">
            <w:pPr>
              <w:pStyle w:val="Corpodetexto"/>
              <w:spacing w:line="360" w:lineRule="auto"/>
              <w:ind w:left="0" w:right="140"/>
              <w:jc w:val="center"/>
            </w:pPr>
            <w:r>
              <w:t>-0,26%</w:t>
            </w:r>
          </w:p>
        </w:tc>
        <w:tc>
          <w:tcPr>
            <w:tcW w:w="3963" w:type="dxa"/>
          </w:tcPr>
          <w:p w14:paraId="60A34002" w14:textId="5505545A" w:rsidR="005A5AB4" w:rsidRDefault="008A1C79" w:rsidP="00B00078">
            <w:pPr>
              <w:pStyle w:val="Corpodetexto"/>
              <w:spacing w:line="360" w:lineRule="auto"/>
              <w:ind w:left="0" w:right="140"/>
            </w:pPr>
            <w:r w:rsidRPr="008A1C79">
              <w:rPr>
                <w:lang w:val="pt-BR"/>
              </w:rPr>
              <w:t>A atividade não atinge a</w:t>
            </w:r>
            <w:r>
              <w:rPr>
                <w:lang w:val="pt-BR"/>
              </w:rPr>
              <w:t xml:space="preserve"> TMA de re</w:t>
            </w:r>
            <w:r w:rsidRPr="008A1C79">
              <w:rPr>
                <w:lang w:val="pt-BR"/>
              </w:rPr>
              <w:t>torno exigida.</w:t>
            </w:r>
            <w:r>
              <w:rPr>
                <w:lang w:val="pt-BR"/>
              </w:rPr>
              <w:t xml:space="preserve"> </w:t>
            </w:r>
          </w:p>
        </w:tc>
      </w:tr>
    </w:tbl>
    <w:p w14:paraId="545B65FA" w14:textId="0C88CEDD" w:rsidR="00866C7D" w:rsidRPr="00866C7D" w:rsidRDefault="00866C7D" w:rsidP="007B712D">
      <w:pPr>
        <w:pStyle w:val="Corpodetexto"/>
        <w:spacing w:line="360" w:lineRule="auto"/>
        <w:ind w:right="140"/>
        <w:rPr>
          <w:sz w:val="22"/>
          <w:szCs w:val="22"/>
        </w:rPr>
      </w:pPr>
      <w:r w:rsidRPr="00866C7D">
        <w:rPr>
          <w:sz w:val="22"/>
          <w:szCs w:val="22"/>
        </w:rPr>
        <w:t>Fonte: Elaborada pelo autor (2025)</w:t>
      </w:r>
    </w:p>
    <w:p w14:paraId="1C81569F" w14:textId="338DED2F" w:rsidR="00B106C0" w:rsidRDefault="008A1C79" w:rsidP="00B106C0">
      <w:pPr>
        <w:pStyle w:val="Corpodetexto"/>
        <w:spacing w:line="360" w:lineRule="auto"/>
        <w:ind w:right="140" w:firstLine="285"/>
      </w:pPr>
      <w:r w:rsidRPr="008A1C79">
        <w:t>Diante dos resultados negativos obtidos nos indicadores de viabilidade incluindo VPL, TIR, IL e payback descontado torna-se evidente que a atividade pecuária, nas condições atuais de custos, produtividade e taxa de natalidade, não apresenta retorno econômico satisfatório. Os resultados revelam baixa capacidade de geração de caixa, forte impacto dos custos fixos e variáveis sobre o desempenho financeiro</w:t>
      </w:r>
      <w:r w:rsidR="00B106C0">
        <w:t>.</w:t>
      </w:r>
    </w:p>
    <w:p w14:paraId="0F0245F0" w14:textId="5477A1D8" w:rsidR="00866C7D" w:rsidRDefault="00866C7D" w:rsidP="007B712D">
      <w:pPr>
        <w:pStyle w:val="Corpodetexto"/>
        <w:spacing w:line="360" w:lineRule="auto"/>
        <w:ind w:right="140" w:firstLine="285"/>
      </w:pPr>
      <w:r w:rsidRPr="00866C7D">
        <w:t>Diante desse cenário, realizou-se uma análise de sensibilidade apresentada na Tabela 2, na qual foram variáveis os principais parâmetros custos, preço de venda e taxa de natalidade</w:t>
      </w:r>
      <w:r>
        <w:t xml:space="preserve">, </w:t>
      </w:r>
      <w:r w:rsidRPr="00866C7D">
        <w:t xml:space="preserve">aplicando-se uma variação de 10% em cada um deles. </w:t>
      </w:r>
      <w:r w:rsidR="007B712D" w:rsidRPr="007B712D">
        <w:t>O objetivo foi identificar dois cenários adicionais a partir das variações aplicadas, permitindo avaliar como alterações moderadas nos parâmetros produtivos e econômicos podem modificar o desempenho da pecuária de cria e sob quais condições a atividade poderia apresentar resultados positivos ou mais competitivos em relação ao arrendamento agrícola.</w:t>
      </w:r>
    </w:p>
    <w:p w14:paraId="152D3E34" w14:textId="0FBD7BDA" w:rsidR="00866C7D" w:rsidRDefault="00866C7D" w:rsidP="00866C7D">
      <w:pPr>
        <w:pStyle w:val="Corpodetexto"/>
        <w:spacing w:line="360" w:lineRule="auto"/>
        <w:ind w:right="140" w:firstLine="285"/>
        <w:jc w:val="center"/>
      </w:pPr>
      <w:r w:rsidRPr="009B22B9">
        <w:rPr>
          <w:b/>
          <w:bCs/>
        </w:rPr>
        <w:t>Tabela 2</w:t>
      </w:r>
      <w:r>
        <w:t>: Análise de sensibilidade pecuária</w:t>
      </w:r>
    </w:p>
    <w:tbl>
      <w:tblPr>
        <w:tblStyle w:val="Tabelacomgrade"/>
        <w:tblW w:w="8076" w:type="dxa"/>
        <w:tblInd w:w="141" w:type="dxa"/>
        <w:tblLayout w:type="fixed"/>
        <w:tblLook w:val="04A0" w:firstRow="1" w:lastRow="0" w:firstColumn="1" w:lastColumn="0" w:noHBand="0" w:noVBand="1"/>
      </w:tblPr>
      <w:tblGrid>
        <w:gridCol w:w="2831"/>
        <w:gridCol w:w="1559"/>
        <w:gridCol w:w="1701"/>
        <w:gridCol w:w="1985"/>
      </w:tblGrid>
      <w:tr w:rsidR="00073DF0" w14:paraId="016D8203" w14:textId="77777777" w:rsidTr="00E16164">
        <w:tc>
          <w:tcPr>
            <w:tcW w:w="2831" w:type="dxa"/>
          </w:tcPr>
          <w:p w14:paraId="7D0C0EA4" w14:textId="4DAED18F" w:rsidR="00073DF0" w:rsidRPr="00096C56" w:rsidRDefault="00073DF0" w:rsidP="00096C56">
            <w:pPr>
              <w:pStyle w:val="Corpodetexto"/>
              <w:spacing w:line="360" w:lineRule="auto"/>
              <w:ind w:left="0" w:right="140"/>
              <w:jc w:val="center"/>
              <w:rPr>
                <w:b/>
                <w:bCs/>
              </w:rPr>
            </w:pPr>
            <w:r w:rsidRPr="00096C56">
              <w:rPr>
                <w:b/>
                <w:bCs/>
              </w:rPr>
              <w:t>Indicador</w:t>
            </w:r>
          </w:p>
        </w:tc>
        <w:tc>
          <w:tcPr>
            <w:tcW w:w="1559" w:type="dxa"/>
          </w:tcPr>
          <w:p w14:paraId="529AB64B" w14:textId="781DE5EB" w:rsidR="00073DF0" w:rsidRPr="00096C56" w:rsidRDefault="00073DF0" w:rsidP="00096C56">
            <w:pPr>
              <w:pStyle w:val="Corpodetexto"/>
              <w:spacing w:line="360" w:lineRule="auto"/>
              <w:ind w:left="0" w:right="140"/>
              <w:jc w:val="center"/>
              <w:rPr>
                <w:b/>
                <w:bCs/>
              </w:rPr>
            </w:pPr>
            <w:r w:rsidRPr="00096C56">
              <w:rPr>
                <w:b/>
                <w:bCs/>
              </w:rPr>
              <w:t>Valor Atual</w:t>
            </w:r>
          </w:p>
        </w:tc>
        <w:tc>
          <w:tcPr>
            <w:tcW w:w="1701" w:type="dxa"/>
          </w:tcPr>
          <w:p w14:paraId="145039E2" w14:textId="105ED3B9" w:rsidR="00073DF0" w:rsidRPr="00096C56" w:rsidRDefault="00073DF0" w:rsidP="00096C56">
            <w:pPr>
              <w:pStyle w:val="Corpodetexto"/>
              <w:spacing w:line="360" w:lineRule="auto"/>
              <w:ind w:left="0" w:right="140"/>
              <w:jc w:val="center"/>
              <w:rPr>
                <w:b/>
                <w:bCs/>
              </w:rPr>
            </w:pPr>
            <w:r w:rsidRPr="00096C56">
              <w:rPr>
                <w:b/>
                <w:bCs/>
              </w:rPr>
              <w:t>Cenário Otimista</w:t>
            </w:r>
          </w:p>
        </w:tc>
        <w:tc>
          <w:tcPr>
            <w:tcW w:w="1985" w:type="dxa"/>
          </w:tcPr>
          <w:p w14:paraId="64C95663" w14:textId="73345680" w:rsidR="00073DF0" w:rsidRPr="00096C56" w:rsidRDefault="00073DF0" w:rsidP="00096C56">
            <w:pPr>
              <w:pStyle w:val="Corpodetexto"/>
              <w:spacing w:line="360" w:lineRule="auto"/>
              <w:ind w:left="0" w:right="140"/>
              <w:jc w:val="center"/>
              <w:rPr>
                <w:b/>
                <w:bCs/>
              </w:rPr>
            </w:pPr>
            <w:r w:rsidRPr="00096C56">
              <w:rPr>
                <w:b/>
                <w:bCs/>
              </w:rPr>
              <w:t>Cenário Conservador</w:t>
            </w:r>
          </w:p>
        </w:tc>
      </w:tr>
      <w:tr w:rsidR="00073DF0" w14:paraId="26CE5DDF" w14:textId="77777777" w:rsidTr="00E16164">
        <w:tc>
          <w:tcPr>
            <w:tcW w:w="2831" w:type="dxa"/>
          </w:tcPr>
          <w:p w14:paraId="61215746" w14:textId="2AA53513" w:rsidR="00073DF0" w:rsidRDefault="00073DF0" w:rsidP="00096C56">
            <w:pPr>
              <w:pStyle w:val="Corpodetexto"/>
              <w:spacing w:line="360" w:lineRule="auto"/>
              <w:ind w:left="0" w:right="140"/>
              <w:jc w:val="center"/>
            </w:pPr>
            <w:r>
              <w:lastRenderedPageBreak/>
              <w:t>VPL (R$)</w:t>
            </w:r>
          </w:p>
        </w:tc>
        <w:tc>
          <w:tcPr>
            <w:tcW w:w="1559" w:type="dxa"/>
          </w:tcPr>
          <w:p w14:paraId="571DFC62" w14:textId="71AFA0AA" w:rsidR="00073DF0" w:rsidRDefault="00073DF0" w:rsidP="00096C56">
            <w:pPr>
              <w:pStyle w:val="Corpodetexto"/>
              <w:spacing w:line="360" w:lineRule="auto"/>
              <w:ind w:left="0" w:right="140"/>
              <w:jc w:val="center"/>
            </w:pPr>
            <w:r>
              <w:t>-</w:t>
            </w:r>
            <w:r w:rsidRPr="00B106C0">
              <w:t>511.024,99</w:t>
            </w:r>
          </w:p>
        </w:tc>
        <w:tc>
          <w:tcPr>
            <w:tcW w:w="1701" w:type="dxa"/>
          </w:tcPr>
          <w:p w14:paraId="34682CBF" w14:textId="23887C81" w:rsidR="00073DF0" w:rsidRDefault="00073DF0" w:rsidP="00096C56">
            <w:pPr>
              <w:pStyle w:val="Corpodetexto"/>
              <w:spacing w:line="360" w:lineRule="auto"/>
              <w:ind w:left="0" w:right="140"/>
              <w:jc w:val="center"/>
            </w:pPr>
            <w:r>
              <w:t>- 383.752,37</w:t>
            </w:r>
          </w:p>
        </w:tc>
        <w:tc>
          <w:tcPr>
            <w:tcW w:w="1985" w:type="dxa"/>
          </w:tcPr>
          <w:p w14:paraId="1B895981" w14:textId="5FB29640" w:rsidR="00073DF0" w:rsidRDefault="00073DF0" w:rsidP="00096C56">
            <w:pPr>
              <w:pStyle w:val="Corpodetexto"/>
              <w:spacing w:line="360" w:lineRule="auto"/>
              <w:ind w:left="0" w:right="140"/>
              <w:jc w:val="center"/>
            </w:pPr>
            <w:r>
              <w:t>-627.837,64</w:t>
            </w:r>
          </w:p>
        </w:tc>
      </w:tr>
      <w:tr w:rsidR="00073DF0" w14:paraId="13B28F9D" w14:textId="77777777" w:rsidTr="00E16164">
        <w:tc>
          <w:tcPr>
            <w:tcW w:w="2831" w:type="dxa"/>
          </w:tcPr>
          <w:p w14:paraId="55F3EAC9" w14:textId="3D6ACF6B" w:rsidR="00073DF0" w:rsidRDefault="00073DF0" w:rsidP="00096C56">
            <w:pPr>
              <w:pStyle w:val="Corpodetexto"/>
              <w:spacing w:line="360" w:lineRule="auto"/>
              <w:ind w:left="0" w:right="140"/>
              <w:jc w:val="center"/>
            </w:pPr>
            <w:r>
              <w:t>TIR (%)</w:t>
            </w:r>
          </w:p>
        </w:tc>
        <w:tc>
          <w:tcPr>
            <w:tcW w:w="1559" w:type="dxa"/>
          </w:tcPr>
          <w:p w14:paraId="0982F265" w14:textId="4D17C986" w:rsidR="00073DF0" w:rsidRDefault="00073DF0" w:rsidP="00096C56">
            <w:pPr>
              <w:pStyle w:val="Corpodetexto"/>
              <w:spacing w:line="360" w:lineRule="auto"/>
              <w:ind w:left="0" w:right="140"/>
              <w:jc w:val="center"/>
            </w:pPr>
            <w:r>
              <w:t>-0,06</w:t>
            </w:r>
          </w:p>
        </w:tc>
        <w:tc>
          <w:tcPr>
            <w:tcW w:w="1701" w:type="dxa"/>
          </w:tcPr>
          <w:p w14:paraId="7F99CA34" w14:textId="249B008F" w:rsidR="00073DF0" w:rsidRDefault="00073DF0" w:rsidP="00096C56">
            <w:pPr>
              <w:pStyle w:val="Corpodetexto"/>
              <w:spacing w:line="360" w:lineRule="auto"/>
              <w:ind w:left="0" w:right="140"/>
              <w:jc w:val="center"/>
            </w:pPr>
            <w:r>
              <w:t>0,29</w:t>
            </w:r>
          </w:p>
        </w:tc>
        <w:tc>
          <w:tcPr>
            <w:tcW w:w="1985" w:type="dxa"/>
          </w:tcPr>
          <w:p w14:paraId="49EF31F7" w14:textId="6971307C" w:rsidR="00073DF0" w:rsidRDefault="00073DF0" w:rsidP="00096C56">
            <w:pPr>
              <w:pStyle w:val="Corpodetexto"/>
              <w:spacing w:line="360" w:lineRule="auto"/>
              <w:ind w:left="0" w:right="140"/>
              <w:jc w:val="center"/>
            </w:pPr>
            <w:r>
              <w:t>-0,79</w:t>
            </w:r>
          </w:p>
        </w:tc>
      </w:tr>
      <w:tr w:rsidR="00073DF0" w14:paraId="1AB7D37F" w14:textId="77777777" w:rsidTr="00E16164">
        <w:tc>
          <w:tcPr>
            <w:tcW w:w="2831" w:type="dxa"/>
          </w:tcPr>
          <w:p w14:paraId="1A81CE17" w14:textId="3E9842C1" w:rsidR="00073DF0" w:rsidRDefault="00073DF0" w:rsidP="00096C56">
            <w:pPr>
              <w:pStyle w:val="Corpodetexto"/>
              <w:spacing w:line="360" w:lineRule="auto"/>
              <w:ind w:left="0" w:right="140"/>
              <w:jc w:val="center"/>
            </w:pPr>
            <w:r>
              <w:t>Receita/ Bezerro(R$)</w:t>
            </w:r>
          </w:p>
        </w:tc>
        <w:tc>
          <w:tcPr>
            <w:tcW w:w="1559" w:type="dxa"/>
          </w:tcPr>
          <w:p w14:paraId="00CC0B6C" w14:textId="4436EA75" w:rsidR="00073DF0" w:rsidRDefault="00073DF0" w:rsidP="00096C56">
            <w:pPr>
              <w:pStyle w:val="Corpodetexto"/>
              <w:spacing w:line="360" w:lineRule="auto"/>
              <w:ind w:left="0" w:right="140"/>
              <w:jc w:val="center"/>
            </w:pPr>
            <w:r>
              <w:t>2.500,00</w:t>
            </w:r>
          </w:p>
        </w:tc>
        <w:tc>
          <w:tcPr>
            <w:tcW w:w="1701" w:type="dxa"/>
          </w:tcPr>
          <w:p w14:paraId="2EDED127" w14:textId="3FF3BAF0" w:rsidR="00073DF0" w:rsidRDefault="00073DF0" w:rsidP="00096C56">
            <w:pPr>
              <w:pStyle w:val="Corpodetexto"/>
              <w:spacing w:line="360" w:lineRule="auto"/>
              <w:ind w:left="0" w:right="140"/>
              <w:jc w:val="center"/>
            </w:pPr>
            <w:r>
              <w:t>2.750,00</w:t>
            </w:r>
          </w:p>
        </w:tc>
        <w:tc>
          <w:tcPr>
            <w:tcW w:w="1985" w:type="dxa"/>
          </w:tcPr>
          <w:p w14:paraId="350A915F" w14:textId="0742037D" w:rsidR="00073DF0" w:rsidRDefault="00073DF0" w:rsidP="00096C56">
            <w:pPr>
              <w:pStyle w:val="Corpodetexto"/>
              <w:spacing w:line="360" w:lineRule="auto"/>
              <w:ind w:left="0" w:right="140"/>
              <w:jc w:val="center"/>
            </w:pPr>
            <w:r>
              <w:t>2.250,00</w:t>
            </w:r>
          </w:p>
        </w:tc>
      </w:tr>
      <w:tr w:rsidR="00073DF0" w14:paraId="113D3F31" w14:textId="77777777" w:rsidTr="00E16164">
        <w:tc>
          <w:tcPr>
            <w:tcW w:w="2831" w:type="dxa"/>
          </w:tcPr>
          <w:p w14:paraId="443C3A66" w14:textId="3E12FE35" w:rsidR="00073DF0" w:rsidRDefault="00073DF0" w:rsidP="00096C56">
            <w:pPr>
              <w:pStyle w:val="Corpodetexto"/>
              <w:spacing w:line="360" w:lineRule="auto"/>
              <w:ind w:left="0" w:right="140"/>
              <w:jc w:val="center"/>
            </w:pPr>
            <w:r>
              <w:t>Custo/ Bezerro (R$)</w:t>
            </w:r>
          </w:p>
        </w:tc>
        <w:tc>
          <w:tcPr>
            <w:tcW w:w="1559" w:type="dxa"/>
          </w:tcPr>
          <w:p w14:paraId="55993604" w14:textId="6CDC8A34" w:rsidR="00073DF0" w:rsidRDefault="00073DF0" w:rsidP="00096C56">
            <w:pPr>
              <w:pStyle w:val="Corpodetexto"/>
              <w:spacing w:line="360" w:lineRule="auto"/>
              <w:ind w:left="0" w:right="140"/>
              <w:jc w:val="center"/>
            </w:pPr>
            <w:r>
              <w:t>2.003,74</w:t>
            </w:r>
          </w:p>
        </w:tc>
        <w:tc>
          <w:tcPr>
            <w:tcW w:w="1701" w:type="dxa"/>
          </w:tcPr>
          <w:p w14:paraId="71BA24EC" w14:textId="46430DDB" w:rsidR="00073DF0" w:rsidRDefault="00073DF0" w:rsidP="00096C56">
            <w:pPr>
              <w:pStyle w:val="Corpodetexto"/>
              <w:spacing w:line="360" w:lineRule="auto"/>
              <w:ind w:left="0" w:right="140"/>
              <w:jc w:val="center"/>
            </w:pPr>
            <w:r>
              <w:t>1.627,86</w:t>
            </w:r>
          </w:p>
        </w:tc>
        <w:tc>
          <w:tcPr>
            <w:tcW w:w="1985" w:type="dxa"/>
          </w:tcPr>
          <w:p w14:paraId="0D275A0A" w14:textId="4BFBB853" w:rsidR="00073DF0" w:rsidRDefault="00073DF0" w:rsidP="00096C56">
            <w:pPr>
              <w:pStyle w:val="Corpodetexto"/>
              <w:spacing w:line="360" w:lineRule="auto"/>
              <w:ind w:left="0" w:right="140"/>
              <w:jc w:val="center"/>
            </w:pPr>
            <w:r>
              <w:t>2.818,04</w:t>
            </w:r>
          </w:p>
        </w:tc>
      </w:tr>
      <w:tr w:rsidR="00073DF0" w14:paraId="47C93C83" w14:textId="77777777" w:rsidTr="00E16164">
        <w:tc>
          <w:tcPr>
            <w:tcW w:w="2831" w:type="dxa"/>
          </w:tcPr>
          <w:p w14:paraId="1537AD2C" w14:textId="09CA999F" w:rsidR="00073DF0" w:rsidRDefault="00073DF0" w:rsidP="00096C56">
            <w:pPr>
              <w:pStyle w:val="Corpodetexto"/>
              <w:spacing w:line="360" w:lineRule="auto"/>
              <w:ind w:left="0" w:right="140"/>
              <w:jc w:val="center"/>
            </w:pPr>
            <w:r>
              <w:t>Margem Líquida (%)</w:t>
            </w:r>
          </w:p>
        </w:tc>
        <w:tc>
          <w:tcPr>
            <w:tcW w:w="1559" w:type="dxa"/>
          </w:tcPr>
          <w:p w14:paraId="13FB32C6" w14:textId="3B9EA663" w:rsidR="00073DF0" w:rsidRDefault="00073DF0" w:rsidP="00096C56">
            <w:pPr>
              <w:pStyle w:val="Corpodetexto"/>
              <w:spacing w:line="360" w:lineRule="auto"/>
              <w:ind w:left="0" w:right="140"/>
              <w:jc w:val="center"/>
            </w:pPr>
            <w:r>
              <w:t>14,37</w:t>
            </w:r>
          </w:p>
        </w:tc>
        <w:tc>
          <w:tcPr>
            <w:tcW w:w="1701" w:type="dxa"/>
          </w:tcPr>
          <w:p w14:paraId="26D79BD7" w14:textId="3E040773" w:rsidR="00073DF0" w:rsidRDefault="00073DF0" w:rsidP="00096C56">
            <w:pPr>
              <w:pStyle w:val="Corpodetexto"/>
              <w:spacing w:line="360" w:lineRule="auto"/>
              <w:ind w:left="0" w:right="140"/>
              <w:jc w:val="center"/>
            </w:pPr>
            <w:r>
              <w:t>29,56</w:t>
            </w:r>
          </w:p>
        </w:tc>
        <w:tc>
          <w:tcPr>
            <w:tcW w:w="1985" w:type="dxa"/>
          </w:tcPr>
          <w:p w14:paraId="38824CA4" w14:textId="12DB328E" w:rsidR="00073DF0" w:rsidRDefault="00073DF0" w:rsidP="00096C56">
            <w:pPr>
              <w:pStyle w:val="Corpodetexto"/>
              <w:spacing w:line="360" w:lineRule="auto"/>
              <w:ind w:left="0" w:right="140"/>
              <w:jc w:val="center"/>
            </w:pPr>
            <w:r>
              <w:t>-9,36</w:t>
            </w:r>
          </w:p>
        </w:tc>
      </w:tr>
      <w:tr w:rsidR="00073DF0" w14:paraId="7A00EED1" w14:textId="77777777" w:rsidTr="00E16164">
        <w:tc>
          <w:tcPr>
            <w:tcW w:w="2831" w:type="dxa"/>
          </w:tcPr>
          <w:p w14:paraId="37B8329D" w14:textId="7F91E960" w:rsidR="00073DF0" w:rsidRDefault="00073DF0" w:rsidP="00096C56">
            <w:pPr>
              <w:pStyle w:val="Corpodetexto"/>
              <w:spacing w:line="360" w:lineRule="auto"/>
              <w:ind w:left="0" w:right="140"/>
              <w:jc w:val="center"/>
            </w:pPr>
            <w:r>
              <w:t>Taxa Natalidade (%)</w:t>
            </w:r>
          </w:p>
        </w:tc>
        <w:tc>
          <w:tcPr>
            <w:tcW w:w="1559" w:type="dxa"/>
          </w:tcPr>
          <w:p w14:paraId="307A7153" w14:textId="5061F51D" w:rsidR="00073DF0" w:rsidRDefault="00073DF0" w:rsidP="00096C56">
            <w:pPr>
              <w:pStyle w:val="Corpodetexto"/>
              <w:spacing w:line="360" w:lineRule="auto"/>
              <w:ind w:left="0" w:right="140"/>
              <w:jc w:val="center"/>
            </w:pPr>
            <w:r>
              <w:t>50</w:t>
            </w:r>
          </w:p>
        </w:tc>
        <w:tc>
          <w:tcPr>
            <w:tcW w:w="1701" w:type="dxa"/>
          </w:tcPr>
          <w:p w14:paraId="645A5125" w14:textId="59052882" w:rsidR="00073DF0" w:rsidRDefault="00073DF0" w:rsidP="00096C56">
            <w:pPr>
              <w:pStyle w:val="Corpodetexto"/>
              <w:spacing w:line="360" w:lineRule="auto"/>
              <w:ind w:left="0" w:right="140"/>
              <w:jc w:val="center"/>
            </w:pPr>
            <w:r>
              <w:t>60</w:t>
            </w:r>
          </w:p>
        </w:tc>
        <w:tc>
          <w:tcPr>
            <w:tcW w:w="1985" w:type="dxa"/>
          </w:tcPr>
          <w:p w14:paraId="77E7EA08" w14:textId="35EFEE4D" w:rsidR="00073DF0" w:rsidRDefault="00073DF0" w:rsidP="00096C56">
            <w:pPr>
              <w:pStyle w:val="Corpodetexto"/>
              <w:spacing w:line="360" w:lineRule="auto"/>
              <w:ind w:left="0" w:right="140"/>
              <w:jc w:val="center"/>
            </w:pPr>
            <w:r>
              <w:t>40</w:t>
            </w:r>
          </w:p>
        </w:tc>
      </w:tr>
    </w:tbl>
    <w:p w14:paraId="0EBF54A0" w14:textId="0D74CA0A" w:rsidR="009B22B9" w:rsidRPr="00866C7D" w:rsidRDefault="00866C7D" w:rsidP="007B712D">
      <w:pPr>
        <w:pStyle w:val="Corpodetexto"/>
        <w:spacing w:line="360" w:lineRule="auto"/>
        <w:ind w:right="140"/>
        <w:rPr>
          <w:sz w:val="22"/>
          <w:szCs w:val="22"/>
        </w:rPr>
      </w:pPr>
      <w:r w:rsidRPr="00866C7D">
        <w:rPr>
          <w:sz w:val="22"/>
          <w:szCs w:val="22"/>
        </w:rPr>
        <w:t>Fonte: Elaborada pelo autor (2025)</w:t>
      </w:r>
    </w:p>
    <w:p w14:paraId="3F41A106" w14:textId="7345032E" w:rsidR="00B106C0" w:rsidRDefault="00F55F89" w:rsidP="00B106C0">
      <w:pPr>
        <w:pStyle w:val="Corpodetexto"/>
        <w:spacing w:line="360" w:lineRule="auto"/>
        <w:ind w:right="140" w:firstLine="285"/>
      </w:pPr>
      <w:r w:rsidRPr="00F55F89">
        <w:t xml:space="preserve">A análise de sensibilidade realizada neste estudo confirmou os resultados obtidos no cenário-base, evidenciando que a pecuária de cria apresenta elevada dependência da produtividade reprodutiva e é altamente sensível a variações nos componentes econômicos da atividade. Os cenários simulados demonstraram que ajustes moderados nos preços de venda </w:t>
      </w:r>
      <w:r w:rsidR="00846132">
        <w:t xml:space="preserve">e </w:t>
      </w:r>
      <w:r w:rsidRPr="00F55F89">
        <w:t xml:space="preserve"> nos custos operacionais produzem impacto significativo no desempenho financeiro, mas não são suficientes, por si só, para alterar de forma estrutural a viabilidade da atividade.</w:t>
      </w:r>
    </w:p>
    <w:p w14:paraId="5127E629" w14:textId="50B2A51D" w:rsidR="006A7310" w:rsidRPr="003C7385" w:rsidRDefault="006A7310" w:rsidP="00B106C0">
      <w:pPr>
        <w:pStyle w:val="Corpodetexto"/>
        <w:spacing w:line="360" w:lineRule="auto"/>
        <w:ind w:right="140" w:firstLine="285"/>
      </w:pPr>
      <w:r w:rsidRPr="006A7310">
        <w:t>Além disso, a taxa de natalidade de 50% destacou-se como um dos principais fatores limitantes da rentabilidade, por representar um índice inferior ao recomendado para sistemas de cria, que, segundo estudos da Embrapa e do Anualpec, geralmente variam entre 70% e 80% em propriedades tecnificadas. Uma natalidade reduzida compromete diretamente a produção anual de bezerros, diminui a eficiência do sistema e eleva o custo médio por animal comercializado. Esses resultados estão em conformidade com a literatura, que aponta a produtividade reprodutiva como o fator mais determinante para o desempenho econômico da pecuária de cria. Assim, a sustentabilidade financeira da atividade depende, de forma decisiva, da elevação dos índices reprodutivos, da adoção de práticas de manejo mais eficientes e, quando possível, da redução de custos operacionais.</w:t>
      </w:r>
    </w:p>
    <w:p w14:paraId="4DCB5DD0" w14:textId="77777777" w:rsidR="00C77FB9" w:rsidRPr="00B00078" w:rsidRDefault="00C77FB9" w:rsidP="00C77FB9">
      <w:pPr>
        <w:jc w:val="both"/>
        <w:rPr>
          <w:rFonts w:ascii="Times New Roman" w:eastAsia="Times New Roman" w:hAnsi="Times New Roman" w:cs="Times New Roman"/>
          <w:b/>
          <w:bCs/>
          <w:kern w:val="0"/>
          <w:lang w:val="pt-PT"/>
          <w14:ligatures w14:val="none"/>
        </w:rPr>
      </w:pPr>
      <w:r w:rsidRPr="00B00078">
        <w:rPr>
          <w:rFonts w:ascii="Times New Roman" w:eastAsia="Times New Roman" w:hAnsi="Times New Roman" w:cs="Times New Roman"/>
          <w:b/>
          <w:bCs/>
          <w:kern w:val="0"/>
          <w:lang w:val="pt-PT"/>
          <w14:ligatures w14:val="none"/>
        </w:rPr>
        <w:t>4.2 Resultados do Arrendamento da Soja</w:t>
      </w:r>
    </w:p>
    <w:p w14:paraId="110AE286" w14:textId="77777777" w:rsidR="00FF4CB1" w:rsidRDefault="00FF4CB1" w:rsidP="00F55F89">
      <w:pPr>
        <w:pStyle w:val="Corpodetexto"/>
        <w:spacing w:line="360" w:lineRule="auto"/>
        <w:ind w:right="140" w:firstLine="285"/>
      </w:pPr>
      <w:r w:rsidRPr="00FF4CB1">
        <w:t xml:space="preserve">No modelo de arrendamento de soja, foram utilizados os valores de remuneração por hectare definidos em contrato, expressos em sacas de soja, além dos preços médios do grão disponibilizados pelo CEPEA. Toda a área arrendada corresponde a 45 hectares, sendo sobre ela que incidem as obrigações contratuais do arrendatário. Como os custos de produção são integralmente assumidos pelo arrendatário, o fluxo de caixa do proprietário inclui apenas as receitas das sacas recebidas e os tributos aplicáveis, </w:t>
      </w:r>
      <w:r w:rsidRPr="00FF4CB1">
        <w:lastRenderedPageBreak/>
        <w:t>especialmente o Imposto de Renda de 27,5%.</w:t>
      </w:r>
    </w:p>
    <w:p w14:paraId="5A54AA9F" w14:textId="77777777" w:rsidR="006A7310" w:rsidRDefault="006A7310" w:rsidP="00F55F89">
      <w:pPr>
        <w:pStyle w:val="Corpodetexto"/>
        <w:spacing w:line="360" w:lineRule="auto"/>
        <w:ind w:right="140" w:firstLine="285"/>
      </w:pPr>
      <w:r w:rsidRPr="006A7310">
        <w:t>A análise financeira do arrendamento da soja considera a quantidade de sacas por hectare estipulada em contrato, que constitui a forma de remuneração do proprietário da terra. No primeiro ano, o contrato define a entrega de 12 sacas por hectare nos 45 hectares arrendados, totalizando 540 sacas. Com base no preço médio recente da soja (R$ 115,00 por saca), a receita bruta é de R$ 61.560,00 e, após a incidência da alíquota de 27,5% de Imposto de Renda, a receita líquida resulta em R$ 44.631,00.</w:t>
      </w:r>
    </w:p>
    <w:p w14:paraId="2DB138B6" w14:textId="68410D30" w:rsidR="00F57972" w:rsidRDefault="00F57972" w:rsidP="00F57972">
      <w:pPr>
        <w:pStyle w:val="Corpodetexto"/>
        <w:spacing w:line="360" w:lineRule="auto"/>
        <w:ind w:right="140" w:firstLine="285"/>
      </w:pPr>
      <w:r>
        <w:t>Nos anos seguintes, mantêm-se as quantidades previstas contratualmente, sempre aplicadas aos 45 hectares. Assim, definem-se entregas de 12 sacas por hectare no segundo ano (540 sacas), 13 sacas por hectare no terceiro ano (585 sacas) e 14 sacas por hectare no quarto ano (630 sacas), gerando receitas líquidas de R$ 44.631,00, R$ 48.350,25 e R$ 52.069,50, respectivamente. No quinto e no sexto ano, o contrato estabelece a entrega de 15 sacas por hectare, o que corresponde a 675 sacas anuais. No sétimo e oitavo ano, o volume é elevado para 16 sacas por hectare, totalizando 720 sacas.</w:t>
      </w:r>
    </w:p>
    <w:p w14:paraId="2D13DE9C" w14:textId="02D95FE9" w:rsidR="009B149A" w:rsidRDefault="00F57972" w:rsidP="00F57972">
      <w:pPr>
        <w:pStyle w:val="Corpodetexto"/>
        <w:spacing w:line="360" w:lineRule="auto"/>
        <w:ind w:right="140" w:firstLine="285"/>
      </w:pPr>
      <w:r>
        <w:t>As receitas líquidas associadas a essas quantidades são de R$ 55.788,75 para o quinto e sexto ano; R$ 59.508,00 para o sétimo e oitavo ano; R$ 63.227,25 no nono ano, quando o volume passa a 17 sacas por hectare (765 sacas); e R$ 66.946,50 no décimo ano, com 18 sacas por hectare (810 sacas), acompanhando o incremento gradativo definido ao longo do período analisado.</w:t>
      </w:r>
      <w:r w:rsidR="009B149A">
        <w:t>Ao final do período analisado, correspondente aos anos de 2026 a 2035, a soma das receitas líquidas provenientes do arrendamento da soja totaliza R$ 550.449,00, representando o valor acumulado efetivamente recebido pelo proprietário ao longo dos dez anos.</w:t>
      </w:r>
    </w:p>
    <w:p w14:paraId="0A1F0BB2" w14:textId="77777777" w:rsidR="00CB55CE" w:rsidRDefault="009B149A" w:rsidP="0074735E">
      <w:pPr>
        <w:pStyle w:val="Corpodetexto"/>
        <w:spacing w:line="360" w:lineRule="auto"/>
        <w:ind w:right="140" w:firstLine="285"/>
      </w:pPr>
      <w:r>
        <w:t>A partir desses fluxos anuais, foi calculado o Valor Presente Líquido (VPL) da atividade, resultando em R$ 2</w:t>
      </w:r>
      <w:r w:rsidR="0074735E">
        <w:t>15</w:t>
      </w:r>
      <w:r>
        <w:t>.</w:t>
      </w:r>
      <w:r w:rsidR="0074735E">
        <w:t>371</w:t>
      </w:r>
      <w:r>
        <w:t>,</w:t>
      </w:r>
      <w:r w:rsidR="0074735E">
        <w:t>63</w:t>
      </w:r>
      <w:r>
        <w:t xml:space="preserve">. Esse resultado positivo indica que o arrendamento da soja, descontado pela Taxa Mínima de Atratividade (TMA) utilizada no estudo, gera retorno financeiro superior ao custo de oportunidade do capital, demonstrando sua atratividade econômica. </w:t>
      </w:r>
      <w:r w:rsidR="00193B7E" w:rsidRPr="00193B7E">
        <w:t>Já os demais indicadores de viabilidade econômica, como Payback Descontado (PBD), Taxa Interna de Retorno (TIR) e Índice de Lucratividade (IL), não são aplicáveis neste caso, uma vez que o modelo de arrendamento não exige investimento inicial de capital por parte do produtor, impossibilitando mensuração comparativa desses indicadores.</w:t>
      </w:r>
    </w:p>
    <w:p w14:paraId="643B3D7C" w14:textId="1C126E52" w:rsidR="0074735E" w:rsidRDefault="00CB55CE" w:rsidP="0074735E">
      <w:pPr>
        <w:pStyle w:val="Corpodetexto"/>
        <w:spacing w:line="360" w:lineRule="auto"/>
        <w:ind w:right="140" w:firstLine="285"/>
      </w:pPr>
      <w:r w:rsidRPr="00CB55CE">
        <w:t xml:space="preserve">Os resultados financeiros indicam que o arrendamento proporciona maior </w:t>
      </w:r>
      <w:r w:rsidRPr="00CB55CE">
        <w:lastRenderedPageBreak/>
        <w:t>previsibilidade e liquidez ao produtor, uma vez que o pagamento ocorre de forma anual, em volumes previamente definidos em contrato. Embora o valor recebido dependa do preço de mercado da soja no momento da conversão das sacas, esse preço apresenta oscilações frequentes ao longo dos anos, influenciado por fatores como câmbio, demanda internacional, clima e estoques globais. Dessa forma, não é possível afirmar uma tendência de valorização contínua da commodity; entretanto, o modelo de remuneração baseado em sacas garante ao proprietário da terra uma receita estável em termos de quantidade, reduzindo sua exposição ao risco operacional.</w:t>
      </w:r>
    </w:p>
    <w:p w14:paraId="645ABAE9" w14:textId="5C7B9E4D" w:rsidR="005C3B38" w:rsidRDefault="0013751B" w:rsidP="007B712D">
      <w:pPr>
        <w:pStyle w:val="Corpodetexto"/>
        <w:spacing w:line="360" w:lineRule="auto"/>
        <w:ind w:right="140" w:firstLine="285"/>
      </w:pPr>
      <w:r w:rsidRPr="0013751B">
        <w:t>Com o objetivo de verificar a robustez dos resultados e mensurar o impacto de variações nos principais parâmetros do contrato, realizou-se a análise de sensibilidade do arrendamento agrícola apresentada na Tabela 3. Nessa análise, aplicou-se uma variação de 10% sobre o preço da commodity, permitindo identificar de que forma oscilações moderadas no valor da soja influenciam a geração de receita ao longo do período avaliado.</w:t>
      </w:r>
    </w:p>
    <w:p w14:paraId="518D0284" w14:textId="7791898A" w:rsidR="00866C7D" w:rsidRDefault="00866C7D" w:rsidP="00866C7D">
      <w:pPr>
        <w:pStyle w:val="Corpodetexto"/>
        <w:spacing w:line="360" w:lineRule="auto"/>
        <w:ind w:right="140" w:firstLine="285"/>
        <w:jc w:val="center"/>
      </w:pPr>
      <w:r w:rsidRPr="009B22B9">
        <w:rPr>
          <w:b/>
          <w:bCs/>
        </w:rPr>
        <w:t>Tabela 3</w:t>
      </w:r>
      <w:r>
        <w:t>: Análise de sensibilidade do arrendamento.</w:t>
      </w:r>
    </w:p>
    <w:tbl>
      <w:tblPr>
        <w:tblStyle w:val="Tabelacomgrade"/>
        <w:tblW w:w="0" w:type="auto"/>
        <w:tblInd w:w="141" w:type="dxa"/>
        <w:tblLayout w:type="fixed"/>
        <w:tblLook w:val="04A0" w:firstRow="1" w:lastRow="0" w:firstColumn="1" w:lastColumn="0" w:noHBand="0" w:noVBand="1"/>
      </w:tblPr>
      <w:tblGrid>
        <w:gridCol w:w="1556"/>
        <w:gridCol w:w="1700"/>
        <w:gridCol w:w="2268"/>
        <w:gridCol w:w="2694"/>
      </w:tblGrid>
      <w:tr w:rsidR="0013751B" w14:paraId="79BDCF56" w14:textId="77777777" w:rsidTr="0013751B">
        <w:tc>
          <w:tcPr>
            <w:tcW w:w="1556" w:type="dxa"/>
          </w:tcPr>
          <w:p w14:paraId="000820C5" w14:textId="77777777" w:rsidR="0013751B" w:rsidRPr="00096C56" w:rsidRDefault="0013751B" w:rsidP="00F01BB9">
            <w:pPr>
              <w:pStyle w:val="Corpodetexto"/>
              <w:spacing w:line="360" w:lineRule="auto"/>
              <w:ind w:left="0" w:right="140"/>
              <w:jc w:val="center"/>
              <w:rPr>
                <w:b/>
                <w:bCs/>
              </w:rPr>
            </w:pPr>
            <w:r w:rsidRPr="00096C56">
              <w:rPr>
                <w:b/>
                <w:bCs/>
              </w:rPr>
              <w:t>Indicador</w:t>
            </w:r>
          </w:p>
        </w:tc>
        <w:tc>
          <w:tcPr>
            <w:tcW w:w="1700" w:type="dxa"/>
          </w:tcPr>
          <w:p w14:paraId="52DDC8B5" w14:textId="77777777" w:rsidR="0013751B" w:rsidRPr="00096C56" w:rsidRDefault="0013751B" w:rsidP="00F01BB9">
            <w:pPr>
              <w:pStyle w:val="Corpodetexto"/>
              <w:spacing w:line="360" w:lineRule="auto"/>
              <w:ind w:left="0" w:right="140"/>
              <w:jc w:val="center"/>
              <w:rPr>
                <w:b/>
                <w:bCs/>
              </w:rPr>
            </w:pPr>
            <w:r w:rsidRPr="00096C56">
              <w:rPr>
                <w:b/>
                <w:bCs/>
              </w:rPr>
              <w:t>Valor Atual</w:t>
            </w:r>
          </w:p>
        </w:tc>
        <w:tc>
          <w:tcPr>
            <w:tcW w:w="2268" w:type="dxa"/>
          </w:tcPr>
          <w:p w14:paraId="2169A8DD" w14:textId="77777777" w:rsidR="0013751B" w:rsidRPr="00096C56" w:rsidRDefault="0013751B" w:rsidP="00F01BB9">
            <w:pPr>
              <w:pStyle w:val="Corpodetexto"/>
              <w:spacing w:line="360" w:lineRule="auto"/>
              <w:ind w:left="0" w:right="140"/>
              <w:jc w:val="center"/>
              <w:rPr>
                <w:b/>
                <w:bCs/>
              </w:rPr>
            </w:pPr>
            <w:r w:rsidRPr="00096C56">
              <w:rPr>
                <w:b/>
                <w:bCs/>
              </w:rPr>
              <w:t>Cenário Otimista</w:t>
            </w:r>
          </w:p>
        </w:tc>
        <w:tc>
          <w:tcPr>
            <w:tcW w:w="2694" w:type="dxa"/>
          </w:tcPr>
          <w:p w14:paraId="6D7FF6FB" w14:textId="77777777" w:rsidR="0013751B" w:rsidRPr="00096C56" w:rsidRDefault="0013751B" w:rsidP="00F01BB9">
            <w:pPr>
              <w:pStyle w:val="Corpodetexto"/>
              <w:spacing w:line="360" w:lineRule="auto"/>
              <w:ind w:left="0" w:right="140"/>
              <w:jc w:val="center"/>
              <w:rPr>
                <w:b/>
                <w:bCs/>
              </w:rPr>
            </w:pPr>
            <w:r w:rsidRPr="00096C56">
              <w:rPr>
                <w:b/>
                <w:bCs/>
              </w:rPr>
              <w:t>Cenário Conservador</w:t>
            </w:r>
          </w:p>
        </w:tc>
      </w:tr>
      <w:tr w:rsidR="0013751B" w14:paraId="547C4A25" w14:textId="77777777" w:rsidTr="0013751B">
        <w:tc>
          <w:tcPr>
            <w:tcW w:w="1556" w:type="dxa"/>
          </w:tcPr>
          <w:p w14:paraId="01C8037E" w14:textId="77777777" w:rsidR="0013751B" w:rsidRDefault="0013751B" w:rsidP="00F01BB9">
            <w:pPr>
              <w:pStyle w:val="Corpodetexto"/>
              <w:spacing w:line="360" w:lineRule="auto"/>
              <w:ind w:left="0" w:right="140"/>
              <w:jc w:val="center"/>
            </w:pPr>
            <w:r>
              <w:t>VPL (R$)</w:t>
            </w:r>
          </w:p>
        </w:tc>
        <w:tc>
          <w:tcPr>
            <w:tcW w:w="1700" w:type="dxa"/>
          </w:tcPr>
          <w:p w14:paraId="713AA5F4" w14:textId="457A4B2B" w:rsidR="0013751B" w:rsidRDefault="0013751B" w:rsidP="00F01BB9">
            <w:pPr>
              <w:pStyle w:val="Corpodetexto"/>
              <w:spacing w:line="360" w:lineRule="auto"/>
              <w:ind w:left="0" w:right="140"/>
              <w:jc w:val="center"/>
            </w:pPr>
            <w:r w:rsidRPr="00A8299D">
              <w:t>215.371,63</w:t>
            </w:r>
          </w:p>
        </w:tc>
        <w:tc>
          <w:tcPr>
            <w:tcW w:w="2268" w:type="dxa"/>
          </w:tcPr>
          <w:p w14:paraId="71FD6FC9" w14:textId="61D5D136" w:rsidR="0013751B" w:rsidRDefault="0013751B" w:rsidP="0013751B">
            <w:pPr>
              <w:pStyle w:val="Corpodetexto"/>
              <w:spacing w:line="360" w:lineRule="auto"/>
              <w:ind w:left="0" w:right="140"/>
              <w:jc w:val="center"/>
            </w:pPr>
            <w:r>
              <w:t>238.986,94</w:t>
            </w:r>
          </w:p>
        </w:tc>
        <w:tc>
          <w:tcPr>
            <w:tcW w:w="2694" w:type="dxa"/>
          </w:tcPr>
          <w:p w14:paraId="22B66363" w14:textId="24831739" w:rsidR="0013751B" w:rsidRDefault="0013751B" w:rsidP="00F01BB9">
            <w:pPr>
              <w:pStyle w:val="Corpodetexto"/>
              <w:spacing w:line="360" w:lineRule="auto"/>
              <w:ind w:left="0" w:right="140"/>
              <w:jc w:val="center"/>
            </w:pPr>
            <w:r>
              <w:t>195.555,99</w:t>
            </w:r>
          </w:p>
        </w:tc>
      </w:tr>
      <w:tr w:rsidR="0013751B" w14:paraId="7D3F9927" w14:textId="77777777" w:rsidTr="0013751B">
        <w:tc>
          <w:tcPr>
            <w:tcW w:w="1556" w:type="dxa"/>
          </w:tcPr>
          <w:p w14:paraId="18E20261" w14:textId="474329F6" w:rsidR="0013751B" w:rsidRDefault="0013751B" w:rsidP="00F01BB9">
            <w:pPr>
              <w:pStyle w:val="Corpodetexto"/>
              <w:spacing w:line="360" w:lineRule="auto"/>
              <w:ind w:left="0" w:right="140"/>
              <w:jc w:val="center"/>
            </w:pPr>
            <w:r>
              <w:t>Receita/ Soja(R$)</w:t>
            </w:r>
          </w:p>
        </w:tc>
        <w:tc>
          <w:tcPr>
            <w:tcW w:w="1700" w:type="dxa"/>
          </w:tcPr>
          <w:p w14:paraId="31820BD8" w14:textId="5C3ADFE7" w:rsidR="0013751B" w:rsidRDefault="0013751B" w:rsidP="00F01BB9">
            <w:pPr>
              <w:pStyle w:val="Corpodetexto"/>
              <w:spacing w:line="360" w:lineRule="auto"/>
              <w:ind w:left="0" w:right="140"/>
              <w:jc w:val="center"/>
            </w:pPr>
            <w:r>
              <w:t>115,00</w:t>
            </w:r>
          </w:p>
        </w:tc>
        <w:tc>
          <w:tcPr>
            <w:tcW w:w="2268" w:type="dxa"/>
          </w:tcPr>
          <w:p w14:paraId="650D37AE" w14:textId="0C442069" w:rsidR="0013751B" w:rsidRDefault="0013751B" w:rsidP="00F01BB9">
            <w:pPr>
              <w:pStyle w:val="Corpodetexto"/>
              <w:spacing w:line="360" w:lineRule="auto"/>
              <w:ind w:left="0" w:right="140"/>
              <w:jc w:val="center"/>
            </w:pPr>
            <w:r>
              <w:t>126,50</w:t>
            </w:r>
          </w:p>
        </w:tc>
        <w:tc>
          <w:tcPr>
            <w:tcW w:w="2694" w:type="dxa"/>
          </w:tcPr>
          <w:p w14:paraId="471E02B9" w14:textId="659F9E5A" w:rsidR="0013751B" w:rsidRDefault="0013751B" w:rsidP="00F01BB9">
            <w:pPr>
              <w:pStyle w:val="Corpodetexto"/>
              <w:spacing w:line="360" w:lineRule="auto"/>
              <w:ind w:left="0" w:right="140"/>
              <w:jc w:val="center"/>
            </w:pPr>
            <w:r>
              <w:t>103,50</w:t>
            </w:r>
          </w:p>
        </w:tc>
      </w:tr>
    </w:tbl>
    <w:p w14:paraId="6D10B3B5" w14:textId="0EAB4B7C" w:rsidR="009B22B9" w:rsidRPr="00866C7D" w:rsidRDefault="00866C7D" w:rsidP="007B712D">
      <w:pPr>
        <w:pStyle w:val="Corpodetexto"/>
        <w:spacing w:line="360" w:lineRule="auto"/>
        <w:ind w:right="140"/>
        <w:rPr>
          <w:sz w:val="22"/>
          <w:szCs w:val="22"/>
        </w:rPr>
      </w:pPr>
      <w:r w:rsidRPr="00866C7D">
        <w:rPr>
          <w:sz w:val="22"/>
          <w:szCs w:val="22"/>
        </w:rPr>
        <w:t>Fonte: Elaborada pelo autor (2025)</w:t>
      </w:r>
    </w:p>
    <w:p w14:paraId="1C68EC14" w14:textId="255668D9" w:rsidR="0074735E" w:rsidRDefault="00CB55CE" w:rsidP="00FF661B">
      <w:pPr>
        <w:pStyle w:val="Corpodetexto"/>
        <w:spacing w:line="360" w:lineRule="auto"/>
        <w:ind w:right="140" w:firstLine="285"/>
      </w:pPr>
      <w:r w:rsidRPr="00CB55CE">
        <w:t>De modo geral, a análise confirma que o arrendamento apresenta boa estabilidade operacional, já que o produtor não assume risco produtivo, mas mantém exposição ao risco de mercado, representado pela volatilidade dos preços da soja. Ainda assim, mesmo no cenário conservador, o arrendamento demonstrou capacidade de gerar receita líquida positiva em todos os anos, reforçando seu papel como alternativa consistente de renda para propriedades que buscam menor variabilidade operacional e retorno financeiro previsível.</w:t>
      </w:r>
    </w:p>
    <w:p w14:paraId="3EB7AEB6" w14:textId="77777777" w:rsidR="00C77FB9" w:rsidRPr="00B00078" w:rsidRDefault="00C77FB9" w:rsidP="00FF661B">
      <w:pPr>
        <w:spacing w:line="360" w:lineRule="auto"/>
        <w:jc w:val="both"/>
        <w:rPr>
          <w:rFonts w:ascii="Times New Roman" w:eastAsia="Times New Roman" w:hAnsi="Times New Roman" w:cs="Times New Roman"/>
          <w:b/>
          <w:bCs/>
          <w:kern w:val="0"/>
          <w:lang w:val="pt-PT"/>
          <w14:ligatures w14:val="none"/>
        </w:rPr>
      </w:pPr>
      <w:r w:rsidRPr="00B00078">
        <w:rPr>
          <w:rFonts w:ascii="Times New Roman" w:eastAsia="Times New Roman" w:hAnsi="Times New Roman" w:cs="Times New Roman"/>
          <w:b/>
          <w:bCs/>
          <w:kern w:val="0"/>
          <w:lang w:val="pt-PT"/>
          <w14:ligatures w14:val="none"/>
        </w:rPr>
        <w:t>4.3 Análise Comparativa e Discussão</w:t>
      </w:r>
    </w:p>
    <w:p w14:paraId="33A8A6FC" w14:textId="0ED7D2EB" w:rsidR="000A5E6C" w:rsidRDefault="000A5E6C" w:rsidP="00FF661B">
      <w:pPr>
        <w:pStyle w:val="Corpodetexto"/>
        <w:spacing w:line="360" w:lineRule="auto"/>
        <w:ind w:right="140" w:firstLine="285"/>
      </w:pPr>
      <w:r>
        <w:t xml:space="preserve">Os resultados obtidos neste estudo demonstram de forma consistente que as duas atividades analisadas apresentam desempenhos econômicos claramente distintos. A pecuária de cria, nas condições reais da propriedade, mostrou-se inviável, enquanto o arrendamento da soja se confirmou como a alternativa financeiramente sólida e </w:t>
      </w:r>
      <w:r>
        <w:lastRenderedPageBreak/>
        <w:t>superior em todos os cenários avaliados.</w:t>
      </w:r>
    </w:p>
    <w:p w14:paraId="6780B7C7" w14:textId="42AC1712" w:rsidR="000A5E6C" w:rsidRDefault="000A5E6C" w:rsidP="000A5E6C">
      <w:pPr>
        <w:pStyle w:val="Corpodetexto"/>
        <w:spacing w:line="360" w:lineRule="auto"/>
        <w:ind w:right="140" w:firstLine="285"/>
      </w:pPr>
      <w:r>
        <w:t>A pecuária apresentou elevada fragilidade econômica devid</w:t>
      </w:r>
      <w:r w:rsidR="00FF661B">
        <w:t xml:space="preserve">a a </w:t>
      </w:r>
      <w:r>
        <w:t xml:space="preserve">baixa taxa de natalidade e forte sensibilidade a variações de preço e custo. </w:t>
      </w:r>
      <w:r w:rsidR="0013751B" w:rsidRPr="0013751B">
        <w:t>Embora os cenários favoráveis indiquem margens líquidas entre 14% e 20%, demonstrando que a atividade pode ser viável sob condições econômicas e produtivas mais eficientes, nos cenários intermediários e adversos as margens tornam-se reduzidas ou negativas, resultando em períodos de baixa remuneração ou prejuízo.</w:t>
      </w:r>
      <w:r>
        <w:t xml:space="preserve"> A dependência direta do desempenho reprodutivo, aliada ao alto nível de despesas fixas e variáveis, faz com que pequenas oscilações, especialmente na natalidade, comprometam toda a rentabilidade da atividade. Assim, a pecuária se mostrou incapaz de gerar recursos suficientes para cobrir seus custos operacionais no horizonte de análise, evidenciando sua não viabilidade econômica.</w:t>
      </w:r>
    </w:p>
    <w:p w14:paraId="02239F4F" w14:textId="63D56FA8" w:rsidR="000A5E6C" w:rsidRDefault="000A5E6C" w:rsidP="000A5E6C">
      <w:pPr>
        <w:pStyle w:val="Corpodetexto"/>
        <w:spacing w:line="360" w:lineRule="auto"/>
        <w:ind w:right="140" w:firstLine="285"/>
      </w:pPr>
      <w:r>
        <w:t>Em contraste, o arrendamento da soja apresentou desempenho financeiro estável e atrativo. Como a renda é definida em contrato com base em sacas por hectare, o produtor não assume risco produtivo, não arca com custos de insumos, não precisa de mão de obra e recebe pagamento anual independentemente do resultado da lavoura. A análise de sensibilidade confirmou que, mesmo com variações no preço da soja, o arrendamento continua gerando fluxo de caixa positivo, com receitas líquidas previsíveis e margens amplamente superiores às da pecuária. A baixa exposição ao risco, somada à simplicidade operacional e ao retorno anual garantido, faz do arrendamento a alternativa mais vantajosa e segura para a propriedade.</w:t>
      </w:r>
    </w:p>
    <w:p w14:paraId="45D5073A" w14:textId="2BA34336" w:rsidR="00C77FB9" w:rsidRDefault="000A5E6C" w:rsidP="000A5E6C">
      <w:pPr>
        <w:pStyle w:val="Corpodetexto"/>
        <w:spacing w:line="360" w:lineRule="auto"/>
        <w:ind w:right="140" w:firstLine="285"/>
      </w:pPr>
      <w:r>
        <w:t>Portanto, a comparação direta evidencia que, sob as condições analisadas, a pecuária não apresenta viabilidade financeira, enquanto o arrendamento da soja se destaca como a opção mais rentável, estável e eficiente no uso da terra. Os indicadores econômicos e a análise de sensibilidade convergem para a mesma conclusão: a manutenção do arrendamento agrícola representa, no cenário atual, a melhor estratégia econômica para a propriedade.</w:t>
      </w:r>
    </w:p>
    <w:p w14:paraId="03C8BCD9" w14:textId="77777777" w:rsidR="005E10BF" w:rsidRDefault="005E10BF" w:rsidP="000A5E6C">
      <w:pPr>
        <w:pStyle w:val="Corpodetexto"/>
        <w:spacing w:line="360" w:lineRule="auto"/>
        <w:ind w:right="140" w:firstLine="285"/>
      </w:pPr>
    </w:p>
    <w:p w14:paraId="18226493" w14:textId="39A8CAD2" w:rsidR="003A172A" w:rsidRDefault="00D326CF" w:rsidP="00E00173">
      <w:pPr>
        <w:spacing w:line="360" w:lineRule="auto"/>
        <w:jc w:val="both"/>
        <w:rPr>
          <w:rFonts w:ascii="Times New Roman" w:eastAsia="Times New Roman" w:hAnsi="Times New Roman" w:cs="Times New Roman"/>
          <w:b/>
          <w:bCs/>
          <w:kern w:val="0"/>
          <w:lang w:val="pt-PT"/>
          <w14:ligatures w14:val="none"/>
        </w:rPr>
      </w:pPr>
      <w:r>
        <w:rPr>
          <w:rFonts w:ascii="Times New Roman" w:eastAsia="Times New Roman" w:hAnsi="Times New Roman" w:cs="Times New Roman"/>
          <w:b/>
          <w:bCs/>
          <w:kern w:val="0"/>
          <w:lang w:val="pt-PT"/>
          <w14:ligatures w14:val="none"/>
        </w:rPr>
        <w:t>5</w:t>
      </w:r>
      <w:r w:rsidR="00E00173" w:rsidRPr="00E00173">
        <w:rPr>
          <w:rFonts w:ascii="Times New Roman" w:eastAsia="Times New Roman" w:hAnsi="Times New Roman" w:cs="Times New Roman"/>
          <w:b/>
          <w:bCs/>
          <w:kern w:val="0"/>
          <w:lang w:val="pt-PT"/>
          <w14:ligatures w14:val="none"/>
        </w:rPr>
        <w:t xml:space="preserve"> Conclusão</w:t>
      </w:r>
    </w:p>
    <w:p w14:paraId="38379CD5" w14:textId="4608E5B1" w:rsidR="00770BE9" w:rsidRDefault="00770BE9" w:rsidP="00770BE9">
      <w:pPr>
        <w:pStyle w:val="Corpodetexto"/>
        <w:spacing w:line="360" w:lineRule="auto"/>
        <w:ind w:right="140" w:firstLine="285"/>
      </w:pPr>
      <w:r>
        <w:t xml:space="preserve">O estudo permitiu responder ao problema central da pesquisa ao demonstrar que, nas condições observadas na propriedade analisada, o arrendamento da soja apresenta vantagem econômica clara em relação à pecuária de cria. A comparação entre as atividades mostrou que o arrendamento gera receita regular, com menor exposição a </w:t>
      </w:r>
      <w:r>
        <w:lastRenderedPageBreak/>
        <w:t>incertezas operacionais e menor necessidade de capital e gestão direta, o que o torna mais aderente ao perfil da propriedade e ao cenário de mercado atual.</w:t>
      </w:r>
    </w:p>
    <w:p w14:paraId="366937A3" w14:textId="5E60842D" w:rsidR="00770BE9" w:rsidRDefault="00770BE9" w:rsidP="00770BE9">
      <w:pPr>
        <w:pStyle w:val="Corpodetexto"/>
        <w:spacing w:line="360" w:lineRule="auto"/>
        <w:ind w:right="140" w:firstLine="285"/>
      </w:pPr>
      <w:r>
        <w:t>A pecuária, por sua vez, revelou limitações estruturais no sistema de cria adotado, especialmente em relação ao custo por bezerro e à baixa eficiência reprodutiva, fatores que impediram a atividade de alcançar resultados economicamente satisfatórios. Ainda que a pecuária mantenha relevância produtiva no contexto rural brasileiro, sua continuidade, no caso estudado, exige reavaliação profunda do sistema, com ênfase em melhorias de manejo e aumento da produtividade para que possa competir com alternativas mais rentáveis.</w:t>
      </w:r>
    </w:p>
    <w:p w14:paraId="6CAEC389" w14:textId="70FC7388" w:rsidR="00770BE9" w:rsidRDefault="00770BE9" w:rsidP="00770BE9">
      <w:pPr>
        <w:pStyle w:val="Corpodetexto"/>
        <w:spacing w:line="360" w:lineRule="auto"/>
        <w:ind w:right="140" w:firstLine="285"/>
      </w:pPr>
      <w:r>
        <w:t>Assim, os resultados obtidos reforçam a importância da avaliação financeira como instrumento de gestão rural</w:t>
      </w:r>
      <w:r w:rsidR="4EFF52AB">
        <w:t>.</w:t>
      </w:r>
      <w:r>
        <w:t xml:space="preserve"> O estudo também destaca que a escolha entre manter ou modificar o modelo produtivo deve considerar, além da rentabilidade, fatores como objetivos pessoais, disponibilidade de tempo, capacidade de gestão e visão de longo prazo para a propriedade.</w:t>
      </w:r>
    </w:p>
    <w:p w14:paraId="1E0A35B9" w14:textId="77777777" w:rsidR="005E10BF" w:rsidRDefault="005E10BF" w:rsidP="00770BE9">
      <w:pPr>
        <w:pStyle w:val="Corpodetexto"/>
        <w:spacing w:line="360" w:lineRule="auto"/>
        <w:ind w:right="140" w:firstLine="285"/>
      </w:pPr>
    </w:p>
    <w:p w14:paraId="5272895F" w14:textId="7B4C5327" w:rsidR="004C5347" w:rsidRPr="004C5347" w:rsidRDefault="004C5347" w:rsidP="003B7376">
      <w:pPr>
        <w:pStyle w:val="Corpodetexto"/>
        <w:spacing w:line="360" w:lineRule="auto"/>
        <w:ind w:left="0" w:right="140"/>
      </w:pPr>
      <w:r w:rsidRPr="004C5347">
        <w:rPr>
          <w:b/>
          <w:bCs/>
        </w:rPr>
        <w:t>6 Referências Bibliográficas</w:t>
      </w:r>
    </w:p>
    <w:p w14:paraId="0C693166" w14:textId="76553384" w:rsidR="009C696C" w:rsidRDefault="009C696C" w:rsidP="009C696C">
      <w:pPr>
        <w:pStyle w:val="Corpodetexto"/>
        <w:numPr>
          <w:ilvl w:val="0"/>
          <w:numId w:val="5"/>
        </w:numPr>
        <w:spacing w:line="360" w:lineRule="auto"/>
        <w:ind w:right="140"/>
        <w:rPr>
          <w:sz w:val="20"/>
          <w:szCs w:val="20"/>
          <w:lang w:val="pt-BR"/>
        </w:rPr>
      </w:pPr>
      <w:r w:rsidRPr="009C696C">
        <w:rPr>
          <w:sz w:val="20"/>
          <w:szCs w:val="20"/>
          <w:lang w:val="pt-BR"/>
        </w:rPr>
        <w:t xml:space="preserve">BARBOSA, F. A.; EUCLIDES FILHO, K.; TORRES JÚNIOR, R. A. A pecuária de corte no Brasil: desafios e oportunidades. Campo Grande: Embrapa Gado de Corte, 2017.Disponível em: </w:t>
      </w:r>
      <w:hyperlink r:id="rId9" w:history="1">
        <w:r w:rsidRPr="009C696C">
          <w:rPr>
            <w:rStyle w:val="Hyperlink"/>
            <w:sz w:val="20"/>
            <w:szCs w:val="20"/>
            <w:lang w:val="pt-BR"/>
          </w:rPr>
          <w:t>copy3_of_AnuriodosProgramasdeControledeAlimentosdeOrigemAnimalVolume920232.pdf</w:t>
        </w:r>
      </w:hyperlink>
      <w:r>
        <w:rPr>
          <w:sz w:val="20"/>
          <w:szCs w:val="20"/>
          <w:lang w:val="pt-BR"/>
        </w:rPr>
        <w:t>.</w:t>
      </w:r>
      <w:r w:rsidRPr="009C696C">
        <w:rPr>
          <w:sz w:val="20"/>
          <w:szCs w:val="20"/>
          <w:lang w:val="pt-BR"/>
        </w:rPr>
        <w:t>Acesso em: 2</w:t>
      </w:r>
      <w:r>
        <w:rPr>
          <w:sz w:val="20"/>
          <w:szCs w:val="20"/>
          <w:lang w:val="pt-BR"/>
        </w:rPr>
        <w:t>3</w:t>
      </w:r>
      <w:r w:rsidRPr="009C696C">
        <w:rPr>
          <w:sz w:val="20"/>
          <w:szCs w:val="20"/>
          <w:lang w:val="pt-BR"/>
        </w:rPr>
        <w:t xml:space="preserve"> nov. 2025.</w:t>
      </w:r>
    </w:p>
    <w:p w14:paraId="2E2C5AD1" w14:textId="683FCADD" w:rsidR="009C696C" w:rsidRDefault="009C696C" w:rsidP="009C696C">
      <w:pPr>
        <w:pStyle w:val="Corpodetexto"/>
        <w:numPr>
          <w:ilvl w:val="0"/>
          <w:numId w:val="5"/>
        </w:numPr>
        <w:spacing w:line="360" w:lineRule="auto"/>
        <w:ind w:right="140"/>
        <w:rPr>
          <w:sz w:val="20"/>
          <w:szCs w:val="20"/>
          <w:lang w:val="pt-BR"/>
        </w:rPr>
      </w:pPr>
      <w:r w:rsidRPr="009C696C">
        <w:rPr>
          <w:sz w:val="20"/>
          <w:szCs w:val="20"/>
          <w:lang w:val="pt-BR"/>
        </w:rPr>
        <w:t xml:space="preserve">BARCELLOS, </w:t>
      </w:r>
      <w:r>
        <w:rPr>
          <w:sz w:val="20"/>
          <w:szCs w:val="20"/>
          <w:lang w:val="pt-BR"/>
        </w:rPr>
        <w:t>JÚLIO OTÁVIO</w:t>
      </w:r>
      <w:r w:rsidRPr="009C696C">
        <w:rPr>
          <w:sz w:val="20"/>
          <w:szCs w:val="20"/>
          <w:lang w:val="pt-BR"/>
        </w:rPr>
        <w:t>. A pecuária de corte no Brasil: uma abordagem sistêmica da produção à diferenciação de produtos</w:t>
      </w:r>
      <w:r>
        <w:rPr>
          <w:sz w:val="20"/>
          <w:szCs w:val="20"/>
          <w:lang w:val="pt-BR"/>
        </w:rPr>
        <w:t xml:space="preserve">. </w:t>
      </w:r>
      <w:r w:rsidRPr="009C696C">
        <w:rPr>
          <w:sz w:val="20"/>
          <w:szCs w:val="20"/>
          <w:lang w:val="pt-BR"/>
        </w:rPr>
        <w:t xml:space="preserve">UFRGS, 2004. Disponível em: </w:t>
      </w:r>
      <w:hyperlink r:id="rId10" w:history="1">
        <w:r w:rsidRPr="00853AD4">
          <w:rPr>
            <w:rStyle w:val="Hyperlink"/>
            <w:sz w:val="20"/>
            <w:szCs w:val="20"/>
            <w:lang w:val="pt-BR"/>
          </w:rPr>
          <w:t>https://cdn.fee.tche.br/jornadas/2/E13-03.pdf</w:t>
        </w:r>
      </w:hyperlink>
      <w:r>
        <w:rPr>
          <w:sz w:val="20"/>
          <w:szCs w:val="20"/>
          <w:lang w:val="pt-BR"/>
        </w:rPr>
        <w:t>. Acesso em 26 nov. 2025</w:t>
      </w:r>
    </w:p>
    <w:p w14:paraId="753E4B91" w14:textId="7192044E" w:rsidR="003D0B8D" w:rsidRPr="003D0B8D" w:rsidRDefault="003D0B8D" w:rsidP="003D0B8D">
      <w:pPr>
        <w:pStyle w:val="Corpodetexto"/>
        <w:numPr>
          <w:ilvl w:val="0"/>
          <w:numId w:val="5"/>
        </w:numPr>
        <w:spacing w:line="360" w:lineRule="auto"/>
        <w:ind w:right="140"/>
        <w:rPr>
          <w:sz w:val="20"/>
          <w:szCs w:val="20"/>
          <w:lang w:val="pt-BR"/>
        </w:rPr>
      </w:pPr>
      <w:r w:rsidRPr="003D0B8D">
        <w:rPr>
          <w:sz w:val="20"/>
          <w:szCs w:val="20"/>
          <w:lang w:val="pt-BR"/>
        </w:rPr>
        <w:t xml:space="preserve">BARBERO, </w:t>
      </w:r>
      <w:proofErr w:type="spellStart"/>
      <w:r w:rsidRPr="003D0B8D">
        <w:rPr>
          <w:sz w:val="20"/>
          <w:szCs w:val="20"/>
          <w:lang w:val="pt-BR"/>
        </w:rPr>
        <w:t>Rondineli</w:t>
      </w:r>
      <w:proofErr w:type="spellEnd"/>
      <w:r w:rsidRPr="003D0B8D">
        <w:rPr>
          <w:sz w:val="20"/>
          <w:szCs w:val="20"/>
          <w:lang w:val="pt-BR"/>
        </w:rPr>
        <w:t xml:space="preserve"> </w:t>
      </w:r>
      <w:proofErr w:type="spellStart"/>
      <w:r w:rsidRPr="003D0B8D">
        <w:rPr>
          <w:sz w:val="20"/>
          <w:szCs w:val="20"/>
          <w:lang w:val="pt-BR"/>
        </w:rPr>
        <w:t>Pavezzi</w:t>
      </w:r>
      <w:proofErr w:type="spellEnd"/>
      <w:r w:rsidRPr="003D0B8D">
        <w:rPr>
          <w:sz w:val="20"/>
          <w:szCs w:val="20"/>
          <w:lang w:val="pt-BR"/>
        </w:rPr>
        <w:t>; PAVEZZI, Simone; et al. Potencial de produção de bovinos de corte em pastagens tropicais: revisão de literatura. Ciência Animal Brasileira, v. 22, e69609, 2021. Disponível em: https://www.scielo.br/j/cab/a/GzSvKgfT4jRCMYqS7jb8rCg/?lang=pt. Acesso em: 2</w:t>
      </w:r>
      <w:r>
        <w:rPr>
          <w:sz w:val="20"/>
          <w:szCs w:val="20"/>
          <w:lang w:val="pt-BR"/>
        </w:rPr>
        <w:t>5</w:t>
      </w:r>
      <w:r w:rsidRPr="003D0B8D">
        <w:rPr>
          <w:sz w:val="20"/>
          <w:szCs w:val="20"/>
          <w:lang w:val="pt-BR"/>
        </w:rPr>
        <w:t xml:space="preserve"> nov. 2025.</w:t>
      </w:r>
    </w:p>
    <w:p w14:paraId="26E0A2E7" w14:textId="77777777" w:rsidR="00823531" w:rsidRPr="00DD3B35" w:rsidRDefault="004C5347" w:rsidP="00823531">
      <w:pPr>
        <w:pStyle w:val="Corpodetexto"/>
        <w:numPr>
          <w:ilvl w:val="0"/>
          <w:numId w:val="5"/>
        </w:numPr>
        <w:spacing w:line="360" w:lineRule="auto"/>
        <w:ind w:right="140"/>
        <w:rPr>
          <w:sz w:val="20"/>
          <w:szCs w:val="20"/>
          <w:lang w:val="pt-BR"/>
        </w:rPr>
      </w:pPr>
      <w:r w:rsidRPr="00DD3B35">
        <w:rPr>
          <w:sz w:val="20"/>
          <w:szCs w:val="20"/>
          <w:lang w:val="pt-BR"/>
        </w:rPr>
        <w:t xml:space="preserve">CENTRO DE ESTUDOS AVANÇADOS EM ECONOMIA APLICADA (CEPEA). Indicadores de preços da soja e do boi gordo. Piracicaba: CEPEA/ESALQ – USP, 2025. Disponível em: </w:t>
      </w:r>
      <w:hyperlink r:id="rId11" w:tgtFrame="_new" w:history="1">
        <w:r w:rsidRPr="00DD3B35">
          <w:rPr>
            <w:rStyle w:val="Hyperlink"/>
            <w:sz w:val="20"/>
            <w:szCs w:val="20"/>
            <w:lang w:val="pt-BR"/>
          </w:rPr>
          <w:t>https://www.cepea.org.br</w:t>
        </w:r>
      </w:hyperlink>
      <w:r w:rsidRPr="00DD3B35">
        <w:rPr>
          <w:sz w:val="20"/>
          <w:szCs w:val="20"/>
          <w:lang w:val="pt-BR"/>
        </w:rPr>
        <w:t>. Acesso em: 15 set. 2025.</w:t>
      </w:r>
    </w:p>
    <w:p w14:paraId="666DF758" w14:textId="62D96B47" w:rsidR="007020F9" w:rsidRPr="00DD3B35" w:rsidRDefault="007020F9" w:rsidP="007020F9">
      <w:pPr>
        <w:pStyle w:val="Corpodetexto"/>
        <w:numPr>
          <w:ilvl w:val="0"/>
          <w:numId w:val="5"/>
        </w:numPr>
        <w:spacing w:line="360" w:lineRule="auto"/>
        <w:ind w:right="140"/>
        <w:rPr>
          <w:sz w:val="20"/>
          <w:szCs w:val="20"/>
          <w:lang w:val="pt-BR"/>
        </w:rPr>
      </w:pPr>
      <w:r w:rsidRPr="00DD3B35">
        <w:rPr>
          <w:sz w:val="20"/>
          <w:szCs w:val="20"/>
          <w:lang w:val="pt-BR"/>
        </w:rPr>
        <w:t xml:space="preserve">COMPANHIA NACIONAL DE ABASTECIMENTO (CONAB). Produção de grãos atinge novo recorde com 350,2 milhões de toneladas colhidas na safra 2024/25. Brasília: CONAB, 2024. Disponível em: </w:t>
      </w:r>
      <w:hyperlink r:id="rId12" w:tgtFrame="_new" w:history="1">
        <w:r w:rsidRPr="00DD3B35">
          <w:rPr>
            <w:rStyle w:val="Hyperlink"/>
            <w:sz w:val="20"/>
            <w:szCs w:val="20"/>
            <w:lang w:val="pt-BR"/>
          </w:rPr>
          <w:t>https://www.gov.br/conab/pt-br/assuntos/noticias/producao-de-graos-atinge-novo-recorde-com-350-2-milhoes-de-toneladas-colhidas-na-safra-2024-25</w:t>
        </w:r>
      </w:hyperlink>
      <w:r w:rsidRPr="00DD3B35">
        <w:rPr>
          <w:sz w:val="20"/>
          <w:szCs w:val="20"/>
          <w:lang w:val="pt-BR"/>
        </w:rPr>
        <w:t>. Acesso em: 0</w:t>
      </w:r>
      <w:r w:rsidR="007A4B00" w:rsidRPr="00DD3B35">
        <w:rPr>
          <w:sz w:val="20"/>
          <w:szCs w:val="20"/>
          <w:lang w:val="pt-BR"/>
        </w:rPr>
        <w:t>1</w:t>
      </w:r>
      <w:r w:rsidRPr="00DD3B35">
        <w:rPr>
          <w:sz w:val="20"/>
          <w:szCs w:val="20"/>
          <w:lang w:val="pt-BR"/>
        </w:rPr>
        <w:t xml:space="preserve"> nov. 2025.</w:t>
      </w:r>
    </w:p>
    <w:p w14:paraId="6F0D8641" w14:textId="0BB312CF" w:rsidR="007020F9" w:rsidRDefault="007020F9" w:rsidP="007020F9">
      <w:pPr>
        <w:pStyle w:val="Corpodetexto"/>
        <w:numPr>
          <w:ilvl w:val="0"/>
          <w:numId w:val="5"/>
        </w:numPr>
        <w:spacing w:line="360" w:lineRule="auto"/>
        <w:ind w:right="140"/>
        <w:rPr>
          <w:sz w:val="20"/>
          <w:szCs w:val="20"/>
          <w:lang w:val="pt-BR"/>
        </w:rPr>
      </w:pPr>
      <w:r w:rsidRPr="00DD3B35">
        <w:rPr>
          <w:sz w:val="20"/>
          <w:szCs w:val="20"/>
          <w:lang w:val="pt-BR"/>
        </w:rPr>
        <w:t xml:space="preserve">CONFEDERAÇÃO DA AGRICULTURA E PECUÁRIA DO BRASIL (CNA). PIB do </w:t>
      </w:r>
      <w:r w:rsidRPr="00DD3B35">
        <w:rPr>
          <w:sz w:val="20"/>
          <w:szCs w:val="20"/>
          <w:lang w:val="pt-BR"/>
        </w:rPr>
        <w:lastRenderedPageBreak/>
        <w:t xml:space="preserve">agronegócio fecha 2024 com crescimento de 1,81%. Brasília: CNA, 2024. Disponível em: </w:t>
      </w:r>
      <w:hyperlink r:id="rId13" w:anchor=":~:text=PIB%20do%20agroneg%C3%B3cio%20fecha%202024,e%20Pecu%C3%A1ria%20do%20Brasil%20(CNA)" w:history="1">
        <w:r w:rsidRPr="00DD3B35">
          <w:rPr>
            <w:rStyle w:val="Hyperlink"/>
            <w:sz w:val="20"/>
            <w:szCs w:val="20"/>
            <w:lang w:val="pt-BR"/>
          </w:rPr>
          <w:t>https://www.cnabrasil.org.br/noticias/pib-do-agronegocio-fecha-2024-com-crescimento-de-1-81</w:t>
        </w:r>
      </w:hyperlink>
      <w:r w:rsidRPr="00DD3B35">
        <w:rPr>
          <w:sz w:val="20"/>
          <w:szCs w:val="20"/>
          <w:lang w:val="pt-BR"/>
        </w:rPr>
        <w:t>. Acesso em: 03 nov. 2025.</w:t>
      </w:r>
    </w:p>
    <w:p w14:paraId="0EB79201" w14:textId="21165DB8" w:rsidR="003D0B8D" w:rsidRPr="003D0B8D" w:rsidRDefault="003D0B8D" w:rsidP="003D0B8D">
      <w:pPr>
        <w:pStyle w:val="Corpodetexto"/>
        <w:numPr>
          <w:ilvl w:val="0"/>
          <w:numId w:val="5"/>
        </w:numPr>
        <w:spacing w:line="360" w:lineRule="auto"/>
        <w:ind w:right="140"/>
        <w:rPr>
          <w:sz w:val="20"/>
          <w:szCs w:val="20"/>
          <w:lang w:val="pt-BR"/>
        </w:rPr>
      </w:pPr>
      <w:r w:rsidRPr="003D0B8D">
        <w:rPr>
          <w:sz w:val="20"/>
          <w:szCs w:val="20"/>
          <w:lang w:val="pt-BR"/>
        </w:rPr>
        <w:t xml:space="preserve">EMBRAPA. Sistemas de produção de gado de corte no Cerrado. Planaltina: Embrapa Cerrados, 2020.Disponível em: </w:t>
      </w:r>
      <w:hyperlink r:id="rId14" w:history="1">
        <w:r w:rsidRPr="003D0B8D">
          <w:rPr>
            <w:rStyle w:val="Hyperlink"/>
            <w:sz w:val="20"/>
            <w:szCs w:val="20"/>
            <w:lang w:val="pt-BR"/>
          </w:rPr>
          <w:t>Desafios da Pecuária de Corte a Pasto na Região do Cerrado.</w:t>
        </w:r>
      </w:hyperlink>
      <w:r>
        <w:rPr>
          <w:sz w:val="20"/>
          <w:szCs w:val="20"/>
          <w:lang w:val="pt-BR"/>
        </w:rPr>
        <w:t>.</w:t>
      </w:r>
      <w:r w:rsidRPr="003D0B8D">
        <w:rPr>
          <w:sz w:val="20"/>
          <w:szCs w:val="20"/>
          <w:lang w:val="pt-BR"/>
        </w:rPr>
        <w:t xml:space="preserve"> (Documento dentro da série “Sistemas de Produção”)</w:t>
      </w:r>
      <w:r>
        <w:rPr>
          <w:sz w:val="20"/>
          <w:szCs w:val="20"/>
          <w:lang w:val="pt-BR"/>
        </w:rPr>
        <w:t xml:space="preserve">. </w:t>
      </w:r>
      <w:r w:rsidRPr="003D0B8D">
        <w:rPr>
          <w:sz w:val="20"/>
          <w:szCs w:val="20"/>
          <w:lang w:val="pt-BR"/>
        </w:rPr>
        <w:t>Acesso em: 28 nov. 2025.</w:t>
      </w:r>
    </w:p>
    <w:p w14:paraId="73CF3412" w14:textId="7B0141CA" w:rsidR="007020F9" w:rsidRPr="00DD3B35" w:rsidRDefault="007020F9" w:rsidP="007020F9">
      <w:pPr>
        <w:pStyle w:val="Corpodetexto"/>
        <w:numPr>
          <w:ilvl w:val="0"/>
          <w:numId w:val="5"/>
        </w:numPr>
        <w:spacing w:line="360" w:lineRule="auto"/>
        <w:ind w:right="140"/>
        <w:rPr>
          <w:sz w:val="20"/>
          <w:szCs w:val="20"/>
          <w:lang w:val="pt-BR"/>
        </w:rPr>
      </w:pPr>
      <w:r w:rsidRPr="00DD3B35">
        <w:rPr>
          <w:sz w:val="20"/>
          <w:szCs w:val="20"/>
          <w:lang w:val="pt-BR"/>
        </w:rPr>
        <w:t xml:space="preserve">EMPRESA BRASILEIRA DE PESQUISA AGROPECUÁRIA (EMBRAPA). Análises para tomada de decisão estratégica de ativos inseridos no setor agropecuário brasileiro. Brasília: EMBRAPA, 2024. Disponível em: </w:t>
      </w:r>
      <w:hyperlink r:id="rId15" w:tgtFrame="_new" w:history="1">
        <w:r w:rsidRPr="00DD3B35">
          <w:rPr>
            <w:rStyle w:val="Hyperlink"/>
            <w:sz w:val="20"/>
            <w:szCs w:val="20"/>
            <w:lang w:val="pt-BR"/>
          </w:rPr>
          <w:t>https://www.embrapa.br</w:t>
        </w:r>
      </w:hyperlink>
      <w:r w:rsidRPr="00DD3B35">
        <w:rPr>
          <w:sz w:val="20"/>
          <w:szCs w:val="20"/>
          <w:lang w:val="pt-BR"/>
        </w:rPr>
        <w:t xml:space="preserve">. Acesso em: </w:t>
      </w:r>
      <w:r w:rsidR="007A4B00" w:rsidRPr="00DD3B35">
        <w:rPr>
          <w:sz w:val="20"/>
          <w:szCs w:val="20"/>
          <w:lang w:val="pt-BR"/>
        </w:rPr>
        <w:t>10</w:t>
      </w:r>
      <w:r w:rsidRPr="00DD3B35">
        <w:rPr>
          <w:sz w:val="20"/>
          <w:szCs w:val="20"/>
          <w:lang w:val="pt-BR"/>
        </w:rPr>
        <w:t xml:space="preserve"> out. 2025.</w:t>
      </w:r>
    </w:p>
    <w:p w14:paraId="75B1481E" w14:textId="3D985060" w:rsidR="00823531" w:rsidRPr="00DD3B35" w:rsidRDefault="00823531" w:rsidP="00823531">
      <w:pPr>
        <w:pStyle w:val="Corpodetexto"/>
        <w:numPr>
          <w:ilvl w:val="0"/>
          <w:numId w:val="5"/>
        </w:numPr>
        <w:spacing w:line="360" w:lineRule="auto"/>
        <w:ind w:right="140"/>
        <w:rPr>
          <w:sz w:val="20"/>
          <w:szCs w:val="20"/>
          <w:lang w:val="pt-BR"/>
        </w:rPr>
      </w:pPr>
      <w:r w:rsidRPr="00DD3B35">
        <w:rPr>
          <w:sz w:val="20"/>
          <w:szCs w:val="20"/>
        </w:rPr>
        <w:t xml:space="preserve">EMBRAPA. Análises para tomada de decisão estratégica de ativos inseridos no setor agropecuário brasileiro: método de monitoramento da adoção de ativos da Embrapa. Brasília: Embrapa, 2024. Disponível em: </w:t>
      </w:r>
      <w:r w:rsidR="005E10BF">
        <w:rPr>
          <w:sz w:val="20"/>
          <w:szCs w:val="20"/>
        </w:rPr>
        <w:fldChar w:fldCharType="begin"/>
      </w:r>
      <w:r w:rsidR="005E10BF">
        <w:rPr>
          <w:sz w:val="20"/>
          <w:szCs w:val="20"/>
        </w:rPr>
        <w:instrText>HYPERLINK "</w:instrText>
      </w:r>
      <w:r w:rsidR="005E10BF" w:rsidRPr="00DD3B35">
        <w:rPr>
          <w:sz w:val="20"/>
          <w:szCs w:val="20"/>
        </w:rPr>
        <w:instrText>https://www.infoteca.cnptia.embrapa.br/infoteca/bitstream/doc/1164390/1/Serie- Documentos-01-Analises-para-tomada-de-decisao.pdf</w:instrText>
      </w:r>
      <w:r w:rsidR="005E10BF">
        <w:rPr>
          <w:sz w:val="20"/>
          <w:szCs w:val="20"/>
        </w:rPr>
        <w:instrText>"</w:instrText>
      </w:r>
      <w:r w:rsidR="005E10BF">
        <w:rPr>
          <w:sz w:val="20"/>
          <w:szCs w:val="20"/>
        </w:rPr>
        <w:fldChar w:fldCharType="separate"/>
      </w:r>
      <w:r w:rsidR="005E10BF" w:rsidRPr="00853AD4">
        <w:rPr>
          <w:rStyle w:val="Hyperlink"/>
          <w:sz w:val="20"/>
          <w:szCs w:val="20"/>
        </w:rPr>
        <w:t>https://www.infoteca.cnptia.embrapa.br/infoteca/bitstream/doc/1164390/1/Serie- Documentos-01-Analises-para-tomada-de-decisao.pdf</w:t>
      </w:r>
      <w:r w:rsidR="005E10BF">
        <w:rPr>
          <w:sz w:val="20"/>
          <w:szCs w:val="20"/>
        </w:rPr>
        <w:fldChar w:fldCharType="end"/>
      </w:r>
      <w:r w:rsidR="005E10BF">
        <w:rPr>
          <w:sz w:val="20"/>
          <w:szCs w:val="20"/>
        </w:rPr>
        <w:t xml:space="preserve"> </w:t>
      </w:r>
      <w:r w:rsidRPr="00DD3B35">
        <w:rPr>
          <w:sz w:val="20"/>
          <w:szCs w:val="20"/>
        </w:rPr>
        <w:t xml:space="preserve">. Acesso em: 20 </w:t>
      </w:r>
      <w:r w:rsidR="007A4B00" w:rsidRPr="00DD3B35">
        <w:rPr>
          <w:sz w:val="20"/>
          <w:szCs w:val="20"/>
        </w:rPr>
        <w:t>out.</w:t>
      </w:r>
      <w:r w:rsidRPr="00DD3B35">
        <w:rPr>
          <w:sz w:val="20"/>
          <w:szCs w:val="20"/>
        </w:rPr>
        <w:t xml:space="preserve"> 2025.</w:t>
      </w:r>
    </w:p>
    <w:p w14:paraId="01E39569" w14:textId="6EB030BA" w:rsidR="003E301E" w:rsidRDefault="003E301E" w:rsidP="00823531">
      <w:pPr>
        <w:pStyle w:val="Corpodetexto"/>
        <w:numPr>
          <w:ilvl w:val="0"/>
          <w:numId w:val="5"/>
        </w:numPr>
        <w:spacing w:line="360" w:lineRule="auto"/>
        <w:ind w:right="140"/>
        <w:rPr>
          <w:sz w:val="20"/>
          <w:szCs w:val="20"/>
          <w:lang w:val="pt-BR"/>
        </w:rPr>
      </w:pPr>
      <w:r w:rsidRPr="00DD3B35">
        <w:rPr>
          <w:sz w:val="20"/>
          <w:szCs w:val="20"/>
          <w:lang w:val="pt-BR"/>
        </w:rPr>
        <w:t>EMBRAPA. Sistemas de Produção de Soja – Tecnologias de Produção de Soja (diversas edições, incluindo 2020). Embrapa Soja. Acesso: 19 nov. 2025</w:t>
      </w:r>
    </w:p>
    <w:p w14:paraId="10F7E448" w14:textId="23B8023F" w:rsidR="003D0B8D" w:rsidRPr="003D0B8D" w:rsidRDefault="003D0B8D" w:rsidP="003D0B8D">
      <w:pPr>
        <w:pStyle w:val="Corpodetexto"/>
        <w:numPr>
          <w:ilvl w:val="0"/>
          <w:numId w:val="5"/>
        </w:numPr>
        <w:spacing w:line="360" w:lineRule="auto"/>
        <w:ind w:right="140"/>
        <w:rPr>
          <w:sz w:val="20"/>
          <w:szCs w:val="20"/>
          <w:lang w:val="pt-BR"/>
        </w:rPr>
      </w:pPr>
      <w:r w:rsidRPr="003D0B8D">
        <w:rPr>
          <w:sz w:val="20"/>
          <w:szCs w:val="20"/>
          <w:lang w:val="pt-BR"/>
        </w:rPr>
        <w:t xml:space="preserve">EMBRAPA. Avaliação da resposta de cultivares de </w:t>
      </w:r>
      <w:proofErr w:type="spellStart"/>
      <w:r w:rsidRPr="003D0B8D">
        <w:rPr>
          <w:sz w:val="20"/>
          <w:szCs w:val="20"/>
          <w:lang w:val="pt-BR"/>
        </w:rPr>
        <w:t>Brachiaria</w:t>
      </w:r>
      <w:proofErr w:type="spellEnd"/>
      <w:r w:rsidRPr="003D0B8D">
        <w:rPr>
          <w:sz w:val="20"/>
          <w:szCs w:val="20"/>
          <w:lang w:val="pt-BR"/>
        </w:rPr>
        <w:t xml:space="preserve"> </w:t>
      </w:r>
      <w:proofErr w:type="spellStart"/>
      <w:r w:rsidRPr="003D0B8D">
        <w:rPr>
          <w:sz w:val="20"/>
          <w:szCs w:val="20"/>
          <w:lang w:val="pt-BR"/>
        </w:rPr>
        <w:t>brizantha</w:t>
      </w:r>
      <w:proofErr w:type="spellEnd"/>
      <w:r w:rsidRPr="003D0B8D">
        <w:rPr>
          <w:sz w:val="20"/>
          <w:szCs w:val="20"/>
          <w:lang w:val="pt-BR"/>
        </w:rPr>
        <w:t xml:space="preserve"> a inoculação com bactérias </w:t>
      </w:r>
      <w:proofErr w:type="spellStart"/>
      <w:r w:rsidRPr="003D0B8D">
        <w:rPr>
          <w:sz w:val="20"/>
          <w:szCs w:val="20"/>
          <w:lang w:val="pt-BR"/>
        </w:rPr>
        <w:t>diazotróficas</w:t>
      </w:r>
      <w:proofErr w:type="spellEnd"/>
      <w:r w:rsidRPr="003D0B8D">
        <w:rPr>
          <w:sz w:val="20"/>
          <w:szCs w:val="20"/>
          <w:lang w:val="pt-BR"/>
        </w:rPr>
        <w:t xml:space="preserve"> para caracteres de produção de forragem e valor nutritivo., 2021. Disponível em: </w:t>
      </w:r>
      <w:hyperlink r:id="rId16" w:history="1">
        <w:r w:rsidRPr="00853AD4">
          <w:rPr>
            <w:rStyle w:val="Hyperlink"/>
            <w:sz w:val="20"/>
            <w:szCs w:val="20"/>
            <w:lang w:val="pt-BR"/>
          </w:rPr>
          <w:t>https://www.infoteca.cnptia.embrapa.br/infoteca/bitstream/doc/1134835/1/BP48-Final-em-alta.pdf</w:t>
        </w:r>
      </w:hyperlink>
      <w:r>
        <w:rPr>
          <w:sz w:val="20"/>
          <w:szCs w:val="20"/>
          <w:lang w:val="pt-BR"/>
        </w:rPr>
        <w:t xml:space="preserve">. </w:t>
      </w:r>
      <w:r w:rsidRPr="003D0B8D">
        <w:rPr>
          <w:sz w:val="20"/>
          <w:szCs w:val="20"/>
          <w:lang w:val="pt-BR"/>
        </w:rPr>
        <w:t xml:space="preserve">Acesso em: </w:t>
      </w:r>
      <w:r>
        <w:rPr>
          <w:sz w:val="20"/>
          <w:szCs w:val="20"/>
          <w:lang w:val="pt-BR"/>
        </w:rPr>
        <w:t>26</w:t>
      </w:r>
      <w:r w:rsidRPr="003D0B8D">
        <w:rPr>
          <w:sz w:val="20"/>
          <w:szCs w:val="20"/>
          <w:lang w:val="pt-BR"/>
        </w:rPr>
        <w:t xml:space="preserve"> nov. 2025.</w:t>
      </w:r>
    </w:p>
    <w:p w14:paraId="54EC0756" w14:textId="35E6E40F" w:rsidR="003E301E" w:rsidRPr="00DD3B35" w:rsidRDefault="003E301E" w:rsidP="00823531">
      <w:pPr>
        <w:pStyle w:val="Corpodetexto"/>
        <w:numPr>
          <w:ilvl w:val="0"/>
          <w:numId w:val="5"/>
        </w:numPr>
        <w:spacing w:line="360" w:lineRule="auto"/>
        <w:ind w:right="140"/>
        <w:rPr>
          <w:sz w:val="20"/>
          <w:szCs w:val="20"/>
          <w:lang w:val="pt-BR"/>
        </w:rPr>
      </w:pPr>
      <w:r w:rsidRPr="00DD3B35">
        <w:rPr>
          <w:sz w:val="20"/>
          <w:szCs w:val="20"/>
          <w:lang w:val="pt-BR"/>
        </w:rPr>
        <w:t>EUCLIDES FILHO, K. Cria, recria e engorda: conceitos e aplicações na pecuária de corte brasileira. Campo Grande: Embrapa Gado de Corte, 2004. Acesso: 19 nov. 2025</w:t>
      </w:r>
    </w:p>
    <w:p w14:paraId="064B79F7" w14:textId="6C5576A0" w:rsidR="00AB3532" w:rsidRPr="00DD3B35" w:rsidRDefault="00AB3532" w:rsidP="00AB3532">
      <w:pPr>
        <w:pStyle w:val="Corpodetexto"/>
        <w:numPr>
          <w:ilvl w:val="0"/>
          <w:numId w:val="5"/>
        </w:numPr>
        <w:spacing w:line="360" w:lineRule="auto"/>
        <w:ind w:right="140"/>
        <w:rPr>
          <w:sz w:val="20"/>
          <w:szCs w:val="20"/>
          <w:lang w:val="pt-BR"/>
        </w:rPr>
      </w:pPr>
      <w:r w:rsidRPr="00DD3B35">
        <w:rPr>
          <w:sz w:val="20"/>
          <w:szCs w:val="20"/>
          <w:lang w:val="pt-BR"/>
        </w:rPr>
        <w:t>GOVERNO DO ESTADO DE GOIÁS. Goiás bate recorde em produção e produtividade de soja na safra 2024/25. Goiânia</w:t>
      </w:r>
      <w:r w:rsidR="007B712D">
        <w:rPr>
          <w:sz w:val="20"/>
          <w:szCs w:val="20"/>
          <w:lang w:val="pt-BR"/>
        </w:rPr>
        <w:t xml:space="preserve">, </w:t>
      </w:r>
      <w:proofErr w:type="spellStart"/>
      <w:r w:rsidRPr="00DD3B35">
        <w:rPr>
          <w:sz w:val="20"/>
          <w:szCs w:val="20"/>
          <w:lang w:val="pt-BR"/>
        </w:rPr>
        <w:t>Seapa</w:t>
      </w:r>
      <w:proofErr w:type="spellEnd"/>
      <w:r w:rsidRPr="00DD3B35">
        <w:rPr>
          <w:sz w:val="20"/>
          <w:szCs w:val="20"/>
          <w:lang w:val="pt-BR"/>
        </w:rPr>
        <w:t xml:space="preserve">, 2024. Disponível em: https://goias.gov.br/agricultura/goias-bate-recorde-em-producao-e-produtividade-de-soja-na-safra-2024-25/. Acesso em: </w:t>
      </w:r>
      <w:r w:rsidR="007A4B00" w:rsidRPr="00DD3B35">
        <w:rPr>
          <w:sz w:val="20"/>
          <w:szCs w:val="20"/>
          <w:lang w:val="pt-BR"/>
        </w:rPr>
        <w:t>10</w:t>
      </w:r>
      <w:r w:rsidRPr="00DD3B35">
        <w:rPr>
          <w:sz w:val="20"/>
          <w:szCs w:val="20"/>
          <w:lang w:val="pt-BR"/>
        </w:rPr>
        <w:t xml:space="preserve"> </w:t>
      </w:r>
      <w:r w:rsidR="007A4B00" w:rsidRPr="00DD3B35">
        <w:rPr>
          <w:sz w:val="20"/>
          <w:szCs w:val="20"/>
          <w:lang w:val="pt-BR"/>
        </w:rPr>
        <w:t>set</w:t>
      </w:r>
      <w:r w:rsidRPr="00DD3B35">
        <w:rPr>
          <w:sz w:val="20"/>
          <w:szCs w:val="20"/>
          <w:lang w:val="pt-BR"/>
        </w:rPr>
        <w:t>. 2025.</w:t>
      </w:r>
    </w:p>
    <w:p w14:paraId="48767CCF" w14:textId="4E979F42" w:rsidR="0035641D" w:rsidRPr="007B712D" w:rsidRDefault="0035641D" w:rsidP="007B712D">
      <w:pPr>
        <w:pStyle w:val="Corpodetexto"/>
        <w:numPr>
          <w:ilvl w:val="0"/>
          <w:numId w:val="5"/>
        </w:numPr>
        <w:spacing w:line="360" w:lineRule="auto"/>
        <w:ind w:right="140"/>
        <w:rPr>
          <w:sz w:val="20"/>
          <w:szCs w:val="20"/>
          <w:lang w:val="pt-BR"/>
        </w:rPr>
      </w:pPr>
      <w:r w:rsidRPr="00DD3B35">
        <w:rPr>
          <w:sz w:val="20"/>
          <w:szCs w:val="20"/>
          <w:lang w:val="pt-BR"/>
        </w:rPr>
        <w:t xml:space="preserve">LIRA, A. C. Q.; SILVA, A. E. S. Estudo de viabilidade econômico-financeira aplicado a um projeto de investimento. RECIMA21 – Revista Científica Multidisciplinar, v. 6, n. 1, 2025. Disponível em: </w:t>
      </w:r>
      <w:hyperlink r:id="rId17" w:history="1">
        <w:r w:rsidR="007B712D" w:rsidRPr="00853AD4">
          <w:rPr>
            <w:rStyle w:val="Hyperlink"/>
            <w:sz w:val="20"/>
            <w:szCs w:val="20"/>
            <w:lang w:val="pt-BR"/>
          </w:rPr>
          <w:t>https://www.researchgate.net/publication/389361318</w:t>
        </w:r>
      </w:hyperlink>
      <w:r w:rsidR="007B712D">
        <w:rPr>
          <w:sz w:val="20"/>
          <w:szCs w:val="20"/>
          <w:lang w:val="pt-BR"/>
        </w:rPr>
        <w:t xml:space="preserve"> </w:t>
      </w:r>
      <w:r w:rsidRPr="007B712D">
        <w:rPr>
          <w:sz w:val="20"/>
          <w:szCs w:val="20"/>
          <w:lang w:val="pt-BR"/>
        </w:rPr>
        <w:t>.Acesso em: 20 out. 2025.</w:t>
      </w:r>
    </w:p>
    <w:p w14:paraId="35B59F9C" w14:textId="6CCA49E4" w:rsidR="003D0B8D" w:rsidRPr="003D0B8D" w:rsidRDefault="003D0B8D" w:rsidP="003D0B8D">
      <w:pPr>
        <w:pStyle w:val="Corpodetexto"/>
        <w:numPr>
          <w:ilvl w:val="0"/>
          <w:numId w:val="5"/>
        </w:numPr>
        <w:spacing w:line="360" w:lineRule="auto"/>
        <w:ind w:right="140"/>
        <w:rPr>
          <w:sz w:val="20"/>
          <w:szCs w:val="20"/>
          <w:lang w:val="pt-BR"/>
        </w:rPr>
      </w:pPr>
      <w:r w:rsidRPr="003D0B8D">
        <w:rPr>
          <w:sz w:val="20"/>
          <w:szCs w:val="20"/>
          <w:lang w:val="pt-BR"/>
        </w:rPr>
        <w:t xml:space="preserve">MAPA – Ministério da Agricultura, Pecuária e Abastecimento. Estatísticas da Pecuária Brasileira. Brasília, 2023.Disponível em: </w:t>
      </w:r>
      <w:hyperlink r:id="rId18" w:history="1">
        <w:r w:rsidRPr="00853AD4">
          <w:rPr>
            <w:rStyle w:val="Hyperlink"/>
            <w:sz w:val="20"/>
            <w:szCs w:val="20"/>
            <w:lang w:val="pt-BR"/>
          </w:rPr>
          <w:t>https://www.gov.br/agricultura/pt-br</w:t>
        </w:r>
      </w:hyperlink>
      <w:r>
        <w:rPr>
          <w:sz w:val="20"/>
          <w:szCs w:val="20"/>
          <w:lang w:val="pt-BR"/>
        </w:rPr>
        <w:t xml:space="preserve">. </w:t>
      </w:r>
      <w:r w:rsidRPr="003D0B8D">
        <w:rPr>
          <w:sz w:val="20"/>
          <w:szCs w:val="20"/>
          <w:lang w:val="pt-BR"/>
        </w:rPr>
        <w:t>Acesso em: 28 nov. 2025.</w:t>
      </w:r>
    </w:p>
    <w:p w14:paraId="209C1AEE" w14:textId="0C3050C7" w:rsidR="003D0B8D" w:rsidRPr="003D0B8D" w:rsidRDefault="003D0B8D" w:rsidP="003D0B8D">
      <w:pPr>
        <w:pStyle w:val="Corpodetexto"/>
        <w:numPr>
          <w:ilvl w:val="0"/>
          <w:numId w:val="5"/>
        </w:numPr>
        <w:spacing w:line="360" w:lineRule="auto"/>
        <w:ind w:right="140"/>
        <w:rPr>
          <w:sz w:val="20"/>
          <w:szCs w:val="20"/>
          <w:lang w:val="pt-BR"/>
        </w:rPr>
      </w:pPr>
      <w:r w:rsidRPr="003D0B8D">
        <w:rPr>
          <w:sz w:val="20"/>
          <w:szCs w:val="20"/>
          <w:lang w:val="pt-BR"/>
        </w:rPr>
        <w:t xml:space="preserve">REHAGRO. Garantindo margem de lucro na pecuária de corte. Belo Horizonte: </w:t>
      </w:r>
      <w:proofErr w:type="spellStart"/>
      <w:r w:rsidRPr="003D0B8D">
        <w:rPr>
          <w:sz w:val="20"/>
          <w:szCs w:val="20"/>
          <w:lang w:val="pt-BR"/>
        </w:rPr>
        <w:t>Rehagro</w:t>
      </w:r>
      <w:proofErr w:type="spellEnd"/>
      <w:r w:rsidRPr="003D0B8D">
        <w:rPr>
          <w:sz w:val="20"/>
          <w:szCs w:val="20"/>
          <w:lang w:val="pt-BR"/>
        </w:rPr>
        <w:t xml:space="preserve">, 2022. Disponível em: </w:t>
      </w:r>
      <w:hyperlink r:id="rId19" w:history="1">
        <w:r w:rsidRPr="00853AD4">
          <w:rPr>
            <w:rStyle w:val="Hyperlink"/>
            <w:sz w:val="20"/>
            <w:szCs w:val="20"/>
            <w:lang w:val="pt-BR"/>
          </w:rPr>
          <w:t>https://rehagro.com.br/blog/garantindo-margem-de-lucro-na-pecuaria-de-corte/</w:t>
        </w:r>
      </w:hyperlink>
      <w:r>
        <w:rPr>
          <w:sz w:val="20"/>
          <w:szCs w:val="20"/>
          <w:lang w:val="pt-BR"/>
        </w:rPr>
        <w:t>. Ac</w:t>
      </w:r>
      <w:r w:rsidRPr="003D0B8D">
        <w:rPr>
          <w:sz w:val="20"/>
          <w:szCs w:val="20"/>
          <w:lang w:val="pt-BR"/>
        </w:rPr>
        <w:t>esso em: 2</w:t>
      </w:r>
      <w:r>
        <w:rPr>
          <w:sz w:val="20"/>
          <w:szCs w:val="20"/>
          <w:lang w:val="pt-BR"/>
        </w:rPr>
        <w:t>1</w:t>
      </w:r>
      <w:r w:rsidRPr="003D0B8D">
        <w:rPr>
          <w:sz w:val="20"/>
          <w:szCs w:val="20"/>
          <w:lang w:val="pt-BR"/>
        </w:rPr>
        <w:t xml:space="preserve"> nov. 2025.</w:t>
      </w:r>
    </w:p>
    <w:p w14:paraId="63B6563C" w14:textId="6CBC663D" w:rsidR="004C5347" w:rsidRPr="00DD3B35" w:rsidRDefault="004C5347" w:rsidP="00B92A60">
      <w:pPr>
        <w:pStyle w:val="Corpodetexto"/>
        <w:numPr>
          <w:ilvl w:val="0"/>
          <w:numId w:val="5"/>
        </w:numPr>
        <w:spacing w:line="360" w:lineRule="auto"/>
        <w:ind w:right="140"/>
        <w:rPr>
          <w:sz w:val="20"/>
          <w:szCs w:val="20"/>
          <w:lang w:val="pt-BR"/>
        </w:rPr>
      </w:pPr>
      <w:r w:rsidRPr="00DD3B35">
        <w:rPr>
          <w:sz w:val="20"/>
          <w:szCs w:val="20"/>
          <w:lang w:val="pt-BR"/>
        </w:rPr>
        <w:t xml:space="preserve">SCOT CONSULTORIA. Indicadores de mercado pecuário – Goiás. São Paulo: Scot Consultoria, 2025. Disponível em: </w:t>
      </w:r>
      <w:hyperlink r:id="rId20" w:tgtFrame="_new" w:history="1">
        <w:r w:rsidRPr="00DD3B35">
          <w:rPr>
            <w:rStyle w:val="Hyperlink"/>
            <w:sz w:val="20"/>
            <w:szCs w:val="20"/>
            <w:lang w:val="pt-BR"/>
          </w:rPr>
          <w:t>https://www.scotconsultoria.com.br</w:t>
        </w:r>
      </w:hyperlink>
      <w:r w:rsidRPr="00DD3B35">
        <w:rPr>
          <w:sz w:val="20"/>
          <w:szCs w:val="20"/>
          <w:lang w:val="pt-BR"/>
        </w:rPr>
        <w:t>. Acesso em: 30 set. 2025.</w:t>
      </w:r>
    </w:p>
    <w:p w14:paraId="6517254B" w14:textId="23E59068" w:rsidR="004C5347" w:rsidRPr="00DD3B35" w:rsidRDefault="004C5347" w:rsidP="00B92A60">
      <w:pPr>
        <w:pStyle w:val="Corpodetexto"/>
        <w:numPr>
          <w:ilvl w:val="0"/>
          <w:numId w:val="5"/>
        </w:numPr>
        <w:spacing w:line="360" w:lineRule="auto"/>
        <w:ind w:right="140"/>
        <w:rPr>
          <w:sz w:val="20"/>
          <w:szCs w:val="20"/>
          <w:lang w:val="pt-BR"/>
        </w:rPr>
      </w:pPr>
      <w:r w:rsidRPr="00DD3B35">
        <w:rPr>
          <w:sz w:val="20"/>
          <w:szCs w:val="20"/>
          <w:lang w:val="pt-BR"/>
        </w:rPr>
        <w:t>SERVIÇO BRASILEIRO DE APOIO ÀS MICRO E PEQUENAS EMPRESAS (SEBRAE). Como saber se minha ideia de negócio é financeiramente viável? Brasília: SEBRAE, 2021. Disponível em:</w:t>
      </w:r>
      <w:hyperlink r:id="rId21" w:history="1">
        <w:r w:rsidR="003D0B8D" w:rsidRPr="00853AD4">
          <w:rPr>
            <w:rStyle w:val="Hyperlink"/>
            <w:sz w:val="20"/>
            <w:szCs w:val="20"/>
            <w:lang w:val="pt-BR"/>
          </w:rPr>
          <w:t>https://sebrae.ms/gestao-financeira/como-saber-se-minha-ideia-de-negocio-e-financeiramente-viavel/</w:t>
        </w:r>
      </w:hyperlink>
      <w:r w:rsidRPr="00DD3B35">
        <w:rPr>
          <w:sz w:val="20"/>
          <w:szCs w:val="20"/>
          <w:lang w:val="pt-BR"/>
        </w:rPr>
        <w:t>. Acesso em: 01 out. 2025.</w:t>
      </w:r>
    </w:p>
    <w:sectPr w:rsidR="004C5347" w:rsidRPr="00DD3B35" w:rsidSect="003042CB">
      <w:pgSz w:w="11906" w:h="16838"/>
      <w:pgMar w:top="1417" w:right="1701" w:bottom="1417" w:left="1701"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E02CA7" w14:textId="77777777" w:rsidR="0037381C" w:rsidRDefault="0037381C" w:rsidP="003C59CA">
      <w:pPr>
        <w:spacing w:after="0" w:line="240" w:lineRule="auto"/>
      </w:pPr>
      <w:r>
        <w:separator/>
      </w:r>
    </w:p>
  </w:endnote>
  <w:endnote w:type="continuationSeparator" w:id="0">
    <w:p w14:paraId="5B7F1178" w14:textId="77777777" w:rsidR="0037381C" w:rsidRDefault="0037381C" w:rsidP="003C59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592769" w14:textId="77777777" w:rsidR="0037381C" w:rsidRDefault="0037381C" w:rsidP="003C59CA">
      <w:pPr>
        <w:spacing w:after="0" w:line="240" w:lineRule="auto"/>
      </w:pPr>
      <w:r>
        <w:separator/>
      </w:r>
    </w:p>
  </w:footnote>
  <w:footnote w:type="continuationSeparator" w:id="0">
    <w:p w14:paraId="4763A1E4" w14:textId="77777777" w:rsidR="0037381C" w:rsidRDefault="0037381C" w:rsidP="003C59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1618399"/>
      <w:docPartObj>
        <w:docPartGallery w:val="Page Numbers (Top of Page)"/>
        <w:docPartUnique/>
      </w:docPartObj>
    </w:sdtPr>
    <w:sdtEndPr/>
    <w:sdtContent>
      <w:p w14:paraId="0909124A" w14:textId="64BAE9BE" w:rsidR="003042CB" w:rsidRDefault="003042CB">
        <w:pPr>
          <w:pStyle w:val="Cabealho"/>
          <w:jc w:val="right"/>
        </w:pPr>
        <w:r>
          <w:fldChar w:fldCharType="begin"/>
        </w:r>
        <w:r>
          <w:instrText>PAGE   \* MERGEFORMAT</w:instrText>
        </w:r>
        <w:r>
          <w:fldChar w:fldCharType="separate"/>
        </w:r>
        <w:r>
          <w:t>2</w:t>
        </w:r>
        <w:r>
          <w:fldChar w:fldCharType="end"/>
        </w:r>
      </w:p>
    </w:sdtContent>
  </w:sdt>
  <w:p w14:paraId="523E59E6" w14:textId="77777777" w:rsidR="003042CB" w:rsidRDefault="003042CB">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49595A" w14:textId="2A524B19" w:rsidR="003042CB" w:rsidRDefault="003042CB">
    <w:pPr>
      <w:pStyle w:val="Cabealho"/>
      <w:jc w:val="right"/>
    </w:pPr>
  </w:p>
  <w:p w14:paraId="6CC2044F" w14:textId="77777777" w:rsidR="003042CB" w:rsidRDefault="003042CB">
    <w:pPr>
      <w:pStyle w:val="Cabealho"/>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F2E71"/>
    <w:multiLevelType w:val="hybridMultilevel"/>
    <w:tmpl w:val="A6408088"/>
    <w:lvl w:ilvl="0" w:tplc="04160001">
      <w:start w:val="1"/>
      <w:numFmt w:val="bullet"/>
      <w:lvlText w:val=""/>
      <w:lvlJc w:val="left"/>
      <w:pPr>
        <w:ind w:left="1146" w:hanging="360"/>
      </w:pPr>
      <w:rPr>
        <w:rFonts w:ascii="Symbol" w:hAnsi="Symbol" w:hint="default"/>
      </w:rPr>
    </w:lvl>
    <w:lvl w:ilvl="1" w:tplc="04160003" w:tentative="1">
      <w:start w:val="1"/>
      <w:numFmt w:val="bullet"/>
      <w:lvlText w:val="o"/>
      <w:lvlJc w:val="left"/>
      <w:pPr>
        <w:ind w:left="1866" w:hanging="360"/>
      </w:pPr>
      <w:rPr>
        <w:rFonts w:ascii="Courier New" w:hAnsi="Courier New" w:cs="Courier New" w:hint="default"/>
      </w:rPr>
    </w:lvl>
    <w:lvl w:ilvl="2" w:tplc="04160005" w:tentative="1">
      <w:start w:val="1"/>
      <w:numFmt w:val="bullet"/>
      <w:lvlText w:val=""/>
      <w:lvlJc w:val="left"/>
      <w:pPr>
        <w:ind w:left="2586" w:hanging="360"/>
      </w:pPr>
      <w:rPr>
        <w:rFonts w:ascii="Wingdings" w:hAnsi="Wingdings" w:hint="default"/>
      </w:rPr>
    </w:lvl>
    <w:lvl w:ilvl="3" w:tplc="04160001" w:tentative="1">
      <w:start w:val="1"/>
      <w:numFmt w:val="bullet"/>
      <w:lvlText w:val=""/>
      <w:lvlJc w:val="left"/>
      <w:pPr>
        <w:ind w:left="3306" w:hanging="360"/>
      </w:pPr>
      <w:rPr>
        <w:rFonts w:ascii="Symbol" w:hAnsi="Symbol" w:hint="default"/>
      </w:rPr>
    </w:lvl>
    <w:lvl w:ilvl="4" w:tplc="04160003" w:tentative="1">
      <w:start w:val="1"/>
      <w:numFmt w:val="bullet"/>
      <w:lvlText w:val="o"/>
      <w:lvlJc w:val="left"/>
      <w:pPr>
        <w:ind w:left="4026" w:hanging="360"/>
      </w:pPr>
      <w:rPr>
        <w:rFonts w:ascii="Courier New" w:hAnsi="Courier New" w:cs="Courier New" w:hint="default"/>
      </w:rPr>
    </w:lvl>
    <w:lvl w:ilvl="5" w:tplc="04160005" w:tentative="1">
      <w:start w:val="1"/>
      <w:numFmt w:val="bullet"/>
      <w:lvlText w:val=""/>
      <w:lvlJc w:val="left"/>
      <w:pPr>
        <w:ind w:left="4746" w:hanging="360"/>
      </w:pPr>
      <w:rPr>
        <w:rFonts w:ascii="Wingdings" w:hAnsi="Wingdings" w:hint="default"/>
      </w:rPr>
    </w:lvl>
    <w:lvl w:ilvl="6" w:tplc="04160001" w:tentative="1">
      <w:start w:val="1"/>
      <w:numFmt w:val="bullet"/>
      <w:lvlText w:val=""/>
      <w:lvlJc w:val="left"/>
      <w:pPr>
        <w:ind w:left="5466" w:hanging="360"/>
      </w:pPr>
      <w:rPr>
        <w:rFonts w:ascii="Symbol" w:hAnsi="Symbol" w:hint="default"/>
      </w:rPr>
    </w:lvl>
    <w:lvl w:ilvl="7" w:tplc="04160003" w:tentative="1">
      <w:start w:val="1"/>
      <w:numFmt w:val="bullet"/>
      <w:lvlText w:val="o"/>
      <w:lvlJc w:val="left"/>
      <w:pPr>
        <w:ind w:left="6186" w:hanging="360"/>
      </w:pPr>
      <w:rPr>
        <w:rFonts w:ascii="Courier New" w:hAnsi="Courier New" w:cs="Courier New" w:hint="default"/>
      </w:rPr>
    </w:lvl>
    <w:lvl w:ilvl="8" w:tplc="04160005" w:tentative="1">
      <w:start w:val="1"/>
      <w:numFmt w:val="bullet"/>
      <w:lvlText w:val=""/>
      <w:lvlJc w:val="left"/>
      <w:pPr>
        <w:ind w:left="6906" w:hanging="360"/>
      </w:pPr>
      <w:rPr>
        <w:rFonts w:ascii="Wingdings" w:hAnsi="Wingdings" w:hint="default"/>
      </w:rPr>
    </w:lvl>
  </w:abstractNum>
  <w:abstractNum w:abstractNumId="1" w15:restartNumberingAfterBreak="0">
    <w:nsid w:val="1C0D4A7E"/>
    <w:multiLevelType w:val="hybridMultilevel"/>
    <w:tmpl w:val="99D6201C"/>
    <w:lvl w:ilvl="0" w:tplc="524CAF60">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1E722421"/>
    <w:multiLevelType w:val="hybridMultilevel"/>
    <w:tmpl w:val="37786598"/>
    <w:lvl w:ilvl="0" w:tplc="1750C24A">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2C2538E5"/>
    <w:multiLevelType w:val="hybridMultilevel"/>
    <w:tmpl w:val="BDA6FF5C"/>
    <w:lvl w:ilvl="0" w:tplc="0416000F">
      <w:start w:val="1"/>
      <w:numFmt w:val="decimal"/>
      <w:lvlText w:val="%1."/>
      <w:lvlJc w:val="left"/>
      <w:pPr>
        <w:ind w:left="861" w:hanging="360"/>
      </w:pPr>
    </w:lvl>
    <w:lvl w:ilvl="1" w:tplc="04160019" w:tentative="1">
      <w:start w:val="1"/>
      <w:numFmt w:val="lowerLetter"/>
      <w:lvlText w:val="%2."/>
      <w:lvlJc w:val="left"/>
      <w:pPr>
        <w:ind w:left="1581" w:hanging="360"/>
      </w:pPr>
    </w:lvl>
    <w:lvl w:ilvl="2" w:tplc="0416001B" w:tentative="1">
      <w:start w:val="1"/>
      <w:numFmt w:val="lowerRoman"/>
      <w:lvlText w:val="%3."/>
      <w:lvlJc w:val="right"/>
      <w:pPr>
        <w:ind w:left="2301" w:hanging="180"/>
      </w:pPr>
    </w:lvl>
    <w:lvl w:ilvl="3" w:tplc="0416000F" w:tentative="1">
      <w:start w:val="1"/>
      <w:numFmt w:val="decimal"/>
      <w:lvlText w:val="%4."/>
      <w:lvlJc w:val="left"/>
      <w:pPr>
        <w:ind w:left="3021" w:hanging="360"/>
      </w:pPr>
    </w:lvl>
    <w:lvl w:ilvl="4" w:tplc="04160019" w:tentative="1">
      <w:start w:val="1"/>
      <w:numFmt w:val="lowerLetter"/>
      <w:lvlText w:val="%5."/>
      <w:lvlJc w:val="left"/>
      <w:pPr>
        <w:ind w:left="3741" w:hanging="360"/>
      </w:pPr>
    </w:lvl>
    <w:lvl w:ilvl="5" w:tplc="0416001B" w:tentative="1">
      <w:start w:val="1"/>
      <w:numFmt w:val="lowerRoman"/>
      <w:lvlText w:val="%6."/>
      <w:lvlJc w:val="right"/>
      <w:pPr>
        <w:ind w:left="4461" w:hanging="180"/>
      </w:pPr>
    </w:lvl>
    <w:lvl w:ilvl="6" w:tplc="0416000F" w:tentative="1">
      <w:start w:val="1"/>
      <w:numFmt w:val="decimal"/>
      <w:lvlText w:val="%7."/>
      <w:lvlJc w:val="left"/>
      <w:pPr>
        <w:ind w:left="5181" w:hanging="360"/>
      </w:pPr>
    </w:lvl>
    <w:lvl w:ilvl="7" w:tplc="04160019" w:tentative="1">
      <w:start w:val="1"/>
      <w:numFmt w:val="lowerLetter"/>
      <w:lvlText w:val="%8."/>
      <w:lvlJc w:val="left"/>
      <w:pPr>
        <w:ind w:left="5901" w:hanging="360"/>
      </w:pPr>
    </w:lvl>
    <w:lvl w:ilvl="8" w:tplc="0416001B" w:tentative="1">
      <w:start w:val="1"/>
      <w:numFmt w:val="lowerRoman"/>
      <w:lvlText w:val="%9."/>
      <w:lvlJc w:val="right"/>
      <w:pPr>
        <w:ind w:left="6621" w:hanging="180"/>
      </w:pPr>
    </w:lvl>
  </w:abstractNum>
  <w:abstractNum w:abstractNumId="4" w15:restartNumberingAfterBreak="0">
    <w:nsid w:val="465E3DAF"/>
    <w:multiLevelType w:val="hybridMultilevel"/>
    <w:tmpl w:val="A93CF154"/>
    <w:lvl w:ilvl="0" w:tplc="8A3C82B2">
      <w:start w:val="1"/>
      <w:numFmt w:val="decimal"/>
      <w:lvlText w:val="%1."/>
      <w:lvlJc w:val="left"/>
      <w:pPr>
        <w:ind w:left="501" w:hanging="360"/>
      </w:pPr>
      <w:rPr>
        <w:rFonts w:hint="default"/>
      </w:rPr>
    </w:lvl>
    <w:lvl w:ilvl="1" w:tplc="04160019" w:tentative="1">
      <w:start w:val="1"/>
      <w:numFmt w:val="lowerLetter"/>
      <w:lvlText w:val="%2."/>
      <w:lvlJc w:val="left"/>
      <w:pPr>
        <w:ind w:left="1221" w:hanging="360"/>
      </w:pPr>
    </w:lvl>
    <w:lvl w:ilvl="2" w:tplc="0416001B" w:tentative="1">
      <w:start w:val="1"/>
      <w:numFmt w:val="lowerRoman"/>
      <w:lvlText w:val="%3."/>
      <w:lvlJc w:val="right"/>
      <w:pPr>
        <w:ind w:left="1941" w:hanging="180"/>
      </w:pPr>
    </w:lvl>
    <w:lvl w:ilvl="3" w:tplc="0416000F" w:tentative="1">
      <w:start w:val="1"/>
      <w:numFmt w:val="decimal"/>
      <w:lvlText w:val="%4."/>
      <w:lvlJc w:val="left"/>
      <w:pPr>
        <w:ind w:left="2661" w:hanging="360"/>
      </w:pPr>
    </w:lvl>
    <w:lvl w:ilvl="4" w:tplc="04160019" w:tentative="1">
      <w:start w:val="1"/>
      <w:numFmt w:val="lowerLetter"/>
      <w:lvlText w:val="%5."/>
      <w:lvlJc w:val="left"/>
      <w:pPr>
        <w:ind w:left="3381" w:hanging="360"/>
      </w:pPr>
    </w:lvl>
    <w:lvl w:ilvl="5" w:tplc="0416001B" w:tentative="1">
      <w:start w:val="1"/>
      <w:numFmt w:val="lowerRoman"/>
      <w:lvlText w:val="%6."/>
      <w:lvlJc w:val="right"/>
      <w:pPr>
        <w:ind w:left="4101" w:hanging="180"/>
      </w:pPr>
    </w:lvl>
    <w:lvl w:ilvl="6" w:tplc="0416000F" w:tentative="1">
      <w:start w:val="1"/>
      <w:numFmt w:val="decimal"/>
      <w:lvlText w:val="%7."/>
      <w:lvlJc w:val="left"/>
      <w:pPr>
        <w:ind w:left="4821" w:hanging="360"/>
      </w:pPr>
    </w:lvl>
    <w:lvl w:ilvl="7" w:tplc="04160019" w:tentative="1">
      <w:start w:val="1"/>
      <w:numFmt w:val="lowerLetter"/>
      <w:lvlText w:val="%8."/>
      <w:lvlJc w:val="left"/>
      <w:pPr>
        <w:ind w:left="5541" w:hanging="360"/>
      </w:pPr>
    </w:lvl>
    <w:lvl w:ilvl="8" w:tplc="0416001B" w:tentative="1">
      <w:start w:val="1"/>
      <w:numFmt w:val="lowerRoman"/>
      <w:lvlText w:val="%9."/>
      <w:lvlJc w:val="right"/>
      <w:pPr>
        <w:ind w:left="6261" w:hanging="180"/>
      </w:pPr>
    </w:lvl>
  </w:abstractNum>
  <w:abstractNum w:abstractNumId="5" w15:restartNumberingAfterBreak="0">
    <w:nsid w:val="6FEB607E"/>
    <w:multiLevelType w:val="hybridMultilevel"/>
    <w:tmpl w:val="4218E490"/>
    <w:lvl w:ilvl="0" w:tplc="8772BFB6">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1"/>
  </w:num>
  <w:num w:numId="2">
    <w:abstractNumId w:val="2"/>
  </w:num>
  <w:num w:numId="3">
    <w:abstractNumId w:val="5"/>
  </w:num>
  <w:num w:numId="4">
    <w:abstractNumId w:val="3"/>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172A"/>
    <w:rsid w:val="00024681"/>
    <w:rsid w:val="00036E33"/>
    <w:rsid w:val="000608DE"/>
    <w:rsid w:val="00073DF0"/>
    <w:rsid w:val="0008564F"/>
    <w:rsid w:val="00094B5E"/>
    <w:rsid w:val="00096C56"/>
    <w:rsid w:val="000A1E3E"/>
    <w:rsid w:val="000A5E6C"/>
    <w:rsid w:val="000A6E48"/>
    <w:rsid w:val="000B1D58"/>
    <w:rsid w:val="000C7B2E"/>
    <w:rsid w:val="0013751B"/>
    <w:rsid w:val="001431D2"/>
    <w:rsid w:val="0016163C"/>
    <w:rsid w:val="00163941"/>
    <w:rsid w:val="00173C6B"/>
    <w:rsid w:val="00175D9E"/>
    <w:rsid w:val="0017667B"/>
    <w:rsid w:val="00193B7E"/>
    <w:rsid w:val="001A35B3"/>
    <w:rsid w:val="001A67FE"/>
    <w:rsid w:val="0022753C"/>
    <w:rsid w:val="00243AE8"/>
    <w:rsid w:val="00247759"/>
    <w:rsid w:val="0027534A"/>
    <w:rsid w:val="002B1E20"/>
    <w:rsid w:val="002B52EC"/>
    <w:rsid w:val="003042CB"/>
    <w:rsid w:val="0035641D"/>
    <w:rsid w:val="003707C3"/>
    <w:rsid w:val="00372294"/>
    <w:rsid w:val="00372798"/>
    <w:rsid w:val="0037381C"/>
    <w:rsid w:val="00387FFE"/>
    <w:rsid w:val="00392671"/>
    <w:rsid w:val="003A172A"/>
    <w:rsid w:val="003B7376"/>
    <w:rsid w:val="003C59CA"/>
    <w:rsid w:val="003C7385"/>
    <w:rsid w:val="003D0B8D"/>
    <w:rsid w:val="003E301E"/>
    <w:rsid w:val="003E51E1"/>
    <w:rsid w:val="003F264A"/>
    <w:rsid w:val="00407893"/>
    <w:rsid w:val="00456E5D"/>
    <w:rsid w:val="0047669A"/>
    <w:rsid w:val="00477C12"/>
    <w:rsid w:val="00482187"/>
    <w:rsid w:val="004A3D0E"/>
    <w:rsid w:val="004B49CE"/>
    <w:rsid w:val="004B4B55"/>
    <w:rsid w:val="004C5347"/>
    <w:rsid w:val="004E5C45"/>
    <w:rsid w:val="004F2465"/>
    <w:rsid w:val="0059182E"/>
    <w:rsid w:val="00591F57"/>
    <w:rsid w:val="005A5AB4"/>
    <w:rsid w:val="005C3B38"/>
    <w:rsid w:val="005E10BF"/>
    <w:rsid w:val="005E2638"/>
    <w:rsid w:val="006548B1"/>
    <w:rsid w:val="006553A6"/>
    <w:rsid w:val="006826D0"/>
    <w:rsid w:val="00687369"/>
    <w:rsid w:val="006A2B75"/>
    <w:rsid w:val="006A7310"/>
    <w:rsid w:val="006B21B2"/>
    <w:rsid w:val="007020F9"/>
    <w:rsid w:val="0071426C"/>
    <w:rsid w:val="0074735E"/>
    <w:rsid w:val="00751B41"/>
    <w:rsid w:val="00770BE9"/>
    <w:rsid w:val="00772F02"/>
    <w:rsid w:val="007A16AA"/>
    <w:rsid w:val="007A4B00"/>
    <w:rsid w:val="007B383C"/>
    <w:rsid w:val="007B712D"/>
    <w:rsid w:val="007E06C3"/>
    <w:rsid w:val="007E4C6C"/>
    <w:rsid w:val="007F5AAA"/>
    <w:rsid w:val="00815DCF"/>
    <w:rsid w:val="00816E6F"/>
    <w:rsid w:val="00823531"/>
    <w:rsid w:val="00846132"/>
    <w:rsid w:val="00860EC1"/>
    <w:rsid w:val="00866C7D"/>
    <w:rsid w:val="008A1C79"/>
    <w:rsid w:val="008C5876"/>
    <w:rsid w:val="009B149A"/>
    <w:rsid w:val="009B22B9"/>
    <w:rsid w:val="009C696C"/>
    <w:rsid w:val="00A06EA6"/>
    <w:rsid w:val="00A17C34"/>
    <w:rsid w:val="00A30A5F"/>
    <w:rsid w:val="00A479C3"/>
    <w:rsid w:val="00A659FF"/>
    <w:rsid w:val="00A8299D"/>
    <w:rsid w:val="00AB1D4B"/>
    <w:rsid w:val="00AB3532"/>
    <w:rsid w:val="00B00078"/>
    <w:rsid w:val="00B106C0"/>
    <w:rsid w:val="00B13D89"/>
    <w:rsid w:val="00B20D4C"/>
    <w:rsid w:val="00B8403D"/>
    <w:rsid w:val="00B92A60"/>
    <w:rsid w:val="00BA6C6B"/>
    <w:rsid w:val="00C02ECE"/>
    <w:rsid w:val="00C23D2C"/>
    <w:rsid w:val="00C77FB9"/>
    <w:rsid w:val="00C875A5"/>
    <w:rsid w:val="00CA43EE"/>
    <w:rsid w:val="00CA782F"/>
    <w:rsid w:val="00CB55CE"/>
    <w:rsid w:val="00CC2A65"/>
    <w:rsid w:val="00D14FA9"/>
    <w:rsid w:val="00D326CF"/>
    <w:rsid w:val="00D9305A"/>
    <w:rsid w:val="00DA469B"/>
    <w:rsid w:val="00DD3B35"/>
    <w:rsid w:val="00DE6A7C"/>
    <w:rsid w:val="00E00173"/>
    <w:rsid w:val="00E00467"/>
    <w:rsid w:val="00E01413"/>
    <w:rsid w:val="00E16164"/>
    <w:rsid w:val="00E278A3"/>
    <w:rsid w:val="00E34239"/>
    <w:rsid w:val="00E55E4B"/>
    <w:rsid w:val="00E92A9D"/>
    <w:rsid w:val="00E970C6"/>
    <w:rsid w:val="00EB43E0"/>
    <w:rsid w:val="00ED5457"/>
    <w:rsid w:val="00F020A7"/>
    <w:rsid w:val="00F07DFD"/>
    <w:rsid w:val="00F32BB0"/>
    <w:rsid w:val="00F55F89"/>
    <w:rsid w:val="00F57972"/>
    <w:rsid w:val="00FB6676"/>
    <w:rsid w:val="00FC5048"/>
    <w:rsid w:val="00FF4CB1"/>
    <w:rsid w:val="00FF661B"/>
    <w:rsid w:val="0EE28F50"/>
    <w:rsid w:val="1764DBFC"/>
    <w:rsid w:val="1811B806"/>
    <w:rsid w:val="22DC4B28"/>
    <w:rsid w:val="24988832"/>
    <w:rsid w:val="27C5C2F0"/>
    <w:rsid w:val="280B2451"/>
    <w:rsid w:val="2C2A3E48"/>
    <w:rsid w:val="35DEE055"/>
    <w:rsid w:val="3662D72B"/>
    <w:rsid w:val="375EE346"/>
    <w:rsid w:val="3BD54A6E"/>
    <w:rsid w:val="3D93916E"/>
    <w:rsid w:val="4CDA5D1D"/>
    <w:rsid w:val="4DE356C2"/>
    <w:rsid w:val="4EFF52AB"/>
    <w:rsid w:val="50A0D001"/>
    <w:rsid w:val="54AF5B0A"/>
    <w:rsid w:val="5FECB89B"/>
    <w:rsid w:val="62E28D7A"/>
    <w:rsid w:val="6E35BE74"/>
    <w:rsid w:val="71D594B6"/>
    <w:rsid w:val="72464F5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46D586"/>
  <w15:chartTrackingRefBased/>
  <w15:docId w15:val="{A4EF17C4-BEEE-4AA5-B64E-3AA2059B7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3A17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3A17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3A172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3A172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3A172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3A172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3A172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3A172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3A172A"/>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3A172A"/>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3A172A"/>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3A172A"/>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3A172A"/>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3A172A"/>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3A172A"/>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3A172A"/>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3A172A"/>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3A172A"/>
    <w:rPr>
      <w:rFonts w:eastAsiaTheme="majorEastAsia" w:cstheme="majorBidi"/>
      <w:color w:val="272727" w:themeColor="text1" w:themeTint="D8"/>
    </w:rPr>
  </w:style>
  <w:style w:type="paragraph" w:styleId="Ttulo">
    <w:name w:val="Title"/>
    <w:basedOn w:val="Normal"/>
    <w:next w:val="Normal"/>
    <w:link w:val="TtuloChar"/>
    <w:uiPriority w:val="10"/>
    <w:qFormat/>
    <w:rsid w:val="003A17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3A172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3A172A"/>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3A172A"/>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3A172A"/>
    <w:pPr>
      <w:spacing w:before="160"/>
      <w:jc w:val="center"/>
    </w:pPr>
    <w:rPr>
      <w:i/>
      <w:iCs/>
      <w:color w:val="404040" w:themeColor="text1" w:themeTint="BF"/>
    </w:rPr>
  </w:style>
  <w:style w:type="character" w:customStyle="1" w:styleId="CitaoChar">
    <w:name w:val="Citação Char"/>
    <w:basedOn w:val="Fontepargpadro"/>
    <w:link w:val="Citao"/>
    <w:uiPriority w:val="29"/>
    <w:rsid w:val="003A172A"/>
    <w:rPr>
      <w:i/>
      <w:iCs/>
      <w:color w:val="404040" w:themeColor="text1" w:themeTint="BF"/>
    </w:rPr>
  </w:style>
  <w:style w:type="paragraph" w:styleId="PargrafodaLista">
    <w:name w:val="List Paragraph"/>
    <w:basedOn w:val="Normal"/>
    <w:uiPriority w:val="34"/>
    <w:qFormat/>
    <w:rsid w:val="003A172A"/>
    <w:pPr>
      <w:ind w:left="720"/>
      <w:contextualSpacing/>
    </w:pPr>
  </w:style>
  <w:style w:type="character" w:styleId="nfaseIntensa">
    <w:name w:val="Intense Emphasis"/>
    <w:basedOn w:val="Fontepargpadro"/>
    <w:uiPriority w:val="21"/>
    <w:qFormat/>
    <w:rsid w:val="003A172A"/>
    <w:rPr>
      <w:i/>
      <w:iCs/>
      <w:color w:val="0F4761" w:themeColor="accent1" w:themeShade="BF"/>
    </w:rPr>
  </w:style>
  <w:style w:type="paragraph" w:styleId="CitaoIntensa">
    <w:name w:val="Intense Quote"/>
    <w:basedOn w:val="Normal"/>
    <w:next w:val="Normal"/>
    <w:link w:val="CitaoIntensaChar"/>
    <w:uiPriority w:val="30"/>
    <w:qFormat/>
    <w:rsid w:val="003A17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3A172A"/>
    <w:rPr>
      <w:i/>
      <w:iCs/>
      <w:color w:val="0F4761" w:themeColor="accent1" w:themeShade="BF"/>
    </w:rPr>
  </w:style>
  <w:style w:type="character" w:styleId="RefernciaIntensa">
    <w:name w:val="Intense Reference"/>
    <w:basedOn w:val="Fontepargpadro"/>
    <w:uiPriority w:val="32"/>
    <w:qFormat/>
    <w:rsid w:val="003A172A"/>
    <w:rPr>
      <w:b/>
      <w:bCs/>
      <w:smallCaps/>
      <w:color w:val="0F4761" w:themeColor="accent1" w:themeShade="BF"/>
      <w:spacing w:val="5"/>
    </w:rPr>
  </w:style>
  <w:style w:type="paragraph" w:styleId="Corpodetexto">
    <w:name w:val="Body Text"/>
    <w:basedOn w:val="Normal"/>
    <w:link w:val="CorpodetextoChar"/>
    <w:uiPriority w:val="1"/>
    <w:qFormat/>
    <w:rsid w:val="003C7385"/>
    <w:pPr>
      <w:widowControl w:val="0"/>
      <w:autoSpaceDE w:val="0"/>
      <w:autoSpaceDN w:val="0"/>
      <w:spacing w:before="76" w:after="0" w:line="240" w:lineRule="auto"/>
      <w:ind w:left="141"/>
      <w:jc w:val="both"/>
    </w:pPr>
    <w:rPr>
      <w:rFonts w:ascii="Times New Roman" w:eastAsia="Times New Roman" w:hAnsi="Times New Roman" w:cs="Times New Roman"/>
      <w:kern w:val="0"/>
      <w:lang w:val="pt-PT"/>
      <w14:ligatures w14:val="none"/>
    </w:rPr>
  </w:style>
  <w:style w:type="character" w:customStyle="1" w:styleId="CorpodetextoChar">
    <w:name w:val="Corpo de texto Char"/>
    <w:basedOn w:val="Fontepargpadro"/>
    <w:link w:val="Corpodetexto"/>
    <w:uiPriority w:val="1"/>
    <w:rsid w:val="003C7385"/>
    <w:rPr>
      <w:rFonts w:ascii="Times New Roman" w:eastAsia="Times New Roman" w:hAnsi="Times New Roman" w:cs="Times New Roman"/>
      <w:kern w:val="0"/>
      <w:lang w:val="pt-PT"/>
      <w14:ligatures w14:val="none"/>
    </w:rPr>
  </w:style>
  <w:style w:type="table" w:styleId="Tabelacomgrade">
    <w:name w:val="Table Grid"/>
    <w:basedOn w:val="Tabelanormal"/>
    <w:uiPriority w:val="39"/>
    <w:rsid w:val="005E26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epargpadro"/>
    <w:uiPriority w:val="99"/>
    <w:unhideWhenUsed/>
    <w:rsid w:val="004C5347"/>
    <w:rPr>
      <w:color w:val="467886" w:themeColor="hyperlink"/>
      <w:u w:val="single"/>
    </w:rPr>
  </w:style>
  <w:style w:type="character" w:styleId="MenoPendente">
    <w:name w:val="Unresolved Mention"/>
    <w:basedOn w:val="Fontepargpadro"/>
    <w:uiPriority w:val="99"/>
    <w:semiHidden/>
    <w:unhideWhenUsed/>
    <w:rsid w:val="004C5347"/>
    <w:rPr>
      <w:color w:val="605E5C"/>
      <w:shd w:val="clear" w:color="auto" w:fill="E1DFDD"/>
    </w:rPr>
  </w:style>
  <w:style w:type="character" w:styleId="HiperlinkVisitado">
    <w:name w:val="FollowedHyperlink"/>
    <w:basedOn w:val="Fontepargpadro"/>
    <w:uiPriority w:val="99"/>
    <w:semiHidden/>
    <w:unhideWhenUsed/>
    <w:rsid w:val="00AB3532"/>
    <w:rPr>
      <w:color w:val="96607D" w:themeColor="followedHyperlink"/>
      <w:u w:val="single"/>
    </w:rPr>
  </w:style>
  <w:style w:type="paragraph" w:styleId="Cabealho">
    <w:name w:val="header"/>
    <w:basedOn w:val="Normal"/>
    <w:link w:val="CabealhoChar"/>
    <w:uiPriority w:val="99"/>
    <w:unhideWhenUsed/>
    <w:rsid w:val="003C59CA"/>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3C59CA"/>
  </w:style>
  <w:style w:type="paragraph" w:styleId="Rodap">
    <w:name w:val="footer"/>
    <w:basedOn w:val="Normal"/>
    <w:link w:val="RodapChar"/>
    <w:uiPriority w:val="99"/>
    <w:unhideWhenUsed/>
    <w:rsid w:val="003C59CA"/>
    <w:pPr>
      <w:tabs>
        <w:tab w:val="center" w:pos="4252"/>
        <w:tab w:val="right" w:pos="8504"/>
      </w:tabs>
      <w:spacing w:after="0" w:line="240" w:lineRule="auto"/>
    </w:pPr>
  </w:style>
  <w:style w:type="character" w:customStyle="1" w:styleId="RodapChar">
    <w:name w:val="Rodapé Char"/>
    <w:basedOn w:val="Fontepargpadro"/>
    <w:link w:val="Rodap"/>
    <w:uiPriority w:val="99"/>
    <w:rsid w:val="003C59CA"/>
  </w:style>
  <w:style w:type="paragraph" w:styleId="Textodecomentrio">
    <w:name w:val="annotation text"/>
    <w:basedOn w:val="Normal"/>
    <w:link w:val="TextodecomentrioChar"/>
    <w:uiPriority w:val="99"/>
    <w:semiHidden/>
    <w:unhideWhenUsed/>
    <w:pPr>
      <w:spacing w:line="240" w:lineRule="auto"/>
    </w:pPr>
    <w:rPr>
      <w:sz w:val="20"/>
      <w:szCs w:val="20"/>
    </w:rPr>
  </w:style>
  <w:style w:type="character" w:customStyle="1" w:styleId="TextodecomentrioChar">
    <w:name w:val="Texto de comentário Char"/>
    <w:basedOn w:val="Fontepargpadro"/>
    <w:link w:val="Textodecomentrio"/>
    <w:uiPriority w:val="99"/>
    <w:semiHidden/>
    <w:rPr>
      <w:sz w:val="20"/>
      <w:szCs w:val="20"/>
    </w:rPr>
  </w:style>
  <w:style w:type="character" w:styleId="Refdecomentrio">
    <w:name w:val="annotation reference"/>
    <w:basedOn w:val="Fontepargpadro"/>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s://www.cnabrasil.org.br/noticias/pib-do-agronegocio-fecha-2024-com-crescimento-de-1-81" TargetMode="External"/><Relationship Id="rId18" Type="http://schemas.openxmlformats.org/officeDocument/2006/relationships/hyperlink" Target="https://www.gov.br/agricultura/pt-br" TargetMode="External"/><Relationship Id="rId3" Type="http://schemas.openxmlformats.org/officeDocument/2006/relationships/settings" Target="settings.xml"/><Relationship Id="rId21" Type="http://schemas.openxmlformats.org/officeDocument/2006/relationships/hyperlink" Target="https://sebrae.ms/gestao-financeira/como-saber-se-minha-ideia-de-negocio-e-financeiramente-viavel/" TargetMode="External"/><Relationship Id="rId7" Type="http://schemas.openxmlformats.org/officeDocument/2006/relationships/header" Target="header1.xml"/><Relationship Id="rId12" Type="http://schemas.openxmlformats.org/officeDocument/2006/relationships/hyperlink" Target="https://www.gov.br/conab/pt-br/assuntos/noticias/producao-de-graos-atinge-novo-recorde-com-350-2-milhoes-de-toneladas-colhidas-na-safra-2024-25" TargetMode="External"/><Relationship Id="rId17" Type="http://schemas.openxmlformats.org/officeDocument/2006/relationships/hyperlink" Target="https://www.researchgate.net/publication/389361318" TargetMode="External"/><Relationship Id="rId2" Type="http://schemas.openxmlformats.org/officeDocument/2006/relationships/styles" Target="styles.xml"/><Relationship Id="rId16" Type="http://schemas.openxmlformats.org/officeDocument/2006/relationships/hyperlink" Target="https://www.infoteca.cnptia.embrapa.br/infoteca/bitstream/doc/1134835/1/BP48-Final-em-alta.pdf" TargetMode="External"/><Relationship Id="rId20" Type="http://schemas.openxmlformats.org/officeDocument/2006/relationships/hyperlink" Target="https://www.scotconsultoria.com.br"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epea.org.br?utm_source=chatgpt.com" TargetMode="External"/><Relationship Id="rId24" Type="http://schemas.microsoft.com/office/2020/10/relationships/intelligence" Target="intelligence2.xml"/><Relationship Id="rId5" Type="http://schemas.openxmlformats.org/officeDocument/2006/relationships/footnotes" Target="footnotes.xml"/><Relationship Id="rId15" Type="http://schemas.openxmlformats.org/officeDocument/2006/relationships/hyperlink" Target="https://www.embrapa.br" TargetMode="External"/><Relationship Id="rId23" Type="http://schemas.openxmlformats.org/officeDocument/2006/relationships/theme" Target="theme/theme1.xml"/><Relationship Id="rId10" Type="http://schemas.openxmlformats.org/officeDocument/2006/relationships/hyperlink" Target="https://cdn.fee.tche.br/jornadas/2/E13-03.pdf" TargetMode="External"/><Relationship Id="rId19" Type="http://schemas.openxmlformats.org/officeDocument/2006/relationships/hyperlink" Target="https://rehagro.com.br/blog/garantindo-margem-de-lucro-na-pecuaria-de-corte/" TargetMode="External"/><Relationship Id="rId4" Type="http://schemas.openxmlformats.org/officeDocument/2006/relationships/webSettings" Target="webSettings.xml"/><Relationship Id="rId9" Type="http://schemas.openxmlformats.org/officeDocument/2006/relationships/hyperlink" Target="file:///C:\Users\joao.canedo\Downloads\copy3_of_AnuriodosProgramasdeControledeAlimentosdeOrigemAnimalVolume920232.pdf" TargetMode="External"/><Relationship Id="rId14" Type="http://schemas.openxmlformats.org/officeDocument/2006/relationships/hyperlink" Target="https://www.infoteca.cnptia.embrapa.br/bitstream/doc/567053/1/doc31.pdf" TargetMode="External"/><Relationship Id="rId22"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TotalTime>
  <Pages>16</Pages>
  <Words>6180</Words>
  <Characters>33374</Characters>
  <Application>Microsoft Office Word</Application>
  <DocSecurity>0</DocSecurity>
  <Lines>278</Lines>
  <Paragraphs>78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João Pedro Arantes Canedo</dc:creator>
  <cp:keywords/>
  <dc:description/>
  <cp:lastModifiedBy>João Pedro Arantes Canedo</cp:lastModifiedBy>
  <cp:revision>7</cp:revision>
  <cp:lastPrinted>2025-11-29T03:53:00Z</cp:lastPrinted>
  <dcterms:created xsi:type="dcterms:W3CDTF">2025-11-29T03:52:00Z</dcterms:created>
  <dcterms:modified xsi:type="dcterms:W3CDTF">2025-12-07T19:09:00Z</dcterms:modified>
</cp:coreProperties>
</file>