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2E00" w14:textId="77777777" w:rsidR="00AE0F69" w:rsidRDefault="00AE0F69" w:rsidP="00AE0F69">
      <w:pPr>
        <w:spacing w:line="276" w:lineRule="auto"/>
        <w:jc w:val="center"/>
        <w:rPr>
          <w:rFonts w:ascii="Arial" w:eastAsia="Arial" w:hAnsi="Arial" w:cs="Arial"/>
          <w:b/>
          <w:sz w:val="8"/>
          <w:szCs w:val="8"/>
        </w:rPr>
      </w:pPr>
      <w:r>
        <w:rPr>
          <w:rFonts w:ascii="Arial" w:eastAsia="Arial" w:hAnsi="Arial" w:cs="Arial"/>
          <w:b/>
          <w:sz w:val="28"/>
          <w:szCs w:val="28"/>
        </w:rPr>
        <w:t xml:space="preserve">Análise da Função Tireoidiana em Pacientes com Alterações Glicêmicas Submetidos a Avaliação no Laboratório Clínico da PUC Goiás </w:t>
      </w:r>
      <w:r>
        <w:rPr>
          <w:rFonts w:ascii="Arial" w:eastAsia="Arial" w:hAnsi="Arial" w:cs="Arial"/>
          <w:b/>
          <w:sz w:val="8"/>
          <w:szCs w:val="8"/>
        </w:rPr>
        <w:tab/>
      </w:r>
    </w:p>
    <w:p w14:paraId="6B799741" w14:textId="77777777" w:rsidR="00AE0F69" w:rsidRDefault="00AE0F69" w:rsidP="00AE0F69">
      <w:pPr>
        <w:spacing w:after="120" w:line="276" w:lineRule="auto"/>
        <w:jc w:val="center"/>
        <w:rPr>
          <w:rFonts w:ascii="Arial" w:eastAsia="Arial" w:hAnsi="Arial" w:cs="Arial"/>
        </w:rPr>
      </w:pPr>
      <w:r>
        <w:rPr>
          <w:rFonts w:ascii="Arial" w:eastAsia="Arial" w:hAnsi="Arial" w:cs="Arial"/>
        </w:rPr>
        <w:t xml:space="preserve">Thyroid Function Analysis in Patients with Glycemic Alterations Evaluated at the Clinical Laboratory of PUC Goiás </w:t>
      </w:r>
    </w:p>
    <w:p w14:paraId="32AC8FFA" w14:textId="77777777" w:rsidR="00AE0F69" w:rsidRDefault="00AE0F69" w:rsidP="00AE0F69">
      <w:pPr>
        <w:spacing w:after="120" w:line="276" w:lineRule="auto"/>
        <w:jc w:val="center"/>
        <w:rPr>
          <w:rFonts w:ascii="Arial" w:eastAsia="Arial" w:hAnsi="Arial" w:cs="Arial"/>
        </w:rPr>
      </w:pPr>
      <w:r>
        <w:rPr>
          <w:rFonts w:ascii="Arial" w:eastAsia="Arial" w:hAnsi="Arial" w:cs="Arial"/>
        </w:rPr>
        <w:t>Análisis de la Función Tiroidea en Pacientes con Alteraciones Glucémicas Evaluados en el Laboratorio Clínico de la PUC Goiás</w:t>
      </w:r>
    </w:p>
    <w:p w14:paraId="211C2AEF" w14:textId="77777777" w:rsidR="00AE0F69" w:rsidRDefault="00AE0F69" w:rsidP="00AE0F69">
      <w:pPr>
        <w:spacing w:after="120" w:line="276" w:lineRule="auto"/>
        <w:jc w:val="both"/>
        <w:rPr>
          <w:rFonts w:ascii="Arial" w:eastAsia="Arial" w:hAnsi="Arial" w:cs="Arial"/>
          <w:sz w:val="16"/>
          <w:szCs w:val="16"/>
        </w:rPr>
      </w:pPr>
    </w:p>
    <w:p w14:paraId="50A7E6BE" w14:textId="77777777" w:rsidR="00AE0F69" w:rsidRDefault="00AE0F69" w:rsidP="00AE0F69">
      <w:pPr>
        <w:spacing w:after="120" w:line="276" w:lineRule="auto"/>
        <w:jc w:val="center"/>
        <w:rPr>
          <w:rFonts w:ascii="Arial" w:eastAsia="Arial" w:hAnsi="Arial" w:cs="Arial"/>
          <w:sz w:val="22"/>
          <w:szCs w:val="22"/>
        </w:rPr>
      </w:pPr>
      <w:r>
        <w:rPr>
          <w:rFonts w:ascii="Arial" w:eastAsia="Arial" w:hAnsi="Arial" w:cs="Arial"/>
          <w:sz w:val="22"/>
          <w:szCs w:val="22"/>
        </w:rPr>
        <w:t>Izabela Ramos Nascimento</w:t>
      </w:r>
      <w:r>
        <w:rPr>
          <w:rFonts w:ascii="Arial" w:eastAsia="Arial" w:hAnsi="Arial" w:cs="Arial"/>
          <w:sz w:val="22"/>
          <w:szCs w:val="22"/>
          <w:vertAlign w:val="superscript"/>
        </w:rPr>
        <w:footnoteReference w:id="1"/>
      </w:r>
      <w:r>
        <w:rPr>
          <w:rFonts w:ascii="Arial" w:eastAsia="Arial" w:hAnsi="Arial" w:cs="Arial"/>
          <w:sz w:val="22"/>
          <w:szCs w:val="22"/>
        </w:rPr>
        <w:t xml:space="preserve">, </w:t>
      </w:r>
      <w:r>
        <w:rPr>
          <w:rFonts w:ascii="Arial" w:eastAsia="Arial" w:hAnsi="Arial" w:cs="Arial"/>
        </w:rPr>
        <w:t>Rosa Maria Nogueira da Costa</w:t>
      </w:r>
      <w:r>
        <w:rPr>
          <w:rFonts w:ascii="Arial" w:eastAsia="Arial" w:hAnsi="Arial" w:cs="Arial"/>
          <w:sz w:val="22"/>
          <w:szCs w:val="22"/>
          <w:vertAlign w:val="superscript"/>
        </w:rPr>
        <w:t>1</w:t>
      </w:r>
      <w:r>
        <w:rPr>
          <w:rFonts w:ascii="Arial" w:eastAsia="Arial" w:hAnsi="Arial" w:cs="Arial"/>
          <w:sz w:val="22"/>
          <w:szCs w:val="22"/>
        </w:rPr>
        <w:t xml:space="preserve">, </w:t>
      </w:r>
      <w:r>
        <w:rPr>
          <w:rFonts w:ascii="Arial" w:eastAsia="Arial" w:hAnsi="Arial" w:cs="Arial"/>
        </w:rPr>
        <w:t>Roberpaulo Anacleto Neves</w:t>
      </w:r>
      <w:r>
        <w:rPr>
          <w:rFonts w:ascii="Arial" w:eastAsia="Arial" w:hAnsi="Arial" w:cs="Arial"/>
          <w:sz w:val="22"/>
          <w:szCs w:val="22"/>
          <w:vertAlign w:val="superscript"/>
        </w:rPr>
        <w:t>1</w:t>
      </w:r>
      <w:r>
        <w:rPr>
          <w:rFonts w:ascii="Arial" w:eastAsia="Arial" w:hAnsi="Arial" w:cs="Arial"/>
          <w:sz w:val="22"/>
          <w:szCs w:val="22"/>
        </w:rPr>
        <w:t>.</w:t>
      </w:r>
    </w:p>
    <w:p w14:paraId="544BF1A5" w14:textId="77777777" w:rsidR="00AE0F69" w:rsidRDefault="0040554D" w:rsidP="00AE0F69">
      <w:pPr>
        <w:spacing w:after="120" w:line="276" w:lineRule="auto"/>
        <w:jc w:val="both"/>
        <w:rPr>
          <w:rFonts w:ascii="Arial" w:eastAsia="Arial" w:hAnsi="Arial" w:cs="Arial"/>
          <w:sz w:val="20"/>
          <w:szCs w:val="20"/>
        </w:rPr>
      </w:pPr>
      <w:r w:rsidRPr="0040554D">
        <w:rPr>
          <w:noProof/>
          <w14:ligatures w14:val="standardContextual"/>
        </w:rPr>
        <w:pict w14:anchorId="6CA007DA">
          <v:rect id="_x0000_i1025" alt="" style="width:425.2pt;height:.05pt;mso-width-percent:0;mso-height-percent:0;mso-width-percent:0;mso-height-percent:0" o:hralign="center" o:hrstd="t" o:hr="t" fillcolor="#a0a0a0" stroked="f"/>
        </w:pict>
      </w:r>
    </w:p>
    <w:p w14:paraId="008232FE" w14:textId="77777777" w:rsidR="00AE0F69" w:rsidRDefault="00AE0F69" w:rsidP="00AE0F69">
      <w:pPr>
        <w:spacing w:after="0"/>
        <w:jc w:val="center"/>
        <w:rPr>
          <w:rFonts w:ascii="Arial" w:eastAsia="Arial" w:hAnsi="Arial" w:cs="Arial"/>
          <w:color w:val="FF0000"/>
          <w:sz w:val="20"/>
          <w:szCs w:val="20"/>
        </w:rPr>
      </w:pPr>
      <w:r>
        <w:rPr>
          <w:rFonts w:ascii="Arial" w:eastAsia="Arial" w:hAnsi="Arial" w:cs="Arial"/>
          <w:b/>
          <w:sz w:val="20"/>
          <w:szCs w:val="20"/>
        </w:rPr>
        <w:t>RESUMO</w:t>
      </w:r>
    </w:p>
    <w:p w14:paraId="1DEAEAE8" w14:textId="77777777" w:rsidR="00AE0F69" w:rsidRDefault="00AE0F69" w:rsidP="00AE0F69">
      <w:pPr>
        <w:spacing w:after="0"/>
        <w:jc w:val="both"/>
        <w:rPr>
          <w:rFonts w:ascii="Arial" w:eastAsia="Arial" w:hAnsi="Arial" w:cs="Arial"/>
          <w:sz w:val="20"/>
          <w:szCs w:val="20"/>
          <w:highlight w:val="yellow"/>
        </w:rPr>
      </w:pPr>
      <w:r>
        <w:rPr>
          <w:rFonts w:ascii="Arial" w:eastAsia="Arial" w:hAnsi="Arial" w:cs="Arial"/>
          <w:b/>
          <w:sz w:val="20"/>
          <w:szCs w:val="20"/>
        </w:rPr>
        <w:t>Objetivo:</w:t>
      </w:r>
      <w:r>
        <w:rPr>
          <w:rFonts w:ascii="Arial" w:eastAsia="Arial" w:hAnsi="Arial" w:cs="Arial"/>
          <w:sz w:val="20"/>
          <w:szCs w:val="20"/>
        </w:rPr>
        <w:t xml:space="preserve"> Analisar a função tireoidiana em pacientes com alterações glicêmicas, que realizaram exames no Laboratório Clínico da PUC Goiás, localizado em Goiânia (GO). </w:t>
      </w:r>
      <w:r>
        <w:rPr>
          <w:rFonts w:ascii="Arial" w:eastAsia="Arial" w:hAnsi="Arial" w:cs="Arial"/>
          <w:b/>
          <w:sz w:val="20"/>
          <w:szCs w:val="20"/>
        </w:rPr>
        <w:t>Métodos:</w:t>
      </w:r>
      <w:r>
        <w:rPr>
          <w:rFonts w:ascii="Arial" w:eastAsia="Arial" w:hAnsi="Arial" w:cs="Arial"/>
          <w:sz w:val="20"/>
          <w:szCs w:val="20"/>
        </w:rPr>
        <w:t xml:space="preserve"> Trata-se de um estudo transversal e retrospectivo com dados dos resultados de exames de 623 indivíduos, ambos os sexos, entre 18 </w:t>
      </w:r>
      <w:proofErr w:type="gramStart"/>
      <w:r>
        <w:rPr>
          <w:rFonts w:ascii="Arial" w:eastAsia="Arial" w:hAnsi="Arial" w:cs="Arial"/>
          <w:sz w:val="20"/>
          <w:szCs w:val="20"/>
        </w:rPr>
        <w:t>a</w:t>
      </w:r>
      <w:proofErr w:type="gramEnd"/>
      <w:r>
        <w:rPr>
          <w:rFonts w:ascii="Arial" w:eastAsia="Arial" w:hAnsi="Arial" w:cs="Arial"/>
          <w:sz w:val="20"/>
          <w:szCs w:val="20"/>
        </w:rPr>
        <w:t xml:space="preserve"> 90 anos, que realizaram exames no laboratório clínico da PUC Goiás entre fevereiro e março de 2023. Os critérios de inclusão foram: realização de exames TSH, T4 Livre e glicemia de jejum, essa necessariamente alterada. Os dados foram tabulados pelo programa Microsoft Excel, submetidos à estatística descritiva e ao Teste t de Student, com nível de significância de 5%. </w:t>
      </w:r>
      <w:r>
        <w:rPr>
          <w:rFonts w:ascii="Arial" w:eastAsia="Arial" w:hAnsi="Arial" w:cs="Arial"/>
          <w:b/>
          <w:sz w:val="20"/>
          <w:szCs w:val="20"/>
        </w:rPr>
        <w:t>Resultados:</w:t>
      </w:r>
      <w:r>
        <w:rPr>
          <w:rFonts w:ascii="Arial" w:eastAsia="Arial" w:hAnsi="Arial" w:cs="Arial"/>
          <w:sz w:val="20"/>
          <w:szCs w:val="20"/>
        </w:rPr>
        <w:t xml:space="preserve"> A amostra contou com 408 (65,5%) mulheres e 215 (34,5%) homens e a faixa etária predominante foi 50 a 69 anos. No exame de TSH, 11,08% da população apresentou valores alterados, enquanto 88,92% apresentaram valores normais. Acerca do T-4 Livre, 4,97% apresentaram alterações, enquanto 95,03% estavam normais. Observou-se maior prevalência de TSH alterado em mulheres e similaridade entre os sexos em relação ao IMC alterado, com predomínio de sobrepeso, seguido de obesidade grau 1. </w:t>
      </w:r>
      <w:r>
        <w:rPr>
          <w:rFonts w:ascii="Arial" w:eastAsia="Arial" w:hAnsi="Arial" w:cs="Arial"/>
          <w:b/>
          <w:sz w:val="20"/>
          <w:szCs w:val="20"/>
        </w:rPr>
        <w:t>Conclusão</w:t>
      </w:r>
      <w:r>
        <w:rPr>
          <w:rFonts w:ascii="Arial" w:eastAsia="Arial" w:hAnsi="Arial" w:cs="Arial"/>
          <w:sz w:val="20"/>
          <w:szCs w:val="20"/>
        </w:rPr>
        <w:t>: Conclui-se que é necessário a monitorização da função tireoidiana em pacientes com alterações glicêmicas, especialmente em mulheres.</w:t>
      </w:r>
    </w:p>
    <w:p w14:paraId="58427556" w14:textId="77777777" w:rsidR="00AE0F69" w:rsidRDefault="00AE0F69" w:rsidP="00AE0F69">
      <w:pPr>
        <w:spacing w:after="0"/>
        <w:jc w:val="both"/>
        <w:rPr>
          <w:rFonts w:ascii="Arial" w:eastAsia="Arial" w:hAnsi="Arial" w:cs="Arial"/>
          <w:sz w:val="20"/>
          <w:szCs w:val="20"/>
          <w:highlight w:val="yellow"/>
        </w:rPr>
      </w:pPr>
      <w:r>
        <w:rPr>
          <w:rFonts w:ascii="Arial" w:eastAsia="Arial" w:hAnsi="Arial" w:cs="Arial"/>
          <w:b/>
          <w:sz w:val="20"/>
          <w:szCs w:val="20"/>
        </w:rPr>
        <w:t xml:space="preserve">Palavras-chave: </w:t>
      </w:r>
      <w:r>
        <w:rPr>
          <w:rFonts w:ascii="Arial" w:eastAsia="Arial" w:hAnsi="Arial" w:cs="Arial"/>
          <w:sz w:val="20"/>
          <w:szCs w:val="20"/>
        </w:rPr>
        <w:t>Hormônios Tireóideos, Glicemia, Índice de Massa Corporal</w:t>
      </w:r>
    </w:p>
    <w:p w14:paraId="089C4C49" w14:textId="77777777" w:rsidR="00AE0F69" w:rsidRPr="004F2EDE" w:rsidRDefault="00AE0F69" w:rsidP="00AE0F69">
      <w:pPr>
        <w:spacing w:after="0"/>
        <w:jc w:val="both"/>
        <w:rPr>
          <w:rFonts w:ascii="Arial" w:eastAsia="Arial" w:hAnsi="Arial" w:cs="Arial"/>
          <w:sz w:val="20"/>
          <w:szCs w:val="20"/>
          <w:highlight w:val="yellow"/>
        </w:rPr>
      </w:pPr>
    </w:p>
    <w:p w14:paraId="6F2734D4" w14:textId="77777777" w:rsidR="00AE0F69" w:rsidRPr="004F2EDE" w:rsidRDefault="00AE0F69" w:rsidP="00AE0F69">
      <w:pPr>
        <w:spacing w:after="0"/>
        <w:jc w:val="center"/>
        <w:rPr>
          <w:rFonts w:ascii="Arial" w:eastAsia="Arial" w:hAnsi="Arial" w:cs="Arial"/>
          <w:b/>
          <w:color w:val="000000"/>
          <w:sz w:val="20"/>
          <w:szCs w:val="20"/>
        </w:rPr>
      </w:pPr>
      <w:r>
        <w:rPr>
          <w:rFonts w:ascii="Arial" w:eastAsia="Arial" w:hAnsi="Arial" w:cs="Arial"/>
          <w:b/>
          <w:color w:val="000000"/>
          <w:sz w:val="20"/>
          <w:szCs w:val="20"/>
        </w:rPr>
        <w:t>ABSTRACT</w:t>
      </w:r>
    </w:p>
    <w:p w14:paraId="4E229E94" w14:textId="77777777" w:rsidR="00AE0F69" w:rsidRPr="004C273D" w:rsidRDefault="00AE0F69" w:rsidP="00AE0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Cs/>
          <w:color w:val="000000"/>
          <w:sz w:val="20"/>
          <w:szCs w:val="20"/>
          <w:lang w:val="de-DE"/>
        </w:rPr>
      </w:pPr>
      <w:r w:rsidRPr="004F2EDE">
        <w:rPr>
          <w:rFonts w:ascii="Arial" w:eastAsia="Arial" w:hAnsi="Arial" w:cs="Arial"/>
          <w:b/>
          <w:color w:val="000000"/>
          <w:sz w:val="20"/>
          <w:szCs w:val="20"/>
        </w:rPr>
        <w:t xml:space="preserve">Objective: </w:t>
      </w:r>
      <w:r w:rsidRPr="004F2EDE">
        <w:rPr>
          <w:rFonts w:ascii="Arial" w:eastAsia="Arial" w:hAnsi="Arial" w:cs="Arial"/>
          <w:bCs/>
          <w:color w:val="000000"/>
          <w:sz w:val="20"/>
          <w:szCs w:val="20"/>
        </w:rPr>
        <w:t xml:space="preserve">To analyze thyroid function in patients with glycemic alterations who underwent tests at the </w:t>
      </w:r>
      <w:r>
        <w:rPr>
          <w:rFonts w:ascii="Arial" w:eastAsia="Arial" w:hAnsi="Arial" w:cs="Arial"/>
          <w:bCs/>
          <w:color w:val="000000"/>
          <w:sz w:val="20"/>
          <w:szCs w:val="20"/>
        </w:rPr>
        <w:t>C</w:t>
      </w:r>
      <w:r w:rsidRPr="004F2EDE">
        <w:rPr>
          <w:rFonts w:ascii="Arial" w:eastAsia="Arial" w:hAnsi="Arial" w:cs="Arial"/>
          <w:bCs/>
          <w:color w:val="000000"/>
          <w:sz w:val="20"/>
          <w:szCs w:val="20"/>
        </w:rPr>
        <w:t xml:space="preserve">linical </w:t>
      </w:r>
      <w:r>
        <w:rPr>
          <w:rFonts w:ascii="Arial" w:eastAsia="Arial" w:hAnsi="Arial" w:cs="Arial"/>
          <w:bCs/>
          <w:color w:val="000000"/>
          <w:sz w:val="20"/>
          <w:szCs w:val="20"/>
        </w:rPr>
        <w:t>L</w:t>
      </w:r>
      <w:r w:rsidRPr="004F2EDE">
        <w:rPr>
          <w:rFonts w:ascii="Arial" w:eastAsia="Arial" w:hAnsi="Arial" w:cs="Arial"/>
          <w:bCs/>
          <w:color w:val="000000"/>
          <w:sz w:val="20"/>
          <w:szCs w:val="20"/>
        </w:rPr>
        <w:t>aboratory of PUC Goiás, located in Goiânia (GO)</w:t>
      </w:r>
      <w:r>
        <w:rPr>
          <w:rFonts w:ascii="Arial" w:eastAsia="Arial" w:hAnsi="Arial" w:cs="Arial"/>
          <w:bCs/>
          <w:color w:val="000000"/>
          <w:sz w:val="20"/>
          <w:szCs w:val="20"/>
        </w:rPr>
        <w:t>.</w:t>
      </w:r>
      <w:r>
        <w:rPr>
          <w:rFonts w:ascii="Arial" w:eastAsia="Arial" w:hAnsi="Arial" w:cs="Arial"/>
          <w:b/>
          <w:color w:val="000000"/>
          <w:sz w:val="20"/>
          <w:szCs w:val="20"/>
        </w:rPr>
        <w:t xml:space="preserve"> </w:t>
      </w:r>
      <w:r w:rsidRPr="004F2EDE">
        <w:rPr>
          <w:rFonts w:ascii="Arial" w:eastAsia="Arial" w:hAnsi="Arial" w:cs="Arial"/>
          <w:b/>
          <w:color w:val="000000"/>
          <w:sz w:val="20"/>
          <w:szCs w:val="20"/>
        </w:rPr>
        <w:t xml:space="preserve">Methods: </w:t>
      </w:r>
      <w:r w:rsidRPr="004F2EDE">
        <w:rPr>
          <w:rFonts w:ascii="Arial" w:eastAsia="Arial" w:hAnsi="Arial" w:cs="Arial"/>
          <w:bCs/>
          <w:color w:val="000000"/>
          <w:sz w:val="20"/>
          <w:szCs w:val="20"/>
        </w:rPr>
        <w:t xml:space="preserve">This is a cross-sectional and retrospective study using data from the test results of 623 individuals, of both sexes, aged 18 to 90 years, who underwent tests at the clinical laboratory of PUC Goiás between February and March 2023. </w:t>
      </w:r>
      <w:r w:rsidRPr="004C273D">
        <w:rPr>
          <w:rFonts w:ascii="Arial" w:eastAsia="Arial" w:hAnsi="Arial" w:cs="Arial"/>
          <w:bCs/>
          <w:color w:val="000000"/>
          <w:sz w:val="20"/>
          <w:szCs w:val="20"/>
          <w:lang w:val="de-DE"/>
        </w:rPr>
        <w:t xml:space="preserve">The inclusion criteria were: performance of TSH, Free T4, and fasting glucose tests, with the latter necessarily altered. </w:t>
      </w:r>
      <w:r w:rsidRPr="004F2EDE">
        <w:rPr>
          <w:rFonts w:ascii="Arial" w:eastAsia="Arial" w:hAnsi="Arial" w:cs="Arial"/>
          <w:bCs/>
          <w:color w:val="000000"/>
          <w:sz w:val="20"/>
          <w:szCs w:val="20"/>
        </w:rPr>
        <w:t>The data were tabulated using Microsoft Excel, subjected to descriptive statistics, and the Student's t-test, with a significance level of 5%.</w:t>
      </w:r>
      <w:r>
        <w:rPr>
          <w:rFonts w:ascii="Arial" w:eastAsia="Arial" w:hAnsi="Arial" w:cs="Arial"/>
          <w:bCs/>
          <w:color w:val="000000"/>
          <w:sz w:val="20"/>
          <w:szCs w:val="20"/>
        </w:rPr>
        <w:t xml:space="preserve"> </w:t>
      </w:r>
      <w:r w:rsidRPr="004C273D">
        <w:rPr>
          <w:rFonts w:ascii="Arial" w:eastAsia="Arial" w:hAnsi="Arial" w:cs="Arial"/>
          <w:b/>
          <w:color w:val="000000"/>
          <w:sz w:val="20"/>
          <w:szCs w:val="20"/>
          <w:lang w:val="de-DE"/>
        </w:rPr>
        <w:t xml:space="preserve">Results: </w:t>
      </w:r>
      <w:r w:rsidRPr="004C273D">
        <w:rPr>
          <w:rFonts w:ascii="Arial" w:eastAsia="Arial" w:hAnsi="Arial" w:cs="Arial"/>
          <w:bCs/>
          <w:color w:val="000000"/>
          <w:sz w:val="20"/>
          <w:szCs w:val="20"/>
          <w:lang w:val="de-DE"/>
        </w:rPr>
        <w:t>The sample consisted of 408 (65.5%) women and 215 (34.5%) men, and the predominant age group was 50 to 69 years. In the TSH test, 11.08% of the population presented altered values, while 88.92% presented normal values. Regarding Free T4, 4.97% showed alterations, while 95.03% were normal. A higher prevalence of altered TSH was observed in women, and similarity</w:t>
      </w:r>
      <w:r w:rsidRPr="004C273D">
        <w:rPr>
          <w:rFonts w:ascii="Arial" w:eastAsia="Arial" w:hAnsi="Arial" w:cs="Arial"/>
          <w:b/>
          <w:color w:val="000000"/>
          <w:sz w:val="20"/>
          <w:szCs w:val="20"/>
          <w:lang w:val="de-DE"/>
        </w:rPr>
        <w:t xml:space="preserve"> </w:t>
      </w:r>
      <w:r w:rsidRPr="004C273D">
        <w:rPr>
          <w:rFonts w:ascii="Arial" w:eastAsia="Arial" w:hAnsi="Arial" w:cs="Arial"/>
          <w:bCs/>
          <w:color w:val="000000"/>
          <w:sz w:val="20"/>
          <w:szCs w:val="20"/>
          <w:lang w:val="de-DE"/>
        </w:rPr>
        <w:t xml:space="preserve">between sexes regarding altered BMI, with a predominance of overweight, followed by grade 1 obesity. </w:t>
      </w:r>
      <w:r w:rsidRPr="004C273D">
        <w:rPr>
          <w:rFonts w:ascii="Arial" w:eastAsia="Arial" w:hAnsi="Arial" w:cs="Arial"/>
          <w:b/>
          <w:color w:val="000000"/>
          <w:sz w:val="20"/>
          <w:szCs w:val="20"/>
          <w:lang w:val="de-DE"/>
        </w:rPr>
        <w:t xml:space="preserve">Conclusion: </w:t>
      </w:r>
      <w:r w:rsidRPr="004C273D">
        <w:rPr>
          <w:rFonts w:ascii="Arial" w:eastAsia="Arial" w:hAnsi="Arial" w:cs="Arial"/>
          <w:bCs/>
          <w:color w:val="000000"/>
          <w:sz w:val="20"/>
          <w:szCs w:val="20"/>
          <w:lang w:val="de-DE"/>
        </w:rPr>
        <w:t>It is concluded that monitoring thyroid function is necessary in patients with glycemic alterations, especially in women.</w:t>
      </w:r>
    </w:p>
    <w:p w14:paraId="212A6D75" w14:textId="77777777" w:rsidR="00AE0F69" w:rsidRPr="004C273D" w:rsidRDefault="00AE0F69" w:rsidP="00AE0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Cs/>
          <w:color w:val="000000"/>
          <w:sz w:val="20"/>
          <w:szCs w:val="20"/>
          <w:lang w:val="de-DE"/>
        </w:rPr>
      </w:pPr>
      <w:r w:rsidRPr="004C273D">
        <w:rPr>
          <w:rFonts w:ascii="Arial" w:eastAsia="Arial" w:hAnsi="Arial" w:cs="Arial"/>
          <w:b/>
          <w:color w:val="000000"/>
          <w:sz w:val="20"/>
          <w:szCs w:val="20"/>
          <w:lang w:val="de-DE"/>
        </w:rPr>
        <w:t xml:space="preserve">Keywords: </w:t>
      </w:r>
      <w:r w:rsidRPr="004C273D">
        <w:rPr>
          <w:rFonts w:ascii="Arial" w:eastAsia="Arial" w:hAnsi="Arial" w:cs="Arial"/>
          <w:bCs/>
          <w:color w:val="000000"/>
          <w:sz w:val="20"/>
          <w:szCs w:val="20"/>
          <w:lang w:val="de-DE"/>
        </w:rPr>
        <w:t>Thyroid Hormones, Blood Glucose, Body Mass Index</w:t>
      </w:r>
    </w:p>
    <w:p w14:paraId="73B5E53C" w14:textId="77777777" w:rsidR="00AE0F69" w:rsidRPr="004C273D" w:rsidRDefault="00AE0F69" w:rsidP="00AE0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Cs/>
          <w:color w:val="000000"/>
          <w:sz w:val="20"/>
          <w:szCs w:val="20"/>
          <w:lang w:val="de-DE"/>
        </w:rPr>
      </w:pPr>
    </w:p>
    <w:p w14:paraId="242836CB" w14:textId="77777777" w:rsidR="00AE0F69" w:rsidRDefault="00AE0F69" w:rsidP="00AE0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eastAsia="Arial" w:hAnsi="Arial" w:cs="Arial"/>
          <w:b/>
          <w:color w:val="000000"/>
          <w:sz w:val="20"/>
          <w:szCs w:val="20"/>
        </w:rPr>
      </w:pPr>
      <w:r>
        <w:rPr>
          <w:rFonts w:ascii="Arial" w:eastAsia="Arial" w:hAnsi="Arial" w:cs="Arial"/>
          <w:b/>
          <w:color w:val="000000"/>
          <w:sz w:val="20"/>
          <w:szCs w:val="20"/>
        </w:rPr>
        <w:t>EXEMPLO DE RESUMEN</w:t>
      </w:r>
    </w:p>
    <w:p w14:paraId="35CAD74C" w14:textId="77777777" w:rsidR="00AE0F69" w:rsidRPr="004F2EDE" w:rsidRDefault="00AE0F69" w:rsidP="00AE0F69">
      <w:pPr>
        <w:spacing w:after="0"/>
        <w:jc w:val="both"/>
        <w:rPr>
          <w:rFonts w:ascii="Arial" w:eastAsia="Arial" w:hAnsi="Arial" w:cs="Arial"/>
          <w:bCs/>
          <w:color w:val="000000"/>
          <w:sz w:val="20"/>
          <w:szCs w:val="20"/>
        </w:rPr>
      </w:pPr>
      <w:r w:rsidRPr="004F2EDE">
        <w:rPr>
          <w:rFonts w:ascii="Arial" w:eastAsia="Arial" w:hAnsi="Arial" w:cs="Arial"/>
          <w:b/>
          <w:color w:val="000000"/>
          <w:sz w:val="20"/>
          <w:szCs w:val="20"/>
        </w:rPr>
        <w:t xml:space="preserve">Objetivo: </w:t>
      </w:r>
      <w:r w:rsidRPr="004F2EDE">
        <w:rPr>
          <w:rFonts w:ascii="Arial" w:eastAsia="Arial" w:hAnsi="Arial" w:cs="Arial"/>
          <w:bCs/>
          <w:color w:val="000000"/>
          <w:sz w:val="20"/>
          <w:szCs w:val="20"/>
        </w:rPr>
        <w:t xml:space="preserve">Analizar la función tiroidea en pacientes con alteraciones glucémicas, que se realizaron exámenes en el </w:t>
      </w:r>
      <w:r>
        <w:rPr>
          <w:rFonts w:ascii="Arial" w:eastAsia="Arial" w:hAnsi="Arial" w:cs="Arial"/>
          <w:bCs/>
          <w:color w:val="000000"/>
          <w:sz w:val="20"/>
          <w:szCs w:val="20"/>
        </w:rPr>
        <w:t>L</w:t>
      </w:r>
      <w:r w:rsidRPr="004F2EDE">
        <w:rPr>
          <w:rFonts w:ascii="Arial" w:eastAsia="Arial" w:hAnsi="Arial" w:cs="Arial"/>
          <w:bCs/>
          <w:color w:val="000000"/>
          <w:sz w:val="20"/>
          <w:szCs w:val="20"/>
        </w:rPr>
        <w:t xml:space="preserve">aboratorio </w:t>
      </w:r>
      <w:r>
        <w:rPr>
          <w:rFonts w:ascii="Arial" w:eastAsia="Arial" w:hAnsi="Arial" w:cs="Arial"/>
          <w:bCs/>
          <w:color w:val="000000"/>
          <w:sz w:val="20"/>
          <w:szCs w:val="20"/>
        </w:rPr>
        <w:t>C</w:t>
      </w:r>
      <w:r w:rsidRPr="004F2EDE">
        <w:rPr>
          <w:rFonts w:ascii="Arial" w:eastAsia="Arial" w:hAnsi="Arial" w:cs="Arial"/>
          <w:bCs/>
          <w:color w:val="000000"/>
          <w:sz w:val="20"/>
          <w:szCs w:val="20"/>
        </w:rPr>
        <w:t>línico de la PUC Goiás, ubicado en Goiânia (GO)</w:t>
      </w:r>
      <w:r>
        <w:rPr>
          <w:rFonts w:ascii="Arial" w:eastAsia="Arial" w:hAnsi="Arial" w:cs="Arial"/>
          <w:bCs/>
          <w:color w:val="000000"/>
          <w:sz w:val="20"/>
          <w:szCs w:val="20"/>
        </w:rPr>
        <w:t>.</w:t>
      </w:r>
      <w:r>
        <w:rPr>
          <w:rFonts w:ascii="Arial" w:eastAsia="Arial" w:hAnsi="Arial" w:cs="Arial"/>
          <w:b/>
          <w:color w:val="000000"/>
          <w:sz w:val="20"/>
          <w:szCs w:val="20"/>
        </w:rPr>
        <w:t xml:space="preserve"> </w:t>
      </w:r>
      <w:r w:rsidRPr="004F2EDE">
        <w:rPr>
          <w:rFonts w:ascii="Arial" w:eastAsia="Arial" w:hAnsi="Arial" w:cs="Arial"/>
          <w:b/>
          <w:color w:val="000000"/>
          <w:sz w:val="20"/>
          <w:szCs w:val="20"/>
        </w:rPr>
        <w:t xml:space="preserve">Métodos: </w:t>
      </w:r>
      <w:r w:rsidRPr="004F2EDE">
        <w:rPr>
          <w:rFonts w:ascii="Arial" w:eastAsia="Arial" w:hAnsi="Arial" w:cs="Arial"/>
          <w:bCs/>
          <w:color w:val="000000"/>
          <w:sz w:val="20"/>
          <w:szCs w:val="20"/>
        </w:rPr>
        <w:t xml:space="preserve">Se trata de un estudio transversal y retrospectivo con datos de los resultados de exámenes de 623 individuos, de ambos os sexos, entre 18 y 90 años, que se realizaron exámenes en el laboratorio clínico de la PUC Goiás entre febrero y marzo de 2023. Los criterios de inclusión fueron: realización de exámenes de TSH, T4 Libre y glucemia en ayunas, esta necesariamente alterada. Los datos fueron tabulados mediante el programa Microsoft Excel, </w:t>
      </w:r>
      <w:r w:rsidRPr="004F2EDE">
        <w:rPr>
          <w:rFonts w:ascii="Arial" w:eastAsia="Arial" w:hAnsi="Arial" w:cs="Arial"/>
          <w:bCs/>
          <w:color w:val="000000"/>
          <w:sz w:val="20"/>
          <w:szCs w:val="20"/>
        </w:rPr>
        <w:lastRenderedPageBreak/>
        <w:t>sometidos a estadística descriptiva y a la prueba t de Student, con un nivel de significancia del 5%.</w:t>
      </w:r>
      <w:r>
        <w:rPr>
          <w:rFonts w:ascii="Arial" w:eastAsia="Arial" w:hAnsi="Arial" w:cs="Arial"/>
          <w:bCs/>
          <w:color w:val="000000"/>
          <w:sz w:val="20"/>
          <w:szCs w:val="20"/>
        </w:rPr>
        <w:t xml:space="preserve"> </w:t>
      </w:r>
      <w:r w:rsidRPr="004F2EDE">
        <w:rPr>
          <w:rFonts w:ascii="Arial" w:eastAsia="Arial" w:hAnsi="Arial" w:cs="Arial"/>
          <w:b/>
          <w:color w:val="000000"/>
          <w:sz w:val="20"/>
          <w:szCs w:val="20"/>
        </w:rPr>
        <w:t xml:space="preserve">Resultados: </w:t>
      </w:r>
      <w:r w:rsidRPr="004F2EDE">
        <w:rPr>
          <w:rFonts w:ascii="Arial" w:eastAsia="Arial" w:hAnsi="Arial" w:cs="Arial"/>
          <w:bCs/>
          <w:color w:val="000000"/>
          <w:sz w:val="20"/>
          <w:szCs w:val="20"/>
        </w:rPr>
        <w:t>La muestra contó con 408 (65,5%) mujeres y 215 (34,5%) hombres y el grupo de edad predominante fue de 50 a 69 años. En el examen de TSH, el 11,08% de la población presentó valores alterados, mientras que el 88,92% presentó valores normales. Respecto al T4 Libre, el 4,97% presentó alteraciones, mientras que el 95,03% estaban normales. Se observó una mayor prevalencia de TSH alterado en mujeres y similitud entre los sexos en relación con el IMC alterado, con predominio de sobrepeso, seguido de obesidad grado 1.</w:t>
      </w:r>
      <w:r>
        <w:rPr>
          <w:rFonts w:ascii="Arial" w:eastAsia="Arial" w:hAnsi="Arial" w:cs="Arial"/>
          <w:bCs/>
          <w:color w:val="000000"/>
          <w:sz w:val="20"/>
          <w:szCs w:val="20"/>
        </w:rPr>
        <w:t xml:space="preserve"> </w:t>
      </w:r>
      <w:r w:rsidRPr="004F2EDE">
        <w:rPr>
          <w:rFonts w:ascii="Arial" w:eastAsia="Arial" w:hAnsi="Arial" w:cs="Arial"/>
          <w:b/>
          <w:color w:val="000000"/>
          <w:sz w:val="20"/>
          <w:szCs w:val="20"/>
        </w:rPr>
        <w:t xml:space="preserve">Conclusión: </w:t>
      </w:r>
      <w:r w:rsidRPr="004F2EDE">
        <w:rPr>
          <w:rFonts w:ascii="Arial" w:eastAsia="Arial" w:hAnsi="Arial" w:cs="Arial"/>
          <w:bCs/>
          <w:color w:val="000000"/>
          <w:sz w:val="20"/>
          <w:szCs w:val="20"/>
        </w:rPr>
        <w:t>Se concluye que es necesaria la monitorización de la función tiroidea en pacientes con alteraciones glucémicas, especialmente en mujeres.</w:t>
      </w:r>
    </w:p>
    <w:p w14:paraId="41B25860" w14:textId="77777777" w:rsidR="00AE0F69" w:rsidRPr="004F2EDE" w:rsidRDefault="00AE0F69" w:rsidP="00AE0F69">
      <w:pPr>
        <w:spacing w:after="0"/>
        <w:jc w:val="both"/>
        <w:rPr>
          <w:rFonts w:ascii="Arial" w:eastAsia="Arial" w:hAnsi="Arial" w:cs="Arial"/>
          <w:bCs/>
          <w:color w:val="000000"/>
          <w:sz w:val="20"/>
          <w:szCs w:val="20"/>
        </w:rPr>
      </w:pPr>
      <w:r w:rsidRPr="004F2EDE">
        <w:rPr>
          <w:rFonts w:ascii="Arial" w:eastAsia="Arial" w:hAnsi="Arial" w:cs="Arial"/>
          <w:b/>
          <w:color w:val="000000"/>
          <w:sz w:val="20"/>
          <w:szCs w:val="20"/>
        </w:rPr>
        <w:t xml:space="preserve">Palabras clave: </w:t>
      </w:r>
      <w:r w:rsidRPr="004F2EDE">
        <w:rPr>
          <w:rFonts w:ascii="Arial" w:eastAsia="Arial" w:hAnsi="Arial" w:cs="Arial"/>
          <w:bCs/>
          <w:color w:val="000000"/>
          <w:sz w:val="20"/>
          <w:szCs w:val="20"/>
        </w:rPr>
        <w:t>Hormonas Tiroideas, Glucemia, Índice de Masa Corporal.</w:t>
      </w:r>
    </w:p>
    <w:p w14:paraId="71F52593" w14:textId="77777777" w:rsidR="00AE0F69" w:rsidRDefault="00AE0F69" w:rsidP="00AE0F69">
      <w:pPr>
        <w:spacing w:after="120" w:line="276" w:lineRule="auto"/>
        <w:jc w:val="both"/>
        <w:rPr>
          <w:rFonts w:ascii="Arial" w:eastAsia="Arial" w:hAnsi="Arial" w:cs="Arial"/>
          <w:b/>
          <w:color w:val="000000"/>
          <w:sz w:val="20"/>
          <w:szCs w:val="20"/>
        </w:rPr>
      </w:pPr>
    </w:p>
    <w:p w14:paraId="38DB2EDD" w14:textId="77777777" w:rsidR="0073717F" w:rsidRDefault="0073717F"/>
    <w:sectPr w:rsidR="0073717F" w:rsidSect="00AE0F69">
      <w:headerReference w:type="even" r:id="rId7"/>
      <w:headerReference w:type="default" r:id="rId8"/>
      <w:footerReference w:type="even" r:id="rId9"/>
      <w:footerReference w:type="default" r:id="rId10"/>
      <w:headerReference w:type="first" r:id="rId11"/>
      <w:footerReference w:type="first" r:id="rId12"/>
      <w:pgSz w:w="11907" w:h="16839"/>
      <w:pgMar w:top="1134" w:right="1134" w:bottom="1134" w:left="1134" w:header="992"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B1DF5" w14:textId="77777777" w:rsidR="0040554D" w:rsidRDefault="0040554D" w:rsidP="00AE0F69">
      <w:pPr>
        <w:spacing w:after="0"/>
      </w:pPr>
      <w:r>
        <w:separator/>
      </w:r>
    </w:p>
  </w:endnote>
  <w:endnote w:type="continuationSeparator" w:id="0">
    <w:p w14:paraId="7C4FEAF5" w14:textId="77777777" w:rsidR="0040554D" w:rsidRDefault="0040554D" w:rsidP="00AE0F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7D630" w14:textId="77777777" w:rsidR="00000000" w:rsidRDefault="00000000">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F9F3" w14:textId="77777777" w:rsidR="00000000" w:rsidRDefault="00000000">
    <w:pPr>
      <w:pBdr>
        <w:top w:val="nil"/>
        <w:left w:val="nil"/>
        <w:bottom w:val="nil"/>
        <w:right w:val="nil"/>
        <w:between w:val="nil"/>
      </w:pBdr>
      <w:tabs>
        <w:tab w:val="left" w:pos="3060"/>
      </w:tabs>
      <w:spacing w:after="0"/>
      <w:ind w:left="-284" w:right="-234"/>
      <w:jc w:val="center"/>
      <w:rPr>
        <w:rFonts w:ascii="Arial" w:eastAsia="Arial" w:hAnsi="Arial" w:cs="Arial"/>
        <w:color w:val="000000"/>
        <w:sz w:val="23"/>
        <w:szCs w:val="23"/>
      </w:rPr>
    </w:pPr>
    <w:r>
      <w:rPr>
        <w:noProof/>
      </w:rPr>
      <mc:AlternateContent>
        <mc:Choice Requires="wps">
          <w:drawing>
            <wp:anchor distT="0" distB="0" distL="114300" distR="114300" simplePos="0" relativeHeight="251659264" behindDoc="0" locked="0" layoutInCell="1" hidden="0" allowOverlap="1" wp14:anchorId="12F79024" wp14:editId="3E617B5C">
              <wp:simplePos x="0" y="0"/>
              <wp:positionH relativeFrom="column">
                <wp:posOffset>-139699</wp:posOffset>
              </wp:positionH>
              <wp:positionV relativeFrom="paragraph">
                <wp:posOffset>127000</wp:posOffset>
              </wp:positionV>
              <wp:extent cx="6267450" cy="12700"/>
              <wp:effectExtent l="0" t="0" r="0" b="0"/>
              <wp:wrapNone/>
              <wp:docPr id="2" name="Conector de Seta Reta 2"/>
              <wp:cNvGraphicFramePr/>
              <a:graphic xmlns:a="http://schemas.openxmlformats.org/drawingml/2006/main">
                <a:graphicData uri="http://schemas.microsoft.com/office/word/2010/wordprocessingShape">
                  <wps:wsp>
                    <wps:cNvCnPr/>
                    <wps:spPr>
                      <a:xfrm>
                        <a:off x="2212275" y="3780000"/>
                        <a:ext cx="6267450" cy="0"/>
                      </a:xfrm>
                      <a:prstGeom prst="straightConnector1">
                        <a:avLst/>
                      </a:prstGeom>
                      <a:noFill/>
                      <a:ln w="12700" cap="flat" cmpd="sng">
                        <a:solidFill>
                          <a:srgbClr val="0070C0"/>
                        </a:solidFill>
                        <a:prstDash val="solid"/>
                        <a:round/>
                        <a:headEnd type="none" w="sm" len="sm"/>
                        <a:tailEnd type="none" w="sm" len="sm"/>
                      </a:ln>
                    </wps:spPr>
                    <wps:bodyPr/>
                  </wps:wsp>
                </a:graphicData>
              </a:graphic>
            </wp:anchor>
          </w:drawing>
        </mc:Choice>
        <mc:Fallback>
          <w:pict>
            <v:shapetype w14:anchorId="08BC9A59" id="_x0000_t32" coordsize="21600,21600" o:spt="32" o:oned="t" path="m,l21600,21600e" filled="f">
              <v:path arrowok="t" fillok="f" o:connecttype="none"/>
              <o:lock v:ext="edit" shapetype="t"/>
            </v:shapetype>
            <v:shape id="Conector de Seta Reta 2" o:spid="_x0000_s1026" type="#_x0000_t32" style="position:absolute;margin-left:-11pt;margin-top:10pt;width:493.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" strokecolor="#0070c0" strokeweight="1pt">
              <v:stroke startarrowwidth="narrow" startarrowlength="short" endarrowwidth="narrow" endarrowlength="short"/>
            </v:shape>
          </w:pict>
        </mc:Fallback>
      </mc:AlternateContent>
    </w:r>
  </w:p>
  <w:p w14:paraId="443EA82F" w14:textId="77777777" w:rsidR="00000000" w:rsidRDefault="00000000">
    <w:pPr>
      <w:pBdr>
        <w:top w:val="nil"/>
        <w:left w:val="nil"/>
        <w:bottom w:val="nil"/>
        <w:right w:val="nil"/>
        <w:between w:val="nil"/>
      </w:pBdr>
      <w:spacing w:after="0"/>
      <w:ind w:left="-142" w:right="-143"/>
      <w:jc w:val="center"/>
      <w:rPr>
        <w:rFonts w:ascii="Arial" w:eastAsia="Arial" w:hAnsi="Arial" w:cs="Arial"/>
        <w:color w:val="000000"/>
        <w:sz w:val="23"/>
        <w:szCs w:val="23"/>
      </w:rPr>
    </w:pPr>
    <w:r>
      <w:rPr>
        <w:rFonts w:ascii="Arial" w:eastAsia="Arial" w:hAnsi="Arial" w:cs="Arial"/>
        <w:color w:val="000000"/>
        <w:sz w:val="23"/>
        <w:szCs w:val="23"/>
      </w:rPr>
      <w:t>REAS | Vol. XX |</w:t>
    </w:r>
    <w:r>
      <w:rPr>
        <w:rFonts w:ascii="Arial" w:eastAsia="Arial" w:hAnsi="Arial" w:cs="Arial"/>
        <w:b/>
        <w:color w:val="000000"/>
        <w:sz w:val="23"/>
        <w:szCs w:val="23"/>
      </w:rPr>
      <w:t xml:space="preserve"> </w:t>
    </w:r>
    <w:r>
      <w:rPr>
        <w:rFonts w:ascii="Arial" w:eastAsia="Arial" w:hAnsi="Arial" w:cs="Arial"/>
        <w:color w:val="000000"/>
        <w:sz w:val="23"/>
        <w:szCs w:val="23"/>
      </w:rPr>
      <w:t xml:space="preserve">DOI: </w:t>
    </w:r>
    <w:hyperlink r:id="rId1">
      <w:r>
        <w:rPr>
          <w:rFonts w:ascii="Arial" w:eastAsia="Arial" w:hAnsi="Arial" w:cs="Arial"/>
          <w:color w:val="4F81BD"/>
          <w:sz w:val="23"/>
          <w:szCs w:val="23"/>
        </w:rPr>
        <w:t>https://doi.org/10.25248/REAS.eXX.2021</w:t>
      </w:r>
    </w:hyperlink>
    <w:r>
      <w:rPr>
        <w:rFonts w:ascii="Arial" w:eastAsia="Arial" w:hAnsi="Arial" w:cs="Arial"/>
        <w:color w:val="4F81BD"/>
        <w:sz w:val="23"/>
        <w:szCs w:val="23"/>
      </w:rPr>
      <w:t xml:space="preserve"> </w:t>
    </w:r>
    <w:r>
      <w:rPr>
        <w:rFonts w:ascii="Arial" w:eastAsia="Arial" w:hAnsi="Arial" w:cs="Arial"/>
        <w:color w:val="4F81BD"/>
        <w:sz w:val="23"/>
        <w:szCs w:val="23"/>
      </w:rPr>
      <w:tab/>
    </w:r>
    <w:r>
      <w:rPr>
        <w:rFonts w:ascii="Arial" w:eastAsia="Arial" w:hAnsi="Arial" w:cs="Arial"/>
        <w:i/>
        <w:color w:val="000000"/>
        <w:sz w:val="23"/>
        <w:szCs w:val="23"/>
      </w:rPr>
      <w:t xml:space="preserve"> </w:t>
    </w:r>
    <w:r>
      <w:rPr>
        <w:rFonts w:ascii="Arial" w:eastAsia="Arial" w:hAnsi="Arial" w:cs="Arial"/>
        <w:i/>
        <w:color w:val="000000"/>
        <w:sz w:val="23"/>
        <w:szCs w:val="23"/>
      </w:rPr>
      <w:tab/>
    </w:r>
    <w:r>
      <w:rPr>
        <w:rFonts w:ascii="Arial" w:eastAsia="Arial" w:hAnsi="Arial" w:cs="Arial"/>
        <w:color w:val="000000"/>
        <w:sz w:val="23"/>
        <w:szCs w:val="23"/>
      </w:rPr>
      <w:t xml:space="preserve">Página </w:t>
    </w:r>
    <w:r>
      <w:rPr>
        <w:rFonts w:ascii="Arial" w:eastAsia="Arial" w:hAnsi="Arial" w:cs="Arial"/>
        <w:b/>
        <w:color w:val="000000"/>
        <w:sz w:val="23"/>
        <w:szCs w:val="23"/>
      </w:rPr>
      <w:fldChar w:fldCharType="begin"/>
    </w:r>
    <w:r>
      <w:rPr>
        <w:rFonts w:ascii="Arial" w:eastAsia="Arial" w:hAnsi="Arial" w:cs="Arial"/>
        <w:b/>
        <w:color w:val="000000"/>
        <w:sz w:val="23"/>
        <w:szCs w:val="23"/>
      </w:rPr>
      <w:instrText>PAGE</w:instrText>
    </w:r>
    <w:r>
      <w:rPr>
        <w:rFonts w:ascii="Arial" w:eastAsia="Arial" w:hAnsi="Arial" w:cs="Arial"/>
        <w:b/>
        <w:color w:val="000000"/>
        <w:sz w:val="23"/>
        <w:szCs w:val="23"/>
      </w:rPr>
      <w:fldChar w:fldCharType="separate"/>
    </w:r>
    <w:r>
      <w:rPr>
        <w:rFonts w:ascii="Arial" w:eastAsia="Arial" w:hAnsi="Arial" w:cs="Arial"/>
        <w:b/>
        <w:noProof/>
        <w:color w:val="000000"/>
        <w:sz w:val="23"/>
        <w:szCs w:val="23"/>
      </w:rPr>
      <w:t>1</w:t>
    </w:r>
    <w:r>
      <w:rPr>
        <w:rFonts w:ascii="Arial" w:eastAsia="Arial" w:hAnsi="Arial" w:cs="Arial"/>
        <w:b/>
        <w:color w:val="000000"/>
        <w:sz w:val="23"/>
        <w:szCs w:val="23"/>
      </w:rPr>
      <w:fldChar w:fldCharType="end"/>
    </w:r>
    <w:r>
      <w:rPr>
        <w:rFonts w:ascii="Arial" w:eastAsia="Arial" w:hAnsi="Arial" w:cs="Arial"/>
        <w:color w:val="000000"/>
        <w:sz w:val="23"/>
        <w:szCs w:val="23"/>
      </w:rPr>
      <w:t xml:space="preserve"> de </w:t>
    </w:r>
    <w:r>
      <w:rPr>
        <w:rFonts w:ascii="Arial" w:eastAsia="Arial" w:hAnsi="Arial" w:cs="Arial"/>
        <w:b/>
        <w:color w:val="000000"/>
        <w:sz w:val="23"/>
        <w:szCs w:val="23"/>
      </w:rPr>
      <w:fldChar w:fldCharType="begin"/>
    </w:r>
    <w:r>
      <w:rPr>
        <w:rFonts w:ascii="Arial" w:eastAsia="Arial" w:hAnsi="Arial" w:cs="Arial"/>
        <w:b/>
        <w:color w:val="000000"/>
        <w:sz w:val="23"/>
        <w:szCs w:val="23"/>
      </w:rPr>
      <w:instrText>NUMPAGES</w:instrText>
    </w:r>
    <w:r>
      <w:rPr>
        <w:rFonts w:ascii="Arial" w:eastAsia="Arial" w:hAnsi="Arial" w:cs="Arial"/>
        <w:b/>
        <w:color w:val="000000"/>
        <w:sz w:val="23"/>
        <w:szCs w:val="23"/>
      </w:rPr>
      <w:fldChar w:fldCharType="separate"/>
    </w:r>
    <w:r>
      <w:rPr>
        <w:rFonts w:ascii="Arial" w:eastAsia="Arial" w:hAnsi="Arial" w:cs="Arial"/>
        <w:b/>
        <w:noProof/>
        <w:color w:val="000000"/>
        <w:sz w:val="23"/>
        <w:szCs w:val="23"/>
      </w:rPr>
      <w:t>2</w:t>
    </w:r>
    <w:r>
      <w:rPr>
        <w:rFonts w:ascii="Arial" w:eastAsia="Arial" w:hAnsi="Arial" w:cs="Arial"/>
        <w:b/>
        <w:color w:val="000000"/>
        <w:sz w:val="23"/>
        <w:szCs w:val="2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D945" w14:textId="77777777" w:rsidR="00000000" w:rsidRDefault="00000000">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E75D5" w14:textId="77777777" w:rsidR="0040554D" w:rsidRDefault="0040554D" w:rsidP="00AE0F69">
      <w:pPr>
        <w:spacing w:after="0"/>
      </w:pPr>
      <w:r>
        <w:separator/>
      </w:r>
    </w:p>
  </w:footnote>
  <w:footnote w:type="continuationSeparator" w:id="0">
    <w:p w14:paraId="2692B7BB" w14:textId="77777777" w:rsidR="0040554D" w:rsidRDefault="0040554D" w:rsidP="00AE0F69">
      <w:pPr>
        <w:spacing w:after="0"/>
      </w:pPr>
      <w:r>
        <w:continuationSeparator/>
      </w:r>
    </w:p>
  </w:footnote>
  <w:footnote w:id="1">
    <w:p w14:paraId="7B9B4BB8" w14:textId="77777777" w:rsidR="00AE0F69" w:rsidRDefault="00AE0F69" w:rsidP="00AE0F69">
      <w:pPr>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Pontifícia Universidade Católica de Goiás (</w:t>
      </w:r>
      <w:r>
        <w:rPr>
          <w:rFonts w:ascii="Arial" w:eastAsia="Arial" w:hAnsi="Arial" w:cs="Arial"/>
          <w:sz w:val="20"/>
          <w:szCs w:val="20"/>
        </w:rPr>
        <w:t>PUC Goiás</w:t>
      </w:r>
      <w:r>
        <w:rPr>
          <w:rFonts w:ascii="Arial" w:eastAsia="Arial" w:hAnsi="Arial" w:cs="Arial"/>
          <w:color w:val="000000"/>
          <w:sz w:val="20"/>
          <w:szCs w:val="20"/>
        </w:rPr>
        <w:t xml:space="preserve">), </w:t>
      </w:r>
      <w:r>
        <w:rPr>
          <w:rFonts w:ascii="Arial" w:eastAsia="Arial" w:hAnsi="Arial" w:cs="Arial"/>
          <w:sz w:val="20"/>
          <w:szCs w:val="20"/>
        </w:rPr>
        <w:t>Goiânia - GO</w:t>
      </w:r>
      <w:r>
        <w:rPr>
          <w:rFonts w:ascii="Arial" w:eastAsia="Arial" w:hAnsi="Arial" w:cs="Arial"/>
          <w:color w:val="000000"/>
          <w:sz w:val="20"/>
          <w:szCs w:val="20"/>
        </w:rPr>
        <w:t>. *E-mail: izaisaissa@gmail.com</w:t>
      </w:r>
    </w:p>
    <w:p w14:paraId="0FB4C0D1" w14:textId="77777777" w:rsidR="00AE0F69" w:rsidRDefault="00AE0F69" w:rsidP="00AE0F69">
      <w:pPr>
        <w:pBdr>
          <w:top w:val="nil"/>
          <w:left w:val="nil"/>
          <w:bottom w:val="nil"/>
          <w:right w:val="nil"/>
          <w:between w:val="nil"/>
        </w:pBdr>
        <w:spacing w:after="0"/>
        <w:rPr>
          <w:rFonts w:ascii="Arial" w:eastAsia="Arial" w:hAnsi="Arial" w:cs="Arial"/>
          <w:b/>
          <w:color w:val="000000"/>
          <w:sz w:val="20"/>
          <w:szCs w:val="20"/>
          <w:highlight w:val="yellow"/>
        </w:rPr>
      </w:pPr>
    </w:p>
    <w:p w14:paraId="2455C5DA" w14:textId="77777777" w:rsidR="00AE0F69" w:rsidRDefault="00AE0F69" w:rsidP="00AE0F69">
      <w:p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SUBMETIDO EM: XX/2021 | ACEITO EM: XX/2021 | PUBLICADO EM: XX/2021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41151" w14:textId="77777777" w:rsidR="00000000" w:rsidRDefault="00000000">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6FD5" w14:textId="77777777" w:rsidR="00000000" w:rsidRDefault="00000000">
    <w:pPr>
      <w:pBdr>
        <w:top w:val="nil"/>
        <w:left w:val="nil"/>
        <w:bottom w:val="nil"/>
        <w:right w:val="nil"/>
        <w:between w:val="nil"/>
      </w:pBdr>
      <w:tabs>
        <w:tab w:val="center" w:pos="4680"/>
        <w:tab w:val="right" w:pos="9360"/>
      </w:tabs>
      <w:spacing w:after="0"/>
      <w:jc w:val="right"/>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Revista Eletrônica Acervo Saúde | ISSN 2178-2091</w:t>
    </w:r>
    <w:r>
      <w:rPr>
        <w:noProof/>
      </w:rPr>
      <w:drawing>
        <wp:anchor distT="0" distB="0" distL="114300" distR="114300" simplePos="0" relativeHeight="251659264" behindDoc="0" locked="0" layoutInCell="1" hidden="0" allowOverlap="1" wp14:anchorId="41C23565" wp14:editId="52874BEA">
          <wp:simplePos x="0" y="0"/>
          <wp:positionH relativeFrom="column">
            <wp:posOffset>1</wp:posOffset>
          </wp:positionH>
          <wp:positionV relativeFrom="paragraph">
            <wp:posOffset>-177799</wp:posOffset>
          </wp:positionV>
          <wp:extent cx="1524000" cy="37909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4000" cy="379095"/>
                  </a:xfrm>
                  <a:prstGeom prst="rect">
                    <a:avLst/>
                  </a:prstGeom>
                  <a:ln/>
                </pic:spPr>
              </pic:pic>
            </a:graphicData>
          </a:graphic>
        </wp:anchor>
      </w:drawing>
    </w:r>
  </w:p>
  <w:p w14:paraId="7CEBF500" w14:textId="77777777" w:rsidR="00000000" w:rsidRDefault="00000000">
    <w:pPr>
      <w:pBdr>
        <w:top w:val="nil"/>
        <w:left w:val="nil"/>
        <w:bottom w:val="nil"/>
        <w:right w:val="nil"/>
        <w:between w:val="nil"/>
      </w:pBdr>
      <w:tabs>
        <w:tab w:val="center" w:pos="4680"/>
        <w:tab w:val="right" w:pos="9360"/>
      </w:tabs>
      <w:spacing w:after="0"/>
      <w:rPr>
        <w:rFonts w:ascii="Arial" w:eastAsia="Arial" w:hAnsi="Arial" w:cs="Arial"/>
        <w:color w:val="000000"/>
      </w:rPr>
    </w:pPr>
    <w:r>
      <w:rPr>
        <w:noProof/>
      </w:rPr>
      <mc:AlternateContent>
        <mc:Choice Requires="wps">
          <w:drawing>
            <wp:anchor distT="0" distB="0" distL="114300" distR="114300" simplePos="0" relativeHeight="251660288" behindDoc="0" locked="0" layoutInCell="1" hidden="0" allowOverlap="1" wp14:anchorId="2B784340" wp14:editId="3FB8AFAA">
              <wp:simplePos x="0" y="0"/>
              <wp:positionH relativeFrom="column">
                <wp:posOffset>-38099</wp:posOffset>
              </wp:positionH>
              <wp:positionV relativeFrom="paragraph">
                <wp:posOffset>101600</wp:posOffset>
              </wp:positionV>
              <wp:extent cx="6267450" cy="19050"/>
              <wp:effectExtent l="0" t="0" r="0" b="0"/>
              <wp:wrapNone/>
              <wp:docPr id="1" name="Conector de Seta Reta 1"/>
              <wp:cNvGraphicFramePr/>
              <a:graphic xmlns:a="http://schemas.openxmlformats.org/drawingml/2006/main">
                <a:graphicData uri="http://schemas.microsoft.com/office/word/2010/wordprocessingShape">
                  <wps:wsp>
                    <wps:cNvCnPr/>
                    <wps:spPr>
                      <a:xfrm>
                        <a:off x="2212275" y="3780000"/>
                        <a:ext cx="6267450" cy="0"/>
                      </a:xfrm>
                      <a:prstGeom prst="straightConnector1">
                        <a:avLst/>
                      </a:prstGeom>
                      <a:noFill/>
                      <a:ln w="19050" cap="flat" cmpd="sng">
                        <a:solidFill>
                          <a:srgbClr val="0070C0"/>
                        </a:solidFill>
                        <a:prstDash val="solid"/>
                        <a:round/>
                        <a:headEnd type="none" w="sm" len="sm"/>
                        <a:tailEnd type="none" w="sm" len="sm"/>
                      </a:ln>
                    </wps:spPr>
                    <wps:bodyPr/>
                  </wps:wsp>
                </a:graphicData>
              </a:graphic>
            </wp:anchor>
          </w:drawing>
        </mc:Choice>
        <mc:Fallback>
          <w:pict>
            <v:shapetype w14:anchorId="1E2873CE" id="_x0000_t32" coordsize="21600,21600" o:spt="32" o:oned="t" path="m,l21600,21600e" filled="f">
              <v:path arrowok="t" fillok="f" o:connecttype="none"/>
              <o:lock v:ext="edit" shapetype="t"/>
            </v:shapetype>
            <v:shape id="Conector de Seta Reta 1" o:spid="_x0000_s1026" type="#_x0000_t32" style="position:absolute;margin-left:-3pt;margin-top:8pt;width:493.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" strokecolor="#0070c0" strokeweight="1.5pt">
              <v:stroke startarrowwidth="narrow" startarrowlength="short" endarrowwidth="narrow" endarrowlength="short"/>
            </v:shape>
          </w:pict>
        </mc:Fallback>
      </mc:AlternateContent>
    </w:r>
  </w:p>
  <w:p w14:paraId="0322EACE" w14:textId="77777777" w:rsidR="00000000" w:rsidRDefault="00000000">
    <w:pPr>
      <w:pBdr>
        <w:top w:val="nil"/>
        <w:left w:val="nil"/>
        <w:bottom w:val="nil"/>
        <w:right w:val="nil"/>
        <w:between w:val="nil"/>
      </w:pBdr>
      <w:tabs>
        <w:tab w:val="center" w:pos="4680"/>
        <w:tab w:val="right" w:pos="9360"/>
      </w:tabs>
      <w:spacing w:after="0"/>
      <w:rPr>
        <w:rFonts w:ascii="Arial" w:eastAsia="Arial" w:hAnsi="Arial" w:cs="Arial"/>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60CC" w14:textId="77777777" w:rsidR="00000000" w:rsidRDefault="00000000">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C35C4"/>
    <w:multiLevelType w:val="multilevel"/>
    <w:tmpl w:val="CB5E8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791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69"/>
    <w:rsid w:val="00284F1E"/>
    <w:rsid w:val="00294127"/>
    <w:rsid w:val="003122DD"/>
    <w:rsid w:val="003C2998"/>
    <w:rsid w:val="0040554D"/>
    <w:rsid w:val="006733F1"/>
    <w:rsid w:val="0073717F"/>
    <w:rsid w:val="00895693"/>
    <w:rsid w:val="00AD3C6B"/>
    <w:rsid w:val="00AE0F69"/>
    <w:rsid w:val="00E54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7B4C"/>
  <w15:chartTrackingRefBased/>
  <w15:docId w15:val="{3F995BFE-D3C4-5342-89B6-7B9B6972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0F69"/>
    <w:pPr>
      <w:spacing w:after="200"/>
    </w:pPr>
    <w:rPr>
      <w:rFonts w:ascii="Cambria" w:eastAsia="Cambria" w:hAnsi="Cambria" w:cs="Cambria"/>
      <w:kern w:val="0"/>
      <w:lang w:eastAsia="pt-BR"/>
      <w14:ligatures w14:val="none"/>
    </w:rPr>
  </w:style>
  <w:style w:type="paragraph" w:styleId="Ttulo1">
    <w:name w:val="heading 1"/>
    <w:basedOn w:val="Normal"/>
    <w:next w:val="Normal"/>
    <w:link w:val="Ttulo1Char"/>
    <w:uiPriority w:val="9"/>
    <w:qFormat/>
    <w:rsid w:val="00AE0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E0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E0F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E0F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E0F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E0F6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E0F6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E0F6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E0F69"/>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E0F6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E0F6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E0F6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E0F6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E0F6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E0F6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E0F6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E0F6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E0F69"/>
    <w:rPr>
      <w:rFonts w:eastAsiaTheme="majorEastAsia" w:cstheme="majorBidi"/>
      <w:color w:val="272727" w:themeColor="text1" w:themeTint="D8"/>
    </w:rPr>
  </w:style>
  <w:style w:type="paragraph" w:styleId="Ttulo">
    <w:name w:val="Title"/>
    <w:basedOn w:val="Normal"/>
    <w:next w:val="Normal"/>
    <w:link w:val="TtuloChar"/>
    <w:uiPriority w:val="10"/>
    <w:qFormat/>
    <w:rsid w:val="00AE0F69"/>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E0F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E0F69"/>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E0F6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E0F69"/>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AE0F69"/>
    <w:rPr>
      <w:i/>
      <w:iCs/>
      <w:color w:val="404040" w:themeColor="text1" w:themeTint="BF"/>
    </w:rPr>
  </w:style>
  <w:style w:type="paragraph" w:styleId="PargrafodaLista">
    <w:name w:val="List Paragraph"/>
    <w:basedOn w:val="Normal"/>
    <w:uiPriority w:val="34"/>
    <w:qFormat/>
    <w:rsid w:val="00AE0F69"/>
    <w:pPr>
      <w:ind w:left="720"/>
      <w:contextualSpacing/>
    </w:pPr>
  </w:style>
  <w:style w:type="character" w:styleId="nfaseIntensa">
    <w:name w:val="Intense Emphasis"/>
    <w:basedOn w:val="Fontepargpadro"/>
    <w:uiPriority w:val="21"/>
    <w:qFormat/>
    <w:rsid w:val="00AE0F69"/>
    <w:rPr>
      <w:i/>
      <w:iCs/>
      <w:color w:val="0F4761" w:themeColor="accent1" w:themeShade="BF"/>
    </w:rPr>
  </w:style>
  <w:style w:type="paragraph" w:styleId="CitaoIntensa">
    <w:name w:val="Intense Quote"/>
    <w:basedOn w:val="Normal"/>
    <w:next w:val="Normal"/>
    <w:link w:val="CitaoIntensaChar"/>
    <w:uiPriority w:val="30"/>
    <w:qFormat/>
    <w:rsid w:val="00AE0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E0F69"/>
    <w:rPr>
      <w:i/>
      <w:iCs/>
      <w:color w:val="0F4761" w:themeColor="accent1" w:themeShade="BF"/>
    </w:rPr>
  </w:style>
  <w:style w:type="character" w:styleId="RefernciaIntensa">
    <w:name w:val="Intense Reference"/>
    <w:basedOn w:val="Fontepargpadro"/>
    <w:uiPriority w:val="32"/>
    <w:qFormat/>
    <w:rsid w:val="00AE0F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oi.org/10.25248/REAS.eXX.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3965</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Roberpaulo Anacleto Neves</dc:creator>
  <cp:keywords/>
  <dc:description/>
  <cp:lastModifiedBy>Roberpaulo Anacleto Neves</cp:lastModifiedBy>
  <cp:revision>1</cp:revision>
  <dcterms:created xsi:type="dcterms:W3CDTF">2025-06-19T12:09:00Z</dcterms:created>
  <dcterms:modified xsi:type="dcterms:W3CDTF">2025-06-19T12:09:00Z</dcterms:modified>
</cp:coreProperties>
</file>