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B5CF" w14:textId="77777777" w:rsidR="000D4CD4" w:rsidRPr="003D604F" w:rsidRDefault="003244F3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04F">
        <w:rPr>
          <w:rFonts w:ascii="Times New Roman" w:hAnsi="Times New Roman" w:cs="Times New Roman"/>
          <w:sz w:val="24"/>
          <w:szCs w:val="24"/>
        </w:rPr>
        <w:t>PONTIFÍCIA UNIVERSIDADE CATÓLICA DE GOIÁS</w:t>
      </w:r>
    </w:p>
    <w:p w14:paraId="51768A62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04F">
        <w:rPr>
          <w:rFonts w:ascii="Times New Roman" w:hAnsi="Times New Roman" w:cs="Times New Roman"/>
          <w:sz w:val="24"/>
          <w:szCs w:val="24"/>
        </w:rPr>
        <w:t xml:space="preserve">CURSO DE </w:t>
      </w:r>
      <w:r w:rsidR="003244F3" w:rsidRPr="003D604F">
        <w:rPr>
          <w:rFonts w:ascii="Times New Roman" w:hAnsi="Times New Roman" w:cs="Times New Roman"/>
          <w:sz w:val="24"/>
          <w:szCs w:val="24"/>
        </w:rPr>
        <w:t xml:space="preserve">BACHAREL </w:t>
      </w:r>
      <w:r w:rsidRPr="003D604F">
        <w:rPr>
          <w:rFonts w:ascii="Times New Roman" w:hAnsi="Times New Roman" w:cs="Times New Roman"/>
          <w:sz w:val="24"/>
          <w:szCs w:val="24"/>
        </w:rPr>
        <w:t xml:space="preserve">EM </w:t>
      </w:r>
      <w:r w:rsidR="003244F3" w:rsidRPr="003D604F">
        <w:rPr>
          <w:rFonts w:ascii="Times New Roman" w:hAnsi="Times New Roman" w:cs="Times New Roman"/>
          <w:sz w:val="24"/>
          <w:szCs w:val="24"/>
        </w:rPr>
        <w:t>FARMÁCIA</w:t>
      </w:r>
    </w:p>
    <w:p w14:paraId="4BA7B6AE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80C52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DA132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DDB4C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C467A" w14:textId="77777777" w:rsidR="000D4CD4" w:rsidRPr="003D604F" w:rsidRDefault="003244F3" w:rsidP="000D4C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4F">
        <w:rPr>
          <w:rFonts w:ascii="Times New Roman" w:hAnsi="Times New Roman" w:cs="Times New Roman"/>
          <w:b/>
          <w:bCs/>
          <w:sz w:val="24"/>
          <w:szCs w:val="24"/>
        </w:rPr>
        <w:t>AUCIRLEI ALMEIDA DE SOUSA</w:t>
      </w:r>
    </w:p>
    <w:p w14:paraId="1FEC2662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940F6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8E0285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038A65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F88CA" w14:textId="77777777" w:rsidR="00AA39F0" w:rsidRPr="003D604F" w:rsidRDefault="00AA39F0" w:rsidP="00AA39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4F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REVISÃO </w:t>
      </w:r>
      <w:r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DA LITERATURA SOBRE</w:t>
      </w:r>
      <w:r w:rsidRPr="003D604F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CASOS DE IN</w:t>
      </w:r>
      <w:r w:rsidRPr="003D604F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TOXICA</w:t>
      </w:r>
      <w:r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ÇÃO COM </w:t>
      </w:r>
      <w:r w:rsidRPr="003D604F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PARACETAMOL</w:t>
      </w:r>
    </w:p>
    <w:p w14:paraId="2DB07CC3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AF13D0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7FDA2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A1F59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15799" w14:textId="77777777" w:rsidR="000D4CD4" w:rsidRPr="003D604F" w:rsidRDefault="000D4CD4" w:rsidP="000D4CD4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A6040" w14:textId="77777777" w:rsidR="000D4CD4" w:rsidRPr="003D604F" w:rsidRDefault="000D4CD4" w:rsidP="000D4CD4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B3EA9" w14:textId="77777777" w:rsidR="005369EE" w:rsidRPr="003D604F" w:rsidRDefault="005369EE" w:rsidP="000D4CD4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F90D7" w14:textId="77777777" w:rsidR="005369EE" w:rsidRPr="003D604F" w:rsidRDefault="005369EE" w:rsidP="000D4CD4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471D5" w14:textId="77777777" w:rsidR="000D4CD4" w:rsidRPr="003D604F" w:rsidRDefault="000D4CD4" w:rsidP="000D4CD4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FB72B" w14:textId="77777777" w:rsidR="000D4CD4" w:rsidRPr="003D604F" w:rsidRDefault="000D4CD4" w:rsidP="000D4CD4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  <w:sectPr w:rsidR="000D4CD4" w:rsidRPr="003D604F" w:rsidSect="0052765F">
          <w:footerReference w:type="default" r:id="rId8"/>
          <w:type w:val="continuous"/>
          <w:pgSz w:w="11906" w:h="16838"/>
          <w:pgMar w:top="1701" w:right="1134" w:bottom="1134" w:left="1701" w:header="720" w:footer="720" w:gutter="0"/>
          <w:cols w:space="720"/>
          <w:docGrid w:linePitch="360"/>
        </w:sectPr>
      </w:pPr>
      <w:r w:rsidRPr="003D604F">
        <w:rPr>
          <w:rFonts w:ascii="Times New Roman" w:hAnsi="Times New Roman" w:cs="Times New Roman"/>
          <w:sz w:val="24"/>
          <w:szCs w:val="24"/>
        </w:rPr>
        <w:t>Goiânia - 20</w:t>
      </w:r>
      <w:r w:rsidR="00C92554" w:rsidRPr="003D604F">
        <w:rPr>
          <w:rFonts w:ascii="Times New Roman" w:hAnsi="Times New Roman" w:cs="Times New Roman"/>
          <w:sz w:val="24"/>
          <w:szCs w:val="24"/>
        </w:rPr>
        <w:t>24</w:t>
      </w:r>
    </w:p>
    <w:p w14:paraId="19D0B752" w14:textId="77777777" w:rsidR="00350C1A" w:rsidRPr="003D604F" w:rsidRDefault="00350C1A" w:rsidP="00350C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4F">
        <w:rPr>
          <w:rFonts w:ascii="Times New Roman" w:hAnsi="Times New Roman" w:cs="Times New Roman"/>
          <w:b/>
          <w:bCs/>
          <w:sz w:val="24"/>
          <w:szCs w:val="24"/>
        </w:rPr>
        <w:lastRenderedPageBreak/>
        <w:t>AUCIRLEI ALMEIDA DE SOUSA</w:t>
      </w:r>
    </w:p>
    <w:p w14:paraId="0D54BEA5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287F4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C63E1B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980EE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3EC40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382E27" w14:textId="77777777" w:rsidR="00F562AD" w:rsidRPr="003D604F" w:rsidRDefault="00F562AD" w:rsidP="00F562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F7DA9" w14:textId="6BFEA15E" w:rsidR="00F562AD" w:rsidRPr="003D604F" w:rsidRDefault="00F562AD" w:rsidP="00F562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4F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REVISÃO </w:t>
      </w:r>
      <w:r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DA LITERATURA SOBRE</w:t>
      </w:r>
      <w:r w:rsidRPr="003D604F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CASOS DE IN</w:t>
      </w:r>
      <w:r w:rsidRPr="003D604F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TOXICA</w:t>
      </w:r>
      <w:r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ÇÃO COM </w:t>
      </w:r>
      <w:r w:rsidRPr="003D604F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PARACETAMOL</w:t>
      </w:r>
    </w:p>
    <w:p w14:paraId="24B89753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2122F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36F97" w14:textId="77777777" w:rsidR="00202AF1" w:rsidRDefault="00346747" w:rsidP="000D4CD4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D604F">
        <w:rPr>
          <w:rFonts w:ascii="Times New Roman" w:hAnsi="Times New Roman" w:cs="Times New Roman"/>
          <w:sz w:val="24"/>
          <w:szCs w:val="24"/>
        </w:rPr>
        <w:t>T</w:t>
      </w:r>
      <w:r w:rsidRPr="003D604F">
        <w:rPr>
          <w:rFonts w:ascii="Times New Roman" w:hAnsi="Times New Roman" w:cs="Times New Roman"/>
          <w:color w:val="000000"/>
          <w:sz w:val="24"/>
          <w:szCs w:val="24"/>
        </w:rPr>
        <w:t>rabalho de Conclusão de Curso</w:t>
      </w:r>
      <w:r w:rsidRPr="003D604F">
        <w:rPr>
          <w:rFonts w:ascii="Times New Roman" w:hAnsi="Times New Roman" w:cs="Times New Roman"/>
          <w:sz w:val="24"/>
          <w:szCs w:val="24"/>
        </w:rPr>
        <w:t xml:space="preserve"> d</w:t>
      </w:r>
      <w:r w:rsidR="000D4CD4" w:rsidRPr="003D604F">
        <w:rPr>
          <w:rFonts w:ascii="Times New Roman" w:hAnsi="Times New Roman" w:cs="Times New Roman"/>
          <w:sz w:val="24"/>
          <w:szCs w:val="24"/>
        </w:rPr>
        <w:t xml:space="preserve">o Curso de </w:t>
      </w:r>
      <w:r w:rsidRPr="003D604F">
        <w:rPr>
          <w:rFonts w:ascii="Times New Roman" w:hAnsi="Times New Roman" w:cs="Times New Roman"/>
          <w:sz w:val="24"/>
          <w:szCs w:val="24"/>
        </w:rPr>
        <w:t>G</w:t>
      </w:r>
      <w:r w:rsidR="000D4CD4" w:rsidRPr="003D604F">
        <w:rPr>
          <w:rFonts w:ascii="Times New Roman" w:hAnsi="Times New Roman" w:cs="Times New Roman"/>
          <w:sz w:val="24"/>
          <w:szCs w:val="24"/>
        </w:rPr>
        <w:t xml:space="preserve">raduação em </w:t>
      </w:r>
      <w:r w:rsidRPr="003D604F">
        <w:rPr>
          <w:rFonts w:ascii="Times New Roman" w:hAnsi="Times New Roman" w:cs="Times New Roman"/>
          <w:sz w:val="24"/>
          <w:szCs w:val="24"/>
        </w:rPr>
        <w:t>Farmácia</w:t>
      </w:r>
      <w:r w:rsidR="000D4CD4" w:rsidRPr="003D604F">
        <w:rPr>
          <w:rFonts w:ascii="Times New Roman" w:hAnsi="Times New Roman" w:cs="Times New Roman"/>
          <w:sz w:val="24"/>
          <w:szCs w:val="24"/>
        </w:rPr>
        <w:t xml:space="preserve"> da </w:t>
      </w:r>
      <w:r w:rsidRPr="003D604F">
        <w:rPr>
          <w:rFonts w:ascii="Times New Roman" w:hAnsi="Times New Roman" w:cs="Times New Roman"/>
          <w:sz w:val="24"/>
          <w:szCs w:val="24"/>
        </w:rPr>
        <w:t xml:space="preserve">Universidade Católica de Goiás </w:t>
      </w:r>
    </w:p>
    <w:p w14:paraId="76D07667" w14:textId="05B0FECE" w:rsidR="000D4CD4" w:rsidRPr="003D604F" w:rsidRDefault="000D4CD4" w:rsidP="000D4CD4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3D604F">
        <w:rPr>
          <w:rFonts w:ascii="Times New Roman" w:hAnsi="Times New Roman" w:cs="Times New Roman"/>
          <w:sz w:val="24"/>
          <w:szCs w:val="24"/>
        </w:rPr>
        <w:t>Prof</w:t>
      </w:r>
      <w:r w:rsidR="00346747" w:rsidRPr="003D604F">
        <w:rPr>
          <w:rFonts w:ascii="Times New Roman" w:hAnsi="Times New Roman" w:cs="Times New Roman"/>
          <w:sz w:val="24"/>
          <w:szCs w:val="24"/>
        </w:rPr>
        <w:t>essora</w:t>
      </w:r>
      <w:r w:rsidR="00202AF1">
        <w:rPr>
          <w:rFonts w:ascii="Times New Roman" w:hAnsi="Times New Roman" w:cs="Times New Roman"/>
          <w:sz w:val="24"/>
          <w:szCs w:val="24"/>
        </w:rPr>
        <w:t xml:space="preserve"> orientadora</w:t>
      </w:r>
      <w:r w:rsidR="00346747" w:rsidRPr="003D604F">
        <w:rPr>
          <w:rFonts w:ascii="Times New Roman" w:hAnsi="Times New Roman" w:cs="Times New Roman"/>
          <w:sz w:val="24"/>
          <w:szCs w:val="24"/>
        </w:rPr>
        <w:t>:</w:t>
      </w:r>
      <w:r w:rsidRPr="003D604F">
        <w:rPr>
          <w:rFonts w:ascii="Times New Roman" w:hAnsi="Times New Roman" w:cs="Times New Roman"/>
          <w:sz w:val="24"/>
          <w:szCs w:val="24"/>
        </w:rPr>
        <w:t>.</w:t>
      </w:r>
    </w:p>
    <w:p w14:paraId="365B4BBF" w14:textId="77777777" w:rsidR="000D4CD4" w:rsidRPr="003D604F" w:rsidRDefault="000D4CD4" w:rsidP="000D4CD4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6775C1D1" w14:textId="77777777" w:rsidR="000D4CD4" w:rsidRDefault="000D4CD4" w:rsidP="000D4C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C6666" w14:textId="77777777" w:rsidR="00F562AD" w:rsidRDefault="00F562AD" w:rsidP="000D4C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21E27" w14:textId="77777777" w:rsidR="00F562AD" w:rsidRPr="003D604F" w:rsidRDefault="00F562AD" w:rsidP="000D4C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94A31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FF66B" w14:textId="77777777" w:rsidR="000D4CD4" w:rsidRPr="003D604F" w:rsidRDefault="000D4CD4" w:rsidP="000D4C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68328" w14:textId="6893D651" w:rsidR="00033603" w:rsidRDefault="00033603" w:rsidP="000D4C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1D6C4" w14:textId="77777777" w:rsidR="00202AF1" w:rsidRPr="003D604F" w:rsidRDefault="00202AF1" w:rsidP="000D4C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339AE" w14:textId="77777777" w:rsidR="000D4CD4" w:rsidRPr="003D604F" w:rsidRDefault="000D4CD4" w:rsidP="000D4CD4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D604F">
        <w:rPr>
          <w:rFonts w:ascii="Times New Roman" w:hAnsi="Times New Roman" w:cs="Times New Roman"/>
          <w:sz w:val="24"/>
          <w:szCs w:val="24"/>
        </w:rPr>
        <w:t>Goiânia - 20</w:t>
      </w:r>
      <w:r w:rsidR="00346747" w:rsidRPr="003D604F">
        <w:rPr>
          <w:rFonts w:ascii="Times New Roman" w:hAnsi="Times New Roman" w:cs="Times New Roman"/>
          <w:sz w:val="24"/>
          <w:szCs w:val="24"/>
        </w:rPr>
        <w:t>24</w:t>
      </w:r>
    </w:p>
    <w:p w14:paraId="5D5B8566" w14:textId="2DA699A6" w:rsidR="00525871" w:rsidRDefault="00525871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6B61445A" w14:textId="0D8822BD" w:rsidR="00CC5D76" w:rsidRDefault="00CC5D76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3AA971D2" w14:textId="118051DE" w:rsidR="00CC5D76" w:rsidRDefault="00CC5D76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02D17D8E" w14:textId="77777777" w:rsidR="00CC5D76" w:rsidRDefault="00CC5D76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13217707" w14:textId="79C6DEBA" w:rsidR="000D4CD4" w:rsidRPr="003D604F" w:rsidRDefault="00875248" w:rsidP="000D4CD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604F">
        <w:rPr>
          <w:rFonts w:ascii="Times New Roman" w:hAnsi="Times New Roman" w:cs="Times New Roman"/>
          <w:b/>
          <w:sz w:val="24"/>
          <w:szCs w:val="24"/>
        </w:rPr>
        <w:lastRenderedPageBreak/>
        <w:t>RE</w:t>
      </w:r>
      <w:r w:rsidR="000D4CD4" w:rsidRPr="003D604F">
        <w:rPr>
          <w:rFonts w:ascii="Times New Roman" w:hAnsi="Times New Roman" w:cs="Times New Roman"/>
          <w:b/>
          <w:sz w:val="24"/>
          <w:szCs w:val="24"/>
        </w:rPr>
        <w:t>SUMO</w:t>
      </w:r>
    </w:p>
    <w:p w14:paraId="729FA7B3" w14:textId="553C7869" w:rsidR="00096A20" w:rsidRPr="00CC5D76" w:rsidRDefault="00096A20" w:rsidP="00CC5D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Nos últimos anos a indústria farmacêutica cresceu de forma extraordinária, proporcionalmente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também aumentou 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>o número de intoxicações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em parte devido à venda indiscriminada de medicamentos. </w:t>
      </w:r>
      <w:r w:rsidRPr="007A7BB7">
        <w:rPr>
          <w:rFonts w:ascii="Times New Roman" w:hAnsi="Times New Roman" w:cs="Times New Roman"/>
          <w:color w:val="000000"/>
          <w:sz w:val="24"/>
          <w:szCs w:val="24"/>
        </w:rPr>
        <w:t>Pode-se ressaltar que dentre os fármacos que mais intoxicam estão os analgésicos, antitérmicos e anti-inflamatórios, (Anti-inflamatório não esteroidais - AINES) uma vez que são bastante utilizados devido a sua indicação terapêutica e por serem medicamentos isentos de prescrição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3011">
        <w:rPr>
          <w:rFonts w:ascii="Times New Roman" w:hAnsi="Times New Roman" w:cs="Times New Roman"/>
          <w:color w:val="000000"/>
          <w:sz w:val="24"/>
          <w:szCs w:val="24"/>
        </w:rPr>
        <w:t xml:space="preserve">Relatos de </w:t>
      </w:r>
      <w:r w:rsidR="003D3011" w:rsidRPr="007A7BB7">
        <w:rPr>
          <w:rFonts w:ascii="Times New Roman" w:hAnsi="Times New Roman" w:cs="Times New Roman"/>
        </w:rPr>
        <w:t>lesão hepátic</w:t>
      </w:r>
      <w:r w:rsidR="003D3011">
        <w:rPr>
          <w:rFonts w:ascii="Times New Roman" w:hAnsi="Times New Roman" w:cs="Times New Roman"/>
        </w:rPr>
        <w:t>a,</w:t>
      </w:r>
      <w:r w:rsidR="00F86F69">
        <w:rPr>
          <w:rFonts w:ascii="Times New Roman" w:hAnsi="Times New Roman" w:cs="Times New Roman"/>
        </w:rPr>
        <w:t xml:space="preserve"> </w:t>
      </w:r>
      <w:r w:rsidR="00F86F69" w:rsidRPr="0052765F">
        <w:rPr>
          <w:rFonts w:ascii="Times New Roman" w:hAnsi="Times New Roman" w:cs="Times New Roman"/>
          <w:sz w:val="24"/>
          <w:szCs w:val="24"/>
        </w:rPr>
        <w:t>meningite asséptica</w:t>
      </w:r>
      <w:r w:rsidR="00F86F69">
        <w:rPr>
          <w:rFonts w:ascii="Times New Roman" w:hAnsi="Times New Roman" w:cs="Times New Roman"/>
          <w:sz w:val="24"/>
          <w:szCs w:val="24"/>
        </w:rPr>
        <w:t xml:space="preserve">, </w:t>
      </w:r>
      <w:r w:rsidR="00F86F69" w:rsidRPr="00D462B7">
        <w:rPr>
          <w:rFonts w:ascii="Times New Roman" w:hAnsi="Times New Roman" w:cs="Times New Roman"/>
          <w:sz w:val="24"/>
          <w:szCs w:val="24"/>
        </w:rPr>
        <w:t xml:space="preserve">sangramento intestinal, sinais de choque, discreta hepatomegalia, </w:t>
      </w:r>
      <w:proofErr w:type="spellStart"/>
      <w:r w:rsidR="00F86F69" w:rsidRPr="00D462B7">
        <w:rPr>
          <w:rFonts w:ascii="Times New Roman" w:hAnsi="Times New Roman" w:cs="Times New Roman"/>
          <w:sz w:val="24"/>
          <w:szCs w:val="24"/>
        </w:rPr>
        <w:t>coagulopatia</w:t>
      </w:r>
      <w:proofErr w:type="spellEnd"/>
      <w:r w:rsidR="00F86F69" w:rsidRPr="00D462B7">
        <w:rPr>
          <w:rFonts w:ascii="Times New Roman" w:hAnsi="Times New Roman" w:cs="Times New Roman"/>
          <w:sz w:val="24"/>
          <w:szCs w:val="24"/>
        </w:rPr>
        <w:t>, acidose metabólica, caso de hepatotoxicidade grave</w:t>
      </w:r>
      <w:r w:rsidR="00F86F69">
        <w:rPr>
          <w:rFonts w:ascii="Times New Roman" w:hAnsi="Times New Roman" w:cs="Times New Roman"/>
          <w:sz w:val="24"/>
          <w:szCs w:val="24"/>
        </w:rPr>
        <w:t xml:space="preserve">, </w:t>
      </w:r>
      <w:r w:rsidR="00F86F69" w:rsidRPr="007A7BB7">
        <w:rPr>
          <w:rFonts w:ascii="Times New Roman" w:hAnsi="Times New Roman" w:cs="Times New Roman"/>
          <w:sz w:val="24"/>
          <w:szCs w:val="24"/>
        </w:rPr>
        <w:t xml:space="preserve">agranulocitose induzida por </w:t>
      </w:r>
      <w:r w:rsidR="00F86F69">
        <w:rPr>
          <w:rFonts w:ascii="Times New Roman" w:hAnsi="Times New Roman" w:cs="Times New Roman"/>
          <w:sz w:val="24"/>
          <w:szCs w:val="24"/>
        </w:rPr>
        <w:t xml:space="preserve">dipirona sódica </w:t>
      </w:r>
      <w:r w:rsidR="00F86F69" w:rsidRPr="00F86F69">
        <w:rPr>
          <w:rFonts w:ascii="Times New Roman" w:hAnsi="Times New Roman" w:cs="Times New Roman"/>
          <w:sz w:val="24"/>
          <w:szCs w:val="24"/>
        </w:rPr>
        <w:t>e transplante hepático</w:t>
      </w:r>
      <w:r w:rsidR="00973DAA">
        <w:rPr>
          <w:rFonts w:ascii="Times New Roman" w:hAnsi="Times New Roman" w:cs="Times New Roman"/>
          <w:sz w:val="24"/>
          <w:szCs w:val="24"/>
        </w:rPr>
        <w:t xml:space="preserve"> pelo uso de paracetamol. </w:t>
      </w:r>
      <w:r w:rsidRPr="00FA1405">
        <w:rPr>
          <w:rFonts w:ascii="Times New Roman" w:hAnsi="Times New Roman" w:cs="Times New Roman"/>
          <w:sz w:val="24"/>
          <w:szCs w:val="24"/>
        </w:rPr>
        <w:t>Segundo o Sistema Nacional de Informações Tóxico-Farmacológica no Brasil desde 1994 os medicamentos foram a principal causa de intoxicação, ocupando o primeiro lugar no ranking, e o segundo lugar em número de óbitos dentre todos os agentes notificados na base de dados.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3BA">
        <w:rPr>
          <w:rFonts w:ascii="Times New Roman" w:hAnsi="Times New Roman" w:cs="Times New Roman"/>
          <w:sz w:val="24"/>
          <w:szCs w:val="24"/>
        </w:rPr>
        <w:t>Este trabalho tem como objetivo realizar um levantamento bibliográfico de relatos de casos e estudos epidemiológicos de intoxicações medicamentosas ocorridas com Paracetamol, nos últimos dez anos.</w:t>
      </w:r>
    </w:p>
    <w:p w14:paraId="5C2F9723" w14:textId="77777777" w:rsidR="00202AF1" w:rsidRDefault="00202AF1" w:rsidP="00096A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E867B" w14:textId="247EA254" w:rsidR="0094762E" w:rsidRPr="0052765F" w:rsidRDefault="0094762E" w:rsidP="005276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 Chaves: Intoxicação, anti-inflamatórios e</w:t>
      </w:r>
      <w:r w:rsidR="00AC0C53">
        <w:rPr>
          <w:rFonts w:ascii="Times New Roman" w:hAnsi="Times New Roman" w:cs="Times New Roman"/>
          <w:b/>
          <w:bCs/>
          <w:sz w:val="24"/>
          <w:szCs w:val="24"/>
        </w:rPr>
        <w:t xml:space="preserve"> paracetamol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1F1656D" w14:textId="77777777" w:rsidR="00096A20" w:rsidRDefault="00096A20" w:rsidP="00096A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CCF9E9" w14:textId="77777777" w:rsidR="00096A20" w:rsidRDefault="00096A20" w:rsidP="00096A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9C4E76" w14:textId="77777777" w:rsidR="00096A20" w:rsidRDefault="00096A20" w:rsidP="00096A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DFF5DA" w14:textId="457AF782" w:rsidR="000D4CD4" w:rsidRDefault="000D4CD4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61FD85DA" w14:textId="77777777" w:rsidR="002D3454" w:rsidRDefault="002D3454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5221C681" w14:textId="77777777" w:rsidR="002D3454" w:rsidRDefault="002D3454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57719268" w14:textId="77777777" w:rsidR="002D3454" w:rsidRDefault="002D3454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7C52C954" w14:textId="77777777" w:rsidR="002D3454" w:rsidRDefault="002D3454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0A2C755E" w14:textId="77777777" w:rsidR="002D3454" w:rsidRDefault="002D3454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3AF0C195" w14:textId="77777777" w:rsidR="002D3454" w:rsidRDefault="002D3454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21F09930" w14:textId="77777777" w:rsidR="002D3454" w:rsidRDefault="002D3454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531917F0" w14:textId="77777777" w:rsidR="002D3454" w:rsidRDefault="002D3454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237341A1" w14:textId="77777777" w:rsidR="002D3454" w:rsidRDefault="002D3454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72EB17BE" w14:textId="77777777" w:rsidR="002D3454" w:rsidRPr="003D604F" w:rsidRDefault="002D3454" w:rsidP="000D4CD4">
      <w:pPr>
        <w:rPr>
          <w:rFonts w:ascii="Times New Roman" w:hAnsi="Times New Roman" w:cs="Times New Roman"/>
          <w:b/>
          <w:sz w:val="24"/>
          <w:szCs w:val="24"/>
        </w:rPr>
      </w:pPr>
    </w:p>
    <w:p w14:paraId="44118AB0" w14:textId="3FAA0F56" w:rsidR="00F05F1C" w:rsidRDefault="00F05F1C"/>
    <w:p w14:paraId="18AF252C" w14:textId="7DA53E2E" w:rsidR="00C4110D" w:rsidRPr="003D604F" w:rsidRDefault="00CC5D76" w:rsidP="00CC5D76">
      <w:pPr>
        <w:tabs>
          <w:tab w:val="left" w:pos="2928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Toc179136715"/>
      <w:bookmarkStart w:id="1" w:name="_Toc179137266"/>
      <w:bookmarkStart w:id="2" w:name="_Toc179137325"/>
      <w:bookmarkStart w:id="3" w:name="_Toc179136716"/>
      <w:bookmarkStart w:id="4" w:name="_Toc179137267"/>
      <w:bookmarkStart w:id="5" w:name="_Toc179137326"/>
      <w:bookmarkStart w:id="6" w:name="_Toc14888665"/>
      <w:bookmarkStart w:id="7" w:name="_Toc179137327"/>
      <w:bookmarkStart w:id="8" w:name="_Toc179311768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64841" w:rsidRPr="003D604F">
        <w:rPr>
          <w:rFonts w:ascii="Times New Roman" w:hAnsi="Times New Roman" w:cs="Times New Roman"/>
          <w:b/>
          <w:sz w:val="24"/>
          <w:szCs w:val="24"/>
        </w:rPr>
        <w:t>INTRODUÇÃO</w:t>
      </w:r>
      <w:bookmarkEnd w:id="6"/>
      <w:bookmarkEnd w:id="7"/>
      <w:bookmarkEnd w:id="8"/>
      <w:r w:rsidR="00C4110D" w:rsidRPr="003D60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31D291" w14:textId="77777777" w:rsidR="00C4110D" w:rsidRPr="003D604F" w:rsidRDefault="00C4110D" w:rsidP="00C41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67C664" w14:textId="2E741414" w:rsidR="003E1CBE" w:rsidRPr="0052765F" w:rsidRDefault="00620178" w:rsidP="00F12637">
      <w:pPr>
        <w:pStyle w:val="NormalWeb"/>
        <w:ind w:firstLine="360"/>
        <w:rPr>
          <w:b/>
          <w:bCs/>
          <w:color w:val="000000"/>
        </w:rPr>
      </w:pPr>
      <w:bookmarkStart w:id="9" w:name="_Hlk175412879"/>
      <w:r>
        <w:rPr>
          <w:b/>
          <w:bCs/>
          <w:color w:val="000000"/>
        </w:rPr>
        <w:t xml:space="preserve">           </w:t>
      </w:r>
      <w:r w:rsidR="003E1CBE" w:rsidRPr="0052765F">
        <w:rPr>
          <w:b/>
          <w:bCs/>
          <w:color w:val="000000"/>
        </w:rPr>
        <w:t>1</w:t>
      </w:r>
      <w:r w:rsidR="003B4986">
        <w:rPr>
          <w:b/>
          <w:bCs/>
          <w:color w:val="000000"/>
        </w:rPr>
        <w:t>.1</w:t>
      </w:r>
      <w:r w:rsidR="00F12637" w:rsidRPr="0052765F">
        <w:rPr>
          <w:b/>
          <w:bCs/>
          <w:color w:val="000000"/>
        </w:rPr>
        <w:t>.</w:t>
      </w:r>
      <w:r w:rsidR="003E1CBE" w:rsidRPr="0052765F">
        <w:rPr>
          <w:b/>
          <w:bCs/>
          <w:color w:val="000000"/>
        </w:rPr>
        <w:t xml:space="preserve"> </w:t>
      </w:r>
      <w:r w:rsidR="00F12637" w:rsidRPr="0052765F">
        <w:rPr>
          <w:b/>
          <w:bCs/>
          <w:color w:val="000000"/>
        </w:rPr>
        <w:t xml:space="preserve">INTOXICAÇÃO </w:t>
      </w:r>
      <w:r w:rsidR="00CC5D76">
        <w:rPr>
          <w:b/>
          <w:bCs/>
          <w:color w:val="000000"/>
        </w:rPr>
        <w:t>POR MEDICAMENTOS</w:t>
      </w:r>
    </w:p>
    <w:bookmarkEnd w:id="9"/>
    <w:p w14:paraId="369485B9" w14:textId="5D0E3DFE" w:rsidR="003158AA" w:rsidRPr="000D7F00" w:rsidRDefault="003158AA" w:rsidP="00CD3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00">
        <w:rPr>
          <w:rFonts w:ascii="Times New Roman" w:hAnsi="Times New Roman" w:cs="Times New Roman"/>
          <w:color w:val="000000"/>
          <w:sz w:val="24"/>
          <w:szCs w:val="24"/>
        </w:rPr>
        <w:t>Nos últimos anos a indústria farmacêutica cresceu de forma extraordinária</w:t>
      </w:r>
      <w:r w:rsidR="00DC0A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A8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05881"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roporcionalmente </w:t>
      </w:r>
      <w:r w:rsidR="00D05881">
        <w:rPr>
          <w:rFonts w:ascii="Times New Roman" w:hAnsi="Times New Roman" w:cs="Times New Roman"/>
          <w:color w:val="000000"/>
          <w:sz w:val="24"/>
          <w:szCs w:val="24"/>
        </w:rPr>
        <w:t xml:space="preserve">também aumentou </w:t>
      </w:r>
      <w:r w:rsidR="0062025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>o número de intoxicações</w:t>
      </w:r>
      <w:r w:rsidR="00D058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em parte</w:t>
      </w:r>
      <w:r w:rsidR="00DC0A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devido à venda indiscriminada de medicamentos</w:t>
      </w:r>
      <w:bookmarkStart w:id="10" w:name="_Hlk175412902"/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A1405">
        <w:rPr>
          <w:rFonts w:ascii="Times New Roman" w:hAnsi="Times New Roman" w:cs="Times New Roman"/>
          <w:color w:val="000000"/>
          <w:sz w:val="24"/>
          <w:szCs w:val="24"/>
        </w:rPr>
        <w:t xml:space="preserve">No Brasil, 25% dos casos de intoxicação são por medicamentos, sendo assim, faz-se necessário o monitoramento do armazenamento, da venda e do uso deles para obtenção de informações visando a segurança da saúde da população do país. </w:t>
      </w:r>
      <w:r w:rsidRPr="007A7BB7">
        <w:rPr>
          <w:rFonts w:ascii="Times New Roman" w:hAnsi="Times New Roman" w:cs="Times New Roman"/>
          <w:color w:val="000000"/>
          <w:sz w:val="24"/>
          <w:szCs w:val="24"/>
        </w:rPr>
        <w:t xml:space="preserve">Pode-se ressaltar que dentre os fármacos que mais intoxicam estão os analgésicos, antitérmicos e anti-inflamatórios, (Anti-inflamatório não esteroidais </w:t>
      </w:r>
      <w:r w:rsidR="005D77E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A7BB7">
        <w:rPr>
          <w:rFonts w:ascii="Times New Roman" w:hAnsi="Times New Roman" w:cs="Times New Roman"/>
          <w:color w:val="000000"/>
          <w:sz w:val="24"/>
          <w:szCs w:val="24"/>
        </w:rPr>
        <w:t xml:space="preserve"> AINE</w:t>
      </w:r>
      <w:r w:rsidR="007E11DD" w:rsidRPr="007A7BB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A7BB7">
        <w:rPr>
          <w:rFonts w:ascii="Times New Roman" w:hAnsi="Times New Roman" w:cs="Times New Roman"/>
          <w:color w:val="000000"/>
          <w:sz w:val="24"/>
          <w:szCs w:val="24"/>
        </w:rPr>
        <w:t>) uma vez que são bastante utilizados devido a sua indicação terapêutica e por serem isentos de prescrição (LIMA, 2019</w:t>
      </w:r>
      <w:r w:rsidR="00EE12CC" w:rsidRPr="005276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A7BB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bookmarkEnd w:id="10"/>
    <w:p w14:paraId="37D92FA6" w14:textId="5E2CE61A" w:rsidR="00F73800" w:rsidRPr="000D7F00" w:rsidRDefault="00F73800" w:rsidP="00F73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00">
        <w:rPr>
          <w:rFonts w:ascii="Times New Roman" w:hAnsi="Times New Roman" w:cs="Times New Roman"/>
          <w:sz w:val="24"/>
          <w:szCs w:val="24"/>
        </w:rPr>
        <w:t>Conforme</w:t>
      </w:r>
      <w:r w:rsidR="000F2674" w:rsidRPr="000D7F00">
        <w:rPr>
          <w:rFonts w:ascii="Times New Roman" w:hAnsi="Times New Roman" w:cs="Times New Roman"/>
          <w:sz w:val="24"/>
          <w:szCs w:val="24"/>
        </w:rPr>
        <w:t xml:space="preserve"> enfatiza </w:t>
      </w:r>
      <w:r w:rsidRPr="000D7F00">
        <w:rPr>
          <w:rFonts w:ascii="Times New Roman" w:hAnsi="Times New Roman" w:cs="Times New Roman"/>
          <w:sz w:val="24"/>
          <w:szCs w:val="24"/>
        </w:rPr>
        <w:t>Duarte</w:t>
      </w:r>
      <w:r w:rsidR="00620253">
        <w:rPr>
          <w:rFonts w:ascii="Times New Roman" w:hAnsi="Times New Roman" w:cs="Times New Roman"/>
          <w:sz w:val="24"/>
          <w:szCs w:val="24"/>
        </w:rPr>
        <w:t xml:space="preserve">, </w:t>
      </w:r>
      <w:r w:rsidR="0062025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0D7F00">
        <w:rPr>
          <w:rFonts w:ascii="Times New Roman" w:hAnsi="Times New Roman" w:cs="Times New Roman"/>
          <w:sz w:val="24"/>
          <w:szCs w:val="24"/>
        </w:rPr>
        <w:t xml:space="preserve"> </w:t>
      </w:r>
      <w:r w:rsidR="00620253">
        <w:rPr>
          <w:rFonts w:ascii="Times New Roman" w:hAnsi="Times New Roman" w:cs="Times New Roman"/>
          <w:sz w:val="24"/>
          <w:szCs w:val="24"/>
        </w:rPr>
        <w:t>(</w:t>
      </w:r>
      <w:r w:rsidRPr="000D7F00">
        <w:rPr>
          <w:rFonts w:ascii="Times New Roman" w:hAnsi="Times New Roman" w:cs="Times New Roman"/>
          <w:sz w:val="24"/>
          <w:szCs w:val="24"/>
        </w:rPr>
        <w:t>2021</w:t>
      </w:r>
      <w:r w:rsidR="007C4DBA">
        <w:rPr>
          <w:rFonts w:ascii="Times New Roman" w:hAnsi="Times New Roman" w:cs="Times New Roman"/>
          <w:sz w:val="24"/>
          <w:szCs w:val="24"/>
        </w:rPr>
        <w:t>)</w:t>
      </w:r>
      <w:r w:rsidR="00BA2334" w:rsidRPr="000D7F00">
        <w:rPr>
          <w:rFonts w:ascii="Times New Roman" w:hAnsi="Times New Roman" w:cs="Times New Roman"/>
          <w:sz w:val="24"/>
          <w:szCs w:val="24"/>
        </w:rPr>
        <w:t>,</w:t>
      </w:r>
      <w:r w:rsidRPr="000D7F00">
        <w:rPr>
          <w:rFonts w:ascii="Times New Roman" w:hAnsi="Times New Roman" w:cs="Times New Roman"/>
          <w:sz w:val="24"/>
          <w:szCs w:val="24"/>
        </w:rPr>
        <w:t xml:space="preserve"> a intoxicação medicamentosa é decorrente da exposição a um medicamento em doses superiores àquelas usualmente empregadas para profilaxia, diagnóstico, tratamento ou para modificação de funções fisiológicas, podendo resultar em diferentes sinais e sintomas, a depender do tipo de medicamento e do metabolismo do fármaco</w:t>
      </w:r>
      <w:r w:rsidR="00620253">
        <w:rPr>
          <w:rFonts w:ascii="Times New Roman" w:hAnsi="Times New Roman" w:cs="Times New Roman"/>
          <w:sz w:val="24"/>
          <w:szCs w:val="24"/>
        </w:rPr>
        <w:t>.</w:t>
      </w:r>
    </w:p>
    <w:p w14:paraId="2205BD69" w14:textId="0DBFEA6B" w:rsidR="003E1CBE" w:rsidRDefault="00D05881" w:rsidP="00CD3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32BA1" w:rsidRPr="000D7F00">
        <w:rPr>
          <w:rFonts w:ascii="Times New Roman" w:hAnsi="Times New Roman" w:cs="Times New Roman"/>
          <w:sz w:val="24"/>
          <w:szCs w:val="24"/>
        </w:rPr>
        <w:t>aumento nos números de casos com quadros graves de intoxicação</w:t>
      </w:r>
      <w:r>
        <w:rPr>
          <w:rFonts w:ascii="Times New Roman" w:hAnsi="Times New Roman" w:cs="Times New Roman"/>
          <w:sz w:val="24"/>
          <w:szCs w:val="24"/>
        </w:rPr>
        <w:t xml:space="preserve"> por medicamentos</w:t>
      </w:r>
      <w:r w:rsidR="00732BA1" w:rsidRPr="000D7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r w:rsidR="00732BA1" w:rsidRPr="000D7F00">
        <w:rPr>
          <w:rFonts w:ascii="Times New Roman" w:hAnsi="Times New Roman" w:cs="Times New Roman"/>
          <w:sz w:val="24"/>
          <w:szCs w:val="24"/>
        </w:rPr>
        <w:t>levado a internações hospitalares</w:t>
      </w:r>
      <w:r w:rsidR="00DC0A88">
        <w:rPr>
          <w:rFonts w:ascii="Times New Roman" w:hAnsi="Times New Roman" w:cs="Times New Roman"/>
          <w:sz w:val="24"/>
          <w:szCs w:val="24"/>
        </w:rPr>
        <w:t>,</w:t>
      </w:r>
      <w:r w:rsidR="00732BA1" w:rsidRPr="000D7F00">
        <w:rPr>
          <w:rFonts w:ascii="Times New Roman" w:hAnsi="Times New Roman" w:cs="Times New Roman"/>
          <w:sz w:val="24"/>
          <w:szCs w:val="24"/>
        </w:rPr>
        <w:t xml:space="preserve"> podendo culminar em até mesmo ao óbito, </w:t>
      </w:r>
      <w:r w:rsidR="000F2674" w:rsidRPr="000D7F00">
        <w:rPr>
          <w:rFonts w:ascii="Times New Roman" w:hAnsi="Times New Roman" w:cs="Times New Roman"/>
          <w:sz w:val="24"/>
          <w:szCs w:val="24"/>
        </w:rPr>
        <w:t>com</w:t>
      </w:r>
      <w:r w:rsidR="00732BA1" w:rsidRPr="000D7F00">
        <w:rPr>
          <w:rFonts w:ascii="Times New Roman" w:hAnsi="Times New Roman" w:cs="Times New Roman"/>
          <w:sz w:val="24"/>
          <w:szCs w:val="24"/>
        </w:rPr>
        <w:t xml:space="preserve"> </w:t>
      </w:r>
      <w:r w:rsidR="000F2674" w:rsidRPr="000D7F00">
        <w:rPr>
          <w:rFonts w:ascii="Times New Roman" w:hAnsi="Times New Roman" w:cs="Times New Roman"/>
          <w:sz w:val="24"/>
          <w:szCs w:val="24"/>
        </w:rPr>
        <w:t>o</w:t>
      </w:r>
      <w:r w:rsidR="00732BA1" w:rsidRPr="000D7F00">
        <w:rPr>
          <w:rFonts w:ascii="Times New Roman" w:hAnsi="Times New Roman" w:cs="Times New Roman"/>
          <w:sz w:val="24"/>
          <w:szCs w:val="24"/>
        </w:rPr>
        <w:t xml:space="preserve"> crescimento nos gastos</w:t>
      </w:r>
      <w:r w:rsidR="00620253">
        <w:rPr>
          <w:rFonts w:ascii="Times New Roman" w:hAnsi="Times New Roman" w:cs="Times New Roman"/>
          <w:sz w:val="24"/>
          <w:szCs w:val="24"/>
        </w:rPr>
        <w:t>,</w:t>
      </w:r>
      <w:r w:rsidR="00732BA1" w:rsidRPr="000D7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fato que levou a que</w:t>
      </w:r>
      <w:r w:rsidR="00732BA1" w:rsidRPr="000D7F00">
        <w:rPr>
          <w:rFonts w:ascii="Times New Roman" w:hAnsi="Times New Roman" w:cs="Times New Roman"/>
          <w:sz w:val="24"/>
          <w:szCs w:val="24"/>
        </w:rPr>
        <w:t xml:space="preserve"> </w:t>
      </w:r>
      <w:r w:rsidR="000F2674" w:rsidRPr="000D7F00">
        <w:rPr>
          <w:rFonts w:ascii="Times New Roman" w:hAnsi="Times New Roman" w:cs="Times New Roman"/>
          <w:sz w:val="24"/>
          <w:szCs w:val="24"/>
        </w:rPr>
        <w:t>se torn</w:t>
      </w:r>
      <w:r>
        <w:rPr>
          <w:rFonts w:ascii="Times New Roman" w:hAnsi="Times New Roman" w:cs="Times New Roman"/>
          <w:sz w:val="24"/>
          <w:szCs w:val="24"/>
        </w:rPr>
        <w:t>asse</w:t>
      </w:r>
      <w:r w:rsidR="000F2674" w:rsidRPr="000D7F00">
        <w:rPr>
          <w:rFonts w:ascii="Times New Roman" w:hAnsi="Times New Roman" w:cs="Times New Roman"/>
          <w:sz w:val="24"/>
          <w:szCs w:val="24"/>
        </w:rPr>
        <w:t xml:space="preserve"> um importante problema de saúde pública</w:t>
      </w:r>
      <w:r w:rsidR="00732BA1" w:rsidRPr="000D7F00">
        <w:rPr>
          <w:rFonts w:ascii="Times New Roman" w:hAnsi="Times New Roman" w:cs="Times New Roman"/>
          <w:sz w:val="24"/>
          <w:szCs w:val="24"/>
        </w:rPr>
        <w:t>.</w:t>
      </w:r>
      <w:r w:rsidR="000F2674" w:rsidRPr="000D7F00">
        <w:rPr>
          <w:rFonts w:ascii="Times New Roman" w:hAnsi="Times New Roman" w:cs="Times New Roman"/>
          <w:sz w:val="24"/>
          <w:szCs w:val="24"/>
        </w:rPr>
        <w:t xml:space="preserve"> C</w:t>
      </w:r>
      <w:r w:rsidR="00A63C8A" w:rsidRPr="000D7F00">
        <w:rPr>
          <w:rFonts w:ascii="Times New Roman" w:hAnsi="Times New Roman" w:cs="Times New Roman"/>
          <w:sz w:val="24"/>
          <w:szCs w:val="24"/>
        </w:rPr>
        <w:t>om esse n</w:t>
      </w:r>
      <w:r w:rsidR="005461E8" w:rsidRPr="000D7F00">
        <w:rPr>
          <w:rFonts w:ascii="Times New Roman" w:hAnsi="Times New Roman" w:cs="Times New Roman"/>
          <w:sz w:val="24"/>
          <w:szCs w:val="24"/>
        </w:rPr>
        <w:t>ú</w:t>
      </w:r>
      <w:r w:rsidR="00A63C8A" w:rsidRPr="000D7F00">
        <w:rPr>
          <w:rFonts w:ascii="Times New Roman" w:hAnsi="Times New Roman" w:cs="Times New Roman"/>
          <w:sz w:val="24"/>
          <w:szCs w:val="24"/>
        </w:rPr>
        <w:t>mero crescente de casos</w:t>
      </w:r>
      <w:r w:rsidR="00DC0A88">
        <w:rPr>
          <w:rFonts w:ascii="Times New Roman" w:hAnsi="Times New Roman" w:cs="Times New Roman"/>
          <w:sz w:val="24"/>
          <w:szCs w:val="24"/>
        </w:rPr>
        <w:t>,</w:t>
      </w:r>
      <w:r w:rsidR="00A63C8A" w:rsidRPr="000D7F00">
        <w:rPr>
          <w:rFonts w:ascii="Times New Roman" w:hAnsi="Times New Roman" w:cs="Times New Roman"/>
          <w:sz w:val="24"/>
          <w:szCs w:val="24"/>
        </w:rPr>
        <w:t xml:space="preserve"> há uma necessidade </w:t>
      </w:r>
      <w:r w:rsidR="000F2674" w:rsidRPr="000D7F00">
        <w:rPr>
          <w:rFonts w:ascii="Times New Roman" w:hAnsi="Times New Roman" w:cs="Times New Roman"/>
          <w:sz w:val="24"/>
          <w:szCs w:val="24"/>
        </w:rPr>
        <w:t xml:space="preserve">de </w:t>
      </w:r>
      <w:r w:rsidR="00A63C8A" w:rsidRPr="000D7F00">
        <w:rPr>
          <w:rFonts w:ascii="Times New Roman" w:hAnsi="Times New Roman" w:cs="Times New Roman"/>
          <w:sz w:val="24"/>
          <w:szCs w:val="24"/>
        </w:rPr>
        <w:t>maior de fiscalização, programas de educação em saúde, al</w:t>
      </w:r>
      <w:r w:rsidR="005461E8" w:rsidRPr="000D7F00">
        <w:rPr>
          <w:rFonts w:ascii="Times New Roman" w:hAnsi="Times New Roman" w:cs="Times New Roman"/>
          <w:sz w:val="24"/>
          <w:szCs w:val="24"/>
        </w:rPr>
        <w:t>é</w:t>
      </w:r>
      <w:r w:rsidR="00A63C8A" w:rsidRPr="000D7F00">
        <w:rPr>
          <w:rFonts w:ascii="Times New Roman" w:hAnsi="Times New Roman" w:cs="Times New Roman"/>
          <w:sz w:val="24"/>
          <w:szCs w:val="24"/>
        </w:rPr>
        <w:t>m de medidas preventivas, medidas educacionais maior controle da fiscalização</w:t>
      </w:r>
      <w:r w:rsidR="00B26690" w:rsidRPr="000D7F00">
        <w:rPr>
          <w:rFonts w:ascii="Times New Roman" w:hAnsi="Times New Roman" w:cs="Times New Roman"/>
          <w:sz w:val="24"/>
          <w:szCs w:val="24"/>
        </w:rPr>
        <w:t xml:space="preserve"> (GONÇALVES</w:t>
      </w:r>
      <w:r w:rsidR="00620253">
        <w:rPr>
          <w:rFonts w:ascii="Times New Roman" w:hAnsi="Times New Roman" w:cs="Times New Roman"/>
          <w:sz w:val="24"/>
          <w:szCs w:val="24"/>
        </w:rPr>
        <w:t xml:space="preserve"> </w:t>
      </w:r>
      <w:r w:rsidR="0062025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0A5F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26690" w:rsidRPr="000D7F00">
        <w:rPr>
          <w:rFonts w:ascii="Times New Roman" w:hAnsi="Times New Roman" w:cs="Times New Roman"/>
          <w:sz w:val="24"/>
          <w:szCs w:val="24"/>
        </w:rPr>
        <w:t xml:space="preserve"> 2017</w:t>
      </w:r>
      <w:r w:rsidR="00900255">
        <w:rPr>
          <w:rFonts w:ascii="Times New Roman" w:hAnsi="Times New Roman" w:cs="Times New Roman"/>
          <w:sz w:val="24"/>
          <w:szCs w:val="24"/>
        </w:rPr>
        <w:t>)</w:t>
      </w:r>
      <w:r w:rsidR="00B2027D" w:rsidRPr="000D7F00">
        <w:rPr>
          <w:rFonts w:ascii="Times New Roman" w:hAnsi="Times New Roman" w:cs="Times New Roman"/>
          <w:sz w:val="24"/>
          <w:szCs w:val="24"/>
        </w:rPr>
        <w:t>.</w:t>
      </w:r>
      <w:r w:rsidR="00D67AE2" w:rsidRPr="000D7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03145" w14:textId="2BCB18F7" w:rsidR="003E1CBE" w:rsidRPr="00EE07AE" w:rsidRDefault="000D7F00" w:rsidP="003E1CBE">
      <w:pPr>
        <w:pStyle w:val="NormalWeb"/>
        <w:rPr>
          <w:b/>
          <w:bCs/>
          <w:color w:val="000000"/>
        </w:rPr>
      </w:pPr>
      <w:bookmarkStart w:id="11" w:name="_Hlk175412924"/>
      <w:r w:rsidRPr="00EE07AE">
        <w:rPr>
          <w:b/>
          <w:bCs/>
          <w:color w:val="000000"/>
        </w:rPr>
        <w:t>1.</w:t>
      </w:r>
      <w:r w:rsidR="00F35C28">
        <w:rPr>
          <w:b/>
          <w:bCs/>
          <w:color w:val="000000"/>
        </w:rPr>
        <w:t>2.</w:t>
      </w:r>
      <w:r w:rsidRPr="00EE07AE">
        <w:rPr>
          <w:b/>
          <w:bCs/>
          <w:color w:val="000000"/>
        </w:rPr>
        <w:t xml:space="preserve"> CAUSAS E TIPOS DE INTOXICAÇÃO RELACIONADAS A MEDICAMENTOS</w:t>
      </w:r>
    </w:p>
    <w:p w14:paraId="25745ABE" w14:textId="49238D1A" w:rsidR="003158AA" w:rsidRPr="000D7F00" w:rsidRDefault="00D058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405">
        <w:rPr>
          <w:rFonts w:ascii="Times New Roman" w:hAnsi="Times New Roman" w:cs="Times New Roman"/>
          <w:sz w:val="24"/>
          <w:szCs w:val="24"/>
        </w:rPr>
        <w:t>Segundo o Sistema Nacional de Informações Tóxico-Farmacológica no Brasil desde 1994 os medicamentos foram a principal causa de intoxicação, ocupando o primeiro lugar no ranking, e o segundo lugar em número de óbitos dentre todos os agentes notificados na base de dados. (DUARTE</w:t>
      </w:r>
      <w:r w:rsidR="00A657C3">
        <w:rPr>
          <w:rFonts w:ascii="Times New Roman" w:hAnsi="Times New Roman" w:cs="Times New Roman"/>
          <w:sz w:val="24"/>
          <w:szCs w:val="24"/>
        </w:rPr>
        <w:t xml:space="preserve"> </w:t>
      </w:r>
      <w:r w:rsidR="00A657C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0A5F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A1405">
        <w:rPr>
          <w:rFonts w:ascii="Times New Roman" w:hAnsi="Times New Roman" w:cs="Times New Roman"/>
          <w:sz w:val="24"/>
          <w:szCs w:val="24"/>
        </w:rPr>
        <w:t xml:space="preserve"> 2021). </w:t>
      </w:r>
      <w:bookmarkEnd w:id="11"/>
      <w:r w:rsidR="00B94221" w:rsidRPr="00FA1405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94221">
        <w:rPr>
          <w:rFonts w:ascii="Times New Roman" w:hAnsi="Times New Roman" w:cs="Times New Roman"/>
          <w:color w:val="000000"/>
          <w:sz w:val="24"/>
          <w:szCs w:val="24"/>
        </w:rPr>
        <w:t xml:space="preserve"> acordo com os</w:t>
      </w:r>
      <w:r w:rsidR="003158AA"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dados do Sistema Nacional de Informações Tóxico-Farmacológicas (</w:t>
      </w:r>
      <w:r w:rsidR="008C60D3" w:rsidRPr="000D7F00">
        <w:rPr>
          <w:rFonts w:ascii="Times New Roman" w:hAnsi="Times New Roman" w:cs="Times New Roman"/>
          <w:color w:val="000000"/>
          <w:sz w:val="24"/>
          <w:szCs w:val="24"/>
        </w:rPr>
        <w:t>SINITOX</w:t>
      </w:r>
      <w:r w:rsidR="003158AA" w:rsidRPr="000D7F00">
        <w:rPr>
          <w:rFonts w:ascii="Times New Roman" w:hAnsi="Times New Roman" w:cs="Times New Roman"/>
          <w:color w:val="000000"/>
          <w:sz w:val="24"/>
          <w:szCs w:val="24"/>
        </w:rPr>
        <w:t>), só em 201</w:t>
      </w:r>
      <w:r w:rsidR="009C11A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158AA" w:rsidRPr="000D7F00">
        <w:rPr>
          <w:rFonts w:ascii="Times New Roman" w:hAnsi="Times New Roman" w:cs="Times New Roman"/>
          <w:color w:val="000000"/>
          <w:sz w:val="24"/>
          <w:szCs w:val="24"/>
        </w:rPr>
        <w:t>, os medicamentos foram responsáveis por 27,</w:t>
      </w:r>
      <w:r w:rsidR="009C11A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158AA" w:rsidRPr="000D7F00">
        <w:rPr>
          <w:rFonts w:ascii="Times New Roman" w:hAnsi="Times New Roman" w:cs="Times New Roman"/>
          <w:color w:val="000000"/>
          <w:sz w:val="24"/>
          <w:szCs w:val="24"/>
        </w:rPr>
        <w:t>% dos casos de intoxicação registrados no país.</w:t>
      </w:r>
      <w:r w:rsidR="00D728D7">
        <w:rPr>
          <w:rFonts w:ascii="Times New Roman" w:hAnsi="Times New Roman" w:cs="Times New Roman"/>
          <w:color w:val="000000"/>
          <w:sz w:val="24"/>
          <w:szCs w:val="24"/>
        </w:rPr>
        <w:t xml:space="preserve"> Na Região</w:t>
      </w:r>
      <w:r w:rsidR="00AB3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8D7">
        <w:rPr>
          <w:rFonts w:ascii="Times New Roman" w:hAnsi="Times New Roman" w:cs="Times New Roman"/>
          <w:color w:val="000000"/>
          <w:sz w:val="24"/>
          <w:szCs w:val="24"/>
        </w:rPr>
        <w:t>Centro</w:t>
      </w:r>
      <w:r w:rsidR="00AB3CFA">
        <w:rPr>
          <w:rFonts w:ascii="Times New Roman" w:hAnsi="Times New Roman" w:cs="Times New Roman"/>
          <w:color w:val="000000"/>
          <w:sz w:val="24"/>
          <w:szCs w:val="24"/>
        </w:rPr>
        <w:t>-Oeste</w:t>
      </w:r>
      <w:r w:rsidR="00D728D7">
        <w:rPr>
          <w:rFonts w:ascii="Times New Roman" w:hAnsi="Times New Roman" w:cs="Times New Roman"/>
          <w:color w:val="000000"/>
          <w:sz w:val="24"/>
          <w:szCs w:val="24"/>
        </w:rPr>
        <w:t xml:space="preserve"> no mesmo ano</w:t>
      </w:r>
      <w:r w:rsidR="00AB3CFA">
        <w:rPr>
          <w:rFonts w:ascii="Times New Roman" w:hAnsi="Times New Roman" w:cs="Times New Roman"/>
          <w:color w:val="000000"/>
          <w:sz w:val="24"/>
          <w:szCs w:val="24"/>
        </w:rPr>
        <w:t xml:space="preserve"> foram registrados 21,02% de casos de intoxicações por medicamentos (</w:t>
      </w:r>
      <w:r w:rsidR="00AB3CFA" w:rsidRPr="000D7F00">
        <w:rPr>
          <w:rFonts w:ascii="Times New Roman" w:hAnsi="Times New Roman" w:cs="Times New Roman"/>
          <w:color w:val="000000"/>
          <w:sz w:val="24"/>
          <w:szCs w:val="24"/>
        </w:rPr>
        <w:t>SINITOX</w:t>
      </w:r>
      <w:r w:rsidR="00AB3CFA">
        <w:rPr>
          <w:rFonts w:ascii="Times New Roman" w:hAnsi="Times New Roman" w:cs="Times New Roman"/>
          <w:color w:val="000000"/>
          <w:sz w:val="24"/>
          <w:szCs w:val="24"/>
        </w:rPr>
        <w:t>, 2017</w:t>
      </w:r>
      <w:r w:rsidR="00AB3CFA" w:rsidRPr="000D7F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B3CF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D728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CA016A" w14:textId="6CB97F1A" w:rsidR="00C77184" w:rsidRPr="002D1DCF" w:rsidRDefault="00B94221" w:rsidP="00CD3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Considerando</w:t>
      </w:r>
      <w:r w:rsidR="00D05881">
        <w:rPr>
          <w:rFonts w:ascii="Times New Roman" w:hAnsi="Times New Roman" w:cs="Times New Roman"/>
          <w:sz w:val="24"/>
          <w:szCs w:val="24"/>
        </w:rPr>
        <w:t xml:space="preserve"> a circunstância da intoxicação, </w:t>
      </w:r>
      <w:r w:rsidR="00A657C3">
        <w:rPr>
          <w:rFonts w:ascii="Times New Roman" w:hAnsi="Times New Roman" w:cs="Times New Roman"/>
          <w:sz w:val="24"/>
          <w:szCs w:val="24"/>
        </w:rPr>
        <w:t>p</w:t>
      </w:r>
      <w:r w:rsidR="00D05881">
        <w:rPr>
          <w:rFonts w:ascii="Times New Roman" w:hAnsi="Times New Roman" w:cs="Times New Roman"/>
          <w:sz w:val="24"/>
          <w:szCs w:val="24"/>
        </w:rPr>
        <w:t>ode ser</w:t>
      </w:r>
      <w:r w:rsidR="006C1125" w:rsidRPr="000D7F00">
        <w:rPr>
          <w:rFonts w:ascii="Times New Roman" w:hAnsi="Times New Roman" w:cs="Times New Roman"/>
          <w:sz w:val="24"/>
          <w:szCs w:val="24"/>
        </w:rPr>
        <w:t xml:space="preserve"> classifica</w:t>
      </w:r>
      <w:r w:rsidR="00D05881">
        <w:rPr>
          <w:rFonts w:ascii="Times New Roman" w:hAnsi="Times New Roman" w:cs="Times New Roman"/>
          <w:sz w:val="24"/>
          <w:szCs w:val="24"/>
        </w:rPr>
        <w:t>da</w:t>
      </w:r>
      <w:r w:rsidR="006C1125" w:rsidRPr="000D7F00">
        <w:rPr>
          <w:rFonts w:ascii="Times New Roman" w:hAnsi="Times New Roman" w:cs="Times New Roman"/>
          <w:sz w:val="24"/>
          <w:szCs w:val="24"/>
        </w:rPr>
        <w:t xml:space="preserve"> </w:t>
      </w:r>
      <w:r w:rsidR="00D05881">
        <w:rPr>
          <w:rFonts w:ascii="Times New Roman" w:hAnsi="Times New Roman" w:cs="Times New Roman"/>
          <w:sz w:val="24"/>
          <w:szCs w:val="24"/>
        </w:rPr>
        <w:t>em</w:t>
      </w:r>
      <w:r w:rsidR="006C1125" w:rsidRPr="000D7F00">
        <w:rPr>
          <w:rFonts w:ascii="Times New Roman" w:hAnsi="Times New Roman" w:cs="Times New Roman"/>
          <w:sz w:val="24"/>
          <w:szCs w:val="24"/>
        </w:rPr>
        <w:t xml:space="preserve"> intoxicação intencional ou acidental</w:t>
      </w:r>
      <w:r w:rsidR="00D75182" w:rsidRPr="000D7F00">
        <w:rPr>
          <w:rFonts w:ascii="Times New Roman" w:hAnsi="Times New Roman" w:cs="Times New Roman"/>
          <w:sz w:val="24"/>
          <w:szCs w:val="24"/>
        </w:rPr>
        <w:t xml:space="preserve">. A intoxicação acidental não </w:t>
      </w:r>
      <w:r w:rsidR="006C1125" w:rsidRPr="000D7F00">
        <w:rPr>
          <w:rFonts w:ascii="Times New Roman" w:hAnsi="Times New Roman" w:cs="Times New Roman"/>
          <w:sz w:val="24"/>
          <w:szCs w:val="24"/>
        </w:rPr>
        <w:t xml:space="preserve">premeditada </w:t>
      </w:r>
      <w:r w:rsidR="00336452" w:rsidRPr="000D7F00">
        <w:rPr>
          <w:rFonts w:ascii="Times New Roman" w:hAnsi="Times New Roman" w:cs="Times New Roman"/>
          <w:sz w:val="24"/>
          <w:szCs w:val="24"/>
        </w:rPr>
        <w:t>e</w:t>
      </w:r>
      <w:r w:rsidR="006C1125" w:rsidRPr="000D7F00">
        <w:rPr>
          <w:rFonts w:ascii="Times New Roman" w:hAnsi="Times New Roman" w:cs="Times New Roman"/>
          <w:sz w:val="24"/>
          <w:szCs w:val="24"/>
        </w:rPr>
        <w:t xml:space="preserve"> resulta da automedicação, erro na dosagem, terapêutica inadequada, por troca de medicamentos ou de ingestão involuntária</w:t>
      </w:r>
      <w:r w:rsidR="00A657C3">
        <w:rPr>
          <w:rFonts w:ascii="Times New Roman" w:hAnsi="Times New Roman" w:cs="Times New Roman"/>
          <w:sz w:val="24"/>
          <w:szCs w:val="24"/>
        </w:rPr>
        <w:t>.</w:t>
      </w:r>
      <w:r w:rsidR="006C1125" w:rsidRPr="000D7F00">
        <w:rPr>
          <w:rFonts w:ascii="Times New Roman" w:hAnsi="Times New Roman" w:cs="Times New Roman"/>
          <w:sz w:val="24"/>
          <w:szCs w:val="24"/>
        </w:rPr>
        <w:t xml:space="preserve"> </w:t>
      </w:r>
      <w:r w:rsidR="00A657C3">
        <w:rPr>
          <w:rFonts w:ascii="Times New Roman" w:hAnsi="Times New Roman" w:cs="Times New Roman"/>
          <w:sz w:val="24"/>
          <w:szCs w:val="24"/>
        </w:rPr>
        <w:t>A</w:t>
      </w:r>
      <w:r w:rsidR="00336452" w:rsidRPr="000D7F00">
        <w:rPr>
          <w:rFonts w:ascii="Times New Roman" w:hAnsi="Times New Roman" w:cs="Times New Roman"/>
          <w:sz w:val="24"/>
          <w:szCs w:val="24"/>
        </w:rPr>
        <w:t xml:space="preserve"> intoxicação </w:t>
      </w:r>
      <w:r w:rsidR="006C1125" w:rsidRPr="000D7F00">
        <w:rPr>
          <w:rFonts w:ascii="Times New Roman" w:hAnsi="Times New Roman" w:cs="Times New Roman"/>
          <w:sz w:val="24"/>
          <w:szCs w:val="24"/>
        </w:rPr>
        <w:t>intencional, quando relacionada ao abuso, ao uso indevido ou à autolesão de maneira consciente</w:t>
      </w:r>
      <w:r w:rsidR="009809D6">
        <w:rPr>
          <w:rFonts w:ascii="Times New Roman" w:hAnsi="Times New Roman" w:cs="Times New Roman"/>
          <w:sz w:val="24"/>
          <w:szCs w:val="24"/>
        </w:rPr>
        <w:t xml:space="preserve"> </w:t>
      </w:r>
      <w:r w:rsidR="009809D6" w:rsidRPr="00FA1405">
        <w:rPr>
          <w:rFonts w:ascii="Times New Roman" w:hAnsi="Times New Roman" w:cs="Times New Roman"/>
          <w:sz w:val="24"/>
          <w:szCs w:val="24"/>
        </w:rPr>
        <w:t>(DUARTE</w:t>
      </w:r>
      <w:r w:rsidR="009809D6">
        <w:rPr>
          <w:rFonts w:ascii="Times New Roman" w:hAnsi="Times New Roman" w:cs="Times New Roman"/>
          <w:sz w:val="24"/>
          <w:szCs w:val="24"/>
        </w:rPr>
        <w:t xml:space="preserve"> </w:t>
      </w:r>
      <w:r w:rsidR="009809D6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0A5F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809D6" w:rsidRPr="00FA1405">
        <w:rPr>
          <w:rFonts w:ascii="Times New Roman" w:hAnsi="Times New Roman" w:cs="Times New Roman"/>
          <w:sz w:val="24"/>
          <w:szCs w:val="24"/>
        </w:rPr>
        <w:t xml:space="preserve"> 2021)</w:t>
      </w:r>
      <w:r w:rsidR="007A5D46">
        <w:rPr>
          <w:rFonts w:ascii="Times New Roman" w:hAnsi="Times New Roman" w:cs="Times New Roman"/>
          <w:sz w:val="24"/>
          <w:szCs w:val="24"/>
        </w:rPr>
        <w:t xml:space="preserve">. </w:t>
      </w:r>
      <w:r w:rsidR="002D1DCF" w:rsidRPr="007A5D46">
        <w:rPr>
          <w:rFonts w:ascii="Times New Roman" w:hAnsi="Times New Roman" w:cs="Times New Roman"/>
          <w:sz w:val="24"/>
          <w:szCs w:val="24"/>
        </w:rPr>
        <w:t>Neste mesmo trabalho, os pesquisadores observaram que a intoxicação acidental foi uma das principais causas das ocorrências com medica</w:t>
      </w:r>
      <w:r w:rsidR="002D1DCF" w:rsidRPr="000D7F00">
        <w:rPr>
          <w:rFonts w:ascii="Times New Roman" w:hAnsi="Times New Roman" w:cs="Times New Roman"/>
          <w:sz w:val="24"/>
          <w:szCs w:val="24"/>
        </w:rPr>
        <w:t>mentos</w:t>
      </w:r>
      <w:r w:rsidR="007A5D46">
        <w:rPr>
          <w:rFonts w:ascii="Times New Roman" w:hAnsi="Times New Roman" w:cs="Times New Roman"/>
          <w:sz w:val="24"/>
          <w:szCs w:val="24"/>
        </w:rPr>
        <w:t>.</w:t>
      </w:r>
      <w:r w:rsidR="007A5D46" w:rsidRPr="007A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529E9" w14:textId="03809C20" w:rsidR="005461E8" w:rsidRPr="000D7F00" w:rsidRDefault="00B2027D" w:rsidP="00CD3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00">
        <w:rPr>
          <w:rFonts w:ascii="Times New Roman" w:hAnsi="Times New Roman" w:cs="Times New Roman"/>
          <w:sz w:val="24"/>
          <w:szCs w:val="24"/>
        </w:rPr>
        <w:t>As crianças são</w:t>
      </w:r>
      <w:r w:rsidR="005461E8" w:rsidRPr="000D7F00">
        <w:rPr>
          <w:rFonts w:ascii="Times New Roman" w:hAnsi="Times New Roman" w:cs="Times New Roman"/>
          <w:sz w:val="24"/>
          <w:szCs w:val="24"/>
        </w:rPr>
        <w:t xml:space="preserve"> grupo bastante vulnerável as intoxicações, tanto pela falta de maturidade como </w:t>
      </w:r>
      <w:r w:rsidR="00B94221">
        <w:rPr>
          <w:rFonts w:ascii="Times New Roman" w:hAnsi="Times New Roman" w:cs="Times New Roman"/>
          <w:sz w:val="24"/>
          <w:szCs w:val="24"/>
        </w:rPr>
        <w:t>pelos possíveis</w:t>
      </w:r>
      <w:r w:rsidR="005461E8" w:rsidRPr="000D7F00">
        <w:rPr>
          <w:rFonts w:ascii="Times New Roman" w:hAnsi="Times New Roman" w:cs="Times New Roman"/>
          <w:sz w:val="24"/>
          <w:szCs w:val="24"/>
        </w:rPr>
        <w:t xml:space="preserve"> erros dos responsáveis. No Brasil</w:t>
      </w:r>
      <w:r w:rsidR="00DC0A88">
        <w:rPr>
          <w:rFonts w:ascii="Times New Roman" w:hAnsi="Times New Roman" w:cs="Times New Roman"/>
          <w:sz w:val="24"/>
          <w:szCs w:val="24"/>
        </w:rPr>
        <w:t>,</w:t>
      </w:r>
      <w:r w:rsidR="005461E8" w:rsidRPr="000D7F00">
        <w:rPr>
          <w:rFonts w:ascii="Times New Roman" w:hAnsi="Times New Roman" w:cs="Times New Roman"/>
          <w:sz w:val="24"/>
          <w:szCs w:val="24"/>
        </w:rPr>
        <w:t xml:space="preserve"> em 2007</w:t>
      </w:r>
      <w:r w:rsidR="00DC0A88">
        <w:rPr>
          <w:rFonts w:ascii="Times New Roman" w:hAnsi="Times New Roman" w:cs="Times New Roman"/>
          <w:sz w:val="24"/>
          <w:szCs w:val="24"/>
        </w:rPr>
        <w:t>,</w:t>
      </w:r>
      <w:r w:rsidR="005461E8" w:rsidRPr="000D7F00">
        <w:rPr>
          <w:rFonts w:ascii="Times New Roman" w:hAnsi="Times New Roman" w:cs="Times New Roman"/>
          <w:sz w:val="24"/>
          <w:szCs w:val="24"/>
        </w:rPr>
        <w:t xml:space="preserve"> f</w:t>
      </w:r>
      <w:r w:rsidR="00063125" w:rsidRPr="000D7F00">
        <w:rPr>
          <w:rFonts w:ascii="Times New Roman" w:hAnsi="Times New Roman" w:cs="Times New Roman"/>
          <w:sz w:val="24"/>
          <w:szCs w:val="24"/>
        </w:rPr>
        <w:t>oi registrado pelo Sistema Nacional de Informações Tóxico-Farmacológicas –</w:t>
      </w:r>
      <w:r w:rsidR="005461E8" w:rsidRPr="000D7F00">
        <w:rPr>
          <w:rFonts w:ascii="Times New Roman" w:hAnsi="Times New Roman" w:cs="Times New Roman"/>
          <w:sz w:val="24"/>
          <w:szCs w:val="24"/>
        </w:rPr>
        <w:t xml:space="preserve"> SINITOX</w:t>
      </w:r>
      <w:r w:rsidR="00063125" w:rsidRPr="000D7F00">
        <w:rPr>
          <w:rFonts w:ascii="Times New Roman" w:hAnsi="Times New Roman" w:cs="Times New Roman"/>
          <w:sz w:val="24"/>
          <w:szCs w:val="24"/>
        </w:rPr>
        <w:t>,</w:t>
      </w:r>
      <w:r w:rsidR="005461E8" w:rsidRPr="000D7F00">
        <w:rPr>
          <w:rFonts w:ascii="Times New Roman" w:hAnsi="Times New Roman" w:cs="Times New Roman"/>
          <w:sz w:val="24"/>
          <w:szCs w:val="24"/>
        </w:rPr>
        <w:t xml:space="preserve"> </w:t>
      </w:r>
      <w:r w:rsidR="00063125" w:rsidRPr="000D7F00">
        <w:rPr>
          <w:rFonts w:ascii="Times New Roman" w:hAnsi="Times New Roman" w:cs="Times New Roman"/>
          <w:sz w:val="24"/>
          <w:szCs w:val="24"/>
        </w:rPr>
        <w:t xml:space="preserve">o número de </w:t>
      </w:r>
      <w:r w:rsidR="005461E8" w:rsidRPr="000D7F00">
        <w:rPr>
          <w:rFonts w:ascii="Times New Roman" w:hAnsi="Times New Roman" w:cs="Times New Roman"/>
          <w:sz w:val="24"/>
          <w:szCs w:val="24"/>
        </w:rPr>
        <w:t>111.362 casos de intoxicaç</w:t>
      </w:r>
      <w:r w:rsidR="00B94221">
        <w:rPr>
          <w:rFonts w:ascii="Times New Roman" w:hAnsi="Times New Roman" w:cs="Times New Roman"/>
          <w:sz w:val="24"/>
          <w:szCs w:val="24"/>
        </w:rPr>
        <w:t>ões</w:t>
      </w:r>
      <w:r w:rsidR="005461E8" w:rsidRPr="000D7F00">
        <w:rPr>
          <w:rFonts w:ascii="Times New Roman" w:hAnsi="Times New Roman" w:cs="Times New Roman"/>
          <w:sz w:val="24"/>
          <w:szCs w:val="24"/>
        </w:rPr>
        <w:t xml:space="preserve"> não intenciona</w:t>
      </w:r>
      <w:r w:rsidR="00B94221">
        <w:rPr>
          <w:rFonts w:ascii="Times New Roman" w:hAnsi="Times New Roman" w:cs="Times New Roman"/>
          <w:sz w:val="24"/>
          <w:szCs w:val="24"/>
        </w:rPr>
        <w:t>is, sendo que</w:t>
      </w:r>
      <w:r w:rsidR="005461E8" w:rsidRPr="000D7F00">
        <w:rPr>
          <w:rFonts w:ascii="Times New Roman" w:hAnsi="Times New Roman" w:cs="Times New Roman"/>
          <w:sz w:val="24"/>
          <w:szCs w:val="24"/>
        </w:rPr>
        <w:t xml:space="preserve"> des</w:t>
      </w:r>
      <w:r w:rsidR="00DC0A88">
        <w:rPr>
          <w:rFonts w:ascii="Times New Roman" w:hAnsi="Times New Roman" w:cs="Times New Roman"/>
          <w:sz w:val="24"/>
          <w:szCs w:val="24"/>
        </w:rPr>
        <w:t>t</w:t>
      </w:r>
      <w:r w:rsidR="005461E8" w:rsidRPr="000D7F00">
        <w:rPr>
          <w:rFonts w:ascii="Times New Roman" w:hAnsi="Times New Roman" w:cs="Times New Roman"/>
          <w:sz w:val="24"/>
          <w:szCs w:val="24"/>
        </w:rPr>
        <w:t xml:space="preserve">es </w:t>
      </w:r>
      <w:r w:rsidR="00B94221">
        <w:rPr>
          <w:rFonts w:ascii="Times New Roman" w:hAnsi="Times New Roman" w:cs="Times New Roman"/>
          <w:sz w:val="24"/>
          <w:szCs w:val="24"/>
        </w:rPr>
        <w:t>casos</w:t>
      </w:r>
      <w:r w:rsidR="00DC0A88">
        <w:rPr>
          <w:rFonts w:ascii="Times New Roman" w:hAnsi="Times New Roman" w:cs="Times New Roman"/>
          <w:sz w:val="24"/>
          <w:szCs w:val="24"/>
        </w:rPr>
        <w:t>,</w:t>
      </w:r>
      <w:r w:rsidR="00B94221">
        <w:rPr>
          <w:rFonts w:ascii="Times New Roman" w:hAnsi="Times New Roman" w:cs="Times New Roman"/>
          <w:sz w:val="24"/>
          <w:szCs w:val="24"/>
        </w:rPr>
        <w:t xml:space="preserve"> </w:t>
      </w:r>
      <w:r w:rsidR="005461E8" w:rsidRPr="000D7F00">
        <w:rPr>
          <w:rFonts w:ascii="Times New Roman" w:hAnsi="Times New Roman" w:cs="Times New Roman"/>
          <w:sz w:val="24"/>
          <w:szCs w:val="24"/>
        </w:rPr>
        <w:t xml:space="preserve">39.878 eram crianças e adolescentes na faixa etária de 0 a 14 anos. </w:t>
      </w:r>
      <w:r w:rsidRPr="000D7F00">
        <w:rPr>
          <w:rFonts w:ascii="Times New Roman" w:hAnsi="Times New Roman" w:cs="Times New Roman"/>
          <w:sz w:val="24"/>
          <w:szCs w:val="24"/>
        </w:rPr>
        <w:t>(GONÇALVES</w:t>
      </w:r>
      <w:r w:rsidR="00874401">
        <w:rPr>
          <w:rFonts w:ascii="Times New Roman" w:hAnsi="Times New Roman" w:cs="Times New Roman"/>
          <w:sz w:val="24"/>
          <w:szCs w:val="24"/>
        </w:rPr>
        <w:t xml:space="preserve"> </w:t>
      </w:r>
      <w:r w:rsidR="00874401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0A5F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74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7F00">
        <w:rPr>
          <w:rFonts w:ascii="Times New Roman" w:hAnsi="Times New Roman" w:cs="Times New Roman"/>
          <w:sz w:val="24"/>
          <w:szCs w:val="24"/>
        </w:rPr>
        <w:t>2017).</w:t>
      </w:r>
    </w:p>
    <w:p w14:paraId="4E45806C" w14:textId="77ACD873" w:rsidR="00F83BD9" w:rsidRDefault="00F83BD9" w:rsidP="00F83B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Hlk175412943"/>
      <w:r w:rsidRPr="00FA1405">
        <w:rPr>
          <w:rFonts w:ascii="Times New Roman" w:hAnsi="Times New Roman" w:cs="Times New Roman"/>
          <w:color w:val="000000"/>
          <w:sz w:val="24"/>
          <w:szCs w:val="24"/>
        </w:rPr>
        <w:t>O uso inadequado dos medicamentos pode acarretar o agravamento de uma doença, uma vez que pode mascarar determinados sintomas. A prática da automedicação, no intuito de solucionar ou aliviar sintomas pode trazer consequências muito mais graves do que se possa pensar (MINISTÉRIO DA SAÚDE, 2012).</w:t>
      </w:r>
      <w:r w:rsidR="00B94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2"/>
    <w:p w14:paraId="3CF8A538" w14:textId="29263C32" w:rsidR="00B94221" w:rsidRDefault="00376ED2" w:rsidP="00F83B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3BA">
        <w:rPr>
          <w:rFonts w:ascii="Times New Roman" w:hAnsi="Times New Roman" w:cs="Times New Roman"/>
          <w:sz w:val="24"/>
          <w:szCs w:val="24"/>
        </w:rPr>
        <w:t>Este trabalho tem como objetivo realizar um levantamento bibliográfico de relatos de casos e estudos epidemiológicos de intoxicações medicamentosas ocorridas com os Paracetamol, nos últimos dez anos.</w:t>
      </w:r>
    </w:p>
    <w:p w14:paraId="6DC9A4C0" w14:textId="77777777" w:rsidR="00395E47" w:rsidRDefault="00395E47" w:rsidP="00F83B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707F27" w14:textId="7A67388F" w:rsidR="00317AF4" w:rsidRPr="00FA1405" w:rsidRDefault="00CC5D76" w:rsidP="00CC5D76">
      <w:pPr>
        <w:pStyle w:val="Corpodetexto"/>
        <w:spacing w:before="1" w:line="360" w:lineRule="auto"/>
        <w:ind w:right="106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2.</w:t>
      </w:r>
      <w:r w:rsidR="00291609" w:rsidRPr="007A7BB7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0D7F00" w:rsidRPr="007A7BB7">
        <w:rPr>
          <w:rFonts w:ascii="Times New Roman" w:hAnsi="Times New Roman" w:cs="Times New Roman"/>
          <w:b/>
          <w:bCs/>
          <w:lang w:val="pt-BR"/>
        </w:rPr>
        <w:t>METODOLOGIA</w:t>
      </w:r>
    </w:p>
    <w:p w14:paraId="0609BE0F" w14:textId="40B2EFFD" w:rsidR="00E84B39" w:rsidRPr="0052765F" w:rsidRDefault="002D1DCF" w:rsidP="005F2940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uma r</w:t>
      </w:r>
      <w:r w:rsidR="005F2940" w:rsidRPr="000D7F00">
        <w:rPr>
          <w:rFonts w:ascii="Times New Roman" w:hAnsi="Times New Roman" w:cs="Times New Roman"/>
          <w:sz w:val="24"/>
          <w:szCs w:val="24"/>
        </w:rPr>
        <w:t>evisão</w:t>
      </w:r>
      <w:r w:rsidR="00712299">
        <w:rPr>
          <w:rFonts w:ascii="Times New Roman" w:hAnsi="Times New Roman" w:cs="Times New Roman"/>
          <w:sz w:val="24"/>
          <w:szCs w:val="24"/>
        </w:rPr>
        <w:t xml:space="preserve"> </w:t>
      </w:r>
      <w:r w:rsidR="00BE1EFC">
        <w:rPr>
          <w:rFonts w:ascii="Times New Roman" w:hAnsi="Times New Roman" w:cs="Times New Roman"/>
          <w:sz w:val="24"/>
          <w:szCs w:val="24"/>
        </w:rPr>
        <w:t>descritiva</w:t>
      </w:r>
      <w:r w:rsidR="00BE1EFC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da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literatura,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para tal </w:t>
      </w:r>
      <w:r w:rsidR="005F2940" w:rsidRPr="000D7F00">
        <w:rPr>
          <w:rFonts w:ascii="Times New Roman" w:hAnsi="Times New Roman" w:cs="Times New Roman"/>
          <w:sz w:val="24"/>
          <w:szCs w:val="24"/>
        </w:rPr>
        <w:t>busc</w:t>
      </w:r>
      <w:r>
        <w:rPr>
          <w:rFonts w:ascii="Times New Roman" w:hAnsi="Times New Roman" w:cs="Times New Roman"/>
          <w:sz w:val="24"/>
          <w:szCs w:val="24"/>
        </w:rPr>
        <w:t>aram</w:t>
      </w:r>
      <w:r w:rsidR="005F2940" w:rsidRPr="000D7F00">
        <w:rPr>
          <w:rFonts w:ascii="Times New Roman" w:hAnsi="Times New Roman" w:cs="Times New Roman"/>
          <w:sz w:val="24"/>
          <w:szCs w:val="24"/>
        </w:rPr>
        <w:t>-se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artigos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indexados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nas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bases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de</w:t>
      </w:r>
      <w:r w:rsidR="005F2940" w:rsidRPr="000D7F0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dados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 xml:space="preserve">Google Acadêmico, </w:t>
      </w:r>
      <w:proofErr w:type="spellStart"/>
      <w:r w:rsidR="005F2940" w:rsidRPr="000D7F00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5F2940" w:rsidRPr="000D7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2940" w:rsidRPr="000D7F00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5F2940" w:rsidRPr="000D7F00">
        <w:rPr>
          <w:rFonts w:ascii="Times New Roman" w:hAnsi="Times New Roman" w:cs="Times New Roman"/>
          <w:sz w:val="24"/>
          <w:szCs w:val="24"/>
        </w:rPr>
        <w:t xml:space="preserve"> e Biblioteca Virtual em Saúde, publicados entre os anos de 2014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e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2024.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Os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descritores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foram</w:t>
      </w:r>
      <w:r w:rsidR="005F2940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940" w:rsidRPr="000D7F00">
        <w:rPr>
          <w:rFonts w:ascii="Times New Roman" w:hAnsi="Times New Roman" w:cs="Times New Roman"/>
          <w:sz w:val="24"/>
          <w:szCs w:val="24"/>
        </w:rPr>
        <w:t>utilizados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D46">
        <w:rPr>
          <w:rFonts w:ascii="Times New Roman" w:hAnsi="Times New Roman" w:cs="Times New Roman"/>
          <w:sz w:val="24"/>
          <w:szCs w:val="24"/>
        </w:rPr>
        <w:t xml:space="preserve">foram </w:t>
      </w:r>
      <w:r w:rsidR="007A5D46" w:rsidRPr="000D7F00">
        <w:rPr>
          <w:rFonts w:ascii="Times New Roman" w:hAnsi="Times New Roman" w:cs="Times New Roman"/>
          <w:spacing w:val="1"/>
          <w:sz w:val="24"/>
          <w:szCs w:val="24"/>
        </w:rPr>
        <w:t>Acetaminofeno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7F00">
        <w:rPr>
          <w:rFonts w:ascii="Times New Roman" w:hAnsi="Times New Roman" w:cs="Times New Roman"/>
          <w:sz w:val="24"/>
          <w:szCs w:val="24"/>
        </w:rPr>
        <w:t>Paracetamol</w:t>
      </w:r>
      <w:r w:rsidR="007A5D46">
        <w:rPr>
          <w:rFonts w:ascii="Times New Roman" w:hAnsi="Times New Roman" w:cs="Times New Roman"/>
          <w:sz w:val="24"/>
          <w:szCs w:val="24"/>
        </w:rPr>
        <w:t xml:space="preserve"> </w:t>
      </w:r>
      <w:r w:rsidR="00B94221">
        <w:rPr>
          <w:rFonts w:ascii="Times New Roman" w:hAnsi="Times New Roman" w:cs="Times New Roman"/>
          <w:sz w:val="24"/>
          <w:szCs w:val="24"/>
        </w:rPr>
        <w:t xml:space="preserve">em </w:t>
      </w:r>
      <w:r w:rsidR="00E84B39">
        <w:rPr>
          <w:rFonts w:ascii="Times New Roman" w:hAnsi="Times New Roman" w:cs="Times New Roman"/>
          <w:sz w:val="24"/>
          <w:szCs w:val="24"/>
        </w:rPr>
        <w:t>c</w:t>
      </w:r>
      <w:r w:rsidR="00E84B39" w:rsidRPr="00E84B39">
        <w:rPr>
          <w:rFonts w:ascii="Times New Roman" w:hAnsi="Times New Roman" w:cs="Times New Roman"/>
          <w:sz w:val="24"/>
          <w:szCs w:val="24"/>
        </w:rPr>
        <w:t>o</w:t>
      </w:r>
      <w:r w:rsidR="00E84B39">
        <w:rPr>
          <w:rFonts w:ascii="Times New Roman" w:hAnsi="Times New Roman" w:cs="Times New Roman"/>
          <w:sz w:val="24"/>
          <w:szCs w:val="24"/>
        </w:rPr>
        <w:t xml:space="preserve">njunto com os operadores booleanos: </w:t>
      </w:r>
      <w:r w:rsidR="00E84B39" w:rsidRPr="00CF10F1">
        <w:rPr>
          <w:rFonts w:ascii="Times New Roman" w:hAnsi="Times New Roman" w:cs="Times New Roman"/>
          <w:sz w:val="24"/>
          <w:szCs w:val="24"/>
        </w:rPr>
        <w:t>AND, OR e NOT.</w:t>
      </w:r>
    </w:p>
    <w:p w14:paraId="2FB1B413" w14:textId="2BC34C3A" w:rsidR="005F2940" w:rsidRPr="00C7200C" w:rsidRDefault="005F2940" w:rsidP="005F2940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lang w:val="pt-BR"/>
        </w:rPr>
      </w:pPr>
      <w:r w:rsidRPr="00E84B39">
        <w:rPr>
          <w:rFonts w:ascii="Times New Roman" w:hAnsi="Times New Roman" w:cs="Times New Roman"/>
          <w:lang w:val="pt-BR"/>
        </w:rPr>
        <w:t>Pa</w:t>
      </w:r>
      <w:r w:rsidRPr="00D05881">
        <w:rPr>
          <w:rFonts w:ascii="Times New Roman" w:hAnsi="Times New Roman" w:cs="Times New Roman"/>
          <w:lang w:val="pt-BR"/>
        </w:rPr>
        <w:t xml:space="preserve">ra a discussão dos dados, foram estabelecidos os seguintes critérios de inclusão: </w:t>
      </w:r>
      <w:r w:rsidR="0014659E">
        <w:rPr>
          <w:rFonts w:ascii="Times New Roman" w:hAnsi="Times New Roman" w:cs="Times New Roman"/>
          <w:lang w:val="pt-BR"/>
        </w:rPr>
        <w:t xml:space="preserve">artigos publicados </w:t>
      </w:r>
      <w:r w:rsidRPr="00D05881">
        <w:rPr>
          <w:rFonts w:ascii="Times New Roman" w:hAnsi="Times New Roman" w:cs="Times New Roman"/>
          <w:lang w:val="pt-BR"/>
        </w:rPr>
        <w:t>nos últimos 10 anos; artigos disponíveis na íntegra, nos idiomas português, inglês e</w:t>
      </w:r>
      <w:r w:rsidRPr="00D05881">
        <w:rPr>
          <w:rFonts w:ascii="Times New Roman" w:hAnsi="Times New Roman" w:cs="Times New Roman"/>
          <w:spacing w:val="1"/>
          <w:lang w:val="pt-BR"/>
        </w:rPr>
        <w:t xml:space="preserve"> </w:t>
      </w:r>
      <w:r w:rsidRPr="00D05881">
        <w:rPr>
          <w:rFonts w:ascii="Times New Roman" w:hAnsi="Times New Roman" w:cs="Times New Roman"/>
          <w:lang w:val="pt-BR"/>
        </w:rPr>
        <w:t>espanhol</w:t>
      </w:r>
      <w:r w:rsidR="0014659E">
        <w:rPr>
          <w:rFonts w:ascii="Times New Roman" w:hAnsi="Times New Roman" w:cs="Times New Roman"/>
          <w:lang w:val="pt-BR"/>
        </w:rPr>
        <w:t xml:space="preserve"> e</w:t>
      </w:r>
      <w:r w:rsidRPr="00D05881">
        <w:rPr>
          <w:rFonts w:ascii="Times New Roman" w:hAnsi="Times New Roman" w:cs="Times New Roman"/>
          <w:spacing w:val="46"/>
          <w:lang w:val="pt-BR"/>
        </w:rPr>
        <w:t xml:space="preserve"> </w:t>
      </w:r>
      <w:r w:rsidRPr="00D05881">
        <w:rPr>
          <w:rFonts w:ascii="Times New Roman" w:hAnsi="Times New Roman" w:cs="Times New Roman"/>
          <w:lang w:val="pt-BR"/>
        </w:rPr>
        <w:t>abordagem</w:t>
      </w:r>
      <w:r w:rsidRPr="00D05881">
        <w:rPr>
          <w:rFonts w:ascii="Times New Roman" w:hAnsi="Times New Roman" w:cs="Times New Roman"/>
          <w:spacing w:val="48"/>
          <w:lang w:val="pt-BR"/>
        </w:rPr>
        <w:t xml:space="preserve"> </w:t>
      </w:r>
      <w:r w:rsidR="0014659E">
        <w:rPr>
          <w:rFonts w:ascii="Times New Roman" w:hAnsi="Times New Roman" w:cs="Times New Roman"/>
          <w:lang w:val="pt-BR"/>
        </w:rPr>
        <w:t>d</w:t>
      </w:r>
      <w:r w:rsidRPr="00D05881">
        <w:rPr>
          <w:rFonts w:ascii="Times New Roman" w:hAnsi="Times New Roman" w:cs="Times New Roman"/>
          <w:lang w:val="pt-BR"/>
        </w:rPr>
        <w:t>o</w:t>
      </w:r>
      <w:r w:rsidRPr="00D05881">
        <w:rPr>
          <w:rFonts w:ascii="Times New Roman" w:hAnsi="Times New Roman" w:cs="Times New Roman"/>
          <w:spacing w:val="48"/>
          <w:lang w:val="pt-BR"/>
        </w:rPr>
        <w:t xml:space="preserve"> </w:t>
      </w:r>
      <w:r w:rsidRPr="00D05881">
        <w:rPr>
          <w:rFonts w:ascii="Times New Roman" w:hAnsi="Times New Roman" w:cs="Times New Roman"/>
          <w:lang w:val="pt-BR"/>
        </w:rPr>
        <w:t>tema</w:t>
      </w:r>
      <w:r w:rsidRPr="00D05881">
        <w:rPr>
          <w:rFonts w:ascii="Times New Roman" w:hAnsi="Times New Roman" w:cs="Times New Roman"/>
          <w:spacing w:val="48"/>
          <w:lang w:val="pt-BR"/>
        </w:rPr>
        <w:t xml:space="preserve"> </w:t>
      </w:r>
      <w:r w:rsidRPr="00D05881">
        <w:rPr>
          <w:rFonts w:ascii="Times New Roman" w:hAnsi="Times New Roman" w:cs="Times New Roman"/>
          <w:lang w:val="pt-BR"/>
        </w:rPr>
        <w:t>proposto.</w:t>
      </w:r>
      <w:r w:rsidRPr="00D05881">
        <w:rPr>
          <w:rFonts w:ascii="Times New Roman" w:hAnsi="Times New Roman" w:cs="Times New Roman"/>
          <w:spacing w:val="48"/>
          <w:lang w:val="pt-BR"/>
        </w:rPr>
        <w:t xml:space="preserve"> </w:t>
      </w:r>
      <w:r w:rsidRPr="00D05881">
        <w:rPr>
          <w:rFonts w:ascii="Times New Roman" w:hAnsi="Times New Roman" w:cs="Times New Roman"/>
          <w:lang w:val="pt-BR"/>
        </w:rPr>
        <w:t>Como</w:t>
      </w:r>
      <w:r w:rsidRPr="00D05881">
        <w:rPr>
          <w:rFonts w:ascii="Times New Roman" w:hAnsi="Times New Roman" w:cs="Times New Roman"/>
          <w:spacing w:val="47"/>
          <w:lang w:val="pt-BR"/>
        </w:rPr>
        <w:t xml:space="preserve"> </w:t>
      </w:r>
      <w:r w:rsidRPr="00D05881">
        <w:rPr>
          <w:rFonts w:ascii="Times New Roman" w:hAnsi="Times New Roman" w:cs="Times New Roman"/>
          <w:lang w:val="pt-BR"/>
        </w:rPr>
        <w:t>critérios</w:t>
      </w:r>
      <w:r w:rsidRPr="00D05881">
        <w:rPr>
          <w:rFonts w:ascii="Times New Roman" w:hAnsi="Times New Roman" w:cs="Times New Roman"/>
          <w:spacing w:val="48"/>
          <w:lang w:val="pt-BR"/>
        </w:rPr>
        <w:t xml:space="preserve"> </w:t>
      </w:r>
      <w:r w:rsidRPr="00D05881">
        <w:rPr>
          <w:rFonts w:ascii="Times New Roman" w:hAnsi="Times New Roman" w:cs="Times New Roman"/>
          <w:lang w:val="pt-BR"/>
        </w:rPr>
        <w:t>de</w:t>
      </w:r>
      <w:r w:rsidRPr="00D05881">
        <w:rPr>
          <w:rFonts w:ascii="Times New Roman" w:hAnsi="Times New Roman" w:cs="Times New Roman"/>
          <w:spacing w:val="48"/>
          <w:lang w:val="pt-BR"/>
        </w:rPr>
        <w:t xml:space="preserve"> </w:t>
      </w:r>
      <w:r w:rsidRPr="00D05881">
        <w:rPr>
          <w:rFonts w:ascii="Times New Roman" w:hAnsi="Times New Roman" w:cs="Times New Roman"/>
          <w:lang w:val="pt-BR"/>
        </w:rPr>
        <w:t>exclusão,</w:t>
      </w:r>
      <w:r w:rsidRPr="00D05881">
        <w:rPr>
          <w:rFonts w:ascii="Times New Roman" w:hAnsi="Times New Roman" w:cs="Times New Roman"/>
          <w:spacing w:val="48"/>
          <w:lang w:val="pt-BR"/>
        </w:rPr>
        <w:t xml:space="preserve"> </w:t>
      </w:r>
      <w:r w:rsidRPr="00D05881">
        <w:rPr>
          <w:rFonts w:ascii="Times New Roman" w:hAnsi="Times New Roman" w:cs="Times New Roman"/>
          <w:lang w:val="pt-BR"/>
        </w:rPr>
        <w:t>optou-se</w:t>
      </w:r>
      <w:r w:rsidRPr="00D05881">
        <w:rPr>
          <w:rFonts w:ascii="Times New Roman" w:hAnsi="Times New Roman" w:cs="Times New Roman"/>
          <w:spacing w:val="48"/>
          <w:lang w:val="pt-BR"/>
        </w:rPr>
        <w:t xml:space="preserve"> </w:t>
      </w:r>
      <w:r w:rsidRPr="00D05881">
        <w:rPr>
          <w:rFonts w:ascii="Times New Roman" w:hAnsi="Times New Roman" w:cs="Times New Roman"/>
          <w:lang w:val="pt-BR"/>
        </w:rPr>
        <w:t>por</w:t>
      </w:r>
      <w:r w:rsidRPr="00D05881">
        <w:rPr>
          <w:rFonts w:ascii="Times New Roman" w:hAnsi="Times New Roman" w:cs="Times New Roman"/>
          <w:spacing w:val="47"/>
          <w:lang w:val="pt-BR"/>
        </w:rPr>
        <w:t xml:space="preserve"> </w:t>
      </w:r>
      <w:r w:rsidRPr="00D05881">
        <w:rPr>
          <w:rFonts w:ascii="Times New Roman" w:hAnsi="Times New Roman" w:cs="Times New Roman"/>
          <w:lang w:val="pt-BR"/>
        </w:rPr>
        <w:t>não</w:t>
      </w:r>
      <w:r w:rsidRPr="00D05881">
        <w:rPr>
          <w:rFonts w:ascii="Times New Roman" w:hAnsi="Times New Roman" w:cs="Times New Roman"/>
          <w:spacing w:val="48"/>
          <w:lang w:val="pt-BR"/>
        </w:rPr>
        <w:t xml:space="preserve"> </w:t>
      </w:r>
      <w:proofErr w:type="spellStart"/>
      <w:r w:rsidR="00FA1405" w:rsidRPr="007A7BB7">
        <w:rPr>
          <w:rFonts w:ascii="Times New Roman" w:hAnsi="Times New Roman" w:cs="Times New Roman"/>
        </w:rPr>
        <w:t>analisar</w:t>
      </w:r>
      <w:proofErr w:type="spellEnd"/>
      <w:r w:rsidR="00FA1405" w:rsidRPr="007A7BB7">
        <w:rPr>
          <w:rFonts w:ascii="Times New Roman" w:hAnsi="Times New Roman" w:cs="Times New Roman"/>
        </w:rPr>
        <w:t xml:space="preserve"> </w:t>
      </w:r>
      <w:proofErr w:type="spellStart"/>
      <w:r w:rsidR="00FA1405" w:rsidRPr="007A7BB7">
        <w:rPr>
          <w:rFonts w:ascii="Times New Roman" w:hAnsi="Times New Roman" w:cs="Times New Roman"/>
        </w:rPr>
        <w:t>artigos</w:t>
      </w:r>
      <w:proofErr w:type="spellEnd"/>
      <w:r w:rsidRPr="007A7BB7">
        <w:rPr>
          <w:rFonts w:ascii="Times New Roman" w:hAnsi="Times New Roman" w:cs="Times New Roman"/>
        </w:rPr>
        <w:t xml:space="preserve"> fora</w:t>
      </w:r>
      <w:r w:rsidRPr="00D05881">
        <w:rPr>
          <w:rFonts w:ascii="Times New Roman" w:hAnsi="Times New Roman" w:cs="Times New Roman"/>
          <w:lang w:val="pt-BR"/>
        </w:rPr>
        <w:t xml:space="preserve"> da data estabelecida e nem aqueles que fogem ao tema. </w:t>
      </w:r>
      <w:r w:rsidR="00016711" w:rsidRPr="00C7200C">
        <w:rPr>
          <w:rFonts w:ascii="Times New Roman" w:hAnsi="Times New Roman" w:cs="Times New Roman"/>
          <w:lang w:val="pt-BR"/>
        </w:rPr>
        <w:t xml:space="preserve">Foram, então, selecionados </w:t>
      </w:r>
      <w:r w:rsidR="00395E47" w:rsidRPr="007A7BB7">
        <w:rPr>
          <w:rFonts w:ascii="Times New Roman" w:hAnsi="Times New Roman" w:cs="Times New Roman"/>
          <w:lang w:val="pt-BR"/>
        </w:rPr>
        <w:t>11</w:t>
      </w:r>
      <w:r w:rsidR="00016711" w:rsidRPr="00C7200C">
        <w:rPr>
          <w:rFonts w:ascii="Times New Roman" w:hAnsi="Times New Roman" w:cs="Times New Roman"/>
          <w:spacing w:val="1"/>
          <w:lang w:val="pt-BR"/>
        </w:rPr>
        <w:t xml:space="preserve"> </w:t>
      </w:r>
      <w:r w:rsidR="00016711" w:rsidRPr="00C7200C">
        <w:rPr>
          <w:rFonts w:ascii="Times New Roman" w:hAnsi="Times New Roman" w:cs="Times New Roman"/>
          <w:lang w:val="pt-BR"/>
        </w:rPr>
        <w:t>artigos</w:t>
      </w:r>
      <w:r w:rsidR="00016711" w:rsidRPr="00C7200C">
        <w:rPr>
          <w:rFonts w:ascii="Times New Roman" w:hAnsi="Times New Roman" w:cs="Times New Roman"/>
          <w:spacing w:val="-1"/>
          <w:lang w:val="pt-BR"/>
        </w:rPr>
        <w:t xml:space="preserve"> </w:t>
      </w:r>
      <w:r w:rsidR="00016711" w:rsidRPr="00C7200C">
        <w:rPr>
          <w:rFonts w:ascii="Times New Roman" w:hAnsi="Times New Roman" w:cs="Times New Roman"/>
          <w:lang w:val="pt-BR"/>
        </w:rPr>
        <w:t>para análise nesta</w:t>
      </w:r>
      <w:r w:rsidR="00016711" w:rsidRPr="00C7200C">
        <w:rPr>
          <w:rFonts w:ascii="Times New Roman" w:hAnsi="Times New Roman" w:cs="Times New Roman"/>
          <w:spacing w:val="-3"/>
          <w:lang w:val="pt-BR"/>
        </w:rPr>
        <w:t xml:space="preserve"> </w:t>
      </w:r>
      <w:r w:rsidR="00016711" w:rsidRPr="00C7200C">
        <w:rPr>
          <w:rFonts w:ascii="Times New Roman" w:hAnsi="Times New Roman" w:cs="Times New Roman"/>
          <w:lang w:val="pt-BR"/>
        </w:rPr>
        <w:t>revisão.</w:t>
      </w:r>
    </w:p>
    <w:p w14:paraId="4F5600DD" w14:textId="77777777" w:rsidR="00317AF4" w:rsidRPr="000D7F00" w:rsidRDefault="00317AF4" w:rsidP="00317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6BEE76" w14:textId="07BBD641" w:rsidR="007A22FC" w:rsidRDefault="002D1DCF" w:rsidP="00A253B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3BA">
        <w:rPr>
          <w:rFonts w:ascii="Times New Roman" w:hAnsi="Times New Roman" w:cs="Times New Roman"/>
          <w:b/>
          <w:bCs/>
          <w:sz w:val="24"/>
          <w:szCs w:val="24"/>
        </w:rPr>
        <w:t>REVISÃO DA LITERATURA</w:t>
      </w:r>
    </w:p>
    <w:p w14:paraId="14A7E5FC" w14:textId="0E10057B" w:rsidR="00F83BD9" w:rsidRPr="00FA1405" w:rsidRDefault="00EE07AE" w:rsidP="0052765F">
      <w:pPr>
        <w:pStyle w:val="NormalWeb"/>
        <w:rPr>
          <w:b/>
          <w:bCs/>
          <w:color w:val="000000"/>
        </w:rPr>
      </w:pPr>
      <w:r>
        <w:rPr>
          <w:b/>
          <w:bCs/>
        </w:rPr>
        <w:lastRenderedPageBreak/>
        <w:t xml:space="preserve">      </w:t>
      </w:r>
      <w:r w:rsidR="003969F3">
        <w:rPr>
          <w:b/>
          <w:bCs/>
        </w:rPr>
        <w:t>3.1</w:t>
      </w:r>
      <w:r w:rsidR="00F35C28">
        <w:rPr>
          <w:b/>
          <w:bCs/>
        </w:rPr>
        <w:t>.</w:t>
      </w:r>
      <w:r w:rsidR="003969F3">
        <w:rPr>
          <w:b/>
          <w:bCs/>
        </w:rPr>
        <w:t xml:space="preserve"> </w:t>
      </w:r>
      <w:r w:rsidR="003969F3" w:rsidRPr="007A7BB7">
        <w:rPr>
          <w:b/>
          <w:bCs/>
          <w:color w:val="000000"/>
        </w:rPr>
        <w:t>MEDICAMENTOS</w:t>
      </w:r>
      <w:r w:rsidR="000D7F00" w:rsidRPr="007A7BB7">
        <w:rPr>
          <w:b/>
          <w:bCs/>
          <w:color w:val="000000"/>
        </w:rPr>
        <w:t xml:space="preserve"> ISENTOS DE PRESCRIÇÃO (MIP)</w:t>
      </w:r>
    </w:p>
    <w:p w14:paraId="000DAA13" w14:textId="1FC87D7E" w:rsidR="00234944" w:rsidRPr="000D7F00" w:rsidRDefault="00234944" w:rsidP="00CD3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00">
        <w:rPr>
          <w:rFonts w:ascii="Times New Roman" w:hAnsi="Times New Roman" w:cs="Times New Roman"/>
          <w:sz w:val="24"/>
          <w:szCs w:val="24"/>
        </w:rPr>
        <w:t>No Brasil, os (MIP)</w:t>
      </w:r>
      <w:r w:rsidR="00874401">
        <w:rPr>
          <w:rFonts w:ascii="Times New Roman" w:hAnsi="Times New Roman" w:cs="Times New Roman"/>
          <w:sz w:val="24"/>
          <w:szCs w:val="24"/>
        </w:rPr>
        <w:t>,</w:t>
      </w:r>
      <w:r w:rsidRPr="000D7F00">
        <w:rPr>
          <w:rFonts w:ascii="Times New Roman" w:hAnsi="Times New Roman" w:cs="Times New Roman"/>
          <w:sz w:val="24"/>
          <w:szCs w:val="24"/>
        </w:rPr>
        <w:t xml:space="preserve"> assim classificados pela primeira vez na legislação sanitária brasileira, em 1973, quando se regulamentou o controle sanitário do comércio de medicamentos. Nessa ocasião, inseriu-se o conceito de medicamento de venda livre como aquele que independe de prescrição, estabelecendo-se diferenças quanto à rotulagem e à publicidade dos produtos prescritos</w:t>
      </w:r>
      <w:r w:rsidR="00277CAD" w:rsidRPr="000D7F00">
        <w:rPr>
          <w:rFonts w:ascii="Times New Roman" w:hAnsi="Times New Roman" w:cs="Times New Roman"/>
          <w:sz w:val="24"/>
          <w:szCs w:val="24"/>
        </w:rPr>
        <w:t xml:space="preserve"> (BRASIL, 1973)</w:t>
      </w:r>
      <w:r w:rsidRPr="000D7F00">
        <w:rPr>
          <w:rFonts w:ascii="Times New Roman" w:hAnsi="Times New Roman" w:cs="Times New Roman"/>
          <w:sz w:val="24"/>
          <w:szCs w:val="24"/>
        </w:rPr>
        <w:t>. Em 2016, a Agência Nacional de Vigilância Sanitária (A</w:t>
      </w:r>
      <w:r w:rsidR="00063125" w:rsidRPr="000D7F00">
        <w:rPr>
          <w:rFonts w:ascii="Times New Roman" w:hAnsi="Times New Roman" w:cs="Times New Roman"/>
          <w:sz w:val="24"/>
          <w:szCs w:val="24"/>
        </w:rPr>
        <w:t>NVISA</w:t>
      </w:r>
      <w:r w:rsidRPr="000D7F00">
        <w:rPr>
          <w:rFonts w:ascii="Times New Roman" w:hAnsi="Times New Roman" w:cs="Times New Roman"/>
          <w:sz w:val="24"/>
          <w:szCs w:val="24"/>
        </w:rPr>
        <w:t>) definiu mais claramente os critérios para que um medicamento seja classificado como “isento de prescrição”, sendo considerados nessa categoria medicamentos de 33 grupos terapêuticos, com as devidas exceções.</w:t>
      </w:r>
      <w:r w:rsidR="00277CAD" w:rsidRPr="000D7F00">
        <w:rPr>
          <w:rFonts w:ascii="Times New Roman" w:hAnsi="Times New Roman" w:cs="Times New Roman"/>
          <w:sz w:val="24"/>
          <w:szCs w:val="24"/>
        </w:rPr>
        <w:t xml:space="preserve"> O</w:t>
      </w:r>
      <w:r w:rsidRPr="000D7F00">
        <w:rPr>
          <w:rFonts w:ascii="Times New Roman" w:hAnsi="Times New Roman" w:cs="Times New Roman"/>
          <w:sz w:val="24"/>
          <w:szCs w:val="24"/>
        </w:rPr>
        <w:t xml:space="preserve">s critérios para a inclusão de medicamentos na lista de MIP levam em conta aspectos como: tempo de comercialização, segurança do medicamento, sintomas identificáveis, utilização por curto </w:t>
      </w:r>
      <w:r w:rsidR="007E11DD" w:rsidRPr="000D7F00">
        <w:rPr>
          <w:rFonts w:ascii="Times New Roman" w:hAnsi="Times New Roman" w:cs="Times New Roman"/>
          <w:sz w:val="24"/>
          <w:szCs w:val="24"/>
        </w:rPr>
        <w:t>período</w:t>
      </w:r>
      <w:r w:rsidRPr="000D7F00">
        <w:rPr>
          <w:rFonts w:ascii="Times New Roman" w:hAnsi="Times New Roman" w:cs="Times New Roman"/>
          <w:sz w:val="24"/>
          <w:szCs w:val="24"/>
        </w:rPr>
        <w:t xml:space="preserve">, ser manejável pelo paciente, apresentar baixo potencial de risco e não apresentar dependência. A ANVISA é responsável pela regulamentação de propaganda, publicidade, informação e outras práticas com objetivo de divulgação ou promoção comercial de medicamentos, incluindo também os materiais elaborados pela indústria farmacêutica com a finalidade de apresentar aos profissionais prescritores e dispensadores. </w:t>
      </w:r>
      <w:bookmarkStart w:id="13" w:name="_Hlk165204982"/>
      <w:r w:rsidRPr="000D7F00">
        <w:rPr>
          <w:rFonts w:ascii="Times New Roman" w:hAnsi="Times New Roman" w:cs="Times New Roman"/>
          <w:sz w:val="24"/>
          <w:szCs w:val="24"/>
        </w:rPr>
        <w:t>(DUARTE</w:t>
      </w:r>
      <w:r w:rsidR="00874401">
        <w:rPr>
          <w:rFonts w:ascii="Times New Roman" w:hAnsi="Times New Roman" w:cs="Times New Roman"/>
          <w:sz w:val="24"/>
          <w:szCs w:val="24"/>
        </w:rPr>
        <w:t xml:space="preserve"> </w:t>
      </w:r>
      <w:r w:rsidR="00874401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0A5F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7F00">
        <w:rPr>
          <w:rFonts w:ascii="Times New Roman" w:hAnsi="Times New Roman" w:cs="Times New Roman"/>
          <w:sz w:val="24"/>
          <w:szCs w:val="24"/>
        </w:rPr>
        <w:t xml:space="preserve"> 2021).</w:t>
      </w:r>
    </w:p>
    <w:bookmarkEnd w:id="13"/>
    <w:p w14:paraId="0EE51061" w14:textId="1BD3A2B3" w:rsidR="0035094E" w:rsidRDefault="0035094E" w:rsidP="004974A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770BC4" w14:textId="77777777" w:rsidR="005A4C20" w:rsidRDefault="005A4C20" w:rsidP="004974A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F2EA6" w14:textId="1EDC924B" w:rsidR="00EE07AE" w:rsidRDefault="00EE07AE" w:rsidP="004974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6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</w:t>
      </w:r>
      <w:r w:rsidR="004974AA" w:rsidRPr="00EE0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ANTI-INFLAMATÓRIOS NÃO ESTEROIDAIS (AINES)</w:t>
      </w:r>
    </w:p>
    <w:p w14:paraId="18826D6A" w14:textId="7BF73895" w:rsidR="001B2EEA" w:rsidRDefault="001B2EEA" w:rsidP="004974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00">
        <w:rPr>
          <w:rFonts w:ascii="Times New Roman" w:hAnsi="Times New Roman" w:cs="Times New Roman"/>
          <w:sz w:val="24"/>
          <w:szCs w:val="24"/>
        </w:rPr>
        <w:t>Os medicamentos (AINE</w:t>
      </w:r>
      <w:r w:rsidR="004974AA">
        <w:rPr>
          <w:rFonts w:ascii="Times New Roman" w:hAnsi="Times New Roman" w:cs="Times New Roman"/>
          <w:sz w:val="24"/>
          <w:szCs w:val="24"/>
        </w:rPr>
        <w:t>S</w:t>
      </w:r>
      <w:r w:rsidRPr="000D7F00">
        <w:rPr>
          <w:rFonts w:ascii="Times New Roman" w:hAnsi="Times New Roman" w:cs="Times New Roman"/>
          <w:sz w:val="24"/>
          <w:szCs w:val="24"/>
        </w:rPr>
        <w:t>) têm sido reconhecidos por mais de um século e são amplamente utilizados na prática médica para reduzir inflamações, dor, febre e prevenir doenças cardíacas</w:t>
      </w:r>
      <w:r w:rsidR="00874401">
        <w:rPr>
          <w:rFonts w:ascii="Times New Roman" w:hAnsi="Times New Roman" w:cs="Times New Roman"/>
          <w:sz w:val="24"/>
          <w:szCs w:val="24"/>
        </w:rPr>
        <w:t>.</w:t>
      </w:r>
      <w:r w:rsidRPr="000D7F00">
        <w:rPr>
          <w:rFonts w:ascii="Times New Roman" w:hAnsi="Times New Roman" w:cs="Times New Roman"/>
          <w:sz w:val="24"/>
          <w:szCs w:val="24"/>
        </w:rPr>
        <w:t xml:space="preserve">  Desde a descoberta da </w:t>
      </w:r>
      <w:proofErr w:type="spellStart"/>
      <w:r w:rsidRPr="000D7F00">
        <w:rPr>
          <w:rFonts w:ascii="Times New Roman" w:hAnsi="Times New Roman" w:cs="Times New Roman"/>
          <w:sz w:val="24"/>
          <w:szCs w:val="24"/>
        </w:rPr>
        <w:t>salicilina</w:t>
      </w:r>
      <w:proofErr w:type="spellEnd"/>
      <w:r w:rsidRPr="000D7F00">
        <w:rPr>
          <w:rFonts w:ascii="Times New Roman" w:hAnsi="Times New Roman" w:cs="Times New Roman"/>
          <w:sz w:val="24"/>
          <w:szCs w:val="24"/>
        </w:rPr>
        <w:t xml:space="preserve"> em 1829 por </w:t>
      </w:r>
      <w:proofErr w:type="spellStart"/>
      <w:r w:rsidRPr="001729DC">
        <w:rPr>
          <w:rFonts w:ascii="Times New Roman" w:hAnsi="Times New Roman" w:cs="Times New Roman"/>
          <w:sz w:val="24"/>
          <w:szCs w:val="24"/>
        </w:rPr>
        <w:t>Leraux</w:t>
      </w:r>
      <w:proofErr w:type="spellEnd"/>
      <w:r w:rsidRPr="0052765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7F00">
        <w:rPr>
          <w:rFonts w:ascii="Times New Roman" w:hAnsi="Times New Roman" w:cs="Times New Roman"/>
          <w:sz w:val="24"/>
          <w:szCs w:val="24"/>
        </w:rPr>
        <w:t xml:space="preserve"> que demonstrou seus efeitos antipiréticos, a pesquisa por substâncias com propriedades anti-inflamatórias tem sido contínua. Um marco importante foi o uso do salicilato de sódio em 1875 para tratar febre reumática e gota, o que levou ao desenvolvimento do ácido acetilsalicílico, conhecido como aspirina, em 1899 (</w:t>
      </w:r>
      <w:r w:rsidR="00270EFC" w:rsidRPr="000D7F00">
        <w:rPr>
          <w:rFonts w:ascii="Times New Roman" w:hAnsi="Times New Roman" w:cs="Times New Roman"/>
          <w:sz w:val="24"/>
          <w:szCs w:val="24"/>
        </w:rPr>
        <w:t>MONTEIRO</w:t>
      </w:r>
      <w:r w:rsidRPr="000D7F00">
        <w:rPr>
          <w:rFonts w:ascii="Times New Roman" w:hAnsi="Times New Roman" w:cs="Times New Roman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D7F00">
        <w:rPr>
          <w:rFonts w:ascii="Times New Roman" w:hAnsi="Times New Roman" w:cs="Times New Roman"/>
          <w:sz w:val="24"/>
          <w:szCs w:val="24"/>
        </w:rPr>
        <w:t xml:space="preserve">., 2008). </w:t>
      </w:r>
    </w:p>
    <w:p w14:paraId="1A5F1024" w14:textId="77777777" w:rsidR="00874401" w:rsidRPr="00916EB5" w:rsidRDefault="00874401" w:rsidP="008744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2765F">
        <w:rPr>
          <w:rFonts w:ascii="Times New Roman" w:hAnsi="Times New Roman" w:cs="Times New Roman"/>
          <w:sz w:val="24"/>
          <w:szCs w:val="24"/>
        </w:rPr>
        <w:t>Os AINE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765F">
        <w:rPr>
          <w:rFonts w:ascii="Times New Roman" w:hAnsi="Times New Roman" w:cs="Times New Roman"/>
          <w:sz w:val="24"/>
          <w:szCs w:val="24"/>
        </w:rPr>
        <w:t xml:space="preserve"> têm como características e possuírem estruturas químicas variadas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2765F">
        <w:rPr>
          <w:rFonts w:ascii="Times New Roman" w:hAnsi="Times New Roman" w:cs="Times New Roman"/>
          <w:sz w:val="24"/>
          <w:szCs w:val="24"/>
        </w:rPr>
        <w:t>ntretanto, mesmo diante desta diversidade estrutural é possível observar que nesta classe farmacêutica a grande maioria apresenta</w:t>
      </w:r>
      <w:r w:rsidRPr="00527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como semelhança</w:t>
      </w:r>
      <w:r w:rsidRPr="00527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a</w:t>
      </w:r>
      <w:r w:rsidRPr="00527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presença</w:t>
      </w:r>
      <w:r w:rsidRPr="00527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de</w:t>
      </w:r>
      <w:r w:rsidRPr="00527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anel</w:t>
      </w:r>
      <w:r w:rsidRPr="00527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aromático planar ligado a</w:t>
      </w:r>
      <w:r w:rsidRPr="00527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um</w:t>
      </w:r>
      <w:r w:rsidRPr="00527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grupo ácido e</w:t>
      </w:r>
      <w:r w:rsidRPr="00527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um substituinte</w:t>
      </w:r>
      <w:r w:rsidRPr="00527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específico</w:t>
      </w:r>
      <w:r w:rsidRPr="00527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para</w:t>
      </w:r>
      <w:r w:rsidRPr="00527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>cada</w:t>
      </w:r>
      <w:r w:rsidRPr="00527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765F">
        <w:rPr>
          <w:rFonts w:ascii="Times New Roman" w:hAnsi="Times New Roman" w:cs="Times New Roman"/>
          <w:sz w:val="24"/>
          <w:szCs w:val="24"/>
        </w:rPr>
        <w:t xml:space="preserve">representante </w:t>
      </w:r>
      <w:r w:rsidRPr="00F35C28">
        <w:rPr>
          <w:rFonts w:ascii="Times New Roman" w:hAnsi="Times New Roman" w:cs="Times New Roman"/>
          <w:sz w:val="24"/>
          <w:szCs w:val="24"/>
        </w:rPr>
        <w:t>(SULEYMAN</w:t>
      </w:r>
      <w:r w:rsidRPr="0052765F">
        <w:rPr>
          <w:rFonts w:ascii="Times New Roman" w:hAnsi="Times New Roman" w:cs="Times New Roman"/>
          <w:i/>
          <w:iCs/>
          <w:sz w:val="24"/>
          <w:szCs w:val="24"/>
        </w:rPr>
        <w:t xml:space="preserve"> et al., 2008)</w:t>
      </w:r>
      <w:r w:rsidRPr="0052765F">
        <w:rPr>
          <w:rFonts w:ascii="Times New Roman" w:hAnsi="Times New Roman" w:cs="Times New Roman"/>
          <w:sz w:val="24"/>
          <w:szCs w:val="24"/>
        </w:rPr>
        <w:t>.</w:t>
      </w:r>
      <w:bookmarkStart w:id="14" w:name="_Hlk165205123"/>
    </w:p>
    <w:bookmarkEnd w:id="14"/>
    <w:p w14:paraId="589F8B37" w14:textId="1417FB40" w:rsidR="005B049C" w:rsidRDefault="003158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No processo inflamatório é importante conhecer o precursor de toda cascata metabólica </w:t>
      </w:r>
      <w:r w:rsidR="004974AA" w:rsidRPr="000D7F00">
        <w:rPr>
          <w:rFonts w:ascii="Times New Roman" w:hAnsi="Times New Roman" w:cs="Times New Roman"/>
          <w:color w:val="000000"/>
          <w:sz w:val="24"/>
          <w:szCs w:val="24"/>
        </w:rPr>
        <w:t>a partir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do ácido araquidônico, o qual é </w:t>
      </w:r>
      <w:r w:rsidR="00537779">
        <w:rPr>
          <w:rFonts w:ascii="Times New Roman" w:hAnsi="Times New Roman" w:cs="Times New Roman"/>
          <w:color w:val="000000"/>
          <w:sz w:val="24"/>
          <w:szCs w:val="24"/>
        </w:rPr>
        <w:t>alcançado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através de uma dieta ou pela conversão do ácido linoleico (ácido cis,cis-9,12- </w:t>
      </w:r>
      <w:proofErr w:type="spellStart"/>
      <w:r w:rsidRPr="000D7F00">
        <w:rPr>
          <w:rFonts w:ascii="Times New Roman" w:hAnsi="Times New Roman" w:cs="Times New Roman"/>
          <w:color w:val="000000"/>
          <w:sz w:val="24"/>
          <w:szCs w:val="24"/>
        </w:rPr>
        <w:t>octadecadienóico</w:t>
      </w:r>
      <w:proofErr w:type="spellEnd"/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). O ácido araquidônico deriva de um ácido graxo essencial que por ação da </w:t>
      </w:r>
      <w:proofErr w:type="spellStart"/>
      <w:r w:rsidRPr="000D7F00">
        <w:rPr>
          <w:rFonts w:ascii="Times New Roman" w:hAnsi="Times New Roman" w:cs="Times New Roman"/>
          <w:color w:val="000000"/>
          <w:sz w:val="24"/>
          <w:szCs w:val="24"/>
        </w:rPr>
        <w:t>fosfolipase</w:t>
      </w:r>
      <w:proofErr w:type="spellEnd"/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A253B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202AF1">
        <w:rPr>
          <w:rFonts w:ascii="Times New Roman" w:hAnsi="Times New Roman" w:cs="Times New Roman"/>
          <w:color w:val="000000"/>
          <w:sz w:val="24"/>
          <w:szCs w:val="24"/>
        </w:rPr>
        <w:t xml:space="preserve"> é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liberado da membrana plasmática e inicia a cascata pelas atividades das enzimas lipo-</w:t>
      </w:r>
      <w:proofErr w:type="spellStart"/>
      <w:r w:rsidRPr="000D7F00">
        <w:rPr>
          <w:rFonts w:ascii="Times New Roman" w:hAnsi="Times New Roman" w:cs="Times New Roman"/>
          <w:color w:val="000000"/>
          <w:sz w:val="24"/>
          <w:szCs w:val="24"/>
        </w:rPr>
        <w:t>oxigenase</w:t>
      </w:r>
      <w:proofErr w:type="spellEnd"/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responsável pela produção dos leucotrienos, e pela </w:t>
      </w:r>
      <w:proofErr w:type="spellStart"/>
      <w:r w:rsidRPr="000D7F00">
        <w:rPr>
          <w:rFonts w:ascii="Times New Roman" w:hAnsi="Times New Roman" w:cs="Times New Roman"/>
          <w:color w:val="000000"/>
          <w:sz w:val="24"/>
          <w:szCs w:val="24"/>
        </w:rPr>
        <w:t>cicloxigenase</w:t>
      </w:r>
      <w:proofErr w:type="spellEnd"/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(COX), responsável pela produção das prostaglandinas (</w:t>
      </w:r>
      <w:proofErr w:type="spellStart"/>
      <w:r w:rsidRPr="000D7F00">
        <w:rPr>
          <w:rFonts w:ascii="Times New Roman" w:hAnsi="Times New Roman" w:cs="Times New Roman"/>
          <w:color w:val="000000"/>
          <w:sz w:val="24"/>
          <w:szCs w:val="24"/>
        </w:rPr>
        <w:t>PGs</w:t>
      </w:r>
      <w:proofErr w:type="spellEnd"/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D7F00">
        <w:rPr>
          <w:rFonts w:ascii="Times New Roman" w:hAnsi="Times New Roman" w:cs="Times New Roman"/>
          <w:color w:val="000000"/>
          <w:sz w:val="24"/>
          <w:szCs w:val="24"/>
        </w:rPr>
        <w:t>prostaciclina</w:t>
      </w:r>
      <w:proofErr w:type="spellEnd"/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(PGH</w:t>
      </w:r>
      <w:r w:rsidRPr="00A253B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>) e tromboxanos (TXA). Na COX há dois sítios catalíticos, em um dos sítios o ácido araquidônico é convertido em PGG</w:t>
      </w:r>
      <w:r w:rsidRPr="00A253B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e no sítio peroxidase a PGG</w:t>
      </w:r>
      <w:r w:rsidRPr="00A253B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779">
        <w:rPr>
          <w:rFonts w:ascii="Times New Roman" w:hAnsi="Times New Roman" w:cs="Times New Roman"/>
          <w:color w:val="000000"/>
          <w:sz w:val="24"/>
          <w:szCs w:val="24"/>
        </w:rPr>
        <w:t xml:space="preserve">passa por 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uma redução em prostaglandina instável, a PGH2, a qual é transformada em </w:t>
      </w:r>
      <w:proofErr w:type="spellStart"/>
      <w:r w:rsidRPr="000D7F00">
        <w:rPr>
          <w:rFonts w:ascii="Times New Roman" w:hAnsi="Times New Roman" w:cs="Times New Roman"/>
          <w:color w:val="000000"/>
          <w:sz w:val="24"/>
          <w:szCs w:val="24"/>
        </w:rPr>
        <w:t>tramboxanos</w:t>
      </w:r>
      <w:proofErr w:type="spellEnd"/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e nas séries de prostaglandinas D, E, F e I, compostos estes chamados de </w:t>
      </w:r>
      <w:proofErr w:type="spellStart"/>
      <w:r w:rsidRPr="000D7F00">
        <w:rPr>
          <w:rFonts w:ascii="Times New Roman" w:hAnsi="Times New Roman" w:cs="Times New Roman"/>
          <w:color w:val="000000"/>
          <w:sz w:val="24"/>
          <w:szCs w:val="24"/>
        </w:rPr>
        <w:t>prostanoides</w:t>
      </w:r>
      <w:proofErr w:type="spellEnd"/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que são importantes mediadores inflamatórios</w:t>
      </w:r>
      <w:r w:rsidR="00537779">
        <w:rPr>
          <w:rFonts w:ascii="Times New Roman" w:hAnsi="Times New Roman" w:cs="Times New Roman"/>
          <w:color w:val="000000"/>
          <w:sz w:val="24"/>
          <w:szCs w:val="24"/>
        </w:rPr>
        <w:t xml:space="preserve"> (LIMA,</w:t>
      </w:r>
      <w:r w:rsidR="00F35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779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4678E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377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90CD1">
        <w:rPr>
          <w:rFonts w:ascii="Times New Roman" w:hAnsi="Times New Roman" w:cs="Times New Roman"/>
          <w:color w:val="000000"/>
          <w:sz w:val="24"/>
          <w:szCs w:val="24"/>
        </w:rPr>
        <w:t xml:space="preserve"> O metabolismo de fosfolipídios bem como a ação das enzimas </w:t>
      </w:r>
      <w:proofErr w:type="spellStart"/>
      <w:r w:rsidR="00A9421C">
        <w:rPr>
          <w:rFonts w:ascii="Times New Roman" w:hAnsi="Times New Roman" w:cs="Times New Roman"/>
          <w:color w:val="000000"/>
          <w:sz w:val="24"/>
          <w:szCs w:val="24"/>
        </w:rPr>
        <w:t>cicloxigenase</w:t>
      </w:r>
      <w:proofErr w:type="spellEnd"/>
      <w:r w:rsidR="00790CD1">
        <w:rPr>
          <w:rFonts w:ascii="Times New Roman" w:hAnsi="Times New Roman" w:cs="Times New Roman"/>
          <w:color w:val="000000"/>
          <w:sz w:val="24"/>
          <w:szCs w:val="24"/>
        </w:rPr>
        <w:t xml:space="preserve"> 1 e 2, está representado na figura 1.</w:t>
      </w:r>
    </w:p>
    <w:p w14:paraId="49F9E739" w14:textId="77777777" w:rsidR="00B7457A" w:rsidRDefault="00B745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C8788" w14:textId="77777777" w:rsidR="0035094E" w:rsidRDefault="00350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8905F" w14:textId="77777777" w:rsidR="0035094E" w:rsidRDefault="00350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C1A15" w14:textId="77777777" w:rsidR="00B7457A" w:rsidRDefault="00B745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743CA" w14:textId="77777777" w:rsidR="00874401" w:rsidRDefault="008744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79DC6" w14:textId="5BA1F63D" w:rsidR="005B049C" w:rsidRDefault="005B049C">
      <w:pPr>
        <w:spacing w:line="360" w:lineRule="auto"/>
        <w:ind w:firstLine="709"/>
        <w:jc w:val="both"/>
      </w:pPr>
      <w:r>
        <w:t>FIGURA</w:t>
      </w:r>
      <w:r w:rsidR="0060015C">
        <w:t xml:space="preserve"> 1</w:t>
      </w:r>
      <w:r>
        <w:t xml:space="preserve"> - Metabolismo do</w:t>
      </w:r>
      <w:r w:rsidR="00790CD1">
        <w:t xml:space="preserve">s fosfolipídios </w:t>
      </w:r>
      <w:r>
        <w:t>á e atuação das enzimas COX</w:t>
      </w:r>
    </w:p>
    <w:p w14:paraId="4293DA13" w14:textId="6D6DC75A" w:rsidR="00537779" w:rsidRDefault="005B049C" w:rsidP="0052765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49C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2785B850" wp14:editId="17342763">
            <wp:extent cx="6184899" cy="2377440"/>
            <wp:effectExtent l="0" t="0" r="6985" b="3810"/>
            <wp:docPr id="661107969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07969" name="Imagem 1" descr="Diagram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0797" cy="240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8AA"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8A1E1E" w14:textId="2711BE83" w:rsidR="005B049C" w:rsidRPr="005B049C" w:rsidRDefault="005B04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874401">
        <w:rPr>
          <w:rFonts w:ascii="Times New Roman" w:hAnsi="Times New Roman" w:cs="Times New Roman"/>
          <w:color w:val="000000"/>
          <w:sz w:val="24"/>
          <w:szCs w:val="24"/>
        </w:rPr>
        <w:t>Fonte: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(LIMA, 201</w:t>
      </w:r>
      <w:r w:rsidR="004678E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B0B9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AAABF54" w14:textId="78FDE3E7" w:rsidR="00A82ECC" w:rsidRDefault="003158AA" w:rsidP="00A82E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Os AINE</w:t>
      </w:r>
      <w:r w:rsidR="007E11D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desencadeiam sua ação anti-inflamatória através da inibição das </w:t>
      </w:r>
      <w:proofErr w:type="spellStart"/>
      <w:r w:rsidRPr="000D7F00">
        <w:rPr>
          <w:rFonts w:ascii="Times New Roman" w:hAnsi="Times New Roman" w:cs="Times New Roman"/>
          <w:color w:val="000000"/>
          <w:sz w:val="24"/>
          <w:szCs w:val="24"/>
        </w:rPr>
        <w:t>isoformas</w:t>
      </w:r>
      <w:proofErr w:type="spellEnd"/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da enzima </w:t>
      </w:r>
      <w:proofErr w:type="spellStart"/>
      <w:r w:rsidRPr="000D7F00">
        <w:rPr>
          <w:rFonts w:ascii="Times New Roman" w:hAnsi="Times New Roman" w:cs="Times New Roman"/>
          <w:color w:val="000000"/>
          <w:sz w:val="24"/>
          <w:szCs w:val="24"/>
        </w:rPr>
        <w:t>cicloxigenase</w:t>
      </w:r>
      <w:proofErr w:type="spellEnd"/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(COX-1 e COX-2), </w:t>
      </w:r>
      <w:r w:rsidR="005B049C">
        <w:rPr>
          <w:rFonts w:ascii="Times New Roman" w:hAnsi="Times New Roman" w:cs="Times New Roman"/>
          <w:color w:val="000000"/>
          <w:sz w:val="24"/>
          <w:szCs w:val="24"/>
        </w:rPr>
        <w:t>induzido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uma consequente </w:t>
      </w:r>
      <w:r w:rsidR="005B049C">
        <w:rPr>
          <w:rFonts w:ascii="Times New Roman" w:hAnsi="Times New Roman" w:cs="Times New Roman"/>
          <w:color w:val="000000"/>
          <w:sz w:val="24"/>
          <w:szCs w:val="24"/>
        </w:rPr>
        <w:t>redução</w:t>
      </w:r>
      <w:r w:rsidRPr="000D7F00">
        <w:rPr>
          <w:rFonts w:ascii="Times New Roman" w:hAnsi="Times New Roman" w:cs="Times New Roman"/>
          <w:color w:val="000000"/>
          <w:sz w:val="24"/>
          <w:szCs w:val="24"/>
        </w:rPr>
        <w:t xml:space="preserve"> na síntese e liberação dos mediadores da inflamação produzidos por tais enzimas que viriam a atuar no </w:t>
      </w:r>
      <w:r w:rsidRPr="005B049C">
        <w:rPr>
          <w:rFonts w:ascii="Times New Roman" w:hAnsi="Times New Roman" w:cs="Times New Roman"/>
          <w:color w:val="000000"/>
          <w:sz w:val="24"/>
          <w:szCs w:val="24"/>
        </w:rPr>
        <w:t>aparecimento de sintomas típicos da inflamação (</w:t>
      </w:r>
      <w:r w:rsidRPr="00F35C28">
        <w:rPr>
          <w:rFonts w:ascii="Times New Roman" w:hAnsi="Times New Roman" w:cs="Times New Roman"/>
          <w:color w:val="000000"/>
          <w:sz w:val="24"/>
          <w:szCs w:val="24"/>
        </w:rPr>
        <w:t>SCHALLEMBERGER; PLETSCH, 2014</w:t>
      </w:r>
      <w:r w:rsidRPr="005276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  <w:r w:rsidRPr="005B0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3BA">
        <w:rPr>
          <w:rFonts w:ascii="Times New Roman" w:hAnsi="Times New Roman" w:cs="Times New Roman"/>
          <w:sz w:val="24"/>
          <w:szCs w:val="24"/>
        </w:rPr>
        <w:t>Destacam-se as prostaglandinas PGE2 e PGI2, por apresentarem uma ação vasodilatadoras e induzir</w:t>
      </w:r>
      <w:r w:rsidRPr="00A82ECC">
        <w:rPr>
          <w:rFonts w:ascii="Times New Roman" w:hAnsi="Times New Roman" w:cs="Times New Roman"/>
          <w:sz w:val="24"/>
          <w:szCs w:val="24"/>
        </w:rPr>
        <w:t xml:space="preserve"> mediadores como bradicinina e histamina aumentando a permeabilidade (MENDES </w:t>
      </w:r>
      <w:r w:rsidRPr="0052765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A82ECC">
        <w:rPr>
          <w:rFonts w:ascii="Times New Roman" w:hAnsi="Times New Roman" w:cs="Times New Roman"/>
          <w:sz w:val="24"/>
          <w:szCs w:val="24"/>
        </w:rPr>
        <w:t xml:space="preserve">, 2012). </w:t>
      </w:r>
      <w:bookmarkStart w:id="15" w:name="_Hlk162778989"/>
      <w:r w:rsidR="001313D5" w:rsidRPr="00F35C28">
        <w:rPr>
          <w:rFonts w:ascii="Times New Roman" w:hAnsi="Times New Roman" w:cs="Times New Roman"/>
          <w:sz w:val="24"/>
          <w:szCs w:val="24"/>
        </w:rPr>
        <w:t>(SCHALLEMBERGER;</w:t>
      </w:r>
      <w:r w:rsidR="001313D5" w:rsidRPr="00F35C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313D5" w:rsidRPr="00F35C28">
        <w:rPr>
          <w:rFonts w:ascii="Times New Roman" w:hAnsi="Times New Roman" w:cs="Times New Roman"/>
          <w:sz w:val="24"/>
          <w:szCs w:val="24"/>
        </w:rPr>
        <w:t>PLETSCH, 2014).</w:t>
      </w:r>
      <w:bookmarkEnd w:id="15"/>
    </w:p>
    <w:p w14:paraId="20D9CF10" w14:textId="6E133FA7" w:rsidR="00A82ECC" w:rsidRPr="00A82ECC" w:rsidRDefault="00820B0A" w:rsidP="00820B0A">
      <w:pPr>
        <w:pStyle w:val="Corpodetexto"/>
        <w:spacing w:before="7" w:line="360" w:lineRule="auto"/>
        <w:ind w:right="38" w:firstLine="709"/>
        <w:jc w:val="both"/>
        <w:rPr>
          <w:rFonts w:ascii="Times New Roman" w:hAnsi="Times New Roman" w:cs="Times New Roman"/>
          <w:lang w:val="pt-BR"/>
        </w:rPr>
      </w:pPr>
      <w:r w:rsidRPr="00A82ECC">
        <w:rPr>
          <w:rFonts w:ascii="Times New Roman" w:hAnsi="Times New Roman" w:cs="Times New Roman"/>
          <w:lang w:val="pt-BR"/>
        </w:rPr>
        <w:t>O hipotálamo tem a função de regular a temperatura corporal buscando sempre manter o equilíbrio entre a produção e a perda de calor. Ocorrendo o desequilíbrio termostato, ocorre a febre</w:t>
      </w:r>
      <w:r w:rsidR="0039557E">
        <w:rPr>
          <w:rFonts w:ascii="Times New Roman" w:hAnsi="Times New Roman" w:cs="Times New Roman"/>
          <w:lang w:val="pt-BR"/>
        </w:rPr>
        <w:t>,</w:t>
      </w:r>
      <w:r w:rsidRPr="00A82ECC">
        <w:rPr>
          <w:rFonts w:ascii="Times New Roman" w:hAnsi="Times New Roman" w:cs="Times New Roman"/>
          <w:lang w:val="pt-BR"/>
        </w:rPr>
        <w:t xml:space="preserve"> refletida a partir de uma infecção ou resultado de uma lesão ou doença maligna. Consequentemente</w:t>
      </w:r>
      <w:r w:rsidR="0039557E">
        <w:rPr>
          <w:rFonts w:ascii="Times New Roman" w:hAnsi="Times New Roman" w:cs="Times New Roman"/>
          <w:lang w:val="pt-BR"/>
        </w:rPr>
        <w:t>;</w:t>
      </w:r>
      <w:r w:rsidRPr="00A82ECC">
        <w:rPr>
          <w:rFonts w:ascii="Times New Roman" w:hAnsi="Times New Roman" w:cs="Times New Roman"/>
          <w:lang w:val="pt-BR"/>
        </w:rPr>
        <w:t xml:space="preserve"> aumentam a produção de citocinas, seguido do aumento das prostaglandinas no hipotálamo. A ação antipirética dos AINE</w:t>
      </w:r>
      <w:r w:rsidR="006B631E" w:rsidRPr="00A82ECC">
        <w:rPr>
          <w:rFonts w:ascii="Times New Roman" w:hAnsi="Times New Roman" w:cs="Times New Roman"/>
          <w:lang w:val="pt-BR"/>
        </w:rPr>
        <w:t>S</w:t>
      </w:r>
      <w:r w:rsidRPr="00A82ECC">
        <w:rPr>
          <w:rFonts w:ascii="Times New Roman" w:hAnsi="Times New Roman" w:cs="Times New Roman"/>
          <w:lang w:val="pt-BR"/>
        </w:rPr>
        <w:t xml:space="preserve"> está fundamentada por inibir a produção de prostaglandinas</w:t>
      </w:r>
      <w:r w:rsidR="004974AA" w:rsidRPr="00A82ECC">
        <w:rPr>
          <w:rFonts w:ascii="Times New Roman" w:hAnsi="Times New Roman" w:cs="Times New Roman"/>
          <w:lang w:val="pt-BR"/>
        </w:rPr>
        <w:t xml:space="preserve"> </w:t>
      </w:r>
      <w:r w:rsidRPr="00A82ECC">
        <w:rPr>
          <w:rFonts w:ascii="Times New Roman" w:hAnsi="Times New Roman" w:cs="Times New Roman"/>
          <w:lang w:val="pt-BR"/>
        </w:rPr>
        <w:t xml:space="preserve">no hipotálamo </w:t>
      </w:r>
      <w:r w:rsidRPr="0052765F">
        <w:rPr>
          <w:rFonts w:ascii="Times New Roman" w:hAnsi="Times New Roman" w:cs="Times New Roman"/>
          <w:i/>
          <w:iCs/>
        </w:rPr>
        <w:t>(</w:t>
      </w:r>
      <w:r w:rsidRPr="00F35C28">
        <w:rPr>
          <w:rFonts w:ascii="Times New Roman" w:hAnsi="Times New Roman" w:cs="Times New Roman"/>
        </w:rPr>
        <w:t>RANG</w:t>
      </w:r>
      <w:r w:rsidR="00874401">
        <w:rPr>
          <w:rFonts w:ascii="Times New Roman" w:hAnsi="Times New Roman" w:cs="Times New Roman"/>
        </w:rPr>
        <w:t xml:space="preserve"> </w:t>
      </w:r>
      <w:r w:rsidR="00874401" w:rsidRPr="00874401">
        <w:rPr>
          <w:rFonts w:ascii="Times New Roman" w:hAnsi="Times New Roman" w:cs="Times New Roman"/>
          <w:i/>
          <w:iCs/>
        </w:rPr>
        <w:t>et al.,</w:t>
      </w:r>
      <w:r w:rsidRPr="00F35C28">
        <w:rPr>
          <w:rFonts w:ascii="Times New Roman" w:hAnsi="Times New Roman" w:cs="Times New Roman"/>
        </w:rPr>
        <w:t xml:space="preserve"> 2007</w:t>
      </w:r>
      <w:r w:rsidR="00F1731D" w:rsidRPr="0052765F">
        <w:rPr>
          <w:rFonts w:ascii="Times New Roman" w:hAnsi="Times New Roman" w:cs="Times New Roman"/>
          <w:i/>
          <w:iCs/>
        </w:rPr>
        <w:t>).</w:t>
      </w:r>
    </w:p>
    <w:p w14:paraId="37E6FB4F" w14:textId="310A2AA8" w:rsidR="00575E56" w:rsidRPr="00A82ECC" w:rsidRDefault="00820B0A" w:rsidP="0052765F">
      <w:pPr>
        <w:pStyle w:val="Corpodetexto"/>
        <w:spacing w:before="7" w:line="360" w:lineRule="auto"/>
        <w:ind w:right="38" w:firstLine="709"/>
        <w:jc w:val="both"/>
        <w:rPr>
          <w:rFonts w:ascii="Times New Roman" w:hAnsi="Times New Roman" w:cs="Times New Roman"/>
          <w:lang w:val="pt-BR"/>
        </w:rPr>
      </w:pPr>
      <w:r w:rsidRPr="00A82ECC">
        <w:rPr>
          <w:rFonts w:ascii="Times New Roman" w:hAnsi="Times New Roman" w:cs="Times New Roman"/>
          <w:lang w:val="pt-BR"/>
        </w:rPr>
        <w:t>Os AINE</w:t>
      </w:r>
      <w:r w:rsidR="004974AA" w:rsidRPr="00A82ECC">
        <w:rPr>
          <w:rFonts w:ascii="Times New Roman" w:hAnsi="Times New Roman" w:cs="Times New Roman"/>
          <w:lang w:val="pt-BR"/>
        </w:rPr>
        <w:t>S</w:t>
      </w:r>
      <w:r w:rsidRPr="00A82ECC">
        <w:rPr>
          <w:rFonts w:ascii="Times New Roman" w:hAnsi="Times New Roman" w:cs="Times New Roman"/>
          <w:lang w:val="pt-BR"/>
        </w:rPr>
        <w:t xml:space="preserve"> são bastante eficientes em dores leves e as moderadas, principalmente em dores originadas no processo inflamatório ou</w:t>
      </w:r>
      <w:r w:rsidRPr="00A82ECC">
        <w:rPr>
          <w:rFonts w:ascii="Times New Roman" w:hAnsi="Times New Roman" w:cs="Times New Roman"/>
          <w:spacing w:val="40"/>
          <w:lang w:val="pt-BR"/>
        </w:rPr>
        <w:t xml:space="preserve"> </w:t>
      </w:r>
      <w:r w:rsidRPr="00A82ECC">
        <w:rPr>
          <w:rFonts w:ascii="Times New Roman" w:hAnsi="Times New Roman" w:cs="Times New Roman"/>
          <w:lang w:val="pt-BR"/>
        </w:rPr>
        <w:t>lesão</w:t>
      </w:r>
      <w:r w:rsidRPr="00A82ECC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A82ECC">
        <w:rPr>
          <w:rFonts w:ascii="Times New Roman" w:hAnsi="Times New Roman" w:cs="Times New Roman"/>
          <w:lang w:val="pt-BR"/>
        </w:rPr>
        <w:t>tecidual.</w:t>
      </w:r>
      <w:r w:rsidRPr="00A82ECC">
        <w:rPr>
          <w:rFonts w:ascii="Times New Roman" w:hAnsi="Times New Roman" w:cs="Times New Roman"/>
          <w:spacing w:val="-3"/>
          <w:lang w:val="pt-BR"/>
        </w:rPr>
        <w:t xml:space="preserve"> </w:t>
      </w:r>
      <w:r w:rsidR="00AA1CAE" w:rsidRPr="00A82ECC">
        <w:rPr>
          <w:rFonts w:ascii="Times New Roman" w:hAnsi="Times New Roman" w:cs="Times New Roman"/>
          <w:lang w:val="pt-BR"/>
        </w:rPr>
        <w:t>P</w:t>
      </w:r>
      <w:r w:rsidR="00575E56" w:rsidRPr="00A82ECC">
        <w:rPr>
          <w:rFonts w:ascii="Times New Roman" w:hAnsi="Times New Roman" w:cs="Times New Roman"/>
          <w:lang w:val="pt-BR"/>
        </w:rPr>
        <w:t xml:space="preserve">erifericamente, </w:t>
      </w:r>
      <w:r w:rsidR="00AA1CAE" w:rsidRPr="00A82ECC">
        <w:rPr>
          <w:rFonts w:ascii="Times New Roman" w:hAnsi="Times New Roman" w:cs="Times New Roman"/>
          <w:lang w:val="pt-BR"/>
        </w:rPr>
        <w:t xml:space="preserve">eles agem </w:t>
      </w:r>
      <w:r w:rsidR="00575E56" w:rsidRPr="00A82ECC">
        <w:rPr>
          <w:rFonts w:ascii="Times New Roman" w:hAnsi="Times New Roman" w:cs="Times New Roman"/>
          <w:lang w:val="pt-BR"/>
        </w:rPr>
        <w:t>diminuindo a produção de prostaglandinas</w:t>
      </w:r>
      <w:r w:rsidR="00B37F9E" w:rsidRPr="00A82ECC">
        <w:rPr>
          <w:rFonts w:ascii="Times New Roman" w:hAnsi="Times New Roman" w:cs="Times New Roman"/>
          <w:lang w:val="pt-BR"/>
        </w:rPr>
        <w:t xml:space="preserve"> </w:t>
      </w:r>
      <w:r w:rsidR="00575E56" w:rsidRPr="00A82ECC">
        <w:rPr>
          <w:rFonts w:ascii="Times New Roman" w:hAnsi="Times New Roman" w:cs="Times New Roman"/>
          <w:lang w:val="pt-BR"/>
        </w:rPr>
        <w:t xml:space="preserve">sensibilizando os mediadores químicos da inflamação e seus eventos vasculares. </w:t>
      </w:r>
      <w:r w:rsidR="00AA1CAE" w:rsidRPr="00A82ECC">
        <w:rPr>
          <w:rFonts w:ascii="Times New Roman" w:hAnsi="Times New Roman" w:cs="Times New Roman"/>
          <w:lang w:val="pt-BR"/>
        </w:rPr>
        <w:t xml:space="preserve">Já a </w:t>
      </w:r>
      <w:r w:rsidR="00575E56" w:rsidRPr="00A82ECC">
        <w:rPr>
          <w:rFonts w:ascii="Times New Roman" w:hAnsi="Times New Roman" w:cs="Times New Roman"/>
          <w:lang w:val="pt-BR"/>
        </w:rPr>
        <w:t>ação central,</w:t>
      </w:r>
      <w:r w:rsidR="00575E56" w:rsidRPr="00A82ECC">
        <w:rPr>
          <w:rFonts w:ascii="Times New Roman" w:hAnsi="Times New Roman" w:cs="Times New Roman"/>
          <w:spacing w:val="39"/>
          <w:lang w:val="pt-BR"/>
        </w:rPr>
        <w:t xml:space="preserve"> </w:t>
      </w:r>
      <w:r w:rsidR="00575E56" w:rsidRPr="00A82ECC">
        <w:rPr>
          <w:rFonts w:ascii="Times New Roman" w:hAnsi="Times New Roman" w:cs="Times New Roman"/>
          <w:lang w:val="pt-BR"/>
        </w:rPr>
        <w:t>menos</w:t>
      </w:r>
      <w:r w:rsidR="00575E56" w:rsidRPr="00A82ECC">
        <w:rPr>
          <w:rFonts w:ascii="Times New Roman" w:hAnsi="Times New Roman" w:cs="Times New Roman"/>
          <w:spacing w:val="38"/>
          <w:lang w:val="pt-BR"/>
        </w:rPr>
        <w:t xml:space="preserve"> </w:t>
      </w:r>
      <w:r w:rsidR="00575E56" w:rsidRPr="00A82ECC">
        <w:rPr>
          <w:rFonts w:ascii="Times New Roman" w:hAnsi="Times New Roman" w:cs="Times New Roman"/>
          <w:lang w:val="pt-BR"/>
        </w:rPr>
        <w:t>caracterizada</w:t>
      </w:r>
      <w:r w:rsidR="00575E56" w:rsidRPr="00A82ECC">
        <w:rPr>
          <w:rFonts w:ascii="Times New Roman" w:hAnsi="Times New Roman" w:cs="Times New Roman"/>
          <w:spacing w:val="38"/>
          <w:lang w:val="pt-BR"/>
        </w:rPr>
        <w:t xml:space="preserve"> </w:t>
      </w:r>
      <w:r w:rsidR="00575E56" w:rsidRPr="00A82ECC">
        <w:rPr>
          <w:rFonts w:ascii="Times New Roman" w:hAnsi="Times New Roman" w:cs="Times New Roman"/>
          <w:spacing w:val="-2"/>
          <w:lang w:val="pt-BR"/>
        </w:rPr>
        <w:t xml:space="preserve">possivelmente </w:t>
      </w:r>
      <w:r w:rsidR="00AA1CAE" w:rsidRPr="00A82ECC">
        <w:rPr>
          <w:rFonts w:ascii="Times New Roman" w:hAnsi="Times New Roman" w:cs="Times New Roman"/>
          <w:spacing w:val="-2"/>
          <w:lang w:val="pt-BR"/>
        </w:rPr>
        <w:t xml:space="preserve">se dá </w:t>
      </w:r>
      <w:r w:rsidR="00575E56" w:rsidRPr="00A82ECC">
        <w:rPr>
          <w:rFonts w:ascii="Times New Roman" w:hAnsi="Times New Roman" w:cs="Times New Roman"/>
          <w:lang w:val="pt-BR"/>
        </w:rPr>
        <w:t xml:space="preserve">na medula espinhal. As lesões inflamatórias aumentam a liberação de prostaglandinas na medula, o que facilita a transmissão de dor através de neurônios </w:t>
      </w:r>
      <w:r w:rsidR="00575E56" w:rsidRPr="00F35C28">
        <w:rPr>
          <w:rFonts w:ascii="Times New Roman" w:hAnsi="Times New Roman" w:cs="Times New Roman"/>
          <w:lang w:val="pt-BR"/>
        </w:rPr>
        <w:t>(RANG</w:t>
      </w:r>
      <w:r w:rsidR="00591FFD">
        <w:rPr>
          <w:rFonts w:ascii="Times New Roman" w:hAnsi="Times New Roman" w:cs="Times New Roman"/>
          <w:lang w:val="pt-BR"/>
        </w:rPr>
        <w:t xml:space="preserve"> </w:t>
      </w:r>
      <w:r w:rsidR="00591FFD" w:rsidRPr="00874401">
        <w:rPr>
          <w:rFonts w:ascii="Times New Roman" w:hAnsi="Times New Roman" w:cs="Times New Roman"/>
          <w:i/>
          <w:iCs/>
        </w:rPr>
        <w:t>et al.,</w:t>
      </w:r>
      <w:r w:rsidR="00591FFD" w:rsidRPr="00F35C28">
        <w:rPr>
          <w:rFonts w:ascii="Times New Roman" w:hAnsi="Times New Roman" w:cs="Times New Roman"/>
        </w:rPr>
        <w:t xml:space="preserve"> </w:t>
      </w:r>
      <w:r w:rsidR="00575E56" w:rsidRPr="00F35C28">
        <w:rPr>
          <w:rFonts w:ascii="Times New Roman" w:hAnsi="Times New Roman" w:cs="Times New Roman"/>
          <w:lang w:val="pt-BR"/>
        </w:rPr>
        <w:t>2007).</w:t>
      </w:r>
    </w:p>
    <w:p w14:paraId="4E032162" w14:textId="2F5E43FE" w:rsidR="006B631E" w:rsidRPr="00714E9B" w:rsidRDefault="006B631E" w:rsidP="006B631E">
      <w:pPr>
        <w:pStyle w:val="Corpodetexto"/>
        <w:spacing w:before="1" w:line="360" w:lineRule="auto"/>
        <w:ind w:right="108"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Dentre os AINES </w:t>
      </w:r>
      <w:r w:rsidR="00AA1CAE">
        <w:rPr>
          <w:rFonts w:ascii="Times New Roman" w:hAnsi="Times New Roman" w:cs="Times New Roman"/>
          <w:lang w:val="pt-BR"/>
        </w:rPr>
        <w:t xml:space="preserve">mais comumente utilizados </w:t>
      </w:r>
      <w:r>
        <w:rPr>
          <w:rFonts w:ascii="Times New Roman" w:hAnsi="Times New Roman" w:cs="Times New Roman"/>
          <w:lang w:val="pt-BR"/>
        </w:rPr>
        <w:t xml:space="preserve">estão o </w:t>
      </w:r>
      <w:r w:rsidRPr="000D7F00">
        <w:rPr>
          <w:rFonts w:ascii="Times New Roman" w:hAnsi="Times New Roman" w:cs="Times New Roman"/>
          <w:lang w:val="pt-BR"/>
        </w:rPr>
        <w:t>paracetamol</w:t>
      </w:r>
      <w:r>
        <w:rPr>
          <w:rFonts w:ascii="Times New Roman" w:hAnsi="Times New Roman" w:cs="Times New Roman"/>
          <w:lang w:val="pt-BR"/>
        </w:rPr>
        <w:t xml:space="preserve">, o ibuprofeno e a </w:t>
      </w:r>
      <w:r w:rsidRPr="000D7F00">
        <w:rPr>
          <w:rFonts w:ascii="Times New Roman" w:hAnsi="Times New Roman" w:cs="Times New Roman"/>
          <w:lang w:val="pt-BR"/>
        </w:rPr>
        <w:t>dipirona</w:t>
      </w:r>
      <w:r>
        <w:rPr>
          <w:rFonts w:ascii="Times New Roman" w:hAnsi="Times New Roman" w:cs="Times New Roman"/>
          <w:lang w:val="pt-BR"/>
        </w:rPr>
        <w:t>, os quais são</w:t>
      </w:r>
      <w:r w:rsidRPr="000D7F00">
        <w:rPr>
          <w:rFonts w:ascii="Times New Roman" w:hAnsi="Times New Roman" w:cs="Times New Roman"/>
          <w:lang w:val="pt-BR"/>
        </w:rPr>
        <w:t xml:space="preserve"> considerados</w:t>
      </w:r>
      <w:r w:rsidR="00591FFD">
        <w:rPr>
          <w:rFonts w:ascii="Times New Roman" w:hAnsi="Times New Roman" w:cs="Times New Roman"/>
          <w:lang w:val="pt-BR"/>
        </w:rPr>
        <w:t>.</w:t>
      </w:r>
      <w:r w:rsidRPr="000D7F00">
        <w:rPr>
          <w:rFonts w:ascii="Times New Roman" w:hAnsi="Times New Roman" w:cs="Times New Roman"/>
          <w:lang w:val="pt-BR"/>
        </w:rPr>
        <w:t xml:space="preserve"> </w:t>
      </w:r>
    </w:p>
    <w:p w14:paraId="69247F05" w14:textId="77777777" w:rsidR="006B631E" w:rsidRPr="00D942C0" w:rsidRDefault="006B631E" w:rsidP="00575E56">
      <w:pPr>
        <w:pStyle w:val="Corpodetexto"/>
        <w:spacing w:line="360" w:lineRule="auto"/>
        <w:ind w:right="38" w:firstLine="709"/>
        <w:jc w:val="both"/>
        <w:rPr>
          <w:rFonts w:ascii="Times New Roman" w:hAnsi="Times New Roman" w:cs="Times New Roman"/>
          <w:lang w:val="pt-BR"/>
        </w:rPr>
      </w:pPr>
    </w:p>
    <w:p w14:paraId="3829DB87" w14:textId="0C2B0944" w:rsidR="00F83BD9" w:rsidRPr="00D942C0" w:rsidRDefault="00F83BD9" w:rsidP="00F83BD9">
      <w:pPr>
        <w:pStyle w:val="NormalWeb"/>
        <w:rPr>
          <w:color w:val="000000"/>
        </w:rPr>
      </w:pPr>
      <w:r w:rsidRPr="00D942C0">
        <w:rPr>
          <w:b/>
          <w:bCs/>
          <w:color w:val="000000"/>
        </w:rPr>
        <w:t xml:space="preserve">4 </w:t>
      </w:r>
      <w:r w:rsidR="00B37F9E" w:rsidRPr="00D942C0">
        <w:rPr>
          <w:b/>
          <w:bCs/>
          <w:color w:val="000000"/>
        </w:rPr>
        <w:t>PARACETAMOL</w:t>
      </w:r>
      <w:r w:rsidRPr="00D942C0">
        <w:rPr>
          <w:b/>
          <w:bCs/>
          <w:color w:val="000000"/>
        </w:rPr>
        <w:t xml:space="preserve"> </w:t>
      </w:r>
    </w:p>
    <w:p w14:paraId="418C1FBC" w14:textId="398C48F1" w:rsidR="001313D5" w:rsidRPr="009274E1" w:rsidRDefault="007E11DD" w:rsidP="00A253BA">
      <w:pPr>
        <w:spacing w:line="360" w:lineRule="auto"/>
        <w:ind w:firstLine="709"/>
        <w:jc w:val="both"/>
      </w:pPr>
      <w:r w:rsidRPr="002761D4">
        <w:rPr>
          <w:rFonts w:ascii="Times New Roman" w:hAnsi="Times New Roman" w:cs="Times New Roman"/>
          <w:sz w:val="24"/>
          <w:szCs w:val="24"/>
        </w:rPr>
        <w:t xml:space="preserve">O Paracetamol foi desenvolvido em 1852 para proporcionar alívio da dor e redução da febre. No entanto, só foi aprovado para uso em 1951, tornando-se atualmente um dos medicamentos mais consumidos, com ou sem </w:t>
      </w:r>
      <w:r w:rsidRPr="00A253BA">
        <w:rPr>
          <w:rFonts w:ascii="Times New Roman" w:hAnsi="Times New Roman" w:cs="Times New Roman"/>
          <w:sz w:val="24"/>
          <w:szCs w:val="24"/>
        </w:rPr>
        <w:t>prescrição médica (</w:t>
      </w:r>
      <w:r w:rsidR="001B631F" w:rsidRPr="00A253BA">
        <w:rPr>
          <w:rFonts w:ascii="Times New Roman" w:hAnsi="Times New Roman" w:cs="Times New Roman"/>
          <w:sz w:val="24"/>
          <w:szCs w:val="24"/>
        </w:rPr>
        <w:t>TORRES,</w:t>
      </w:r>
      <w:r w:rsidRPr="00A253BA">
        <w:rPr>
          <w:rFonts w:ascii="Times New Roman" w:hAnsi="Times New Roman" w:cs="Times New Roman"/>
          <w:sz w:val="24"/>
          <w:szCs w:val="24"/>
        </w:rPr>
        <w:t xml:space="preserve"> </w:t>
      </w:r>
      <w:r w:rsidR="00591FFD" w:rsidRPr="00874401">
        <w:rPr>
          <w:rFonts w:ascii="Times New Roman" w:hAnsi="Times New Roman" w:cs="Times New Roman"/>
          <w:i/>
          <w:iCs/>
        </w:rPr>
        <w:t>et al.,</w:t>
      </w:r>
      <w:r w:rsidR="00591FFD" w:rsidRPr="00F35C28">
        <w:rPr>
          <w:rFonts w:ascii="Times New Roman" w:hAnsi="Times New Roman" w:cs="Times New Roman"/>
        </w:rPr>
        <w:t xml:space="preserve"> </w:t>
      </w:r>
      <w:r w:rsidRPr="00A253BA">
        <w:rPr>
          <w:rFonts w:ascii="Times New Roman" w:hAnsi="Times New Roman" w:cs="Times New Roman"/>
          <w:sz w:val="24"/>
          <w:szCs w:val="24"/>
        </w:rPr>
        <w:t xml:space="preserve">2019). </w:t>
      </w:r>
      <w:r w:rsidR="001313D5" w:rsidRPr="00A253BA">
        <w:rPr>
          <w:rFonts w:ascii="Times New Roman" w:hAnsi="Times New Roman" w:cs="Times New Roman"/>
          <w:sz w:val="24"/>
          <w:szCs w:val="24"/>
        </w:rPr>
        <w:t xml:space="preserve">Lançado no mercado em 1953 o paracetamol </w:t>
      </w:r>
      <w:r w:rsidR="00EC3165" w:rsidRPr="00A253BA">
        <w:rPr>
          <w:rFonts w:ascii="Times New Roman" w:hAnsi="Times New Roman" w:cs="Times New Roman"/>
          <w:sz w:val="24"/>
          <w:szCs w:val="24"/>
        </w:rPr>
        <w:t>pela</w:t>
      </w:r>
      <w:r w:rsidR="001313D5" w:rsidRPr="00A253BA">
        <w:rPr>
          <w:rFonts w:ascii="Times New Roman" w:hAnsi="Times New Roman" w:cs="Times New Roman"/>
          <w:sz w:val="24"/>
          <w:szCs w:val="24"/>
        </w:rPr>
        <w:t xml:space="preserve"> companhia Sterling-Winthrop</w:t>
      </w:r>
      <w:r w:rsidR="0044421A" w:rsidRPr="00A253BA">
        <w:rPr>
          <w:rFonts w:ascii="Times New Roman" w:hAnsi="Times New Roman" w:cs="Times New Roman"/>
          <w:sz w:val="24"/>
          <w:szCs w:val="24"/>
        </w:rPr>
        <w:t>,</w:t>
      </w:r>
      <w:r w:rsidR="001313D5" w:rsidRPr="00A253BA">
        <w:rPr>
          <w:rFonts w:ascii="Times New Roman" w:hAnsi="Times New Roman" w:cs="Times New Roman"/>
          <w:sz w:val="24"/>
          <w:szCs w:val="24"/>
        </w:rPr>
        <w:t xml:space="preserve"> </w:t>
      </w:r>
      <w:r w:rsidR="0044421A" w:rsidRPr="00A253BA">
        <w:rPr>
          <w:rFonts w:ascii="Times New Roman" w:hAnsi="Times New Roman" w:cs="Times New Roman"/>
          <w:sz w:val="24"/>
          <w:szCs w:val="24"/>
        </w:rPr>
        <w:t>a</w:t>
      </w:r>
      <w:r w:rsidR="001313D5" w:rsidRPr="00A253BA">
        <w:rPr>
          <w:rFonts w:ascii="Times New Roman" w:hAnsi="Times New Roman" w:cs="Times New Roman"/>
          <w:sz w:val="24"/>
          <w:szCs w:val="24"/>
        </w:rPr>
        <w:t>té hoje perdura como um dos principais indicados para o tratamento d</w:t>
      </w:r>
      <w:r w:rsidR="0044421A" w:rsidRPr="00A253BA">
        <w:rPr>
          <w:rFonts w:ascii="Times New Roman" w:hAnsi="Times New Roman" w:cs="Times New Roman"/>
          <w:sz w:val="24"/>
          <w:szCs w:val="24"/>
        </w:rPr>
        <w:t>e febre e dores</w:t>
      </w:r>
      <w:r w:rsidR="001313D5" w:rsidRPr="00A253BA">
        <w:rPr>
          <w:rFonts w:ascii="Times New Roman" w:hAnsi="Times New Roman" w:cs="Times New Roman"/>
          <w:sz w:val="24"/>
          <w:szCs w:val="24"/>
        </w:rPr>
        <w:t xml:space="preserve">. </w:t>
      </w:r>
      <w:r w:rsidR="00EC3165" w:rsidRPr="00A253BA">
        <w:rPr>
          <w:rFonts w:ascii="Times New Roman" w:hAnsi="Times New Roman" w:cs="Times New Roman"/>
          <w:sz w:val="24"/>
          <w:szCs w:val="24"/>
        </w:rPr>
        <w:t>(</w:t>
      </w:r>
      <w:r w:rsidR="001313D5" w:rsidRPr="00F35C28">
        <w:rPr>
          <w:rFonts w:ascii="Times New Roman" w:hAnsi="Times New Roman" w:cs="Times New Roman"/>
          <w:sz w:val="24"/>
          <w:szCs w:val="24"/>
        </w:rPr>
        <w:t>MOREIRA; CAMPOS; FRESCHI, 2018).</w:t>
      </w:r>
    </w:p>
    <w:p w14:paraId="36386246" w14:textId="6AFD25B4" w:rsidR="007A22FC" w:rsidRDefault="00D559D0" w:rsidP="00A253BA">
      <w:pPr>
        <w:pStyle w:val="NormalWeb"/>
        <w:keepNext/>
        <w:spacing w:line="360" w:lineRule="auto"/>
        <w:ind w:firstLine="709"/>
        <w:jc w:val="both"/>
      </w:pPr>
      <w:r w:rsidRPr="00FA1405">
        <w:lastRenderedPageBreak/>
        <w:t>O</w:t>
      </w:r>
      <w:r w:rsidRPr="00FA1405">
        <w:rPr>
          <w:spacing w:val="1"/>
        </w:rPr>
        <w:t xml:space="preserve"> </w:t>
      </w:r>
      <w:r w:rsidRPr="00FA1405">
        <w:t>paracetamol é</w:t>
      </w:r>
      <w:r w:rsidRPr="00FA1405">
        <w:rPr>
          <w:spacing w:val="1"/>
        </w:rPr>
        <w:t xml:space="preserve"> considerado</w:t>
      </w:r>
      <w:r w:rsidRPr="00FA1405">
        <w:t xml:space="preserve"> </w:t>
      </w:r>
      <w:r w:rsidR="006B631E" w:rsidRPr="00FA1405">
        <w:t>de baixa toxicidade</w:t>
      </w:r>
      <w:r w:rsidRPr="00FA1405">
        <w:t xml:space="preserve"> desde que administrado nas suas doses terapêuticas</w:t>
      </w:r>
      <w:r w:rsidR="0039557E">
        <w:t>. P</w:t>
      </w:r>
      <w:r w:rsidR="006E60E0" w:rsidRPr="00FA1405">
        <w:t>orém t</w:t>
      </w:r>
      <w:r w:rsidRPr="00FA1405">
        <w:t>ambém é conhecido por causar toxicidade</w:t>
      </w:r>
      <w:r w:rsidRPr="00FA1405">
        <w:rPr>
          <w:spacing w:val="1"/>
        </w:rPr>
        <w:t xml:space="preserve"> </w:t>
      </w:r>
      <w:r w:rsidRPr="00FA1405">
        <w:t>quando</w:t>
      </w:r>
      <w:r w:rsidRPr="00FA1405">
        <w:rPr>
          <w:spacing w:val="-1"/>
        </w:rPr>
        <w:t xml:space="preserve"> </w:t>
      </w:r>
      <w:r w:rsidRPr="00FA1405">
        <w:t>consumido</w:t>
      </w:r>
      <w:r w:rsidRPr="00FA1405">
        <w:rPr>
          <w:spacing w:val="-3"/>
        </w:rPr>
        <w:t xml:space="preserve"> </w:t>
      </w:r>
      <w:r w:rsidRPr="00FA1405">
        <w:t>em</w:t>
      </w:r>
      <w:r w:rsidRPr="00FA1405">
        <w:rPr>
          <w:spacing w:val="1"/>
        </w:rPr>
        <w:t xml:space="preserve"> </w:t>
      </w:r>
      <w:r w:rsidRPr="00FA1405">
        <w:t>dose</w:t>
      </w:r>
      <w:r w:rsidRPr="00FA1405">
        <w:rPr>
          <w:spacing w:val="-1"/>
        </w:rPr>
        <w:t xml:space="preserve"> </w:t>
      </w:r>
      <w:r w:rsidR="006E60E0" w:rsidRPr="00FA1405">
        <w:rPr>
          <w:spacing w:val="-1"/>
        </w:rPr>
        <w:t xml:space="preserve">acima das terapêuticas </w:t>
      </w:r>
      <w:r w:rsidR="003533DE" w:rsidRPr="00FA1405">
        <w:t>(SOUZA, 2021).</w:t>
      </w:r>
    </w:p>
    <w:p w14:paraId="11ED048B" w14:textId="189897F4" w:rsidR="000513A1" w:rsidRDefault="00483EC5" w:rsidP="00A253BA">
      <w:pPr>
        <w:pStyle w:val="NormalWeb"/>
        <w:spacing w:line="360" w:lineRule="auto"/>
        <w:ind w:firstLine="709"/>
        <w:jc w:val="both"/>
      </w:pPr>
      <w:r w:rsidRPr="008A51A4">
        <w:t>O paracetamol</w:t>
      </w:r>
      <w:r>
        <w:t xml:space="preserve">, conhecido também como </w:t>
      </w:r>
      <w:proofErr w:type="spellStart"/>
      <w:r w:rsidRPr="008A51A4">
        <w:t>acetaminofen</w:t>
      </w:r>
      <w:proofErr w:type="spellEnd"/>
      <w:r w:rsidRPr="008A51A4">
        <w:t xml:space="preserve"> ou N-acetil-p-</w:t>
      </w:r>
      <w:proofErr w:type="spellStart"/>
      <w:r w:rsidRPr="008A51A4">
        <w:t>aminofenol</w:t>
      </w:r>
      <w:proofErr w:type="spellEnd"/>
      <w:r w:rsidRPr="008A51A4">
        <w:t xml:space="preserve"> (PAR</w:t>
      </w:r>
      <w:r w:rsidR="00372932">
        <w:t>)</w:t>
      </w:r>
      <w:r w:rsidRPr="008A51A4">
        <w:t xml:space="preserve"> foi </w:t>
      </w:r>
      <w:r>
        <w:t>incluído no</w:t>
      </w:r>
      <w:r w:rsidRPr="008A51A4">
        <w:t xml:space="preserve"> </w:t>
      </w:r>
      <w:r>
        <w:t xml:space="preserve">uso </w:t>
      </w:r>
      <w:r w:rsidRPr="008A51A4">
        <w:t>terapêutic</w:t>
      </w:r>
      <w:r>
        <w:t>o</w:t>
      </w:r>
      <w:r w:rsidRPr="008A51A4">
        <w:t xml:space="preserve"> </w:t>
      </w:r>
      <w:r>
        <w:t xml:space="preserve">após </w:t>
      </w:r>
      <w:r w:rsidRPr="008A51A4">
        <w:t xml:space="preserve">a descoberta acidental da </w:t>
      </w:r>
      <w:proofErr w:type="spellStart"/>
      <w:r w:rsidRPr="008A51A4">
        <w:t>acetanilida</w:t>
      </w:r>
      <w:proofErr w:type="spellEnd"/>
      <w:r w:rsidRPr="008A51A4">
        <w:t>, ao mesmo tempo em que os salicilatos eram descobertos. Ele é utilizado como medicamento desde 1878 até hoje em muitos países como analgésico e antipirético, em apresentações farmacêuticas como único princípio ativo ou em associação, no alívio de sintomas relacionados a processos inflamatórios dolorosos, dores crônicas e odontológicas, sendo ainda bastante difundido em pediatria</w:t>
      </w:r>
      <w:r w:rsidRPr="00EE2C35">
        <w:t xml:space="preserve"> </w:t>
      </w:r>
      <w:r w:rsidRPr="00F35C28">
        <w:t>(</w:t>
      </w:r>
      <w:r w:rsidR="00E2698E" w:rsidRPr="00F35C28">
        <w:t>WINDHOLZ</w:t>
      </w:r>
      <w:r w:rsidR="009F46C2">
        <w:t xml:space="preserve"> </w:t>
      </w:r>
      <w:r w:rsidR="009F46C2" w:rsidRPr="00874401">
        <w:rPr>
          <w:i/>
          <w:iCs/>
        </w:rPr>
        <w:t>et al.,</w:t>
      </w:r>
      <w:r w:rsidR="009F46C2" w:rsidRPr="00F35C28">
        <w:t xml:space="preserve"> </w:t>
      </w:r>
      <w:r w:rsidR="00EE2C35" w:rsidRPr="00F35C28">
        <w:rPr>
          <w:color w:val="111111"/>
          <w:shd w:val="clear" w:color="auto" w:fill="FFFFFF"/>
        </w:rPr>
        <w:t>1976</w:t>
      </w:r>
      <w:r w:rsidRPr="00F35C28">
        <w:rPr>
          <w:color w:val="232323"/>
          <w:shd w:val="clear" w:color="auto" w:fill="FFFFFF"/>
        </w:rPr>
        <w:t>)</w:t>
      </w:r>
      <w:r w:rsidRPr="00F35C28">
        <w:t>.</w:t>
      </w:r>
      <w:r w:rsidRPr="008A51A4">
        <w:t xml:space="preserve"> É extensamente usado e livremente comercializado na maioria dos países. No Reino Unido, aproximadamente 3,2 milhões de tabletes de </w:t>
      </w:r>
      <w:r w:rsidR="004948AB">
        <w:t>paracetamol</w:t>
      </w:r>
      <w:r w:rsidRPr="008A51A4">
        <w:t xml:space="preserve"> são consumidos todo ano, perfazendo uma média de 55 tabletes por pessoa</w:t>
      </w:r>
      <w:r>
        <w:t xml:space="preserve"> (JONES,1998).</w:t>
      </w:r>
      <w:r w:rsidR="00372932">
        <w:t xml:space="preserve"> </w:t>
      </w:r>
      <w:r w:rsidR="000513A1" w:rsidRPr="00006FA8">
        <w:t xml:space="preserve">O </w:t>
      </w:r>
      <w:r w:rsidR="004948AB">
        <w:t>paracetamol</w:t>
      </w:r>
      <w:r w:rsidR="000513A1" w:rsidRPr="00006FA8">
        <w:t xml:space="preserve"> se apresenta como um pó branco e cristalino, com fórmula molecular C8H9NO2, peso molecular igual a 151,16 g mol-1 e </w:t>
      </w:r>
      <w:proofErr w:type="spellStart"/>
      <w:r w:rsidR="000513A1" w:rsidRPr="00006FA8">
        <w:t>pKa</w:t>
      </w:r>
      <w:proofErr w:type="spellEnd"/>
      <w:r w:rsidR="000513A1" w:rsidRPr="00006FA8">
        <w:t xml:space="preserve"> a 25 o C é 9,51</w:t>
      </w:r>
      <w:r w:rsidR="00372932">
        <w:t xml:space="preserve"> (ver figura 2)</w:t>
      </w:r>
      <w:r w:rsidR="000513A1" w:rsidRPr="00006FA8">
        <w:t>. O composto estável entre pH 4 e 7 a 25 o C, sendo estável também à temperatura, luz e umidade</w:t>
      </w:r>
      <w:r w:rsidR="000513A1">
        <w:t xml:space="preserve"> </w:t>
      </w:r>
      <w:r w:rsidR="000513A1" w:rsidRPr="00EE2C35">
        <w:t>(</w:t>
      </w:r>
      <w:r w:rsidR="00E2698E" w:rsidRPr="00F35C28">
        <w:t>WINDHOLZ</w:t>
      </w:r>
      <w:r w:rsidR="009F46C2">
        <w:t xml:space="preserve"> </w:t>
      </w:r>
      <w:r w:rsidR="009F46C2" w:rsidRPr="00874401">
        <w:rPr>
          <w:i/>
          <w:iCs/>
        </w:rPr>
        <w:t>et al.,</w:t>
      </w:r>
      <w:r w:rsidR="009F46C2" w:rsidRPr="00F35C28">
        <w:t xml:space="preserve"> </w:t>
      </w:r>
      <w:r w:rsidR="000513A1" w:rsidRPr="00F35C28">
        <w:rPr>
          <w:color w:val="111111"/>
          <w:shd w:val="clear" w:color="auto" w:fill="FFFFFF"/>
        </w:rPr>
        <w:t>1976</w:t>
      </w:r>
      <w:r w:rsidR="000513A1" w:rsidRPr="00F35C28">
        <w:rPr>
          <w:rFonts w:ascii="Roboto" w:hAnsi="Roboto"/>
          <w:color w:val="111111"/>
          <w:shd w:val="clear" w:color="auto" w:fill="FFFFFF"/>
        </w:rPr>
        <w:t>)</w:t>
      </w:r>
      <w:r w:rsidR="000513A1" w:rsidRPr="00006FA8">
        <w:t>. Ele e outros compostos relacionados podem ser determinados e caracterizados por diversos métodos de análises</w:t>
      </w:r>
      <w:r w:rsidR="000513A1">
        <w:t xml:space="preserve"> (SALLES</w:t>
      </w:r>
      <w:r w:rsidR="009F46C2">
        <w:t xml:space="preserve"> </w:t>
      </w:r>
      <w:r w:rsidR="009F46C2" w:rsidRPr="00874401">
        <w:rPr>
          <w:i/>
          <w:iCs/>
        </w:rPr>
        <w:t>et al.,</w:t>
      </w:r>
      <w:r w:rsidR="009F46C2" w:rsidRPr="00F35C28">
        <w:t xml:space="preserve"> </w:t>
      </w:r>
      <w:r w:rsidR="000513A1">
        <w:t>2016).</w:t>
      </w:r>
    </w:p>
    <w:p w14:paraId="4C6FC106" w14:textId="77777777" w:rsidR="0035094E" w:rsidRDefault="0035094E" w:rsidP="000513A1">
      <w:pPr>
        <w:pStyle w:val="NormalWeb"/>
        <w:spacing w:line="360" w:lineRule="auto"/>
        <w:ind w:firstLine="709"/>
        <w:rPr>
          <w:color w:val="000000"/>
        </w:rPr>
      </w:pPr>
    </w:p>
    <w:p w14:paraId="0012401C" w14:textId="77777777" w:rsidR="0035094E" w:rsidRDefault="0035094E" w:rsidP="000513A1">
      <w:pPr>
        <w:pStyle w:val="NormalWeb"/>
        <w:spacing w:line="360" w:lineRule="auto"/>
        <w:ind w:firstLine="709"/>
        <w:rPr>
          <w:color w:val="000000"/>
        </w:rPr>
      </w:pPr>
    </w:p>
    <w:p w14:paraId="3BE6D156" w14:textId="764CEC4D" w:rsidR="000513A1" w:rsidRPr="000D7F00" w:rsidRDefault="000513A1" w:rsidP="000513A1">
      <w:pPr>
        <w:pStyle w:val="NormalWeb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Figura 2 </w:t>
      </w:r>
      <w:r w:rsidRPr="000D7F00">
        <w:rPr>
          <w:color w:val="000000"/>
        </w:rPr>
        <w:t xml:space="preserve">Estrutura </w:t>
      </w:r>
      <w:r w:rsidR="00117A0A">
        <w:rPr>
          <w:color w:val="000000"/>
        </w:rPr>
        <w:t>Q</w:t>
      </w:r>
      <w:r w:rsidRPr="000D7F00">
        <w:rPr>
          <w:color w:val="000000"/>
        </w:rPr>
        <w:t xml:space="preserve">uímica do </w:t>
      </w:r>
      <w:r w:rsidR="00117A0A">
        <w:rPr>
          <w:color w:val="000000"/>
        </w:rPr>
        <w:t>P</w:t>
      </w:r>
      <w:r w:rsidRPr="000D7F00">
        <w:rPr>
          <w:color w:val="000000"/>
        </w:rPr>
        <w:t>aracetamol.</w:t>
      </w:r>
    </w:p>
    <w:p w14:paraId="3F4745CA" w14:textId="74CCEE74" w:rsidR="0060015C" w:rsidRPr="0060015C" w:rsidRDefault="0060015C" w:rsidP="0060015C">
      <w:pPr>
        <w:pStyle w:val="NormalWeb"/>
      </w:pPr>
      <w:r w:rsidRPr="0060015C">
        <w:rPr>
          <w:noProof/>
        </w:rPr>
        <w:drawing>
          <wp:inline distT="0" distB="0" distL="0" distR="0" wp14:anchorId="777ADB98" wp14:editId="64A8DD27">
            <wp:extent cx="2466975" cy="1552575"/>
            <wp:effectExtent l="0" t="0" r="9525" b="9525"/>
            <wp:docPr id="4" name="Imagem 4" descr="C:\Users\ADMIN\AppData\Local\Packages\Microsoft.Windows.Photos_8wekyb3d8bbwe\TempState\ShareServiceTempFolder\paracetam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paracetamol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C84A3" w14:textId="0D6605BB" w:rsidR="00214721" w:rsidRPr="000D7F00" w:rsidRDefault="00214721" w:rsidP="00214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405">
        <w:rPr>
          <w:rFonts w:ascii="Times New Roman" w:hAnsi="Times New Roman" w:cs="Times New Roman"/>
          <w:sz w:val="24"/>
          <w:szCs w:val="24"/>
        </w:rPr>
        <w:t>Com a livre comercialização</w:t>
      </w:r>
      <w:r w:rsidR="0039557E">
        <w:rPr>
          <w:rFonts w:ascii="Times New Roman" w:hAnsi="Times New Roman" w:cs="Times New Roman"/>
          <w:sz w:val="24"/>
          <w:szCs w:val="24"/>
        </w:rPr>
        <w:t>,</w:t>
      </w:r>
      <w:r w:rsidRPr="00FA1405">
        <w:rPr>
          <w:rFonts w:ascii="Times New Roman" w:hAnsi="Times New Roman" w:cs="Times New Roman"/>
          <w:sz w:val="24"/>
          <w:szCs w:val="24"/>
        </w:rPr>
        <w:t xml:space="preserve"> o paracetamol se tornou de fácil acesso, alcançando um lugar de destaque entre os medicamentos causadores de overdose acidentais promovendo uma maior necessidade dos Serviços Hospitalares (MANCIPE 2010</w:t>
      </w:r>
      <w:r w:rsidR="009F46C2">
        <w:rPr>
          <w:rFonts w:ascii="Times New Roman" w:hAnsi="Times New Roman" w:cs="Times New Roman"/>
          <w:sz w:val="24"/>
          <w:szCs w:val="24"/>
        </w:rPr>
        <w:t xml:space="preserve"> </w:t>
      </w:r>
      <w:r w:rsidR="009F46C2" w:rsidRPr="00874401">
        <w:rPr>
          <w:rFonts w:ascii="Times New Roman" w:hAnsi="Times New Roman" w:cs="Times New Roman"/>
          <w:i/>
          <w:iCs/>
        </w:rPr>
        <w:t>et al.,</w:t>
      </w:r>
      <w:r w:rsidR="009F46C2" w:rsidRPr="00F35C28">
        <w:rPr>
          <w:rFonts w:ascii="Times New Roman" w:hAnsi="Times New Roman" w:cs="Times New Roman"/>
        </w:rPr>
        <w:t xml:space="preserve"> </w:t>
      </w:r>
      <w:r w:rsidRPr="00FA1405">
        <w:rPr>
          <w:rFonts w:ascii="Times New Roman" w:hAnsi="Times New Roman" w:cs="Times New Roman"/>
          <w:sz w:val="24"/>
          <w:szCs w:val="24"/>
        </w:rPr>
        <w:t>SOUSA</w:t>
      </w:r>
      <w:r w:rsidR="009F46C2">
        <w:rPr>
          <w:rFonts w:ascii="Times New Roman" w:hAnsi="Times New Roman" w:cs="Times New Roman"/>
          <w:sz w:val="24"/>
          <w:szCs w:val="24"/>
        </w:rPr>
        <w:t xml:space="preserve"> </w:t>
      </w:r>
      <w:r w:rsidR="009F46C2" w:rsidRPr="00874401">
        <w:rPr>
          <w:rFonts w:ascii="Times New Roman" w:hAnsi="Times New Roman" w:cs="Times New Roman"/>
          <w:i/>
          <w:iCs/>
        </w:rPr>
        <w:t>et al.,</w:t>
      </w:r>
      <w:r w:rsidR="009F46C2" w:rsidRPr="00F35C28">
        <w:rPr>
          <w:rFonts w:ascii="Times New Roman" w:hAnsi="Times New Roman" w:cs="Times New Roman"/>
        </w:rPr>
        <w:t xml:space="preserve"> </w:t>
      </w:r>
      <w:r w:rsidRPr="00FA1405">
        <w:rPr>
          <w:rFonts w:ascii="Times New Roman" w:hAnsi="Times New Roman" w:cs="Times New Roman"/>
          <w:sz w:val="24"/>
          <w:szCs w:val="24"/>
        </w:rPr>
        <w:t>2023).</w:t>
      </w:r>
      <w:r w:rsidRPr="000D7F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84A209" w14:textId="3CB8C097" w:rsidR="00A214B6" w:rsidRPr="000D7F00" w:rsidRDefault="0068569F" w:rsidP="00EC3165">
      <w:pPr>
        <w:pStyle w:val="Corpodetexto"/>
        <w:spacing w:before="1" w:line="360" w:lineRule="auto"/>
        <w:ind w:right="108" w:firstLine="709"/>
        <w:jc w:val="both"/>
        <w:rPr>
          <w:rFonts w:ascii="Times New Roman" w:hAnsi="Times New Roman" w:cs="Times New Roman"/>
          <w:lang w:val="pt-BR"/>
        </w:rPr>
      </w:pPr>
      <w:r w:rsidRPr="000D7F00">
        <w:rPr>
          <w:rFonts w:ascii="Times New Roman" w:hAnsi="Times New Roman" w:cs="Times New Roman"/>
          <w:lang w:val="pt-BR"/>
        </w:rPr>
        <w:lastRenderedPageBreak/>
        <w:t xml:space="preserve">O paracetamol </w:t>
      </w:r>
      <w:r w:rsidR="00A214B6" w:rsidRPr="000D7F00">
        <w:rPr>
          <w:rFonts w:ascii="Times New Roman" w:hAnsi="Times New Roman" w:cs="Times New Roman"/>
          <w:lang w:val="pt-BR"/>
        </w:rPr>
        <w:t>é um fármaco altamente lesivo à saúde</w:t>
      </w:r>
      <w:r w:rsidR="00A214B6" w:rsidRPr="000D7F00">
        <w:rPr>
          <w:rFonts w:ascii="Times New Roman" w:hAnsi="Times New Roman" w:cs="Times New Roman"/>
          <w:spacing w:val="1"/>
          <w:lang w:val="pt-BR"/>
        </w:rPr>
        <w:t xml:space="preserve"> </w:t>
      </w:r>
      <w:r w:rsidR="00A214B6" w:rsidRPr="000D7F00">
        <w:rPr>
          <w:rFonts w:ascii="Times New Roman" w:hAnsi="Times New Roman" w:cs="Times New Roman"/>
          <w:lang w:val="pt-BR"/>
        </w:rPr>
        <w:t>do</w:t>
      </w:r>
      <w:r w:rsidR="00A214B6" w:rsidRPr="000D7F00">
        <w:rPr>
          <w:rFonts w:ascii="Times New Roman" w:hAnsi="Times New Roman" w:cs="Times New Roman"/>
          <w:spacing w:val="-1"/>
          <w:lang w:val="pt-BR"/>
        </w:rPr>
        <w:t xml:space="preserve"> </w:t>
      </w:r>
      <w:r w:rsidR="00A214B6" w:rsidRPr="000D7F00">
        <w:rPr>
          <w:rFonts w:ascii="Times New Roman" w:hAnsi="Times New Roman" w:cs="Times New Roman"/>
          <w:lang w:val="pt-BR"/>
        </w:rPr>
        <w:t>indivíduo em</w:t>
      </w:r>
      <w:r w:rsidR="00A214B6" w:rsidRPr="000D7F00">
        <w:rPr>
          <w:rFonts w:ascii="Times New Roman" w:hAnsi="Times New Roman" w:cs="Times New Roman"/>
          <w:spacing w:val="-1"/>
          <w:lang w:val="pt-BR"/>
        </w:rPr>
        <w:t xml:space="preserve"> </w:t>
      </w:r>
      <w:r w:rsidR="00A214B6" w:rsidRPr="000D7F00">
        <w:rPr>
          <w:rFonts w:ascii="Times New Roman" w:hAnsi="Times New Roman" w:cs="Times New Roman"/>
          <w:lang w:val="pt-BR"/>
        </w:rPr>
        <w:t>doses</w:t>
      </w:r>
      <w:r w:rsidR="00A214B6" w:rsidRPr="000D7F00">
        <w:rPr>
          <w:rFonts w:ascii="Times New Roman" w:hAnsi="Times New Roman" w:cs="Times New Roman"/>
          <w:spacing w:val="-3"/>
          <w:lang w:val="pt-BR"/>
        </w:rPr>
        <w:t xml:space="preserve"> superiores a </w:t>
      </w:r>
      <w:r w:rsidR="00A214B6" w:rsidRPr="000D7F00">
        <w:rPr>
          <w:rFonts w:ascii="Times New Roman" w:hAnsi="Times New Roman" w:cs="Times New Roman"/>
          <w:lang w:val="pt-BR"/>
        </w:rPr>
        <w:t>4</w:t>
      </w:r>
      <w:r w:rsidR="00A214B6" w:rsidRPr="000D7F00">
        <w:rPr>
          <w:rFonts w:ascii="Times New Roman" w:hAnsi="Times New Roman" w:cs="Times New Roman"/>
          <w:spacing w:val="1"/>
          <w:lang w:val="pt-BR"/>
        </w:rPr>
        <w:t xml:space="preserve"> </w:t>
      </w:r>
      <w:r w:rsidR="00A214B6" w:rsidRPr="000D7F00">
        <w:rPr>
          <w:rFonts w:ascii="Times New Roman" w:hAnsi="Times New Roman" w:cs="Times New Roman"/>
          <w:lang w:val="pt-BR"/>
        </w:rPr>
        <w:t>gramas</w:t>
      </w:r>
      <w:r w:rsidR="00A214B6" w:rsidRPr="000D7F00">
        <w:rPr>
          <w:rFonts w:ascii="Times New Roman" w:hAnsi="Times New Roman" w:cs="Times New Roman"/>
          <w:spacing w:val="5"/>
          <w:lang w:val="pt-BR"/>
        </w:rPr>
        <w:t xml:space="preserve"> </w:t>
      </w:r>
      <w:r w:rsidR="00A214B6" w:rsidRPr="000D7F00">
        <w:rPr>
          <w:rFonts w:ascii="Times New Roman" w:hAnsi="Times New Roman" w:cs="Times New Roman"/>
          <w:lang w:val="pt-BR"/>
        </w:rPr>
        <w:t>nos adultos. (MOURA,</w:t>
      </w:r>
      <w:r w:rsidR="009F46C2">
        <w:rPr>
          <w:rFonts w:ascii="Times New Roman" w:hAnsi="Times New Roman" w:cs="Times New Roman"/>
          <w:lang w:val="pt-BR"/>
        </w:rPr>
        <w:t xml:space="preserve"> </w:t>
      </w:r>
      <w:r w:rsidR="009F46C2" w:rsidRPr="00874401">
        <w:rPr>
          <w:rFonts w:ascii="Times New Roman" w:hAnsi="Times New Roman" w:cs="Times New Roman"/>
          <w:i/>
          <w:iCs/>
        </w:rPr>
        <w:t>et al.,</w:t>
      </w:r>
      <w:r w:rsidR="009F46C2" w:rsidRPr="00F35C28">
        <w:rPr>
          <w:rFonts w:ascii="Times New Roman" w:hAnsi="Times New Roman" w:cs="Times New Roman"/>
        </w:rPr>
        <w:t xml:space="preserve"> </w:t>
      </w:r>
      <w:r w:rsidR="00A214B6" w:rsidRPr="000D7F00">
        <w:rPr>
          <w:rFonts w:ascii="Times New Roman" w:hAnsi="Times New Roman" w:cs="Times New Roman"/>
          <w:lang w:val="pt-BR"/>
        </w:rPr>
        <w:t>2014)</w:t>
      </w:r>
      <w:r w:rsidR="00A83E4D" w:rsidRPr="000D7F00">
        <w:rPr>
          <w:rFonts w:ascii="Times New Roman" w:hAnsi="Times New Roman" w:cs="Times New Roman"/>
          <w:lang w:val="pt-BR"/>
        </w:rPr>
        <w:t xml:space="preserve">. </w:t>
      </w:r>
      <w:r w:rsidR="003A4613" w:rsidRPr="000D7F00">
        <w:rPr>
          <w:rFonts w:ascii="Times New Roman" w:hAnsi="Times New Roman" w:cs="Times New Roman"/>
          <w:lang w:val="pt-BR"/>
        </w:rPr>
        <w:t>O</w:t>
      </w:r>
      <w:r w:rsidR="00A83E4D" w:rsidRPr="000D7F00">
        <w:rPr>
          <w:rFonts w:ascii="Times New Roman" w:hAnsi="Times New Roman" w:cs="Times New Roman"/>
          <w:lang w:val="pt-BR"/>
        </w:rPr>
        <w:t xml:space="preserve"> paracetamol </w:t>
      </w:r>
      <w:r w:rsidR="003A4613" w:rsidRPr="000D7F00">
        <w:rPr>
          <w:rFonts w:ascii="Times New Roman" w:hAnsi="Times New Roman" w:cs="Times New Roman"/>
          <w:lang w:val="pt-BR"/>
        </w:rPr>
        <w:t xml:space="preserve">prescrito </w:t>
      </w:r>
      <w:r w:rsidR="00A83E4D" w:rsidRPr="000D7F00">
        <w:rPr>
          <w:rFonts w:ascii="Times New Roman" w:hAnsi="Times New Roman" w:cs="Times New Roman"/>
          <w:lang w:val="pt-BR"/>
        </w:rPr>
        <w:t xml:space="preserve">é </w:t>
      </w:r>
      <w:r w:rsidR="003A4613" w:rsidRPr="000D7F00">
        <w:rPr>
          <w:rFonts w:ascii="Times New Roman" w:hAnsi="Times New Roman" w:cs="Times New Roman"/>
          <w:lang w:val="pt-BR"/>
        </w:rPr>
        <w:t xml:space="preserve">considerado </w:t>
      </w:r>
      <w:r w:rsidR="00A83E4D" w:rsidRPr="000D7F00">
        <w:rPr>
          <w:rFonts w:ascii="Times New Roman" w:hAnsi="Times New Roman" w:cs="Times New Roman"/>
          <w:lang w:val="pt-BR"/>
        </w:rPr>
        <w:t>como sendo um fármaco seguro quando é administrado nas doses</w:t>
      </w:r>
      <w:r w:rsidR="00C714AA" w:rsidRPr="000D7F00">
        <w:rPr>
          <w:rFonts w:ascii="Times New Roman" w:hAnsi="Times New Roman" w:cs="Times New Roman"/>
          <w:lang w:val="pt-BR"/>
        </w:rPr>
        <w:t xml:space="preserve"> </w:t>
      </w:r>
      <w:r w:rsidR="00A83E4D" w:rsidRPr="000D7F00">
        <w:rPr>
          <w:rFonts w:ascii="Times New Roman" w:hAnsi="Times New Roman" w:cs="Times New Roman"/>
          <w:lang w:val="pt-BR"/>
        </w:rPr>
        <w:t xml:space="preserve">de 500 mg a 1 g em comprimidos, </w:t>
      </w:r>
      <w:r w:rsidR="00372932">
        <w:rPr>
          <w:rFonts w:ascii="Times New Roman" w:hAnsi="Times New Roman" w:cs="Times New Roman"/>
          <w:lang w:val="pt-BR"/>
        </w:rPr>
        <w:t xml:space="preserve">com intervalo </w:t>
      </w:r>
      <w:r w:rsidR="00A83E4D" w:rsidRPr="000D7F00">
        <w:rPr>
          <w:rFonts w:ascii="Times New Roman" w:hAnsi="Times New Roman" w:cs="Times New Roman"/>
          <w:lang w:val="pt-BR"/>
        </w:rPr>
        <w:t>de</w:t>
      </w:r>
      <w:r w:rsidR="00C714AA" w:rsidRPr="000D7F00">
        <w:rPr>
          <w:rFonts w:ascii="Times New Roman" w:hAnsi="Times New Roman" w:cs="Times New Roman"/>
          <w:lang w:val="pt-BR"/>
        </w:rPr>
        <w:t xml:space="preserve"> </w:t>
      </w:r>
      <w:r w:rsidR="00A83E4D" w:rsidRPr="000D7F00">
        <w:rPr>
          <w:rFonts w:ascii="Times New Roman" w:hAnsi="Times New Roman" w:cs="Times New Roman"/>
          <w:lang w:val="pt-BR"/>
        </w:rPr>
        <w:t>quatro a seis horas</w:t>
      </w:r>
      <w:r w:rsidR="00C714AA" w:rsidRPr="000D7F00">
        <w:rPr>
          <w:rFonts w:ascii="Times New Roman" w:hAnsi="Times New Roman" w:cs="Times New Roman"/>
          <w:lang w:val="pt-BR"/>
        </w:rPr>
        <w:t xml:space="preserve"> por dia</w:t>
      </w:r>
      <w:r w:rsidR="00A83E4D" w:rsidRPr="000D7F00">
        <w:rPr>
          <w:rFonts w:ascii="Times New Roman" w:hAnsi="Times New Roman" w:cs="Times New Roman"/>
          <w:lang w:val="pt-BR"/>
        </w:rPr>
        <w:t xml:space="preserve">, </w:t>
      </w:r>
      <w:r w:rsidR="00C714AA" w:rsidRPr="000D7F00">
        <w:rPr>
          <w:rFonts w:ascii="Times New Roman" w:hAnsi="Times New Roman" w:cs="Times New Roman"/>
          <w:lang w:val="pt-BR"/>
        </w:rPr>
        <w:t xml:space="preserve">não ultrapassado a </w:t>
      </w:r>
      <w:r w:rsidR="00A83E4D" w:rsidRPr="000D7F00">
        <w:rPr>
          <w:rFonts w:ascii="Times New Roman" w:hAnsi="Times New Roman" w:cs="Times New Roman"/>
          <w:lang w:val="pt-BR"/>
        </w:rPr>
        <w:t xml:space="preserve">dose diária máxima de 4 </w:t>
      </w:r>
      <w:r w:rsidR="00C714AA" w:rsidRPr="000D7F00">
        <w:rPr>
          <w:rFonts w:ascii="Times New Roman" w:hAnsi="Times New Roman" w:cs="Times New Roman"/>
          <w:lang w:val="pt-BR"/>
        </w:rPr>
        <w:t>g</w:t>
      </w:r>
      <w:r w:rsidR="00511D6B" w:rsidRPr="000D7F00">
        <w:rPr>
          <w:rFonts w:ascii="Times New Roman" w:hAnsi="Times New Roman" w:cs="Times New Roman"/>
          <w:lang w:val="pt-BR"/>
        </w:rPr>
        <w:t xml:space="preserve">. </w:t>
      </w:r>
      <w:r w:rsidR="003A4613" w:rsidRPr="000D7F00">
        <w:rPr>
          <w:rFonts w:ascii="Times New Roman" w:hAnsi="Times New Roman" w:cs="Times New Roman"/>
          <w:lang w:val="pt-BR"/>
        </w:rPr>
        <w:t>Segundo Castro</w:t>
      </w:r>
      <w:r w:rsidR="00511D6B" w:rsidRPr="000D7F00">
        <w:rPr>
          <w:rFonts w:ascii="Times New Roman" w:hAnsi="Times New Roman" w:cs="Times New Roman"/>
          <w:lang w:val="pt-BR"/>
        </w:rPr>
        <w:t xml:space="preserve"> </w:t>
      </w:r>
      <w:r w:rsidR="00372932">
        <w:rPr>
          <w:rFonts w:ascii="Times New Roman" w:hAnsi="Times New Roman" w:cs="Times New Roman"/>
          <w:lang w:val="pt-BR"/>
        </w:rPr>
        <w:t xml:space="preserve">(2014) </w:t>
      </w:r>
      <w:r w:rsidR="00511D6B" w:rsidRPr="000D7F00">
        <w:rPr>
          <w:rFonts w:ascii="Times New Roman" w:hAnsi="Times New Roman" w:cs="Times New Roman"/>
          <w:lang w:val="pt-BR"/>
        </w:rPr>
        <w:t xml:space="preserve">a dose de 1 g </w:t>
      </w:r>
      <w:r w:rsidR="003A4613" w:rsidRPr="000D7F00">
        <w:rPr>
          <w:rFonts w:ascii="Times New Roman" w:hAnsi="Times New Roman" w:cs="Times New Roman"/>
          <w:lang w:val="pt-BR"/>
        </w:rPr>
        <w:t xml:space="preserve">de paracetamol </w:t>
      </w:r>
      <w:r w:rsidR="00511D6B" w:rsidRPr="000D7F00">
        <w:rPr>
          <w:rFonts w:ascii="Times New Roman" w:hAnsi="Times New Roman" w:cs="Times New Roman"/>
          <w:lang w:val="pt-BR"/>
        </w:rPr>
        <w:t xml:space="preserve">proporciona a realização do efeito máximo deste fármaco em adultos, </w:t>
      </w:r>
      <w:r w:rsidR="00372932">
        <w:rPr>
          <w:rFonts w:ascii="Times New Roman" w:hAnsi="Times New Roman" w:cs="Times New Roman"/>
          <w:lang w:val="pt-BR"/>
        </w:rPr>
        <w:t xml:space="preserve">e </w:t>
      </w:r>
      <w:r w:rsidR="00511D6B" w:rsidRPr="000D7F00">
        <w:rPr>
          <w:rFonts w:ascii="Times New Roman" w:hAnsi="Times New Roman" w:cs="Times New Roman"/>
          <w:lang w:val="pt-BR"/>
        </w:rPr>
        <w:t>doses superiores não manifestam aumentos em sua atividade analgésica, aumentando sim, a sua toxicidade</w:t>
      </w:r>
      <w:r w:rsidR="009F46C2">
        <w:rPr>
          <w:rFonts w:ascii="Times New Roman" w:hAnsi="Times New Roman" w:cs="Times New Roman"/>
          <w:lang w:val="pt-BR"/>
        </w:rPr>
        <w:t>.</w:t>
      </w:r>
    </w:p>
    <w:p w14:paraId="59493BA3" w14:textId="50847A17" w:rsidR="007807F0" w:rsidRPr="000D7F00" w:rsidRDefault="00714E9B" w:rsidP="00B37F9E">
      <w:pPr>
        <w:pStyle w:val="Corpodetexto"/>
        <w:spacing w:before="1" w:line="360" w:lineRule="auto"/>
        <w:ind w:right="106"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 parac</w:t>
      </w:r>
      <w:r w:rsidR="0044421A">
        <w:rPr>
          <w:rFonts w:ascii="Times New Roman" w:hAnsi="Times New Roman" w:cs="Times New Roman"/>
          <w:lang w:val="pt-BR"/>
        </w:rPr>
        <w:t>etamol é</w:t>
      </w:r>
      <w:r w:rsidR="007807F0" w:rsidRPr="000D7F00">
        <w:rPr>
          <w:rFonts w:ascii="Times New Roman" w:hAnsi="Times New Roman" w:cs="Times New Roman"/>
          <w:lang w:val="pt-BR"/>
        </w:rPr>
        <w:t xml:space="preserve"> comercializado na forma sólida de cápsulas, drágeas ou comprimidos, efervescentes e pastilhas </w:t>
      </w:r>
      <w:r w:rsidR="005C08A8" w:rsidRPr="000D7F00">
        <w:rPr>
          <w:rFonts w:ascii="Times New Roman" w:hAnsi="Times New Roman" w:cs="Times New Roman"/>
          <w:lang w:val="pt-BR"/>
        </w:rPr>
        <w:t>e</w:t>
      </w:r>
      <w:r w:rsidR="007807F0" w:rsidRPr="000D7F00">
        <w:rPr>
          <w:rFonts w:ascii="Times New Roman" w:hAnsi="Times New Roman" w:cs="Times New Roman"/>
          <w:lang w:val="pt-BR"/>
        </w:rPr>
        <w:t xml:space="preserve">, na forma de gotas e xarope. </w:t>
      </w:r>
      <w:r w:rsidR="007807F0" w:rsidRPr="00FA1405">
        <w:rPr>
          <w:rFonts w:ascii="Times New Roman" w:hAnsi="Times New Roman" w:cs="Times New Roman"/>
          <w:lang w:val="pt-BR"/>
        </w:rPr>
        <w:t xml:space="preserve">A facilidade de acesso </w:t>
      </w:r>
      <w:r w:rsidR="0044421A" w:rsidRPr="00FA1405">
        <w:rPr>
          <w:rFonts w:ascii="Times New Roman" w:hAnsi="Times New Roman" w:cs="Times New Roman"/>
          <w:lang w:val="pt-BR"/>
        </w:rPr>
        <w:t xml:space="preserve">a ele </w:t>
      </w:r>
      <w:r w:rsidR="007807F0" w:rsidRPr="00FA1405">
        <w:rPr>
          <w:rFonts w:ascii="Times New Roman" w:hAnsi="Times New Roman" w:cs="Times New Roman"/>
          <w:lang w:val="pt-BR"/>
        </w:rPr>
        <w:t>associado ao desconhecimento da população acerca dos seus efeitos nocivos ao organismo tem contribuído expressivamente os casos de intoxicações por esse fármaco</w:t>
      </w:r>
      <w:r w:rsidR="00147AB6" w:rsidRPr="00FA1405">
        <w:rPr>
          <w:rFonts w:ascii="Times New Roman" w:hAnsi="Times New Roman" w:cs="Times New Roman"/>
          <w:lang w:val="pt-BR"/>
        </w:rPr>
        <w:t xml:space="preserve">. </w:t>
      </w:r>
      <w:r w:rsidR="009426DB" w:rsidRPr="00FA1405">
        <w:rPr>
          <w:rFonts w:ascii="Times New Roman" w:hAnsi="Times New Roman" w:cs="Times New Roman"/>
          <w:lang w:val="pt-BR"/>
        </w:rPr>
        <w:t xml:space="preserve">No momento </w:t>
      </w:r>
      <w:r w:rsidR="00147AB6" w:rsidRPr="00FA1405">
        <w:rPr>
          <w:rFonts w:ascii="Times New Roman" w:hAnsi="Times New Roman" w:cs="Times New Roman"/>
          <w:lang w:val="pt-BR"/>
        </w:rPr>
        <w:t>é o analgésico-antipirético mais utilizado</w:t>
      </w:r>
      <w:r w:rsidR="00491728" w:rsidRPr="00FA1405">
        <w:rPr>
          <w:rFonts w:ascii="Times New Roman" w:hAnsi="Times New Roman" w:cs="Times New Roman"/>
          <w:lang w:val="pt-BR"/>
        </w:rPr>
        <w:t xml:space="preserve"> no Brasil</w:t>
      </w:r>
      <w:r w:rsidR="00147AB6" w:rsidRPr="00FA1405">
        <w:rPr>
          <w:rFonts w:ascii="Times New Roman" w:hAnsi="Times New Roman" w:cs="Times New Roman"/>
          <w:lang w:val="pt-BR"/>
        </w:rPr>
        <w:t xml:space="preserve">, </w:t>
      </w:r>
      <w:r w:rsidR="005C08A8" w:rsidRPr="00FA1405">
        <w:rPr>
          <w:rFonts w:ascii="Times New Roman" w:hAnsi="Times New Roman" w:cs="Times New Roman"/>
          <w:lang w:val="pt-BR"/>
        </w:rPr>
        <w:t>sobretudo</w:t>
      </w:r>
      <w:r w:rsidR="009426DB" w:rsidRPr="00FA1405">
        <w:rPr>
          <w:rFonts w:ascii="Times New Roman" w:hAnsi="Times New Roman" w:cs="Times New Roman"/>
          <w:lang w:val="pt-BR"/>
        </w:rPr>
        <w:t xml:space="preserve"> em crianças e sendo </w:t>
      </w:r>
      <w:r w:rsidR="00147AB6" w:rsidRPr="00FA1405">
        <w:rPr>
          <w:rFonts w:ascii="Times New Roman" w:hAnsi="Times New Roman" w:cs="Times New Roman"/>
          <w:lang w:val="pt-BR"/>
        </w:rPr>
        <w:t xml:space="preserve">o fármaco </w:t>
      </w:r>
      <w:r w:rsidR="005A7142" w:rsidRPr="00FA1405">
        <w:rPr>
          <w:rFonts w:ascii="Times New Roman" w:hAnsi="Times New Roman" w:cs="Times New Roman"/>
          <w:lang w:val="pt-BR"/>
        </w:rPr>
        <w:t xml:space="preserve">mais </w:t>
      </w:r>
      <w:r w:rsidR="00147AB6" w:rsidRPr="00FA1405">
        <w:rPr>
          <w:rFonts w:ascii="Times New Roman" w:hAnsi="Times New Roman" w:cs="Times New Roman"/>
          <w:lang w:val="pt-BR"/>
        </w:rPr>
        <w:t>escolh</w:t>
      </w:r>
      <w:r w:rsidR="009426DB" w:rsidRPr="00FA1405">
        <w:rPr>
          <w:rFonts w:ascii="Times New Roman" w:hAnsi="Times New Roman" w:cs="Times New Roman"/>
          <w:lang w:val="pt-BR"/>
        </w:rPr>
        <w:t xml:space="preserve">ido por </w:t>
      </w:r>
      <w:r w:rsidR="00147AB6" w:rsidRPr="00FA1405">
        <w:rPr>
          <w:rFonts w:ascii="Times New Roman" w:hAnsi="Times New Roman" w:cs="Times New Roman"/>
          <w:lang w:val="pt-BR"/>
        </w:rPr>
        <w:t>mulheres</w:t>
      </w:r>
      <w:r w:rsidR="009426DB" w:rsidRPr="00FA1405">
        <w:rPr>
          <w:rFonts w:ascii="Times New Roman" w:hAnsi="Times New Roman" w:cs="Times New Roman"/>
          <w:lang w:val="pt-BR"/>
        </w:rPr>
        <w:t xml:space="preserve"> </w:t>
      </w:r>
      <w:r w:rsidR="00147AB6" w:rsidRPr="00FA1405">
        <w:rPr>
          <w:rFonts w:ascii="Times New Roman" w:hAnsi="Times New Roman" w:cs="Times New Roman"/>
          <w:lang w:val="pt-BR"/>
        </w:rPr>
        <w:t xml:space="preserve">grávidas e em condições de </w:t>
      </w:r>
      <w:r w:rsidR="009426DB" w:rsidRPr="00FA1405">
        <w:rPr>
          <w:rFonts w:ascii="Times New Roman" w:hAnsi="Times New Roman" w:cs="Times New Roman"/>
          <w:lang w:val="pt-BR"/>
        </w:rPr>
        <w:t>infecções</w:t>
      </w:r>
      <w:r w:rsidR="00147AB6" w:rsidRPr="00FA1405">
        <w:rPr>
          <w:rFonts w:ascii="Times New Roman" w:hAnsi="Times New Roman" w:cs="Times New Roman"/>
          <w:lang w:val="pt-BR"/>
        </w:rPr>
        <w:t xml:space="preserve"> virais</w:t>
      </w:r>
      <w:r w:rsidR="007807F0" w:rsidRPr="00FA1405">
        <w:rPr>
          <w:rFonts w:ascii="Times New Roman" w:hAnsi="Times New Roman" w:cs="Times New Roman"/>
          <w:lang w:val="pt-BR"/>
        </w:rPr>
        <w:t xml:space="preserve"> (SEBBEN</w:t>
      </w:r>
      <w:r w:rsidR="002217DA" w:rsidRPr="00FA1405">
        <w:rPr>
          <w:rFonts w:ascii="Times New Roman" w:hAnsi="Times New Roman" w:cs="Times New Roman"/>
          <w:lang w:val="pt-BR"/>
        </w:rPr>
        <w:t>,</w:t>
      </w:r>
      <w:r w:rsidR="009F46C2">
        <w:rPr>
          <w:rFonts w:ascii="Times New Roman" w:hAnsi="Times New Roman" w:cs="Times New Roman"/>
          <w:lang w:val="pt-BR"/>
        </w:rPr>
        <w:t xml:space="preserve"> </w:t>
      </w:r>
      <w:r w:rsidR="009F46C2" w:rsidRPr="00874401">
        <w:rPr>
          <w:rFonts w:ascii="Times New Roman" w:hAnsi="Times New Roman" w:cs="Times New Roman"/>
          <w:i/>
          <w:iCs/>
        </w:rPr>
        <w:t>et al.,</w:t>
      </w:r>
      <w:r w:rsidR="009F46C2" w:rsidRPr="00F35C28">
        <w:rPr>
          <w:rFonts w:ascii="Times New Roman" w:hAnsi="Times New Roman" w:cs="Times New Roman"/>
        </w:rPr>
        <w:t xml:space="preserve"> </w:t>
      </w:r>
      <w:r w:rsidR="007807F0" w:rsidRPr="00FA1405">
        <w:rPr>
          <w:rFonts w:ascii="Times New Roman" w:hAnsi="Times New Roman" w:cs="Times New Roman"/>
          <w:lang w:val="pt-BR"/>
        </w:rPr>
        <w:t>2010).</w:t>
      </w:r>
    </w:p>
    <w:p w14:paraId="0A9BB3AB" w14:textId="77777777" w:rsidR="009F46C2" w:rsidRDefault="00D13503" w:rsidP="00C97FA5">
      <w:pPr>
        <w:pStyle w:val="Corpodetexto"/>
        <w:spacing w:before="1" w:line="360" w:lineRule="auto"/>
        <w:ind w:right="106" w:firstLine="709"/>
        <w:jc w:val="both"/>
        <w:rPr>
          <w:rFonts w:ascii="Times New Roman" w:hAnsi="Times New Roman" w:cs="Times New Roman"/>
          <w:lang w:val="pt-BR"/>
        </w:rPr>
      </w:pPr>
      <w:r w:rsidRPr="000D7F00">
        <w:rPr>
          <w:rFonts w:ascii="Times New Roman" w:hAnsi="Times New Roman" w:cs="Times New Roman"/>
          <w:lang w:val="pt-BR"/>
        </w:rPr>
        <w:t xml:space="preserve">O paracetamol </w:t>
      </w:r>
      <w:r w:rsidR="006B631E">
        <w:rPr>
          <w:rFonts w:ascii="Times New Roman" w:hAnsi="Times New Roman" w:cs="Times New Roman"/>
          <w:lang w:val="pt-BR"/>
        </w:rPr>
        <w:t xml:space="preserve">é bem </w:t>
      </w:r>
      <w:r w:rsidRPr="000D7F00">
        <w:rPr>
          <w:rFonts w:ascii="Times New Roman" w:hAnsi="Times New Roman" w:cs="Times New Roman"/>
          <w:lang w:val="pt-BR"/>
        </w:rPr>
        <w:t>absor</w:t>
      </w:r>
      <w:r w:rsidR="006B631E">
        <w:rPr>
          <w:rFonts w:ascii="Times New Roman" w:hAnsi="Times New Roman" w:cs="Times New Roman"/>
          <w:lang w:val="pt-BR"/>
        </w:rPr>
        <w:t>vido</w:t>
      </w:r>
      <w:r w:rsidRPr="000D7F00">
        <w:rPr>
          <w:rFonts w:ascii="Times New Roman" w:hAnsi="Times New Roman" w:cs="Times New Roman"/>
          <w:lang w:val="pt-BR"/>
        </w:rPr>
        <w:t xml:space="preserve"> no trato gastrointestinal, chegando ao pico plasmático no tempo entre 40 </w:t>
      </w:r>
      <w:r w:rsidR="00574718" w:rsidRPr="000D7F00">
        <w:rPr>
          <w:rFonts w:ascii="Times New Roman" w:hAnsi="Times New Roman" w:cs="Times New Roman"/>
          <w:lang w:val="pt-BR"/>
        </w:rPr>
        <w:t>e</w:t>
      </w:r>
      <w:r w:rsidRPr="000D7F00">
        <w:rPr>
          <w:rFonts w:ascii="Times New Roman" w:hAnsi="Times New Roman" w:cs="Times New Roman"/>
          <w:lang w:val="pt-BR"/>
        </w:rPr>
        <w:t xml:space="preserve"> 60 minutos depois de sua administração em forma</w:t>
      </w:r>
      <w:r w:rsidR="000A7723" w:rsidRPr="000D7F00">
        <w:rPr>
          <w:rFonts w:ascii="Times New Roman" w:hAnsi="Times New Roman" w:cs="Times New Roman"/>
          <w:lang w:val="pt-BR"/>
        </w:rPr>
        <w:t xml:space="preserve"> sólida via</w:t>
      </w:r>
      <w:r w:rsidRPr="000D7F00">
        <w:rPr>
          <w:rFonts w:ascii="Times New Roman" w:hAnsi="Times New Roman" w:cs="Times New Roman"/>
          <w:lang w:val="pt-BR"/>
        </w:rPr>
        <w:t xml:space="preserve"> </w:t>
      </w:r>
      <w:r w:rsidR="000A7723" w:rsidRPr="000D7F00">
        <w:rPr>
          <w:rFonts w:ascii="Times New Roman" w:hAnsi="Times New Roman" w:cs="Times New Roman"/>
          <w:lang w:val="pt-BR"/>
        </w:rPr>
        <w:t>oral</w:t>
      </w:r>
      <w:r w:rsidRPr="000D7F00">
        <w:rPr>
          <w:rFonts w:ascii="Times New Roman" w:hAnsi="Times New Roman" w:cs="Times New Roman"/>
          <w:lang w:val="pt-BR"/>
        </w:rPr>
        <w:t>. Em 30 minutos quando em formas farmacêuticas líquidas.</w:t>
      </w:r>
      <w:r w:rsidR="000A7723" w:rsidRPr="000D7F00">
        <w:rPr>
          <w:rFonts w:ascii="Times New Roman" w:hAnsi="Times New Roman" w:cs="Times New Roman"/>
          <w:lang w:val="pt-BR"/>
        </w:rPr>
        <w:t xml:space="preserve"> Pela via endovenosa, a concentração máxima é atingida em torno de 15 minutos, enquanto pela via</w:t>
      </w:r>
      <w:r w:rsidR="000A7723" w:rsidRPr="000D7F00">
        <w:rPr>
          <w:rFonts w:ascii="Times New Roman" w:hAnsi="Times New Roman" w:cs="Times New Roman"/>
          <w:spacing w:val="1"/>
          <w:lang w:val="pt-BR"/>
        </w:rPr>
        <w:t xml:space="preserve"> </w:t>
      </w:r>
      <w:r w:rsidR="000A7723" w:rsidRPr="000D7F00">
        <w:rPr>
          <w:rFonts w:ascii="Times New Roman" w:hAnsi="Times New Roman" w:cs="Times New Roman"/>
          <w:lang w:val="pt-BR"/>
        </w:rPr>
        <w:t>retal</w:t>
      </w:r>
      <w:r w:rsidR="000A7723" w:rsidRPr="000D7F00">
        <w:rPr>
          <w:rFonts w:ascii="Times New Roman" w:hAnsi="Times New Roman" w:cs="Times New Roman"/>
          <w:spacing w:val="-1"/>
          <w:lang w:val="pt-BR"/>
        </w:rPr>
        <w:t xml:space="preserve"> </w:t>
      </w:r>
      <w:r w:rsidR="000A7723" w:rsidRPr="000D7F00">
        <w:rPr>
          <w:rFonts w:ascii="Times New Roman" w:hAnsi="Times New Roman" w:cs="Times New Roman"/>
          <w:lang w:val="pt-BR"/>
        </w:rPr>
        <w:t>este</w:t>
      </w:r>
      <w:r w:rsidR="000A7723" w:rsidRPr="000D7F00">
        <w:rPr>
          <w:rFonts w:ascii="Times New Roman" w:hAnsi="Times New Roman" w:cs="Times New Roman"/>
          <w:spacing w:val="-3"/>
          <w:lang w:val="pt-BR"/>
        </w:rPr>
        <w:t xml:space="preserve"> </w:t>
      </w:r>
      <w:r w:rsidR="000A7723" w:rsidRPr="000D7F00">
        <w:rPr>
          <w:rFonts w:ascii="Times New Roman" w:hAnsi="Times New Roman" w:cs="Times New Roman"/>
          <w:lang w:val="pt-BR"/>
        </w:rPr>
        <w:t>tempo</w:t>
      </w:r>
      <w:r w:rsidR="000A7723" w:rsidRPr="000D7F00">
        <w:rPr>
          <w:rFonts w:ascii="Times New Roman" w:hAnsi="Times New Roman" w:cs="Times New Roman"/>
          <w:spacing w:val="-4"/>
          <w:lang w:val="pt-BR"/>
        </w:rPr>
        <w:t xml:space="preserve"> </w:t>
      </w:r>
      <w:r w:rsidR="000A7723" w:rsidRPr="000D7F00">
        <w:rPr>
          <w:rFonts w:ascii="Times New Roman" w:hAnsi="Times New Roman" w:cs="Times New Roman"/>
          <w:lang w:val="pt-BR"/>
        </w:rPr>
        <w:t>ainda</w:t>
      </w:r>
      <w:r w:rsidR="000A7723" w:rsidRPr="000D7F00">
        <w:rPr>
          <w:rFonts w:ascii="Times New Roman" w:hAnsi="Times New Roman" w:cs="Times New Roman"/>
          <w:spacing w:val="-3"/>
          <w:lang w:val="pt-BR"/>
        </w:rPr>
        <w:t xml:space="preserve"> </w:t>
      </w:r>
      <w:r w:rsidR="000A7723" w:rsidRPr="000D7F00">
        <w:rPr>
          <w:rFonts w:ascii="Times New Roman" w:hAnsi="Times New Roman" w:cs="Times New Roman"/>
          <w:lang w:val="pt-BR"/>
        </w:rPr>
        <w:t>é meio imprevisível</w:t>
      </w:r>
      <w:r w:rsidR="000A7723" w:rsidRPr="000D7F00">
        <w:rPr>
          <w:rFonts w:ascii="Times New Roman" w:hAnsi="Times New Roman" w:cs="Times New Roman"/>
          <w:spacing w:val="5"/>
          <w:lang w:val="pt-BR"/>
        </w:rPr>
        <w:t xml:space="preserve"> </w:t>
      </w:r>
      <w:r w:rsidR="000A7723" w:rsidRPr="000D7F00">
        <w:rPr>
          <w:rFonts w:ascii="Times New Roman" w:hAnsi="Times New Roman" w:cs="Times New Roman"/>
          <w:lang w:val="pt-BR"/>
        </w:rPr>
        <w:t>(TORRES,</w:t>
      </w:r>
      <w:r w:rsidR="009F46C2">
        <w:rPr>
          <w:rFonts w:ascii="Times New Roman" w:hAnsi="Times New Roman" w:cs="Times New Roman"/>
          <w:lang w:val="pt-BR"/>
        </w:rPr>
        <w:t xml:space="preserve"> </w:t>
      </w:r>
      <w:r w:rsidR="009F46C2" w:rsidRPr="00874401">
        <w:rPr>
          <w:rFonts w:ascii="Times New Roman" w:hAnsi="Times New Roman" w:cs="Times New Roman"/>
          <w:i/>
          <w:iCs/>
        </w:rPr>
        <w:t>et al.,</w:t>
      </w:r>
      <w:r w:rsidR="009F46C2" w:rsidRPr="00F35C28">
        <w:rPr>
          <w:rFonts w:ascii="Times New Roman" w:hAnsi="Times New Roman" w:cs="Times New Roman"/>
        </w:rPr>
        <w:t xml:space="preserve"> </w:t>
      </w:r>
      <w:r w:rsidR="000A7723" w:rsidRPr="000D7F00">
        <w:rPr>
          <w:rFonts w:ascii="Times New Roman" w:hAnsi="Times New Roman" w:cs="Times New Roman"/>
          <w:lang w:val="pt-BR"/>
        </w:rPr>
        <w:t>2019).</w:t>
      </w:r>
      <w:r w:rsidRPr="000D7F00">
        <w:rPr>
          <w:rFonts w:ascii="Times New Roman" w:hAnsi="Times New Roman" w:cs="Times New Roman"/>
          <w:lang w:val="pt-BR"/>
        </w:rPr>
        <w:t xml:space="preserve"> </w:t>
      </w:r>
    </w:p>
    <w:p w14:paraId="339061F6" w14:textId="0348601C" w:rsidR="007A22FC" w:rsidRDefault="00D13503" w:rsidP="00C97FA5">
      <w:pPr>
        <w:pStyle w:val="Corpodetexto"/>
        <w:spacing w:before="1" w:line="360" w:lineRule="auto"/>
        <w:ind w:right="106" w:firstLine="709"/>
        <w:jc w:val="both"/>
        <w:rPr>
          <w:rFonts w:ascii="Times New Roman" w:hAnsi="Times New Roman" w:cs="Times New Roman"/>
          <w:lang w:val="pt-BR"/>
        </w:rPr>
      </w:pPr>
      <w:r w:rsidRPr="000D7F00">
        <w:rPr>
          <w:rFonts w:ascii="Times New Roman" w:hAnsi="Times New Roman" w:cs="Times New Roman"/>
          <w:lang w:val="pt-BR"/>
        </w:rPr>
        <w:t xml:space="preserve">Sua biodisponibilidade é alta (cerca de 60% a 95%) e o volume de distribuição é de 0,8 a 1 L/Kg. A ligação à proteínas plasmáticas é de 10% a 30%, podendo chegar a 50% em casos de sobredosagem, e ainda possui a capacidade de atravessar a barreira placentária e </w:t>
      </w:r>
      <w:r w:rsidR="00EC3165" w:rsidRPr="000D7F00">
        <w:rPr>
          <w:rFonts w:ascii="Times New Roman" w:hAnsi="Times New Roman" w:cs="Times New Roman"/>
          <w:lang w:val="pt-BR"/>
        </w:rPr>
        <w:t>hematoencefálica</w:t>
      </w:r>
      <w:r w:rsidRPr="000D7F00">
        <w:rPr>
          <w:rFonts w:ascii="Times New Roman" w:hAnsi="Times New Roman" w:cs="Times New Roman"/>
          <w:lang w:val="pt-BR"/>
        </w:rPr>
        <w:t xml:space="preserve">. </w:t>
      </w:r>
      <w:r w:rsidR="00066C02" w:rsidRPr="000D7F00">
        <w:rPr>
          <w:rFonts w:ascii="Times New Roman" w:hAnsi="Times New Roman" w:cs="Times New Roman"/>
          <w:lang w:val="pt-BR"/>
        </w:rPr>
        <w:t>S</w:t>
      </w:r>
      <w:r w:rsidRPr="000D7F00">
        <w:rPr>
          <w:rFonts w:ascii="Times New Roman" w:hAnsi="Times New Roman" w:cs="Times New Roman"/>
          <w:lang w:val="pt-BR"/>
        </w:rPr>
        <w:t xml:space="preserve">ua eliminação é </w:t>
      </w:r>
      <w:r w:rsidR="00066C02" w:rsidRPr="000D7F00">
        <w:rPr>
          <w:rFonts w:ascii="Times New Roman" w:hAnsi="Times New Roman" w:cs="Times New Roman"/>
          <w:lang w:val="pt-BR"/>
        </w:rPr>
        <w:t xml:space="preserve">por via </w:t>
      </w:r>
      <w:r w:rsidRPr="000D7F00">
        <w:rPr>
          <w:rFonts w:ascii="Times New Roman" w:hAnsi="Times New Roman" w:cs="Times New Roman"/>
          <w:lang w:val="pt-BR"/>
        </w:rPr>
        <w:t>renal</w:t>
      </w:r>
      <w:r w:rsidR="00066C02" w:rsidRPr="000D7F00">
        <w:rPr>
          <w:rFonts w:ascii="Times New Roman" w:hAnsi="Times New Roman" w:cs="Times New Roman"/>
          <w:lang w:val="pt-BR"/>
        </w:rPr>
        <w:t>.</w:t>
      </w:r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 N-acetil-p-</w:t>
      </w:r>
      <w:proofErr w:type="spellStart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>benzoquinonaimina</w:t>
      </w:r>
      <w:proofErr w:type="spellEnd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="005D4B7E">
        <w:rPr>
          <w:rFonts w:ascii="Times New Roman" w:eastAsia="Times New Roman" w:hAnsi="Times New Roman" w:cs="Times New Roman"/>
          <w:lang w:val="pt-BR" w:eastAsia="pt-BR"/>
        </w:rPr>
        <w:t>é</w:t>
      </w:r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 o principal metabólito </w:t>
      </w:r>
      <w:proofErr w:type="spellStart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>hepatotóxico</w:t>
      </w:r>
      <w:proofErr w:type="spellEnd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 do paracetamol.  A via de metabolização principal do paracetamol é a </w:t>
      </w:r>
      <w:r w:rsidR="00190E22" w:rsidRPr="00190E22">
        <w:rPr>
          <w:rFonts w:ascii="Times New Roman" w:eastAsia="Times New Roman" w:hAnsi="Times New Roman" w:cs="Times New Roman"/>
          <w:lang w:val="pt-BR" w:eastAsia="pt-BR"/>
        </w:rPr>
        <w:t>hepática</w:t>
      </w:r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, a qual acontece por meio de três mecanismos metabólicos: a conjugação com ácido </w:t>
      </w:r>
      <w:proofErr w:type="spellStart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>glicurônico</w:t>
      </w:r>
      <w:proofErr w:type="spellEnd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 (</w:t>
      </w:r>
      <w:proofErr w:type="spellStart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>glicuronização</w:t>
      </w:r>
      <w:proofErr w:type="spellEnd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), </w:t>
      </w:r>
      <w:proofErr w:type="spellStart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>sulfatação</w:t>
      </w:r>
      <w:proofErr w:type="spellEnd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 e oxidação.</w:t>
      </w:r>
      <w:r w:rsidR="009F46C2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A via oxidativa origina um metabólito elevadamente tóxico, que em condições terapêuticas, se </w:t>
      </w:r>
      <w:r w:rsidR="00372932">
        <w:rPr>
          <w:rFonts w:ascii="Times New Roman" w:eastAsia="Times New Roman" w:hAnsi="Times New Roman" w:cs="Times New Roman"/>
          <w:lang w:val="pt-BR" w:eastAsia="pt-BR"/>
        </w:rPr>
        <w:t>conjuga</w:t>
      </w:r>
      <w:r w:rsidR="00372932" w:rsidRPr="00A253BA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com a glutationa, formando conjugados de cisteína e ácido </w:t>
      </w:r>
      <w:proofErr w:type="spellStart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>mercaptúrico</w:t>
      </w:r>
      <w:proofErr w:type="spellEnd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. Em contrapartida a </w:t>
      </w:r>
      <w:proofErr w:type="spellStart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>glicuronização</w:t>
      </w:r>
      <w:proofErr w:type="spellEnd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 e a </w:t>
      </w:r>
      <w:proofErr w:type="spellStart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>sulfatação</w:t>
      </w:r>
      <w:proofErr w:type="spellEnd"/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 produzem metabólitos atóxicos</w:t>
      </w:r>
      <w:r w:rsidR="009F46C2">
        <w:rPr>
          <w:rFonts w:ascii="Times New Roman" w:eastAsia="Times New Roman" w:hAnsi="Times New Roman" w:cs="Times New Roman"/>
          <w:lang w:val="pt-BR" w:eastAsia="pt-BR"/>
        </w:rPr>
        <w:t>.</w:t>
      </w:r>
      <w:r w:rsidR="00016711" w:rsidRPr="00A253BA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="009F46C2">
        <w:rPr>
          <w:rFonts w:ascii="Times New Roman" w:eastAsia="Times New Roman" w:hAnsi="Times New Roman" w:cs="Times New Roman"/>
          <w:lang w:val="pt-BR" w:eastAsia="pt-BR"/>
        </w:rPr>
        <w:t>E</w:t>
      </w:r>
      <w:r w:rsidR="001212AF" w:rsidRPr="00FA1405">
        <w:rPr>
          <w:rFonts w:ascii="Times New Roman" w:hAnsi="Times New Roman" w:cs="Times New Roman"/>
          <w:lang w:val="pt-BR"/>
        </w:rPr>
        <w:t>xistem</w:t>
      </w:r>
      <w:r w:rsidR="00A60114" w:rsidRPr="00FA1405">
        <w:rPr>
          <w:rFonts w:ascii="Times New Roman" w:hAnsi="Times New Roman" w:cs="Times New Roman"/>
          <w:spacing w:val="1"/>
          <w:lang w:val="pt-BR"/>
        </w:rPr>
        <w:t xml:space="preserve"> </w:t>
      </w:r>
      <w:r w:rsidR="00A60114" w:rsidRPr="00FA1405">
        <w:rPr>
          <w:rFonts w:ascii="Times New Roman" w:hAnsi="Times New Roman" w:cs="Times New Roman"/>
          <w:lang w:val="pt-BR"/>
        </w:rPr>
        <w:t>mecanismos</w:t>
      </w:r>
      <w:r w:rsidR="00A60114" w:rsidRPr="00FA1405">
        <w:rPr>
          <w:rFonts w:ascii="Times New Roman" w:hAnsi="Times New Roman" w:cs="Times New Roman"/>
          <w:spacing w:val="1"/>
          <w:lang w:val="pt-BR"/>
        </w:rPr>
        <w:t xml:space="preserve"> </w:t>
      </w:r>
      <w:r w:rsidR="00A60114" w:rsidRPr="00FA1405">
        <w:rPr>
          <w:rFonts w:ascii="Times New Roman" w:hAnsi="Times New Roman" w:cs="Times New Roman"/>
          <w:lang w:val="pt-BR"/>
        </w:rPr>
        <w:t>pelos</w:t>
      </w:r>
      <w:r w:rsidR="00A60114" w:rsidRPr="00FA1405">
        <w:rPr>
          <w:rFonts w:ascii="Times New Roman" w:hAnsi="Times New Roman" w:cs="Times New Roman"/>
          <w:spacing w:val="1"/>
          <w:lang w:val="pt-BR"/>
        </w:rPr>
        <w:t xml:space="preserve"> </w:t>
      </w:r>
      <w:r w:rsidR="00A60114" w:rsidRPr="00FA1405">
        <w:rPr>
          <w:rFonts w:ascii="Times New Roman" w:hAnsi="Times New Roman" w:cs="Times New Roman"/>
          <w:lang w:val="pt-BR"/>
        </w:rPr>
        <w:t>quais</w:t>
      </w:r>
      <w:r w:rsidR="00A60114" w:rsidRPr="00FA1405">
        <w:rPr>
          <w:rFonts w:ascii="Times New Roman" w:hAnsi="Times New Roman" w:cs="Times New Roman"/>
          <w:spacing w:val="1"/>
          <w:lang w:val="pt-BR"/>
        </w:rPr>
        <w:t xml:space="preserve"> </w:t>
      </w:r>
      <w:r w:rsidR="00A60114" w:rsidRPr="00FA1405">
        <w:rPr>
          <w:rFonts w:ascii="Times New Roman" w:hAnsi="Times New Roman" w:cs="Times New Roman"/>
          <w:lang w:val="pt-BR"/>
        </w:rPr>
        <w:t>ocorre</w:t>
      </w:r>
      <w:r w:rsidR="00A60114" w:rsidRPr="00FA1405">
        <w:rPr>
          <w:rFonts w:ascii="Times New Roman" w:hAnsi="Times New Roman" w:cs="Times New Roman"/>
          <w:spacing w:val="1"/>
          <w:lang w:val="pt-BR"/>
        </w:rPr>
        <w:t xml:space="preserve"> </w:t>
      </w:r>
      <w:r w:rsidR="00A60114" w:rsidRPr="00FA1405">
        <w:rPr>
          <w:rFonts w:ascii="Times New Roman" w:hAnsi="Times New Roman" w:cs="Times New Roman"/>
          <w:lang w:val="pt-BR"/>
        </w:rPr>
        <w:t>a</w:t>
      </w:r>
      <w:r w:rsidR="00A60114" w:rsidRPr="00FA1405">
        <w:rPr>
          <w:rFonts w:ascii="Times New Roman" w:hAnsi="Times New Roman" w:cs="Times New Roman"/>
          <w:spacing w:val="1"/>
          <w:lang w:val="pt-BR"/>
        </w:rPr>
        <w:t xml:space="preserve"> </w:t>
      </w:r>
      <w:r w:rsidR="00A60114" w:rsidRPr="00FA1405">
        <w:rPr>
          <w:rFonts w:ascii="Times New Roman" w:hAnsi="Times New Roman" w:cs="Times New Roman"/>
          <w:lang w:val="pt-BR"/>
        </w:rPr>
        <w:t>hepatotoxicidade</w:t>
      </w:r>
      <w:r w:rsidR="00A60114" w:rsidRPr="00FA1405">
        <w:rPr>
          <w:rFonts w:ascii="Times New Roman" w:hAnsi="Times New Roman" w:cs="Times New Roman"/>
          <w:spacing w:val="1"/>
          <w:lang w:val="pt-BR"/>
        </w:rPr>
        <w:t xml:space="preserve"> </w:t>
      </w:r>
      <w:r w:rsidR="00A60114" w:rsidRPr="00FA1405">
        <w:rPr>
          <w:rFonts w:ascii="Times New Roman" w:hAnsi="Times New Roman" w:cs="Times New Roman"/>
          <w:lang w:val="pt-BR"/>
        </w:rPr>
        <w:t>e</w:t>
      </w:r>
      <w:r w:rsidR="00A60114" w:rsidRPr="00FA1405">
        <w:rPr>
          <w:rFonts w:ascii="Times New Roman" w:hAnsi="Times New Roman" w:cs="Times New Roman"/>
          <w:spacing w:val="1"/>
          <w:lang w:val="pt-BR"/>
        </w:rPr>
        <w:t xml:space="preserve"> </w:t>
      </w:r>
      <w:r w:rsidR="00A60114" w:rsidRPr="00FA1405">
        <w:rPr>
          <w:rFonts w:ascii="Times New Roman" w:hAnsi="Times New Roman" w:cs="Times New Roman"/>
          <w:lang w:val="pt-BR"/>
        </w:rPr>
        <w:t>a</w:t>
      </w:r>
      <w:r w:rsidR="00A60114" w:rsidRPr="00FA1405">
        <w:rPr>
          <w:rFonts w:ascii="Times New Roman" w:hAnsi="Times New Roman" w:cs="Times New Roman"/>
          <w:spacing w:val="1"/>
          <w:lang w:val="pt-BR"/>
        </w:rPr>
        <w:t xml:space="preserve"> </w:t>
      </w:r>
      <w:r w:rsidR="00A60114" w:rsidRPr="00FA1405">
        <w:rPr>
          <w:rFonts w:ascii="Times New Roman" w:hAnsi="Times New Roman" w:cs="Times New Roman"/>
          <w:lang w:val="pt-BR"/>
        </w:rPr>
        <w:t>lesão</w:t>
      </w:r>
      <w:r w:rsidR="00A60114" w:rsidRPr="00FA1405">
        <w:rPr>
          <w:rFonts w:ascii="Times New Roman" w:hAnsi="Times New Roman" w:cs="Times New Roman"/>
          <w:spacing w:val="1"/>
          <w:lang w:val="pt-BR"/>
        </w:rPr>
        <w:t xml:space="preserve"> </w:t>
      </w:r>
      <w:r w:rsidR="00A60114" w:rsidRPr="00FA1405">
        <w:rPr>
          <w:rFonts w:ascii="Times New Roman" w:hAnsi="Times New Roman" w:cs="Times New Roman"/>
          <w:lang w:val="pt-BR"/>
        </w:rPr>
        <w:t>hepatocelular que podem ocorrer de maneira independentes ou associados entre si</w:t>
      </w:r>
      <w:r w:rsidR="001212AF" w:rsidRPr="00FA1405">
        <w:rPr>
          <w:rFonts w:ascii="Times New Roman" w:hAnsi="Times New Roman" w:cs="Times New Roman"/>
          <w:lang w:val="pt-BR"/>
        </w:rPr>
        <w:t>.</w:t>
      </w:r>
      <w:r w:rsidR="007A12CB" w:rsidRPr="00FA1405">
        <w:rPr>
          <w:rFonts w:ascii="Times New Roman" w:hAnsi="Times New Roman" w:cs="Times New Roman"/>
          <w:lang w:val="pt-BR"/>
        </w:rPr>
        <w:t xml:space="preserve"> </w:t>
      </w:r>
      <w:r w:rsidR="00537DF3" w:rsidRPr="00F35C28">
        <w:rPr>
          <w:rFonts w:ascii="Times New Roman" w:hAnsi="Times New Roman" w:cs="Times New Roman"/>
          <w:lang w:val="pt-BR"/>
        </w:rPr>
        <w:t>(CHIEW</w:t>
      </w:r>
      <w:r w:rsidR="009F46C2">
        <w:rPr>
          <w:rFonts w:ascii="Times New Roman" w:hAnsi="Times New Roman" w:cs="Times New Roman"/>
          <w:lang w:val="pt-BR"/>
        </w:rPr>
        <w:t xml:space="preserve"> &amp; BUCKLEY</w:t>
      </w:r>
      <w:r w:rsidR="00F35C28">
        <w:rPr>
          <w:rFonts w:ascii="Times New Roman" w:hAnsi="Times New Roman" w:cs="Times New Roman"/>
          <w:lang w:val="pt-BR"/>
        </w:rPr>
        <w:t>,</w:t>
      </w:r>
      <w:r w:rsidR="00537DF3" w:rsidRPr="00F35C28">
        <w:rPr>
          <w:rFonts w:ascii="Times New Roman" w:hAnsi="Times New Roman" w:cs="Times New Roman"/>
          <w:lang w:val="pt-BR"/>
        </w:rPr>
        <w:t xml:space="preserve"> 2021)</w:t>
      </w:r>
      <w:r w:rsidR="00537DF3" w:rsidRPr="00FA1405">
        <w:rPr>
          <w:rFonts w:ascii="Times New Roman" w:hAnsi="Times New Roman" w:cs="Times New Roman"/>
          <w:lang w:val="pt-BR"/>
        </w:rPr>
        <w:t>.</w:t>
      </w:r>
      <w:r w:rsidR="00537DF3" w:rsidRPr="000D7F00">
        <w:rPr>
          <w:rFonts w:ascii="Times New Roman" w:hAnsi="Times New Roman" w:cs="Times New Roman"/>
          <w:lang w:val="pt-BR"/>
        </w:rPr>
        <w:t xml:space="preserve"> </w:t>
      </w:r>
      <w:r w:rsidR="001212AF" w:rsidRPr="000D7F00">
        <w:rPr>
          <w:rFonts w:ascii="Times New Roman" w:hAnsi="Times New Roman" w:cs="Times New Roman"/>
          <w:lang w:val="pt-BR"/>
        </w:rPr>
        <w:t>Em caso de superdosagem, quando os estoques de glutationa estão depletados, inicia o processo de dano hepático no caso de efeito tóxico ocorre à ação de um metabólito gerado pela CYP2E1 (enzima do citocromo P450), o N-acetil-p-</w:t>
      </w:r>
      <w:proofErr w:type="spellStart"/>
      <w:r w:rsidR="001212AF" w:rsidRPr="000D7F00">
        <w:rPr>
          <w:rFonts w:ascii="Times New Roman" w:hAnsi="Times New Roman" w:cs="Times New Roman"/>
          <w:lang w:val="pt-BR"/>
        </w:rPr>
        <w:t>benzoquinoneimina</w:t>
      </w:r>
      <w:proofErr w:type="spellEnd"/>
      <w:r w:rsidR="001212AF" w:rsidRPr="000D7F00">
        <w:rPr>
          <w:rFonts w:ascii="Times New Roman" w:hAnsi="Times New Roman" w:cs="Times New Roman"/>
          <w:lang w:val="pt-BR"/>
        </w:rPr>
        <w:t xml:space="preserve"> (NAPQI). A NAPQI livre se liga rapidamente aos hepatócitos, in</w:t>
      </w:r>
      <w:r w:rsidR="00190E22">
        <w:rPr>
          <w:rFonts w:ascii="Times New Roman" w:hAnsi="Times New Roman" w:cs="Times New Roman"/>
          <w:lang w:val="pt-BR"/>
        </w:rPr>
        <w:t>i</w:t>
      </w:r>
      <w:r w:rsidR="001212AF" w:rsidRPr="000D7F00">
        <w:rPr>
          <w:rFonts w:ascii="Times New Roman" w:hAnsi="Times New Roman" w:cs="Times New Roman"/>
          <w:lang w:val="pt-BR"/>
        </w:rPr>
        <w:t xml:space="preserve">ciando </w:t>
      </w:r>
      <w:r w:rsidR="001212AF" w:rsidRPr="000D7F00">
        <w:rPr>
          <w:rFonts w:ascii="Times New Roman" w:hAnsi="Times New Roman" w:cs="Times New Roman"/>
          <w:lang w:val="pt-BR"/>
        </w:rPr>
        <w:lastRenderedPageBreak/>
        <w:t xml:space="preserve">o processo de injúria com necrose hepatocelular </w:t>
      </w:r>
      <w:r w:rsidR="00F64D84" w:rsidRPr="000D7F00">
        <w:rPr>
          <w:rFonts w:ascii="Times New Roman" w:hAnsi="Times New Roman" w:cs="Times New Roman"/>
          <w:lang w:val="pt-BR"/>
        </w:rPr>
        <w:t>centro lobular</w:t>
      </w:r>
      <w:r w:rsidR="001212AF" w:rsidRPr="000D7F00">
        <w:rPr>
          <w:rFonts w:ascii="Times New Roman" w:hAnsi="Times New Roman" w:cs="Times New Roman"/>
          <w:lang w:val="pt-BR"/>
        </w:rPr>
        <w:t xml:space="preserve">, que pode se seguir por uma resposta inflamatória secundária a partir das células de </w:t>
      </w:r>
      <w:proofErr w:type="spellStart"/>
      <w:r w:rsidR="001212AF" w:rsidRPr="000D7F00">
        <w:rPr>
          <w:rFonts w:ascii="Times New Roman" w:hAnsi="Times New Roman" w:cs="Times New Roman"/>
          <w:lang w:val="pt-BR"/>
        </w:rPr>
        <w:t>Kupffer</w:t>
      </w:r>
      <w:proofErr w:type="spellEnd"/>
      <w:r w:rsidR="001212AF" w:rsidRPr="000D7F00">
        <w:rPr>
          <w:rFonts w:ascii="Times New Roman" w:hAnsi="Times New Roman" w:cs="Times New Roman"/>
          <w:lang w:val="pt-BR"/>
        </w:rPr>
        <w:t xml:space="preserve"> em um segundo estágio, estendendo a zona de lesão hepática</w:t>
      </w:r>
      <w:r w:rsidR="00491728" w:rsidRPr="000D7F00">
        <w:rPr>
          <w:rFonts w:ascii="Times New Roman" w:hAnsi="Times New Roman" w:cs="Times New Roman"/>
          <w:lang w:val="pt-BR"/>
        </w:rPr>
        <w:t>.</w:t>
      </w:r>
      <w:r w:rsidR="001212AF" w:rsidRPr="000D7F00">
        <w:rPr>
          <w:rFonts w:ascii="Times New Roman" w:hAnsi="Times New Roman" w:cs="Times New Roman"/>
          <w:lang w:val="pt-BR"/>
        </w:rPr>
        <w:t xml:space="preserve"> </w:t>
      </w:r>
      <w:r w:rsidR="001931A0" w:rsidRPr="00F35C28">
        <w:rPr>
          <w:rFonts w:ascii="Times New Roman" w:hAnsi="Times New Roman" w:cs="Times New Roman"/>
          <w:lang w:val="pt-BR"/>
        </w:rPr>
        <w:t>(ZANARDO</w:t>
      </w:r>
      <w:r w:rsidR="009F46C2">
        <w:rPr>
          <w:rFonts w:ascii="Times New Roman" w:hAnsi="Times New Roman" w:cs="Times New Roman"/>
          <w:lang w:val="pt-BR"/>
        </w:rPr>
        <w:t xml:space="preserve">, </w:t>
      </w:r>
      <w:r w:rsidR="009F46C2" w:rsidRPr="00874401">
        <w:rPr>
          <w:rFonts w:ascii="Times New Roman" w:hAnsi="Times New Roman" w:cs="Times New Roman"/>
          <w:i/>
          <w:iCs/>
        </w:rPr>
        <w:t>et al.,</w:t>
      </w:r>
      <w:r w:rsidR="009F46C2" w:rsidRPr="00F35C28">
        <w:rPr>
          <w:rFonts w:ascii="Times New Roman" w:hAnsi="Times New Roman" w:cs="Times New Roman"/>
        </w:rPr>
        <w:t xml:space="preserve"> </w:t>
      </w:r>
      <w:r w:rsidR="001931A0" w:rsidRPr="00F35C28">
        <w:rPr>
          <w:rFonts w:ascii="Times New Roman" w:hAnsi="Times New Roman" w:cs="Times New Roman"/>
          <w:lang w:val="pt-BR"/>
        </w:rPr>
        <w:t>2013</w:t>
      </w:r>
      <w:r w:rsidR="005D4B7E" w:rsidRPr="00F35C28">
        <w:rPr>
          <w:rFonts w:ascii="Times New Roman" w:hAnsi="Times New Roman" w:cs="Times New Roman"/>
          <w:lang w:val="pt-BR"/>
        </w:rPr>
        <w:t>:</w:t>
      </w:r>
      <w:r w:rsidR="00E514E5" w:rsidRPr="00F35C28">
        <w:rPr>
          <w:rFonts w:ascii="Times New Roman" w:hAnsi="Times New Roman" w:cs="Times New Roman"/>
          <w:lang w:val="pt-BR"/>
        </w:rPr>
        <w:t>LE</w:t>
      </w:r>
      <w:r w:rsidR="00F208A1" w:rsidRPr="00F35C28">
        <w:rPr>
          <w:rFonts w:ascii="Times New Roman" w:hAnsi="Times New Roman" w:cs="Times New Roman"/>
          <w:lang w:val="pt-BR"/>
        </w:rPr>
        <w:t>W</w:t>
      </w:r>
      <w:r w:rsidR="00E514E5" w:rsidRPr="00F35C28">
        <w:rPr>
          <w:rFonts w:ascii="Times New Roman" w:hAnsi="Times New Roman" w:cs="Times New Roman"/>
          <w:lang w:val="pt-BR"/>
        </w:rPr>
        <w:t>IS</w:t>
      </w:r>
      <w:r w:rsidR="00F208A1" w:rsidRPr="00F35C28">
        <w:rPr>
          <w:rFonts w:ascii="Times New Roman" w:hAnsi="Times New Roman" w:cs="Times New Roman"/>
          <w:lang w:val="pt-BR"/>
        </w:rPr>
        <w:t xml:space="preserve"> 2011</w:t>
      </w:r>
      <w:r w:rsidR="005D4B7E" w:rsidRPr="00F35C28">
        <w:rPr>
          <w:rFonts w:ascii="Times New Roman" w:hAnsi="Times New Roman" w:cs="Times New Roman"/>
          <w:lang w:val="pt-BR"/>
        </w:rPr>
        <w:t>; HE, 2011</w:t>
      </w:r>
      <w:r w:rsidR="001931A0" w:rsidRPr="00F35C28">
        <w:rPr>
          <w:rFonts w:ascii="Times New Roman" w:hAnsi="Times New Roman" w:cs="Times New Roman"/>
          <w:lang w:val="pt-BR"/>
        </w:rPr>
        <w:t>)</w:t>
      </w:r>
      <w:r w:rsidR="001212AF" w:rsidRPr="00F35C28">
        <w:rPr>
          <w:rFonts w:ascii="Times New Roman" w:hAnsi="Times New Roman" w:cs="Times New Roman"/>
          <w:lang w:val="pt-BR"/>
        </w:rPr>
        <w:t>.</w:t>
      </w:r>
    </w:p>
    <w:p w14:paraId="450AEB11" w14:textId="769935FC" w:rsidR="000C2D03" w:rsidRPr="00FA1405" w:rsidRDefault="00204179" w:rsidP="005C08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O quadro clínico de intoxicação por paracetamol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normalmente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três períodos bem característicos. 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rimeiras 24 horas o indivíduo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apresenta-se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assintomático ou com leve mal-estar, náuseas, vômitos, palidez e epigastralgia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até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72 horas o indivíduo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pode prosseguir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assintomático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, parecido com as primeiras 24 horas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apresentar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sintoma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leve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e/ou com dor no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hipocôndrio direito. A mudança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característica é o aumento das transaminases hepáticas. 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Nas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próximas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72 horas a</w:t>
      </w:r>
      <w:r w:rsidR="00372932">
        <w:rPr>
          <w:rFonts w:ascii="Times New Roman" w:eastAsia="Times New Roman" w:hAnsi="Times New Roman" w:cs="Times New Roman"/>
          <w:sz w:val="24"/>
          <w:szCs w:val="24"/>
          <w:lang w:eastAsia="pt-BR"/>
        </w:rPr>
        <w:t>té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cinco dias é </w:t>
      </w:r>
      <w:r w:rsidR="003729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período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de máxima expressão da hepatotoxicidade, podendo evoluir</w:t>
      </w:r>
      <w:r w:rsidR="00BF2D1A"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D7F00">
        <w:rPr>
          <w:rFonts w:ascii="Times New Roman" w:eastAsia="Times New Roman" w:hAnsi="Times New Roman" w:cs="Times New Roman"/>
          <w:sz w:val="24"/>
          <w:szCs w:val="24"/>
          <w:lang w:eastAsia="pt-BR"/>
        </w:rPr>
        <w:t>para falência hepática aguda</w:t>
      </w:r>
      <w:r w:rsidR="000C2D03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intoxicações causadas por doses elevadas (</w:t>
      </w:r>
      <w:r w:rsidR="000C2D03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superior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2D03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4g/dia) de paracetamol podem provocar</w:t>
      </w:r>
      <w:r w:rsidR="000C2D03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alterações cardiovasculares, neurológicas, gastrointestinais e endócrinas (SEBBEN, 2010).</w:t>
      </w:r>
    </w:p>
    <w:p w14:paraId="08C9D8E3" w14:textId="2C879451" w:rsidR="006D5CF0" w:rsidRDefault="00DE51F5" w:rsidP="005441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forma de </w:t>
      </w:r>
      <w:r w:rsidR="00204179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diagnosticar a intoxicação por paracetamol podem ser realizados</w:t>
      </w:r>
      <w:r w:rsidR="00EB3DA1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diversos exames complementares, a exemplo da dosagem sérica do paracetamol, em que</w:t>
      </w:r>
      <w:r w:rsidR="00EB3DA1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a aquisição</w:t>
      </w:r>
      <w:r w:rsidR="00EB3DA1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da amostra tem que ser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4 horas após a administração; transaminases, em que os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níveis séricos de alanina aminotransferase (ALT) e aspartato aminotransferase (AST) se elevam após a administração de paracetamol, alcançando</w:t>
      </w:r>
      <w:r w:rsidR="00EB3DA1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níveis maiores que 10.000UI/L</w:t>
      </w:r>
      <w:r w:rsidR="006D5CF0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6D5CF0" w:rsidRPr="00FA1405">
        <w:rPr>
          <w:rFonts w:ascii="Times New Roman" w:hAnsi="Times New Roman" w:cs="Times New Roman"/>
          <w:sz w:val="24"/>
          <w:szCs w:val="24"/>
        </w:rPr>
        <w:t xml:space="preserve">Alterações na bilirrubina total, glicemia, amilase e tempo de protrombina também podem ser detectadas se a intoxicação for grave, em decorrência dos distúrbios de coagulação presentes no terceiro estágio da intoxicação aguda. No caso da </w:t>
      </w:r>
      <w:proofErr w:type="spellStart"/>
      <w:r w:rsidR="006D5CF0" w:rsidRPr="00FA1405">
        <w:rPr>
          <w:rFonts w:ascii="Times New Roman" w:hAnsi="Times New Roman" w:cs="Times New Roman"/>
          <w:sz w:val="24"/>
          <w:szCs w:val="24"/>
        </w:rPr>
        <w:t>nefrotoxicidade</w:t>
      </w:r>
      <w:proofErr w:type="spellEnd"/>
      <w:r w:rsidR="006D5CF0" w:rsidRPr="00FA1405">
        <w:rPr>
          <w:rFonts w:ascii="Times New Roman" w:hAnsi="Times New Roman" w:cs="Times New Roman"/>
          <w:sz w:val="24"/>
          <w:szCs w:val="24"/>
        </w:rPr>
        <w:t>, podemos encontrar alt</w:t>
      </w:r>
      <w:r w:rsidR="006D5CF0" w:rsidRPr="006D5CF0">
        <w:rPr>
          <w:rFonts w:ascii="Times New Roman" w:hAnsi="Times New Roman" w:cs="Times New Roman"/>
          <w:sz w:val="24"/>
          <w:szCs w:val="24"/>
        </w:rPr>
        <w:t>erações nos exames de urina, como o aparecimento de depósitos granulares (</w:t>
      </w:r>
      <w:r w:rsidR="0051380E">
        <w:rPr>
          <w:rFonts w:ascii="Times New Roman" w:hAnsi="Times New Roman" w:cs="Times New Roman"/>
          <w:sz w:val="24"/>
          <w:szCs w:val="24"/>
        </w:rPr>
        <w:t>NECA</w:t>
      </w:r>
      <w:r w:rsidR="00F35C28">
        <w:rPr>
          <w:rFonts w:ascii="Times New Roman" w:hAnsi="Times New Roman" w:cs="Times New Roman"/>
          <w:sz w:val="24"/>
          <w:szCs w:val="24"/>
        </w:rPr>
        <w:t>,</w:t>
      </w:r>
      <w:r w:rsidR="0051380E">
        <w:rPr>
          <w:rFonts w:ascii="Times New Roman" w:hAnsi="Times New Roman" w:cs="Times New Roman"/>
          <w:sz w:val="24"/>
          <w:szCs w:val="24"/>
        </w:rPr>
        <w:t xml:space="preserve"> 2022</w:t>
      </w:r>
      <w:r w:rsidR="006D5CF0" w:rsidRPr="006D5CF0">
        <w:rPr>
          <w:rFonts w:ascii="Times New Roman" w:hAnsi="Times New Roman" w:cs="Times New Roman"/>
          <w:sz w:val="24"/>
          <w:szCs w:val="24"/>
        </w:rPr>
        <w:t>).</w:t>
      </w:r>
    </w:p>
    <w:p w14:paraId="4EE8B6B4" w14:textId="577A0876" w:rsidR="00DE51F5" w:rsidRPr="00FA1405" w:rsidRDefault="00204179" w:rsidP="005441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toxicidade </w:t>
      </w:r>
      <w:r w:rsidR="00137319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provocada pelo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paracetamol </w:t>
      </w:r>
      <w:r w:rsidR="00137319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potencializada pela administração simultânea de fármacos indutores enzimáticos, </w:t>
      </w:r>
      <w:r w:rsidR="00137319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exemplo administração acrescida de 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isoniazida e </w:t>
      </w:r>
      <w:proofErr w:type="spellStart"/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halotano</w:t>
      </w:r>
      <w:proofErr w:type="spellEnd"/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, os quais</w:t>
      </w:r>
      <w:r w:rsidR="00EB3DA1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elevam</w:t>
      </w:r>
      <w:r w:rsidR="00DE51F5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atividade do CYP2E1; </w:t>
      </w:r>
      <w:proofErr w:type="spellStart"/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fenitoína</w:t>
      </w:r>
      <w:proofErr w:type="spellEnd"/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fenobarbital, </w:t>
      </w:r>
      <w:proofErr w:type="spellStart"/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carbamazepina</w:t>
      </w:r>
      <w:proofErr w:type="spellEnd"/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rifampicina, os quais aumentam</w:t>
      </w:r>
      <w:r w:rsidR="00EB3DA1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 do CYP3A4 elevando</w:t>
      </w:r>
      <w:r w:rsidR="00DE51F5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os níveis de NAPQI (ALBERTO</w:t>
      </w:r>
      <w:r w:rsidR="0054413F"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2765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</w:t>
      </w:r>
      <w:r w:rsidR="0098545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Pr="00FA1405">
        <w:rPr>
          <w:rFonts w:ascii="Times New Roman" w:eastAsia="Times New Roman" w:hAnsi="Times New Roman" w:cs="Times New Roman"/>
          <w:sz w:val="24"/>
          <w:szCs w:val="24"/>
          <w:lang w:eastAsia="pt-BR"/>
        </w:rPr>
        <w:t>, 2009).</w:t>
      </w:r>
    </w:p>
    <w:p w14:paraId="0D8266C0" w14:textId="231CEF8D" w:rsidR="0024055C" w:rsidRPr="00AC0C53" w:rsidRDefault="00137319" w:rsidP="00AC0C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405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tratamento </w:t>
      </w:r>
      <w:r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inicial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para </w:t>
      </w:r>
      <w:r w:rsidR="00E02D41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intoxicação </w:t>
      </w:r>
      <w:r w:rsidR="00E02D41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provocada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pelo paracetamol é </w:t>
      </w:r>
      <w:r w:rsidR="00C81C23" w:rsidRPr="00FA1405">
        <w:rPr>
          <w:rFonts w:ascii="Times New Roman" w:hAnsi="Times New Roman" w:cs="Times New Roman"/>
          <w:sz w:val="24"/>
          <w:szCs w:val="24"/>
          <w:lang w:eastAsia="pt-BR"/>
        </w:rPr>
        <w:t>semelhante a</w:t>
      </w:r>
      <w:r w:rsidR="004B2E15" w:rsidRPr="00FA1405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realizad</w:t>
      </w:r>
      <w:r w:rsidR="004B2E15" w:rsidRPr="00FA1405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DE51F5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>em</w:t>
      </w:r>
      <w:r w:rsidR="00DE51F5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1C23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casos de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>overdoses comuns, ou seja, lavagem gástrica. A lavagem</w:t>
      </w:r>
      <w:r w:rsidR="00DE51F5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gástrica diminui a absorção de paracetamol, e deve ser realizada em até 2 horas após a ingestão. </w:t>
      </w:r>
      <w:r w:rsidR="00C81C23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A aplicação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>do carvão ativado também é</w:t>
      </w:r>
      <w:r w:rsidR="00DE51F5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1C23" w:rsidRPr="00FA1405">
        <w:rPr>
          <w:rFonts w:ascii="Times New Roman" w:hAnsi="Times New Roman" w:cs="Times New Roman"/>
          <w:sz w:val="24"/>
          <w:szCs w:val="24"/>
          <w:lang w:eastAsia="pt-BR"/>
        </w:rPr>
        <w:t>recomendada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C81C23" w:rsidRPr="00FA1405">
        <w:rPr>
          <w:rFonts w:ascii="Times New Roman" w:hAnsi="Times New Roman" w:cs="Times New Roman"/>
          <w:sz w:val="24"/>
          <w:szCs w:val="24"/>
          <w:lang w:eastAsia="pt-BR"/>
        </w:rPr>
        <w:t>possui a facilidade d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>e diminui</w:t>
      </w:r>
      <w:r w:rsidR="00C81C23" w:rsidRPr="00FA1405"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1C23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>quantidade absorvida de paracetamol pelo trato</w:t>
      </w:r>
      <w:r w:rsidR="00DE51F5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gastrointestinal e </w:t>
      </w:r>
      <w:r w:rsidR="00C81C23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oferece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>uma vantagem em relação</w:t>
      </w:r>
      <w:r w:rsidR="00C81C23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>à lavagem gástrica, pois não favorece</w:t>
      </w:r>
      <w:r w:rsidR="00DE51F5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>a aspiração pulmonar (</w:t>
      </w:r>
      <w:r w:rsidR="00204179" w:rsidRPr="00F35C28">
        <w:rPr>
          <w:rFonts w:ascii="Times New Roman" w:hAnsi="Times New Roman" w:cs="Times New Roman"/>
          <w:sz w:val="24"/>
          <w:szCs w:val="24"/>
          <w:lang w:eastAsia="pt-BR"/>
        </w:rPr>
        <w:t>SPILLER</w:t>
      </w:r>
      <w:r w:rsidR="00C81C23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52765F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et al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>., 2006).</w:t>
      </w:r>
      <w:r w:rsidR="00E02D41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1C23" w:rsidRPr="00FA1405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>acetilcisteína</w:t>
      </w:r>
      <w:proofErr w:type="spellEnd"/>
      <w:r w:rsidR="00204179" w:rsidRPr="00FA1405">
        <w:rPr>
          <w:rFonts w:ascii="Times New Roman" w:hAnsi="Times New Roman" w:cs="Times New Roman"/>
          <w:sz w:val="24"/>
          <w:szCs w:val="24"/>
          <w:lang w:eastAsia="pt-BR"/>
        </w:rPr>
        <w:t xml:space="preserve"> é um antídoto </w:t>
      </w:r>
      <w:r w:rsidR="00E02D41" w:rsidRPr="00FA1405">
        <w:rPr>
          <w:rFonts w:ascii="Times New Roman" w:hAnsi="Times New Roman" w:cs="Times New Roman"/>
          <w:sz w:val="24"/>
          <w:szCs w:val="24"/>
          <w:lang w:eastAsia="pt-BR"/>
        </w:rPr>
        <w:t>notavelmente</w:t>
      </w:r>
      <w:r w:rsidR="00E02D41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>eficaz e seguro que</w:t>
      </w:r>
      <w:r w:rsidR="00DE51F5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reduz a toxicidade do paracetamol ao fornecer grupos </w:t>
      </w:r>
      <w:proofErr w:type="spellStart"/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sulfidrílicos</w:t>
      </w:r>
      <w:proofErr w:type="spellEnd"/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que neutralizam o metabólito tóxico NAPQI, </w:t>
      </w:r>
      <w:r w:rsidR="00C81C23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diminuindo assim a possibilidade de ocorrer 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danos nos hepatócitos. A </w:t>
      </w:r>
      <w:r w:rsidR="00E02D41" w:rsidRPr="000D7F00">
        <w:rPr>
          <w:rStyle w:val="hgkelc"/>
          <w:rFonts w:ascii="Times New Roman" w:hAnsi="Times New Roman" w:cs="Times New Roman"/>
          <w:sz w:val="24"/>
          <w:szCs w:val="24"/>
          <w:lang w:val="pt-PT"/>
        </w:rPr>
        <w:t>N-acetilcisteína,</w:t>
      </w:r>
      <w:r w:rsidR="00C81C23" w:rsidRPr="000D7F00">
        <w:rPr>
          <w:rStyle w:val="hgkelc"/>
          <w:rFonts w:ascii="Times New Roman" w:hAnsi="Times New Roman" w:cs="Times New Roman"/>
          <w:sz w:val="24"/>
          <w:szCs w:val="24"/>
          <w:lang w:val="pt-PT"/>
        </w:rPr>
        <w:t xml:space="preserve"> ou a </w:t>
      </w:r>
      <w:r w:rsidR="00E02D41" w:rsidRPr="000D7F00">
        <w:rPr>
          <w:rStyle w:val="hgkelc"/>
          <w:rFonts w:ascii="Times New Roman" w:hAnsi="Times New Roman" w:cs="Times New Roman"/>
          <w:sz w:val="24"/>
          <w:szCs w:val="24"/>
          <w:lang w:val="pt-PT"/>
        </w:rPr>
        <w:t>acetilcisteína ou N-acetil-cisteína (</w:t>
      </w:r>
      <w:r w:rsidR="00E02D41" w:rsidRPr="0052765F">
        <w:rPr>
          <w:rStyle w:val="hgkelc"/>
          <w:rFonts w:ascii="Times New Roman" w:hAnsi="Times New Roman" w:cs="Times New Roman"/>
          <w:sz w:val="24"/>
          <w:szCs w:val="24"/>
          <w:lang w:val="pt-PT"/>
        </w:rPr>
        <w:t>NAC</w:t>
      </w:r>
      <w:r w:rsidR="00E02D41" w:rsidRPr="0013609A">
        <w:rPr>
          <w:rStyle w:val="hgkelc"/>
          <w:rFonts w:ascii="Times New Roman" w:hAnsi="Times New Roman" w:cs="Times New Roman"/>
          <w:sz w:val="24"/>
          <w:szCs w:val="24"/>
          <w:lang w:val="pt-PT"/>
        </w:rPr>
        <w:t>)</w:t>
      </w:r>
      <w:r w:rsidR="00E02D41" w:rsidRPr="000D7F00">
        <w:rPr>
          <w:rStyle w:val="hgkelc"/>
          <w:rFonts w:ascii="Times New Roman" w:hAnsi="Times New Roman" w:cs="Times New Roman"/>
          <w:sz w:val="24"/>
          <w:szCs w:val="24"/>
          <w:lang w:val="pt-PT"/>
        </w:rPr>
        <w:t>,</w:t>
      </w:r>
      <w:r w:rsidR="00E02D41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1C23" w:rsidRPr="000D7F00">
        <w:rPr>
          <w:rFonts w:ascii="Times New Roman" w:hAnsi="Times New Roman" w:cs="Times New Roman"/>
          <w:sz w:val="24"/>
          <w:szCs w:val="24"/>
          <w:lang w:eastAsia="pt-BR"/>
        </w:rPr>
        <w:t>comumente conhecida como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eficaz quando administrada até 8 horas após</w:t>
      </w:r>
      <w:r w:rsidR="00E02D41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a intoxicação por paracetamol. A </w:t>
      </w:r>
      <w:r w:rsidR="00E02D41" w:rsidRPr="000D7F00">
        <w:rPr>
          <w:rStyle w:val="hgkelc"/>
          <w:rFonts w:ascii="Times New Roman" w:hAnsi="Times New Roman" w:cs="Times New Roman"/>
          <w:sz w:val="24"/>
          <w:szCs w:val="24"/>
          <w:lang w:val="pt-PT"/>
        </w:rPr>
        <w:t>N-acetilcisteína</w:t>
      </w:r>
      <w:r w:rsidR="00E02D41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pode ser </w:t>
      </w:r>
      <w:r w:rsidR="00C81C23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administrada por meio da 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>via endovenosa (150 mg/Kg e em seguida 50mg/Kg) ou oral (dose inicial de ataque de 140 mg/Kg e dose de manutenção de 70 mg/kg) (JONES, 1998). Mesmo sendo caracterizado como um medicamento isento de prescrição, a procura de informações com o farmacêutico e/ou profissionais da área de saúde para a obtenção</w:t>
      </w:r>
      <w:r w:rsidR="00E02D41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deste medicamento é de extrema importância, </w:t>
      </w:r>
      <w:r w:rsidR="007C00FF" w:rsidRPr="000D7F00">
        <w:rPr>
          <w:rFonts w:ascii="Times New Roman" w:hAnsi="Times New Roman" w:cs="Times New Roman"/>
          <w:sz w:val="24"/>
          <w:szCs w:val="24"/>
          <w:lang w:eastAsia="pt-BR"/>
        </w:rPr>
        <w:t>fazendo se necessário qu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>e o</w:t>
      </w:r>
      <w:r w:rsidR="00E02D41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>farmacêutico é o profissional habilitado</w:t>
      </w:r>
      <w:r w:rsidR="00E02D41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>para dar</w:t>
      </w:r>
      <w:r w:rsidR="00E02D41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4179" w:rsidRPr="000D7F00">
        <w:rPr>
          <w:rFonts w:ascii="Times New Roman" w:hAnsi="Times New Roman" w:cs="Times New Roman"/>
          <w:sz w:val="24"/>
          <w:szCs w:val="24"/>
          <w:lang w:eastAsia="pt-BR"/>
        </w:rPr>
        <w:t>as orientações necessárias sobre os medicamentos</w:t>
      </w:r>
      <w:r w:rsidR="00210F68" w:rsidRPr="000D7F0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10F68" w:rsidRPr="000D7F00">
        <w:rPr>
          <w:rFonts w:ascii="Times New Roman" w:hAnsi="Times New Roman" w:cs="Times New Roman"/>
          <w:sz w:val="24"/>
          <w:szCs w:val="24"/>
        </w:rPr>
        <w:t>de forma a informar a maneira correta para</w:t>
      </w:r>
      <w:r w:rsidR="00210F68" w:rsidRPr="000D7F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0F68" w:rsidRPr="000D7F00">
        <w:rPr>
          <w:rFonts w:ascii="Times New Roman" w:hAnsi="Times New Roman" w:cs="Times New Roman"/>
          <w:sz w:val="24"/>
          <w:szCs w:val="24"/>
        </w:rPr>
        <w:t>o</w:t>
      </w:r>
      <w:r w:rsidR="00210F68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0F68" w:rsidRPr="000D7F00">
        <w:rPr>
          <w:rFonts w:ascii="Times New Roman" w:hAnsi="Times New Roman" w:cs="Times New Roman"/>
          <w:sz w:val="24"/>
          <w:szCs w:val="24"/>
        </w:rPr>
        <w:t>uso</w:t>
      </w:r>
      <w:r w:rsidR="00210F68" w:rsidRPr="000D7F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0F68" w:rsidRPr="000D7F00">
        <w:rPr>
          <w:rFonts w:ascii="Times New Roman" w:hAnsi="Times New Roman" w:cs="Times New Roman"/>
          <w:sz w:val="24"/>
          <w:szCs w:val="24"/>
        </w:rPr>
        <w:t>de medicamentos</w:t>
      </w:r>
      <w:r w:rsidR="00210F68" w:rsidRPr="000D7F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0F68" w:rsidRPr="000D7F00">
        <w:rPr>
          <w:rFonts w:ascii="Times New Roman" w:hAnsi="Times New Roman" w:cs="Times New Roman"/>
          <w:sz w:val="24"/>
          <w:szCs w:val="24"/>
        </w:rPr>
        <w:t>no</w:t>
      </w:r>
      <w:r w:rsidR="00210F68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0F68" w:rsidRPr="000D7F00">
        <w:rPr>
          <w:rFonts w:ascii="Times New Roman" w:hAnsi="Times New Roman" w:cs="Times New Roman"/>
          <w:sz w:val="24"/>
          <w:szCs w:val="24"/>
        </w:rPr>
        <w:t>tratamento</w:t>
      </w:r>
      <w:r w:rsidR="00210F68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 espec</w:t>
      </w:r>
      <w:r w:rsidR="003C2F6A" w:rsidRPr="000D7F00">
        <w:rPr>
          <w:rFonts w:ascii="Times New Roman" w:hAnsi="Times New Roman" w:cs="Times New Roman"/>
          <w:spacing w:val="1"/>
          <w:sz w:val="24"/>
          <w:szCs w:val="24"/>
        </w:rPr>
        <w:t>í</w:t>
      </w:r>
      <w:r w:rsidR="00210F68" w:rsidRPr="000D7F00">
        <w:rPr>
          <w:rFonts w:ascii="Times New Roman" w:hAnsi="Times New Roman" w:cs="Times New Roman"/>
          <w:spacing w:val="1"/>
          <w:sz w:val="24"/>
          <w:szCs w:val="24"/>
        </w:rPr>
        <w:t>f</w:t>
      </w:r>
      <w:r w:rsidR="003C2F6A" w:rsidRPr="000D7F0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210F68" w:rsidRPr="000D7F00">
        <w:rPr>
          <w:rFonts w:ascii="Times New Roman" w:hAnsi="Times New Roman" w:cs="Times New Roman"/>
          <w:spacing w:val="1"/>
          <w:sz w:val="24"/>
          <w:szCs w:val="24"/>
        </w:rPr>
        <w:t xml:space="preserve">co </w:t>
      </w:r>
      <w:r w:rsidR="00210F68" w:rsidRPr="000D7F00">
        <w:rPr>
          <w:rFonts w:ascii="Times New Roman" w:hAnsi="Times New Roman" w:cs="Times New Roman"/>
          <w:sz w:val="24"/>
          <w:szCs w:val="24"/>
        </w:rPr>
        <w:t>em</w:t>
      </w:r>
      <w:r w:rsidR="00210F68" w:rsidRPr="000D7F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0F68" w:rsidRPr="000D7F00">
        <w:rPr>
          <w:rFonts w:ascii="Times New Roman" w:hAnsi="Times New Roman" w:cs="Times New Roman"/>
          <w:sz w:val="24"/>
          <w:szCs w:val="24"/>
        </w:rPr>
        <w:t xml:space="preserve">que </w:t>
      </w:r>
      <w:r w:rsidR="003C2F6A" w:rsidRPr="000D7F00">
        <w:rPr>
          <w:rFonts w:ascii="Times New Roman" w:hAnsi="Times New Roman" w:cs="Times New Roman"/>
          <w:sz w:val="24"/>
          <w:szCs w:val="24"/>
        </w:rPr>
        <w:t>o</w:t>
      </w:r>
      <w:r w:rsidR="00210F68" w:rsidRPr="000D7F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0F68" w:rsidRPr="000D7F00">
        <w:rPr>
          <w:rFonts w:ascii="Times New Roman" w:hAnsi="Times New Roman" w:cs="Times New Roman"/>
          <w:sz w:val="24"/>
          <w:szCs w:val="24"/>
        </w:rPr>
        <w:t>paciente se encontra (ALHO</w:t>
      </w:r>
      <w:r w:rsidR="00B1230B">
        <w:rPr>
          <w:rFonts w:ascii="Times New Roman" w:hAnsi="Times New Roman" w:cs="Times New Roman"/>
          <w:sz w:val="24"/>
          <w:szCs w:val="24"/>
        </w:rPr>
        <w:t>,</w:t>
      </w:r>
      <w:r w:rsidR="00210F68" w:rsidRPr="000D7F00">
        <w:rPr>
          <w:rFonts w:ascii="Times New Roman" w:hAnsi="Times New Roman" w:cs="Times New Roman"/>
          <w:sz w:val="24"/>
          <w:szCs w:val="24"/>
        </w:rPr>
        <w:t xml:space="preserve"> 2022).</w:t>
      </w:r>
    </w:p>
    <w:p w14:paraId="0FF9AF4E" w14:textId="4EC88C21" w:rsidR="003645E5" w:rsidRPr="0052765F" w:rsidRDefault="003645E5" w:rsidP="0052765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5F">
        <w:rPr>
          <w:rFonts w:ascii="Times New Roman" w:hAnsi="Times New Roman" w:cs="Times New Roman"/>
          <w:b/>
          <w:bCs/>
          <w:sz w:val="24"/>
          <w:szCs w:val="24"/>
        </w:rPr>
        <w:t>RESULTADOS E DISCUSSÃO DE RESULTADOS</w:t>
      </w:r>
    </w:p>
    <w:p w14:paraId="68D53532" w14:textId="77777777" w:rsidR="003645E5" w:rsidRPr="0041250E" w:rsidRDefault="003645E5" w:rsidP="00364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CB552" w14:textId="4A6C2BDB" w:rsidR="003645E5" w:rsidRDefault="003645E5" w:rsidP="003645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E27">
        <w:rPr>
          <w:rFonts w:ascii="Times New Roman" w:hAnsi="Times New Roman" w:cs="Times New Roman"/>
          <w:sz w:val="24"/>
          <w:szCs w:val="24"/>
        </w:rPr>
        <w:t xml:space="preserve">Casos de Intoxicações com MIP são relativamente frequentes, </w:t>
      </w:r>
      <w:r w:rsidR="00FE30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06A">
        <w:rPr>
          <w:rFonts w:ascii="Times New Roman" w:hAnsi="Times New Roman" w:cs="Times New Roman"/>
          <w:sz w:val="24"/>
          <w:szCs w:val="24"/>
        </w:rPr>
        <w:t>quadro</w:t>
      </w:r>
      <w:r>
        <w:rPr>
          <w:rFonts w:ascii="Times New Roman" w:hAnsi="Times New Roman" w:cs="Times New Roman"/>
          <w:sz w:val="24"/>
          <w:szCs w:val="24"/>
        </w:rPr>
        <w:t xml:space="preserve"> a seguir mostra o levantamento de artigos do tipo relatos de caso e estudos epidemiológicos de intoxicações ocorridas com os três MIP estudados no presente artigo</w:t>
      </w:r>
      <w:r w:rsidRPr="00DA7E27">
        <w:rPr>
          <w:rFonts w:ascii="Times New Roman" w:hAnsi="Times New Roman" w:cs="Times New Roman"/>
          <w:sz w:val="24"/>
          <w:szCs w:val="24"/>
        </w:rPr>
        <w:t>.</w:t>
      </w:r>
    </w:p>
    <w:p w14:paraId="2F29032C" w14:textId="77777777" w:rsidR="003645E5" w:rsidRDefault="003645E5" w:rsidP="003645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C50BA3" w14:textId="1E4C2931" w:rsidR="003802A5" w:rsidRPr="007A7BB7" w:rsidRDefault="0039557E" w:rsidP="007A7BB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</w:t>
      </w:r>
      <w:r w:rsidR="003645E5">
        <w:rPr>
          <w:rFonts w:ascii="Times New Roman" w:hAnsi="Times New Roman" w:cs="Times New Roman"/>
          <w:b/>
          <w:bCs/>
          <w:sz w:val="24"/>
          <w:szCs w:val="24"/>
        </w:rPr>
        <w:t xml:space="preserve"> 1 – Artigos Publicados Relatos de Casos de Intoxicações com Paracetamol </w:t>
      </w:r>
      <w:r w:rsidR="003645E5" w:rsidRPr="007A7BB7">
        <w:rPr>
          <w:rFonts w:ascii="Times New Roman" w:hAnsi="Times New Roman" w:cs="Times New Roman"/>
          <w:b/>
          <w:bCs/>
          <w:sz w:val="24"/>
          <w:szCs w:val="24"/>
        </w:rPr>
        <w:t xml:space="preserve">no período </w:t>
      </w:r>
      <w:r w:rsidR="003645E5">
        <w:rPr>
          <w:rFonts w:ascii="Times New Roman" w:hAnsi="Times New Roman" w:cs="Times New Roman"/>
          <w:b/>
          <w:bCs/>
          <w:sz w:val="24"/>
          <w:szCs w:val="24"/>
        </w:rPr>
        <w:t>2014 a 2024.</w:t>
      </w:r>
    </w:p>
    <w:tbl>
      <w:tblPr>
        <w:tblStyle w:val="Tabelacomgrade"/>
        <w:tblpPr w:leftFromText="141" w:rightFromText="141" w:vertAnchor="text" w:horzAnchor="margin" w:tblpXSpec="center" w:tblpY="317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693"/>
        <w:gridCol w:w="2977"/>
        <w:gridCol w:w="1984"/>
      </w:tblGrid>
      <w:tr w:rsidR="00CB5EED" w14:paraId="6FEEEC0F" w14:textId="77777777" w:rsidTr="005D77E5">
        <w:tc>
          <w:tcPr>
            <w:tcW w:w="988" w:type="dxa"/>
          </w:tcPr>
          <w:p w14:paraId="4D4B2E13" w14:textId="77777777" w:rsidR="003802A5" w:rsidRPr="00DA326E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26E">
              <w:rPr>
                <w:rFonts w:ascii="Times New Roman" w:hAnsi="Times New Roman" w:cs="Times New Roman"/>
                <w:sz w:val="20"/>
                <w:szCs w:val="20"/>
              </w:rPr>
              <w:t xml:space="preserve">Tipo de </w:t>
            </w:r>
            <w:proofErr w:type="spellStart"/>
            <w:r w:rsidRPr="00DA326E">
              <w:rPr>
                <w:rFonts w:ascii="Times New Roman" w:hAnsi="Times New Roman" w:cs="Times New Roman"/>
                <w:sz w:val="20"/>
                <w:szCs w:val="20"/>
              </w:rPr>
              <w:t>Artigo</w:t>
            </w:r>
            <w:proofErr w:type="spellEnd"/>
          </w:p>
        </w:tc>
        <w:tc>
          <w:tcPr>
            <w:tcW w:w="1134" w:type="dxa"/>
          </w:tcPr>
          <w:p w14:paraId="58336990" w14:textId="77777777" w:rsidR="003802A5" w:rsidRPr="00DA326E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26E">
              <w:rPr>
                <w:rFonts w:ascii="Times New Roman" w:hAnsi="Times New Roman" w:cs="Times New Roman"/>
                <w:sz w:val="20"/>
                <w:szCs w:val="20"/>
              </w:rPr>
              <w:t>MIP</w:t>
            </w:r>
          </w:p>
        </w:tc>
        <w:tc>
          <w:tcPr>
            <w:tcW w:w="2693" w:type="dxa"/>
          </w:tcPr>
          <w:p w14:paraId="4765B146" w14:textId="77777777" w:rsidR="003802A5" w:rsidRPr="00DA326E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26E">
              <w:rPr>
                <w:rFonts w:ascii="Times New Roman" w:hAnsi="Times New Roman" w:cs="Times New Roman"/>
                <w:sz w:val="20"/>
                <w:szCs w:val="20"/>
              </w:rPr>
              <w:t>Principais</w:t>
            </w:r>
            <w:proofErr w:type="spellEnd"/>
            <w:r w:rsidRPr="00DA3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26E">
              <w:rPr>
                <w:rFonts w:ascii="Times New Roman" w:hAnsi="Times New Roman" w:cs="Times New Roman"/>
                <w:sz w:val="20"/>
                <w:szCs w:val="20"/>
              </w:rPr>
              <w:t>Achados</w:t>
            </w:r>
            <w:proofErr w:type="spellEnd"/>
          </w:p>
        </w:tc>
        <w:tc>
          <w:tcPr>
            <w:tcW w:w="2977" w:type="dxa"/>
          </w:tcPr>
          <w:p w14:paraId="234E9CDA" w14:textId="77777777" w:rsidR="003802A5" w:rsidRPr="00DA326E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26E">
              <w:rPr>
                <w:rFonts w:ascii="Times New Roman" w:hAnsi="Times New Roman" w:cs="Times New Roman"/>
                <w:sz w:val="20"/>
                <w:szCs w:val="20"/>
              </w:rPr>
              <w:t>Desfecho</w:t>
            </w:r>
            <w:proofErr w:type="spellEnd"/>
          </w:p>
        </w:tc>
        <w:tc>
          <w:tcPr>
            <w:tcW w:w="1984" w:type="dxa"/>
          </w:tcPr>
          <w:p w14:paraId="19E4298B" w14:textId="77777777" w:rsidR="003802A5" w:rsidRPr="00DA326E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26E">
              <w:rPr>
                <w:rFonts w:ascii="Times New Roman" w:hAnsi="Times New Roman" w:cs="Times New Roman"/>
                <w:sz w:val="20"/>
                <w:szCs w:val="20"/>
              </w:rPr>
              <w:t>Referência</w:t>
            </w:r>
            <w:proofErr w:type="spellEnd"/>
          </w:p>
        </w:tc>
      </w:tr>
      <w:tr w:rsidR="00CB5EED" w:rsidRPr="00075D38" w14:paraId="7397EC83" w14:textId="77777777" w:rsidTr="005D77E5">
        <w:tc>
          <w:tcPr>
            <w:tcW w:w="988" w:type="dxa"/>
          </w:tcPr>
          <w:p w14:paraId="06732DF3" w14:textId="0A6DF34A" w:rsidR="003802A5" w:rsidRPr="00075D38" w:rsidRDefault="00877C91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02A5" w:rsidRPr="00075D38">
              <w:rPr>
                <w:rFonts w:ascii="Times New Roman" w:hAnsi="Times New Roman" w:cs="Times New Roman"/>
                <w:sz w:val="20"/>
                <w:szCs w:val="20"/>
              </w:rPr>
              <w:t>-Relato de Caso</w:t>
            </w:r>
          </w:p>
        </w:tc>
        <w:tc>
          <w:tcPr>
            <w:tcW w:w="1134" w:type="dxa"/>
          </w:tcPr>
          <w:p w14:paraId="0BB67795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Paracetamol</w:t>
            </w:r>
          </w:p>
        </w:tc>
        <w:tc>
          <w:tcPr>
            <w:tcW w:w="2693" w:type="dxa"/>
          </w:tcPr>
          <w:p w14:paraId="72163A5C" w14:textId="3C6F7F55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Crianca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de, 26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admitida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com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sangramento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intestinal,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sinais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choque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discreta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hepatomegalia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coagulopatia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acidose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metabólica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(pH=7,21;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bicarbonato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: 7,1</w:t>
            </w:r>
            <w:r w:rsidR="005D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mEq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/L),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hipoglicemia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(18</w:t>
            </w:r>
            <w:r w:rsidR="005D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mg/dL),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aumento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das aminotransferases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séricas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(AST=4.039</w:t>
            </w:r>
            <w:r w:rsidR="005D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UI/L; ALT=1.087</w:t>
            </w:r>
            <w:r w:rsidR="005D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UI/L)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hiperbilirrubinemia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(total: 9,57</w:t>
            </w:r>
            <w:r w:rsidR="005D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mg/dL;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direta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: 6,18</w:t>
            </w:r>
            <w:r w:rsidR="005D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mg/dL),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após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uso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paracetamol via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oral (10</w:t>
            </w:r>
            <w:r w:rsidR="005D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mg/kg/dose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cada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quatro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horas) por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três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consecutivos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(dose total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redor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180mg/kg;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nível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sérico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36–48 horas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após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última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dose de 77</w:t>
            </w:r>
            <w:r w:rsidR="005D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µg/mL).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Além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 das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medidas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suporte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paciente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foi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tratado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com N-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acetilcisteína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infusão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intravenosa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contínua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por 11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consecutivos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77" w:type="dxa"/>
          </w:tcPr>
          <w:p w14:paraId="59C9D434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Paciente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recebeu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alta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após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internação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seguimento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mostrou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recuperação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clínica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dos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parâmetros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laboratoriais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função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hepática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EDEC79A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farmacocinética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farmacodinâmica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do paracetamol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neonatos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lactentes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jovens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menores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um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diferem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substancialmente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crianças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maiores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adultos</w:t>
            </w:r>
            <w:proofErr w:type="spellEnd"/>
          </w:p>
        </w:tc>
        <w:tc>
          <w:tcPr>
            <w:tcW w:w="1984" w:type="dxa"/>
          </w:tcPr>
          <w:p w14:paraId="339C2A53" w14:textId="2F7F807E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BUCARETCHI</w:t>
            </w:r>
            <w:r w:rsidR="00616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4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 al.</w:t>
            </w:r>
            <w:r w:rsidR="006164F6" w:rsidRPr="00075D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6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</w:p>
          <w:p w14:paraId="091081A8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EED" w:rsidRPr="00075D38" w14:paraId="2F76CCCF" w14:textId="77777777" w:rsidTr="005D77E5">
        <w:tc>
          <w:tcPr>
            <w:tcW w:w="988" w:type="dxa"/>
          </w:tcPr>
          <w:p w14:paraId="21B9E865" w14:textId="2641B367" w:rsidR="003802A5" w:rsidRPr="00075D38" w:rsidRDefault="00877C91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02A5" w:rsidRPr="00075D38">
              <w:rPr>
                <w:rFonts w:ascii="Times New Roman" w:hAnsi="Times New Roman" w:cs="Times New Roman"/>
                <w:sz w:val="20"/>
                <w:szCs w:val="20"/>
              </w:rPr>
              <w:t>-Relato de Caso</w:t>
            </w:r>
          </w:p>
        </w:tc>
        <w:tc>
          <w:tcPr>
            <w:tcW w:w="1134" w:type="dxa"/>
          </w:tcPr>
          <w:p w14:paraId="74152B94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Paracetamol</w:t>
            </w:r>
          </w:p>
        </w:tc>
        <w:tc>
          <w:tcPr>
            <w:tcW w:w="2693" w:type="dxa"/>
          </w:tcPr>
          <w:p w14:paraId="6B35B224" w14:textId="448FBED1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Adolescente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homem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treze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idade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que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ingeriu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comprimidos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paracetamol 750</w:t>
            </w:r>
            <w:r w:rsidR="005D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mg, (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totalizando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11,25</w:t>
            </w:r>
            <w:r w:rsidR="005D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g).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Medicação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desintoxicação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foi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prescrito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N-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acetilcisteína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06000625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Intoxicação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por paracetamol com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evolução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para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insuficiência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hepática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necessidade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transplante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hepático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fazer</w:t>
            </w:r>
            <w:proofErr w:type="spellEnd"/>
            <w:r w:rsidRPr="00075D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uso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diversos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medicamentos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imunossupressores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antibióticos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49F85EAE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DELEVANTTI, 2021</w:t>
            </w:r>
          </w:p>
          <w:p w14:paraId="58551D9D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EED" w:rsidRPr="00075D38" w14:paraId="74689EA5" w14:textId="77777777" w:rsidTr="005D77E5">
        <w:tc>
          <w:tcPr>
            <w:tcW w:w="988" w:type="dxa"/>
          </w:tcPr>
          <w:p w14:paraId="342C6DAA" w14:textId="3DCA92D7" w:rsidR="003802A5" w:rsidRPr="00075D38" w:rsidRDefault="00877C91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02A5"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-Estudo </w:t>
            </w:r>
            <w:proofErr w:type="spellStart"/>
            <w:r w:rsidR="003802A5" w:rsidRPr="00075D38">
              <w:rPr>
                <w:rFonts w:ascii="Times New Roman" w:hAnsi="Times New Roman" w:cs="Times New Roman"/>
                <w:sz w:val="20"/>
                <w:szCs w:val="20"/>
              </w:rPr>
              <w:t>Epidemiológico</w:t>
            </w:r>
            <w:proofErr w:type="spellEnd"/>
          </w:p>
        </w:tc>
        <w:tc>
          <w:tcPr>
            <w:tcW w:w="1134" w:type="dxa"/>
          </w:tcPr>
          <w:p w14:paraId="2777EF72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Paracetamol</w:t>
            </w:r>
          </w:p>
        </w:tc>
        <w:tc>
          <w:tcPr>
            <w:tcW w:w="2693" w:type="dxa"/>
          </w:tcPr>
          <w:p w14:paraId="3F29B657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Casos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intoxicação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atendidos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registrados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período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janeiro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dezembro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2019,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um hospital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estadual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terciário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especializado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urgências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Ocorrências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overdose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apresentadas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nas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urgências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hospitalares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superdosagem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desse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fármaco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pode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provocar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lesões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hepáticas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irreversíveis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podendo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levar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inclusive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óbito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E44FDD9" w14:textId="77777777" w:rsidR="003802A5" w:rsidRPr="00075D38" w:rsidRDefault="003802A5" w:rsidP="003802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Encontrados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55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casos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intoxicação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por paracetamol dentro deles 34,55% para 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65,45% para 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feminino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Observou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-se que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faixa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etária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predominante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foi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a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adultos-jovens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com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idade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entre 20-29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(27,27%),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seguido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pelo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grupo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etário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15-19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(23,63%), 18,18% dos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pacientes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que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estavam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com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idade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entre 30-39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crianças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1 a 4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(11,11%). Das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circunstâncias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que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levaram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intoxicação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foram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43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tentativas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autoextermínio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8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acidental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erros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2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automedicação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Sem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óbitos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CB4A4A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EDFEA1" w14:textId="77777777" w:rsidR="003802A5" w:rsidRPr="00075D38" w:rsidRDefault="003802A5" w:rsidP="003802A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FARIAS, 2021</w:t>
            </w:r>
          </w:p>
          <w:p w14:paraId="614E492B" w14:textId="77777777" w:rsidR="003802A5" w:rsidRPr="00075D38" w:rsidRDefault="003802A5" w:rsidP="003802A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EED" w:rsidRPr="00075D38" w14:paraId="10061986" w14:textId="77777777" w:rsidTr="005D77E5">
        <w:tc>
          <w:tcPr>
            <w:tcW w:w="988" w:type="dxa"/>
          </w:tcPr>
          <w:p w14:paraId="78E3E1EC" w14:textId="2A9C6835" w:rsidR="003802A5" w:rsidRPr="00075D38" w:rsidRDefault="00877C91" w:rsidP="003802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02A5"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-Estudo </w:t>
            </w:r>
            <w:proofErr w:type="spellStart"/>
            <w:r w:rsidR="003802A5" w:rsidRPr="00075D38">
              <w:rPr>
                <w:rFonts w:ascii="Times New Roman" w:hAnsi="Times New Roman" w:cs="Times New Roman"/>
                <w:sz w:val="20"/>
                <w:szCs w:val="20"/>
              </w:rPr>
              <w:t>Epidemiológico</w:t>
            </w:r>
            <w:proofErr w:type="spellEnd"/>
          </w:p>
          <w:p w14:paraId="595F152A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Relato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 Caso</w:t>
            </w:r>
          </w:p>
        </w:tc>
        <w:tc>
          <w:tcPr>
            <w:tcW w:w="1134" w:type="dxa"/>
          </w:tcPr>
          <w:p w14:paraId="2FBBE4F8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Paracetamol</w:t>
            </w:r>
          </w:p>
        </w:tc>
        <w:tc>
          <w:tcPr>
            <w:tcW w:w="2693" w:type="dxa"/>
          </w:tcPr>
          <w:p w14:paraId="564BC978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O Centro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Informação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Aconselhamento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sobre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Intoxicações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(CIAT)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recebe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anualmente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cerca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10.000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consultas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intoxicação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todo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país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2020,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foram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1844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atendimentos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por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intoxicação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adolescentes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entre 12 e 19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; 23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casos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corresponderam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intoxicação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por paracetamol,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todos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com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intenção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suicida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com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predomínio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  <w:proofErr w:type="spellEnd"/>
          </w:p>
          <w:p w14:paraId="347CF675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feminino</w:t>
            </w:r>
            <w:proofErr w:type="spellEnd"/>
            <w:r w:rsidRPr="00075D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acordo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com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escala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gravidade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Poison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Escore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gravidade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(PSS), 60% das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intoxicações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eram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leves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assintomáticos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enquanto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30%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considerados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moderados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graves por causa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efeito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hepatotóxico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07B5A1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CFB422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Paciente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feminino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11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idade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, de</w:t>
            </w:r>
          </w:p>
          <w:p w14:paraId="763E639A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Montevidéu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História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pessoal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tentative auto-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eliminação</w:t>
            </w:r>
            <w:proofErr w:type="spellEnd"/>
          </w:p>
          <w:p w14:paraId="527FF079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Foi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atendido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pelo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Pronto Socorro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Pediátrico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(DEP) do Hospital Pereira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Rossell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Após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internação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Intoxicação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teve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sua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estabelecidade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casos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sequelas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11393098" w14:textId="1D1B44E4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HERRERA</w:t>
            </w:r>
            <w:r w:rsidR="006164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</w:t>
            </w:r>
            <w:r w:rsidR="006164F6" w:rsidRPr="00075D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  <w:p w14:paraId="5A09FA81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EED" w:rsidRPr="00075D38" w14:paraId="26767466" w14:textId="77777777" w:rsidTr="005D77E5">
        <w:tc>
          <w:tcPr>
            <w:tcW w:w="988" w:type="dxa"/>
          </w:tcPr>
          <w:p w14:paraId="52BA8390" w14:textId="0D5011A7" w:rsidR="003802A5" w:rsidRPr="00075D38" w:rsidRDefault="00877C91" w:rsidP="003802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02A5" w:rsidRPr="00075D38">
              <w:rPr>
                <w:rFonts w:ascii="Times New Roman" w:hAnsi="Times New Roman" w:cs="Times New Roman"/>
                <w:sz w:val="20"/>
                <w:szCs w:val="20"/>
              </w:rPr>
              <w:t>-Relato de Caso</w:t>
            </w:r>
          </w:p>
        </w:tc>
        <w:tc>
          <w:tcPr>
            <w:tcW w:w="1134" w:type="dxa"/>
          </w:tcPr>
          <w:p w14:paraId="5855FBDC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Paracetamol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Ibuprofeno</w:t>
            </w:r>
            <w:proofErr w:type="spellEnd"/>
          </w:p>
        </w:tc>
        <w:tc>
          <w:tcPr>
            <w:tcW w:w="2693" w:type="dxa"/>
          </w:tcPr>
          <w:p w14:paraId="75AC0AE0" w14:textId="599840D3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Mulher de 18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após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ingestão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100</w:t>
            </w:r>
            <w:r w:rsidR="005D7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g de paracetamol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quantidades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desconhecidas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ibuprofeno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levada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pronto Socorro com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acidose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metabólica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com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pico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lactato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42A190D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Acetilcisteína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para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reverter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toxicidade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mitrocondrial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hemodiálise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para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correção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imediata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acidose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E0FF44B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Paciente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recebeu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alta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médica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apos 48 horas da entrada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pronto Socorro.</w:t>
            </w:r>
          </w:p>
        </w:tc>
        <w:tc>
          <w:tcPr>
            <w:tcW w:w="1984" w:type="dxa"/>
          </w:tcPr>
          <w:p w14:paraId="051BC2A8" w14:textId="52CDC456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GHANNOUM</w:t>
            </w:r>
            <w:r w:rsidR="006164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</w:t>
            </w:r>
            <w:r w:rsidR="006164F6" w:rsidRPr="00075D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2016  </w:t>
            </w:r>
          </w:p>
        </w:tc>
      </w:tr>
      <w:tr w:rsidR="00CB5EED" w:rsidRPr="00075D38" w14:paraId="7347C86C" w14:textId="77777777" w:rsidTr="005D77E5">
        <w:tc>
          <w:tcPr>
            <w:tcW w:w="988" w:type="dxa"/>
          </w:tcPr>
          <w:p w14:paraId="56EB761A" w14:textId="3AEF5E8E" w:rsidR="003802A5" w:rsidRPr="00075D38" w:rsidRDefault="00877C91" w:rsidP="003802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02A5"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-Estudo </w:t>
            </w:r>
            <w:proofErr w:type="spellStart"/>
            <w:r w:rsidR="003802A5" w:rsidRPr="00075D38">
              <w:rPr>
                <w:rFonts w:ascii="Times New Roman" w:hAnsi="Times New Roman" w:cs="Times New Roman"/>
                <w:sz w:val="20"/>
                <w:szCs w:val="20"/>
              </w:rPr>
              <w:t>Epidemiológico</w:t>
            </w:r>
            <w:proofErr w:type="spellEnd"/>
          </w:p>
          <w:p w14:paraId="221EB783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72DDEE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Paracetamol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Ibuprofeno</w:t>
            </w:r>
            <w:proofErr w:type="spellEnd"/>
          </w:p>
        </w:tc>
        <w:tc>
          <w:tcPr>
            <w:tcW w:w="2693" w:type="dxa"/>
          </w:tcPr>
          <w:p w14:paraId="44B8B5EC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Levantamento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dados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clínicos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coletados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dos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prontuários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pacientes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Crianças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que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acessaram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o Hospital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Infantil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Bambino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Gesù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Roma,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Itália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, entre 1º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janeiro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2018 a 30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setembro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2022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devido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ingestão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acidental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intencional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doses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inadequadas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paracetamol e/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ibuprofeno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Um total de 351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pacientes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foram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admitos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no hospital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sendo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maioria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desses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casos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foram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pacientes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intoxicados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com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ibuprofeno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paracetamol.</w:t>
            </w:r>
          </w:p>
          <w:p w14:paraId="7D27FCFE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reações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crianças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foram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natureza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gastrointestinal: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náuseas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vômitos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ambos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casos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foram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sintomas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mais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representativos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218973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</w:tcPr>
          <w:p w14:paraId="5BA2A6EA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mediana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idade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foi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3,0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anos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(IIQ 3,0).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maioria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dos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pacientes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era do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feminino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(57,8%). 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motivo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mais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comum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para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ingestão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inadequada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paracetamol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ibuprofeno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foi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uso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errado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(41,0%)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ingestão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acidental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(37,6. Sem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>óbitos</w:t>
            </w:r>
            <w:proofErr w:type="spellEnd"/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9EA4A50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1875F" w14:textId="77777777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233D14" w14:textId="45AD4F12" w:rsidR="003802A5" w:rsidRPr="00075D38" w:rsidRDefault="003802A5" w:rsidP="003802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75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MARANO</w:t>
            </w:r>
            <w:r w:rsidR="006164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</w:t>
            </w:r>
            <w:r w:rsidR="006164F6" w:rsidRPr="00075D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5D38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</w:tbl>
    <w:p w14:paraId="45D9A173" w14:textId="0FB45D15" w:rsidR="00981B7C" w:rsidRPr="003D3011" w:rsidRDefault="0039557E" w:rsidP="0052765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3D3011">
        <w:rPr>
          <w:rFonts w:ascii="Times New Roman" w:hAnsi="Times New Roman" w:cs="Times New Roman"/>
          <w:sz w:val="24"/>
          <w:szCs w:val="24"/>
        </w:rPr>
        <w:t xml:space="preserve">Fonte: Autores </w:t>
      </w:r>
    </w:p>
    <w:p w14:paraId="41B9CC9C" w14:textId="1BF9633B" w:rsidR="00CB5EED" w:rsidRDefault="009A6BEE" w:rsidP="00CB5EED">
      <w:pPr>
        <w:pStyle w:val="Corpodetexto"/>
        <w:spacing w:before="100" w:beforeAutospacing="1" w:line="360" w:lineRule="auto"/>
        <w:ind w:left="227" w:right="-57" w:firstLine="709"/>
        <w:jc w:val="both"/>
        <w:rPr>
          <w:rFonts w:ascii="Times New Roman" w:hAnsi="Times New Roman" w:cs="Times New Roman"/>
          <w:color w:val="001120"/>
          <w:w w:val="105"/>
          <w:lang w:val="pt-BR"/>
        </w:rPr>
      </w:pPr>
      <w:r w:rsidRPr="00D462B7">
        <w:rPr>
          <w:rFonts w:ascii="Times New Roman" w:hAnsi="Times New Roman" w:cs="Times New Roman"/>
          <w:color w:val="001120"/>
          <w:w w:val="105"/>
          <w:lang w:val="pt-BR"/>
        </w:rPr>
        <w:t>Silva</w:t>
      </w:r>
      <w:r w:rsidR="006164F6">
        <w:rPr>
          <w:rFonts w:ascii="Times New Roman" w:hAnsi="Times New Roman" w:cs="Times New Roman"/>
          <w:color w:val="001120"/>
          <w:w w:val="105"/>
          <w:lang w:val="pt-BR"/>
        </w:rPr>
        <w:t xml:space="preserve"> &amp; </w:t>
      </w:r>
      <w:proofErr w:type="spellStart"/>
      <w:r w:rsidR="006164F6">
        <w:rPr>
          <w:rFonts w:ascii="Times New Roman" w:hAnsi="Times New Roman" w:cs="Times New Roman"/>
          <w:color w:val="001120"/>
          <w:w w:val="105"/>
          <w:lang w:val="pt-BR"/>
        </w:rPr>
        <w:t>Quintilo</w:t>
      </w:r>
      <w:proofErr w:type="spellEnd"/>
      <w:r w:rsidRPr="00D462B7">
        <w:rPr>
          <w:rFonts w:ascii="Times New Roman" w:hAnsi="Times New Roman" w:cs="Times New Roman"/>
          <w:color w:val="001120"/>
          <w:w w:val="105"/>
          <w:lang w:val="pt-BR"/>
        </w:rPr>
        <w:t xml:space="preserve"> apresenta em seu estudo que pesquisas mostram que no Brasil os anti</w:t>
      </w:r>
      <w:r w:rsidR="00706F41" w:rsidRPr="0052765F">
        <w:rPr>
          <w:rFonts w:ascii="Times New Roman" w:hAnsi="Times New Roman" w:cs="Times New Roman"/>
          <w:color w:val="001120"/>
          <w:w w:val="105"/>
          <w:lang w:val="pt-BR"/>
        </w:rPr>
        <w:t>-</w:t>
      </w:r>
      <w:r w:rsidRPr="00D462B7">
        <w:rPr>
          <w:rFonts w:ascii="Times New Roman" w:hAnsi="Times New Roman" w:cs="Times New Roman"/>
          <w:color w:val="001120"/>
          <w:w w:val="105"/>
          <w:lang w:val="pt-BR"/>
        </w:rPr>
        <w:t>inflamatórios mais comercializados sem prescrição são</w:t>
      </w:r>
      <w:r w:rsidR="00525871" w:rsidRPr="00D462B7">
        <w:rPr>
          <w:rFonts w:ascii="Times New Roman" w:hAnsi="Times New Roman" w:cs="Times New Roman"/>
          <w:color w:val="001120"/>
          <w:w w:val="105"/>
          <w:lang w:val="pt-BR"/>
        </w:rPr>
        <w:t>:</w:t>
      </w:r>
      <w:r w:rsidRPr="00D462B7">
        <w:rPr>
          <w:rFonts w:ascii="Times New Roman" w:hAnsi="Times New Roman" w:cs="Times New Roman"/>
          <w:color w:val="001120"/>
          <w:w w:val="105"/>
          <w:lang w:val="pt-BR"/>
        </w:rPr>
        <w:t xml:space="preserve"> Ibuprofeno com 23% de escolha, seguido da Dipirona (22%) e </w:t>
      </w:r>
      <w:r w:rsidR="00525871" w:rsidRPr="00D462B7">
        <w:rPr>
          <w:rFonts w:ascii="Times New Roman" w:hAnsi="Times New Roman" w:cs="Times New Roman"/>
          <w:color w:val="001120"/>
          <w:w w:val="105"/>
          <w:lang w:val="pt-BR"/>
        </w:rPr>
        <w:t>p</w:t>
      </w:r>
      <w:r w:rsidRPr="00D462B7">
        <w:rPr>
          <w:rFonts w:ascii="Times New Roman" w:hAnsi="Times New Roman" w:cs="Times New Roman"/>
          <w:color w:val="001120"/>
          <w:w w:val="105"/>
          <w:lang w:val="pt-BR"/>
        </w:rPr>
        <w:t>o</w:t>
      </w:r>
      <w:r w:rsidR="00525871" w:rsidRPr="00D462B7">
        <w:rPr>
          <w:rFonts w:ascii="Times New Roman" w:hAnsi="Times New Roman" w:cs="Times New Roman"/>
          <w:color w:val="001120"/>
          <w:w w:val="105"/>
          <w:lang w:val="pt-BR"/>
        </w:rPr>
        <w:t>r</w:t>
      </w:r>
      <w:r w:rsidRPr="00D462B7">
        <w:rPr>
          <w:rFonts w:ascii="Times New Roman" w:hAnsi="Times New Roman" w:cs="Times New Roman"/>
          <w:color w:val="001120"/>
          <w:spacing w:val="1"/>
          <w:w w:val="105"/>
          <w:lang w:val="pt-BR"/>
        </w:rPr>
        <w:t xml:space="preserve"> </w:t>
      </w:r>
      <w:r w:rsidR="00525871" w:rsidRPr="00D462B7">
        <w:rPr>
          <w:rFonts w:ascii="Times New Roman" w:hAnsi="Times New Roman" w:cs="Times New Roman"/>
          <w:color w:val="001120"/>
          <w:spacing w:val="1"/>
          <w:w w:val="105"/>
          <w:lang w:val="pt-BR"/>
        </w:rPr>
        <w:t xml:space="preserve">último o </w:t>
      </w:r>
      <w:r w:rsidRPr="00D462B7">
        <w:rPr>
          <w:rFonts w:ascii="Times New Roman" w:hAnsi="Times New Roman" w:cs="Times New Roman"/>
          <w:color w:val="001120"/>
          <w:lang w:val="pt-BR"/>
        </w:rPr>
        <w:t>Paracetamol (5%).</w:t>
      </w:r>
      <w:r w:rsidRPr="00D462B7">
        <w:rPr>
          <w:rFonts w:ascii="Times New Roman" w:hAnsi="Times New Roman" w:cs="Times New Roman"/>
          <w:color w:val="001120"/>
          <w:w w:val="105"/>
          <w:lang w:val="pt-BR"/>
        </w:rPr>
        <w:t xml:space="preserve"> Pode-se ressaltar que a dipirona e o ibuprofeno são responsáveis por 45% da preferência do</w:t>
      </w:r>
      <w:r w:rsidRPr="00D462B7">
        <w:rPr>
          <w:rFonts w:ascii="Times New Roman" w:hAnsi="Times New Roman" w:cs="Times New Roman"/>
          <w:color w:val="001120"/>
          <w:spacing w:val="1"/>
          <w:w w:val="105"/>
          <w:lang w:val="pt-BR"/>
        </w:rPr>
        <w:t xml:space="preserve"> </w:t>
      </w:r>
      <w:r w:rsidRPr="00D462B7">
        <w:rPr>
          <w:rFonts w:ascii="Times New Roman" w:hAnsi="Times New Roman" w:cs="Times New Roman"/>
          <w:color w:val="001120"/>
          <w:w w:val="105"/>
          <w:lang w:val="pt-BR"/>
        </w:rPr>
        <w:t>consumidor dos analgésicos usados para automedicação, o que evidencia uma maior preocupação maior</w:t>
      </w:r>
      <w:r w:rsidRPr="00D462B7">
        <w:rPr>
          <w:rFonts w:ascii="Times New Roman" w:hAnsi="Times New Roman" w:cs="Times New Roman"/>
          <w:color w:val="001120"/>
          <w:spacing w:val="1"/>
          <w:w w:val="105"/>
          <w:lang w:val="pt-BR"/>
        </w:rPr>
        <w:t xml:space="preserve"> </w:t>
      </w:r>
      <w:r w:rsidRPr="00D462B7">
        <w:rPr>
          <w:rFonts w:ascii="Times New Roman" w:hAnsi="Times New Roman" w:cs="Times New Roman"/>
          <w:color w:val="001120"/>
          <w:w w:val="105"/>
          <w:lang w:val="pt-BR"/>
        </w:rPr>
        <w:t>sobre</w:t>
      </w:r>
      <w:r w:rsidRPr="00D462B7">
        <w:rPr>
          <w:rFonts w:ascii="Times New Roman" w:hAnsi="Times New Roman" w:cs="Times New Roman"/>
          <w:color w:val="001120"/>
          <w:spacing w:val="-15"/>
          <w:w w:val="105"/>
          <w:lang w:val="pt-BR"/>
        </w:rPr>
        <w:t xml:space="preserve"> </w:t>
      </w:r>
      <w:r w:rsidRPr="00D462B7">
        <w:rPr>
          <w:rFonts w:ascii="Times New Roman" w:hAnsi="Times New Roman" w:cs="Times New Roman"/>
          <w:color w:val="001120"/>
          <w:w w:val="105"/>
          <w:lang w:val="pt-BR"/>
        </w:rPr>
        <w:t>estes</w:t>
      </w:r>
      <w:r w:rsidRPr="00D462B7">
        <w:rPr>
          <w:rFonts w:ascii="Times New Roman" w:hAnsi="Times New Roman" w:cs="Times New Roman"/>
          <w:color w:val="001120"/>
          <w:spacing w:val="-14"/>
          <w:w w:val="105"/>
          <w:lang w:val="pt-BR"/>
        </w:rPr>
        <w:t xml:space="preserve"> </w:t>
      </w:r>
      <w:r w:rsidRPr="00D462B7">
        <w:rPr>
          <w:rFonts w:ascii="Times New Roman" w:hAnsi="Times New Roman" w:cs="Times New Roman"/>
          <w:color w:val="001120"/>
          <w:w w:val="105"/>
          <w:lang w:val="pt-BR"/>
        </w:rPr>
        <w:t>medicamentos</w:t>
      </w:r>
      <w:r w:rsidRPr="00D462B7">
        <w:rPr>
          <w:rFonts w:ascii="Times New Roman" w:hAnsi="Times New Roman" w:cs="Times New Roman"/>
          <w:color w:val="001120"/>
          <w:spacing w:val="-15"/>
          <w:w w:val="105"/>
          <w:lang w:val="pt-BR"/>
        </w:rPr>
        <w:t xml:space="preserve"> </w:t>
      </w:r>
      <w:r w:rsidRPr="00D462B7">
        <w:rPr>
          <w:rFonts w:ascii="Times New Roman" w:hAnsi="Times New Roman" w:cs="Times New Roman"/>
          <w:color w:val="001120"/>
          <w:w w:val="105"/>
          <w:lang w:val="pt-BR"/>
        </w:rPr>
        <w:t>(SILVA;</w:t>
      </w:r>
      <w:r w:rsidRPr="00D462B7">
        <w:rPr>
          <w:rFonts w:ascii="Times New Roman" w:hAnsi="Times New Roman" w:cs="Times New Roman"/>
          <w:color w:val="001120"/>
          <w:spacing w:val="-14"/>
          <w:w w:val="105"/>
          <w:lang w:val="pt-BR"/>
        </w:rPr>
        <w:t xml:space="preserve"> </w:t>
      </w:r>
      <w:r w:rsidRPr="00D462B7">
        <w:rPr>
          <w:rFonts w:ascii="Times New Roman" w:hAnsi="Times New Roman" w:cs="Times New Roman"/>
          <w:color w:val="001120"/>
          <w:w w:val="105"/>
          <w:lang w:val="pt-BR"/>
        </w:rPr>
        <w:t>QUINTILIO,</w:t>
      </w:r>
      <w:r w:rsidRPr="00D462B7">
        <w:rPr>
          <w:rFonts w:ascii="Times New Roman" w:hAnsi="Times New Roman" w:cs="Times New Roman"/>
          <w:color w:val="001120"/>
          <w:spacing w:val="-15"/>
          <w:w w:val="105"/>
          <w:lang w:val="pt-BR"/>
        </w:rPr>
        <w:t xml:space="preserve"> </w:t>
      </w:r>
      <w:r w:rsidRPr="00D462B7">
        <w:rPr>
          <w:rFonts w:ascii="Times New Roman" w:hAnsi="Times New Roman" w:cs="Times New Roman"/>
          <w:color w:val="001120"/>
          <w:w w:val="105"/>
          <w:lang w:val="pt-BR"/>
        </w:rPr>
        <w:t>2021).</w:t>
      </w:r>
    </w:p>
    <w:p w14:paraId="49270478" w14:textId="55D6CC10" w:rsidR="0047091B" w:rsidRPr="0052765F" w:rsidRDefault="00E860E3" w:rsidP="009E20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B7">
        <w:rPr>
          <w:rFonts w:ascii="Times New Roman" w:hAnsi="Times New Roman" w:cs="Times New Roman"/>
          <w:sz w:val="24"/>
          <w:szCs w:val="24"/>
        </w:rPr>
        <w:t xml:space="preserve">Com relação ao paracetamol, foram encontrados 2 estudos epidemiológicos e dois relatos de caso um deles é sobre um neonato admitido com sangramento intestinal, sinais de choque, discreta hepatomegalia, </w:t>
      </w:r>
      <w:proofErr w:type="spellStart"/>
      <w:r w:rsidRPr="00D462B7">
        <w:rPr>
          <w:rFonts w:ascii="Times New Roman" w:hAnsi="Times New Roman" w:cs="Times New Roman"/>
          <w:sz w:val="24"/>
          <w:szCs w:val="24"/>
        </w:rPr>
        <w:t>coagulopatia</w:t>
      </w:r>
      <w:proofErr w:type="spellEnd"/>
      <w:r w:rsidRPr="00D462B7">
        <w:rPr>
          <w:rFonts w:ascii="Times New Roman" w:hAnsi="Times New Roman" w:cs="Times New Roman"/>
          <w:sz w:val="24"/>
          <w:szCs w:val="24"/>
        </w:rPr>
        <w:t xml:space="preserve">, acidose metabólica, caso de hepatotoxicidade grave </w:t>
      </w:r>
      <w:r w:rsidRPr="00B61C26">
        <w:rPr>
          <w:rFonts w:ascii="Times New Roman" w:hAnsi="Times New Roman" w:cs="Times New Roman"/>
          <w:sz w:val="24"/>
          <w:szCs w:val="24"/>
        </w:rPr>
        <w:t>(BUCARETCHI, 2014)</w:t>
      </w:r>
      <w:r w:rsidR="005D0976" w:rsidRPr="00B61C26">
        <w:rPr>
          <w:rFonts w:ascii="Times New Roman" w:hAnsi="Times New Roman" w:cs="Times New Roman"/>
          <w:sz w:val="24"/>
          <w:szCs w:val="24"/>
        </w:rPr>
        <w:t>.</w:t>
      </w:r>
      <w:r w:rsidR="00B37A5B" w:rsidRPr="00B61C26">
        <w:rPr>
          <w:rFonts w:ascii="Times New Roman" w:hAnsi="Times New Roman" w:cs="Times New Roman"/>
          <w:sz w:val="24"/>
          <w:szCs w:val="24"/>
        </w:rPr>
        <w:t xml:space="preserve"> </w:t>
      </w:r>
      <w:r w:rsidR="00BF340C" w:rsidRPr="00B61C26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="009E20D0" w:rsidRPr="00B61C26">
        <w:rPr>
          <w:rFonts w:ascii="Times New Roman" w:hAnsi="Times New Roman" w:cs="Times New Roman"/>
          <w:sz w:val="24"/>
          <w:szCs w:val="24"/>
        </w:rPr>
        <w:t>Bucaretchi</w:t>
      </w:r>
      <w:proofErr w:type="spellEnd"/>
      <w:r w:rsidR="009E20D0" w:rsidRPr="00B61C26">
        <w:rPr>
          <w:rFonts w:ascii="Times New Roman" w:hAnsi="Times New Roman" w:cs="Times New Roman"/>
          <w:sz w:val="24"/>
          <w:szCs w:val="24"/>
        </w:rPr>
        <w:t>, (2014),</w:t>
      </w:r>
      <w:r w:rsidR="009E20D0" w:rsidRPr="00D462B7">
        <w:rPr>
          <w:rFonts w:ascii="Times New Roman" w:hAnsi="Times New Roman" w:cs="Times New Roman"/>
          <w:sz w:val="24"/>
          <w:szCs w:val="24"/>
        </w:rPr>
        <w:t xml:space="preserve"> </w:t>
      </w:r>
      <w:r w:rsidR="00B37A5B" w:rsidRPr="0052765F">
        <w:rPr>
          <w:rFonts w:ascii="Times New Roman" w:hAnsi="Times New Roman" w:cs="Times New Roman"/>
          <w:sz w:val="24"/>
          <w:szCs w:val="24"/>
        </w:rPr>
        <w:t>mesmo o</w:t>
      </w:r>
      <w:r w:rsidR="005D0976" w:rsidRPr="0052765F">
        <w:rPr>
          <w:rFonts w:ascii="Times New Roman" w:hAnsi="Times New Roman" w:cs="Times New Roman"/>
          <w:sz w:val="24"/>
          <w:szCs w:val="24"/>
        </w:rPr>
        <w:t xml:space="preserve"> paracetamol (N-acetil-p-</w:t>
      </w:r>
      <w:proofErr w:type="spellStart"/>
      <w:r w:rsidR="005D0976" w:rsidRPr="0052765F">
        <w:rPr>
          <w:rFonts w:ascii="Times New Roman" w:hAnsi="Times New Roman" w:cs="Times New Roman"/>
          <w:sz w:val="24"/>
          <w:szCs w:val="24"/>
        </w:rPr>
        <w:t>aminofenol</w:t>
      </w:r>
      <w:proofErr w:type="spellEnd"/>
      <w:r w:rsidR="005D0976" w:rsidRPr="0052765F">
        <w:rPr>
          <w:rFonts w:ascii="Times New Roman" w:hAnsi="Times New Roman" w:cs="Times New Roman"/>
          <w:sz w:val="24"/>
          <w:szCs w:val="24"/>
        </w:rPr>
        <w:t xml:space="preserve">) </w:t>
      </w:r>
      <w:r w:rsidR="00B37A5B" w:rsidRPr="0052765F">
        <w:rPr>
          <w:rFonts w:ascii="Times New Roman" w:hAnsi="Times New Roman" w:cs="Times New Roman"/>
          <w:sz w:val="24"/>
          <w:szCs w:val="24"/>
        </w:rPr>
        <w:t>se</w:t>
      </w:r>
      <w:r w:rsidR="00BF340C" w:rsidRPr="0052765F">
        <w:rPr>
          <w:rFonts w:ascii="Times New Roman" w:hAnsi="Times New Roman" w:cs="Times New Roman"/>
          <w:sz w:val="24"/>
          <w:szCs w:val="24"/>
        </w:rPr>
        <w:t>ndo</w:t>
      </w:r>
      <w:r w:rsidR="00B37A5B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5D0976" w:rsidRPr="0052765F">
        <w:rPr>
          <w:rFonts w:ascii="Times New Roman" w:hAnsi="Times New Roman" w:cs="Times New Roman"/>
          <w:sz w:val="24"/>
          <w:szCs w:val="24"/>
        </w:rPr>
        <w:t>um analgésico e antipirético amplamente utilizado em crianças, s</w:t>
      </w:r>
      <w:r w:rsidR="00BF340C" w:rsidRPr="0052765F">
        <w:rPr>
          <w:rFonts w:ascii="Times New Roman" w:hAnsi="Times New Roman" w:cs="Times New Roman"/>
          <w:sz w:val="24"/>
          <w:szCs w:val="24"/>
        </w:rPr>
        <w:t>ão</w:t>
      </w:r>
      <w:r w:rsidR="005D0976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B37A5B" w:rsidRPr="0052765F">
        <w:rPr>
          <w:rFonts w:ascii="Times New Roman" w:hAnsi="Times New Roman" w:cs="Times New Roman"/>
          <w:sz w:val="24"/>
          <w:szCs w:val="24"/>
        </w:rPr>
        <w:t>pouquíssimas</w:t>
      </w:r>
      <w:r w:rsidR="005D0976" w:rsidRPr="0052765F">
        <w:rPr>
          <w:rFonts w:ascii="Times New Roman" w:hAnsi="Times New Roman" w:cs="Times New Roman"/>
          <w:sz w:val="24"/>
          <w:szCs w:val="24"/>
        </w:rPr>
        <w:t xml:space="preserve"> as exposições tóxicas em neonatos</w:t>
      </w:r>
      <w:r w:rsidR="00B37A5B" w:rsidRPr="0052765F">
        <w:rPr>
          <w:rFonts w:ascii="Times New Roman" w:hAnsi="Times New Roman" w:cs="Times New Roman"/>
          <w:sz w:val="24"/>
          <w:szCs w:val="24"/>
        </w:rPr>
        <w:t xml:space="preserve"> relatadas </w:t>
      </w:r>
      <w:r w:rsidR="00BF340C" w:rsidRPr="0052765F">
        <w:rPr>
          <w:rFonts w:ascii="Times New Roman" w:hAnsi="Times New Roman" w:cs="Times New Roman"/>
          <w:sz w:val="24"/>
          <w:szCs w:val="24"/>
        </w:rPr>
        <w:t>n</w:t>
      </w:r>
      <w:r w:rsidR="00B37A5B" w:rsidRPr="0052765F">
        <w:rPr>
          <w:rFonts w:ascii="Times New Roman" w:hAnsi="Times New Roman" w:cs="Times New Roman"/>
          <w:sz w:val="24"/>
          <w:szCs w:val="24"/>
        </w:rPr>
        <w:t>a literatura.</w:t>
      </w:r>
      <w:r w:rsidR="005D0976" w:rsidRPr="0052765F">
        <w:rPr>
          <w:rFonts w:ascii="Times New Roman" w:hAnsi="Times New Roman" w:cs="Times New Roman"/>
          <w:sz w:val="24"/>
          <w:szCs w:val="24"/>
        </w:rPr>
        <w:t xml:space="preserve"> As exposições tóxicas podem ocorrer por via transplacentária, decorrentes de ingestões intencionais de overdoses de paracetamol por mães </w:t>
      </w:r>
      <w:r w:rsidR="00B37A5B" w:rsidRPr="0052765F">
        <w:rPr>
          <w:rFonts w:ascii="Times New Roman" w:hAnsi="Times New Roman" w:cs="Times New Roman"/>
          <w:sz w:val="24"/>
          <w:szCs w:val="24"/>
        </w:rPr>
        <w:t xml:space="preserve">durante </w:t>
      </w:r>
      <w:r w:rsidR="005D0976" w:rsidRPr="0052765F">
        <w:rPr>
          <w:rFonts w:ascii="Times New Roman" w:hAnsi="Times New Roman" w:cs="Times New Roman"/>
          <w:sz w:val="24"/>
          <w:szCs w:val="24"/>
        </w:rPr>
        <w:t>as 24 horas que precedem o parto</w:t>
      </w:r>
      <w:r w:rsidR="00B37A5B" w:rsidRPr="0052765F">
        <w:rPr>
          <w:rFonts w:ascii="Times New Roman" w:hAnsi="Times New Roman" w:cs="Times New Roman"/>
          <w:sz w:val="24"/>
          <w:szCs w:val="24"/>
        </w:rPr>
        <w:t xml:space="preserve">, ou por </w:t>
      </w:r>
      <w:r w:rsidR="005D0976" w:rsidRPr="0052765F">
        <w:rPr>
          <w:rFonts w:ascii="Times New Roman" w:hAnsi="Times New Roman" w:cs="Times New Roman"/>
          <w:sz w:val="24"/>
          <w:szCs w:val="24"/>
        </w:rPr>
        <w:t>erros de dosagem isolada oral</w:t>
      </w:r>
      <w:r w:rsidR="00B37A5B" w:rsidRPr="0052765F">
        <w:rPr>
          <w:rFonts w:ascii="Times New Roman" w:hAnsi="Times New Roman" w:cs="Times New Roman"/>
          <w:sz w:val="24"/>
          <w:szCs w:val="24"/>
        </w:rPr>
        <w:t>.</w:t>
      </w:r>
      <w:r w:rsidR="005D0976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B37A5B" w:rsidRPr="0052765F">
        <w:rPr>
          <w:rFonts w:ascii="Times New Roman" w:hAnsi="Times New Roman" w:cs="Times New Roman"/>
          <w:sz w:val="24"/>
          <w:szCs w:val="24"/>
        </w:rPr>
        <w:t>E</w:t>
      </w:r>
      <w:r w:rsidR="005D0976" w:rsidRPr="0052765F">
        <w:rPr>
          <w:rFonts w:ascii="Times New Roman" w:hAnsi="Times New Roman" w:cs="Times New Roman"/>
          <w:sz w:val="24"/>
          <w:szCs w:val="24"/>
        </w:rPr>
        <w:t>m geral, na ordem de dez vezes a dose terapêutica</w:t>
      </w:r>
      <w:r w:rsidR="00B37A5B" w:rsidRPr="0052765F">
        <w:rPr>
          <w:rFonts w:ascii="Times New Roman" w:hAnsi="Times New Roman" w:cs="Times New Roman"/>
          <w:sz w:val="24"/>
          <w:szCs w:val="24"/>
        </w:rPr>
        <w:t>, - a dose preconizada em neonatologia é de 10 a 15 mg.kg</w:t>
      </w:r>
      <w:r w:rsidR="00B37A5B" w:rsidRPr="0052765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7091B" w:rsidRPr="0052765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37A5B" w:rsidRPr="0052765F">
        <w:rPr>
          <w:rFonts w:ascii="Times New Roman" w:hAnsi="Times New Roman" w:cs="Times New Roman"/>
          <w:sz w:val="24"/>
          <w:szCs w:val="24"/>
        </w:rPr>
        <w:t>(</w:t>
      </w:r>
      <w:r w:rsidR="00221C0D" w:rsidRPr="0052765F">
        <w:rPr>
          <w:rFonts w:ascii="Times New Roman" w:hAnsi="Times New Roman" w:cs="Times New Roman"/>
          <w:sz w:val="24"/>
          <w:szCs w:val="24"/>
        </w:rPr>
        <w:t xml:space="preserve">SILVA, 2007). </w:t>
      </w:r>
    </w:p>
    <w:p w14:paraId="2F42AB51" w14:textId="43585499" w:rsidR="00BC2AD6" w:rsidRDefault="00BE46B6" w:rsidP="00CB5E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</w:t>
      </w:r>
      <w:r w:rsidR="0047091B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BC2AD6">
        <w:rPr>
          <w:rFonts w:ascii="Times New Roman" w:hAnsi="Times New Roman" w:cs="Times New Roman"/>
          <w:sz w:val="24"/>
          <w:szCs w:val="24"/>
        </w:rPr>
        <w:t xml:space="preserve">outro </w:t>
      </w:r>
      <w:r w:rsidR="0047091B" w:rsidRPr="0052765F">
        <w:rPr>
          <w:rFonts w:ascii="Times New Roman" w:hAnsi="Times New Roman" w:cs="Times New Roman"/>
          <w:sz w:val="24"/>
          <w:szCs w:val="24"/>
        </w:rPr>
        <w:t xml:space="preserve">relato </w:t>
      </w:r>
      <w:r w:rsidR="00BC2AD6">
        <w:rPr>
          <w:rFonts w:ascii="Times New Roman" w:hAnsi="Times New Roman" w:cs="Times New Roman"/>
          <w:sz w:val="24"/>
          <w:szCs w:val="24"/>
        </w:rPr>
        <w:t xml:space="preserve">de caso </w:t>
      </w:r>
      <w:r w:rsidR="000F459B" w:rsidRPr="0052765F">
        <w:rPr>
          <w:rFonts w:ascii="Times New Roman" w:hAnsi="Times New Roman" w:cs="Times New Roman"/>
          <w:sz w:val="24"/>
          <w:szCs w:val="24"/>
        </w:rPr>
        <w:t>um m</w:t>
      </w:r>
      <w:r w:rsidR="00FF28DC" w:rsidRPr="0052765F">
        <w:rPr>
          <w:rFonts w:ascii="Times New Roman" w:hAnsi="Times New Roman" w:cs="Times New Roman"/>
          <w:sz w:val="24"/>
          <w:szCs w:val="24"/>
        </w:rPr>
        <w:t>enino com 26 dias de vida, pesando 3125</w:t>
      </w:r>
      <w:r w:rsidR="00B61C26">
        <w:rPr>
          <w:rFonts w:ascii="Times New Roman" w:hAnsi="Times New Roman" w:cs="Times New Roman"/>
          <w:sz w:val="24"/>
          <w:szCs w:val="24"/>
        </w:rPr>
        <w:t xml:space="preserve"> </w:t>
      </w:r>
      <w:r w:rsidR="00FF28DC" w:rsidRPr="0052765F">
        <w:rPr>
          <w:rFonts w:ascii="Times New Roman" w:hAnsi="Times New Roman" w:cs="Times New Roman"/>
          <w:sz w:val="24"/>
          <w:szCs w:val="24"/>
        </w:rPr>
        <w:t xml:space="preserve">g, encaminhado </w:t>
      </w:r>
      <w:r w:rsidR="0004715A" w:rsidRPr="0052765F">
        <w:rPr>
          <w:rFonts w:ascii="Times New Roman" w:hAnsi="Times New Roman" w:cs="Times New Roman"/>
          <w:sz w:val="24"/>
          <w:szCs w:val="24"/>
        </w:rPr>
        <w:t xml:space="preserve">para </w:t>
      </w:r>
      <w:r w:rsidR="00FF28DC" w:rsidRPr="0052765F">
        <w:rPr>
          <w:rFonts w:ascii="Times New Roman" w:hAnsi="Times New Roman" w:cs="Times New Roman"/>
          <w:sz w:val="24"/>
          <w:szCs w:val="24"/>
        </w:rPr>
        <w:t>unidade de emergência local, recusa alimentar h</w:t>
      </w:r>
      <w:r w:rsidR="0047091B" w:rsidRPr="0052765F">
        <w:rPr>
          <w:rFonts w:ascii="Times New Roman" w:hAnsi="Times New Roman" w:cs="Times New Roman"/>
          <w:sz w:val="24"/>
          <w:szCs w:val="24"/>
        </w:rPr>
        <w:t>á</w:t>
      </w:r>
      <w:r w:rsidR="00FF28DC" w:rsidRPr="0052765F">
        <w:rPr>
          <w:rFonts w:ascii="Times New Roman" w:hAnsi="Times New Roman" w:cs="Times New Roman"/>
          <w:sz w:val="24"/>
          <w:szCs w:val="24"/>
        </w:rPr>
        <w:t xml:space="preserve"> quatro dias, </w:t>
      </w:r>
      <w:r w:rsidR="0004715A" w:rsidRPr="0052765F">
        <w:rPr>
          <w:rFonts w:ascii="Times New Roman" w:hAnsi="Times New Roman" w:cs="Times New Roman"/>
          <w:sz w:val="24"/>
          <w:szCs w:val="24"/>
        </w:rPr>
        <w:t xml:space="preserve">apresentando </w:t>
      </w:r>
      <w:r w:rsidR="00FF28DC" w:rsidRPr="0052765F">
        <w:rPr>
          <w:rFonts w:ascii="Times New Roman" w:hAnsi="Times New Roman" w:cs="Times New Roman"/>
          <w:sz w:val="24"/>
          <w:szCs w:val="24"/>
        </w:rPr>
        <w:t xml:space="preserve">vômitos frequentes, distensão abdominal e desconforto respiratório leve. A mãe, de 38 anos, apresentava </w:t>
      </w:r>
      <w:r w:rsidR="00FF28DC" w:rsidRPr="0052765F">
        <w:rPr>
          <w:rFonts w:ascii="Times New Roman" w:hAnsi="Times New Roman" w:cs="Times New Roman"/>
          <w:sz w:val="24"/>
          <w:szCs w:val="24"/>
        </w:rPr>
        <w:lastRenderedPageBreak/>
        <w:t xml:space="preserve">antecedente de dez gestações (duas cesáreas), reclusão em penitenciária desde o quinto mês de gestação e antecedente de perda de guarda dos nove filhos vivos por negligência associada à dependência química (crack). </w:t>
      </w:r>
      <w:r w:rsidR="0004715A" w:rsidRPr="0052765F">
        <w:rPr>
          <w:rFonts w:ascii="Times New Roman" w:hAnsi="Times New Roman" w:cs="Times New Roman"/>
          <w:sz w:val="24"/>
          <w:szCs w:val="24"/>
        </w:rPr>
        <w:t>A</w:t>
      </w:r>
      <w:r w:rsidR="00FF28DC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47091B" w:rsidRPr="0052765F">
        <w:rPr>
          <w:rFonts w:ascii="Times New Roman" w:hAnsi="Times New Roman" w:cs="Times New Roman"/>
          <w:sz w:val="24"/>
          <w:szCs w:val="24"/>
        </w:rPr>
        <w:t>criança,</w:t>
      </w:r>
      <w:r w:rsidR="00FF28DC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47091B" w:rsidRPr="0052765F">
        <w:rPr>
          <w:rFonts w:ascii="Times New Roman" w:hAnsi="Times New Roman" w:cs="Times New Roman"/>
          <w:sz w:val="24"/>
          <w:szCs w:val="24"/>
        </w:rPr>
        <w:t xml:space="preserve">mas a </w:t>
      </w:r>
      <w:r w:rsidR="00FF28DC" w:rsidRPr="0052765F">
        <w:rPr>
          <w:rFonts w:ascii="Times New Roman" w:hAnsi="Times New Roman" w:cs="Times New Roman"/>
          <w:sz w:val="24"/>
          <w:szCs w:val="24"/>
        </w:rPr>
        <w:t>m</w:t>
      </w:r>
      <w:r w:rsidR="0047091B" w:rsidRPr="0052765F">
        <w:rPr>
          <w:rFonts w:ascii="Times New Roman" w:hAnsi="Times New Roman" w:cs="Times New Roman"/>
          <w:sz w:val="24"/>
          <w:szCs w:val="24"/>
        </w:rPr>
        <w:t>ãe</w:t>
      </w:r>
      <w:r w:rsidR="00FF28DC" w:rsidRPr="0052765F">
        <w:rPr>
          <w:rFonts w:ascii="Times New Roman" w:hAnsi="Times New Roman" w:cs="Times New Roman"/>
          <w:sz w:val="24"/>
          <w:szCs w:val="24"/>
        </w:rPr>
        <w:t xml:space="preserve"> em um alojamento no presídio. A mãe </w:t>
      </w:r>
      <w:r w:rsidR="0004715A" w:rsidRPr="0052765F">
        <w:rPr>
          <w:rFonts w:ascii="Times New Roman" w:hAnsi="Times New Roman" w:cs="Times New Roman"/>
          <w:sz w:val="24"/>
          <w:szCs w:val="24"/>
        </w:rPr>
        <w:t>informou que</w:t>
      </w:r>
      <w:r w:rsidR="00FF28DC" w:rsidRPr="0052765F">
        <w:rPr>
          <w:rFonts w:ascii="Times New Roman" w:hAnsi="Times New Roman" w:cs="Times New Roman"/>
          <w:sz w:val="24"/>
          <w:szCs w:val="24"/>
        </w:rPr>
        <w:t xml:space="preserve"> administro</w:t>
      </w:r>
      <w:r w:rsidR="0004715A" w:rsidRPr="0052765F">
        <w:rPr>
          <w:rFonts w:ascii="Times New Roman" w:hAnsi="Times New Roman" w:cs="Times New Roman"/>
          <w:sz w:val="24"/>
          <w:szCs w:val="24"/>
        </w:rPr>
        <w:t>u</w:t>
      </w:r>
      <w:r w:rsidR="00FF28DC" w:rsidRPr="0052765F">
        <w:rPr>
          <w:rFonts w:ascii="Times New Roman" w:hAnsi="Times New Roman" w:cs="Times New Roman"/>
          <w:sz w:val="24"/>
          <w:szCs w:val="24"/>
        </w:rPr>
        <w:t xml:space="preserve"> paracetamol por via oral (10</w:t>
      </w:r>
      <w:r w:rsidR="00B61C26">
        <w:rPr>
          <w:rFonts w:ascii="Times New Roman" w:hAnsi="Times New Roman" w:cs="Times New Roman"/>
          <w:sz w:val="24"/>
          <w:szCs w:val="24"/>
        </w:rPr>
        <w:t xml:space="preserve"> </w:t>
      </w:r>
      <w:r w:rsidR="00FF28DC" w:rsidRPr="0052765F">
        <w:rPr>
          <w:rFonts w:ascii="Times New Roman" w:hAnsi="Times New Roman" w:cs="Times New Roman"/>
          <w:sz w:val="24"/>
          <w:szCs w:val="24"/>
        </w:rPr>
        <w:t>mg/kg/dose a cada quatro horas por três dias consecutivos — dose total aproximada de 180</w:t>
      </w:r>
      <w:r w:rsidR="00B61C26">
        <w:rPr>
          <w:rFonts w:ascii="Times New Roman" w:hAnsi="Times New Roman" w:cs="Times New Roman"/>
          <w:sz w:val="24"/>
          <w:szCs w:val="24"/>
        </w:rPr>
        <w:t xml:space="preserve"> </w:t>
      </w:r>
      <w:r w:rsidR="00FF28DC" w:rsidRPr="0052765F">
        <w:rPr>
          <w:rFonts w:ascii="Times New Roman" w:hAnsi="Times New Roman" w:cs="Times New Roman"/>
          <w:sz w:val="24"/>
          <w:szCs w:val="24"/>
        </w:rPr>
        <w:t>mg/kg, seguindo antiga prescrição médica para outro filho)</w:t>
      </w:r>
      <w:r w:rsidR="0004715A" w:rsidRPr="0052765F">
        <w:rPr>
          <w:rFonts w:ascii="Times New Roman" w:hAnsi="Times New Roman" w:cs="Times New Roman"/>
          <w:sz w:val="24"/>
          <w:szCs w:val="24"/>
        </w:rPr>
        <w:t>, e que</w:t>
      </w:r>
      <w:r w:rsidR="00FF28DC" w:rsidRPr="0052765F">
        <w:rPr>
          <w:rFonts w:ascii="Times New Roman" w:hAnsi="Times New Roman" w:cs="Times New Roman"/>
          <w:sz w:val="24"/>
          <w:szCs w:val="24"/>
        </w:rPr>
        <w:t xml:space="preserve"> também </w:t>
      </w:r>
      <w:r w:rsidR="0004715A" w:rsidRPr="0052765F">
        <w:rPr>
          <w:rFonts w:ascii="Times New Roman" w:hAnsi="Times New Roman" w:cs="Times New Roman"/>
          <w:sz w:val="24"/>
          <w:szCs w:val="24"/>
        </w:rPr>
        <w:t xml:space="preserve">fez </w:t>
      </w:r>
      <w:r w:rsidR="00FF28DC" w:rsidRPr="0052765F">
        <w:rPr>
          <w:rFonts w:ascii="Times New Roman" w:hAnsi="Times New Roman" w:cs="Times New Roman"/>
          <w:sz w:val="24"/>
          <w:szCs w:val="24"/>
        </w:rPr>
        <w:t>o uso concomitante de paracetamol durante cinco dias para alívio de odontalgia (doses e frequência de uso não obtidas).</w:t>
      </w:r>
      <w:r w:rsidR="00FA280A" w:rsidRPr="0052765F">
        <w:rPr>
          <w:rFonts w:ascii="Times New Roman" w:hAnsi="Times New Roman" w:cs="Times New Roman"/>
          <w:sz w:val="24"/>
          <w:szCs w:val="24"/>
        </w:rPr>
        <w:t xml:space="preserve"> Criança foi intoxicada mediante a conduta da mãe</w:t>
      </w:r>
      <w:r w:rsidR="00BC2AD6">
        <w:rPr>
          <w:rFonts w:ascii="Times New Roman" w:hAnsi="Times New Roman" w:cs="Times New Roman"/>
          <w:sz w:val="24"/>
          <w:szCs w:val="24"/>
        </w:rPr>
        <w:t xml:space="preserve"> </w:t>
      </w:r>
      <w:r w:rsidR="00BC2AD6" w:rsidRPr="00B61C26">
        <w:rPr>
          <w:rFonts w:ascii="Times New Roman" w:hAnsi="Times New Roman" w:cs="Times New Roman"/>
          <w:sz w:val="24"/>
          <w:szCs w:val="24"/>
        </w:rPr>
        <w:t>(DELEVANTTI, 2021).</w:t>
      </w:r>
      <w:r w:rsidR="00692750" w:rsidRPr="00527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8B911" w14:textId="263736EB" w:rsidR="00E860E3" w:rsidRPr="0052765F" w:rsidRDefault="00765CBD" w:rsidP="00CB5E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65F">
        <w:rPr>
          <w:rFonts w:ascii="Times New Roman" w:hAnsi="Times New Roman" w:cs="Times New Roman"/>
          <w:sz w:val="24"/>
          <w:szCs w:val="24"/>
        </w:rPr>
        <w:t xml:space="preserve">Os autores </w:t>
      </w:r>
      <w:r w:rsidR="00FF28DC" w:rsidRPr="0052765F">
        <w:rPr>
          <w:rFonts w:ascii="Times New Roman" w:hAnsi="Times New Roman" w:cs="Times New Roman"/>
          <w:sz w:val="24"/>
          <w:szCs w:val="24"/>
        </w:rPr>
        <w:t>Penna</w:t>
      </w:r>
      <w:r w:rsidR="00CB5EED">
        <w:rPr>
          <w:rFonts w:ascii="Times New Roman" w:hAnsi="Times New Roman" w:cs="Times New Roman"/>
          <w:sz w:val="24"/>
          <w:szCs w:val="24"/>
        </w:rPr>
        <w:t xml:space="preserve"> </w:t>
      </w:r>
      <w:r w:rsidR="00FF28DC" w:rsidRPr="0052765F">
        <w:rPr>
          <w:rFonts w:ascii="Times New Roman" w:hAnsi="Times New Roman" w:cs="Times New Roman"/>
          <w:sz w:val="24"/>
          <w:szCs w:val="24"/>
        </w:rPr>
        <w:t xml:space="preserve">e Buchanan descreveram, em </w:t>
      </w:r>
      <w:r w:rsidRPr="0052765F">
        <w:rPr>
          <w:rFonts w:ascii="Times New Roman" w:hAnsi="Times New Roman" w:cs="Times New Roman"/>
          <w:sz w:val="24"/>
          <w:szCs w:val="24"/>
        </w:rPr>
        <w:t xml:space="preserve">seu trabalho de </w:t>
      </w:r>
      <w:r w:rsidR="00FF28DC" w:rsidRPr="0052765F">
        <w:rPr>
          <w:rFonts w:ascii="Times New Roman" w:hAnsi="Times New Roman" w:cs="Times New Roman"/>
          <w:sz w:val="24"/>
          <w:szCs w:val="24"/>
        </w:rPr>
        <w:t>revisão, os casos de dois lactentes jovens, de seis e sete semanas de vida, que também desenvolveram hepatotoxicidade grave após ingerirem doses repetidas de paracetamol (aproximadamente 100</w:t>
      </w:r>
      <w:r w:rsidR="00B61C26">
        <w:rPr>
          <w:rFonts w:ascii="Times New Roman" w:hAnsi="Times New Roman" w:cs="Times New Roman"/>
          <w:sz w:val="24"/>
          <w:szCs w:val="24"/>
        </w:rPr>
        <w:t xml:space="preserve"> </w:t>
      </w:r>
      <w:r w:rsidR="00FF28DC" w:rsidRPr="0052765F">
        <w:rPr>
          <w:rFonts w:ascii="Times New Roman" w:hAnsi="Times New Roman" w:cs="Times New Roman"/>
          <w:sz w:val="24"/>
          <w:szCs w:val="24"/>
        </w:rPr>
        <w:t>mg/kg/dia/dois dias e 60</w:t>
      </w:r>
      <w:r w:rsidR="00B61C26">
        <w:rPr>
          <w:rFonts w:ascii="Times New Roman" w:hAnsi="Times New Roman" w:cs="Times New Roman"/>
          <w:sz w:val="24"/>
          <w:szCs w:val="24"/>
        </w:rPr>
        <w:t xml:space="preserve"> </w:t>
      </w:r>
      <w:r w:rsidR="00FF28DC" w:rsidRPr="0052765F">
        <w:rPr>
          <w:rFonts w:ascii="Times New Roman" w:hAnsi="Times New Roman" w:cs="Times New Roman"/>
          <w:sz w:val="24"/>
          <w:szCs w:val="24"/>
        </w:rPr>
        <w:t>mg/kg/dia/seis dias, respectivamente)</w:t>
      </w:r>
      <w:r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Pr="00B61C26">
        <w:rPr>
          <w:rFonts w:ascii="Times New Roman" w:hAnsi="Times New Roman" w:cs="Times New Roman"/>
          <w:sz w:val="24"/>
          <w:szCs w:val="24"/>
        </w:rPr>
        <w:t>(PENNA, BUCHANAN, 1991).</w:t>
      </w:r>
      <w:r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BC0F3C" w:rsidRPr="0052765F">
        <w:rPr>
          <w:rFonts w:ascii="Times New Roman" w:hAnsi="Times New Roman" w:cs="Times New Roman"/>
          <w:sz w:val="24"/>
          <w:szCs w:val="24"/>
        </w:rPr>
        <w:t>Em ambos os artigos, é</w:t>
      </w:r>
      <w:r w:rsidR="00FF28DC" w:rsidRPr="0052765F">
        <w:rPr>
          <w:rFonts w:ascii="Times New Roman" w:hAnsi="Times New Roman" w:cs="Times New Roman"/>
          <w:sz w:val="24"/>
          <w:szCs w:val="24"/>
        </w:rPr>
        <w:t xml:space="preserve"> possível </w:t>
      </w:r>
      <w:r w:rsidRPr="0052765F">
        <w:rPr>
          <w:rFonts w:ascii="Times New Roman" w:hAnsi="Times New Roman" w:cs="Times New Roman"/>
          <w:sz w:val="24"/>
          <w:szCs w:val="24"/>
        </w:rPr>
        <w:t xml:space="preserve">observar </w:t>
      </w:r>
      <w:r w:rsidR="00FF28DC" w:rsidRPr="0052765F">
        <w:rPr>
          <w:rFonts w:ascii="Times New Roman" w:hAnsi="Times New Roman" w:cs="Times New Roman"/>
          <w:sz w:val="24"/>
          <w:szCs w:val="24"/>
        </w:rPr>
        <w:t>que o uso contínuo de paracetamol pode ocasionar hepatotoxicidade grave em neonatos. A posologia específica para neonatos de termo e prematuros deve ser seguida, evitando-se o uso contínuo por mais de dois a três dias</w:t>
      </w:r>
      <w:r w:rsidRPr="0052765F">
        <w:rPr>
          <w:rFonts w:ascii="Times New Roman" w:hAnsi="Times New Roman" w:cs="Times New Roman"/>
          <w:sz w:val="24"/>
          <w:szCs w:val="24"/>
        </w:rPr>
        <w:t xml:space="preserve"> consecutivos.</w:t>
      </w:r>
      <w:r w:rsidR="00B74BB9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160ED1" w:rsidRPr="0052765F">
        <w:rPr>
          <w:rFonts w:ascii="Times New Roman" w:hAnsi="Times New Roman" w:cs="Times New Roman"/>
          <w:sz w:val="24"/>
          <w:szCs w:val="24"/>
        </w:rPr>
        <w:t>O</w:t>
      </w:r>
      <w:r w:rsidR="00E860E3" w:rsidRPr="0052765F">
        <w:rPr>
          <w:rFonts w:ascii="Times New Roman" w:hAnsi="Times New Roman" w:cs="Times New Roman"/>
          <w:sz w:val="24"/>
          <w:szCs w:val="24"/>
        </w:rPr>
        <w:t xml:space="preserve"> outro de um</w:t>
      </w:r>
      <w:r w:rsidR="00160ED1" w:rsidRPr="0052765F">
        <w:rPr>
          <w:rFonts w:ascii="Times New Roman" w:hAnsi="Times New Roman" w:cs="Times New Roman"/>
          <w:sz w:val="24"/>
          <w:szCs w:val="24"/>
        </w:rPr>
        <w:t>a</w:t>
      </w:r>
      <w:r w:rsidR="00E860E3" w:rsidRPr="0052765F">
        <w:rPr>
          <w:rFonts w:ascii="Times New Roman" w:hAnsi="Times New Roman" w:cs="Times New Roman"/>
          <w:sz w:val="24"/>
          <w:szCs w:val="24"/>
        </w:rPr>
        <w:t xml:space="preserve"> adolescente de treze anos de idade, culminando em insuficiência hepática e necessidade de transplante hepático</w:t>
      </w:r>
      <w:r w:rsidR="00160ED1" w:rsidRPr="0052765F">
        <w:rPr>
          <w:rFonts w:ascii="Times New Roman" w:hAnsi="Times New Roman" w:cs="Times New Roman"/>
          <w:sz w:val="24"/>
          <w:szCs w:val="24"/>
        </w:rPr>
        <w:t>. A adolescente de treze anos de idade, que ingeriu 15 comprimidos de paracetamol 750</w:t>
      </w:r>
      <w:r w:rsidR="00B61C26">
        <w:rPr>
          <w:rFonts w:ascii="Times New Roman" w:hAnsi="Times New Roman" w:cs="Times New Roman"/>
          <w:sz w:val="24"/>
          <w:szCs w:val="24"/>
        </w:rPr>
        <w:t xml:space="preserve"> </w:t>
      </w:r>
      <w:r w:rsidR="00160ED1" w:rsidRPr="0052765F">
        <w:rPr>
          <w:rFonts w:ascii="Times New Roman" w:hAnsi="Times New Roman" w:cs="Times New Roman"/>
          <w:sz w:val="24"/>
          <w:szCs w:val="24"/>
        </w:rPr>
        <w:t xml:space="preserve">mg, com intenção suicida. A paciente foi atendida pela unidade de saúde do município que residia, Rio Grande/RS, sendo transferida posteriormente para </w:t>
      </w:r>
      <w:r w:rsidR="006104A3" w:rsidRPr="0052765F">
        <w:rPr>
          <w:rFonts w:ascii="Times New Roman" w:hAnsi="Times New Roman" w:cs="Times New Roman"/>
          <w:sz w:val="24"/>
          <w:szCs w:val="24"/>
        </w:rPr>
        <w:t>o</w:t>
      </w:r>
      <w:r w:rsidR="00160ED1" w:rsidRPr="0052765F">
        <w:rPr>
          <w:rFonts w:ascii="Times New Roman" w:hAnsi="Times New Roman" w:cs="Times New Roman"/>
          <w:sz w:val="24"/>
          <w:szCs w:val="24"/>
        </w:rPr>
        <w:t xml:space="preserve"> Hospital de Clínicas de Porto Alegre, onde realizou o transplante, teve boa aceitação do enxerto e começou a fazer uso de diversos medicamentos, como imunossupressores e antibióticos. A paciente </w:t>
      </w:r>
      <w:r w:rsidR="006104A3" w:rsidRPr="0052765F">
        <w:rPr>
          <w:rFonts w:ascii="Times New Roman" w:hAnsi="Times New Roman" w:cs="Times New Roman"/>
          <w:sz w:val="24"/>
          <w:szCs w:val="24"/>
        </w:rPr>
        <w:t>s</w:t>
      </w:r>
      <w:r w:rsidR="00160ED1" w:rsidRPr="0052765F">
        <w:rPr>
          <w:rFonts w:ascii="Times New Roman" w:hAnsi="Times New Roman" w:cs="Times New Roman"/>
          <w:sz w:val="24"/>
          <w:szCs w:val="24"/>
        </w:rPr>
        <w:t xml:space="preserve">ofreu com perda paterna por assassinato quando tinha seis anos de idade, ficando em um estado melancólico e depressivo. </w:t>
      </w:r>
      <w:r w:rsidR="006104A3" w:rsidRPr="0052765F">
        <w:rPr>
          <w:rFonts w:ascii="Times New Roman" w:hAnsi="Times New Roman" w:cs="Times New Roman"/>
          <w:sz w:val="24"/>
          <w:szCs w:val="24"/>
        </w:rPr>
        <w:t xml:space="preserve">Com </w:t>
      </w:r>
      <w:r w:rsidR="00160ED1" w:rsidRPr="0052765F">
        <w:rPr>
          <w:rFonts w:ascii="Times New Roman" w:hAnsi="Times New Roman" w:cs="Times New Roman"/>
          <w:sz w:val="24"/>
          <w:szCs w:val="24"/>
        </w:rPr>
        <w:t>piora no desempenho escolar a ponto de não querer mais frequentar a escola. Também apresentava indícios de automutilação como cortes em braços e pernas. A mãe informou que não sabia lidar com a situação e por vezes sentia-se irritada com o momento vivido. Com essas atitudes o vínculo com a filha se tornou conturbado, dificultando o manejo com a adolescente</w:t>
      </w:r>
      <w:r w:rsidR="006104A3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E860E3" w:rsidRPr="00B61C26">
        <w:rPr>
          <w:rFonts w:ascii="Times New Roman" w:hAnsi="Times New Roman" w:cs="Times New Roman"/>
          <w:sz w:val="24"/>
          <w:szCs w:val="24"/>
        </w:rPr>
        <w:t xml:space="preserve">(DELEVANTTI, 2021). </w:t>
      </w:r>
    </w:p>
    <w:p w14:paraId="6741B427" w14:textId="77777777" w:rsidR="001A76F3" w:rsidRDefault="00E860E3" w:rsidP="00AB29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2B7">
        <w:rPr>
          <w:rFonts w:ascii="Times New Roman" w:hAnsi="Times New Roman" w:cs="Times New Roman"/>
          <w:sz w:val="24"/>
          <w:szCs w:val="24"/>
        </w:rPr>
        <w:t xml:space="preserve">Sobre os estudos epidemiológicos que relatam casos de intoxicação com paracetamol, o primeiro descreve que no ano de 2019, em um hospital especializado em urgências, foram atendidos 55 casos de intoxicação com paracetamol, 34,55% para o sexo masculino e 65,45% para o sexo feminino (FARIAS, 2021). </w:t>
      </w:r>
      <w:r w:rsidRPr="001A0E1E">
        <w:rPr>
          <w:rFonts w:ascii="Times New Roman" w:hAnsi="Times New Roman" w:cs="Times New Roman"/>
          <w:sz w:val="24"/>
          <w:szCs w:val="24"/>
        </w:rPr>
        <w:t xml:space="preserve">O segundo estudo epidemiológico traz dados do ano 2020, no qual foram atendidos 23 casos de intoxicação por paracetamol em </w:t>
      </w:r>
      <w:r w:rsidRPr="0052765F">
        <w:rPr>
          <w:rFonts w:ascii="Times New Roman" w:hAnsi="Times New Roman" w:cs="Times New Roman"/>
          <w:sz w:val="24"/>
          <w:szCs w:val="24"/>
        </w:rPr>
        <w:t xml:space="preserve">adolescentes com </w:t>
      </w:r>
      <w:r w:rsidRPr="0052765F">
        <w:rPr>
          <w:rFonts w:ascii="Times New Roman" w:hAnsi="Times New Roman" w:cs="Times New Roman"/>
          <w:sz w:val="24"/>
          <w:szCs w:val="24"/>
        </w:rPr>
        <w:lastRenderedPageBreak/>
        <w:t>intenção suicida</w:t>
      </w:r>
      <w:r w:rsidRPr="00D462B7">
        <w:rPr>
          <w:rFonts w:ascii="Times New Roman" w:hAnsi="Times New Roman" w:cs="Times New Roman"/>
          <w:sz w:val="24"/>
          <w:szCs w:val="24"/>
        </w:rPr>
        <w:t xml:space="preserve">, com </w:t>
      </w:r>
      <w:r w:rsidRPr="0052765F">
        <w:rPr>
          <w:rFonts w:ascii="Times New Roman" w:hAnsi="Times New Roman" w:cs="Times New Roman"/>
          <w:sz w:val="24"/>
          <w:szCs w:val="24"/>
        </w:rPr>
        <w:t xml:space="preserve">predomínio no sexo feminino </w:t>
      </w:r>
      <w:r w:rsidRPr="00D462B7">
        <w:rPr>
          <w:rFonts w:ascii="Times New Roman" w:hAnsi="Times New Roman" w:cs="Times New Roman"/>
          <w:sz w:val="24"/>
          <w:szCs w:val="24"/>
        </w:rPr>
        <w:t xml:space="preserve">e que após internação receberam alta médica </w:t>
      </w:r>
      <w:r w:rsidRPr="00B61C26">
        <w:rPr>
          <w:rFonts w:ascii="Times New Roman" w:hAnsi="Times New Roman" w:cs="Times New Roman"/>
          <w:sz w:val="24"/>
          <w:szCs w:val="24"/>
        </w:rPr>
        <w:t>(HERRERA, 2023).</w:t>
      </w:r>
      <w:r w:rsidRPr="00D46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077ED" w14:textId="77777777" w:rsidR="001A76F3" w:rsidRPr="00D462B7" w:rsidRDefault="00E860E3" w:rsidP="001A76F3">
      <w:pPr>
        <w:spacing w:line="360" w:lineRule="auto"/>
        <w:ind w:firstLine="708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2765F">
        <w:rPr>
          <w:rFonts w:ascii="Times New Roman" w:hAnsi="Times New Roman" w:cs="Times New Roman"/>
          <w:sz w:val="24"/>
          <w:szCs w:val="24"/>
        </w:rPr>
        <w:t xml:space="preserve">Um terceiro estudo epidemiológico analisado, mostra dados de intoxicação com paracetamol e ibuprofeno, no Hospital Infantil Bambino </w:t>
      </w:r>
      <w:proofErr w:type="spellStart"/>
      <w:r w:rsidRPr="0052765F">
        <w:rPr>
          <w:rFonts w:ascii="Times New Roman" w:hAnsi="Times New Roman" w:cs="Times New Roman"/>
          <w:sz w:val="24"/>
          <w:szCs w:val="24"/>
        </w:rPr>
        <w:t>Gesú</w:t>
      </w:r>
      <w:proofErr w:type="spellEnd"/>
      <w:r w:rsidRPr="0052765F">
        <w:rPr>
          <w:rFonts w:ascii="Times New Roman" w:hAnsi="Times New Roman" w:cs="Times New Roman"/>
          <w:sz w:val="24"/>
          <w:szCs w:val="24"/>
        </w:rPr>
        <w:t xml:space="preserve">, em Roma, Itália, entre 1º de janeiro de 2018 a 30 de setembro de 2022 um total de 351 pacientes. </w:t>
      </w:r>
      <w:r w:rsidR="0073181B" w:rsidRPr="0052765F">
        <w:rPr>
          <w:rFonts w:ascii="Times New Roman" w:hAnsi="Times New Roman" w:cs="Times New Roman"/>
          <w:sz w:val="24"/>
          <w:szCs w:val="24"/>
        </w:rPr>
        <w:t xml:space="preserve">Cujo a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mediana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de idade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foi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de 3,0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anos.</w:t>
      </w:r>
      <w:r w:rsidR="00BE1EFC" w:rsidRPr="0052765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3181B" w:rsidRPr="0052765F">
        <w:rPr>
          <w:rFonts w:ascii="Times New Roman" w:hAnsi="Times New Roman" w:cs="Times New Roman"/>
          <w:spacing w:val="-2"/>
          <w:w w:val="110"/>
          <w:sz w:val="24"/>
          <w:szCs w:val="24"/>
        </w:rPr>
        <w:t>Com a</w:t>
      </w:r>
      <w:r w:rsidR="0073181B" w:rsidRPr="0052765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maior parte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dos pacientes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era</w:t>
      </w:r>
      <w:r w:rsidR="0073181B" w:rsidRPr="0052765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do sexo feminino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 xml:space="preserve">(57,8%). </w:t>
      </w:r>
      <w:r w:rsidR="0073181B" w:rsidRPr="0052765F">
        <w:rPr>
          <w:rFonts w:ascii="Times New Roman" w:hAnsi="Times New Roman" w:cs="Times New Roman"/>
          <w:w w:val="110"/>
          <w:sz w:val="24"/>
          <w:szCs w:val="24"/>
        </w:rPr>
        <w:t>Com o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 xml:space="preserve"> motivo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mais comum para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a ingestão oral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inadequada de paracetamol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ou ibuprofeno foi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o uso errado</w:t>
      </w:r>
      <w:r w:rsidR="00B16C71" w:rsidRPr="0052765F">
        <w:rPr>
          <w:rFonts w:ascii="Times New Roman" w:hAnsi="Times New Roman" w:cs="Times New Roman"/>
          <w:w w:val="110"/>
          <w:sz w:val="24"/>
          <w:szCs w:val="24"/>
        </w:rPr>
        <w:t xml:space="preserve"> com (41,0%)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ou ingestão acidental</w:t>
      </w:r>
      <w:r w:rsidR="00B16C71" w:rsidRPr="0052765F">
        <w:rPr>
          <w:rFonts w:ascii="Times New Roman" w:hAnsi="Times New Roman" w:cs="Times New Roman"/>
          <w:w w:val="110"/>
          <w:sz w:val="24"/>
          <w:szCs w:val="24"/>
        </w:rPr>
        <w:t xml:space="preserve"> sendo </w:t>
      </w:r>
      <w:r w:rsidR="00B16C71" w:rsidRPr="0052765F">
        <w:rPr>
          <w:rFonts w:ascii="Times New Roman" w:hAnsi="Times New Roman" w:cs="Times New Roman"/>
          <w:sz w:val="24"/>
          <w:szCs w:val="24"/>
        </w:rPr>
        <w:t xml:space="preserve">(37,6%), totalizando </w:t>
      </w:r>
      <w:r w:rsidR="00774329" w:rsidRPr="0052765F">
        <w:rPr>
          <w:rFonts w:ascii="Times New Roman" w:hAnsi="Times New Roman" w:cs="Times New Roman"/>
          <w:sz w:val="24"/>
          <w:szCs w:val="24"/>
        </w:rPr>
        <w:t xml:space="preserve">assim </w:t>
      </w:r>
      <w:r w:rsidR="00774329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>(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78,6%)</w:t>
      </w:r>
      <w:r w:rsidR="00B16C71" w:rsidRPr="0052765F">
        <w:rPr>
          <w:rFonts w:ascii="Times New Roman" w:hAnsi="Times New Roman" w:cs="Times New Roman"/>
          <w:w w:val="110"/>
          <w:sz w:val="24"/>
          <w:szCs w:val="24"/>
        </w:rPr>
        <w:t xml:space="preserve"> dos casos de intoxicações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 xml:space="preserve">, com </w:t>
      </w:r>
      <w:r w:rsidR="00B16C71" w:rsidRPr="0052765F">
        <w:rPr>
          <w:rFonts w:ascii="Times New Roman" w:hAnsi="Times New Roman" w:cs="Times New Roman"/>
          <w:w w:val="110"/>
          <w:sz w:val="24"/>
          <w:szCs w:val="24"/>
        </w:rPr>
        <w:t xml:space="preserve">cerca de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um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quinto dos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pacientes tomando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o medicamento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com intenção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110"/>
          <w:sz w:val="24"/>
          <w:szCs w:val="24"/>
        </w:rPr>
        <w:t>suicida (21,1%).</w:t>
      </w:r>
      <w:r w:rsidR="00BE1EF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3181B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>Os AINE</w:t>
      </w:r>
      <w:r w:rsidR="00A5768B">
        <w:rPr>
          <w:rFonts w:ascii="Times New Roman" w:hAnsi="Times New Roman" w:cs="Times New Roman"/>
          <w:spacing w:val="1"/>
          <w:w w:val="110"/>
          <w:sz w:val="24"/>
          <w:szCs w:val="24"/>
        </w:rPr>
        <w:t>S</w:t>
      </w:r>
      <w:r w:rsidR="0073181B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são a terceira principal causa de</w:t>
      </w:r>
      <w:r w:rsidR="00BE1EFC" w:rsidRPr="005276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exposição</w:t>
      </w:r>
      <w:r w:rsidR="00BE1EFC" w:rsidRPr="005276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em</w:t>
      </w:r>
      <w:r w:rsidR="00BE1EFC" w:rsidRPr="0052765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crianças</w:t>
      </w:r>
      <w:r w:rsidR="00BE1EFC" w:rsidRPr="005276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73181B" w:rsidRPr="0052765F">
        <w:rPr>
          <w:rFonts w:ascii="Times New Roman" w:hAnsi="Times New Roman" w:cs="Times New Roman"/>
          <w:spacing w:val="6"/>
          <w:w w:val="95"/>
          <w:sz w:val="24"/>
          <w:szCs w:val="24"/>
        </w:rPr>
        <w:t>após</w:t>
      </w:r>
      <w:r w:rsidR="00BE1EFC" w:rsidRPr="0052765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="0073181B" w:rsidRPr="0052765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a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pandemia</w:t>
      </w:r>
      <w:r w:rsidR="00BE1EFC" w:rsidRPr="005276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de</w:t>
      </w:r>
      <w:r w:rsidR="00BE1EFC" w:rsidRPr="0052765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síndrome</w:t>
      </w:r>
      <w:r w:rsidR="00BE1EFC" w:rsidRPr="005276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respiratória</w:t>
      </w:r>
      <w:r w:rsidR="00BE1EFC" w:rsidRPr="0052765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aguda</w:t>
      </w:r>
      <w:r w:rsidR="00BE1EFC" w:rsidRPr="0052765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pacing w:val="-1"/>
          <w:sz w:val="24"/>
          <w:szCs w:val="24"/>
        </w:rPr>
        <w:t>grave</w:t>
      </w:r>
      <w:r w:rsidR="00BE1EFC" w:rsidRPr="00527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pacing w:val="-1"/>
          <w:sz w:val="24"/>
          <w:szCs w:val="24"/>
        </w:rPr>
        <w:t>por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pacing w:val="-1"/>
          <w:sz w:val="24"/>
          <w:szCs w:val="24"/>
        </w:rPr>
        <w:t>coronavírus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pacing w:val="-1"/>
          <w:sz w:val="24"/>
          <w:szCs w:val="24"/>
        </w:rPr>
        <w:t>(SARS-CoV-2)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em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2020,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associada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181B" w:rsidRPr="0052765F">
        <w:rPr>
          <w:rFonts w:ascii="Times New Roman" w:hAnsi="Times New Roman" w:cs="Times New Roman"/>
          <w:spacing w:val="-3"/>
          <w:sz w:val="24"/>
          <w:szCs w:val="24"/>
        </w:rPr>
        <w:t>ao alívio dos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sintomas</w:t>
      </w:r>
      <w:r w:rsidR="00BE1EFC" w:rsidRPr="005276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como</w:t>
      </w:r>
      <w:r w:rsidR="00BE1EFC" w:rsidRPr="00527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febre,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tosse,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dores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no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corpo,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dor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de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cabeça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e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dor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de</w:t>
      </w:r>
      <w:r w:rsidR="00BE1EFC" w:rsidRPr="00527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garganta</w:t>
      </w:r>
      <w:r w:rsidR="0073181B" w:rsidRPr="0052765F">
        <w:rPr>
          <w:rFonts w:ascii="Times New Roman" w:hAnsi="Times New Roman" w:cs="Times New Roman"/>
          <w:sz w:val="24"/>
          <w:szCs w:val="24"/>
        </w:rPr>
        <w:t>. Os motivos principais de causas de intoxicações</w:t>
      </w:r>
      <w:r w:rsidR="00B16C71" w:rsidRPr="0052765F">
        <w:rPr>
          <w:rFonts w:ascii="Times New Roman" w:hAnsi="Times New Roman" w:cs="Times New Roman"/>
          <w:sz w:val="24"/>
          <w:szCs w:val="24"/>
        </w:rPr>
        <w:t>:</w:t>
      </w:r>
      <w:r w:rsidR="00BE1EFC" w:rsidRPr="0052765F">
        <w:rPr>
          <w:rFonts w:ascii="Times New Roman" w:hAnsi="Times New Roman" w:cs="Times New Roman"/>
          <w:sz w:val="24"/>
          <w:szCs w:val="24"/>
        </w:rPr>
        <w:t xml:space="preserve"> uso indevido por cuidadores, ingestão acidental e ação</w:t>
      </w:r>
      <w:r w:rsidR="00BE1EFC" w:rsidRPr="005276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intencional. Os anti</w:t>
      </w:r>
      <w:r w:rsidR="00A56FCC" w:rsidRPr="0052765F">
        <w:rPr>
          <w:rFonts w:ascii="Times New Roman" w:hAnsi="Times New Roman" w:cs="Times New Roman"/>
          <w:sz w:val="24"/>
          <w:szCs w:val="24"/>
        </w:rPr>
        <w:t>-</w:t>
      </w:r>
      <w:r w:rsidR="00BE1EFC" w:rsidRPr="0052765F">
        <w:rPr>
          <w:rFonts w:ascii="Times New Roman" w:hAnsi="Times New Roman" w:cs="Times New Roman"/>
          <w:sz w:val="24"/>
          <w:szCs w:val="24"/>
        </w:rPr>
        <w:t>inflamatórios mais utilizados são o ibuprofeno e o</w:t>
      </w:r>
      <w:r w:rsidR="00BE1EFC" w:rsidRPr="005276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paracetamol, cujo perfil de segurança torna seu uso generalizado até</w:t>
      </w:r>
      <w:r w:rsidR="00BE1EFC" w:rsidRPr="005276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mesmo</w:t>
      </w:r>
      <w:r w:rsidR="00BE1EFC" w:rsidRPr="005276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em</w:t>
      </w:r>
      <w:r w:rsidR="00BE1EFC" w:rsidRPr="005276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ambientes</w:t>
      </w:r>
      <w:r w:rsidR="00BE1EFC" w:rsidRPr="0052765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w w:val="95"/>
          <w:sz w:val="24"/>
          <w:szCs w:val="24"/>
        </w:rPr>
        <w:t>pediátricos</w:t>
      </w:r>
      <w:r w:rsidR="00B16C71" w:rsidRPr="0052765F">
        <w:rPr>
          <w:rFonts w:ascii="Times New Roman" w:hAnsi="Times New Roman" w:cs="Times New Roman"/>
          <w:w w:val="95"/>
          <w:sz w:val="24"/>
          <w:szCs w:val="24"/>
        </w:rPr>
        <w:t xml:space="preserve">. </w:t>
      </w:r>
      <w:r w:rsidR="00BE1EFC" w:rsidRPr="0052765F">
        <w:rPr>
          <w:rFonts w:ascii="Times New Roman" w:hAnsi="Times New Roman" w:cs="Times New Roman"/>
          <w:sz w:val="24"/>
          <w:szCs w:val="24"/>
        </w:rPr>
        <w:t>No</w:t>
      </w:r>
      <w:r w:rsidR="00BE1EFC" w:rsidRPr="00527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entanto, tanto o paracetamol quanto o ibuprofeno apresentam efeitos</w:t>
      </w:r>
      <w:r w:rsidR="00BE1EFC" w:rsidRPr="005276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colaterais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proporcionais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à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dose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conhecidos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e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potencialmente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graves,</w:t>
      </w:r>
      <w:r w:rsidR="00B16C71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pacing w:val="-1"/>
          <w:sz w:val="24"/>
          <w:szCs w:val="24"/>
        </w:rPr>
        <w:t>especialmente</w:t>
      </w:r>
      <w:r w:rsidR="00BE1EFC" w:rsidRPr="00527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pacing w:val="-1"/>
          <w:sz w:val="24"/>
          <w:szCs w:val="24"/>
        </w:rPr>
        <w:t>em</w:t>
      </w:r>
      <w:r w:rsidR="00BE1EFC" w:rsidRPr="00527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pacing w:val="-1"/>
          <w:sz w:val="24"/>
          <w:szCs w:val="24"/>
        </w:rPr>
        <w:t>caso</w:t>
      </w:r>
      <w:r w:rsidR="00BE1EFC" w:rsidRPr="00527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BE1EFC" w:rsidRPr="00527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pacing w:val="-1"/>
          <w:sz w:val="24"/>
          <w:szCs w:val="24"/>
        </w:rPr>
        <w:t>uso</w:t>
      </w:r>
      <w:r w:rsidR="00BE1EFC" w:rsidRPr="00527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1EFC" w:rsidRPr="0052765F">
        <w:rPr>
          <w:rFonts w:ascii="Times New Roman" w:hAnsi="Times New Roman" w:cs="Times New Roman"/>
          <w:sz w:val="24"/>
          <w:szCs w:val="24"/>
        </w:rPr>
        <w:t>inadequado. A maioria das crianças tomou paracetamol (65,5%), principalmente por ingestão (88,0) e em casa (97,4%). A hospitalização foi necessária para 107 pacientes (30,5%): 62 foram internados em um serviço pediátrico padrão e 43 necessitaram apenas de observação breve e intensiva</w:t>
      </w:r>
      <w:r w:rsidR="001A76F3">
        <w:rPr>
          <w:rFonts w:ascii="Times New Roman" w:hAnsi="Times New Roman" w:cs="Times New Roman"/>
          <w:sz w:val="24"/>
          <w:szCs w:val="24"/>
        </w:rPr>
        <w:t xml:space="preserve"> </w:t>
      </w:r>
      <w:r w:rsidR="001A76F3" w:rsidRPr="00B61C26">
        <w:rPr>
          <w:rFonts w:ascii="Times New Roman" w:hAnsi="Times New Roman" w:cs="Times New Roman"/>
          <w:w w:val="110"/>
          <w:sz w:val="24"/>
          <w:szCs w:val="24"/>
        </w:rPr>
        <w:t>(MARANO, 2023).</w:t>
      </w:r>
    </w:p>
    <w:p w14:paraId="556A7227" w14:textId="5EA925F7" w:rsidR="00AB29AC" w:rsidRPr="00D462B7" w:rsidRDefault="00B16C71" w:rsidP="00AB29AC">
      <w:pPr>
        <w:spacing w:line="360" w:lineRule="auto"/>
        <w:ind w:firstLine="708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2765F">
        <w:rPr>
          <w:rFonts w:ascii="Times New Roman" w:hAnsi="Times New Roman" w:cs="Times New Roman"/>
          <w:sz w:val="24"/>
          <w:szCs w:val="24"/>
        </w:rPr>
        <w:t xml:space="preserve">O </w:t>
      </w:r>
      <w:r w:rsidR="00EC4399" w:rsidRPr="0052765F">
        <w:rPr>
          <w:rFonts w:ascii="Times New Roman" w:hAnsi="Times New Roman" w:cs="Times New Roman"/>
          <w:sz w:val="24"/>
          <w:szCs w:val="24"/>
        </w:rPr>
        <w:t>centro é um dos principais centros italianos de controle de intoxicações e o único dedicado exclusivamente a crianças.</w:t>
      </w:r>
      <w:r w:rsidRPr="0052765F">
        <w:rPr>
          <w:rFonts w:ascii="Times New Roman" w:hAnsi="Times New Roman" w:cs="Times New Roman"/>
          <w:sz w:val="24"/>
          <w:szCs w:val="24"/>
        </w:rPr>
        <w:t xml:space="preserve"> Com os objetivos de d</w:t>
      </w:r>
      <w:r w:rsidR="00EC4399" w:rsidRPr="0052765F">
        <w:rPr>
          <w:rFonts w:ascii="Times New Roman" w:hAnsi="Times New Roman" w:cs="Times New Roman"/>
          <w:sz w:val="24"/>
          <w:szCs w:val="24"/>
        </w:rPr>
        <w:t>emonstra</w:t>
      </w:r>
      <w:r w:rsidRPr="0052765F">
        <w:rPr>
          <w:rFonts w:ascii="Times New Roman" w:hAnsi="Times New Roman" w:cs="Times New Roman"/>
          <w:sz w:val="24"/>
          <w:szCs w:val="24"/>
        </w:rPr>
        <w:t>r</w:t>
      </w:r>
      <w:r w:rsidR="00EC4399" w:rsidRPr="0052765F">
        <w:rPr>
          <w:rFonts w:ascii="Times New Roman" w:hAnsi="Times New Roman" w:cs="Times New Roman"/>
          <w:sz w:val="24"/>
          <w:szCs w:val="24"/>
        </w:rPr>
        <w:t xml:space="preserve"> que esses medicamentos relativamente “seguros” podem estar associados a intoxicações e reações adversas quando administrados de forma inadequada e/ou autônoma. Recomenda</w:t>
      </w:r>
      <w:r w:rsidR="00520184" w:rsidRPr="0052765F">
        <w:rPr>
          <w:rFonts w:ascii="Times New Roman" w:hAnsi="Times New Roman" w:cs="Times New Roman"/>
          <w:sz w:val="24"/>
          <w:szCs w:val="24"/>
        </w:rPr>
        <w:t>-se</w:t>
      </w:r>
      <w:r w:rsidR="00EC4399" w:rsidRPr="0052765F">
        <w:rPr>
          <w:rFonts w:ascii="Times New Roman" w:hAnsi="Times New Roman" w:cs="Times New Roman"/>
          <w:sz w:val="24"/>
          <w:szCs w:val="24"/>
        </w:rPr>
        <w:t>, portanto, que o paracetamol e o ibuprofeno sejam administrados somente quando necessário, seguindo as doses e instruções do pediatra responsável pelo tratamento</w:t>
      </w:r>
      <w:r w:rsidR="00520184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E860E3" w:rsidRPr="00B61C26">
        <w:rPr>
          <w:rFonts w:ascii="Times New Roman" w:hAnsi="Times New Roman" w:cs="Times New Roman"/>
          <w:sz w:val="24"/>
          <w:szCs w:val="24"/>
        </w:rPr>
        <w:t>(MARANO, 2023).</w:t>
      </w:r>
      <w:r w:rsidR="00E860E3" w:rsidRPr="00D462B7">
        <w:rPr>
          <w:rFonts w:ascii="Times New Roman" w:hAnsi="Times New Roman" w:cs="Times New Roman"/>
          <w:sz w:val="24"/>
          <w:szCs w:val="24"/>
        </w:rPr>
        <w:t xml:space="preserve"> </w:t>
      </w:r>
      <w:r w:rsidR="000F459B" w:rsidRPr="00D462B7">
        <w:rPr>
          <w:rFonts w:ascii="Times New Roman" w:hAnsi="Times New Roman" w:cs="Times New Roman"/>
          <w:sz w:val="24"/>
          <w:szCs w:val="24"/>
        </w:rPr>
        <w:t>A partir deste estudo os autores concluíram que</w:t>
      </w:r>
      <w:r w:rsidR="00AB29A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exposições</w:t>
      </w:r>
      <w:r w:rsidR="00AB29A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às</w:t>
      </w:r>
      <w:r w:rsidR="00AB29A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duas moléculas pediátricas mais utilizadas,</w:t>
      </w:r>
      <w:r w:rsidR="00AB29A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 xml:space="preserve">paracetamol e ibuprofeno, </w:t>
      </w:r>
      <w:r w:rsidR="000F459B" w:rsidRPr="0052765F">
        <w:rPr>
          <w:rFonts w:ascii="Times New Roman" w:hAnsi="Times New Roman" w:cs="Times New Roman"/>
          <w:w w:val="110"/>
          <w:sz w:val="24"/>
          <w:szCs w:val="24"/>
        </w:rPr>
        <w:t>considerados</w:t>
      </w:r>
      <w:r w:rsidR="00112259" w:rsidRPr="0052765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medicamentos</w:t>
      </w:r>
      <w:r w:rsidR="00AB29A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relativamente</w:t>
      </w:r>
      <w:r w:rsidR="00AB29AC" w:rsidRPr="0052765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“seguros”</w:t>
      </w:r>
      <w:r w:rsidR="00AB29AC" w:rsidRPr="0052765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podem</w:t>
      </w:r>
      <w:r w:rsidR="00AB29A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estar</w:t>
      </w:r>
      <w:r w:rsidR="00AB29AC" w:rsidRPr="0052765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associados</w:t>
      </w:r>
      <w:r w:rsidR="00AB29AC" w:rsidRPr="0052765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a</w:t>
      </w:r>
      <w:r w:rsidR="00AB29AC" w:rsidRPr="0052765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intoxicações</w:t>
      </w:r>
      <w:r w:rsidR="00AB29A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e</w:t>
      </w:r>
      <w:r w:rsidR="00AB29AC" w:rsidRPr="0052765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reações</w:t>
      </w:r>
      <w:r w:rsidR="00AB29AC" w:rsidRPr="0052765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adversas</w:t>
      </w:r>
      <w:r w:rsidR="00AB29AC" w:rsidRPr="0052765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quando</w:t>
      </w:r>
      <w:r w:rsidR="00AB29A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administrados</w:t>
      </w:r>
      <w:r w:rsidR="00AB29AC" w:rsidRPr="0052765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de</w:t>
      </w:r>
      <w:r w:rsidR="00AB29AC" w:rsidRPr="0052765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>forma</w:t>
      </w:r>
      <w:r w:rsidR="00AB29AC" w:rsidRPr="0052765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B29AC" w:rsidRPr="0052765F">
        <w:rPr>
          <w:rFonts w:ascii="Times New Roman" w:hAnsi="Times New Roman" w:cs="Times New Roman"/>
          <w:w w:val="110"/>
          <w:sz w:val="24"/>
          <w:szCs w:val="24"/>
        </w:rPr>
        <w:t xml:space="preserve">inadequada </w:t>
      </w:r>
      <w:r w:rsidR="00AB29AC" w:rsidRPr="00B61C26">
        <w:rPr>
          <w:rFonts w:ascii="Times New Roman" w:hAnsi="Times New Roman" w:cs="Times New Roman"/>
          <w:w w:val="110"/>
          <w:sz w:val="24"/>
          <w:szCs w:val="24"/>
        </w:rPr>
        <w:t>(MARANO, 2023).</w:t>
      </w:r>
    </w:p>
    <w:p w14:paraId="19FC4EB0" w14:textId="663FE65A" w:rsidR="002F2A3A" w:rsidRDefault="00A527A9" w:rsidP="00965FE3">
      <w:pPr>
        <w:spacing w:line="360" w:lineRule="auto"/>
        <w:ind w:firstLine="708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2765F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9E20D0" w:rsidRPr="0052765F">
        <w:rPr>
          <w:rFonts w:ascii="Times New Roman" w:hAnsi="Times New Roman" w:cs="Times New Roman"/>
          <w:sz w:val="24"/>
          <w:szCs w:val="24"/>
        </w:rPr>
        <w:t xml:space="preserve"> caso da mulher com 18 anos de idade após tentativa de suicídio apresentou-se ao departamento de emergência 60 minutos após </w:t>
      </w:r>
      <w:r w:rsidR="00FA280A" w:rsidRPr="0052765F">
        <w:rPr>
          <w:rFonts w:ascii="Times New Roman" w:hAnsi="Times New Roman" w:cs="Times New Roman"/>
          <w:sz w:val="24"/>
          <w:szCs w:val="24"/>
        </w:rPr>
        <w:t>a</w:t>
      </w:r>
      <w:r w:rsidR="009E20D0" w:rsidRPr="0052765F">
        <w:rPr>
          <w:rFonts w:ascii="Times New Roman" w:hAnsi="Times New Roman" w:cs="Times New Roman"/>
          <w:sz w:val="24"/>
          <w:szCs w:val="24"/>
        </w:rPr>
        <w:t xml:space="preserve"> ingestão de 100</w:t>
      </w:r>
      <w:r w:rsidR="00B61C26">
        <w:rPr>
          <w:rFonts w:ascii="Times New Roman" w:hAnsi="Times New Roman" w:cs="Times New Roman"/>
          <w:sz w:val="24"/>
          <w:szCs w:val="24"/>
        </w:rPr>
        <w:t xml:space="preserve"> </w:t>
      </w:r>
      <w:r w:rsidR="009E20D0" w:rsidRPr="0052765F">
        <w:rPr>
          <w:rFonts w:ascii="Times New Roman" w:hAnsi="Times New Roman" w:cs="Times New Roman"/>
          <w:sz w:val="24"/>
          <w:szCs w:val="24"/>
        </w:rPr>
        <w:t>g de paracetamol e quantidades desconhecidas de ibuprofeno e etano</w:t>
      </w:r>
      <w:r w:rsidRPr="0052765F">
        <w:rPr>
          <w:rFonts w:ascii="Times New Roman" w:hAnsi="Times New Roman" w:cs="Times New Roman"/>
          <w:sz w:val="24"/>
          <w:szCs w:val="24"/>
        </w:rPr>
        <w:t>l</w:t>
      </w:r>
      <w:r w:rsidR="009E20D0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9E20D0" w:rsidRPr="00B61C26">
        <w:rPr>
          <w:rFonts w:ascii="Times New Roman" w:hAnsi="Times New Roman" w:cs="Times New Roman"/>
          <w:sz w:val="24"/>
          <w:szCs w:val="24"/>
        </w:rPr>
        <w:t>(GHANNOUM, 2016).</w:t>
      </w:r>
      <w:r w:rsidR="009E20D0" w:rsidRPr="0052765F">
        <w:rPr>
          <w:rFonts w:ascii="Times New Roman" w:hAnsi="Times New Roman" w:cs="Times New Roman"/>
          <w:sz w:val="24"/>
          <w:szCs w:val="24"/>
        </w:rPr>
        <w:t xml:space="preserve"> São situações de pessoas se automedicando espontaneamente através de ingestão de medicamentos de livre comércio e fácil acesso.</w:t>
      </w:r>
      <w:r w:rsidR="00965FE3" w:rsidRPr="0052765F">
        <w:rPr>
          <w:rFonts w:ascii="Times New Roman" w:hAnsi="Times New Roman" w:cs="Times New Roman"/>
          <w:sz w:val="24"/>
          <w:szCs w:val="24"/>
        </w:rPr>
        <w:t xml:space="preserve"> </w:t>
      </w:r>
      <w:r w:rsidR="00965FE3" w:rsidRPr="00D462B7">
        <w:rPr>
          <w:rFonts w:ascii="Times New Roman" w:hAnsi="Times New Roman" w:cs="Times New Roman"/>
          <w:w w:val="110"/>
          <w:sz w:val="24"/>
          <w:szCs w:val="24"/>
        </w:rPr>
        <w:t xml:space="preserve">Em um relato de caso do </w:t>
      </w:r>
      <w:proofErr w:type="spellStart"/>
      <w:r w:rsidR="00965FE3" w:rsidRPr="00D462B7">
        <w:rPr>
          <w:rFonts w:ascii="Times New Roman" w:hAnsi="Times New Roman" w:cs="Times New Roman"/>
          <w:w w:val="110"/>
          <w:sz w:val="24"/>
          <w:szCs w:val="24"/>
        </w:rPr>
        <w:t>Ghannoum</w:t>
      </w:r>
      <w:proofErr w:type="spellEnd"/>
      <w:r w:rsidR="00965FE3" w:rsidRPr="00D462B7">
        <w:rPr>
          <w:rFonts w:ascii="Times New Roman" w:hAnsi="Times New Roman" w:cs="Times New Roman"/>
          <w:w w:val="110"/>
          <w:sz w:val="24"/>
          <w:szCs w:val="24"/>
          <w:u w:val="single"/>
        </w:rPr>
        <w:t>,</w:t>
      </w:r>
      <w:r w:rsidR="00965FE3" w:rsidRPr="00D462B7">
        <w:rPr>
          <w:rFonts w:ascii="Times New Roman" w:hAnsi="Times New Roman" w:cs="Times New Roman"/>
          <w:w w:val="110"/>
          <w:sz w:val="24"/>
          <w:szCs w:val="24"/>
        </w:rPr>
        <w:t xml:space="preserve"> afirma que antes do desenvolvimento da hepatotoxicidade em pacientes de intoxicação com paracetamol a acidose de início precoce por toxicidade mitocondrial pode ser observada em </w:t>
      </w:r>
      <w:r w:rsidRPr="00D462B7">
        <w:rPr>
          <w:rFonts w:ascii="Times New Roman" w:hAnsi="Times New Roman" w:cs="Times New Roman"/>
          <w:w w:val="110"/>
          <w:sz w:val="24"/>
          <w:szCs w:val="24"/>
        </w:rPr>
        <w:t>intoxicação</w:t>
      </w:r>
      <w:r w:rsidR="00965FE3" w:rsidRPr="00D462B7">
        <w:rPr>
          <w:rFonts w:ascii="Times New Roman" w:hAnsi="Times New Roman" w:cs="Times New Roman"/>
          <w:w w:val="110"/>
          <w:sz w:val="24"/>
          <w:szCs w:val="24"/>
        </w:rPr>
        <w:t xml:space="preserve"> maciço por paracetamol. Sendo que a eficácia da </w:t>
      </w:r>
      <w:proofErr w:type="spellStart"/>
      <w:r w:rsidR="00965FE3" w:rsidRPr="00D462B7">
        <w:rPr>
          <w:rFonts w:ascii="Times New Roman" w:hAnsi="Times New Roman" w:cs="Times New Roman"/>
          <w:w w:val="110"/>
          <w:sz w:val="24"/>
          <w:szCs w:val="24"/>
        </w:rPr>
        <w:t>acetilcisteína</w:t>
      </w:r>
      <w:proofErr w:type="spellEnd"/>
      <w:r w:rsidR="00965FE3" w:rsidRPr="00D462B7">
        <w:rPr>
          <w:rFonts w:ascii="Times New Roman" w:hAnsi="Times New Roman" w:cs="Times New Roman"/>
          <w:w w:val="110"/>
          <w:sz w:val="24"/>
          <w:szCs w:val="24"/>
        </w:rPr>
        <w:t xml:space="preserve"> para reverter a toxicidade mitocondrial continua com pouco esclarecimento e a hemodiálise pode oferecer correção rápida da acidose</w:t>
      </w:r>
      <w:r w:rsidR="002F2A3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F2A3A" w:rsidRPr="00B61C26">
        <w:rPr>
          <w:rFonts w:ascii="Times New Roman" w:hAnsi="Times New Roman" w:cs="Times New Roman"/>
          <w:w w:val="110"/>
          <w:sz w:val="24"/>
          <w:szCs w:val="24"/>
        </w:rPr>
        <w:t>(</w:t>
      </w:r>
      <w:hyperlink r:id="rId11" w:history="1">
        <w:r w:rsidR="002F2A3A" w:rsidRPr="00B61C26">
          <w:rPr>
            <w:rStyle w:val="Hyperlink"/>
            <w:rFonts w:ascii="Times New Roman" w:hAnsi="Times New Roman" w:cs="Times New Roman"/>
            <w:color w:val="auto"/>
            <w:w w:val="110"/>
            <w:sz w:val="24"/>
            <w:szCs w:val="24"/>
            <w:u w:val="none"/>
          </w:rPr>
          <w:t>GHANNOUM</w:t>
        </w:r>
      </w:hyperlink>
      <w:r w:rsidR="002F2A3A" w:rsidRPr="00B61C26">
        <w:rPr>
          <w:rFonts w:ascii="Times New Roman" w:hAnsi="Times New Roman" w:cs="Times New Roman"/>
          <w:w w:val="110"/>
          <w:sz w:val="24"/>
          <w:szCs w:val="24"/>
        </w:rPr>
        <w:t>, 2016).</w:t>
      </w:r>
      <w:r w:rsidR="00965FE3" w:rsidRPr="00D462B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14:paraId="76DD3E4C" w14:textId="017C5602" w:rsidR="00965FE3" w:rsidRPr="005B1EC3" w:rsidRDefault="00965FE3" w:rsidP="00965FE3">
      <w:pPr>
        <w:spacing w:line="360" w:lineRule="auto"/>
        <w:ind w:firstLine="708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D462B7">
        <w:rPr>
          <w:rFonts w:ascii="Times New Roman" w:hAnsi="Times New Roman" w:cs="Times New Roman"/>
          <w:w w:val="110"/>
          <w:sz w:val="24"/>
          <w:szCs w:val="24"/>
        </w:rPr>
        <w:t xml:space="preserve">A toxicocinética do paracetamol e da </w:t>
      </w:r>
      <w:proofErr w:type="spellStart"/>
      <w:r w:rsidRPr="00D462B7">
        <w:rPr>
          <w:rFonts w:ascii="Times New Roman" w:hAnsi="Times New Roman" w:cs="Times New Roman"/>
          <w:w w:val="110"/>
          <w:sz w:val="24"/>
          <w:szCs w:val="24"/>
        </w:rPr>
        <w:t>acetilcisteína</w:t>
      </w:r>
      <w:proofErr w:type="spellEnd"/>
      <w:r w:rsidRPr="00D462B7">
        <w:rPr>
          <w:rFonts w:ascii="Times New Roman" w:hAnsi="Times New Roman" w:cs="Times New Roman"/>
          <w:w w:val="110"/>
          <w:sz w:val="24"/>
          <w:szCs w:val="24"/>
        </w:rPr>
        <w:t xml:space="preserve"> durante tratamentos extracorpóreos de hemodiálise raramente foi </w:t>
      </w:r>
      <w:r w:rsidR="00B61C26" w:rsidRPr="00D462B7">
        <w:rPr>
          <w:rFonts w:ascii="Times New Roman" w:hAnsi="Times New Roman" w:cs="Times New Roman"/>
          <w:w w:val="110"/>
          <w:sz w:val="24"/>
          <w:szCs w:val="24"/>
        </w:rPr>
        <w:t>descrita.</w:t>
      </w:r>
      <w:r w:rsidRPr="00D462B7">
        <w:rPr>
          <w:rFonts w:ascii="Times New Roman" w:hAnsi="Times New Roman" w:cs="Times New Roman"/>
          <w:w w:val="110"/>
          <w:sz w:val="24"/>
          <w:szCs w:val="24"/>
        </w:rPr>
        <w:t xml:space="preserve"> Exames apresentaram acidose metabólica com lactato atingindo o pico de 8,6 mmol/L. Com </w:t>
      </w:r>
      <w:r w:rsidR="00B61C26" w:rsidRPr="00D462B7">
        <w:rPr>
          <w:rFonts w:ascii="Times New Roman" w:hAnsi="Times New Roman" w:cs="Times New Roman"/>
          <w:w w:val="110"/>
          <w:sz w:val="24"/>
          <w:szCs w:val="24"/>
        </w:rPr>
        <w:t>os perf</w:t>
      </w:r>
      <w:r w:rsidR="00B61C26">
        <w:rPr>
          <w:rFonts w:ascii="Times New Roman" w:hAnsi="Times New Roman" w:cs="Times New Roman"/>
          <w:w w:val="110"/>
          <w:sz w:val="24"/>
          <w:szCs w:val="24"/>
        </w:rPr>
        <w:t>is hepáticos</w:t>
      </w:r>
      <w:r w:rsidR="00513238">
        <w:rPr>
          <w:rFonts w:ascii="Times New Roman" w:hAnsi="Times New Roman" w:cs="Times New Roman"/>
          <w:w w:val="110"/>
          <w:sz w:val="24"/>
          <w:szCs w:val="24"/>
        </w:rPr>
        <w:t xml:space="preserve"> e</w:t>
      </w:r>
      <w:r w:rsidRPr="00D462B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13238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D462B7">
        <w:rPr>
          <w:rFonts w:ascii="Times New Roman" w:hAnsi="Times New Roman" w:cs="Times New Roman"/>
          <w:w w:val="110"/>
          <w:sz w:val="24"/>
          <w:szCs w:val="24"/>
        </w:rPr>
        <w:t xml:space="preserve">e coagulação permaneceram normais. O paracetamol atingiu o pico na concentração de 981 </w:t>
      </w:r>
      <w:proofErr w:type="spellStart"/>
      <w:r w:rsidRPr="00D462B7">
        <w:rPr>
          <w:rFonts w:ascii="Times New Roman" w:hAnsi="Times New Roman" w:cs="Times New Roman"/>
          <w:w w:val="110"/>
          <w:sz w:val="24"/>
          <w:szCs w:val="24"/>
        </w:rPr>
        <w:t>μg</w:t>
      </w:r>
      <w:proofErr w:type="spellEnd"/>
      <w:r w:rsidRPr="00D462B7">
        <w:rPr>
          <w:rFonts w:ascii="Times New Roman" w:hAnsi="Times New Roman" w:cs="Times New Roman"/>
          <w:w w:val="110"/>
          <w:sz w:val="24"/>
          <w:szCs w:val="24"/>
        </w:rPr>
        <w:t xml:space="preserve">/ml (6496 </w:t>
      </w:r>
      <w:proofErr w:type="spellStart"/>
      <w:r w:rsidRPr="00D462B7">
        <w:rPr>
          <w:rFonts w:ascii="Times New Roman" w:hAnsi="Times New Roman" w:cs="Times New Roman"/>
          <w:w w:val="110"/>
          <w:sz w:val="24"/>
          <w:szCs w:val="24"/>
        </w:rPr>
        <w:t>μmol</w:t>
      </w:r>
      <w:proofErr w:type="spellEnd"/>
      <w:r w:rsidRPr="00D462B7">
        <w:rPr>
          <w:rFonts w:ascii="Times New Roman" w:hAnsi="Times New Roman" w:cs="Times New Roman"/>
          <w:w w:val="110"/>
          <w:sz w:val="24"/>
          <w:szCs w:val="24"/>
        </w:rPr>
        <w:t xml:space="preserve">/L). a paciente recebeu 100 g de carvão ativado e uma infusão de </w:t>
      </w:r>
      <w:proofErr w:type="spellStart"/>
      <w:r w:rsidRPr="00D462B7">
        <w:rPr>
          <w:rFonts w:ascii="Times New Roman" w:hAnsi="Times New Roman" w:cs="Times New Roman"/>
          <w:w w:val="110"/>
          <w:sz w:val="24"/>
          <w:szCs w:val="24"/>
        </w:rPr>
        <w:t>acetilcisteína</w:t>
      </w:r>
      <w:proofErr w:type="spellEnd"/>
      <w:r w:rsidRPr="00D462B7">
        <w:rPr>
          <w:rFonts w:ascii="Times New Roman" w:hAnsi="Times New Roman" w:cs="Times New Roman"/>
          <w:w w:val="110"/>
          <w:sz w:val="24"/>
          <w:szCs w:val="24"/>
        </w:rPr>
        <w:t xml:space="preserve"> a 150 mg/kg durante 1 hora, seguida de 12,5 mg/kg/h por 4 horas. Na hemodiálise, a infusão foi mantida em 12,5 mg/kg/h para compensar a remoção esperada antes de ser reduzida para 6,25 mg/kg por 20 horas após a hemodiálise. O paciente melhorou rapidamente durante a hemodiálise e recebeu alta 48 horas após a admissão. A hemodiálise parece ser uma opção terapêutica benéfica em c</w:t>
      </w:r>
      <w:r w:rsidRPr="005B1EC3">
        <w:rPr>
          <w:rFonts w:ascii="Times New Roman" w:hAnsi="Times New Roman" w:cs="Times New Roman"/>
          <w:w w:val="110"/>
          <w:sz w:val="24"/>
          <w:szCs w:val="24"/>
        </w:rPr>
        <w:t xml:space="preserve">asos de ingestão maciça de paracetamol com coma e acidose láctica. Além disso, esses resultados sugerem que a taxa de infusão de </w:t>
      </w:r>
      <w:proofErr w:type="spellStart"/>
      <w:r w:rsidRPr="005B1EC3">
        <w:rPr>
          <w:rFonts w:ascii="Times New Roman" w:hAnsi="Times New Roman" w:cs="Times New Roman"/>
          <w:w w:val="110"/>
          <w:sz w:val="24"/>
          <w:szCs w:val="24"/>
        </w:rPr>
        <w:t>acetilcisteína</w:t>
      </w:r>
      <w:proofErr w:type="spellEnd"/>
      <w:r w:rsidRPr="005B1EC3">
        <w:rPr>
          <w:rFonts w:ascii="Times New Roman" w:hAnsi="Times New Roman" w:cs="Times New Roman"/>
          <w:w w:val="110"/>
          <w:sz w:val="24"/>
          <w:szCs w:val="24"/>
        </w:rPr>
        <w:t xml:space="preserve"> deve ser mais que o dobro durante a hemodiálise para compensar sua remoção contínua e fornecer concentrações plasmáticas semelhantes ao regime usual de </w:t>
      </w:r>
      <w:proofErr w:type="spellStart"/>
      <w:r w:rsidRPr="005B1EC3">
        <w:rPr>
          <w:rFonts w:ascii="Times New Roman" w:hAnsi="Times New Roman" w:cs="Times New Roman"/>
          <w:w w:val="110"/>
          <w:sz w:val="24"/>
          <w:szCs w:val="24"/>
        </w:rPr>
        <w:t>acetilcisteína</w:t>
      </w:r>
      <w:proofErr w:type="spellEnd"/>
      <w:r w:rsidRPr="00B61C26">
        <w:rPr>
          <w:rFonts w:ascii="Times New Roman" w:hAnsi="Times New Roman" w:cs="Times New Roman"/>
          <w:w w:val="110"/>
          <w:sz w:val="24"/>
          <w:szCs w:val="24"/>
        </w:rPr>
        <w:t xml:space="preserve"> (</w:t>
      </w:r>
      <w:hyperlink r:id="rId12" w:history="1">
        <w:r w:rsidRPr="00B61C26">
          <w:rPr>
            <w:rStyle w:val="Hyperlink"/>
            <w:rFonts w:ascii="Times New Roman" w:hAnsi="Times New Roman" w:cs="Times New Roman"/>
            <w:color w:val="auto"/>
            <w:w w:val="110"/>
            <w:sz w:val="24"/>
            <w:szCs w:val="24"/>
            <w:u w:val="none"/>
          </w:rPr>
          <w:t>GHANNOUM</w:t>
        </w:r>
      </w:hyperlink>
      <w:r w:rsidRPr="00B61C26">
        <w:rPr>
          <w:rFonts w:ascii="Times New Roman" w:hAnsi="Times New Roman" w:cs="Times New Roman"/>
          <w:w w:val="110"/>
          <w:sz w:val="24"/>
          <w:szCs w:val="24"/>
        </w:rPr>
        <w:t>, 2016).</w:t>
      </w:r>
    </w:p>
    <w:p w14:paraId="6D3C18BF" w14:textId="77777777" w:rsidR="002F2A3A" w:rsidRDefault="004443E9" w:rsidP="005276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F33A1">
        <w:rPr>
          <w:rFonts w:ascii="Times New Roman" w:hAnsi="Times New Roman" w:cs="Times New Roman"/>
          <w:sz w:val="24"/>
          <w:szCs w:val="24"/>
        </w:rPr>
        <w:t>dipirona</w:t>
      </w:r>
      <w:r>
        <w:rPr>
          <w:rFonts w:ascii="Times New Roman" w:hAnsi="Times New Roman" w:cs="Times New Roman"/>
          <w:sz w:val="24"/>
          <w:szCs w:val="24"/>
        </w:rPr>
        <w:t xml:space="preserve"> sódica conhecida em alguns países, que tem sua comercialização permitida,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metamizol</w:t>
      </w:r>
      <w:proofErr w:type="spellEnd"/>
      <w:r>
        <w:rPr>
          <w:rFonts w:ascii="Times New Roman" w:hAnsi="Times New Roman" w:cs="Times New Roman"/>
          <w:sz w:val="24"/>
          <w:szCs w:val="24"/>
        </w:rPr>
        <w:t>, é</w:t>
      </w:r>
      <w:r w:rsidRPr="007A7BB7">
        <w:rPr>
          <w:rFonts w:ascii="Times New Roman" w:hAnsi="Times New Roman" w:cs="Times New Roman"/>
          <w:sz w:val="24"/>
          <w:szCs w:val="24"/>
        </w:rPr>
        <w:t xml:space="preserve"> um dos agentes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85C">
        <w:rPr>
          <w:rFonts w:ascii="Times New Roman" w:hAnsi="Times New Roman" w:cs="Times New Roman"/>
          <w:sz w:val="24"/>
          <w:szCs w:val="24"/>
        </w:rPr>
        <w:t>antipiréticos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5C">
        <w:rPr>
          <w:rFonts w:ascii="Times New Roman" w:hAnsi="Times New Roman" w:cs="Times New Roman"/>
          <w:sz w:val="24"/>
          <w:szCs w:val="24"/>
        </w:rPr>
        <w:t>espasmolíticos</w:t>
      </w:r>
      <w:proofErr w:type="spellEnd"/>
      <w:r w:rsidRPr="007A7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especial </w:t>
      </w:r>
      <w:r w:rsidRPr="007A7BB7">
        <w:rPr>
          <w:rFonts w:ascii="Times New Roman" w:hAnsi="Times New Roman" w:cs="Times New Roman"/>
          <w:sz w:val="24"/>
          <w:szCs w:val="24"/>
        </w:rPr>
        <w:t xml:space="preserve">analgésicos, mais usados </w:t>
      </w:r>
      <w:r>
        <w:rPr>
          <w:rFonts w:ascii="Times New Roman" w:hAnsi="Times New Roman" w:cs="Times New Roman"/>
          <w:sz w:val="24"/>
          <w:szCs w:val="24"/>
        </w:rPr>
        <w:t>entre outros medicamentos</w:t>
      </w:r>
      <w:r w:rsidRPr="007A7BB7">
        <w:rPr>
          <w:rFonts w:ascii="Times New Roman" w:hAnsi="Times New Roman" w:cs="Times New Roman"/>
          <w:sz w:val="24"/>
          <w:szCs w:val="24"/>
        </w:rPr>
        <w:t xml:space="preserve">. Embora a agranulocitose induzida por </w:t>
      </w:r>
      <w:r w:rsidR="00E167B2">
        <w:rPr>
          <w:rFonts w:ascii="Times New Roman" w:hAnsi="Times New Roman" w:cs="Times New Roman"/>
          <w:sz w:val="24"/>
          <w:szCs w:val="24"/>
        </w:rPr>
        <w:t xml:space="preserve">ela </w:t>
      </w:r>
      <w:r w:rsidRPr="007A7BB7">
        <w:rPr>
          <w:rFonts w:ascii="Times New Roman" w:hAnsi="Times New Roman" w:cs="Times New Roman"/>
          <w:sz w:val="24"/>
          <w:szCs w:val="24"/>
        </w:rPr>
        <w:t>seja um evento adverso,</w:t>
      </w:r>
      <w:r w:rsidR="00E167B2">
        <w:rPr>
          <w:rFonts w:ascii="Times New Roman" w:hAnsi="Times New Roman" w:cs="Times New Roman"/>
          <w:sz w:val="24"/>
          <w:szCs w:val="24"/>
        </w:rPr>
        <w:t xml:space="preserve"> </w:t>
      </w:r>
      <w:r w:rsidR="00E167B2" w:rsidRPr="0034485C">
        <w:rPr>
          <w:rFonts w:ascii="Times New Roman" w:hAnsi="Times New Roman" w:cs="Times New Roman"/>
          <w:sz w:val="24"/>
          <w:szCs w:val="24"/>
        </w:rPr>
        <w:t>bem conhecid</w:t>
      </w:r>
      <w:r w:rsidR="00E167B2">
        <w:rPr>
          <w:rFonts w:ascii="Times New Roman" w:hAnsi="Times New Roman" w:cs="Times New Roman"/>
          <w:sz w:val="24"/>
          <w:szCs w:val="24"/>
        </w:rPr>
        <w:t>a,</w:t>
      </w:r>
      <w:r w:rsidRPr="007A7BB7">
        <w:rPr>
          <w:rFonts w:ascii="Times New Roman" w:hAnsi="Times New Roman" w:cs="Times New Roman"/>
          <w:sz w:val="24"/>
          <w:szCs w:val="24"/>
        </w:rPr>
        <w:t xml:space="preserve"> embora raramente, a lesão hepática induzida por fármacos </w:t>
      </w:r>
      <w:r w:rsidR="00972C6A">
        <w:rPr>
          <w:rFonts w:ascii="Times New Roman" w:hAnsi="Times New Roman" w:cs="Times New Roman"/>
          <w:sz w:val="24"/>
          <w:szCs w:val="24"/>
        </w:rPr>
        <w:t>que em sua composição contenha a dipirona sódica, é</w:t>
      </w:r>
      <w:r w:rsidRPr="007A7BB7">
        <w:rPr>
          <w:rFonts w:ascii="Times New Roman" w:hAnsi="Times New Roman" w:cs="Times New Roman"/>
          <w:sz w:val="24"/>
          <w:szCs w:val="24"/>
        </w:rPr>
        <w:t xml:space="preserve"> </w:t>
      </w:r>
      <w:r w:rsidR="00972C6A">
        <w:rPr>
          <w:rFonts w:ascii="Times New Roman" w:hAnsi="Times New Roman" w:cs="Times New Roman"/>
          <w:sz w:val="24"/>
          <w:szCs w:val="24"/>
        </w:rPr>
        <w:t xml:space="preserve">pouco </w:t>
      </w:r>
      <w:r w:rsidRPr="007A7BB7">
        <w:rPr>
          <w:rFonts w:ascii="Times New Roman" w:hAnsi="Times New Roman" w:cs="Times New Roman"/>
          <w:sz w:val="24"/>
          <w:szCs w:val="24"/>
        </w:rPr>
        <w:t xml:space="preserve">relatada na literatura e, portanto, muitas vezes permanece desconsiderada. </w:t>
      </w:r>
      <w:r w:rsidR="00972C6A">
        <w:rPr>
          <w:rFonts w:ascii="Times New Roman" w:hAnsi="Times New Roman" w:cs="Times New Roman"/>
          <w:sz w:val="24"/>
          <w:szCs w:val="24"/>
        </w:rPr>
        <w:t xml:space="preserve">Foi </w:t>
      </w:r>
      <w:r w:rsidR="003225DD">
        <w:rPr>
          <w:rFonts w:ascii="Times New Roman" w:hAnsi="Times New Roman" w:cs="Times New Roman"/>
          <w:sz w:val="24"/>
          <w:szCs w:val="24"/>
        </w:rPr>
        <w:t xml:space="preserve">encontrado </w:t>
      </w:r>
      <w:r w:rsidR="00F05DF8">
        <w:rPr>
          <w:rFonts w:ascii="Times New Roman" w:hAnsi="Times New Roman" w:cs="Times New Roman"/>
          <w:sz w:val="24"/>
          <w:szCs w:val="24"/>
        </w:rPr>
        <w:t xml:space="preserve">relatado na literatura </w:t>
      </w:r>
      <w:r w:rsidR="003225DD">
        <w:rPr>
          <w:rFonts w:ascii="Times New Roman" w:hAnsi="Times New Roman" w:cs="Times New Roman"/>
          <w:sz w:val="24"/>
          <w:szCs w:val="24"/>
        </w:rPr>
        <w:t xml:space="preserve">um único relato de </w:t>
      </w:r>
      <w:r w:rsidRPr="007A7BB7">
        <w:rPr>
          <w:rFonts w:ascii="Times New Roman" w:hAnsi="Times New Roman" w:cs="Times New Roman"/>
          <w:sz w:val="24"/>
          <w:szCs w:val="24"/>
        </w:rPr>
        <w:t xml:space="preserve">caso em que a hepatotoxicidade induzida por </w:t>
      </w:r>
      <w:r w:rsidR="003225DD">
        <w:rPr>
          <w:rFonts w:ascii="Times New Roman" w:hAnsi="Times New Roman" w:cs="Times New Roman"/>
          <w:sz w:val="24"/>
          <w:szCs w:val="24"/>
        </w:rPr>
        <w:t xml:space="preserve">dipirona sódica </w:t>
      </w:r>
      <w:r w:rsidRPr="007A7BB7">
        <w:rPr>
          <w:rFonts w:ascii="Times New Roman" w:hAnsi="Times New Roman" w:cs="Times New Roman"/>
          <w:sz w:val="24"/>
          <w:szCs w:val="24"/>
        </w:rPr>
        <w:t xml:space="preserve">foi desmascarada pelo desenvolvimento simultâneo de agranulocitose característica. </w:t>
      </w:r>
      <w:r w:rsidR="00A527A9">
        <w:rPr>
          <w:rFonts w:ascii="Times New Roman" w:hAnsi="Times New Roman" w:cs="Times New Roman"/>
          <w:sz w:val="24"/>
          <w:szCs w:val="24"/>
        </w:rPr>
        <w:t>Esse relato de caso trata-se</w:t>
      </w:r>
      <w:r w:rsidR="00725506">
        <w:rPr>
          <w:rFonts w:ascii="Times New Roman" w:hAnsi="Times New Roman" w:cs="Times New Roman"/>
          <w:sz w:val="24"/>
          <w:szCs w:val="24"/>
        </w:rPr>
        <w:t xml:space="preserve"> </w:t>
      </w:r>
      <w:r w:rsidRPr="007A7BB7">
        <w:rPr>
          <w:rFonts w:ascii="Times New Roman" w:hAnsi="Times New Roman" w:cs="Times New Roman"/>
          <w:sz w:val="24"/>
          <w:szCs w:val="24"/>
        </w:rPr>
        <w:t xml:space="preserve">mulher de 22 anos sem </w:t>
      </w:r>
      <w:r w:rsidRPr="007A7BB7">
        <w:rPr>
          <w:rFonts w:ascii="Times New Roman" w:hAnsi="Times New Roman" w:cs="Times New Roman"/>
          <w:sz w:val="24"/>
          <w:szCs w:val="24"/>
        </w:rPr>
        <w:lastRenderedPageBreak/>
        <w:t xml:space="preserve">condições conhecidas apresentou um novo início de febre, icterícia e erupção cutânea maculopapular e negou explicitamente a ingestão de quaisquer novas substâncias. Os exames laboratoriais </w:t>
      </w:r>
      <w:r w:rsidR="003225DD">
        <w:rPr>
          <w:rFonts w:ascii="Times New Roman" w:hAnsi="Times New Roman" w:cs="Times New Roman"/>
          <w:sz w:val="24"/>
          <w:szCs w:val="24"/>
        </w:rPr>
        <w:t>informaram presença de</w:t>
      </w:r>
      <w:r w:rsidRPr="007A7BB7">
        <w:rPr>
          <w:rFonts w:ascii="Times New Roman" w:hAnsi="Times New Roman" w:cs="Times New Roman"/>
          <w:sz w:val="24"/>
          <w:szCs w:val="24"/>
        </w:rPr>
        <w:t xml:space="preserve"> lesão hepática, </w:t>
      </w:r>
      <w:r w:rsidR="003225DD">
        <w:rPr>
          <w:rFonts w:ascii="Times New Roman" w:hAnsi="Times New Roman" w:cs="Times New Roman"/>
          <w:sz w:val="24"/>
          <w:szCs w:val="24"/>
        </w:rPr>
        <w:t xml:space="preserve">com </w:t>
      </w:r>
      <w:proofErr w:type="spellStart"/>
      <w:r w:rsidRPr="007A7BB7">
        <w:rPr>
          <w:rFonts w:ascii="Times New Roman" w:hAnsi="Times New Roman" w:cs="Times New Roman"/>
          <w:sz w:val="24"/>
          <w:szCs w:val="24"/>
        </w:rPr>
        <w:t>granulopenia</w:t>
      </w:r>
      <w:proofErr w:type="spellEnd"/>
      <w:r w:rsidRPr="007A7BB7">
        <w:rPr>
          <w:rFonts w:ascii="Times New Roman" w:hAnsi="Times New Roman" w:cs="Times New Roman"/>
          <w:sz w:val="24"/>
          <w:szCs w:val="24"/>
        </w:rPr>
        <w:t xml:space="preserve"> e anticorpos antinucleares e </w:t>
      </w:r>
      <w:proofErr w:type="spellStart"/>
      <w:r w:rsidRPr="007A7BB7">
        <w:rPr>
          <w:rFonts w:ascii="Times New Roman" w:hAnsi="Times New Roman" w:cs="Times New Roman"/>
          <w:sz w:val="24"/>
          <w:szCs w:val="24"/>
        </w:rPr>
        <w:t>antimitocondriais</w:t>
      </w:r>
      <w:proofErr w:type="spellEnd"/>
      <w:r w:rsidRPr="007A7BB7">
        <w:rPr>
          <w:rFonts w:ascii="Times New Roman" w:hAnsi="Times New Roman" w:cs="Times New Roman"/>
          <w:sz w:val="24"/>
          <w:szCs w:val="24"/>
        </w:rPr>
        <w:t xml:space="preserve"> (AMA-M2) positivos. </w:t>
      </w:r>
    </w:p>
    <w:p w14:paraId="4DA5267C" w14:textId="3C74F086" w:rsidR="004443E9" w:rsidRPr="007A7BB7" w:rsidRDefault="004443E9" w:rsidP="005276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BB7">
        <w:rPr>
          <w:rFonts w:ascii="Times New Roman" w:hAnsi="Times New Roman" w:cs="Times New Roman"/>
          <w:sz w:val="24"/>
          <w:szCs w:val="24"/>
        </w:rPr>
        <w:t xml:space="preserve">A biópsia hepática revelou um padrão histológico característico de lesão hepática induzida por medicamento e biópsia de medula óssea, o quadro clássico de agranulocitose induzida por </w:t>
      </w:r>
      <w:r w:rsidR="003225DD">
        <w:rPr>
          <w:rFonts w:ascii="Times New Roman" w:hAnsi="Times New Roman" w:cs="Times New Roman"/>
          <w:sz w:val="24"/>
          <w:szCs w:val="24"/>
        </w:rPr>
        <w:t>dipirona sódica</w:t>
      </w:r>
      <w:r w:rsidR="00263B98">
        <w:rPr>
          <w:rFonts w:ascii="Times New Roman" w:hAnsi="Times New Roman" w:cs="Times New Roman"/>
          <w:sz w:val="24"/>
          <w:szCs w:val="24"/>
        </w:rPr>
        <w:t xml:space="preserve">. A paciente informou durante anamnese que faz uso do medicamento a dois meses, sendo </w:t>
      </w:r>
      <w:r w:rsidRPr="007A7BB7">
        <w:rPr>
          <w:rFonts w:ascii="Times New Roman" w:hAnsi="Times New Roman" w:cs="Times New Roman"/>
          <w:sz w:val="24"/>
          <w:szCs w:val="24"/>
        </w:rPr>
        <w:t>diagnostica</w:t>
      </w:r>
      <w:r w:rsidR="00263B98">
        <w:rPr>
          <w:rFonts w:ascii="Times New Roman" w:hAnsi="Times New Roman" w:cs="Times New Roman"/>
          <w:sz w:val="24"/>
          <w:szCs w:val="24"/>
        </w:rPr>
        <w:t>do</w:t>
      </w:r>
      <w:r w:rsidRPr="007A7BB7">
        <w:rPr>
          <w:rFonts w:ascii="Times New Roman" w:hAnsi="Times New Roman" w:cs="Times New Roman"/>
          <w:sz w:val="24"/>
          <w:szCs w:val="24"/>
        </w:rPr>
        <w:t xml:space="preserve"> hepatotoxicidade e mielotoxicidade induzidas por </w:t>
      </w:r>
      <w:r w:rsidR="00263B98">
        <w:rPr>
          <w:rFonts w:ascii="Times New Roman" w:hAnsi="Times New Roman" w:cs="Times New Roman"/>
          <w:sz w:val="24"/>
          <w:szCs w:val="24"/>
        </w:rPr>
        <w:t xml:space="preserve">dipirona sódica, após </w:t>
      </w:r>
      <w:r w:rsidRPr="007A7BB7">
        <w:rPr>
          <w:rFonts w:ascii="Times New Roman" w:hAnsi="Times New Roman" w:cs="Times New Roman"/>
          <w:sz w:val="24"/>
          <w:szCs w:val="24"/>
        </w:rPr>
        <w:t>terapia com esteroides</w:t>
      </w:r>
      <w:r w:rsidR="00263B98">
        <w:rPr>
          <w:rFonts w:ascii="Times New Roman" w:hAnsi="Times New Roman" w:cs="Times New Roman"/>
          <w:sz w:val="24"/>
          <w:szCs w:val="24"/>
        </w:rPr>
        <w:t xml:space="preserve"> teve seus exames normalizados, informação com grande relevância no intuito de </w:t>
      </w:r>
      <w:r w:rsidRPr="007A7BB7">
        <w:rPr>
          <w:rFonts w:ascii="Times New Roman" w:hAnsi="Times New Roman" w:cs="Times New Roman"/>
          <w:sz w:val="24"/>
          <w:szCs w:val="24"/>
        </w:rPr>
        <w:t xml:space="preserve">aumentar a conscientização sobre a lesão hepática induzida por medicamentos </w:t>
      </w:r>
      <w:r w:rsidR="00263B98">
        <w:rPr>
          <w:rFonts w:ascii="Times New Roman" w:hAnsi="Times New Roman" w:cs="Times New Roman"/>
          <w:sz w:val="24"/>
          <w:szCs w:val="24"/>
        </w:rPr>
        <w:t>compostos com dipirona sódica</w:t>
      </w:r>
      <w:r w:rsidRPr="007A7BB7">
        <w:rPr>
          <w:rFonts w:ascii="Times New Roman" w:hAnsi="Times New Roman" w:cs="Times New Roman"/>
          <w:sz w:val="24"/>
          <w:szCs w:val="24"/>
        </w:rPr>
        <w:t xml:space="preserve"> sempre lembrada devido ao seu curso ocasionalmente com risco de vida. O diagnóstico pode ser difícil, principalmente se a anamnese e os registros escritos não apresentarem indícios de ingestão prévia de </w:t>
      </w:r>
      <w:r w:rsidR="00263B98">
        <w:rPr>
          <w:rFonts w:ascii="Times New Roman" w:hAnsi="Times New Roman" w:cs="Times New Roman"/>
          <w:sz w:val="24"/>
          <w:szCs w:val="24"/>
        </w:rPr>
        <w:t xml:space="preserve">dipirona </w:t>
      </w:r>
      <w:r w:rsidR="00903BD8">
        <w:rPr>
          <w:rFonts w:ascii="Times New Roman" w:hAnsi="Times New Roman" w:cs="Times New Roman"/>
          <w:sz w:val="24"/>
          <w:szCs w:val="24"/>
        </w:rPr>
        <w:t xml:space="preserve">sódica </w:t>
      </w:r>
      <w:r w:rsidR="00903BD8" w:rsidRPr="00B61C26">
        <w:rPr>
          <w:rFonts w:ascii="Times New Roman" w:hAnsi="Times New Roman" w:cs="Times New Roman"/>
          <w:sz w:val="24"/>
          <w:szCs w:val="24"/>
        </w:rPr>
        <w:t>(</w:t>
      </w:r>
      <w:r w:rsidRPr="00B61C26">
        <w:rPr>
          <w:rFonts w:ascii="Times New Roman" w:hAnsi="Times New Roman" w:cs="Times New Roman"/>
          <w:sz w:val="24"/>
          <w:szCs w:val="24"/>
        </w:rPr>
        <w:t>MATHIAS, 2023).</w:t>
      </w:r>
    </w:p>
    <w:p w14:paraId="32322685" w14:textId="20016E23" w:rsidR="009806F7" w:rsidRDefault="009806F7" w:rsidP="009806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B7">
        <w:rPr>
          <w:rFonts w:ascii="Times New Roman" w:hAnsi="Times New Roman" w:cs="Times New Roman"/>
          <w:sz w:val="24"/>
          <w:szCs w:val="24"/>
        </w:rPr>
        <w:t>Até o momento, a retirada da dipirona do mercado não parece ser justificada, considerando sua eficácia farmacológica. No entanto, é importante agir com cautela ao prescrever o medicamento, avaliando o risco individual para cada paciente e comparando-o com outras opções de tratamento que possam ter uma toxicidade menor. É fundamental destacar que esse conhecimento é crucial no campo farmacêutico, especialmente com o crescimento da farmácia clínica, cujo objetivo é promover saúde e bem-estar por meio do acompanhamento farmacoterapêutico, principalmente para reduzir erros de medicação (PIRES, F. D.; OLIVEIRA, V. B., 2015)</w:t>
      </w:r>
      <w:r w:rsidR="00ED07A0">
        <w:rPr>
          <w:rFonts w:ascii="Times New Roman" w:hAnsi="Times New Roman" w:cs="Times New Roman"/>
          <w:sz w:val="24"/>
          <w:szCs w:val="24"/>
        </w:rPr>
        <w:t>.</w:t>
      </w:r>
    </w:p>
    <w:p w14:paraId="51FB06CA" w14:textId="64953459" w:rsidR="00E860E3" w:rsidRDefault="00E860E3" w:rsidP="00E86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00">
        <w:rPr>
          <w:rFonts w:ascii="Times New Roman" w:hAnsi="Times New Roman" w:cs="Times New Roman"/>
          <w:color w:val="000000"/>
          <w:sz w:val="24"/>
          <w:szCs w:val="24"/>
        </w:rPr>
        <w:t>Em uma sociedade que visa a libertação rápida do sofrimento. Não faz o uso da prática de procurar um tratamento adequado para certas enfermidades, que são enfrentadas com o uso de remédios sem saber das reações que podem causar no organismo. Atualmente as pessoas andam em busca de “praticidade”, assim a indústria farmacêutica em busca de lucro oferece diversos medicamentos, que dizem ser inofensivos, omitindo efeitos colaterais. Portanto, gradativamente, torna-se indispensável para a vida, as vendas de medicamento. Idealizando nas mercadorias desejos que podem ser comprados e consumidos</w:t>
      </w:r>
      <w:r w:rsidRPr="00B61C26">
        <w:rPr>
          <w:rFonts w:ascii="Times New Roman" w:hAnsi="Times New Roman" w:cs="Times New Roman"/>
          <w:color w:val="000000"/>
          <w:sz w:val="24"/>
          <w:szCs w:val="24"/>
        </w:rPr>
        <w:t xml:space="preserve"> (LEFÈVRE, 1991).</w:t>
      </w:r>
    </w:p>
    <w:p w14:paraId="7A3D2D1C" w14:textId="77777777" w:rsidR="00D462B7" w:rsidRDefault="00D462B7" w:rsidP="00E86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A274B" w14:textId="0259EB3E" w:rsidR="00E61E3A" w:rsidRDefault="00D462B7" w:rsidP="0052765F">
      <w:pPr>
        <w:pStyle w:val="Corpodetexto"/>
        <w:spacing w:before="1" w:line="360" w:lineRule="auto"/>
        <w:ind w:left="708" w:right="108" w:firstLine="708"/>
        <w:jc w:val="both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bCs/>
        </w:rPr>
        <w:t xml:space="preserve">8 </w:t>
      </w:r>
      <w:r w:rsidR="006443EA" w:rsidRPr="000D7F00">
        <w:rPr>
          <w:rFonts w:ascii="Times New Roman" w:hAnsi="Times New Roman" w:cs="Times New Roman"/>
          <w:b/>
          <w:lang w:val="pt-BR"/>
        </w:rPr>
        <w:t>CONCLUSÃO</w:t>
      </w:r>
    </w:p>
    <w:p w14:paraId="3218AE40" w14:textId="77777777" w:rsidR="0089684A" w:rsidRDefault="0089684A" w:rsidP="0052765F">
      <w:pPr>
        <w:pStyle w:val="Corpodetexto"/>
        <w:spacing w:before="1" w:line="360" w:lineRule="auto"/>
        <w:ind w:right="108" w:firstLine="708"/>
        <w:jc w:val="both"/>
        <w:rPr>
          <w:rFonts w:ascii="Times New Roman" w:hAnsi="Times New Roman" w:cs="Times New Roman"/>
          <w:color w:val="000000"/>
        </w:rPr>
      </w:pPr>
    </w:p>
    <w:p w14:paraId="3720ACDB" w14:textId="68FF1749" w:rsidR="004C2402" w:rsidRPr="007A7BB7" w:rsidRDefault="004C2402" w:rsidP="004C240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B7">
        <w:rPr>
          <w:rFonts w:ascii="Times New Roman" w:hAnsi="Times New Roman" w:cs="Times New Roman"/>
          <w:sz w:val="24"/>
          <w:szCs w:val="24"/>
        </w:rPr>
        <w:lastRenderedPageBreak/>
        <w:t>O uso inadequado do paracetamol, pode gerar graves riscos à saúde, como toxicidade, reações adversas e complicações sistêmicas. O paracetamol, amplamente utilizado para dor e febre, é seguro em doses recomendadas, mas em quantidades superiores pode causar hepatotoxicidade grave. Assim, a procura por orientação farmacêutica é fundamental para minimizar os riscos de intoxicação e garantir o uso seguro dos Me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A7BB7">
        <w:rPr>
          <w:rFonts w:ascii="Times New Roman" w:hAnsi="Times New Roman" w:cs="Times New Roman"/>
          <w:sz w:val="24"/>
          <w:szCs w:val="24"/>
        </w:rPr>
        <w:t>icamentos Isentos de Prescrição (</w:t>
      </w:r>
      <w:r w:rsidR="00A73741" w:rsidRPr="007A7BB7">
        <w:rPr>
          <w:rFonts w:ascii="Times New Roman" w:hAnsi="Times New Roman" w:cs="Times New Roman"/>
          <w:sz w:val="24"/>
          <w:szCs w:val="24"/>
        </w:rPr>
        <w:t>MIP</w:t>
      </w:r>
      <w:r w:rsidRPr="007A7BB7">
        <w:rPr>
          <w:rFonts w:ascii="Times New Roman" w:hAnsi="Times New Roman" w:cs="Times New Roman"/>
          <w:sz w:val="24"/>
          <w:szCs w:val="24"/>
        </w:rPr>
        <w:t xml:space="preserve">), que são de fácil acesso e amplamente utilizados. </w:t>
      </w:r>
    </w:p>
    <w:p w14:paraId="4D5D7740" w14:textId="77777777" w:rsidR="004A2C6E" w:rsidRDefault="004A2C6E" w:rsidP="00C75F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CB086F" w14:textId="77777777" w:rsidR="00AD347A" w:rsidRDefault="00AD347A" w:rsidP="00C75F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971E07" w14:textId="77777777" w:rsidR="00AD347A" w:rsidRDefault="00AD347A" w:rsidP="00C75F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9F7AC3" w14:textId="77777777" w:rsidR="00AD347A" w:rsidRDefault="00AD347A" w:rsidP="00C75F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E120AE" w14:textId="77777777" w:rsidR="00CB5EED" w:rsidRDefault="00CB5EED" w:rsidP="00C75F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ECFAF3" w14:textId="77777777" w:rsidR="00730C45" w:rsidRDefault="00730C45" w:rsidP="00C75F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AFCB940" w14:textId="77777777" w:rsidR="00730C45" w:rsidRDefault="00730C45" w:rsidP="00C75F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6ABE14" w14:textId="77777777" w:rsidR="00730C45" w:rsidRDefault="00730C45" w:rsidP="00C75F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887CD24" w14:textId="77777777" w:rsidR="00730C45" w:rsidRDefault="00730C45" w:rsidP="00C75F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8285F0" w14:textId="77777777" w:rsidR="00730C45" w:rsidRDefault="00730C45" w:rsidP="00C75F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08807B" w14:textId="77777777" w:rsidR="00730C45" w:rsidRDefault="00730C45" w:rsidP="00C75F4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BBDB53" w14:textId="6E14F968" w:rsidR="001831AE" w:rsidRPr="00A81DE5" w:rsidRDefault="001831AE" w:rsidP="0052765F">
      <w:pPr>
        <w:pStyle w:val="Ttulo1"/>
        <w:numPr>
          <w:ilvl w:val="0"/>
          <w:numId w:val="19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79136718"/>
      <w:bookmarkStart w:id="17" w:name="_Toc179137269"/>
      <w:bookmarkStart w:id="18" w:name="_Toc179137328"/>
      <w:bookmarkStart w:id="19" w:name="_Toc179137329"/>
      <w:bookmarkStart w:id="20" w:name="_Toc179311769"/>
      <w:bookmarkEnd w:id="16"/>
      <w:bookmarkEnd w:id="17"/>
      <w:bookmarkEnd w:id="18"/>
      <w:r w:rsidRPr="00A81DE5">
        <w:rPr>
          <w:rFonts w:ascii="Times New Roman" w:hAnsi="Times New Roman" w:cs="Times New Roman"/>
          <w:b/>
          <w:color w:val="auto"/>
          <w:sz w:val="24"/>
          <w:szCs w:val="24"/>
        </w:rPr>
        <w:t>REFERÊNCIAS</w:t>
      </w:r>
      <w:bookmarkEnd w:id="19"/>
      <w:bookmarkEnd w:id="20"/>
      <w:r w:rsidR="009C11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BIBLIOGRÁFICAS</w:t>
      </w:r>
    </w:p>
    <w:p w14:paraId="2053EC4E" w14:textId="77777777" w:rsidR="00CB5EED" w:rsidRPr="001C05B0" w:rsidRDefault="00CB5EED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61E89" w14:textId="5FE58E3B" w:rsidR="00A81DE5" w:rsidRPr="001C05B0" w:rsidRDefault="00016711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ALVES, Jaqueline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Carlan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Marques; MAGALHÃES,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Edivane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Queiroz; JÚNIOR,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Omero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Martins Rodrigues.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 xml:space="preserve">A Automedicação Infantil Ocasionada Pelos Pais no Brasil.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,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Society</w:t>
      </w:r>
      <w:r w:rsidRPr="001C05B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C05B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, v. 10,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n.</w:t>
      </w:r>
      <w:r w:rsidRPr="001C05B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15,</w:t>
      </w:r>
      <w:r w:rsidRPr="001C05B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e581101523443,</w:t>
      </w:r>
      <w:r w:rsidRPr="001C05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2021.</w:t>
      </w:r>
    </w:p>
    <w:p w14:paraId="6FAF707B" w14:textId="1E4A970B" w:rsidR="00BC035B" w:rsidRPr="001C05B0" w:rsidRDefault="0059714D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</w:rPr>
        <w:t>ALBERTO S.F., PIRES S.S., FIGUEIREDO A., DEUS, J.R. Insuficiência Hepática Aguda. Acta Med. Port. 22(6):809-820, 2009</w:t>
      </w:r>
      <w:r w:rsidR="00444279" w:rsidRPr="001C05B0">
        <w:rPr>
          <w:rFonts w:ascii="Times New Roman" w:hAnsi="Times New Roman" w:cs="Times New Roman"/>
          <w:sz w:val="24"/>
          <w:szCs w:val="24"/>
        </w:rPr>
        <w:t>.</w:t>
      </w:r>
    </w:p>
    <w:p w14:paraId="67A3B513" w14:textId="35F9C6DB" w:rsidR="00BC035B" w:rsidRPr="001C05B0" w:rsidRDefault="0059714D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ALHO. Rosane da Costa</w:t>
      </w:r>
      <w:r w:rsidR="002660D0" w:rsidRPr="002660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660D0">
        <w:rPr>
          <w:rFonts w:ascii="Times New Roman" w:hAnsi="Times New Roman" w:cs="Times New Roman"/>
          <w:i/>
          <w:iCs/>
          <w:sz w:val="24"/>
          <w:szCs w:val="24"/>
        </w:rPr>
        <w:t xml:space="preserve"> et al.</w:t>
      </w:r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="00016711" w:rsidRPr="001C05B0">
        <w:rPr>
          <w:rFonts w:ascii="Times New Roman" w:hAnsi="Times New Roman" w:cs="Times New Roman"/>
          <w:sz w:val="24"/>
          <w:szCs w:val="24"/>
        </w:rPr>
        <w:t>A atuação do profissional farmacêutico diante da automedicação – Intoxicação</w:t>
      </w:r>
      <w:r w:rsidR="00016711" w:rsidRPr="001C05B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16711" w:rsidRPr="001C05B0">
        <w:rPr>
          <w:rFonts w:ascii="Times New Roman" w:hAnsi="Times New Roman" w:cs="Times New Roman"/>
          <w:sz w:val="24"/>
          <w:szCs w:val="24"/>
        </w:rPr>
        <w:t xml:space="preserve">medicamentosa por AINES. Pesquisa Sociedade e Desenvolvimento. </w:t>
      </w:r>
      <w:r w:rsidRPr="001C05B0">
        <w:rPr>
          <w:rFonts w:ascii="Times New Roman" w:hAnsi="Times New Roman" w:cs="Times New Roman"/>
          <w:sz w:val="24"/>
          <w:szCs w:val="24"/>
        </w:rPr>
        <w:t>V.11. n 14. Universidade de Nilton Lins. Manaus. 2022.</w:t>
      </w:r>
    </w:p>
    <w:p w14:paraId="6C22E619" w14:textId="02C0E288" w:rsidR="00BC035B" w:rsidRPr="001C05B0" w:rsidRDefault="00F45B35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lastRenderedPageBreak/>
        <w:t>ALMEIDA</w:t>
      </w:r>
      <w:r w:rsidR="0059714D" w:rsidRPr="001C05B0">
        <w:rPr>
          <w:rFonts w:ascii="Times New Roman" w:hAnsi="Times New Roman" w:cs="Times New Roman"/>
          <w:sz w:val="24"/>
          <w:szCs w:val="24"/>
        </w:rPr>
        <w:t>, H. E. P. P. J. (2009). Preparação e caracterização de dispersões sólidas e micropartículas lipídicas contendo Ibuprofeno (Dissertação), Porto: Faculdade de Farmácia da Universidade do Porto.</w:t>
      </w:r>
      <w:r w:rsidR="001C05B0">
        <w:rPr>
          <w:rFonts w:ascii="Times New Roman" w:hAnsi="Times New Roman" w:cs="Times New Roman"/>
          <w:sz w:val="24"/>
          <w:szCs w:val="24"/>
        </w:rPr>
        <w:t xml:space="preserve"> </w:t>
      </w:r>
      <w:r w:rsidR="001A5EAE" w:rsidRPr="001C05B0">
        <w:rPr>
          <w:rFonts w:ascii="Times New Roman" w:hAnsi="Times New Roman" w:cs="Times New Roman"/>
          <w:sz w:val="24"/>
          <w:szCs w:val="24"/>
        </w:rPr>
        <w:t>2009.</w:t>
      </w:r>
    </w:p>
    <w:p w14:paraId="6CBE7464" w14:textId="599D7663" w:rsidR="00BC035B" w:rsidRPr="001C05B0" w:rsidRDefault="003C522F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AKINGBOLA,</w:t>
      </w:r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OA, Singh D,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Kleinman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JA,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Frieberg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EM.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Functional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Adrenal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Insufficiency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Complicating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Overdose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Naproxen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Ibuprofen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Clinical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Pediatrics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. 2015;54(1):76-78. doi:</w:t>
      </w:r>
      <w:hyperlink r:id="rId13" w:history="1">
        <w:r w:rsidR="00B41FF4"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10.1177/0009922814537112</w:t>
        </w:r>
      </w:hyperlink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A5EA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</w:t>
      </w:r>
      <w:r w:rsid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576F6A" w14:textId="5C9ADA8A" w:rsidR="00BC035B" w:rsidRPr="001C05B0" w:rsidRDefault="00016711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ANVISA. Instrução Normativa Nº 11, de 29 de setembro de 2016. Dispõe sobre a lista de medicamentos isentos de prescrição. Diário Oficial da União. 30 set 2016; Seção 1:99. Disponível em: https://www.in.gov.br/materia/-/ asset_publisher/Kujrw0TZC2Mb/content/id/23376708/do1-2016-08-03-resolucao-rdc-n-98-de1-de-agosto-de-2016-23376586.</w:t>
      </w:r>
      <w:r w:rsidR="001A5EAE" w:rsidRPr="001C05B0"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76C51F30" w14:textId="0B8E88EB" w:rsidR="00BC035B" w:rsidRPr="001C05B0" w:rsidRDefault="00706AAA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ANVISA. Farmacopeia Brasileira. 6</w:t>
      </w:r>
      <w:r w:rsidRPr="001C05B0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1C05B0">
        <w:rPr>
          <w:rFonts w:ascii="Times New Roman" w:hAnsi="Times New Roman" w:cs="Times New Roman"/>
          <w:sz w:val="24"/>
          <w:szCs w:val="24"/>
        </w:rPr>
        <w:t>Ed. Volume II. Monografias. Insumos Farmacêuticos e Especialidades. Brasília.</w:t>
      </w:r>
      <w:r w:rsidR="001A5EAE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2019.</w:t>
      </w:r>
    </w:p>
    <w:p w14:paraId="0C16DBE2" w14:textId="65C1BB07" w:rsidR="00BC035B" w:rsidRPr="001C05B0" w:rsidRDefault="00BC035B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  <w:lang w:val="es-ES"/>
        </w:rPr>
        <w:t xml:space="preserve">BEJARANO, P. F. (2006). Ibuprofeno y analgesia. </w:t>
      </w:r>
      <w:r w:rsidRPr="001C05B0">
        <w:rPr>
          <w:rFonts w:ascii="Times New Roman" w:hAnsi="Times New Roman" w:cs="Times New Roman"/>
          <w:sz w:val="24"/>
          <w:szCs w:val="24"/>
        </w:rPr>
        <w:t>EMB (Ed. Esp.), 5., pp. 39-42</w:t>
      </w:r>
      <w:r w:rsidR="001A5EAE" w:rsidRPr="001C05B0">
        <w:rPr>
          <w:rFonts w:ascii="Times New Roman" w:hAnsi="Times New Roman" w:cs="Times New Roman"/>
          <w:sz w:val="24"/>
          <w:szCs w:val="24"/>
        </w:rPr>
        <w:t>.</w:t>
      </w:r>
      <w:r w:rsidR="001C05B0">
        <w:rPr>
          <w:rFonts w:ascii="Times New Roman" w:hAnsi="Times New Roman" w:cs="Times New Roman"/>
          <w:sz w:val="24"/>
          <w:szCs w:val="24"/>
        </w:rPr>
        <w:t xml:space="preserve"> </w:t>
      </w:r>
      <w:r w:rsidR="001A5EAE" w:rsidRPr="001C05B0">
        <w:rPr>
          <w:rFonts w:ascii="Times New Roman" w:hAnsi="Times New Roman" w:cs="Times New Roman"/>
          <w:sz w:val="24"/>
          <w:szCs w:val="24"/>
        </w:rPr>
        <w:t>2006.</w:t>
      </w:r>
    </w:p>
    <w:p w14:paraId="2E7DCD2B" w14:textId="43CAA773" w:rsidR="00BC035B" w:rsidRPr="001C05B0" w:rsidRDefault="00444279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BRASIL. Lei Nº 5991, de 17 de dezembro de 1973. Dispõe sobre o Controle Sanitário do Comércio de Drogas, Medicamentos, Insumos Farmacêuticos e Correlatos, e dá outras Providências.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Brasíla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, DF; 1973. Disponível em: </w:t>
      </w:r>
      <w:hyperlink r:id="rId14" w:history="1">
        <w:r w:rsidR="00A07818"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http://www.planalto.gov.br/ccivil_03/leis/l5991.htm</w:t>
        </w:r>
      </w:hyperlink>
      <w:r w:rsidRPr="001C05B0">
        <w:rPr>
          <w:rFonts w:ascii="Times New Roman" w:hAnsi="Times New Roman" w:cs="Times New Roman"/>
          <w:sz w:val="24"/>
          <w:szCs w:val="24"/>
        </w:rPr>
        <w:t>.</w:t>
      </w:r>
    </w:p>
    <w:p w14:paraId="5B4C895D" w14:textId="0D3D1FAC" w:rsidR="001009BA" w:rsidRPr="001C05B0" w:rsidRDefault="001009BA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BRUNE, K. (2007)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Persistence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NSAIDs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sites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disappearance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compartments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tolerability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Med Res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Opin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, 23, pp. 2985- 2995</w:t>
      </w:r>
      <w:r w:rsidR="001C05B0">
        <w:rPr>
          <w:rFonts w:ascii="Times New Roman" w:hAnsi="Times New Roman" w:cs="Times New Roman"/>
          <w:sz w:val="24"/>
          <w:szCs w:val="24"/>
        </w:rPr>
        <w:t>,</w:t>
      </w:r>
      <w:r w:rsidR="001A5EAE" w:rsidRPr="001C05B0">
        <w:rPr>
          <w:rFonts w:ascii="Times New Roman" w:hAnsi="Times New Roman" w:cs="Times New Roman"/>
          <w:sz w:val="24"/>
          <w:szCs w:val="24"/>
        </w:rPr>
        <w:t xml:space="preserve"> 2007.</w:t>
      </w:r>
    </w:p>
    <w:p w14:paraId="065A1F2C" w14:textId="056600A9" w:rsidR="00BE64E0" w:rsidRPr="001C05B0" w:rsidRDefault="00BE64E0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BUCARETCHI, Fábio, </w:t>
      </w:r>
      <w:r w:rsidRPr="00D031B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C05B0">
        <w:rPr>
          <w:rFonts w:ascii="Times New Roman" w:hAnsi="Times New Roman" w:cs="Times New Roman"/>
          <w:sz w:val="24"/>
          <w:szCs w:val="24"/>
        </w:rPr>
        <w:t>. Falência Hepática Aguda em Neonato de Termo Após Ingestão de Doses Repetidas de Paracetamol. Faculdade de Ciências Médicas da Universidade Estadual de Campinas (Unicamp), Rev. Paul Pediatr</w:t>
      </w:r>
      <w:r w:rsidR="00CC0055" w:rsidRPr="001C05B0">
        <w:rPr>
          <w:rFonts w:ascii="Times New Roman" w:hAnsi="Times New Roman" w:cs="Times New Roman"/>
          <w:sz w:val="24"/>
          <w:szCs w:val="24"/>
        </w:rPr>
        <w:t>a</w:t>
      </w:r>
      <w:r w:rsidRPr="001C05B0">
        <w:rPr>
          <w:rFonts w:ascii="Times New Roman" w:hAnsi="Times New Roman" w:cs="Times New Roman"/>
          <w:sz w:val="24"/>
          <w:szCs w:val="24"/>
        </w:rPr>
        <w:t xml:space="preserve"> 2014. Campinas, SP</w:t>
      </w:r>
      <w:r w:rsidR="001C05B0">
        <w:rPr>
          <w:rFonts w:ascii="Times New Roman" w:hAnsi="Times New Roman" w:cs="Times New Roman"/>
          <w:sz w:val="24"/>
          <w:szCs w:val="24"/>
        </w:rPr>
        <w:t>.</w:t>
      </w:r>
    </w:p>
    <w:p w14:paraId="677A96B4" w14:textId="27D6DF17" w:rsidR="00B561E7" w:rsidRPr="001C05B0" w:rsidRDefault="00B561E7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CASTRO, Pedro Luís Pereira </w:t>
      </w:r>
      <w:r w:rsidR="00CC0055" w:rsidRPr="001C05B0">
        <w:rPr>
          <w:rFonts w:ascii="Times New Roman" w:hAnsi="Times New Roman" w:cs="Times New Roman"/>
          <w:sz w:val="24"/>
          <w:szCs w:val="24"/>
        </w:rPr>
        <w:t>de. Farmacocinética</w:t>
      </w:r>
      <w:r w:rsidRPr="001C05B0">
        <w:rPr>
          <w:rFonts w:ascii="Times New Roman" w:hAnsi="Times New Roman" w:cs="Times New Roman"/>
          <w:sz w:val="24"/>
          <w:szCs w:val="24"/>
        </w:rPr>
        <w:t xml:space="preserve"> do paracetamol. Dissertação apresentada à Universidade Fernando Pessoa.</w:t>
      </w:r>
      <w:r w:rsidR="00B55CBB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 xml:space="preserve">2014. </w:t>
      </w:r>
    </w:p>
    <w:p w14:paraId="64F46B74" w14:textId="4D6FE9D9" w:rsidR="001F5FDC" w:rsidRPr="001C05B0" w:rsidRDefault="001F5FDC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CHIEW, </w:t>
      </w:r>
      <w:proofErr w:type="spellStart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Angela</w:t>
      </w:r>
      <w:proofErr w:type="spellEnd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L, BUCKLEY, Nicolau A. </w:t>
      </w:r>
      <w:proofErr w:type="spellStart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Acetaminophen</w:t>
      </w:r>
      <w:proofErr w:type="spellEnd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Poisoning</w:t>
      </w:r>
      <w:proofErr w:type="spellEnd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Crit</w:t>
      </w:r>
      <w:proofErr w:type="spellEnd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Care</w:t>
      </w:r>
      <w:proofErr w:type="spellEnd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Clin</w:t>
      </w:r>
      <w:proofErr w:type="spellEnd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2021 Jul;37(3):543-561. </w:t>
      </w:r>
      <w:proofErr w:type="spellStart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: 10.1016/j.ccc.2021.03.005. PMID: 34053705.</w:t>
      </w:r>
      <w:r w:rsidR="00B55CBB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2021.</w:t>
      </w:r>
    </w:p>
    <w:p w14:paraId="0FCB28D8" w14:textId="24D840F6" w:rsidR="001F5FDC" w:rsidRPr="001C05B0" w:rsidRDefault="001F5FDC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DALL'OLIO, Giancarlo; BETTI, et. al. </w:t>
      </w:r>
      <w:r w:rsidR="00016711" w:rsidRPr="001C05B0">
        <w:rPr>
          <w:rFonts w:ascii="Times New Roman" w:hAnsi="Times New Roman" w:cs="Times New Roman"/>
          <w:sz w:val="24"/>
          <w:szCs w:val="24"/>
        </w:rPr>
        <w:t>Agranulocitose induzida por dipirona. Grupo E</w:t>
      </w:r>
      <w:r w:rsidR="0037585A" w:rsidRPr="001C05B0">
        <w:rPr>
          <w:rFonts w:ascii="Times New Roman" w:hAnsi="Times New Roman" w:cs="Times New Roman"/>
          <w:sz w:val="24"/>
          <w:szCs w:val="24"/>
        </w:rPr>
        <w:t xml:space="preserve">ditorial </w:t>
      </w:r>
      <w:r w:rsidR="00016711" w:rsidRPr="001C05B0">
        <w:rPr>
          <w:rFonts w:ascii="Times New Roman" w:hAnsi="Times New Roman" w:cs="Times New Roman"/>
          <w:sz w:val="24"/>
          <w:szCs w:val="24"/>
        </w:rPr>
        <w:t xml:space="preserve">Moreira Jr. </w:t>
      </w:r>
      <w:r w:rsidRPr="001C05B0">
        <w:rPr>
          <w:rFonts w:ascii="Times New Roman" w:hAnsi="Times New Roman" w:cs="Times New Roman"/>
          <w:sz w:val="24"/>
          <w:szCs w:val="24"/>
        </w:rPr>
        <w:t>São Paulo, 2003.</w:t>
      </w:r>
    </w:p>
    <w:p w14:paraId="1E2739D5" w14:textId="7DEF189D" w:rsidR="004E0ABF" w:rsidRPr="001C05B0" w:rsidRDefault="004E0ABF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  <w:lang w:val="es-ES"/>
        </w:rPr>
        <w:lastRenderedPageBreak/>
        <w:t>DELEVANTTI, Simone. F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alência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Hepática Aguda em Adolescente Após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Iingestão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Proposital de Paracetamol com Ideação Suicida: Relato de Caso. UFRS. Faculdade de Farmácia. Porto Alegre, 2021.</w:t>
      </w:r>
    </w:p>
    <w:p w14:paraId="7FEAA8ED" w14:textId="244EFE4F" w:rsidR="001F5FDC" w:rsidRPr="001C05B0" w:rsidRDefault="001F5FDC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DIOGO M. N. A. dipirona: Segurança do uso e monitoramento da qualidade de comprimidos orais. Dissertação (Pós- Graduação em Vigilância </w:t>
      </w:r>
      <w:r w:rsidR="00967C84" w:rsidRPr="001C05B0">
        <w:rPr>
          <w:rFonts w:ascii="Times New Roman" w:hAnsi="Times New Roman" w:cs="Times New Roman"/>
          <w:sz w:val="24"/>
          <w:szCs w:val="24"/>
        </w:rPr>
        <w:t>Sanitária) -</w:t>
      </w:r>
      <w:r w:rsidRPr="001C05B0">
        <w:rPr>
          <w:rFonts w:ascii="Times New Roman" w:hAnsi="Times New Roman" w:cs="Times New Roman"/>
          <w:sz w:val="24"/>
          <w:szCs w:val="24"/>
        </w:rPr>
        <w:t xml:space="preserve"> Instituto Nacional de Controle de Qualidade em Saúde, Fundação Oswaldo Cruz, 2003.</w:t>
      </w:r>
    </w:p>
    <w:p w14:paraId="685F90B8" w14:textId="7D7D3B92" w:rsidR="001F5FDC" w:rsidRPr="001C05B0" w:rsidRDefault="001F5FDC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76601349"/>
      <w:r w:rsidRPr="001C05B0">
        <w:rPr>
          <w:rFonts w:ascii="Times New Roman" w:hAnsi="Times New Roman" w:cs="Times New Roman"/>
          <w:sz w:val="24"/>
          <w:szCs w:val="24"/>
        </w:rPr>
        <w:t xml:space="preserve">DUARTE, Fernanda Gross, </w:t>
      </w:r>
      <w:r w:rsidR="00871106" w:rsidRPr="00D031B2">
        <w:rPr>
          <w:rFonts w:ascii="Times New Roman" w:hAnsi="Times New Roman" w:cs="Times New Roman"/>
          <w:sz w:val="24"/>
          <w:szCs w:val="24"/>
        </w:rPr>
        <w:t>et al</w:t>
      </w:r>
      <w:r w:rsidR="00871106" w:rsidRPr="001C05B0">
        <w:rPr>
          <w:rFonts w:ascii="Times New Roman" w:hAnsi="Times New Roman" w:cs="Times New Roman"/>
          <w:sz w:val="24"/>
          <w:szCs w:val="24"/>
        </w:rPr>
        <w:t xml:space="preserve">. </w:t>
      </w:r>
      <w:r w:rsidRPr="001C05B0">
        <w:rPr>
          <w:rFonts w:ascii="Times New Roman" w:hAnsi="Times New Roman" w:cs="Times New Roman"/>
          <w:sz w:val="24"/>
          <w:szCs w:val="24"/>
        </w:rPr>
        <w:t xml:space="preserve">Óbitos e internações decorrentes de intoxicações por medicamentos com prescrição e isentos de prescrição, no Brasil.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="0037585A" w:rsidRPr="001C05B0">
        <w:rPr>
          <w:rFonts w:ascii="Times New Roman" w:hAnsi="Times New Roman" w:cs="Times New Roman"/>
          <w:sz w:val="24"/>
          <w:szCs w:val="24"/>
        </w:rPr>
        <w:t>Saúde</w:t>
      </w:r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="0037585A" w:rsidRPr="001C05B0">
        <w:rPr>
          <w:rFonts w:ascii="Times New Roman" w:hAnsi="Times New Roman" w:cs="Times New Roman"/>
          <w:sz w:val="24"/>
          <w:szCs w:val="24"/>
        </w:rPr>
        <w:t>Pública</w:t>
      </w:r>
      <w:r w:rsidRPr="001C05B0">
        <w:rPr>
          <w:rFonts w:ascii="Times New Roman" w:hAnsi="Times New Roman" w:cs="Times New Roman"/>
          <w:sz w:val="24"/>
          <w:szCs w:val="24"/>
        </w:rPr>
        <w:t xml:space="preserve">. </w:t>
      </w:r>
      <w:r w:rsidR="00314E2A" w:rsidRPr="001C05B0">
        <w:rPr>
          <w:rFonts w:ascii="Times New Roman" w:hAnsi="Times New Roman" w:cs="Times New Roman"/>
          <w:sz w:val="24"/>
          <w:szCs w:val="24"/>
        </w:rPr>
        <w:t>2021; 55:81</w:t>
      </w:r>
      <w:r w:rsidRPr="001C05B0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https://doi.org/10.11606/s1518- 8787.2021055003551</w:t>
        </w:r>
      </w:hyperlink>
      <w:r w:rsidRPr="001C05B0">
        <w:rPr>
          <w:rFonts w:ascii="Times New Roman" w:hAnsi="Times New Roman" w:cs="Times New Roman"/>
          <w:sz w:val="24"/>
          <w:szCs w:val="24"/>
        </w:rPr>
        <w:t>.</w:t>
      </w:r>
    </w:p>
    <w:bookmarkEnd w:id="21"/>
    <w:p w14:paraId="75DF3496" w14:textId="511F1297" w:rsidR="006130A2" w:rsidRPr="001C05B0" w:rsidRDefault="006130A2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FARIAS. Paloma de Oliveira, Avaliação das Intoxicações por Paracetamol no Hospital de Urgência e Emergência da Rede Pública/Brasil. FHEMIG, Anais do Fórum Científico. Belo Horizonte</w:t>
      </w:r>
      <w:r w:rsidR="001C05B0">
        <w:rPr>
          <w:rFonts w:ascii="Times New Roman" w:hAnsi="Times New Roman" w:cs="Times New Roman"/>
          <w:sz w:val="24"/>
          <w:szCs w:val="24"/>
        </w:rPr>
        <w:t>.</w:t>
      </w:r>
      <w:r w:rsidRPr="001C05B0">
        <w:rPr>
          <w:rFonts w:ascii="Times New Roman" w:hAnsi="Times New Roman" w:cs="Times New Roman"/>
          <w:sz w:val="24"/>
          <w:szCs w:val="24"/>
        </w:rPr>
        <w:t xml:space="preserve"> 2021. Em:  https://doi.org/10.21450/rahis.v18i4.7304 ▪p. 39-46.</w:t>
      </w:r>
    </w:p>
    <w:p w14:paraId="248FEFD3" w14:textId="2D9727D8" w:rsidR="00AC7015" w:rsidRPr="001C05B0" w:rsidRDefault="00AC7015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GEISSLINGER, G., Stock, KP, Bach, GL</w:t>
      </w:r>
      <w:r w:rsidR="00D031B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031B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 Diferenças farmacológicas entre R(-)-e S(+)-ibuprofeno. Agentes e Ações </w:t>
      </w:r>
      <w:r w:rsidR="00314E2A" w:rsidRPr="001C05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27</w:t>
      </w:r>
      <w:r w:rsidR="00314E2A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455–457 (1989). </w:t>
      </w:r>
      <w:hyperlink r:id="rId16" w:history="1">
        <w:r w:rsidR="00B55CBB"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https://doi.org/10.1007/BF01972851</w:t>
        </w:r>
      </w:hyperlink>
      <w:r w:rsid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55CBB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1989.</w:t>
      </w:r>
    </w:p>
    <w:p w14:paraId="76C74244" w14:textId="23EB1FEA" w:rsidR="00B41FF4" w:rsidRPr="001C05B0" w:rsidRDefault="00A97EBC" w:rsidP="005276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GEITH</w:t>
      </w:r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S, Renner B,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Rabe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C,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Stenzel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J,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Eyer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F.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Ibuprofen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plasma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concentration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profile in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deliberate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ibuprofen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overdose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with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circulatory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depression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treated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with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therapeutic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plasma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exchange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a case report. BMC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Pharmacol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Toxicol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2017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Dec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12;18(1):81. </w:t>
      </w:r>
      <w:proofErr w:type="spellStart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doi</w:t>
      </w:r>
      <w:proofErr w:type="spellEnd"/>
      <w:r w:rsidR="00B41FF4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: 10.1186/s40360-017-0187-9. PMID: 29233194; PMCID: PMC5728060.</w:t>
      </w:r>
      <w:r w:rsid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5CBB" w:rsidRPr="001C05B0">
        <w:rPr>
          <w:rFonts w:ascii="Times New Roman" w:eastAsia="Times New Roman" w:hAnsi="Times New Roman" w:cs="Times New Roman"/>
          <w:sz w:val="24"/>
          <w:szCs w:val="24"/>
          <w:lang w:eastAsia="pt-BR"/>
        </w:rPr>
        <w:t>2017.</w:t>
      </w:r>
    </w:p>
    <w:p w14:paraId="135BE617" w14:textId="4184579D" w:rsidR="00B41FF4" w:rsidRPr="001C05B0" w:rsidRDefault="00F82EF6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GHANNOUM,</w:t>
      </w:r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Kazim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S,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Grunbaum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AM, Villeneuve E,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Gosselin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S.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Massive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acetaminophen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overdose: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effect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hemodialysis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acetaminophen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acetylcysteine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kinetics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Clin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Toxicol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Phila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2016 Jul;54(6):519-22.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: 10.1080/15563650.2016.1175006. E</w:t>
      </w:r>
      <w:r w:rsidR="006E6A7B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ub 2016 </w:t>
      </w:r>
      <w:proofErr w:type="spellStart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Apr</w:t>
      </w:r>
      <w:proofErr w:type="spellEnd"/>
      <w:r w:rsidR="005532A6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27. PMID: 27118496</w:t>
      </w:r>
      <w:r w:rsidR="00F0026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55CBB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2016.</w:t>
      </w:r>
    </w:p>
    <w:p w14:paraId="27A51DB3" w14:textId="62398BB0" w:rsidR="00E83438" w:rsidRPr="001C05B0" w:rsidRDefault="00016711" w:rsidP="00B87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GONÇALVES,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Claudiana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Aguila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;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C05B0">
        <w:rPr>
          <w:rFonts w:ascii="Times New Roman" w:hAnsi="Times New Roman" w:cs="Times New Roman"/>
          <w:sz w:val="24"/>
          <w:szCs w:val="24"/>
        </w:rPr>
        <w:t xml:space="preserve">; Intoxicação Medicamentosa: Relacionada ao uso Indiscriminado de Medicamentos. Revista Científica da Faculdade de Educação e Meio Ambiente, v. 8, n. 1, 135-143, jan.-jun., 2017. </w:t>
      </w:r>
      <w:r w:rsidR="009B0752" w:rsidRPr="001C05B0">
        <w:rPr>
          <w:rFonts w:ascii="Times New Roman" w:hAnsi="Times New Roman" w:cs="Times New Roman"/>
          <w:sz w:val="24"/>
          <w:szCs w:val="24"/>
        </w:rPr>
        <w:t>Ariquemes</w:t>
      </w:r>
      <w:r w:rsidR="00836E8B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="009B0752" w:rsidRPr="001C05B0">
        <w:rPr>
          <w:rFonts w:ascii="Times New Roman" w:hAnsi="Times New Roman" w:cs="Times New Roman"/>
          <w:sz w:val="24"/>
          <w:szCs w:val="24"/>
        </w:rPr>
        <w:t>-</w:t>
      </w:r>
      <w:r w:rsidR="00836E8B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="009B0752" w:rsidRPr="001C05B0">
        <w:rPr>
          <w:rFonts w:ascii="Times New Roman" w:hAnsi="Times New Roman" w:cs="Times New Roman"/>
          <w:sz w:val="24"/>
          <w:szCs w:val="24"/>
        </w:rPr>
        <w:t>RO.</w:t>
      </w:r>
    </w:p>
    <w:p w14:paraId="308DA5D5" w14:textId="23B1F2CD" w:rsidR="00491B11" w:rsidRPr="001C05B0" w:rsidRDefault="00491B11" w:rsidP="0049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HAMERSCHLAK N; MALUF E; PASQUINI, R.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C05B0">
        <w:rPr>
          <w:rFonts w:ascii="Times New Roman" w:hAnsi="Times New Roman" w:cs="Times New Roman"/>
          <w:sz w:val="24"/>
          <w:szCs w:val="24"/>
        </w:rPr>
        <w:t xml:space="preserve">. A incidência de anemia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aplástica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e agranulocitose na América Latina: o estudo LATIN. São Paulo Med. J. 2005; 123 (3): 101-4</w:t>
      </w:r>
      <w:r w:rsidR="00F00268">
        <w:rPr>
          <w:rFonts w:ascii="Times New Roman" w:hAnsi="Times New Roman" w:cs="Times New Roman"/>
          <w:sz w:val="24"/>
          <w:szCs w:val="24"/>
        </w:rPr>
        <w:t xml:space="preserve">, </w:t>
      </w:r>
      <w:r w:rsidRPr="001C05B0">
        <w:rPr>
          <w:rFonts w:ascii="Times New Roman" w:hAnsi="Times New Roman" w:cs="Times New Roman"/>
          <w:sz w:val="24"/>
          <w:szCs w:val="24"/>
        </w:rPr>
        <w:t>2005.</w:t>
      </w:r>
    </w:p>
    <w:p w14:paraId="7DC85AB1" w14:textId="0B35281C" w:rsidR="00F9553F" w:rsidRPr="001C05B0" w:rsidRDefault="00F9553F" w:rsidP="00B87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lastRenderedPageBreak/>
        <w:t xml:space="preserve">HERRERA, Soledad,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Intoxicación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intencional por paracetamol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adolescentes. Un problema de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creciente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A propósito de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caso. UDELAR.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Archivos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Pediatría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2A77944C" w14:textId="1C6E1B5C" w:rsidR="00491B11" w:rsidRPr="001C05B0" w:rsidRDefault="00491B11" w:rsidP="0049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HENRY, D. A.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C05B0">
        <w:rPr>
          <w:rFonts w:ascii="Times New Roman" w:hAnsi="Times New Roman" w:cs="Times New Roman"/>
          <w:sz w:val="24"/>
          <w:szCs w:val="24"/>
        </w:rPr>
        <w:t xml:space="preserve"> (1998) Adverse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gastrointestinal system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attributed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ibuprofen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Rainsford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KD,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Powanda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MC (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prescription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(OTC)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analgesics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NSAIDs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Dodrecht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, pp 19- 45</w:t>
      </w:r>
      <w:r w:rsidR="005B76C5">
        <w:rPr>
          <w:rFonts w:ascii="Times New Roman" w:hAnsi="Times New Roman" w:cs="Times New Roman"/>
          <w:sz w:val="24"/>
          <w:szCs w:val="24"/>
        </w:rPr>
        <w:t xml:space="preserve">, </w:t>
      </w:r>
      <w:r w:rsidRPr="001C05B0">
        <w:rPr>
          <w:rFonts w:ascii="Times New Roman" w:hAnsi="Times New Roman" w:cs="Times New Roman"/>
          <w:sz w:val="24"/>
          <w:szCs w:val="24"/>
        </w:rPr>
        <w:t>1998.</w:t>
      </w:r>
    </w:p>
    <w:p w14:paraId="025AC9E4" w14:textId="307F3EF7" w:rsidR="009D3EE7" w:rsidRPr="001C05B0" w:rsidRDefault="00016711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  <w:lang w:val="en-GB"/>
        </w:rPr>
        <w:t xml:space="preserve">HE Yue-Ying, ZHANG, Bao-Xu, JIA, Feng-Lan Jia. Protective effects of 2,4-dihydroxybenzophenone against acetaminophen-induced hepatotoxicity in mice. </w:t>
      </w:r>
      <w:r w:rsidR="009D3EE7" w:rsidRPr="001C05B0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="009D3EE7" w:rsidRPr="001C05B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9D3EE7"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7" w:rsidRPr="001C05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D3EE7"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EE7" w:rsidRPr="001C05B0">
        <w:rPr>
          <w:rFonts w:ascii="Times New Roman" w:hAnsi="Times New Roman" w:cs="Times New Roman"/>
          <w:sz w:val="24"/>
          <w:szCs w:val="24"/>
        </w:rPr>
        <w:t>Gastroenterology</w:t>
      </w:r>
      <w:proofErr w:type="spellEnd"/>
      <w:r w:rsidR="009D3EE7" w:rsidRPr="001C05B0">
        <w:rPr>
          <w:rFonts w:ascii="Times New Roman" w:hAnsi="Times New Roman" w:cs="Times New Roman"/>
          <w:sz w:val="24"/>
          <w:szCs w:val="24"/>
        </w:rPr>
        <w:t>. 17(21): 2663-2666,</w:t>
      </w:r>
      <w:r w:rsidR="00B55CBB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="009D3EE7" w:rsidRPr="001C05B0">
        <w:rPr>
          <w:rFonts w:ascii="Times New Roman" w:hAnsi="Times New Roman" w:cs="Times New Roman"/>
          <w:sz w:val="24"/>
          <w:szCs w:val="24"/>
        </w:rPr>
        <w:t>2011.</w:t>
      </w:r>
    </w:p>
    <w:p w14:paraId="44C1247C" w14:textId="72A81F88" w:rsidR="0085107E" w:rsidRPr="001C05B0" w:rsidRDefault="0085107E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HIGUCHI, T.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sustained-action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medication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release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dispersed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matrices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., 52, pp. 1145– 1149</w:t>
      </w:r>
      <w:r w:rsidR="005B76C5">
        <w:rPr>
          <w:rFonts w:ascii="Times New Roman" w:hAnsi="Times New Roman" w:cs="Times New Roman"/>
          <w:sz w:val="24"/>
          <w:szCs w:val="24"/>
        </w:rPr>
        <w:t xml:space="preserve">, </w:t>
      </w:r>
      <w:r w:rsidR="00D41CFF" w:rsidRPr="001C05B0">
        <w:rPr>
          <w:rFonts w:ascii="Times New Roman" w:hAnsi="Times New Roman" w:cs="Times New Roman"/>
          <w:sz w:val="24"/>
          <w:szCs w:val="24"/>
        </w:rPr>
        <w:t>1963.</w:t>
      </w:r>
    </w:p>
    <w:p w14:paraId="6FFFDE22" w14:textId="3BDA3500" w:rsidR="00E63335" w:rsidRPr="001C05B0" w:rsidRDefault="00E63335" w:rsidP="0052765F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1C05B0">
        <w:rPr>
          <w:rFonts w:ascii="Times New Roman" w:hAnsi="Times New Roman" w:cs="Times New Roman"/>
          <w:sz w:val="24"/>
          <w:szCs w:val="24"/>
          <w:lang w:val="en-US"/>
        </w:rPr>
        <w:t xml:space="preserve">JONES, A.L. Mechanism of action and value of </w:t>
      </w:r>
      <w:proofErr w:type="spellStart"/>
      <w:r w:rsidRPr="001C05B0">
        <w:rPr>
          <w:rFonts w:ascii="Times New Roman" w:hAnsi="Times New Roman" w:cs="Times New Roman"/>
          <w:sz w:val="24"/>
          <w:szCs w:val="24"/>
          <w:lang w:val="en-US"/>
        </w:rPr>
        <w:t>Nacetylcysteine</w:t>
      </w:r>
      <w:proofErr w:type="spellEnd"/>
      <w:r w:rsidRPr="001C05B0">
        <w:rPr>
          <w:rFonts w:ascii="Times New Roman" w:hAnsi="Times New Roman" w:cs="Times New Roman"/>
          <w:sz w:val="24"/>
          <w:szCs w:val="24"/>
          <w:lang w:val="en-US"/>
        </w:rPr>
        <w:t xml:space="preserve"> in the treatment of early and late acetaminophen poisoning: a critical review.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Toxicology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. 36(4):277-285,</w:t>
      </w:r>
      <w:r w:rsidR="00B55CBB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1998.</w:t>
      </w:r>
    </w:p>
    <w:p w14:paraId="45F9B8EE" w14:textId="1216DB68" w:rsidR="00E63335" w:rsidRPr="001C05B0" w:rsidRDefault="00E63335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KNAPPMANN, A. L; MELO E. B. “Qualidade de medicamentos isentos de prescrição: um estudo com marcas de dipirona comercializadas em uma drogaria de Cascavel (PR, Brasil)”. Ciência &amp; Saúde Coletiva. vol.15 supl.3, Rio de Janeiro, </w:t>
      </w:r>
      <w:r w:rsidR="008440A5" w:rsidRPr="001C05B0">
        <w:rPr>
          <w:rFonts w:ascii="Times New Roman" w:hAnsi="Times New Roman" w:cs="Times New Roman"/>
          <w:sz w:val="24"/>
          <w:szCs w:val="24"/>
        </w:rPr>
        <w:t>nov.</w:t>
      </w:r>
      <w:r w:rsidRPr="001C05B0">
        <w:rPr>
          <w:rFonts w:ascii="Times New Roman" w:hAnsi="Times New Roman" w:cs="Times New Roman"/>
          <w:sz w:val="24"/>
          <w:szCs w:val="24"/>
        </w:rPr>
        <w:t>/2010.</w:t>
      </w:r>
    </w:p>
    <w:p w14:paraId="75E2DF5C" w14:textId="4C20B428" w:rsidR="00491B11" w:rsidRPr="001C05B0" w:rsidRDefault="00E63335" w:rsidP="0049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LEAL B. M; DANIELLI P. Avaliação da segurança da dipirona: uma revisão. Pontifícia Universidade Católica do Rio Grande do Sul – PUCRS. Faculdade de farmácia. Revista Brasileira de Farmácia 84(1): 17-20,</w:t>
      </w:r>
      <w:r w:rsidR="00B55CBB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2003.</w:t>
      </w:r>
    </w:p>
    <w:p w14:paraId="139DFC78" w14:textId="10FD1CF5" w:rsidR="00491B11" w:rsidRPr="001C05B0" w:rsidRDefault="00491B11" w:rsidP="00491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LEFÈVRE, Fernando. O medicamento como mercadoria simbólica. Editora Cortez. São Paulo, 1991. p 207.</w:t>
      </w:r>
    </w:p>
    <w:p w14:paraId="450BC9B7" w14:textId="6F0F37DF" w:rsidR="00E63335" w:rsidRPr="001C05B0" w:rsidRDefault="00E63335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LEWIS, S. Nelson,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C0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Goldfrank's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toxicologic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emergencies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. 9nd. ed. New York: McGraw-Hill Professional</w:t>
      </w:r>
      <w:r w:rsidR="00B55CBB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2011.</w:t>
      </w:r>
    </w:p>
    <w:p w14:paraId="0BF6B5BA" w14:textId="40C30C62" w:rsidR="00EE12CC" w:rsidRPr="001C05B0" w:rsidRDefault="00EE12CC" w:rsidP="0052765F">
      <w:pPr>
        <w:spacing w:line="360" w:lineRule="auto"/>
        <w:jc w:val="both"/>
      </w:pPr>
      <w:r w:rsidRPr="001C05B0">
        <w:rPr>
          <w:rFonts w:ascii="Times New Roman" w:hAnsi="Times New Roman" w:cs="Times New Roman"/>
          <w:sz w:val="24"/>
          <w:szCs w:val="24"/>
        </w:rPr>
        <w:t>LIMA</w:t>
      </w:r>
      <w:r w:rsidRPr="001C0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05B0">
        <w:rPr>
          <w:rFonts w:ascii="Times New Roman" w:hAnsi="Times New Roman" w:cs="Times New Roman"/>
          <w:sz w:val="24"/>
          <w:szCs w:val="24"/>
        </w:rPr>
        <w:t xml:space="preserve">, Leticia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Mirelle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Vieira. Avaliação Toxicológica das Apresentações de Ácido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Acetilsalícilico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e Paracetamol Frente à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Artemia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salina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leach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. UFCG. Cuité-PB</w:t>
      </w:r>
      <w:r w:rsidR="00402263">
        <w:rPr>
          <w:rFonts w:ascii="Times New Roman" w:hAnsi="Times New Roman" w:cs="Times New Roman"/>
          <w:sz w:val="24"/>
          <w:szCs w:val="24"/>
        </w:rPr>
        <w:t xml:space="preserve">, </w:t>
      </w:r>
      <w:r w:rsidRPr="001C05B0">
        <w:rPr>
          <w:rFonts w:ascii="Times New Roman" w:hAnsi="Times New Roman" w:cs="Times New Roman"/>
          <w:sz w:val="24"/>
          <w:szCs w:val="24"/>
        </w:rPr>
        <w:t>2019</w:t>
      </w:r>
    </w:p>
    <w:p w14:paraId="52152DDC" w14:textId="273E13F2" w:rsidR="00E63335" w:rsidRPr="001C05B0" w:rsidRDefault="00016711" w:rsidP="0052765F">
      <w:pPr>
        <w:spacing w:line="360" w:lineRule="auto"/>
        <w:jc w:val="both"/>
      </w:pPr>
      <w:bookmarkStart w:id="22" w:name="_Hlk176601280"/>
      <w:r w:rsidRPr="001C05B0">
        <w:rPr>
          <w:rFonts w:ascii="Times New Roman" w:hAnsi="Times New Roman" w:cs="Times New Roman"/>
          <w:sz w:val="24"/>
          <w:szCs w:val="24"/>
          <w:lang w:val="es-ES"/>
        </w:rPr>
        <w:t>LIMA</w:t>
      </w:r>
      <w:r w:rsidR="00EE12CC" w:rsidRPr="001C05B0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1C05B0">
        <w:rPr>
          <w:rFonts w:ascii="Times New Roman" w:hAnsi="Times New Roman" w:cs="Times New Roman"/>
          <w:sz w:val="24"/>
          <w:szCs w:val="24"/>
          <w:lang w:val="es-ES"/>
        </w:rPr>
        <w:t xml:space="preserve">, Clara Paiva, </w:t>
      </w:r>
      <w:r w:rsidRPr="008B4344">
        <w:rPr>
          <w:rFonts w:ascii="Times New Roman" w:hAnsi="Times New Roman" w:cs="Times New Roman"/>
          <w:i/>
          <w:iCs/>
          <w:sz w:val="24"/>
          <w:szCs w:val="24"/>
          <w:lang w:val="es-ES"/>
        </w:rPr>
        <w:t>et al</w:t>
      </w:r>
      <w:r w:rsidRPr="001C05B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55CBB" w:rsidRPr="001C05B0">
        <w:rPr>
          <w:rFonts w:ascii="Times New Roman" w:hAnsi="Times New Roman" w:cs="Times New Roman"/>
          <w:sz w:val="24"/>
          <w:szCs w:val="24"/>
        </w:rPr>
        <w:t>Avaliação Farmacêutica dos Riscos do Uso dos Anti</w:t>
      </w:r>
      <w:r w:rsidR="0067223D">
        <w:rPr>
          <w:rFonts w:ascii="Times New Roman" w:hAnsi="Times New Roman" w:cs="Times New Roman"/>
          <w:sz w:val="24"/>
          <w:szCs w:val="24"/>
        </w:rPr>
        <w:t>-</w:t>
      </w:r>
      <w:r w:rsidR="00B55CBB" w:rsidRPr="001C05B0">
        <w:rPr>
          <w:rFonts w:ascii="Times New Roman" w:hAnsi="Times New Roman" w:cs="Times New Roman"/>
          <w:sz w:val="24"/>
          <w:szCs w:val="24"/>
        </w:rPr>
        <w:t>inflamatórios não Esteroidais</w:t>
      </w:r>
      <w:r w:rsidR="00E63335" w:rsidRPr="001C05B0">
        <w:rPr>
          <w:rFonts w:ascii="Times New Roman" w:hAnsi="Times New Roman" w:cs="Times New Roman"/>
          <w:sz w:val="24"/>
          <w:szCs w:val="24"/>
        </w:rPr>
        <w:t>. Universidade Santa Cecilia- Santos/SP</w:t>
      </w:r>
      <w:r w:rsidR="00402263">
        <w:rPr>
          <w:rFonts w:ascii="Times New Roman" w:hAnsi="Times New Roman" w:cs="Times New Roman"/>
          <w:sz w:val="24"/>
          <w:szCs w:val="24"/>
        </w:rPr>
        <w:t xml:space="preserve">, </w:t>
      </w:r>
      <w:r w:rsidR="00E63335" w:rsidRPr="001C05B0">
        <w:rPr>
          <w:rFonts w:ascii="Times New Roman" w:hAnsi="Times New Roman" w:cs="Times New Roman"/>
          <w:sz w:val="24"/>
          <w:szCs w:val="24"/>
        </w:rPr>
        <w:t>20</w:t>
      </w:r>
      <w:r w:rsidR="00EF0A0B" w:rsidRPr="001C05B0">
        <w:rPr>
          <w:rFonts w:ascii="Times New Roman" w:hAnsi="Times New Roman" w:cs="Times New Roman"/>
          <w:sz w:val="24"/>
          <w:szCs w:val="24"/>
        </w:rPr>
        <w:t>20</w:t>
      </w:r>
      <w:r w:rsidR="00E63335" w:rsidRPr="001C05B0">
        <w:rPr>
          <w:rFonts w:ascii="Times New Roman" w:hAnsi="Times New Roman" w:cs="Times New Roman"/>
          <w:sz w:val="24"/>
          <w:szCs w:val="24"/>
        </w:rPr>
        <w:t>.</w:t>
      </w:r>
    </w:p>
    <w:bookmarkEnd w:id="22"/>
    <w:p w14:paraId="0590B408" w14:textId="4401A3F8" w:rsidR="00BE36EA" w:rsidRPr="001C05B0" w:rsidRDefault="00850C38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MANCIPE</w:t>
      </w:r>
      <w:r w:rsidR="00BE36EA" w:rsidRPr="001C05B0">
        <w:rPr>
          <w:rFonts w:ascii="Times New Roman" w:hAnsi="Times New Roman" w:cs="Times New Roman"/>
          <w:sz w:val="24"/>
          <w:szCs w:val="24"/>
        </w:rPr>
        <w:t>, Liliana C., Fernández, Diana C, Fernández, Daniel G. Intoxicação por Paracetamol. Revista da Faculdade de Medicina. Bogotá</w:t>
      </w:r>
      <w:r w:rsidR="00965B13">
        <w:rPr>
          <w:rFonts w:ascii="Times New Roman" w:hAnsi="Times New Roman" w:cs="Times New Roman"/>
          <w:sz w:val="24"/>
          <w:szCs w:val="24"/>
        </w:rPr>
        <w:t>,</w:t>
      </w:r>
      <w:r w:rsidR="00BE36EA" w:rsidRPr="001C05B0">
        <w:rPr>
          <w:rFonts w:ascii="Times New Roman" w:hAnsi="Times New Roman" w:cs="Times New Roman"/>
          <w:sz w:val="24"/>
          <w:szCs w:val="24"/>
        </w:rPr>
        <w:t xml:space="preserve"> 2010.</w:t>
      </w:r>
    </w:p>
    <w:p w14:paraId="59F6D549" w14:textId="37E8F652" w:rsidR="00A81DE5" w:rsidRPr="001C05B0" w:rsidRDefault="0099105F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lastRenderedPageBreak/>
        <w:t xml:space="preserve">MARANO, Marcos.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C05B0">
        <w:rPr>
          <w:rFonts w:ascii="Times New Roman" w:hAnsi="Times New Roman" w:cs="Times New Roman"/>
          <w:sz w:val="24"/>
          <w:szCs w:val="24"/>
        </w:rPr>
        <w:t xml:space="preserve"> Adverse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 paracetamol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ibuprofen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in 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: a 5-year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 a 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poison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center in 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Italian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. Roma</w:t>
      </w:r>
      <w:r w:rsidR="00965B13">
        <w:rPr>
          <w:rFonts w:ascii="Times New Roman" w:hAnsi="Times New Roman" w:cs="Times New Roman"/>
          <w:sz w:val="24"/>
          <w:szCs w:val="24"/>
        </w:rPr>
        <w:t>,</w:t>
      </w:r>
      <w:r w:rsidRPr="001C05B0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6180AFAA" w14:textId="126CE80B" w:rsidR="008118B1" w:rsidRPr="001C05B0" w:rsidRDefault="008118B1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MARQUES, L. Ibuprofeno: Um fármaco com Sucesso, Departamento e Centro de Química da Universidade de Évora.</w:t>
      </w:r>
      <w:r w:rsidR="00B55CBB" w:rsidRPr="001C05B0">
        <w:rPr>
          <w:rFonts w:ascii="Times New Roman" w:hAnsi="Times New Roman" w:cs="Times New Roman"/>
          <w:sz w:val="24"/>
          <w:szCs w:val="24"/>
        </w:rPr>
        <w:t xml:space="preserve"> Portugal.</w:t>
      </w:r>
      <w:r w:rsidRPr="001C05B0">
        <w:rPr>
          <w:rFonts w:ascii="Times New Roman" w:hAnsi="Times New Roman" w:cs="Times New Roman"/>
          <w:sz w:val="24"/>
          <w:szCs w:val="24"/>
        </w:rPr>
        <w:t xml:space="preserve"> 2009. Disponível em: http://www.videos.uevora.pt/quimica_para_todos/qpt_ibuprofeno.pdf. </w:t>
      </w:r>
    </w:p>
    <w:p w14:paraId="4D97AC82" w14:textId="33E1FFAC" w:rsidR="005B0979" w:rsidRPr="001C05B0" w:rsidRDefault="00B01C36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B0979"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MATHIAS</w:t>
        </w:r>
      </w:hyperlink>
      <w:r w:rsidR="005B0979" w:rsidRPr="001C05B0">
        <w:rPr>
          <w:rFonts w:ascii="Times New Roman" w:hAnsi="Times New Roman" w:cs="Times New Roman"/>
          <w:sz w:val="24"/>
          <w:szCs w:val="24"/>
        </w:rPr>
        <w:t xml:space="preserve">, Lutz. Desmascaramento de Lesão Hepática induzida pela </w:t>
      </w:r>
      <w:proofErr w:type="spellStart"/>
      <w:r w:rsidR="005B0979" w:rsidRPr="001C05B0">
        <w:rPr>
          <w:rFonts w:ascii="Times New Roman" w:hAnsi="Times New Roman" w:cs="Times New Roman"/>
          <w:sz w:val="24"/>
          <w:szCs w:val="24"/>
        </w:rPr>
        <w:t>Metamizol</w:t>
      </w:r>
      <w:proofErr w:type="spellEnd"/>
      <w:r w:rsidR="005B0979" w:rsidRPr="001C05B0">
        <w:rPr>
          <w:rFonts w:ascii="Times New Roman" w:hAnsi="Times New Roman" w:cs="Times New Roman"/>
          <w:sz w:val="24"/>
          <w:szCs w:val="24"/>
        </w:rPr>
        <w:t xml:space="preserve"> pelo Desenvolvimento simultâneo de Agranulocitose Característica. </w:t>
      </w:r>
      <w:proofErr w:type="spellStart"/>
      <w:r w:rsidR="005B0979" w:rsidRPr="001C05B0">
        <w:rPr>
          <w:rFonts w:ascii="Times New Roman" w:hAnsi="Times New Roman" w:cs="Times New Roman"/>
          <w:sz w:val="24"/>
          <w:szCs w:val="24"/>
        </w:rPr>
        <w:t>Currente</w:t>
      </w:r>
      <w:proofErr w:type="spellEnd"/>
      <w:r w:rsidR="005B0979"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979" w:rsidRPr="001C05B0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="005B0979"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979" w:rsidRPr="001C05B0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5B0979" w:rsidRPr="001C05B0">
        <w:rPr>
          <w:rFonts w:ascii="Times New Roman" w:hAnsi="Times New Roman" w:cs="Times New Roman"/>
          <w:sz w:val="24"/>
          <w:szCs w:val="24"/>
        </w:rPr>
        <w:t xml:space="preserve">. </w:t>
      </w:r>
      <w:r w:rsidR="00B55CBB" w:rsidRPr="001C05B0">
        <w:rPr>
          <w:rFonts w:ascii="Times New Roman" w:hAnsi="Times New Roman" w:cs="Times New Roman"/>
          <w:sz w:val="24"/>
          <w:szCs w:val="24"/>
        </w:rPr>
        <w:t xml:space="preserve">EUA. </w:t>
      </w:r>
      <w:r w:rsidR="005B0979" w:rsidRPr="001C05B0">
        <w:rPr>
          <w:rFonts w:ascii="Times New Roman" w:hAnsi="Times New Roman" w:cs="Times New Roman"/>
          <w:sz w:val="24"/>
          <w:szCs w:val="24"/>
        </w:rPr>
        <w:t xml:space="preserve">2023. Em: </w:t>
      </w:r>
      <w:hyperlink r:id="rId18" w:history="1">
        <w:r w:rsidR="00B04ABA"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https://pesquisa.bvsalud.org/bvsms/resource/pt/mdl-35670337</w:t>
        </w:r>
      </w:hyperlink>
      <w:r w:rsidR="005B0979" w:rsidRPr="001C05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09D86" w14:textId="4EAF601D" w:rsidR="001C4BBE" w:rsidRPr="001C05B0" w:rsidRDefault="00BE36EA" w:rsidP="0052765F">
      <w:pPr>
        <w:spacing w:line="360" w:lineRule="auto"/>
        <w:jc w:val="both"/>
      </w:pPr>
      <w:r w:rsidRPr="001C05B0">
        <w:rPr>
          <w:rFonts w:ascii="Times New Roman" w:hAnsi="Times New Roman" w:cs="Times New Roman"/>
          <w:sz w:val="24"/>
          <w:szCs w:val="24"/>
        </w:rPr>
        <w:t xml:space="preserve">MENDES, R. T.; STANCZYK, C. P.; SORDI, R.; OTUKI, M. F.; SANTOS F. </w:t>
      </w:r>
      <w:r w:rsidR="00932392" w:rsidRPr="001C05B0">
        <w:rPr>
          <w:rFonts w:ascii="Times New Roman" w:hAnsi="Times New Roman" w:cs="Times New Roman"/>
          <w:sz w:val="24"/>
          <w:szCs w:val="24"/>
        </w:rPr>
        <w:t>A.; FERNANDES</w:t>
      </w:r>
      <w:r w:rsidRPr="001C05B0">
        <w:rPr>
          <w:rFonts w:ascii="Times New Roman" w:hAnsi="Times New Roman" w:cs="Times New Roman"/>
          <w:sz w:val="24"/>
          <w:szCs w:val="24"/>
        </w:rPr>
        <w:t>, D. Inibição seletiva da ciclo-oxigenase-2: riscos e benefícios. Revista Brasileira de Reumatologia, v. 52, n. 5, p. 767-782,</w:t>
      </w:r>
      <w:r w:rsidR="00B55CBB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2012.</w:t>
      </w:r>
    </w:p>
    <w:p w14:paraId="2273676A" w14:textId="55204976" w:rsidR="0097443A" w:rsidRPr="001C05B0" w:rsidRDefault="001D2363" w:rsidP="0052765F">
      <w:pPr>
        <w:spacing w:line="360" w:lineRule="auto"/>
        <w:jc w:val="both"/>
      </w:pPr>
      <w:r w:rsidRPr="001C05B0">
        <w:rPr>
          <w:rFonts w:ascii="Times New Roman" w:hAnsi="Times New Roman" w:cs="Times New Roman"/>
          <w:sz w:val="24"/>
          <w:szCs w:val="24"/>
        </w:rPr>
        <w:t>MINISTÉRIO DA SAÚDE</w:t>
      </w:r>
      <w:r w:rsidR="0097443A" w:rsidRPr="001C05B0">
        <w:rPr>
          <w:rFonts w:ascii="Times New Roman" w:hAnsi="Times New Roman" w:cs="Times New Roman"/>
          <w:sz w:val="24"/>
          <w:szCs w:val="24"/>
        </w:rPr>
        <w:t xml:space="preserve">. Dicas em Saúde. Biblioteca Virtual em Saúde do Ministério da Saúde em: </w:t>
      </w:r>
      <w:hyperlink r:id="rId19" w:history="1">
        <w:r w:rsidR="0097443A" w:rsidRPr="00FF3A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https://bvsms.saude.gov.br/bvs/dicas/255_automedicacao.html</w:t>
        </w:r>
      </w:hyperlink>
      <w:r w:rsidR="0097443A" w:rsidRPr="001C05B0">
        <w:rPr>
          <w:rFonts w:ascii="Times New Roman" w:hAnsi="Times New Roman" w:cs="Times New Roman"/>
          <w:sz w:val="24"/>
          <w:szCs w:val="24"/>
        </w:rPr>
        <w:t>, consultado março/2024.</w:t>
      </w:r>
    </w:p>
    <w:p w14:paraId="6780D9C6" w14:textId="24FCF87F" w:rsidR="00186373" w:rsidRPr="001C05B0" w:rsidRDefault="00EE4361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MINISTÉRIO DA SAÚDE</w:t>
      </w:r>
      <w:r w:rsidR="00186373" w:rsidRPr="001C05B0">
        <w:rPr>
          <w:rFonts w:ascii="Times New Roman" w:hAnsi="Times New Roman" w:cs="Times New Roman"/>
          <w:sz w:val="24"/>
          <w:szCs w:val="24"/>
        </w:rPr>
        <w:t>. Dicas em Saúde: Automedicação. Brasília: Ministério da Saúde, Biblioteca Virtual de Saúde; 2012. Disponível em</w:t>
      </w:r>
      <w:r w:rsidR="00186373" w:rsidRPr="00FF3A0B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B55CBB" w:rsidRPr="00FF3A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https://bvsms.saude.gov.br/automedicacao/</w:t>
        </w:r>
      </w:hyperlink>
      <w:r w:rsidR="00186373" w:rsidRPr="00FF3A0B">
        <w:rPr>
          <w:rFonts w:ascii="Times New Roman" w:hAnsi="Times New Roman" w:cs="Times New Roman"/>
          <w:sz w:val="24"/>
          <w:szCs w:val="24"/>
        </w:rPr>
        <w:t>.</w:t>
      </w:r>
      <w:r w:rsidR="00B55CBB" w:rsidRPr="001C0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2477F" w14:textId="2FEAE618" w:rsidR="00860EB4" w:rsidRPr="001C05B0" w:rsidRDefault="00860EB4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MONTEIRO, Elaine Cristina Almeida,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C05B0">
        <w:rPr>
          <w:rFonts w:ascii="Times New Roman" w:hAnsi="Times New Roman" w:cs="Times New Roman"/>
          <w:sz w:val="24"/>
          <w:szCs w:val="24"/>
        </w:rPr>
        <w:t>. Os anti</w:t>
      </w:r>
      <w:r w:rsidR="00756301" w:rsidRPr="001C05B0">
        <w:rPr>
          <w:rFonts w:ascii="Times New Roman" w:hAnsi="Times New Roman" w:cs="Times New Roman"/>
          <w:sz w:val="24"/>
          <w:szCs w:val="24"/>
        </w:rPr>
        <w:t>-</w:t>
      </w:r>
      <w:r w:rsidRPr="001C05B0">
        <w:rPr>
          <w:rFonts w:ascii="Times New Roman" w:hAnsi="Times New Roman" w:cs="Times New Roman"/>
          <w:sz w:val="24"/>
          <w:szCs w:val="24"/>
        </w:rPr>
        <w:t>inflamatórios não esteroidais (AINE</w:t>
      </w:r>
      <w:r w:rsidR="00023F3A" w:rsidRPr="001C05B0">
        <w:rPr>
          <w:rFonts w:ascii="Times New Roman" w:hAnsi="Times New Roman" w:cs="Times New Roman"/>
          <w:sz w:val="24"/>
          <w:szCs w:val="24"/>
        </w:rPr>
        <w:t>S</w:t>
      </w:r>
      <w:r w:rsidRPr="001C05B0">
        <w:rPr>
          <w:rFonts w:ascii="Times New Roman" w:hAnsi="Times New Roman" w:cs="Times New Roman"/>
          <w:sz w:val="24"/>
          <w:szCs w:val="24"/>
        </w:rPr>
        <w:t>). Revista Temas de Reumatologia Clínica. São</w:t>
      </w:r>
      <w:r w:rsidR="00A53702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 xml:space="preserve">Paulo, </w:t>
      </w:r>
      <w:r w:rsidR="00287532" w:rsidRPr="001C05B0">
        <w:rPr>
          <w:rFonts w:ascii="Times New Roman" w:hAnsi="Times New Roman" w:cs="Times New Roman"/>
          <w:sz w:val="24"/>
          <w:szCs w:val="24"/>
        </w:rPr>
        <w:t xml:space="preserve">Brasil. </w:t>
      </w:r>
      <w:r w:rsidRPr="001C05B0">
        <w:rPr>
          <w:rFonts w:ascii="Times New Roman" w:hAnsi="Times New Roman" w:cs="Times New Roman"/>
          <w:sz w:val="24"/>
          <w:szCs w:val="24"/>
        </w:rPr>
        <w:t xml:space="preserve">vol. 9, n. 2, maio/2008. </w:t>
      </w:r>
    </w:p>
    <w:p w14:paraId="4053240D" w14:textId="270A0AE2" w:rsidR="0097443A" w:rsidRPr="001C05B0" w:rsidRDefault="0097443A" w:rsidP="0052765F">
      <w:pPr>
        <w:spacing w:line="360" w:lineRule="auto"/>
        <w:jc w:val="both"/>
      </w:pPr>
      <w:r w:rsidRPr="001C05B0">
        <w:rPr>
          <w:rFonts w:ascii="Times New Roman" w:hAnsi="Times New Roman" w:cs="Times New Roman"/>
          <w:sz w:val="24"/>
          <w:szCs w:val="24"/>
        </w:rPr>
        <w:t>MOREIRA, A. J.; CAMPOS, L. O.; FRESCHI, G. P. G. Aplicação da lâmpada de descarga de mercúrio sem eletrodo para degradação do paracetamol. Acta Brasiliensis, v. 2, n. 3, p. 100- 105, 2018.</w:t>
      </w:r>
    </w:p>
    <w:p w14:paraId="5BB8DE2E" w14:textId="12783F52" w:rsidR="00A81DE5" w:rsidRPr="001C05B0" w:rsidRDefault="00BE36EA" w:rsidP="00B87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MOURA, Pedro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Márlon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Martter</w:t>
      </w:r>
      <w:proofErr w:type="spellEnd"/>
      <w:r w:rsidRPr="008B4344">
        <w:rPr>
          <w:rFonts w:ascii="Times New Roman" w:hAnsi="Times New Roman" w:cs="Times New Roman"/>
          <w:i/>
          <w:iCs/>
          <w:sz w:val="24"/>
          <w:szCs w:val="24"/>
        </w:rPr>
        <w:t>, et al</w:t>
      </w:r>
      <w:r w:rsidRPr="001C05B0">
        <w:rPr>
          <w:rFonts w:ascii="Times New Roman" w:hAnsi="Times New Roman" w:cs="Times New Roman"/>
          <w:sz w:val="24"/>
          <w:szCs w:val="24"/>
        </w:rPr>
        <w:t xml:space="preserve">. Riscos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Hepatotóxico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do Paracetamol: Revisão da Literatura. UFPEL. Pelotas. 2014.</w:t>
      </w:r>
    </w:p>
    <w:p w14:paraId="392856CB" w14:textId="744BAA86" w:rsidR="00CC1077" w:rsidRPr="001C05B0" w:rsidRDefault="00CC1077" w:rsidP="0052765F">
      <w:p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NECA, Cinthia Silva Moura;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al:</w:t>
      </w:r>
      <w:r w:rsidRPr="001C05B0">
        <w:rPr>
          <w:rFonts w:ascii="Times New Roman" w:hAnsi="Times New Roman" w:cs="Times New Roman"/>
          <w:sz w:val="24"/>
          <w:szCs w:val="24"/>
        </w:rPr>
        <w:t xml:space="preserve"> Perigo da automedicação irresponsável do Paracetamol: uma revisão de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, Society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, v. 11, n. 17, e23111738103, 2022. Em : </w:t>
      </w:r>
      <w:hyperlink r:id="rId21" w:history="1">
        <w:r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http://dx.doi.org/10.33448/rsd-v11i17.38103</w:t>
        </w:r>
      </w:hyperlink>
      <w:r w:rsidRPr="001C05B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287532" w:rsidRPr="001C05B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2022.</w:t>
      </w:r>
      <w:r w:rsidR="00287532" w:rsidRPr="001C05B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6CAD3FE" w14:textId="73B8045A" w:rsidR="00CC1077" w:rsidRPr="001C05B0" w:rsidRDefault="00CC1077" w:rsidP="0052765F">
      <w:pPr>
        <w:spacing w:line="360" w:lineRule="auto"/>
        <w:jc w:val="both"/>
      </w:pPr>
      <w:r w:rsidRPr="001C05B0">
        <w:rPr>
          <w:rFonts w:ascii="Times New Roman" w:hAnsi="Times New Roman" w:cs="Times New Roman"/>
          <w:sz w:val="24"/>
          <w:szCs w:val="24"/>
        </w:rPr>
        <w:t>OSSWALD, W. Terapêutica Medicamentosa e suas Bases Farmacológicas, Manual de Farmacologia e Farmacoterapia, 4ª edição, Porto Editora, Porto, 2001.</w:t>
      </w:r>
    </w:p>
    <w:p w14:paraId="31E977BF" w14:textId="18473441" w:rsidR="007121B7" w:rsidRPr="001C05B0" w:rsidRDefault="007121B7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lastRenderedPageBreak/>
        <w:t xml:space="preserve">PANDE, Maria Nogueira Rangel; AMARANTE, Paulo Duarte de Carvalho; BAPTISTA, Tatiana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Wargas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de Faria. Este Ilustre Desconhecido: Considerações Sobre a Prescrição de Psicofármacos na Primeira Infância. Ciência &amp; Saúde Coletiva, 25(6): 2305-2314, 2020.</w:t>
      </w:r>
    </w:p>
    <w:p w14:paraId="6864BF98" w14:textId="60D39AE8" w:rsidR="002550B3" w:rsidRPr="001C05B0" w:rsidRDefault="00FF28DC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PENNA A, BUCHANAN N. Paracetamol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poisoning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hepatotoxicity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Br J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Pharmacol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1991 Aug;32(2):143-9.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: 10.1111/j.1365-</w:t>
      </w:r>
      <w:r w:rsidR="00932392" w:rsidRPr="001C05B0">
        <w:rPr>
          <w:rFonts w:ascii="Times New Roman" w:hAnsi="Times New Roman" w:cs="Times New Roman"/>
          <w:sz w:val="24"/>
          <w:szCs w:val="24"/>
        </w:rPr>
        <w:t>2125. 1991.tb03873. x.</w:t>
      </w:r>
      <w:r w:rsidRPr="001C05B0">
        <w:rPr>
          <w:rFonts w:ascii="Times New Roman" w:hAnsi="Times New Roman" w:cs="Times New Roman"/>
          <w:sz w:val="24"/>
          <w:szCs w:val="24"/>
        </w:rPr>
        <w:t xml:space="preserve"> PMID: 1931463; PMCID: PMC1368435</w:t>
      </w:r>
      <w:r w:rsidR="003D45E4">
        <w:rPr>
          <w:rFonts w:ascii="Times New Roman" w:hAnsi="Times New Roman" w:cs="Times New Roman"/>
          <w:sz w:val="24"/>
          <w:szCs w:val="24"/>
        </w:rPr>
        <w:t>,</w:t>
      </w:r>
      <w:r w:rsidR="00287532" w:rsidRPr="001C05B0">
        <w:rPr>
          <w:rFonts w:ascii="Times New Roman" w:hAnsi="Times New Roman" w:cs="Times New Roman"/>
          <w:sz w:val="24"/>
          <w:szCs w:val="24"/>
        </w:rPr>
        <w:t xml:space="preserve"> 1991.</w:t>
      </w:r>
    </w:p>
    <w:p w14:paraId="6EB71F83" w14:textId="551266D0" w:rsidR="008D10AC" w:rsidRPr="001C05B0" w:rsidRDefault="00A84705" w:rsidP="0052765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C05B0">
        <w:rPr>
          <w:rFonts w:ascii="Times New Roman" w:hAnsi="Times New Roman" w:cs="Times New Roman"/>
          <w:sz w:val="24"/>
          <w:szCs w:val="24"/>
        </w:rPr>
        <w:t>PINHEIRO, Rafael Mota, WANNMACHER, Lenita. Uso Racional de Anti-inflamatórios Não Esteroides.  2010</w:t>
      </w:r>
      <w:r w:rsidR="008D10AC" w:rsidRPr="001C05B0">
        <w:rPr>
          <w:rFonts w:ascii="Times New Roman" w:hAnsi="Times New Roman" w:cs="Times New Roman"/>
          <w:sz w:val="24"/>
          <w:szCs w:val="24"/>
        </w:rPr>
        <w:t>. Disponível em: </w:t>
      </w:r>
      <w:hyperlink r:id="rId22" w:tgtFrame="_blank" w:history="1">
        <w:r w:rsidR="008D10AC"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https://www3.paho.org/bra/dmdocuments/Temas_05_Uso_Racional_AINE.pdf</w:t>
        </w:r>
      </w:hyperlink>
      <w:r w:rsidR="008D10AC" w:rsidRPr="001C05B0">
        <w:rPr>
          <w:rFonts w:ascii="Times New Roman" w:hAnsi="Times New Roman" w:cs="Times New Roman"/>
          <w:sz w:val="24"/>
          <w:szCs w:val="24"/>
        </w:rPr>
        <w:t>. Acesso em: 28 de setembro, 2024.</w:t>
      </w:r>
    </w:p>
    <w:p w14:paraId="6507391F" w14:textId="158A56E7" w:rsidR="0097443A" w:rsidRPr="001C05B0" w:rsidRDefault="0097443A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PIRES, F. D.; </w:t>
      </w:r>
      <w:r w:rsidR="00932392" w:rsidRPr="001C05B0">
        <w:rPr>
          <w:rFonts w:ascii="Times New Roman" w:hAnsi="Times New Roman" w:cs="Times New Roman"/>
          <w:sz w:val="24"/>
          <w:szCs w:val="24"/>
        </w:rPr>
        <w:t>OLIVEIRA,</w:t>
      </w:r>
      <w:r w:rsidRPr="001C05B0">
        <w:rPr>
          <w:rFonts w:ascii="Times New Roman" w:hAnsi="Times New Roman" w:cs="Times New Roman"/>
          <w:sz w:val="24"/>
          <w:szCs w:val="24"/>
        </w:rPr>
        <w:t xml:space="preserve"> V. </w:t>
      </w:r>
      <w:r w:rsidR="008C00F1" w:rsidRPr="001C05B0">
        <w:rPr>
          <w:rFonts w:ascii="Times New Roman" w:hAnsi="Times New Roman" w:cs="Times New Roman"/>
          <w:sz w:val="24"/>
          <w:szCs w:val="24"/>
        </w:rPr>
        <w:t>B.,</w:t>
      </w:r>
      <w:r w:rsidRPr="001C05B0">
        <w:rPr>
          <w:rFonts w:ascii="Times New Roman" w:hAnsi="Times New Roman" w:cs="Times New Roman"/>
          <w:sz w:val="24"/>
          <w:szCs w:val="24"/>
        </w:rPr>
        <w:t xml:space="preserve"> 2015. </w:t>
      </w:r>
      <w:r w:rsidR="00287532" w:rsidRPr="001C05B0">
        <w:rPr>
          <w:rFonts w:ascii="Times New Roman" w:hAnsi="Times New Roman" w:cs="Times New Roman"/>
          <w:sz w:val="24"/>
          <w:szCs w:val="24"/>
        </w:rPr>
        <w:t>Agranulocitose Relacionada ao Uso de Dipirona: Uma Revisão</w:t>
      </w:r>
      <w:r w:rsidRPr="001C05B0">
        <w:rPr>
          <w:rFonts w:ascii="Times New Roman" w:hAnsi="Times New Roman" w:cs="Times New Roman"/>
          <w:sz w:val="24"/>
          <w:szCs w:val="24"/>
        </w:rPr>
        <w:t xml:space="preserve">. Visão Acadêmica. UNIANDRADE. Curitiba, v.16, n.2, </w:t>
      </w:r>
      <w:r w:rsidR="003D45E4" w:rsidRPr="001C05B0">
        <w:rPr>
          <w:rFonts w:ascii="Times New Roman" w:hAnsi="Times New Roman" w:cs="Times New Roman"/>
          <w:sz w:val="24"/>
          <w:szCs w:val="24"/>
        </w:rPr>
        <w:t>abr.</w:t>
      </w:r>
      <w:r w:rsidRPr="001C05B0">
        <w:rPr>
          <w:rFonts w:ascii="Times New Roman" w:hAnsi="Times New Roman" w:cs="Times New Roman"/>
          <w:sz w:val="24"/>
          <w:szCs w:val="24"/>
        </w:rPr>
        <w:t xml:space="preserve"> - </w:t>
      </w:r>
      <w:r w:rsidR="003D45E4" w:rsidRPr="001C05B0">
        <w:rPr>
          <w:rFonts w:ascii="Times New Roman" w:hAnsi="Times New Roman" w:cs="Times New Roman"/>
          <w:sz w:val="24"/>
          <w:szCs w:val="24"/>
        </w:rPr>
        <w:t>jun.</w:t>
      </w:r>
      <w:r w:rsidRPr="001C05B0">
        <w:rPr>
          <w:rFonts w:ascii="Times New Roman" w:hAnsi="Times New Roman" w:cs="Times New Roman"/>
          <w:sz w:val="24"/>
          <w:szCs w:val="24"/>
        </w:rPr>
        <w:t xml:space="preserve">/2015 - ISSN 1518-8361. 2015. </w:t>
      </w:r>
    </w:p>
    <w:p w14:paraId="68176CBD" w14:textId="0AC67AAB" w:rsidR="00CC1077" w:rsidRPr="001C05B0" w:rsidRDefault="00CC1077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PIRES. Sofia Alexandra Pereira.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C05B0">
        <w:rPr>
          <w:rFonts w:ascii="Times New Roman" w:hAnsi="Times New Roman" w:cs="Times New Roman"/>
          <w:sz w:val="24"/>
          <w:szCs w:val="24"/>
        </w:rPr>
        <w:t>. Meningite Asséptica Induzida por Ibuprofeno: Um Caso Clínico. Centro Hospitalar e Universitário de Coimbra, Coimbra, 2018.</w:t>
      </w:r>
      <w:r w:rsidR="003D45E4">
        <w:rPr>
          <w:rFonts w:ascii="Times New Roman" w:hAnsi="Times New Roman" w:cs="Times New Roman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 xml:space="preserve">Em: </w:t>
      </w:r>
      <w:hyperlink r:id="rId23" w:history="1">
        <w:r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https://doi.org/10.1590/1984-0462/;2019;37;3;00016</w:t>
        </w:r>
      </w:hyperlink>
      <w:r w:rsidRPr="001C05B0">
        <w:rPr>
          <w:rStyle w:val="group-doi"/>
          <w:rFonts w:ascii="Times New Roman" w:hAnsi="Times New Roman" w:cs="Times New Roman"/>
          <w:sz w:val="24"/>
          <w:szCs w:val="24"/>
        </w:rPr>
        <w:t xml:space="preserve">. </w:t>
      </w:r>
    </w:p>
    <w:p w14:paraId="3F68721F" w14:textId="536CD4C3" w:rsidR="009274E1" w:rsidRPr="001C05B0" w:rsidRDefault="009274E1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PORTUGAL. Comissão da Farmacopeia Portuguesa. Farmacopeia Portuguesa VIII. 1</w:t>
      </w:r>
      <w:r w:rsidRPr="001C05B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C05B0">
        <w:rPr>
          <w:rFonts w:ascii="Times New Roman" w:hAnsi="Times New Roman" w:cs="Times New Roman"/>
          <w:sz w:val="24"/>
          <w:szCs w:val="24"/>
        </w:rPr>
        <w:t xml:space="preserve"> Ed. Lisboa.</w:t>
      </w:r>
      <w:r w:rsidR="00287532" w:rsidRPr="001C05B0">
        <w:rPr>
          <w:rFonts w:ascii="Times New Roman" w:hAnsi="Times New Roman" w:cs="Times New Roman"/>
          <w:sz w:val="24"/>
          <w:szCs w:val="24"/>
        </w:rPr>
        <w:t xml:space="preserve"> Portugal.</w:t>
      </w:r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Infarmed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2005. ISBN: 972-8425-67-8/ 1° Volume. </w:t>
      </w:r>
    </w:p>
    <w:p w14:paraId="61273E84" w14:textId="3C4C01BA" w:rsidR="0097443A" w:rsidRPr="001C05B0" w:rsidRDefault="00016711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  <w:lang w:val="en-GB"/>
        </w:rPr>
        <w:t>RANG,</w:t>
      </w:r>
      <w:r w:rsidRPr="001C05B0">
        <w:rPr>
          <w:rFonts w:ascii="Times New Roman" w:hAnsi="Times New Roman" w:cs="Times New Roman"/>
          <w:spacing w:val="-7"/>
          <w:sz w:val="24"/>
          <w:szCs w:val="24"/>
          <w:lang w:val="en-GB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GB"/>
        </w:rPr>
        <w:t>H.</w:t>
      </w:r>
      <w:r w:rsidRPr="001C05B0">
        <w:rPr>
          <w:rFonts w:ascii="Times New Roman" w:hAnsi="Times New Roman" w:cs="Times New Roman"/>
          <w:spacing w:val="-7"/>
          <w:sz w:val="24"/>
          <w:szCs w:val="24"/>
          <w:lang w:val="en-GB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GB"/>
        </w:rPr>
        <w:t>P.</w:t>
      </w:r>
      <w:r w:rsidRPr="008B4344">
        <w:rPr>
          <w:rFonts w:ascii="Times New Roman" w:hAnsi="Times New Roman" w:cs="Times New Roman"/>
          <w:i/>
          <w:iCs/>
          <w:spacing w:val="-6"/>
          <w:sz w:val="24"/>
          <w:szCs w:val="24"/>
          <w:lang w:val="en-GB"/>
        </w:rPr>
        <w:t xml:space="preserve"> </w:t>
      </w:r>
      <w:r w:rsidRPr="008B4344">
        <w:rPr>
          <w:rFonts w:ascii="Times New Roman" w:hAnsi="Times New Roman" w:cs="Times New Roman"/>
          <w:i/>
          <w:iCs/>
          <w:sz w:val="24"/>
          <w:szCs w:val="24"/>
          <w:lang w:val="en-GB"/>
        </w:rPr>
        <w:t>et al.</w:t>
      </w:r>
      <w:r w:rsidRPr="001C0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443A" w:rsidRPr="001C05B0">
        <w:rPr>
          <w:rFonts w:ascii="Times New Roman" w:hAnsi="Times New Roman" w:cs="Times New Roman"/>
          <w:sz w:val="24"/>
          <w:szCs w:val="24"/>
        </w:rPr>
        <w:t>Fármacos Anti-inflamatórios</w:t>
      </w:r>
      <w:r w:rsidR="0097443A" w:rsidRPr="001C05B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443A" w:rsidRPr="001C05B0">
        <w:rPr>
          <w:rFonts w:ascii="Times New Roman" w:hAnsi="Times New Roman" w:cs="Times New Roman"/>
          <w:sz w:val="24"/>
          <w:szCs w:val="24"/>
        </w:rPr>
        <w:t>e imunossupressores.</w:t>
      </w:r>
      <w:r w:rsidR="0097443A" w:rsidRPr="001C05B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7443A" w:rsidRPr="001C05B0">
        <w:rPr>
          <w:rFonts w:ascii="Times New Roman" w:hAnsi="Times New Roman" w:cs="Times New Roman"/>
          <w:sz w:val="24"/>
          <w:szCs w:val="24"/>
        </w:rPr>
        <w:t>In:</w:t>
      </w:r>
      <w:r w:rsidR="0097443A" w:rsidRPr="001C05B0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proofErr w:type="spellStart"/>
      <w:r w:rsidR="0097443A" w:rsidRPr="001C05B0">
        <w:rPr>
          <w:rFonts w:ascii="Times New Roman" w:hAnsi="Times New Roman" w:cs="Times New Roman"/>
          <w:sz w:val="24"/>
          <w:szCs w:val="24"/>
        </w:rPr>
        <w:t>Rang</w:t>
      </w:r>
      <w:proofErr w:type="spellEnd"/>
      <w:r w:rsidR="0097443A" w:rsidRPr="001C05B0">
        <w:rPr>
          <w:rFonts w:ascii="Times New Roman" w:hAnsi="Times New Roman" w:cs="Times New Roman"/>
          <w:sz w:val="24"/>
          <w:szCs w:val="24"/>
        </w:rPr>
        <w:t xml:space="preserve"> &amp; Dale Farmacologia. 2. ed. Rio de Janeiro: Elsevier, 2007. Cap. 14, p. 226-245.</w:t>
      </w:r>
    </w:p>
    <w:p w14:paraId="39962924" w14:textId="4AEB1164" w:rsidR="0097443A" w:rsidRPr="001C05B0" w:rsidRDefault="0097443A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05B0">
        <w:rPr>
          <w:rFonts w:ascii="Times New Roman" w:hAnsi="Times New Roman" w:cs="Times New Roman"/>
          <w:sz w:val="24"/>
          <w:szCs w:val="24"/>
        </w:rPr>
        <w:t>RODRIGUES,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Bruna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Talia</w:t>
      </w:r>
      <w:proofErr w:type="spellEnd"/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Ferreira</w:t>
      </w:r>
      <w:r w:rsidR="008B4344">
        <w:rPr>
          <w:rFonts w:ascii="Times New Roman" w:hAnsi="Times New Roman" w:cs="Times New Roman"/>
          <w:sz w:val="24"/>
          <w:szCs w:val="24"/>
        </w:rPr>
        <w:t>.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Pr="008B4344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1C05B0">
        <w:rPr>
          <w:rFonts w:ascii="Times New Roman" w:hAnsi="Times New Roman" w:cs="Times New Roman"/>
          <w:sz w:val="24"/>
          <w:szCs w:val="24"/>
        </w:rPr>
        <w:t>.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Estudo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Sobre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a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Estabilidade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do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Princípio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Ativo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da</w:t>
      </w:r>
      <w:r w:rsidRPr="001C05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Dipirona</w:t>
      </w:r>
      <w:r w:rsidRPr="001C05B0">
        <w:rPr>
          <w:rFonts w:ascii="Times New Roman" w:hAnsi="Times New Roman" w:cs="Times New Roman"/>
          <w:spacing w:val="-74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Sódica.</w:t>
      </w:r>
      <w:r w:rsidRPr="001C05B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Brazilian</w:t>
      </w:r>
      <w:r w:rsidRPr="001C05B0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1C05B0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C05B0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Surgery</w:t>
      </w:r>
      <w:r w:rsidRPr="001C05B0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C05B0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Clinical</w:t>
      </w:r>
      <w:r w:rsidRPr="001C05B0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C05B0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1C05B0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BJSCR.</w:t>
      </w:r>
      <w:r w:rsidRPr="001C05B0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Vol.36,</w:t>
      </w:r>
      <w:r w:rsidRPr="001C05B0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n.1,</w:t>
      </w:r>
      <w:r w:rsidRPr="001C05B0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p.124-129,</w:t>
      </w:r>
      <w:r w:rsidRPr="001C05B0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  <w:lang w:val="en-US"/>
        </w:rPr>
        <w:t>2021.</w:t>
      </w:r>
    </w:p>
    <w:p w14:paraId="7D1FBDFC" w14:textId="6B849A00" w:rsidR="000513A1" w:rsidRPr="001C05B0" w:rsidRDefault="0097443A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caps/>
          <w:sz w:val="24"/>
          <w:szCs w:val="24"/>
        </w:rPr>
        <w:t>Roldán, t</w:t>
      </w:r>
      <w:r w:rsidRPr="001C05B0">
        <w:rPr>
          <w:rFonts w:ascii="Times New Roman" w:hAnsi="Times New Roman" w:cs="Times New Roman"/>
          <w:sz w:val="24"/>
          <w:szCs w:val="24"/>
        </w:rPr>
        <w:t xml:space="preserve">atiana, LÓPEZ,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Ángelo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Intoxicação por Paracetamol em Crianças: Abordagem e Manejo.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Universiade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Médica. Bogotá</w:t>
      </w:r>
      <w:r w:rsidR="003D45E4">
        <w:rPr>
          <w:rFonts w:ascii="Times New Roman" w:hAnsi="Times New Roman" w:cs="Times New Roman"/>
          <w:sz w:val="24"/>
          <w:szCs w:val="24"/>
        </w:rPr>
        <w:t>,</w:t>
      </w:r>
      <w:r w:rsidRPr="001C05B0">
        <w:rPr>
          <w:rFonts w:ascii="Times New Roman" w:hAnsi="Times New Roman" w:cs="Times New Roman"/>
          <w:sz w:val="24"/>
          <w:szCs w:val="24"/>
        </w:rPr>
        <w:t xml:space="preserve"> 2012.   </w:t>
      </w:r>
    </w:p>
    <w:p w14:paraId="50B52617" w14:textId="40F43977" w:rsidR="00F346C2" w:rsidRPr="001C05B0" w:rsidRDefault="00440596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SALLES</w:t>
      </w:r>
      <w:r w:rsidR="000513A1" w:rsidRPr="001C05B0">
        <w:rPr>
          <w:rFonts w:ascii="Times New Roman" w:hAnsi="Times New Roman" w:cs="Times New Roman"/>
          <w:sz w:val="24"/>
          <w:szCs w:val="24"/>
        </w:rPr>
        <w:t xml:space="preserve">, M. O.; </w:t>
      </w:r>
      <w:proofErr w:type="spellStart"/>
      <w:r w:rsidR="000513A1" w:rsidRPr="001C05B0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="000513A1" w:rsidRPr="001C05B0">
        <w:rPr>
          <w:rFonts w:ascii="Times New Roman" w:hAnsi="Times New Roman" w:cs="Times New Roman"/>
          <w:sz w:val="24"/>
          <w:szCs w:val="24"/>
        </w:rPr>
        <w:t xml:space="preserve">, W. R.; Paixão, T. R. L. C.; J. Braz. </w:t>
      </w:r>
      <w:proofErr w:type="spellStart"/>
      <w:r w:rsidR="000513A1" w:rsidRPr="001C05B0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="000513A1" w:rsidRPr="001C05B0">
        <w:rPr>
          <w:rFonts w:ascii="Times New Roman" w:hAnsi="Times New Roman" w:cs="Times New Roman"/>
          <w:sz w:val="24"/>
          <w:szCs w:val="24"/>
        </w:rPr>
        <w:t>. Soc.</w:t>
      </w:r>
      <w:r w:rsidR="00287532" w:rsidRPr="001C05B0">
        <w:rPr>
          <w:rFonts w:ascii="Times New Roman" w:hAnsi="Times New Roman" w:cs="Times New Roman"/>
          <w:sz w:val="24"/>
          <w:szCs w:val="24"/>
        </w:rPr>
        <w:t xml:space="preserve"> 27, 54 Brasil.</w:t>
      </w:r>
      <w:r w:rsidR="000513A1" w:rsidRPr="001C05B0">
        <w:rPr>
          <w:rFonts w:ascii="Times New Roman" w:hAnsi="Times New Roman" w:cs="Times New Roman"/>
          <w:sz w:val="24"/>
          <w:szCs w:val="24"/>
        </w:rPr>
        <w:t xml:space="preserve"> 2016 </w:t>
      </w:r>
    </w:p>
    <w:p w14:paraId="50831C4B" w14:textId="0FC06DEB" w:rsidR="008425A3" w:rsidRPr="001C05B0" w:rsidRDefault="008425A3" w:rsidP="0052765F">
      <w:pPr>
        <w:spacing w:line="360" w:lineRule="auto"/>
        <w:jc w:val="both"/>
      </w:pPr>
      <w:r w:rsidRPr="001C05B0">
        <w:rPr>
          <w:rFonts w:ascii="Times New Roman" w:hAnsi="Times New Roman" w:cs="Times New Roman"/>
          <w:sz w:val="24"/>
          <w:szCs w:val="24"/>
        </w:rPr>
        <w:t xml:space="preserve">SCHALLEMBERGER, J. B.; PLETSCH, M. U. Riscos do uso indiscriminado de </w:t>
      </w:r>
      <w:r w:rsidR="00404F4D" w:rsidRPr="001C05B0">
        <w:rPr>
          <w:rFonts w:ascii="Times New Roman" w:hAnsi="Times New Roman" w:cs="Times New Roman"/>
          <w:sz w:val="24"/>
          <w:szCs w:val="24"/>
        </w:rPr>
        <w:t>anti-inflamatórios</w:t>
      </w:r>
      <w:r w:rsidRPr="001C05B0">
        <w:rPr>
          <w:rFonts w:ascii="Times New Roman" w:hAnsi="Times New Roman" w:cs="Times New Roman"/>
          <w:sz w:val="24"/>
          <w:szCs w:val="24"/>
        </w:rPr>
        <w:t xml:space="preserve"> não esteroidais (AINES). Salão do Conhecimento, v. 2, n. 01, p</w:t>
      </w:r>
      <w:r w:rsidR="003D45E4">
        <w:rPr>
          <w:rFonts w:ascii="Times New Roman" w:hAnsi="Times New Roman" w:cs="Times New Roman"/>
          <w:sz w:val="24"/>
          <w:szCs w:val="24"/>
        </w:rPr>
        <w:t xml:space="preserve">. </w:t>
      </w:r>
      <w:r w:rsidRPr="001C05B0">
        <w:rPr>
          <w:rFonts w:ascii="Times New Roman" w:hAnsi="Times New Roman" w:cs="Times New Roman"/>
          <w:sz w:val="24"/>
          <w:szCs w:val="24"/>
        </w:rPr>
        <w:t>2014.</w:t>
      </w:r>
    </w:p>
    <w:p w14:paraId="50E13E37" w14:textId="05B95B92" w:rsidR="00F346C2" w:rsidRPr="001C05B0" w:rsidRDefault="00016711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SEBBEN, Viviane Cristina, </w:t>
      </w:r>
      <w:r w:rsidRPr="008B4344">
        <w:rPr>
          <w:rFonts w:ascii="Times New Roman" w:hAnsi="Times New Roman" w:cs="Times New Roman"/>
          <w:i/>
          <w:iCs/>
          <w:sz w:val="24"/>
          <w:szCs w:val="24"/>
          <w:lang w:val="es-ES"/>
        </w:rPr>
        <w:t>et al.</w:t>
      </w:r>
      <w:r w:rsidRPr="001C05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46C2" w:rsidRPr="001C05B0">
        <w:rPr>
          <w:rFonts w:ascii="Times New Roman" w:hAnsi="Times New Roman" w:cs="Times New Roman"/>
          <w:sz w:val="24"/>
          <w:szCs w:val="24"/>
        </w:rPr>
        <w:t>Validação de</w:t>
      </w:r>
      <w:r w:rsidR="00404F4D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sz w:val="24"/>
          <w:szCs w:val="24"/>
        </w:rPr>
        <w:t>metodologia analítica e estudo de estabilidade para quantificação sérica do paracetamol. Rev. Bras. Patol. Med. Lab. 46(2): 143-148,</w:t>
      </w:r>
      <w:r w:rsidR="003D45E4">
        <w:rPr>
          <w:rFonts w:ascii="Times New Roman" w:hAnsi="Times New Roman" w:cs="Times New Roman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sz w:val="24"/>
          <w:szCs w:val="24"/>
        </w:rPr>
        <w:t>2010. Em</w:t>
      </w:r>
      <w:r w:rsidR="00B04ABA" w:rsidRPr="001C05B0">
        <w:rPr>
          <w:rFonts w:ascii="Times New Roman" w:hAnsi="Times New Roman" w:cs="Times New Roman"/>
          <w:sz w:val="24"/>
          <w:szCs w:val="24"/>
        </w:rPr>
        <w:t>:</w:t>
      </w:r>
      <w:r w:rsidR="00F346C2" w:rsidRPr="001C05B0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tgtFrame="_blank" w:history="1">
        <w:r w:rsidR="00F346C2"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https://doi.org/10.1590/S1676-24442010000200012</w:t>
        </w:r>
      </w:hyperlink>
      <w:r w:rsidR="00F346C2" w:rsidRPr="001C05B0">
        <w:rPr>
          <w:rStyle w:val="group-doi"/>
          <w:rFonts w:ascii="Times New Roman" w:hAnsi="Times New Roman" w:cs="Times New Roman"/>
          <w:sz w:val="24"/>
          <w:szCs w:val="24"/>
        </w:rPr>
        <w:t>.</w:t>
      </w:r>
    </w:p>
    <w:p w14:paraId="77AFC6EE" w14:textId="4B40D80C" w:rsidR="00955F4C" w:rsidRPr="001C05B0" w:rsidRDefault="0078752D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FBC4B" wp14:editId="4052DB94">
                <wp:simplePos x="0" y="0"/>
                <wp:positionH relativeFrom="page">
                  <wp:posOffset>352425</wp:posOffset>
                </wp:positionH>
                <wp:positionV relativeFrom="page">
                  <wp:posOffset>6429375</wp:posOffset>
                </wp:positionV>
                <wp:extent cx="9982200" cy="9525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82200" cy="952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BF91970" id="Retângulo 1" o:spid="_x0000_s1026" style="position:absolute;margin-left:27.75pt;margin-top:506.25pt;width:78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" fillcolor="#e6e6e6" stroked="f">
                <w10:wrap anchorx="page" anchory="page"/>
              </v:rect>
            </w:pict>
          </mc:Fallback>
        </mc:AlternateContent>
      </w:r>
      <w:r w:rsidR="00F346C2" w:rsidRPr="001C05B0">
        <w:rPr>
          <w:rFonts w:ascii="Times New Roman" w:hAnsi="Times New Roman" w:cs="Times New Roman"/>
          <w:sz w:val="24"/>
          <w:szCs w:val="24"/>
        </w:rPr>
        <w:t xml:space="preserve">SILVA, </w:t>
      </w:r>
      <w:proofErr w:type="spellStart"/>
      <w:r w:rsidR="00F346C2" w:rsidRPr="001C05B0">
        <w:rPr>
          <w:rFonts w:ascii="Times New Roman" w:hAnsi="Times New Roman" w:cs="Times New Roman"/>
          <w:sz w:val="24"/>
          <w:szCs w:val="24"/>
        </w:rPr>
        <w:t>Joycy</w:t>
      </w:r>
      <w:proofErr w:type="spellEnd"/>
      <w:r w:rsidR="00F346C2" w:rsidRPr="001C05B0">
        <w:rPr>
          <w:rFonts w:ascii="Times New Roman" w:hAnsi="Times New Roman" w:cs="Times New Roman"/>
          <w:sz w:val="24"/>
          <w:szCs w:val="24"/>
        </w:rPr>
        <w:t xml:space="preserve"> Carvalho da; QUINTILIO, Maria Salete </w:t>
      </w:r>
      <w:proofErr w:type="spellStart"/>
      <w:r w:rsidR="00F346C2" w:rsidRPr="001C05B0">
        <w:rPr>
          <w:rFonts w:ascii="Times New Roman" w:hAnsi="Times New Roman" w:cs="Times New Roman"/>
          <w:sz w:val="24"/>
          <w:szCs w:val="24"/>
        </w:rPr>
        <w:t>Vaceli</w:t>
      </w:r>
      <w:proofErr w:type="spellEnd"/>
      <w:r w:rsidR="00F346C2" w:rsidRPr="001C05B0">
        <w:rPr>
          <w:rFonts w:ascii="Times New Roman" w:hAnsi="Times New Roman" w:cs="Times New Roman"/>
          <w:sz w:val="24"/>
          <w:szCs w:val="24"/>
        </w:rPr>
        <w:t>. Automedicação e o Uso Indiscriminado dos</w:t>
      </w:r>
      <w:r w:rsidR="00F346C2"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Medicamentos:</w:t>
      </w:r>
      <w:r w:rsidR="00F346C2" w:rsidRPr="001C05B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O</w:t>
      </w:r>
      <w:r w:rsidR="00F346C2" w:rsidRPr="001C05B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Papel</w:t>
      </w:r>
      <w:r w:rsidR="00F346C2" w:rsidRPr="001C05B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do</w:t>
      </w:r>
      <w:r w:rsidR="00F346C2" w:rsidRPr="001C05B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Farmacêutico</w:t>
      </w:r>
      <w:r w:rsidR="00F346C2" w:rsidRPr="001C05B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na</w:t>
      </w:r>
      <w:r w:rsidR="00F346C2" w:rsidRPr="001C05B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Prevenção.</w:t>
      </w:r>
      <w:r w:rsidR="00F346C2" w:rsidRPr="001C05B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Revista</w:t>
      </w:r>
      <w:r w:rsidR="00F346C2" w:rsidRPr="001C05B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de</w:t>
      </w:r>
      <w:r w:rsidR="00F346C2" w:rsidRPr="001C05B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Iniciação</w:t>
      </w:r>
      <w:r w:rsidR="00F346C2" w:rsidRPr="001C05B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proofErr w:type="spellStart"/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Cienti</w:t>
      </w:r>
      <w:proofErr w:type="spellEnd"/>
      <w:r w:rsidR="00F346C2" w:rsidRPr="001C05B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proofErr w:type="spellStart"/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ca</w:t>
      </w:r>
      <w:proofErr w:type="spellEnd"/>
      <w:r w:rsidR="00F346C2" w:rsidRPr="001C05B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e</w:t>
      </w:r>
      <w:r w:rsidR="00F346C2" w:rsidRPr="001C05B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Extensão,</w:t>
      </w:r>
      <w:r w:rsidR="00287532" w:rsidRPr="001C05B0">
        <w:rPr>
          <w:rFonts w:ascii="Times New Roman" w:hAnsi="Times New Roman" w:cs="Times New Roman"/>
          <w:w w:val="105"/>
          <w:sz w:val="24"/>
          <w:szCs w:val="24"/>
        </w:rPr>
        <w:t xml:space="preserve"> 4(2):685-92. </w:t>
      </w:r>
      <w:r w:rsidR="00F82501" w:rsidRPr="001C05B0">
        <w:rPr>
          <w:rFonts w:ascii="Times New Roman" w:hAnsi="Times New Roman" w:cs="Times New Roman"/>
          <w:w w:val="105"/>
          <w:sz w:val="24"/>
          <w:szCs w:val="24"/>
        </w:rPr>
        <w:t>2</w:t>
      </w:r>
      <w:r w:rsidR="00F346C2" w:rsidRPr="001C05B0">
        <w:rPr>
          <w:rFonts w:ascii="Times New Roman" w:hAnsi="Times New Roman" w:cs="Times New Roman"/>
          <w:w w:val="105"/>
          <w:sz w:val="24"/>
          <w:szCs w:val="24"/>
        </w:rPr>
        <w:t>021;</w:t>
      </w:r>
      <w:r w:rsidR="00F346C2" w:rsidRPr="001C05B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</w:p>
    <w:p w14:paraId="3E6B090A" w14:textId="64F47570" w:rsidR="00221C0D" w:rsidRPr="001C05B0" w:rsidRDefault="00221C0D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SILVA,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Yerkes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Pereira,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C05B0">
        <w:rPr>
          <w:rFonts w:ascii="Times New Roman" w:hAnsi="Times New Roman" w:cs="Times New Roman"/>
          <w:sz w:val="24"/>
          <w:szCs w:val="24"/>
        </w:rPr>
        <w:t xml:space="preserve"> Sedação e Analgesia em Neonatologia. Revista Brasileira de Anestesiologia 575 Vol. 57, N</w:t>
      </w:r>
      <w:r w:rsidR="00CF156B" w:rsidRPr="001C05B0">
        <w:rPr>
          <w:rFonts w:ascii="Times New Roman" w:hAnsi="Times New Roman" w:cs="Times New Roman"/>
          <w:sz w:val="24"/>
          <w:szCs w:val="24"/>
        </w:rPr>
        <w:t>°</w:t>
      </w:r>
      <w:r w:rsidRPr="001C05B0">
        <w:rPr>
          <w:rFonts w:ascii="Times New Roman" w:hAnsi="Times New Roman" w:cs="Times New Roman"/>
          <w:sz w:val="24"/>
          <w:szCs w:val="24"/>
        </w:rPr>
        <w:t xml:space="preserve"> 5, </w:t>
      </w:r>
      <w:r w:rsidR="00932392" w:rsidRPr="001C05B0">
        <w:rPr>
          <w:rFonts w:ascii="Times New Roman" w:hAnsi="Times New Roman" w:cs="Times New Roman"/>
          <w:sz w:val="24"/>
          <w:szCs w:val="24"/>
        </w:rPr>
        <w:t>outubro</w:t>
      </w:r>
      <w:r w:rsidRPr="001C05B0">
        <w:rPr>
          <w:rFonts w:ascii="Times New Roman" w:hAnsi="Times New Roman" w:cs="Times New Roman"/>
          <w:sz w:val="24"/>
          <w:szCs w:val="24"/>
        </w:rPr>
        <w:t>,</w:t>
      </w:r>
      <w:r w:rsidR="00F82501"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2007.</w:t>
      </w:r>
      <w:r w:rsidR="00CF156B" w:rsidRPr="001C05B0">
        <w:rPr>
          <w:rFonts w:ascii="Times New Roman" w:hAnsi="Times New Roman" w:cs="Times New Roman"/>
          <w:sz w:val="24"/>
          <w:szCs w:val="24"/>
        </w:rPr>
        <w:t xml:space="preserve"> Disponível: </w:t>
      </w:r>
      <w:hyperlink r:id="rId25" w:history="1">
        <w:r w:rsidR="00CF156B"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https://doi.org/10.1590/S0034-70942007000500013</w:t>
        </w:r>
      </w:hyperlink>
      <w:r w:rsidR="00CF156B" w:rsidRPr="001C05B0">
        <w:rPr>
          <w:rFonts w:ascii="Times New Roman" w:hAnsi="Times New Roman" w:cs="Times New Roman"/>
          <w:sz w:val="24"/>
          <w:szCs w:val="24"/>
        </w:rPr>
        <w:t xml:space="preserve">. Consultado: </w:t>
      </w:r>
      <w:r w:rsidR="00932392" w:rsidRPr="001C05B0">
        <w:rPr>
          <w:rFonts w:ascii="Times New Roman" w:hAnsi="Times New Roman" w:cs="Times New Roman"/>
          <w:sz w:val="24"/>
          <w:szCs w:val="24"/>
        </w:rPr>
        <w:t>setembro</w:t>
      </w:r>
      <w:r w:rsidR="00CF156B" w:rsidRPr="001C05B0">
        <w:rPr>
          <w:rFonts w:ascii="Times New Roman" w:hAnsi="Times New Roman" w:cs="Times New Roman"/>
          <w:sz w:val="24"/>
          <w:szCs w:val="24"/>
        </w:rPr>
        <w:t>/2024.</w:t>
      </w:r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E5DD9" w14:textId="28312754" w:rsidR="00F346C2" w:rsidRPr="001C05B0" w:rsidRDefault="009958E2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SISTEMA NACIONAL DE INFORMAÇÕES TÓXICO-FARMACOLÓGICAS</w:t>
      </w:r>
      <w:r w:rsidR="00F346C2" w:rsidRPr="001C05B0">
        <w:rPr>
          <w:rFonts w:ascii="Times New Roman" w:hAnsi="Times New Roman" w:cs="Times New Roman"/>
          <w:sz w:val="24"/>
          <w:szCs w:val="24"/>
        </w:rPr>
        <w:t>: dados de intoxicação: dados nacionais. Rio de Janeiro: Fiocruz; 20</w:t>
      </w:r>
      <w:r w:rsidR="009C11A2">
        <w:rPr>
          <w:rFonts w:ascii="Times New Roman" w:hAnsi="Times New Roman" w:cs="Times New Roman"/>
          <w:sz w:val="24"/>
          <w:szCs w:val="24"/>
        </w:rPr>
        <w:t>17</w:t>
      </w:r>
      <w:r w:rsidR="00F346C2" w:rsidRPr="001C05B0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26" w:history="1">
        <w:r w:rsidR="00F346C2"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https://sinitox.icict.fiocruz.br/dados-nacionais</w:t>
        </w:r>
      </w:hyperlink>
      <w:r w:rsidR="00F346C2" w:rsidRPr="001C05B0">
        <w:rPr>
          <w:rFonts w:ascii="Times New Roman" w:hAnsi="Times New Roman" w:cs="Times New Roman"/>
          <w:sz w:val="24"/>
          <w:szCs w:val="24"/>
        </w:rPr>
        <w:t>.</w:t>
      </w:r>
    </w:p>
    <w:p w14:paraId="78283B73" w14:textId="60104733" w:rsidR="00F346C2" w:rsidRPr="001C05B0" w:rsidRDefault="00F346C2" w:rsidP="0052765F">
      <w:p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05B0">
        <w:rPr>
          <w:rFonts w:ascii="Times New Roman" w:hAnsi="Times New Roman" w:cs="Times New Roman"/>
          <w:caps/>
          <w:sz w:val="24"/>
          <w:szCs w:val="24"/>
        </w:rPr>
        <w:t xml:space="preserve">SOUSA,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Piter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Picole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Silva,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al;</w:t>
      </w:r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bCs/>
          <w:sz w:val="24"/>
          <w:szCs w:val="24"/>
        </w:rPr>
        <w:t>Hepatotoxicidade por Paracetamol.</w:t>
      </w:r>
      <w:r w:rsidRPr="001C0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Revista</w:t>
      </w:r>
      <w:r w:rsidRPr="001C05B0">
        <w:rPr>
          <w:rFonts w:ascii="Times New Roman" w:hAnsi="Times New Roman" w:cs="Times New Roman"/>
          <w:spacing w:val="-5"/>
          <w:sz w:val="24"/>
          <w:szCs w:val="24"/>
        </w:rPr>
        <w:t xml:space="preserve"> C</w:t>
      </w:r>
      <w:r w:rsidRPr="001C05B0">
        <w:rPr>
          <w:rFonts w:ascii="Times New Roman" w:hAnsi="Times New Roman" w:cs="Times New Roman"/>
          <w:sz w:val="24"/>
          <w:szCs w:val="24"/>
        </w:rPr>
        <w:t>ientífica</w:t>
      </w:r>
      <w:r w:rsidRPr="001C05B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1C05B0">
        <w:rPr>
          <w:rFonts w:ascii="Times New Roman" w:hAnsi="Times New Roman" w:cs="Times New Roman"/>
          <w:sz w:val="24"/>
          <w:szCs w:val="24"/>
        </w:rPr>
        <w:t>ultidisciplinar Recima21.issn</w:t>
      </w:r>
      <w:r w:rsidRPr="001C05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2675-6218</w:t>
      </w:r>
      <w:r w:rsidRPr="001C05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E75" w:rsidRPr="001C05B0">
        <w:rPr>
          <w:rFonts w:ascii="Times New Roman" w:hAnsi="Times New Roman" w:cs="Times New Roman"/>
          <w:sz w:val="24"/>
          <w:szCs w:val="24"/>
        </w:rPr>
        <w:t>v.4, n.</w:t>
      </w:r>
      <w:r w:rsidRPr="001C05B0">
        <w:rPr>
          <w:rFonts w:ascii="Times New Roman" w:hAnsi="Times New Roman" w:cs="Times New Roman"/>
          <w:sz w:val="24"/>
          <w:szCs w:val="24"/>
        </w:rPr>
        <w:t>3,2023.</w:t>
      </w:r>
      <w:r w:rsidR="0067223D">
        <w:rPr>
          <w:rFonts w:ascii="Times New Roman" w:hAnsi="Times New Roman" w:cs="Times New Roman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 xml:space="preserve">Em </w:t>
      </w:r>
      <w:hyperlink r:id="rId27" w:history="1">
        <w:r w:rsidRPr="00A826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https://doi.org/10.47820/recima21.v4i3.2869</w:t>
        </w:r>
      </w:hyperlink>
      <w:r w:rsidRPr="00A826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A7DAB5B" w14:textId="6C2F68A5" w:rsidR="00F346C2" w:rsidRPr="001C05B0" w:rsidRDefault="00F346C2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t>SOUZA,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Amanda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Cabral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Pr="008B4344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al.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Hepatotoxicidade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associada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ao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uso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de paracetamol:</w:t>
      </w:r>
      <w:r w:rsidRPr="001C05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revisão</w:t>
      </w:r>
      <w:r w:rsidRPr="001C05B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sistemática.</w:t>
      </w:r>
      <w:r w:rsidRPr="001C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bCs/>
          <w:sz w:val="24"/>
          <w:szCs w:val="24"/>
        </w:rPr>
        <w:t>Brazilian</w:t>
      </w:r>
      <w:proofErr w:type="spellEnd"/>
      <w:r w:rsidRPr="001C05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1C05B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1C05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, v.</w:t>
      </w:r>
      <w:r w:rsidRPr="001C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7,</w:t>
      </w:r>
      <w:r w:rsidRPr="001C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n.</w:t>
      </w:r>
      <w:r w:rsidRPr="001C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11,</w:t>
      </w:r>
      <w:r w:rsidRPr="001C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p. 107073-</w:t>
      </w:r>
      <w:r w:rsidR="0067223D" w:rsidRPr="001C05B0">
        <w:rPr>
          <w:rFonts w:ascii="Times New Roman" w:hAnsi="Times New Roman" w:cs="Times New Roman"/>
          <w:sz w:val="24"/>
          <w:szCs w:val="24"/>
        </w:rPr>
        <w:t>107085,</w:t>
      </w:r>
      <w:r w:rsidR="0067223D" w:rsidRPr="001C05B0">
        <w:rPr>
          <w:rFonts w:ascii="Times New Roman" w:hAnsi="Times New Roman" w:cs="Times New Roman"/>
          <w:spacing w:val="-1"/>
          <w:sz w:val="24"/>
          <w:szCs w:val="24"/>
        </w:rPr>
        <w:t xml:space="preserve"> 2021</w:t>
      </w:r>
      <w:r w:rsidRPr="001C05B0">
        <w:rPr>
          <w:rFonts w:ascii="Times New Roman" w:hAnsi="Times New Roman" w:cs="Times New Roman"/>
          <w:sz w:val="24"/>
          <w:szCs w:val="24"/>
        </w:rPr>
        <w:t>.</w:t>
      </w:r>
    </w:p>
    <w:p w14:paraId="02239037" w14:textId="761D53F5" w:rsidR="00F346C2" w:rsidRPr="001C05B0" w:rsidRDefault="00016711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</w:rPr>
        <w:t>SOUZA,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Andressa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Larissa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Dias</w:t>
      </w:r>
      <w:r w:rsidRPr="001C05B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Muller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de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et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al.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Uso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de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Medicamentos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em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Crianças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Menores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de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Um</w:t>
      </w:r>
      <w:r w:rsidRPr="001C05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Ano.</w:t>
      </w:r>
      <w:r w:rsidRPr="001C05B0">
        <w:rPr>
          <w:rFonts w:ascii="Times New Roman" w:hAnsi="Times New Roman" w:cs="Times New Roman"/>
          <w:spacing w:val="-74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Rev.</w:t>
      </w:r>
      <w:r w:rsidRPr="001C05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Soc.</w:t>
      </w:r>
      <w:r w:rsidRPr="001C05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sz w:val="24"/>
          <w:szCs w:val="24"/>
        </w:rPr>
        <w:t>Bras.</w:t>
      </w:r>
      <w:r w:rsidR="00F346C2" w:rsidRPr="001C05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F346C2" w:rsidRPr="001C05B0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="00F346C2" w:rsidRPr="001C05B0">
        <w:rPr>
          <w:rFonts w:ascii="Times New Roman" w:hAnsi="Times New Roman" w:cs="Times New Roman"/>
          <w:sz w:val="24"/>
          <w:szCs w:val="24"/>
        </w:rPr>
        <w:t>.</w:t>
      </w:r>
      <w:r w:rsidR="00F346C2" w:rsidRPr="001C05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sz w:val="24"/>
          <w:szCs w:val="24"/>
        </w:rPr>
        <w:t>Ped.</w:t>
      </w:r>
      <w:r w:rsidR="00F346C2" w:rsidRPr="001C05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sz w:val="24"/>
          <w:szCs w:val="24"/>
        </w:rPr>
        <w:t>v.20,</w:t>
      </w:r>
      <w:r w:rsidR="00F346C2" w:rsidRPr="001C05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sz w:val="24"/>
          <w:szCs w:val="24"/>
        </w:rPr>
        <w:t>n.1,</w:t>
      </w:r>
      <w:r w:rsidR="00F346C2" w:rsidRPr="001C05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sz w:val="24"/>
          <w:szCs w:val="24"/>
        </w:rPr>
        <w:t>p</w:t>
      </w:r>
      <w:r w:rsidR="00F346C2" w:rsidRPr="001C05B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sz w:val="24"/>
          <w:szCs w:val="24"/>
        </w:rPr>
        <w:t>31-9,</w:t>
      </w:r>
      <w:r w:rsidR="00F346C2" w:rsidRPr="001C05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26EE5" w:rsidRPr="001C05B0">
        <w:rPr>
          <w:rFonts w:ascii="Times New Roman" w:hAnsi="Times New Roman" w:cs="Times New Roman"/>
          <w:sz w:val="24"/>
          <w:szCs w:val="24"/>
        </w:rPr>
        <w:t>janeiro</w:t>
      </w:r>
      <w:r w:rsidR="00F346C2" w:rsidRPr="001C05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346C2" w:rsidRPr="001C05B0">
        <w:rPr>
          <w:rFonts w:ascii="Times New Roman" w:hAnsi="Times New Roman" w:cs="Times New Roman"/>
          <w:sz w:val="24"/>
          <w:szCs w:val="24"/>
        </w:rPr>
        <w:t>2020.</w:t>
      </w:r>
    </w:p>
    <w:p w14:paraId="29602C67" w14:textId="75C3A362" w:rsidR="00F346C2" w:rsidRPr="001C05B0" w:rsidRDefault="00B462C8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SPILLER, H.A., INVERNOM.L., KLEIN-SCHWARTZ W., BANGH S.A.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activated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charcoal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administered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four hours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acetaminophen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overdose. J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Emerg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Med. 30(1):1-5, 2006</w:t>
      </w:r>
      <w:r w:rsidR="00F346C2" w:rsidRPr="001C05B0">
        <w:rPr>
          <w:rFonts w:ascii="Times New Roman" w:hAnsi="Times New Roman" w:cs="Times New Roman"/>
          <w:sz w:val="24"/>
          <w:szCs w:val="24"/>
        </w:rPr>
        <w:t>.</w:t>
      </w:r>
    </w:p>
    <w:p w14:paraId="69943B84" w14:textId="2D5753B5" w:rsidR="008425A3" w:rsidRPr="001C05B0" w:rsidRDefault="008425A3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SULEYMAN, H.; CADIRCI, E.; ALBAYRAK, A.; HALICI, Z.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Nimesulide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selective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COX-2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Inhibitory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atypical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steroidal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anti-inflammatory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5B0">
        <w:rPr>
          <w:rFonts w:ascii="Times New Roman" w:hAnsi="Times New Roman" w:cs="Times New Roman"/>
          <w:bCs/>
          <w:sz w:val="24"/>
          <w:szCs w:val="24"/>
        </w:rPr>
        <w:t>Current</w:t>
      </w:r>
      <w:proofErr w:type="spellEnd"/>
      <w:r w:rsidRPr="001C05B0">
        <w:rPr>
          <w:rFonts w:ascii="Times New Roman" w:hAnsi="Times New Roman" w:cs="Times New Roman"/>
          <w:bCs/>
          <w:sz w:val="24"/>
          <w:szCs w:val="24"/>
        </w:rPr>
        <w:t xml:space="preserve"> Medicinal </w:t>
      </w:r>
      <w:proofErr w:type="spellStart"/>
      <w:r w:rsidRPr="001C05B0">
        <w:rPr>
          <w:rFonts w:ascii="Times New Roman" w:hAnsi="Times New Roman" w:cs="Times New Roman"/>
          <w:bCs/>
          <w:sz w:val="24"/>
          <w:szCs w:val="24"/>
        </w:rPr>
        <w:t>Chemistry</w:t>
      </w:r>
      <w:proofErr w:type="spellEnd"/>
      <w:r w:rsidRPr="001C05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C05B0">
        <w:rPr>
          <w:rFonts w:ascii="Times New Roman" w:hAnsi="Times New Roman" w:cs="Times New Roman"/>
          <w:bCs/>
          <w:sz w:val="24"/>
          <w:szCs w:val="24"/>
        </w:rPr>
        <w:t>Erzurum</w:t>
      </w:r>
      <w:proofErr w:type="spellEnd"/>
      <w:r w:rsidRPr="001C05B0">
        <w:rPr>
          <w:rFonts w:ascii="Times New Roman" w:hAnsi="Times New Roman" w:cs="Times New Roman"/>
          <w:bCs/>
          <w:sz w:val="24"/>
          <w:szCs w:val="24"/>
        </w:rPr>
        <w:t>,</w:t>
      </w:r>
      <w:r w:rsidRPr="001C05B0">
        <w:rPr>
          <w:rFonts w:ascii="Times New Roman" w:hAnsi="Times New Roman" w:cs="Times New Roman"/>
          <w:sz w:val="24"/>
          <w:szCs w:val="24"/>
        </w:rPr>
        <w:t xml:space="preserve"> v. 15, n. 13, p. 278- 283, 2008.</w:t>
      </w:r>
    </w:p>
    <w:p w14:paraId="2C4F5A35" w14:textId="3706F47B" w:rsidR="00F346C2" w:rsidRPr="001C05B0" w:rsidRDefault="000A7723" w:rsidP="0052765F">
      <w:pPr>
        <w:spacing w:line="360" w:lineRule="auto"/>
        <w:jc w:val="both"/>
        <w:rPr>
          <w:rFonts w:ascii="Times New Roman" w:hAnsi="Times New Roman" w:cs="Times New Roman"/>
        </w:rPr>
      </w:pPr>
      <w:r w:rsidRPr="001C05B0">
        <w:rPr>
          <w:rFonts w:ascii="Times New Roman" w:hAnsi="Times New Roman" w:cs="Times New Roman"/>
          <w:sz w:val="24"/>
          <w:szCs w:val="24"/>
        </w:rPr>
        <w:t>TORRES, Luciana Vilar</w:t>
      </w:r>
      <w:r w:rsidR="008B4344">
        <w:rPr>
          <w:rFonts w:ascii="Times New Roman" w:hAnsi="Times New Roman" w:cs="Times New Roman"/>
          <w:sz w:val="24"/>
          <w:szCs w:val="24"/>
        </w:rPr>
        <w:t>.</w:t>
      </w:r>
      <w:r w:rsidRPr="001C05B0">
        <w:rPr>
          <w:rFonts w:ascii="Times New Roman" w:hAnsi="Times New Roman" w:cs="Times New Roman"/>
          <w:sz w:val="24"/>
          <w:szCs w:val="24"/>
        </w:rPr>
        <w:t xml:space="preserve">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C05B0">
        <w:rPr>
          <w:rFonts w:ascii="Times New Roman" w:hAnsi="Times New Roman" w:cs="Times New Roman"/>
          <w:sz w:val="24"/>
          <w:szCs w:val="24"/>
        </w:rPr>
        <w:t xml:space="preserve"> Hepatotoxicidade do paracetamol e fatores predisponentes. </w:t>
      </w:r>
      <w:r w:rsidRPr="001C05B0">
        <w:rPr>
          <w:rFonts w:ascii="Times New Roman" w:hAnsi="Times New Roman" w:cs="Times New Roman"/>
          <w:bCs/>
          <w:sz w:val="24"/>
          <w:szCs w:val="24"/>
        </w:rPr>
        <w:t>Revista de</w:t>
      </w:r>
      <w:r w:rsidRPr="001C05B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bCs/>
          <w:sz w:val="24"/>
          <w:szCs w:val="24"/>
        </w:rPr>
        <w:t>ciências</w:t>
      </w:r>
      <w:r w:rsidRPr="001C05B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bCs/>
          <w:sz w:val="24"/>
          <w:szCs w:val="24"/>
        </w:rPr>
        <w:t>da</w:t>
      </w:r>
      <w:r w:rsidRPr="001C05B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bCs/>
          <w:sz w:val="24"/>
          <w:szCs w:val="24"/>
        </w:rPr>
        <w:t>saúde</w:t>
      </w:r>
      <w:r w:rsidRPr="001C05B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bCs/>
          <w:sz w:val="24"/>
          <w:szCs w:val="24"/>
        </w:rPr>
        <w:t>Nova</w:t>
      </w:r>
      <w:r w:rsidRPr="001C05B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bCs/>
          <w:sz w:val="24"/>
          <w:szCs w:val="24"/>
        </w:rPr>
        <w:t>Esperança</w:t>
      </w:r>
      <w:r w:rsidRPr="001C05B0">
        <w:rPr>
          <w:rFonts w:ascii="Times New Roman" w:hAnsi="Times New Roman" w:cs="Times New Roman"/>
          <w:sz w:val="24"/>
          <w:szCs w:val="24"/>
        </w:rPr>
        <w:t>,</w:t>
      </w:r>
      <w:r w:rsidRPr="001C05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v.</w:t>
      </w:r>
      <w:r w:rsidRPr="001C05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17,</w:t>
      </w:r>
      <w:r w:rsidRPr="001C05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n.</w:t>
      </w:r>
      <w:r w:rsidRPr="001C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1,</w:t>
      </w:r>
      <w:r w:rsidRPr="001C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p.</w:t>
      </w:r>
      <w:r w:rsidRPr="001C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93-99,</w:t>
      </w:r>
      <w:r w:rsidRPr="001C05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2019</w:t>
      </w:r>
      <w:r w:rsidR="00F346C2" w:rsidRPr="001C05B0">
        <w:rPr>
          <w:rFonts w:ascii="Times New Roman" w:hAnsi="Times New Roman" w:cs="Times New Roman"/>
          <w:sz w:val="24"/>
          <w:szCs w:val="24"/>
        </w:rPr>
        <w:t>.</w:t>
      </w:r>
    </w:p>
    <w:p w14:paraId="7B44681C" w14:textId="12A02238" w:rsidR="008425A3" w:rsidRPr="001C05B0" w:rsidRDefault="008425A3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</w:rPr>
        <w:lastRenderedPageBreak/>
        <w:t>VALE N. Desmistificando o Uso da Dipirona. In: Cavalcanti Il, Cantinho FAF, Assad A. Medicina Peri operatória. Rio de Janeiro: Sociedade de Anestesiologia do Estado do Rio de Janeiro, 2006. Cap. 126, p. 1110-1111.</w:t>
      </w:r>
    </w:p>
    <w:p w14:paraId="4ADC548E" w14:textId="30F90AC1" w:rsidR="00B41FF4" w:rsidRPr="001C05B0" w:rsidRDefault="001C4BBE" w:rsidP="005276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WATANABE</w:t>
      </w:r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6139BF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akau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2746C" w:rsidRPr="008B43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="0072746C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Drug-induced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liver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injury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serious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multiform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exudative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erythema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following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over-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counter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medication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containing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ibuprofen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Intern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Med.</w:t>
      </w:r>
      <w:r w:rsidR="00262268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2015;54(4):395-9. </w:t>
      </w:r>
      <w:proofErr w:type="spellStart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="00B41FF4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: 10.2169/internalmedicine.54.3204. PMID: 25748955.</w:t>
      </w:r>
    </w:p>
    <w:p w14:paraId="588CBF57" w14:textId="789889B9" w:rsidR="001C4BBE" w:rsidRPr="001C05B0" w:rsidRDefault="00B01C36" w:rsidP="0052765F">
      <w:pPr>
        <w:spacing w:line="360" w:lineRule="auto"/>
        <w:jc w:val="both"/>
      </w:pPr>
      <w:hyperlink r:id="rId28" w:history="1">
        <w:r w:rsidR="001C4BBE" w:rsidRPr="001C05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WINDHOLZ, Martha</w:t>
        </w:r>
      </w:hyperlink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1177D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Merck &amp; Co., Inc. The Merck Index: </w:t>
      </w:r>
      <w:proofErr w:type="spellStart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Encyclopedia</w:t>
      </w:r>
      <w:proofErr w:type="spellEnd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Chemicals</w:t>
      </w:r>
      <w:proofErr w:type="spellEnd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Drugs</w:t>
      </w:r>
      <w:proofErr w:type="spellEnd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Biologicals</w:t>
      </w:r>
      <w:proofErr w:type="spellEnd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C4BBE" w:rsidRPr="001C05B0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Ed:</w:t>
      </w:r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 9ª ed. </w:t>
      </w:r>
      <w:proofErr w:type="spellStart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Rahway</w:t>
      </w:r>
      <w:proofErr w:type="spellEnd"/>
      <w:r w:rsidR="001C4BBE" w:rsidRPr="001C05B0">
        <w:rPr>
          <w:rFonts w:ascii="Times New Roman" w:hAnsi="Times New Roman" w:cs="Times New Roman"/>
          <w:sz w:val="24"/>
          <w:szCs w:val="24"/>
          <w:shd w:val="clear" w:color="auto" w:fill="FFFFFF"/>
        </w:rPr>
        <w:t>, NJ (Nova Jersey), Merck &amp; Co., Inc.1976.</w:t>
      </w:r>
    </w:p>
    <w:p w14:paraId="486DFEEA" w14:textId="25A6FE6A" w:rsidR="008B08C2" w:rsidRPr="001C05B0" w:rsidRDefault="00F346C2" w:rsidP="0052765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C05B0">
        <w:rPr>
          <w:rFonts w:ascii="Times New Roman" w:hAnsi="Times New Roman" w:cs="Times New Roman"/>
          <w:sz w:val="24"/>
          <w:szCs w:val="24"/>
        </w:rPr>
        <w:t>ZAMBRANA,</w:t>
      </w:r>
      <w:r w:rsidRPr="001C05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Jorge</w:t>
      </w:r>
      <w:r w:rsidRPr="001C05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T.</w:t>
      </w:r>
      <w:r w:rsidRPr="001C05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Agranulocitose</w:t>
      </w:r>
      <w:r w:rsidRPr="001C05B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e</w:t>
      </w:r>
      <w:r w:rsidRPr="001C05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Tonsilite</w:t>
      </w:r>
      <w:r w:rsidRPr="001C05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Associadas</w:t>
      </w:r>
      <w:r w:rsidRPr="001C05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ao</w:t>
      </w:r>
      <w:r w:rsidRPr="001C05B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Uso</w:t>
      </w:r>
      <w:r w:rsidRPr="001C05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de</w:t>
      </w:r>
      <w:r w:rsidRPr="001C05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Metimazol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.</w:t>
      </w:r>
      <w:r w:rsidRPr="001C05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1C05B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Bras</w:t>
      </w:r>
      <w:r w:rsidR="004A2C6E" w:rsidRPr="001C05B0">
        <w:rPr>
          <w:rFonts w:ascii="Times New Roman" w:hAnsi="Times New Roman" w:cs="Times New Roman"/>
          <w:sz w:val="24"/>
          <w:szCs w:val="24"/>
        </w:rPr>
        <w:t xml:space="preserve">. </w:t>
      </w:r>
      <w:r w:rsidRPr="001C05B0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Otorrinolaringol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>,</w:t>
      </w:r>
      <w:r w:rsidRPr="001C05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v.71,</w:t>
      </w:r>
      <w:r w:rsidRPr="001C05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n.3,</w:t>
      </w:r>
      <w:r w:rsidRPr="001C05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374-7,</w:t>
      </w:r>
      <w:r w:rsidRPr="001C05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mai./jun.</w:t>
      </w:r>
      <w:r w:rsidRPr="001C05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05B0">
        <w:rPr>
          <w:rFonts w:ascii="Times New Roman" w:hAnsi="Times New Roman" w:cs="Times New Roman"/>
          <w:sz w:val="24"/>
          <w:szCs w:val="24"/>
        </w:rPr>
        <w:t>2005.</w:t>
      </w:r>
    </w:p>
    <w:p w14:paraId="326652D7" w14:textId="42D207CE" w:rsidR="00F358AE" w:rsidRPr="001C05B0" w:rsidRDefault="008B08C2" w:rsidP="0052765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C05B0">
        <w:rPr>
          <w:rFonts w:ascii="Times New Roman" w:hAnsi="Times New Roman" w:cs="Times New Roman"/>
          <w:sz w:val="24"/>
          <w:szCs w:val="24"/>
        </w:rPr>
        <w:t xml:space="preserve">ZANARDO, Carla </w:t>
      </w:r>
      <w:proofErr w:type="spellStart"/>
      <w:r w:rsidRPr="001C05B0">
        <w:rPr>
          <w:rFonts w:ascii="Times New Roman" w:hAnsi="Times New Roman" w:cs="Times New Roman"/>
          <w:sz w:val="24"/>
          <w:szCs w:val="24"/>
        </w:rPr>
        <w:t>Helfenstein</w:t>
      </w:r>
      <w:proofErr w:type="spellEnd"/>
      <w:r w:rsidRPr="001C05B0">
        <w:rPr>
          <w:rFonts w:ascii="Times New Roman" w:hAnsi="Times New Roman" w:cs="Times New Roman"/>
          <w:sz w:val="24"/>
          <w:szCs w:val="24"/>
        </w:rPr>
        <w:t xml:space="preserve">, </w:t>
      </w:r>
      <w:r w:rsidRPr="008B434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C05B0">
        <w:rPr>
          <w:rFonts w:ascii="Times New Roman" w:hAnsi="Times New Roman" w:cs="Times New Roman"/>
          <w:sz w:val="24"/>
          <w:szCs w:val="24"/>
        </w:rPr>
        <w:t xml:space="preserve"> Intoxicação por Paracetamol. Acta Méd. (Porto Alegre), v. 34, 2013.</w:t>
      </w:r>
    </w:p>
    <w:p w14:paraId="532D922E" w14:textId="6A61FA70" w:rsidR="00463539" w:rsidRPr="001C05B0" w:rsidRDefault="008B08C2" w:rsidP="005276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5B0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</w:p>
    <w:sectPr w:rsidR="00463539" w:rsidRPr="001C05B0" w:rsidSect="0052765F">
      <w:headerReference w:type="default" r:id="rId29"/>
      <w:type w:val="continuous"/>
      <w:pgSz w:w="11910" w:h="16840"/>
      <w:pgMar w:top="1701" w:right="1134" w:bottom="1134" w:left="1701" w:header="0" w:footer="9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D6ED" w14:textId="77777777" w:rsidR="00B01C36" w:rsidRDefault="00B01C36" w:rsidP="00463539">
      <w:pPr>
        <w:spacing w:after="0" w:line="240" w:lineRule="auto"/>
      </w:pPr>
      <w:r>
        <w:separator/>
      </w:r>
    </w:p>
  </w:endnote>
  <w:endnote w:type="continuationSeparator" w:id="0">
    <w:p w14:paraId="6DA3D3DD" w14:textId="77777777" w:rsidR="00B01C36" w:rsidRDefault="00B01C36" w:rsidP="0046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052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073017"/>
      <w:docPartObj>
        <w:docPartGallery w:val="Page Numbers (Bottom of Page)"/>
        <w:docPartUnique/>
      </w:docPartObj>
    </w:sdtPr>
    <w:sdtEndPr/>
    <w:sdtContent>
      <w:p w14:paraId="68EA7CE0" w14:textId="61DFBA9D" w:rsidR="00202AF1" w:rsidRDefault="00202A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0581A" w14:textId="77777777" w:rsidR="00C724BC" w:rsidRDefault="00C724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9FF6" w14:textId="77777777" w:rsidR="00B01C36" w:rsidRDefault="00B01C36" w:rsidP="00463539">
      <w:pPr>
        <w:spacing w:after="0" w:line="240" w:lineRule="auto"/>
      </w:pPr>
      <w:r>
        <w:separator/>
      </w:r>
    </w:p>
  </w:footnote>
  <w:footnote w:type="continuationSeparator" w:id="0">
    <w:p w14:paraId="258E3C6E" w14:textId="77777777" w:rsidR="00B01C36" w:rsidRDefault="00B01C36" w:rsidP="0046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11C2" w14:textId="77777777" w:rsidR="00EB3DA1" w:rsidRDefault="00EB3DA1">
    <w:pPr>
      <w:pStyle w:val="Cabealho"/>
      <w:jc w:val="right"/>
    </w:pPr>
  </w:p>
  <w:p w14:paraId="63780E26" w14:textId="77777777" w:rsidR="00EB3DA1" w:rsidRDefault="00EB3D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5DB"/>
    <w:multiLevelType w:val="hybridMultilevel"/>
    <w:tmpl w:val="4EB85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4C4C"/>
    <w:multiLevelType w:val="hybridMultilevel"/>
    <w:tmpl w:val="98CE9AE6"/>
    <w:lvl w:ilvl="0" w:tplc="D0D2B542">
      <w:start w:val="5"/>
      <w:numFmt w:val="decimal"/>
      <w:lvlText w:val="%1"/>
      <w:lvlJc w:val="left"/>
      <w:pPr>
        <w:ind w:left="927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1AC2"/>
    <w:multiLevelType w:val="hybridMultilevel"/>
    <w:tmpl w:val="D6A6555C"/>
    <w:lvl w:ilvl="0" w:tplc="AC7A41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5C5"/>
    <w:multiLevelType w:val="hybridMultilevel"/>
    <w:tmpl w:val="1DD24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18F2"/>
    <w:multiLevelType w:val="hybridMultilevel"/>
    <w:tmpl w:val="9BC8E2D8"/>
    <w:lvl w:ilvl="0" w:tplc="08FE75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679A"/>
    <w:multiLevelType w:val="hybridMultilevel"/>
    <w:tmpl w:val="48C2C482"/>
    <w:lvl w:ilvl="0" w:tplc="0F8E2030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4668B"/>
    <w:multiLevelType w:val="hybridMultilevel"/>
    <w:tmpl w:val="03682A1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75BBE"/>
    <w:multiLevelType w:val="hybridMultilevel"/>
    <w:tmpl w:val="03682A1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F5906"/>
    <w:multiLevelType w:val="hybridMultilevel"/>
    <w:tmpl w:val="9F284F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D7EAF"/>
    <w:multiLevelType w:val="multilevel"/>
    <w:tmpl w:val="A77C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3148B"/>
    <w:multiLevelType w:val="hybridMultilevel"/>
    <w:tmpl w:val="E2206994"/>
    <w:lvl w:ilvl="0" w:tplc="B66E16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F770B"/>
    <w:multiLevelType w:val="hybridMultilevel"/>
    <w:tmpl w:val="03682A1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4364A"/>
    <w:multiLevelType w:val="hybridMultilevel"/>
    <w:tmpl w:val="F11A364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A65B4"/>
    <w:multiLevelType w:val="hybridMultilevel"/>
    <w:tmpl w:val="C4D6B9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116C6"/>
    <w:multiLevelType w:val="hybridMultilevel"/>
    <w:tmpl w:val="BF3C0506"/>
    <w:lvl w:ilvl="0" w:tplc="B66E16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52E69"/>
    <w:multiLevelType w:val="hybridMultilevel"/>
    <w:tmpl w:val="6A0826B4"/>
    <w:lvl w:ilvl="0" w:tplc="450C2A52">
      <w:start w:val="5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E2269D"/>
    <w:multiLevelType w:val="hybridMultilevel"/>
    <w:tmpl w:val="36362C02"/>
    <w:lvl w:ilvl="0" w:tplc="BAAC0F2C">
      <w:start w:val="1"/>
      <w:numFmt w:val="lowerLetter"/>
      <w:lvlText w:val="%1."/>
      <w:lvlJc w:val="left"/>
      <w:pPr>
        <w:ind w:left="821" w:hanging="348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5BA2EA98">
      <w:numFmt w:val="bullet"/>
      <w:lvlText w:val="•"/>
      <w:lvlJc w:val="left"/>
      <w:pPr>
        <w:ind w:left="1766" w:hanging="348"/>
      </w:pPr>
      <w:rPr>
        <w:rFonts w:hint="default"/>
      </w:rPr>
    </w:lvl>
    <w:lvl w:ilvl="2" w:tplc="5000A35A">
      <w:numFmt w:val="bullet"/>
      <w:lvlText w:val="•"/>
      <w:lvlJc w:val="left"/>
      <w:pPr>
        <w:ind w:left="2713" w:hanging="348"/>
      </w:pPr>
      <w:rPr>
        <w:rFonts w:hint="default"/>
      </w:rPr>
    </w:lvl>
    <w:lvl w:ilvl="3" w:tplc="561A7BCA">
      <w:numFmt w:val="bullet"/>
      <w:lvlText w:val="•"/>
      <w:lvlJc w:val="left"/>
      <w:pPr>
        <w:ind w:left="3659" w:hanging="348"/>
      </w:pPr>
      <w:rPr>
        <w:rFonts w:hint="default"/>
      </w:rPr>
    </w:lvl>
    <w:lvl w:ilvl="4" w:tplc="639830FA">
      <w:numFmt w:val="bullet"/>
      <w:lvlText w:val="•"/>
      <w:lvlJc w:val="left"/>
      <w:pPr>
        <w:ind w:left="4606" w:hanging="348"/>
      </w:pPr>
      <w:rPr>
        <w:rFonts w:hint="default"/>
      </w:rPr>
    </w:lvl>
    <w:lvl w:ilvl="5" w:tplc="3796DC54">
      <w:numFmt w:val="bullet"/>
      <w:lvlText w:val="•"/>
      <w:lvlJc w:val="left"/>
      <w:pPr>
        <w:ind w:left="5553" w:hanging="348"/>
      </w:pPr>
      <w:rPr>
        <w:rFonts w:hint="default"/>
      </w:rPr>
    </w:lvl>
    <w:lvl w:ilvl="6" w:tplc="3104F46E">
      <w:numFmt w:val="bullet"/>
      <w:lvlText w:val="•"/>
      <w:lvlJc w:val="left"/>
      <w:pPr>
        <w:ind w:left="6499" w:hanging="348"/>
      </w:pPr>
      <w:rPr>
        <w:rFonts w:hint="default"/>
      </w:rPr>
    </w:lvl>
    <w:lvl w:ilvl="7" w:tplc="EB7A6428">
      <w:numFmt w:val="bullet"/>
      <w:lvlText w:val="•"/>
      <w:lvlJc w:val="left"/>
      <w:pPr>
        <w:ind w:left="7446" w:hanging="348"/>
      </w:pPr>
      <w:rPr>
        <w:rFonts w:hint="default"/>
      </w:rPr>
    </w:lvl>
    <w:lvl w:ilvl="8" w:tplc="D8F4A1C8">
      <w:numFmt w:val="bullet"/>
      <w:lvlText w:val="•"/>
      <w:lvlJc w:val="left"/>
      <w:pPr>
        <w:ind w:left="8393" w:hanging="348"/>
      </w:pPr>
      <w:rPr>
        <w:rFonts w:hint="default"/>
      </w:rPr>
    </w:lvl>
  </w:abstractNum>
  <w:abstractNum w:abstractNumId="17" w15:restartNumberingAfterBreak="0">
    <w:nsid w:val="58EE60BA"/>
    <w:multiLevelType w:val="multilevel"/>
    <w:tmpl w:val="84A635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083DC5"/>
    <w:multiLevelType w:val="hybridMultilevel"/>
    <w:tmpl w:val="03682A10"/>
    <w:lvl w:ilvl="0" w:tplc="194C0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79D8"/>
    <w:multiLevelType w:val="hybridMultilevel"/>
    <w:tmpl w:val="D9E82300"/>
    <w:lvl w:ilvl="0" w:tplc="4C70C6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AA2101"/>
    <w:multiLevelType w:val="multilevel"/>
    <w:tmpl w:val="30E40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A12BCD"/>
    <w:multiLevelType w:val="multilevel"/>
    <w:tmpl w:val="CF5CA9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1047205"/>
    <w:multiLevelType w:val="hybridMultilevel"/>
    <w:tmpl w:val="F47032B8"/>
    <w:lvl w:ilvl="0" w:tplc="9132C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63387D"/>
    <w:multiLevelType w:val="hybridMultilevel"/>
    <w:tmpl w:val="28024AB2"/>
    <w:lvl w:ilvl="0" w:tplc="1334EEA2">
      <w:start w:val="5"/>
      <w:numFmt w:val="decimal"/>
      <w:lvlText w:val="%1"/>
      <w:lvlJc w:val="left"/>
      <w:pPr>
        <w:ind w:left="180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6F736E"/>
    <w:multiLevelType w:val="hybridMultilevel"/>
    <w:tmpl w:val="3CA4C52C"/>
    <w:lvl w:ilvl="0" w:tplc="AA8EB9A0">
      <w:start w:val="1"/>
      <w:numFmt w:val="lowerLetter"/>
      <w:lvlText w:val="%1."/>
      <w:lvlJc w:val="left"/>
      <w:pPr>
        <w:ind w:left="821" w:hanging="348"/>
      </w:pPr>
      <w:rPr>
        <w:rFonts w:hint="default"/>
        <w:i/>
        <w:w w:val="99"/>
      </w:rPr>
    </w:lvl>
    <w:lvl w:ilvl="1" w:tplc="CF163368">
      <w:start w:val="1"/>
      <w:numFmt w:val="lowerRoman"/>
      <w:lvlText w:val="%2."/>
      <w:lvlJc w:val="left"/>
      <w:pPr>
        <w:ind w:left="1529" w:hanging="456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98AEB334">
      <w:numFmt w:val="bullet"/>
      <w:lvlText w:val="•"/>
      <w:lvlJc w:val="left"/>
      <w:pPr>
        <w:ind w:left="1520" w:hanging="456"/>
      </w:pPr>
      <w:rPr>
        <w:rFonts w:hint="default"/>
      </w:rPr>
    </w:lvl>
    <w:lvl w:ilvl="3" w:tplc="80B05E46">
      <w:numFmt w:val="bullet"/>
      <w:lvlText w:val="•"/>
      <w:lvlJc w:val="left"/>
      <w:pPr>
        <w:ind w:left="2615" w:hanging="456"/>
      </w:pPr>
      <w:rPr>
        <w:rFonts w:hint="default"/>
      </w:rPr>
    </w:lvl>
    <w:lvl w:ilvl="4" w:tplc="23468950">
      <w:numFmt w:val="bullet"/>
      <w:lvlText w:val="•"/>
      <w:lvlJc w:val="left"/>
      <w:pPr>
        <w:ind w:left="3711" w:hanging="456"/>
      </w:pPr>
      <w:rPr>
        <w:rFonts w:hint="default"/>
      </w:rPr>
    </w:lvl>
    <w:lvl w:ilvl="5" w:tplc="3B56A958">
      <w:numFmt w:val="bullet"/>
      <w:lvlText w:val="•"/>
      <w:lvlJc w:val="left"/>
      <w:pPr>
        <w:ind w:left="4807" w:hanging="456"/>
      </w:pPr>
      <w:rPr>
        <w:rFonts w:hint="default"/>
      </w:rPr>
    </w:lvl>
    <w:lvl w:ilvl="6" w:tplc="225A369E">
      <w:numFmt w:val="bullet"/>
      <w:lvlText w:val="•"/>
      <w:lvlJc w:val="left"/>
      <w:pPr>
        <w:ind w:left="5903" w:hanging="456"/>
      </w:pPr>
      <w:rPr>
        <w:rFonts w:hint="default"/>
      </w:rPr>
    </w:lvl>
    <w:lvl w:ilvl="7" w:tplc="CC7AE13E">
      <w:numFmt w:val="bullet"/>
      <w:lvlText w:val="•"/>
      <w:lvlJc w:val="left"/>
      <w:pPr>
        <w:ind w:left="6999" w:hanging="456"/>
      </w:pPr>
      <w:rPr>
        <w:rFonts w:hint="default"/>
      </w:rPr>
    </w:lvl>
    <w:lvl w:ilvl="8" w:tplc="B20CED62">
      <w:numFmt w:val="bullet"/>
      <w:lvlText w:val="•"/>
      <w:lvlJc w:val="left"/>
      <w:pPr>
        <w:ind w:left="8094" w:hanging="456"/>
      </w:pPr>
      <w:rPr>
        <w:rFonts w:hint="default"/>
      </w:rPr>
    </w:lvl>
  </w:abstractNum>
  <w:abstractNum w:abstractNumId="25" w15:restartNumberingAfterBreak="0">
    <w:nsid w:val="7A487AEB"/>
    <w:multiLevelType w:val="hybridMultilevel"/>
    <w:tmpl w:val="CB9EE9DC"/>
    <w:lvl w:ilvl="0" w:tplc="F75AE11E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40576"/>
    <w:multiLevelType w:val="hybridMultilevel"/>
    <w:tmpl w:val="80F6D3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6"/>
  </w:num>
  <w:num w:numId="3">
    <w:abstractNumId w:val="24"/>
  </w:num>
  <w:num w:numId="4">
    <w:abstractNumId w:val="0"/>
  </w:num>
  <w:num w:numId="5">
    <w:abstractNumId w:val="17"/>
  </w:num>
  <w:num w:numId="6">
    <w:abstractNumId w:val="18"/>
  </w:num>
  <w:num w:numId="7">
    <w:abstractNumId w:val="2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21"/>
  </w:num>
  <w:num w:numId="13">
    <w:abstractNumId w:val="15"/>
  </w:num>
  <w:num w:numId="14">
    <w:abstractNumId w:val="9"/>
  </w:num>
  <w:num w:numId="15">
    <w:abstractNumId w:val="5"/>
  </w:num>
  <w:num w:numId="16">
    <w:abstractNumId w:val="23"/>
  </w:num>
  <w:num w:numId="17">
    <w:abstractNumId w:val="1"/>
  </w:num>
  <w:num w:numId="18">
    <w:abstractNumId w:val="25"/>
  </w:num>
  <w:num w:numId="19">
    <w:abstractNumId w:val="19"/>
  </w:num>
  <w:num w:numId="20">
    <w:abstractNumId w:val="10"/>
  </w:num>
  <w:num w:numId="21">
    <w:abstractNumId w:val="12"/>
  </w:num>
  <w:num w:numId="22">
    <w:abstractNumId w:val="26"/>
  </w:num>
  <w:num w:numId="23">
    <w:abstractNumId w:val="14"/>
  </w:num>
  <w:num w:numId="24">
    <w:abstractNumId w:val="8"/>
  </w:num>
  <w:num w:numId="25">
    <w:abstractNumId w:val="13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1B"/>
    <w:rsid w:val="00003956"/>
    <w:rsid w:val="00003A1E"/>
    <w:rsid w:val="00005835"/>
    <w:rsid w:val="00005913"/>
    <w:rsid w:val="0000761B"/>
    <w:rsid w:val="000133C9"/>
    <w:rsid w:val="00013CA5"/>
    <w:rsid w:val="00016711"/>
    <w:rsid w:val="000202A3"/>
    <w:rsid w:val="00023F3A"/>
    <w:rsid w:val="000303EC"/>
    <w:rsid w:val="00033603"/>
    <w:rsid w:val="00034C55"/>
    <w:rsid w:val="000357E3"/>
    <w:rsid w:val="00035AC8"/>
    <w:rsid w:val="0003602D"/>
    <w:rsid w:val="00044088"/>
    <w:rsid w:val="00044B19"/>
    <w:rsid w:val="0004648C"/>
    <w:rsid w:val="00046847"/>
    <w:rsid w:val="000470C1"/>
    <w:rsid w:val="0004715A"/>
    <w:rsid w:val="000513A1"/>
    <w:rsid w:val="00051515"/>
    <w:rsid w:val="000528EE"/>
    <w:rsid w:val="000537CF"/>
    <w:rsid w:val="00054284"/>
    <w:rsid w:val="00056254"/>
    <w:rsid w:val="00056E2F"/>
    <w:rsid w:val="0006027B"/>
    <w:rsid w:val="000605AF"/>
    <w:rsid w:val="0006124F"/>
    <w:rsid w:val="00061642"/>
    <w:rsid w:val="00063125"/>
    <w:rsid w:val="00063272"/>
    <w:rsid w:val="00065B46"/>
    <w:rsid w:val="00066C02"/>
    <w:rsid w:val="00067DCF"/>
    <w:rsid w:val="000739E5"/>
    <w:rsid w:val="000744AA"/>
    <w:rsid w:val="00075D28"/>
    <w:rsid w:val="00075D38"/>
    <w:rsid w:val="000769C4"/>
    <w:rsid w:val="0007728C"/>
    <w:rsid w:val="00080272"/>
    <w:rsid w:val="00087110"/>
    <w:rsid w:val="00093826"/>
    <w:rsid w:val="00094A69"/>
    <w:rsid w:val="00095202"/>
    <w:rsid w:val="000961BC"/>
    <w:rsid w:val="00096A20"/>
    <w:rsid w:val="000A10B8"/>
    <w:rsid w:val="000A5F99"/>
    <w:rsid w:val="000A7723"/>
    <w:rsid w:val="000B1ED1"/>
    <w:rsid w:val="000B2149"/>
    <w:rsid w:val="000B3345"/>
    <w:rsid w:val="000B366C"/>
    <w:rsid w:val="000B38EE"/>
    <w:rsid w:val="000B47F1"/>
    <w:rsid w:val="000B7825"/>
    <w:rsid w:val="000C1168"/>
    <w:rsid w:val="000C2B28"/>
    <w:rsid w:val="000C2D03"/>
    <w:rsid w:val="000C2F9B"/>
    <w:rsid w:val="000C5578"/>
    <w:rsid w:val="000C7DB0"/>
    <w:rsid w:val="000D4CD4"/>
    <w:rsid w:val="000D5865"/>
    <w:rsid w:val="000D5A1F"/>
    <w:rsid w:val="000D6159"/>
    <w:rsid w:val="000D6495"/>
    <w:rsid w:val="000D6EEF"/>
    <w:rsid w:val="000D7F00"/>
    <w:rsid w:val="000E115E"/>
    <w:rsid w:val="000E1606"/>
    <w:rsid w:val="000E3C8B"/>
    <w:rsid w:val="000E3F9B"/>
    <w:rsid w:val="000E7390"/>
    <w:rsid w:val="000E7EB5"/>
    <w:rsid w:val="000F1317"/>
    <w:rsid w:val="000F248D"/>
    <w:rsid w:val="000F2674"/>
    <w:rsid w:val="000F29ED"/>
    <w:rsid w:val="000F459B"/>
    <w:rsid w:val="001009BA"/>
    <w:rsid w:val="0010534A"/>
    <w:rsid w:val="00107302"/>
    <w:rsid w:val="00110D57"/>
    <w:rsid w:val="001117EF"/>
    <w:rsid w:val="00112259"/>
    <w:rsid w:val="00113722"/>
    <w:rsid w:val="00116B54"/>
    <w:rsid w:val="00116CC2"/>
    <w:rsid w:val="00117A0A"/>
    <w:rsid w:val="001212AF"/>
    <w:rsid w:val="0012402F"/>
    <w:rsid w:val="0012423C"/>
    <w:rsid w:val="00126026"/>
    <w:rsid w:val="0013038D"/>
    <w:rsid w:val="001313D5"/>
    <w:rsid w:val="00131847"/>
    <w:rsid w:val="00133830"/>
    <w:rsid w:val="00135BA3"/>
    <w:rsid w:val="0013609A"/>
    <w:rsid w:val="001371C7"/>
    <w:rsid w:val="00137319"/>
    <w:rsid w:val="00140DDA"/>
    <w:rsid w:val="00142FF9"/>
    <w:rsid w:val="0014659E"/>
    <w:rsid w:val="00147AB6"/>
    <w:rsid w:val="00147C73"/>
    <w:rsid w:val="001502CA"/>
    <w:rsid w:val="001527C8"/>
    <w:rsid w:val="001542C4"/>
    <w:rsid w:val="00160ED1"/>
    <w:rsid w:val="00164C9F"/>
    <w:rsid w:val="00165A10"/>
    <w:rsid w:val="0016626D"/>
    <w:rsid w:val="001700B8"/>
    <w:rsid w:val="001729DC"/>
    <w:rsid w:val="00173F54"/>
    <w:rsid w:val="0018002B"/>
    <w:rsid w:val="0018195A"/>
    <w:rsid w:val="00182FF4"/>
    <w:rsid w:val="001831AE"/>
    <w:rsid w:val="00183A95"/>
    <w:rsid w:val="00184A6E"/>
    <w:rsid w:val="00186373"/>
    <w:rsid w:val="00190E22"/>
    <w:rsid w:val="001931A0"/>
    <w:rsid w:val="001944C7"/>
    <w:rsid w:val="00195AD1"/>
    <w:rsid w:val="00196285"/>
    <w:rsid w:val="001A1A87"/>
    <w:rsid w:val="001A1AB6"/>
    <w:rsid w:val="001A1C65"/>
    <w:rsid w:val="001A1F77"/>
    <w:rsid w:val="001A3494"/>
    <w:rsid w:val="001A4E2A"/>
    <w:rsid w:val="001A50E6"/>
    <w:rsid w:val="001A5EAE"/>
    <w:rsid w:val="001A76F3"/>
    <w:rsid w:val="001B0CF7"/>
    <w:rsid w:val="001B2394"/>
    <w:rsid w:val="001B2EEA"/>
    <w:rsid w:val="001B490B"/>
    <w:rsid w:val="001B492D"/>
    <w:rsid w:val="001B631F"/>
    <w:rsid w:val="001B6BA8"/>
    <w:rsid w:val="001C05B0"/>
    <w:rsid w:val="001C4583"/>
    <w:rsid w:val="001C4B1F"/>
    <w:rsid w:val="001C4BBE"/>
    <w:rsid w:val="001D2363"/>
    <w:rsid w:val="001D74FB"/>
    <w:rsid w:val="001E170C"/>
    <w:rsid w:val="001E1A59"/>
    <w:rsid w:val="001F0E7D"/>
    <w:rsid w:val="001F5FDC"/>
    <w:rsid w:val="00202AF1"/>
    <w:rsid w:val="00204179"/>
    <w:rsid w:val="00204337"/>
    <w:rsid w:val="00204800"/>
    <w:rsid w:val="002050BB"/>
    <w:rsid w:val="00207BC2"/>
    <w:rsid w:val="00207FEA"/>
    <w:rsid w:val="00210259"/>
    <w:rsid w:val="00210F68"/>
    <w:rsid w:val="00213156"/>
    <w:rsid w:val="00213588"/>
    <w:rsid w:val="00213C00"/>
    <w:rsid w:val="00214721"/>
    <w:rsid w:val="00215E41"/>
    <w:rsid w:val="002161DA"/>
    <w:rsid w:val="002217DA"/>
    <w:rsid w:val="00221C0D"/>
    <w:rsid w:val="0022238C"/>
    <w:rsid w:val="00226DB4"/>
    <w:rsid w:val="002303A6"/>
    <w:rsid w:val="002332DD"/>
    <w:rsid w:val="00233CE8"/>
    <w:rsid w:val="00234944"/>
    <w:rsid w:val="0024055C"/>
    <w:rsid w:val="002440C3"/>
    <w:rsid w:val="00250DBD"/>
    <w:rsid w:val="002519ED"/>
    <w:rsid w:val="002550B3"/>
    <w:rsid w:val="00260E25"/>
    <w:rsid w:val="00262268"/>
    <w:rsid w:val="00263B98"/>
    <w:rsid w:val="002660D0"/>
    <w:rsid w:val="00270EFC"/>
    <w:rsid w:val="00271944"/>
    <w:rsid w:val="00271F64"/>
    <w:rsid w:val="00271FC8"/>
    <w:rsid w:val="00273B26"/>
    <w:rsid w:val="00275AB3"/>
    <w:rsid w:val="002761D4"/>
    <w:rsid w:val="00276DD1"/>
    <w:rsid w:val="00277882"/>
    <w:rsid w:val="00277CAD"/>
    <w:rsid w:val="002864BA"/>
    <w:rsid w:val="00286929"/>
    <w:rsid w:val="00287532"/>
    <w:rsid w:val="00291476"/>
    <w:rsid w:val="00291609"/>
    <w:rsid w:val="00292BB9"/>
    <w:rsid w:val="00294743"/>
    <w:rsid w:val="00294A1F"/>
    <w:rsid w:val="002965B9"/>
    <w:rsid w:val="00296D9E"/>
    <w:rsid w:val="00297ECB"/>
    <w:rsid w:val="002A191A"/>
    <w:rsid w:val="002A2463"/>
    <w:rsid w:val="002A4691"/>
    <w:rsid w:val="002A4D29"/>
    <w:rsid w:val="002A61DA"/>
    <w:rsid w:val="002B0B90"/>
    <w:rsid w:val="002B1164"/>
    <w:rsid w:val="002B2FAC"/>
    <w:rsid w:val="002B6F89"/>
    <w:rsid w:val="002B728D"/>
    <w:rsid w:val="002C3AE0"/>
    <w:rsid w:val="002C3DDF"/>
    <w:rsid w:val="002C49D7"/>
    <w:rsid w:val="002D1375"/>
    <w:rsid w:val="002D1DCF"/>
    <w:rsid w:val="002D3454"/>
    <w:rsid w:val="002D47F9"/>
    <w:rsid w:val="002D679E"/>
    <w:rsid w:val="002E0585"/>
    <w:rsid w:val="002E1465"/>
    <w:rsid w:val="002E4F33"/>
    <w:rsid w:val="002E6A2A"/>
    <w:rsid w:val="002F2A3A"/>
    <w:rsid w:val="002F37FD"/>
    <w:rsid w:val="002F3FAA"/>
    <w:rsid w:val="0030435E"/>
    <w:rsid w:val="00304E7B"/>
    <w:rsid w:val="00310C06"/>
    <w:rsid w:val="00314047"/>
    <w:rsid w:val="00314DC4"/>
    <w:rsid w:val="00314E2A"/>
    <w:rsid w:val="003158AA"/>
    <w:rsid w:val="00315EDF"/>
    <w:rsid w:val="00317AF4"/>
    <w:rsid w:val="00321030"/>
    <w:rsid w:val="003214B3"/>
    <w:rsid w:val="003225DD"/>
    <w:rsid w:val="003244F3"/>
    <w:rsid w:val="003307E7"/>
    <w:rsid w:val="0033130B"/>
    <w:rsid w:val="00335B83"/>
    <w:rsid w:val="00336452"/>
    <w:rsid w:val="0033659B"/>
    <w:rsid w:val="00341917"/>
    <w:rsid w:val="00342A36"/>
    <w:rsid w:val="00342DC4"/>
    <w:rsid w:val="00343B94"/>
    <w:rsid w:val="00346747"/>
    <w:rsid w:val="003468E1"/>
    <w:rsid w:val="00346A57"/>
    <w:rsid w:val="0035094E"/>
    <w:rsid w:val="00350C1A"/>
    <w:rsid w:val="00351E01"/>
    <w:rsid w:val="003533DE"/>
    <w:rsid w:val="003545E5"/>
    <w:rsid w:val="00356BAA"/>
    <w:rsid w:val="00357761"/>
    <w:rsid w:val="00357CC1"/>
    <w:rsid w:val="003645E5"/>
    <w:rsid w:val="00365BCD"/>
    <w:rsid w:val="003702C4"/>
    <w:rsid w:val="00372932"/>
    <w:rsid w:val="00372B43"/>
    <w:rsid w:val="0037328E"/>
    <w:rsid w:val="00374C7A"/>
    <w:rsid w:val="0037585A"/>
    <w:rsid w:val="0037618C"/>
    <w:rsid w:val="00376ED2"/>
    <w:rsid w:val="003802A5"/>
    <w:rsid w:val="0038198F"/>
    <w:rsid w:val="0038363C"/>
    <w:rsid w:val="003905C5"/>
    <w:rsid w:val="003908D6"/>
    <w:rsid w:val="0039099F"/>
    <w:rsid w:val="0039557E"/>
    <w:rsid w:val="003959DE"/>
    <w:rsid w:val="00395E47"/>
    <w:rsid w:val="003969F3"/>
    <w:rsid w:val="00397DA2"/>
    <w:rsid w:val="003A01AB"/>
    <w:rsid w:val="003A1E19"/>
    <w:rsid w:val="003A4613"/>
    <w:rsid w:val="003A51A5"/>
    <w:rsid w:val="003A7669"/>
    <w:rsid w:val="003B1752"/>
    <w:rsid w:val="003B2182"/>
    <w:rsid w:val="003B438F"/>
    <w:rsid w:val="003B4986"/>
    <w:rsid w:val="003C0AAC"/>
    <w:rsid w:val="003C1F6F"/>
    <w:rsid w:val="003C248F"/>
    <w:rsid w:val="003C2F6A"/>
    <w:rsid w:val="003C522F"/>
    <w:rsid w:val="003C779F"/>
    <w:rsid w:val="003D0074"/>
    <w:rsid w:val="003D3011"/>
    <w:rsid w:val="003D414C"/>
    <w:rsid w:val="003D4412"/>
    <w:rsid w:val="003D45E4"/>
    <w:rsid w:val="003D527E"/>
    <w:rsid w:val="003D5492"/>
    <w:rsid w:val="003D604F"/>
    <w:rsid w:val="003D6470"/>
    <w:rsid w:val="003D6F25"/>
    <w:rsid w:val="003E11B5"/>
    <w:rsid w:val="003E154F"/>
    <w:rsid w:val="003E1CBE"/>
    <w:rsid w:val="003E47E4"/>
    <w:rsid w:val="003E62BF"/>
    <w:rsid w:val="003F2898"/>
    <w:rsid w:val="003F4363"/>
    <w:rsid w:val="003F70BC"/>
    <w:rsid w:val="004014E3"/>
    <w:rsid w:val="0040179E"/>
    <w:rsid w:val="004020E4"/>
    <w:rsid w:val="00402263"/>
    <w:rsid w:val="00403EC9"/>
    <w:rsid w:val="00404F4D"/>
    <w:rsid w:val="0040638E"/>
    <w:rsid w:val="004108D0"/>
    <w:rsid w:val="0041250E"/>
    <w:rsid w:val="00417C9B"/>
    <w:rsid w:val="0042354E"/>
    <w:rsid w:val="00423D2D"/>
    <w:rsid w:val="004259EA"/>
    <w:rsid w:val="00426985"/>
    <w:rsid w:val="00427069"/>
    <w:rsid w:val="00430B14"/>
    <w:rsid w:val="00430EDD"/>
    <w:rsid w:val="00431B8E"/>
    <w:rsid w:val="00434AC4"/>
    <w:rsid w:val="00434C39"/>
    <w:rsid w:val="00436497"/>
    <w:rsid w:val="00437F19"/>
    <w:rsid w:val="00440596"/>
    <w:rsid w:val="00440C1E"/>
    <w:rsid w:val="00441999"/>
    <w:rsid w:val="00442A1E"/>
    <w:rsid w:val="0044421A"/>
    <w:rsid w:val="00444279"/>
    <w:rsid w:val="004443E9"/>
    <w:rsid w:val="00444B3A"/>
    <w:rsid w:val="004506F1"/>
    <w:rsid w:val="004569EE"/>
    <w:rsid w:val="004619C9"/>
    <w:rsid w:val="004622C3"/>
    <w:rsid w:val="0046246F"/>
    <w:rsid w:val="0046329B"/>
    <w:rsid w:val="00463539"/>
    <w:rsid w:val="004640CF"/>
    <w:rsid w:val="00464841"/>
    <w:rsid w:val="00465617"/>
    <w:rsid w:val="00466EC6"/>
    <w:rsid w:val="004678E0"/>
    <w:rsid w:val="0047091B"/>
    <w:rsid w:val="00472713"/>
    <w:rsid w:val="00475353"/>
    <w:rsid w:val="00475A04"/>
    <w:rsid w:val="00480B03"/>
    <w:rsid w:val="00483011"/>
    <w:rsid w:val="00483EC5"/>
    <w:rsid w:val="00484742"/>
    <w:rsid w:val="004853C7"/>
    <w:rsid w:val="00487253"/>
    <w:rsid w:val="00490303"/>
    <w:rsid w:val="00491728"/>
    <w:rsid w:val="00491B11"/>
    <w:rsid w:val="004948AB"/>
    <w:rsid w:val="00494CC3"/>
    <w:rsid w:val="00494D52"/>
    <w:rsid w:val="004974AA"/>
    <w:rsid w:val="004A2C6E"/>
    <w:rsid w:val="004A3BAE"/>
    <w:rsid w:val="004A6EF3"/>
    <w:rsid w:val="004A773D"/>
    <w:rsid w:val="004B0C05"/>
    <w:rsid w:val="004B1564"/>
    <w:rsid w:val="004B2E15"/>
    <w:rsid w:val="004B6065"/>
    <w:rsid w:val="004B64EE"/>
    <w:rsid w:val="004B6537"/>
    <w:rsid w:val="004C12FB"/>
    <w:rsid w:val="004C218E"/>
    <w:rsid w:val="004C2402"/>
    <w:rsid w:val="004C3B26"/>
    <w:rsid w:val="004C409B"/>
    <w:rsid w:val="004C5E6E"/>
    <w:rsid w:val="004C5E77"/>
    <w:rsid w:val="004C610B"/>
    <w:rsid w:val="004C619F"/>
    <w:rsid w:val="004C7650"/>
    <w:rsid w:val="004D3A14"/>
    <w:rsid w:val="004D4E14"/>
    <w:rsid w:val="004D5C59"/>
    <w:rsid w:val="004D63BE"/>
    <w:rsid w:val="004D63E5"/>
    <w:rsid w:val="004D65B6"/>
    <w:rsid w:val="004D6706"/>
    <w:rsid w:val="004D6D6A"/>
    <w:rsid w:val="004E0079"/>
    <w:rsid w:val="004E0ABF"/>
    <w:rsid w:val="004E2A06"/>
    <w:rsid w:val="004E551A"/>
    <w:rsid w:val="004F33A1"/>
    <w:rsid w:val="00504904"/>
    <w:rsid w:val="005053D8"/>
    <w:rsid w:val="00505C6B"/>
    <w:rsid w:val="00506302"/>
    <w:rsid w:val="00506E6A"/>
    <w:rsid w:val="0051027A"/>
    <w:rsid w:val="0051159A"/>
    <w:rsid w:val="00511D6B"/>
    <w:rsid w:val="00513238"/>
    <w:rsid w:val="0051380E"/>
    <w:rsid w:val="00515A48"/>
    <w:rsid w:val="00515D16"/>
    <w:rsid w:val="00517ACB"/>
    <w:rsid w:val="00517CF6"/>
    <w:rsid w:val="00520184"/>
    <w:rsid w:val="005204A3"/>
    <w:rsid w:val="00522432"/>
    <w:rsid w:val="0052581F"/>
    <w:rsid w:val="00525871"/>
    <w:rsid w:val="00525E1E"/>
    <w:rsid w:val="00526091"/>
    <w:rsid w:val="0052765F"/>
    <w:rsid w:val="00534BF6"/>
    <w:rsid w:val="00535C62"/>
    <w:rsid w:val="005369EE"/>
    <w:rsid w:val="00537779"/>
    <w:rsid w:val="00537DF3"/>
    <w:rsid w:val="005409F4"/>
    <w:rsid w:val="00541520"/>
    <w:rsid w:val="005415B0"/>
    <w:rsid w:val="00541FF3"/>
    <w:rsid w:val="0054413F"/>
    <w:rsid w:val="005456AA"/>
    <w:rsid w:val="005461E8"/>
    <w:rsid w:val="00547D6F"/>
    <w:rsid w:val="00550597"/>
    <w:rsid w:val="005507A9"/>
    <w:rsid w:val="005509C0"/>
    <w:rsid w:val="00551923"/>
    <w:rsid w:val="005532A6"/>
    <w:rsid w:val="00553B0E"/>
    <w:rsid w:val="0055436E"/>
    <w:rsid w:val="0055793A"/>
    <w:rsid w:val="00557E2C"/>
    <w:rsid w:val="00570CE0"/>
    <w:rsid w:val="0057258B"/>
    <w:rsid w:val="00572B4D"/>
    <w:rsid w:val="00574718"/>
    <w:rsid w:val="00575886"/>
    <w:rsid w:val="00575E56"/>
    <w:rsid w:val="0057729C"/>
    <w:rsid w:val="0058732A"/>
    <w:rsid w:val="005900DC"/>
    <w:rsid w:val="00591FFD"/>
    <w:rsid w:val="00592633"/>
    <w:rsid w:val="00594FF0"/>
    <w:rsid w:val="0059714D"/>
    <w:rsid w:val="0059742C"/>
    <w:rsid w:val="0059790C"/>
    <w:rsid w:val="005A3013"/>
    <w:rsid w:val="005A4C20"/>
    <w:rsid w:val="005A7142"/>
    <w:rsid w:val="005B030D"/>
    <w:rsid w:val="005B049C"/>
    <w:rsid w:val="005B0979"/>
    <w:rsid w:val="005B1EC3"/>
    <w:rsid w:val="005B3C8C"/>
    <w:rsid w:val="005B3E33"/>
    <w:rsid w:val="005B6F85"/>
    <w:rsid w:val="005B7139"/>
    <w:rsid w:val="005B76C5"/>
    <w:rsid w:val="005C08A8"/>
    <w:rsid w:val="005C33F8"/>
    <w:rsid w:val="005C5978"/>
    <w:rsid w:val="005D0976"/>
    <w:rsid w:val="005D40F1"/>
    <w:rsid w:val="005D4B7E"/>
    <w:rsid w:val="005D6955"/>
    <w:rsid w:val="005D77E5"/>
    <w:rsid w:val="005E0498"/>
    <w:rsid w:val="005E1F78"/>
    <w:rsid w:val="005E2438"/>
    <w:rsid w:val="005E2C20"/>
    <w:rsid w:val="005E6C5B"/>
    <w:rsid w:val="005E7F35"/>
    <w:rsid w:val="005F06D8"/>
    <w:rsid w:val="005F2940"/>
    <w:rsid w:val="005F531E"/>
    <w:rsid w:val="005F59D0"/>
    <w:rsid w:val="005F67C3"/>
    <w:rsid w:val="0060015C"/>
    <w:rsid w:val="00600EE4"/>
    <w:rsid w:val="00601210"/>
    <w:rsid w:val="0060188A"/>
    <w:rsid w:val="00607508"/>
    <w:rsid w:val="00607C1C"/>
    <w:rsid w:val="006104A3"/>
    <w:rsid w:val="0061140C"/>
    <w:rsid w:val="006130A2"/>
    <w:rsid w:val="006139BF"/>
    <w:rsid w:val="0061580E"/>
    <w:rsid w:val="0061590C"/>
    <w:rsid w:val="00615C7B"/>
    <w:rsid w:val="00616269"/>
    <w:rsid w:val="006162DB"/>
    <w:rsid w:val="006164F6"/>
    <w:rsid w:val="006168EC"/>
    <w:rsid w:val="00620178"/>
    <w:rsid w:val="00620253"/>
    <w:rsid w:val="00622600"/>
    <w:rsid w:val="006236C2"/>
    <w:rsid w:val="00624560"/>
    <w:rsid w:val="00625353"/>
    <w:rsid w:val="00633E2D"/>
    <w:rsid w:val="006404BE"/>
    <w:rsid w:val="00643BDB"/>
    <w:rsid w:val="00643C35"/>
    <w:rsid w:val="006443EA"/>
    <w:rsid w:val="00647FD8"/>
    <w:rsid w:val="0065235A"/>
    <w:rsid w:val="00653375"/>
    <w:rsid w:val="00653B6E"/>
    <w:rsid w:val="0065481A"/>
    <w:rsid w:val="006625F0"/>
    <w:rsid w:val="00662D7E"/>
    <w:rsid w:val="006634FC"/>
    <w:rsid w:val="00667334"/>
    <w:rsid w:val="0067223D"/>
    <w:rsid w:val="00672F68"/>
    <w:rsid w:val="00674E75"/>
    <w:rsid w:val="00676F27"/>
    <w:rsid w:val="00680556"/>
    <w:rsid w:val="00681697"/>
    <w:rsid w:val="006818E7"/>
    <w:rsid w:val="0068373B"/>
    <w:rsid w:val="00683830"/>
    <w:rsid w:val="00683DAD"/>
    <w:rsid w:val="0068569F"/>
    <w:rsid w:val="00686C38"/>
    <w:rsid w:val="00692750"/>
    <w:rsid w:val="00692813"/>
    <w:rsid w:val="00692DFE"/>
    <w:rsid w:val="0069560A"/>
    <w:rsid w:val="0069589B"/>
    <w:rsid w:val="006A1D7F"/>
    <w:rsid w:val="006A2A2A"/>
    <w:rsid w:val="006A40CA"/>
    <w:rsid w:val="006A5F2A"/>
    <w:rsid w:val="006A6634"/>
    <w:rsid w:val="006A7474"/>
    <w:rsid w:val="006B27AC"/>
    <w:rsid w:val="006B2ED0"/>
    <w:rsid w:val="006B631E"/>
    <w:rsid w:val="006C1125"/>
    <w:rsid w:val="006C1E3D"/>
    <w:rsid w:val="006C2226"/>
    <w:rsid w:val="006C223F"/>
    <w:rsid w:val="006C3CDC"/>
    <w:rsid w:val="006C51E2"/>
    <w:rsid w:val="006C7690"/>
    <w:rsid w:val="006D037F"/>
    <w:rsid w:val="006D0DBD"/>
    <w:rsid w:val="006D234C"/>
    <w:rsid w:val="006D25C3"/>
    <w:rsid w:val="006D384C"/>
    <w:rsid w:val="006D4066"/>
    <w:rsid w:val="006D54F3"/>
    <w:rsid w:val="006D5CF0"/>
    <w:rsid w:val="006D5DC2"/>
    <w:rsid w:val="006D7BA5"/>
    <w:rsid w:val="006E34A9"/>
    <w:rsid w:val="006E485B"/>
    <w:rsid w:val="006E5F13"/>
    <w:rsid w:val="006E60E0"/>
    <w:rsid w:val="006E6A7B"/>
    <w:rsid w:val="006F0D04"/>
    <w:rsid w:val="006F7C4A"/>
    <w:rsid w:val="007000FD"/>
    <w:rsid w:val="00703986"/>
    <w:rsid w:val="00704534"/>
    <w:rsid w:val="00705260"/>
    <w:rsid w:val="007053F3"/>
    <w:rsid w:val="00706AAA"/>
    <w:rsid w:val="00706F41"/>
    <w:rsid w:val="00710635"/>
    <w:rsid w:val="007121B7"/>
    <w:rsid w:val="00712299"/>
    <w:rsid w:val="007135C9"/>
    <w:rsid w:val="0071467A"/>
    <w:rsid w:val="00714E9B"/>
    <w:rsid w:val="007168AE"/>
    <w:rsid w:val="00717618"/>
    <w:rsid w:val="00720391"/>
    <w:rsid w:val="00724536"/>
    <w:rsid w:val="00725506"/>
    <w:rsid w:val="0072746C"/>
    <w:rsid w:val="007302D5"/>
    <w:rsid w:val="00730C45"/>
    <w:rsid w:val="0073181B"/>
    <w:rsid w:val="00732791"/>
    <w:rsid w:val="007327E1"/>
    <w:rsid w:val="00732BA1"/>
    <w:rsid w:val="00732FD5"/>
    <w:rsid w:val="00733F3D"/>
    <w:rsid w:val="00734BED"/>
    <w:rsid w:val="0073540D"/>
    <w:rsid w:val="007400AF"/>
    <w:rsid w:val="00741E70"/>
    <w:rsid w:val="00742347"/>
    <w:rsid w:val="007516D5"/>
    <w:rsid w:val="0075283B"/>
    <w:rsid w:val="00753FAB"/>
    <w:rsid w:val="00754692"/>
    <w:rsid w:val="0075574D"/>
    <w:rsid w:val="00755783"/>
    <w:rsid w:val="00756301"/>
    <w:rsid w:val="00765CBD"/>
    <w:rsid w:val="00766145"/>
    <w:rsid w:val="007702DC"/>
    <w:rsid w:val="00770779"/>
    <w:rsid w:val="00774329"/>
    <w:rsid w:val="00774CB6"/>
    <w:rsid w:val="00777DCD"/>
    <w:rsid w:val="007807F0"/>
    <w:rsid w:val="00781250"/>
    <w:rsid w:val="00785A21"/>
    <w:rsid w:val="0078752D"/>
    <w:rsid w:val="00787771"/>
    <w:rsid w:val="00787841"/>
    <w:rsid w:val="00790CD1"/>
    <w:rsid w:val="007A12CB"/>
    <w:rsid w:val="007A1A3B"/>
    <w:rsid w:val="007A22FC"/>
    <w:rsid w:val="007A27BE"/>
    <w:rsid w:val="007A3802"/>
    <w:rsid w:val="007A381A"/>
    <w:rsid w:val="007A3DD7"/>
    <w:rsid w:val="007A52C4"/>
    <w:rsid w:val="007A5D46"/>
    <w:rsid w:val="007A7BB7"/>
    <w:rsid w:val="007B3C53"/>
    <w:rsid w:val="007B42A2"/>
    <w:rsid w:val="007B49F2"/>
    <w:rsid w:val="007B5940"/>
    <w:rsid w:val="007B5D5A"/>
    <w:rsid w:val="007B6E2A"/>
    <w:rsid w:val="007B7496"/>
    <w:rsid w:val="007C00FF"/>
    <w:rsid w:val="007C17A0"/>
    <w:rsid w:val="007C4DBA"/>
    <w:rsid w:val="007C7B20"/>
    <w:rsid w:val="007C7C5C"/>
    <w:rsid w:val="007D0159"/>
    <w:rsid w:val="007D1254"/>
    <w:rsid w:val="007D2740"/>
    <w:rsid w:val="007E00F7"/>
    <w:rsid w:val="007E11DD"/>
    <w:rsid w:val="007F0169"/>
    <w:rsid w:val="007F13B3"/>
    <w:rsid w:val="007F209C"/>
    <w:rsid w:val="007F23C4"/>
    <w:rsid w:val="007F3C3A"/>
    <w:rsid w:val="007F3ED9"/>
    <w:rsid w:val="007F4450"/>
    <w:rsid w:val="007F69A1"/>
    <w:rsid w:val="007F7513"/>
    <w:rsid w:val="007F7B7E"/>
    <w:rsid w:val="008118B1"/>
    <w:rsid w:val="00812877"/>
    <w:rsid w:val="00816C2F"/>
    <w:rsid w:val="0081737D"/>
    <w:rsid w:val="00820B00"/>
    <w:rsid w:val="00820B0A"/>
    <w:rsid w:val="0082302D"/>
    <w:rsid w:val="00824520"/>
    <w:rsid w:val="00826EAA"/>
    <w:rsid w:val="0083071E"/>
    <w:rsid w:val="00831C3E"/>
    <w:rsid w:val="00831E30"/>
    <w:rsid w:val="008332D0"/>
    <w:rsid w:val="008336C0"/>
    <w:rsid w:val="00833A24"/>
    <w:rsid w:val="008362B7"/>
    <w:rsid w:val="00836E8B"/>
    <w:rsid w:val="00837081"/>
    <w:rsid w:val="008425A3"/>
    <w:rsid w:val="00842849"/>
    <w:rsid w:val="008440A5"/>
    <w:rsid w:val="00846BD7"/>
    <w:rsid w:val="00850C38"/>
    <w:rsid w:val="0085107E"/>
    <w:rsid w:val="008527AB"/>
    <w:rsid w:val="00860A90"/>
    <w:rsid w:val="00860BD9"/>
    <w:rsid w:val="00860CDA"/>
    <w:rsid w:val="00860EB4"/>
    <w:rsid w:val="00862C0E"/>
    <w:rsid w:val="00863175"/>
    <w:rsid w:val="00865747"/>
    <w:rsid w:val="00867E7A"/>
    <w:rsid w:val="00871106"/>
    <w:rsid w:val="0087216C"/>
    <w:rsid w:val="008725F0"/>
    <w:rsid w:val="00872B55"/>
    <w:rsid w:val="0087331B"/>
    <w:rsid w:val="00873970"/>
    <w:rsid w:val="00874401"/>
    <w:rsid w:val="00875248"/>
    <w:rsid w:val="00875267"/>
    <w:rsid w:val="00876273"/>
    <w:rsid w:val="00876701"/>
    <w:rsid w:val="00877C91"/>
    <w:rsid w:val="0088038C"/>
    <w:rsid w:val="00883892"/>
    <w:rsid w:val="008851DD"/>
    <w:rsid w:val="0088753C"/>
    <w:rsid w:val="00887C7E"/>
    <w:rsid w:val="008907D2"/>
    <w:rsid w:val="0089684A"/>
    <w:rsid w:val="00897E5D"/>
    <w:rsid w:val="008A3A53"/>
    <w:rsid w:val="008A67A8"/>
    <w:rsid w:val="008A7823"/>
    <w:rsid w:val="008B0102"/>
    <w:rsid w:val="008B08C2"/>
    <w:rsid w:val="008B2388"/>
    <w:rsid w:val="008B37DF"/>
    <w:rsid w:val="008B4344"/>
    <w:rsid w:val="008B517D"/>
    <w:rsid w:val="008B7369"/>
    <w:rsid w:val="008C00F1"/>
    <w:rsid w:val="008C60D3"/>
    <w:rsid w:val="008C705F"/>
    <w:rsid w:val="008D01FC"/>
    <w:rsid w:val="008D10AC"/>
    <w:rsid w:val="008D2231"/>
    <w:rsid w:val="008D5B53"/>
    <w:rsid w:val="008D79D4"/>
    <w:rsid w:val="008F2F75"/>
    <w:rsid w:val="008F3058"/>
    <w:rsid w:val="008F32B7"/>
    <w:rsid w:val="008F7AA9"/>
    <w:rsid w:val="00900255"/>
    <w:rsid w:val="009006DC"/>
    <w:rsid w:val="00902ED9"/>
    <w:rsid w:val="00903BD8"/>
    <w:rsid w:val="00906DF2"/>
    <w:rsid w:val="00910CB6"/>
    <w:rsid w:val="0091349E"/>
    <w:rsid w:val="00914842"/>
    <w:rsid w:val="00916EB5"/>
    <w:rsid w:val="009200A1"/>
    <w:rsid w:val="00920131"/>
    <w:rsid w:val="00920EBF"/>
    <w:rsid w:val="0092139E"/>
    <w:rsid w:val="00924D55"/>
    <w:rsid w:val="00925130"/>
    <w:rsid w:val="0092634B"/>
    <w:rsid w:val="00926E73"/>
    <w:rsid w:val="0092748C"/>
    <w:rsid w:val="009274E1"/>
    <w:rsid w:val="0093058D"/>
    <w:rsid w:val="00932392"/>
    <w:rsid w:val="00937204"/>
    <w:rsid w:val="00937DCF"/>
    <w:rsid w:val="009426DB"/>
    <w:rsid w:val="009472AC"/>
    <w:rsid w:val="0094762E"/>
    <w:rsid w:val="009531C0"/>
    <w:rsid w:val="00954F98"/>
    <w:rsid w:val="00955F4C"/>
    <w:rsid w:val="009569D4"/>
    <w:rsid w:val="00963F58"/>
    <w:rsid w:val="0096473A"/>
    <w:rsid w:val="00965B13"/>
    <w:rsid w:val="00965FE3"/>
    <w:rsid w:val="00966955"/>
    <w:rsid w:val="00967C84"/>
    <w:rsid w:val="009710B6"/>
    <w:rsid w:val="00972C6A"/>
    <w:rsid w:val="00972DBA"/>
    <w:rsid w:val="00973DAA"/>
    <w:rsid w:val="0097443A"/>
    <w:rsid w:val="00975C78"/>
    <w:rsid w:val="009778B9"/>
    <w:rsid w:val="00977D45"/>
    <w:rsid w:val="009806F7"/>
    <w:rsid w:val="009809D6"/>
    <w:rsid w:val="00981B7C"/>
    <w:rsid w:val="00985457"/>
    <w:rsid w:val="00985602"/>
    <w:rsid w:val="0099105F"/>
    <w:rsid w:val="00993ED3"/>
    <w:rsid w:val="0099560B"/>
    <w:rsid w:val="009958E2"/>
    <w:rsid w:val="00997008"/>
    <w:rsid w:val="0099704A"/>
    <w:rsid w:val="00997989"/>
    <w:rsid w:val="009A1C24"/>
    <w:rsid w:val="009A2821"/>
    <w:rsid w:val="009A282C"/>
    <w:rsid w:val="009A48C1"/>
    <w:rsid w:val="009A6BEE"/>
    <w:rsid w:val="009A7C61"/>
    <w:rsid w:val="009B03CD"/>
    <w:rsid w:val="009B0752"/>
    <w:rsid w:val="009B098D"/>
    <w:rsid w:val="009B4476"/>
    <w:rsid w:val="009B4A4F"/>
    <w:rsid w:val="009C11A2"/>
    <w:rsid w:val="009C6E03"/>
    <w:rsid w:val="009D0077"/>
    <w:rsid w:val="009D3EE7"/>
    <w:rsid w:val="009D59A6"/>
    <w:rsid w:val="009D5A25"/>
    <w:rsid w:val="009D7213"/>
    <w:rsid w:val="009E031C"/>
    <w:rsid w:val="009E20D0"/>
    <w:rsid w:val="009E2172"/>
    <w:rsid w:val="009F0370"/>
    <w:rsid w:val="009F17F6"/>
    <w:rsid w:val="009F46C2"/>
    <w:rsid w:val="009F59C9"/>
    <w:rsid w:val="009F74E0"/>
    <w:rsid w:val="009F7F97"/>
    <w:rsid w:val="00A0221B"/>
    <w:rsid w:val="00A0322C"/>
    <w:rsid w:val="00A03611"/>
    <w:rsid w:val="00A039EC"/>
    <w:rsid w:val="00A06783"/>
    <w:rsid w:val="00A07818"/>
    <w:rsid w:val="00A1607D"/>
    <w:rsid w:val="00A16F71"/>
    <w:rsid w:val="00A214B6"/>
    <w:rsid w:val="00A23591"/>
    <w:rsid w:val="00A236EE"/>
    <w:rsid w:val="00A23716"/>
    <w:rsid w:val="00A24B2F"/>
    <w:rsid w:val="00A253BA"/>
    <w:rsid w:val="00A314A8"/>
    <w:rsid w:val="00A31978"/>
    <w:rsid w:val="00A326EB"/>
    <w:rsid w:val="00A33168"/>
    <w:rsid w:val="00A347C1"/>
    <w:rsid w:val="00A34BEC"/>
    <w:rsid w:val="00A3758B"/>
    <w:rsid w:val="00A403CD"/>
    <w:rsid w:val="00A41032"/>
    <w:rsid w:val="00A44A44"/>
    <w:rsid w:val="00A45C24"/>
    <w:rsid w:val="00A527A9"/>
    <w:rsid w:val="00A52E16"/>
    <w:rsid w:val="00A53702"/>
    <w:rsid w:val="00A55EF0"/>
    <w:rsid w:val="00A56F2D"/>
    <w:rsid w:val="00A56FCC"/>
    <w:rsid w:val="00A5768B"/>
    <w:rsid w:val="00A60114"/>
    <w:rsid w:val="00A60EE5"/>
    <w:rsid w:val="00A63C8A"/>
    <w:rsid w:val="00A657C3"/>
    <w:rsid w:val="00A66F3C"/>
    <w:rsid w:val="00A73741"/>
    <w:rsid w:val="00A776E5"/>
    <w:rsid w:val="00A81DE5"/>
    <w:rsid w:val="00A8233E"/>
    <w:rsid w:val="00A826C7"/>
    <w:rsid w:val="00A82DE1"/>
    <w:rsid w:val="00A82ECC"/>
    <w:rsid w:val="00A83E4D"/>
    <w:rsid w:val="00A84705"/>
    <w:rsid w:val="00A85F2D"/>
    <w:rsid w:val="00A86362"/>
    <w:rsid w:val="00A871AD"/>
    <w:rsid w:val="00A916C3"/>
    <w:rsid w:val="00A9421C"/>
    <w:rsid w:val="00A97E7A"/>
    <w:rsid w:val="00A97EBC"/>
    <w:rsid w:val="00AA1CAE"/>
    <w:rsid w:val="00AA39F0"/>
    <w:rsid w:val="00AB217F"/>
    <w:rsid w:val="00AB29AC"/>
    <w:rsid w:val="00AB2B7B"/>
    <w:rsid w:val="00AB3CFA"/>
    <w:rsid w:val="00AB4A3F"/>
    <w:rsid w:val="00AB4E78"/>
    <w:rsid w:val="00AC0C53"/>
    <w:rsid w:val="00AC471B"/>
    <w:rsid w:val="00AC6E74"/>
    <w:rsid w:val="00AC7015"/>
    <w:rsid w:val="00AC74ED"/>
    <w:rsid w:val="00AD0565"/>
    <w:rsid w:val="00AD347A"/>
    <w:rsid w:val="00AE2CDD"/>
    <w:rsid w:val="00AE5E77"/>
    <w:rsid w:val="00AE6FD4"/>
    <w:rsid w:val="00AF0421"/>
    <w:rsid w:val="00AF4A83"/>
    <w:rsid w:val="00AF75D7"/>
    <w:rsid w:val="00AF7861"/>
    <w:rsid w:val="00B01AFD"/>
    <w:rsid w:val="00B01C12"/>
    <w:rsid w:val="00B01C36"/>
    <w:rsid w:val="00B03B7A"/>
    <w:rsid w:val="00B04ABA"/>
    <w:rsid w:val="00B1230B"/>
    <w:rsid w:val="00B147C2"/>
    <w:rsid w:val="00B15D5F"/>
    <w:rsid w:val="00B16C71"/>
    <w:rsid w:val="00B2027D"/>
    <w:rsid w:val="00B244BE"/>
    <w:rsid w:val="00B25472"/>
    <w:rsid w:val="00B26690"/>
    <w:rsid w:val="00B34282"/>
    <w:rsid w:val="00B37A5B"/>
    <w:rsid w:val="00B37F9E"/>
    <w:rsid w:val="00B40F05"/>
    <w:rsid w:val="00B41424"/>
    <w:rsid w:val="00B41FF4"/>
    <w:rsid w:val="00B4523D"/>
    <w:rsid w:val="00B462C8"/>
    <w:rsid w:val="00B4746A"/>
    <w:rsid w:val="00B5005C"/>
    <w:rsid w:val="00B5251C"/>
    <w:rsid w:val="00B533A3"/>
    <w:rsid w:val="00B538A2"/>
    <w:rsid w:val="00B53DCA"/>
    <w:rsid w:val="00B54723"/>
    <w:rsid w:val="00B55986"/>
    <w:rsid w:val="00B55CBB"/>
    <w:rsid w:val="00B561E7"/>
    <w:rsid w:val="00B56274"/>
    <w:rsid w:val="00B600E2"/>
    <w:rsid w:val="00B61C26"/>
    <w:rsid w:val="00B6237D"/>
    <w:rsid w:val="00B64B7D"/>
    <w:rsid w:val="00B674A3"/>
    <w:rsid w:val="00B731D4"/>
    <w:rsid w:val="00B738C3"/>
    <w:rsid w:val="00B7457A"/>
    <w:rsid w:val="00B74BB9"/>
    <w:rsid w:val="00B81263"/>
    <w:rsid w:val="00B8157F"/>
    <w:rsid w:val="00B84A03"/>
    <w:rsid w:val="00B87664"/>
    <w:rsid w:val="00B87774"/>
    <w:rsid w:val="00B90B26"/>
    <w:rsid w:val="00B92470"/>
    <w:rsid w:val="00B94221"/>
    <w:rsid w:val="00BA2334"/>
    <w:rsid w:val="00BA39DB"/>
    <w:rsid w:val="00BA4D02"/>
    <w:rsid w:val="00BB252E"/>
    <w:rsid w:val="00BB3933"/>
    <w:rsid w:val="00BB5AAF"/>
    <w:rsid w:val="00BB5D70"/>
    <w:rsid w:val="00BC035B"/>
    <w:rsid w:val="00BC0F3C"/>
    <w:rsid w:val="00BC2AD6"/>
    <w:rsid w:val="00BC345C"/>
    <w:rsid w:val="00BC43A3"/>
    <w:rsid w:val="00BC4513"/>
    <w:rsid w:val="00BD183B"/>
    <w:rsid w:val="00BD3CB2"/>
    <w:rsid w:val="00BD3FF4"/>
    <w:rsid w:val="00BD5C8E"/>
    <w:rsid w:val="00BE1EFC"/>
    <w:rsid w:val="00BE3102"/>
    <w:rsid w:val="00BE36EA"/>
    <w:rsid w:val="00BE3BB6"/>
    <w:rsid w:val="00BE46B6"/>
    <w:rsid w:val="00BE4FDE"/>
    <w:rsid w:val="00BE64E0"/>
    <w:rsid w:val="00BE6EA9"/>
    <w:rsid w:val="00BF11D3"/>
    <w:rsid w:val="00BF29B9"/>
    <w:rsid w:val="00BF2D1A"/>
    <w:rsid w:val="00BF340C"/>
    <w:rsid w:val="00BF3D26"/>
    <w:rsid w:val="00C001C5"/>
    <w:rsid w:val="00C011A8"/>
    <w:rsid w:val="00C01AD6"/>
    <w:rsid w:val="00C06F59"/>
    <w:rsid w:val="00C10B63"/>
    <w:rsid w:val="00C11624"/>
    <w:rsid w:val="00C12067"/>
    <w:rsid w:val="00C226AD"/>
    <w:rsid w:val="00C242A7"/>
    <w:rsid w:val="00C27B2E"/>
    <w:rsid w:val="00C329AF"/>
    <w:rsid w:val="00C32AFA"/>
    <w:rsid w:val="00C37B49"/>
    <w:rsid w:val="00C40B59"/>
    <w:rsid w:val="00C4110D"/>
    <w:rsid w:val="00C4163A"/>
    <w:rsid w:val="00C41A4D"/>
    <w:rsid w:val="00C41D8C"/>
    <w:rsid w:val="00C42E60"/>
    <w:rsid w:val="00C42E63"/>
    <w:rsid w:val="00C47F5A"/>
    <w:rsid w:val="00C50A3F"/>
    <w:rsid w:val="00C5137F"/>
    <w:rsid w:val="00C541F5"/>
    <w:rsid w:val="00C54938"/>
    <w:rsid w:val="00C549BF"/>
    <w:rsid w:val="00C57973"/>
    <w:rsid w:val="00C65477"/>
    <w:rsid w:val="00C672C9"/>
    <w:rsid w:val="00C67482"/>
    <w:rsid w:val="00C714AA"/>
    <w:rsid w:val="00C71AA3"/>
    <w:rsid w:val="00C71ADB"/>
    <w:rsid w:val="00C7200C"/>
    <w:rsid w:val="00C724BC"/>
    <w:rsid w:val="00C75F48"/>
    <w:rsid w:val="00C77184"/>
    <w:rsid w:val="00C77D1E"/>
    <w:rsid w:val="00C80C31"/>
    <w:rsid w:val="00C8169C"/>
    <w:rsid w:val="00C81C23"/>
    <w:rsid w:val="00C86354"/>
    <w:rsid w:val="00C86A55"/>
    <w:rsid w:val="00C92554"/>
    <w:rsid w:val="00C92EE0"/>
    <w:rsid w:val="00C94429"/>
    <w:rsid w:val="00C9521A"/>
    <w:rsid w:val="00C966CA"/>
    <w:rsid w:val="00C97FA5"/>
    <w:rsid w:val="00CA14BB"/>
    <w:rsid w:val="00CA6815"/>
    <w:rsid w:val="00CB37F8"/>
    <w:rsid w:val="00CB3AB4"/>
    <w:rsid w:val="00CB5EED"/>
    <w:rsid w:val="00CB623B"/>
    <w:rsid w:val="00CB7147"/>
    <w:rsid w:val="00CC0055"/>
    <w:rsid w:val="00CC1077"/>
    <w:rsid w:val="00CC14E1"/>
    <w:rsid w:val="00CC159B"/>
    <w:rsid w:val="00CC3676"/>
    <w:rsid w:val="00CC5C6E"/>
    <w:rsid w:val="00CC5D76"/>
    <w:rsid w:val="00CC5DD1"/>
    <w:rsid w:val="00CD19B3"/>
    <w:rsid w:val="00CD39E3"/>
    <w:rsid w:val="00CD4167"/>
    <w:rsid w:val="00CD44F2"/>
    <w:rsid w:val="00CD5C5B"/>
    <w:rsid w:val="00CE0026"/>
    <w:rsid w:val="00CE06B5"/>
    <w:rsid w:val="00CE3837"/>
    <w:rsid w:val="00CE4561"/>
    <w:rsid w:val="00CE6828"/>
    <w:rsid w:val="00CE6CF4"/>
    <w:rsid w:val="00CE7A52"/>
    <w:rsid w:val="00CF0FAE"/>
    <w:rsid w:val="00CF10F1"/>
    <w:rsid w:val="00CF1398"/>
    <w:rsid w:val="00CF156B"/>
    <w:rsid w:val="00CF3B28"/>
    <w:rsid w:val="00CF5127"/>
    <w:rsid w:val="00CF7ADB"/>
    <w:rsid w:val="00D0166D"/>
    <w:rsid w:val="00D031B2"/>
    <w:rsid w:val="00D03298"/>
    <w:rsid w:val="00D05881"/>
    <w:rsid w:val="00D05C12"/>
    <w:rsid w:val="00D05EAC"/>
    <w:rsid w:val="00D0611A"/>
    <w:rsid w:val="00D102AD"/>
    <w:rsid w:val="00D1177D"/>
    <w:rsid w:val="00D130E2"/>
    <w:rsid w:val="00D13503"/>
    <w:rsid w:val="00D207CB"/>
    <w:rsid w:val="00D22A15"/>
    <w:rsid w:val="00D24D29"/>
    <w:rsid w:val="00D25B18"/>
    <w:rsid w:val="00D26647"/>
    <w:rsid w:val="00D40D5D"/>
    <w:rsid w:val="00D4192E"/>
    <w:rsid w:val="00D41CFF"/>
    <w:rsid w:val="00D42EBE"/>
    <w:rsid w:val="00D44577"/>
    <w:rsid w:val="00D462B7"/>
    <w:rsid w:val="00D55249"/>
    <w:rsid w:val="00D559D0"/>
    <w:rsid w:val="00D55E77"/>
    <w:rsid w:val="00D57020"/>
    <w:rsid w:val="00D62280"/>
    <w:rsid w:val="00D67AE2"/>
    <w:rsid w:val="00D728D7"/>
    <w:rsid w:val="00D73BC9"/>
    <w:rsid w:val="00D75182"/>
    <w:rsid w:val="00D81BE5"/>
    <w:rsid w:val="00D81EA7"/>
    <w:rsid w:val="00D82A54"/>
    <w:rsid w:val="00D842D1"/>
    <w:rsid w:val="00D84F8B"/>
    <w:rsid w:val="00D866B1"/>
    <w:rsid w:val="00D87DB9"/>
    <w:rsid w:val="00D901C2"/>
    <w:rsid w:val="00D9295C"/>
    <w:rsid w:val="00D93DAF"/>
    <w:rsid w:val="00D942C0"/>
    <w:rsid w:val="00D950B1"/>
    <w:rsid w:val="00D95CF4"/>
    <w:rsid w:val="00D96F06"/>
    <w:rsid w:val="00D97851"/>
    <w:rsid w:val="00D97F5E"/>
    <w:rsid w:val="00DA326E"/>
    <w:rsid w:val="00DA3410"/>
    <w:rsid w:val="00DA642A"/>
    <w:rsid w:val="00DA7E27"/>
    <w:rsid w:val="00DB09F1"/>
    <w:rsid w:val="00DB1CF1"/>
    <w:rsid w:val="00DB3A9C"/>
    <w:rsid w:val="00DB4950"/>
    <w:rsid w:val="00DC0A88"/>
    <w:rsid w:val="00DC2FB6"/>
    <w:rsid w:val="00DC5747"/>
    <w:rsid w:val="00DC5BDE"/>
    <w:rsid w:val="00DC6D27"/>
    <w:rsid w:val="00DD2A9B"/>
    <w:rsid w:val="00DD34A7"/>
    <w:rsid w:val="00DD53D4"/>
    <w:rsid w:val="00DE400A"/>
    <w:rsid w:val="00DE51F5"/>
    <w:rsid w:val="00DE69C1"/>
    <w:rsid w:val="00DE7B3F"/>
    <w:rsid w:val="00DF00C7"/>
    <w:rsid w:val="00DF1930"/>
    <w:rsid w:val="00DF3033"/>
    <w:rsid w:val="00DF6D24"/>
    <w:rsid w:val="00E01EA0"/>
    <w:rsid w:val="00E02D41"/>
    <w:rsid w:val="00E04034"/>
    <w:rsid w:val="00E04FBE"/>
    <w:rsid w:val="00E071DC"/>
    <w:rsid w:val="00E118B1"/>
    <w:rsid w:val="00E11BD2"/>
    <w:rsid w:val="00E13264"/>
    <w:rsid w:val="00E13B02"/>
    <w:rsid w:val="00E144B4"/>
    <w:rsid w:val="00E167B2"/>
    <w:rsid w:val="00E16ACB"/>
    <w:rsid w:val="00E203FE"/>
    <w:rsid w:val="00E21136"/>
    <w:rsid w:val="00E2698E"/>
    <w:rsid w:val="00E26AC2"/>
    <w:rsid w:val="00E33FFA"/>
    <w:rsid w:val="00E342A9"/>
    <w:rsid w:val="00E34BFB"/>
    <w:rsid w:val="00E41003"/>
    <w:rsid w:val="00E50E38"/>
    <w:rsid w:val="00E514E5"/>
    <w:rsid w:val="00E53E72"/>
    <w:rsid w:val="00E54A65"/>
    <w:rsid w:val="00E55FCD"/>
    <w:rsid w:val="00E60927"/>
    <w:rsid w:val="00E61B09"/>
    <w:rsid w:val="00E61E0F"/>
    <w:rsid w:val="00E61E3A"/>
    <w:rsid w:val="00E620A9"/>
    <w:rsid w:val="00E63335"/>
    <w:rsid w:val="00E63F4B"/>
    <w:rsid w:val="00E669C2"/>
    <w:rsid w:val="00E67F7A"/>
    <w:rsid w:val="00E76B97"/>
    <w:rsid w:val="00E77150"/>
    <w:rsid w:val="00E77C59"/>
    <w:rsid w:val="00E811F5"/>
    <w:rsid w:val="00E83438"/>
    <w:rsid w:val="00E84650"/>
    <w:rsid w:val="00E848C9"/>
    <w:rsid w:val="00E84B39"/>
    <w:rsid w:val="00E860E3"/>
    <w:rsid w:val="00E8669E"/>
    <w:rsid w:val="00E9480A"/>
    <w:rsid w:val="00E96EB3"/>
    <w:rsid w:val="00EA2919"/>
    <w:rsid w:val="00EA2DFF"/>
    <w:rsid w:val="00EA3AB6"/>
    <w:rsid w:val="00EA7704"/>
    <w:rsid w:val="00EB213A"/>
    <w:rsid w:val="00EB2208"/>
    <w:rsid w:val="00EB3DA1"/>
    <w:rsid w:val="00EB4D8D"/>
    <w:rsid w:val="00EB72CB"/>
    <w:rsid w:val="00EC2115"/>
    <w:rsid w:val="00EC3165"/>
    <w:rsid w:val="00EC4399"/>
    <w:rsid w:val="00EC45A6"/>
    <w:rsid w:val="00EC5B87"/>
    <w:rsid w:val="00ED07A0"/>
    <w:rsid w:val="00ED07E3"/>
    <w:rsid w:val="00ED1570"/>
    <w:rsid w:val="00ED6AD3"/>
    <w:rsid w:val="00ED7C5D"/>
    <w:rsid w:val="00EE07AE"/>
    <w:rsid w:val="00EE1298"/>
    <w:rsid w:val="00EE12CC"/>
    <w:rsid w:val="00EE2C35"/>
    <w:rsid w:val="00EE3F47"/>
    <w:rsid w:val="00EE4361"/>
    <w:rsid w:val="00EE4823"/>
    <w:rsid w:val="00EE4E7A"/>
    <w:rsid w:val="00EE7029"/>
    <w:rsid w:val="00EE7CE0"/>
    <w:rsid w:val="00EE7FB4"/>
    <w:rsid w:val="00EF0151"/>
    <w:rsid w:val="00EF0A0B"/>
    <w:rsid w:val="00EF1DFD"/>
    <w:rsid w:val="00EF2AD5"/>
    <w:rsid w:val="00EF5E2A"/>
    <w:rsid w:val="00EF6639"/>
    <w:rsid w:val="00EF7321"/>
    <w:rsid w:val="00F00268"/>
    <w:rsid w:val="00F03B76"/>
    <w:rsid w:val="00F05D4E"/>
    <w:rsid w:val="00F05DF8"/>
    <w:rsid w:val="00F05F1C"/>
    <w:rsid w:val="00F06008"/>
    <w:rsid w:val="00F12637"/>
    <w:rsid w:val="00F15C52"/>
    <w:rsid w:val="00F15ECA"/>
    <w:rsid w:val="00F1731D"/>
    <w:rsid w:val="00F208A1"/>
    <w:rsid w:val="00F24114"/>
    <w:rsid w:val="00F26154"/>
    <w:rsid w:val="00F26EE5"/>
    <w:rsid w:val="00F30746"/>
    <w:rsid w:val="00F346C2"/>
    <w:rsid w:val="00F35815"/>
    <w:rsid w:val="00F358AE"/>
    <w:rsid w:val="00F35C28"/>
    <w:rsid w:val="00F413BC"/>
    <w:rsid w:val="00F42116"/>
    <w:rsid w:val="00F434F7"/>
    <w:rsid w:val="00F45B35"/>
    <w:rsid w:val="00F51471"/>
    <w:rsid w:val="00F521C6"/>
    <w:rsid w:val="00F5394A"/>
    <w:rsid w:val="00F54446"/>
    <w:rsid w:val="00F562AD"/>
    <w:rsid w:val="00F60B25"/>
    <w:rsid w:val="00F6128D"/>
    <w:rsid w:val="00F6131A"/>
    <w:rsid w:val="00F61E79"/>
    <w:rsid w:val="00F6252A"/>
    <w:rsid w:val="00F63F6D"/>
    <w:rsid w:val="00F64D84"/>
    <w:rsid w:val="00F679FC"/>
    <w:rsid w:val="00F73800"/>
    <w:rsid w:val="00F80C08"/>
    <w:rsid w:val="00F815B5"/>
    <w:rsid w:val="00F82030"/>
    <w:rsid w:val="00F82501"/>
    <w:rsid w:val="00F82EF6"/>
    <w:rsid w:val="00F839E2"/>
    <w:rsid w:val="00F83BD9"/>
    <w:rsid w:val="00F85829"/>
    <w:rsid w:val="00F8620E"/>
    <w:rsid w:val="00F86F69"/>
    <w:rsid w:val="00F935A8"/>
    <w:rsid w:val="00F9553F"/>
    <w:rsid w:val="00FA09F1"/>
    <w:rsid w:val="00FA0C6A"/>
    <w:rsid w:val="00FA1405"/>
    <w:rsid w:val="00FA140F"/>
    <w:rsid w:val="00FA1E6C"/>
    <w:rsid w:val="00FA280A"/>
    <w:rsid w:val="00FA2B5D"/>
    <w:rsid w:val="00FA2FEE"/>
    <w:rsid w:val="00FA5995"/>
    <w:rsid w:val="00FA7C29"/>
    <w:rsid w:val="00FB4985"/>
    <w:rsid w:val="00FB6E18"/>
    <w:rsid w:val="00FC162C"/>
    <w:rsid w:val="00FC4270"/>
    <w:rsid w:val="00FC575B"/>
    <w:rsid w:val="00FC6135"/>
    <w:rsid w:val="00FC667F"/>
    <w:rsid w:val="00FC76B0"/>
    <w:rsid w:val="00FD1364"/>
    <w:rsid w:val="00FD3D42"/>
    <w:rsid w:val="00FD48D0"/>
    <w:rsid w:val="00FE074A"/>
    <w:rsid w:val="00FE306A"/>
    <w:rsid w:val="00FE4227"/>
    <w:rsid w:val="00FF127B"/>
    <w:rsid w:val="00FF28DC"/>
    <w:rsid w:val="00FF291B"/>
    <w:rsid w:val="00FF352B"/>
    <w:rsid w:val="00FF3A0B"/>
    <w:rsid w:val="00FF55AB"/>
    <w:rsid w:val="00FF5B09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BEFEF"/>
  <w15:docId w15:val="{E4A6FBCC-25E2-4EA5-9CCD-98EECEE8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C3"/>
  </w:style>
  <w:style w:type="paragraph" w:styleId="Ttulo1">
    <w:name w:val="heading 1"/>
    <w:basedOn w:val="Normal"/>
    <w:next w:val="Normal"/>
    <w:link w:val="Ttulo1Char"/>
    <w:uiPriority w:val="9"/>
    <w:qFormat/>
    <w:rsid w:val="000D4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3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463539"/>
    <w:pPr>
      <w:widowControl w:val="0"/>
      <w:spacing w:after="0" w:line="240" w:lineRule="auto"/>
      <w:ind w:left="113" w:right="706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7A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4110D"/>
    <w:pPr>
      <w:ind w:left="720"/>
      <w:contextualSpacing/>
    </w:pPr>
  </w:style>
  <w:style w:type="table" w:styleId="Tabelacomgrade">
    <w:name w:val="Table Grid"/>
    <w:basedOn w:val="Tabelanormal"/>
    <w:uiPriority w:val="39"/>
    <w:rsid w:val="00C4110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63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3539"/>
  </w:style>
  <w:style w:type="paragraph" w:styleId="Rodap">
    <w:name w:val="footer"/>
    <w:basedOn w:val="Normal"/>
    <w:link w:val="RodapChar"/>
    <w:uiPriority w:val="99"/>
    <w:unhideWhenUsed/>
    <w:rsid w:val="00463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3539"/>
  </w:style>
  <w:style w:type="character" w:customStyle="1" w:styleId="Ttulo3Char">
    <w:name w:val="Título 3 Char"/>
    <w:basedOn w:val="Fontepargpadro"/>
    <w:link w:val="Ttulo3"/>
    <w:uiPriority w:val="1"/>
    <w:rsid w:val="00463539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463539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3539"/>
    <w:rPr>
      <w:rFonts w:ascii="Arial" w:eastAsia="Arial" w:hAnsi="Arial" w:cs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0D4C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1831A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A1E19"/>
    <w:pPr>
      <w:tabs>
        <w:tab w:val="left" w:pos="440"/>
        <w:tab w:val="right" w:leader="dot" w:pos="10280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831AE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831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6E485B"/>
    <w:pPr>
      <w:spacing w:after="100"/>
      <w:ind w:left="220"/>
    </w:pPr>
  </w:style>
  <w:style w:type="character" w:customStyle="1" w:styleId="ui-provider">
    <w:name w:val="ui-provider"/>
    <w:basedOn w:val="Fontepargpadro"/>
    <w:rsid w:val="003244F3"/>
  </w:style>
  <w:style w:type="character" w:customStyle="1" w:styleId="MenoPendente1">
    <w:name w:val="Menção Pendente1"/>
    <w:basedOn w:val="Fontepargpadro"/>
    <w:uiPriority w:val="99"/>
    <w:semiHidden/>
    <w:unhideWhenUsed/>
    <w:rsid w:val="007C17A0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62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625F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6625F0"/>
  </w:style>
  <w:style w:type="character" w:customStyle="1" w:styleId="group-doi">
    <w:name w:val="group-doi"/>
    <w:basedOn w:val="Fontepargpadro"/>
    <w:rsid w:val="00E76B97"/>
  </w:style>
  <w:style w:type="character" w:customStyle="1" w:styleId="hgkelc">
    <w:name w:val="hgkelc"/>
    <w:basedOn w:val="Fontepargpadro"/>
    <w:rsid w:val="00E02D41"/>
  </w:style>
  <w:style w:type="paragraph" w:customStyle="1" w:styleId="TableParagraph">
    <w:name w:val="Table Paragraph"/>
    <w:basedOn w:val="Normal"/>
    <w:uiPriority w:val="1"/>
    <w:qFormat/>
    <w:rsid w:val="007702DC"/>
    <w:pPr>
      <w:widowControl w:val="0"/>
      <w:autoSpaceDE w:val="0"/>
      <w:autoSpaceDN w:val="0"/>
      <w:spacing w:after="0" w:line="272" w:lineRule="exact"/>
      <w:ind w:left="105"/>
    </w:pPr>
    <w:rPr>
      <w:rFonts w:ascii="P052" w:eastAsia="P052" w:hAnsi="P052" w:cs="P052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011A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73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B73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B7369"/>
    <w:rPr>
      <w:sz w:val="20"/>
      <w:szCs w:val="20"/>
    </w:rPr>
  </w:style>
  <w:style w:type="paragraph" w:styleId="Ttulo">
    <w:name w:val="Title"/>
    <w:basedOn w:val="Normal"/>
    <w:link w:val="TtuloChar"/>
    <w:uiPriority w:val="10"/>
    <w:qFormat/>
    <w:rsid w:val="00210F68"/>
    <w:pPr>
      <w:widowControl w:val="0"/>
      <w:autoSpaceDE w:val="0"/>
      <w:autoSpaceDN w:val="0"/>
      <w:spacing w:before="80" w:after="0" w:line="240" w:lineRule="auto"/>
      <w:ind w:left="352" w:right="113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210F68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NormalWeb">
    <w:name w:val="Normal (Web)"/>
    <w:basedOn w:val="Normal"/>
    <w:uiPriority w:val="99"/>
    <w:unhideWhenUsed/>
    <w:rsid w:val="00B6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B2EE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6158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46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465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88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440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o">
    <w:name w:val="Revision"/>
    <w:hidden/>
    <w:uiPriority w:val="99"/>
    <w:semiHidden/>
    <w:rsid w:val="004B2E15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14721"/>
    <w:rPr>
      <w:b/>
      <w:b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1380E"/>
    <w:rPr>
      <w:color w:val="605E5C"/>
      <w:shd w:val="clear" w:color="auto" w:fill="E1DFDD"/>
    </w:rPr>
  </w:style>
  <w:style w:type="character" w:customStyle="1" w:styleId="separator">
    <w:name w:val="_separator"/>
    <w:basedOn w:val="Fontepargpadro"/>
    <w:rsid w:val="00997008"/>
  </w:style>
  <w:style w:type="character" w:styleId="MenoPendente">
    <w:name w:val="Unresolved Mention"/>
    <w:basedOn w:val="Fontepargpadro"/>
    <w:uiPriority w:val="99"/>
    <w:semiHidden/>
    <w:unhideWhenUsed/>
    <w:rsid w:val="00A23716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7A5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1177/0009922814537112" TargetMode="External"/><Relationship Id="rId18" Type="http://schemas.openxmlformats.org/officeDocument/2006/relationships/hyperlink" Target="https://pesquisa.bvsalud.org/bvsms/resource/pt/mdl-35670337" TargetMode="External"/><Relationship Id="rId26" Type="http://schemas.openxmlformats.org/officeDocument/2006/relationships/hyperlink" Target="https://sinitox.icict.fiocruz.br/dados-nacionais" TargetMode="External"/><Relationship Id="rId3" Type="http://schemas.openxmlformats.org/officeDocument/2006/relationships/styles" Target="styles.xml"/><Relationship Id="rId21" Type="http://schemas.openxmlformats.org/officeDocument/2006/relationships/hyperlink" Target="http://dx.doi.org/10.33448/rsd-v11i17.381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andfonline.com/author/Ghannoum%2C+Marc" TargetMode="External"/><Relationship Id="rId17" Type="http://schemas.openxmlformats.org/officeDocument/2006/relationships/hyperlink" Target="https://pesquisa.bvsalud.org/bvsms/?lang=pt&amp;q=au:%22Lutz,%20Mathias%22" TargetMode="External"/><Relationship Id="rId25" Type="http://schemas.openxmlformats.org/officeDocument/2006/relationships/hyperlink" Target="https://doi.org/10.1590/S0034-70942007000500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BF01972851" TargetMode="External"/><Relationship Id="rId20" Type="http://schemas.openxmlformats.org/officeDocument/2006/relationships/hyperlink" Target="https://bvsms.saude.gov.br/automedicacao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ndfonline.com/author/Ghannoum%2C+Marc" TargetMode="External"/><Relationship Id="rId24" Type="http://schemas.openxmlformats.org/officeDocument/2006/relationships/hyperlink" Target="https://doi.org/10.1590/S1676-24442010000200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606/s1518-%208787.2021055003551" TargetMode="External"/><Relationship Id="rId23" Type="http://schemas.openxmlformats.org/officeDocument/2006/relationships/hyperlink" Target="https://doi.org/10.1590/1984-0462/;2019;37;3;00016" TargetMode="External"/><Relationship Id="rId28" Type="http://schemas.openxmlformats.org/officeDocument/2006/relationships/hyperlink" Target="https://pesquisa.bvsalud.org/portal/?lang=pt&amp;q=au:%22Windholz,%20Martha%2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vsms.saude.gov.br/bvs/dicas/255_automedicacao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planalto.gov.br/ccivil_03/leis/l5991.htm" TargetMode="External"/><Relationship Id="rId22" Type="http://schemas.openxmlformats.org/officeDocument/2006/relationships/hyperlink" Target="https://www3.paho.org/bra/dmdocuments/Temas_05_Uso_Racional_AINE.pdf" TargetMode="External"/><Relationship Id="rId27" Type="http://schemas.openxmlformats.org/officeDocument/2006/relationships/hyperlink" Target="https://doi.org/10.47820/recima21.v4i3.286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8470-09EC-47BA-8708-6F6ADE57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8253</Words>
  <Characters>44571</Characters>
  <Application>Microsoft Office Word</Application>
  <DocSecurity>0</DocSecurity>
  <Lines>371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VANIA CRISTINA R SALAZAR</cp:lastModifiedBy>
  <cp:revision>7</cp:revision>
  <cp:lastPrinted>2024-10-09T01:49:00Z</cp:lastPrinted>
  <dcterms:created xsi:type="dcterms:W3CDTF">2025-03-31T21:51:00Z</dcterms:created>
  <dcterms:modified xsi:type="dcterms:W3CDTF">2025-03-31T23:33:00Z</dcterms:modified>
</cp:coreProperties>
</file>