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0950" w14:textId="61E513FD" w:rsidR="00203CA2" w:rsidRDefault="00727E82" w:rsidP="00203C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8F9">
        <w:rPr>
          <w:rFonts w:ascii="Times New Roman" w:hAnsi="Times New Roman" w:cs="Times New Roman"/>
          <w:b/>
          <w:bCs/>
          <w:sz w:val="24"/>
          <w:szCs w:val="24"/>
        </w:rPr>
        <w:t xml:space="preserve">Interações medicamentosas na farmacoterapia combinada da doença hepática gordurosa não alcoólica e hepatite </w:t>
      </w:r>
      <w:r w:rsidR="00380C1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248F9">
        <w:rPr>
          <w:rFonts w:ascii="Times New Roman" w:hAnsi="Times New Roman" w:cs="Times New Roman"/>
          <w:b/>
          <w:bCs/>
          <w:sz w:val="24"/>
          <w:szCs w:val="24"/>
        </w:rPr>
        <w:t xml:space="preserve"> crônica</w:t>
      </w:r>
    </w:p>
    <w:p w14:paraId="0BC34471" w14:textId="77777777" w:rsidR="00203CA2" w:rsidRDefault="00203CA2" w:rsidP="00203C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Alessandra Braga Macedo; Laís Fagundes Carvalho; Vinicius Barreto da Silva.</w:t>
      </w:r>
    </w:p>
    <w:p w14:paraId="5D2558A0" w14:textId="77777777" w:rsidR="00203CA2" w:rsidRPr="00B05254" w:rsidRDefault="00203CA2" w:rsidP="00203C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de Ciências Médicas e da Vida. Pontifícia Universidade Católica de Goiás.</w:t>
      </w:r>
    </w:p>
    <w:p w14:paraId="7CC5C717" w14:textId="77777777" w:rsidR="00203CA2" w:rsidRPr="009152FC" w:rsidRDefault="00203CA2" w:rsidP="00203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3BCCF" w14:textId="77777777" w:rsidR="00203CA2" w:rsidRPr="00136BE6" w:rsidRDefault="00203CA2" w:rsidP="00203CA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36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14:paraId="551F29FD" w14:textId="77777777" w:rsidR="00203CA2" w:rsidRPr="006A5A0E" w:rsidRDefault="00203CA2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Objetivo: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Descrever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analisar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interações medicamentosas dos fármacos usados no tratamento da hepatite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crônica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os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doença hepática gordurosa não alcoólica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A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Métodos:</w:t>
      </w:r>
      <w:r w:rsidRPr="006A5A0E">
        <w:rPr>
          <w:rFonts w:ascii="Arial" w:hAnsi="Arial" w:cs="Arial"/>
          <w:sz w:val="24"/>
          <w:szCs w:val="24"/>
        </w:rPr>
        <w:t xml:space="preserve"> </w:t>
      </w:r>
      <w:r w:rsidRPr="006A5A0E">
        <w:rPr>
          <w:rFonts w:ascii="Times New Roman," w:hAnsi="Times New Roman," w:cs="Times New Roman"/>
          <w:sz w:val="24"/>
          <w:szCs w:val="24"/>
        </w:rPr>
        <w:t>triagem das interações medicamentosas fármaco-fármaco dos agentes utilizados no tratamento da hepatite B</w:t>
      </w:r>
      <w:r>
        <w:rPr>
          <w:rFonts w:ascii="Times New Roman," w:hAnsi="Times New Roman," w:cs="Times New Roman"/>
          <w:sz w:val="24"/>
          <w:szCs w:val="24"/>
        </w:rPr>
        <w:t xml:space="preserve"> crônica</w:t>
      </w:r>
      <w:r w:rsidRPr="006A5A0E">
        <w:rPr>
          <w:rFonts w:ascii="Times New Roman," w:hAnsi="Times New Roman," w:cs="Times New Roman"/>
          <w:sz w:val="24"/>
          <w:szCs w:val="24"/>
        </w:rPr>
        <w:t xml:space="preserve"> e no tratamento d</w:t>
      </w:r>
      <w:r>
        <w:rPr>
          <w:rFonts w:ascii="Times New Roman," w:hAnsi="Times New Roman," w:cs="Times New Roman"/>
          <w:sz w:val="24"/>
          <w:szCs w:val="24"/>
        </w:rPr>
        <w:t xml:space="preserve">a </w:t>
      </w:r>
      <w:r w:rsidRPr="006A5A0E">
        <w:rPr>
          <w:rFonts w:ascii="Times New Roman," w:hAnsi="Times New Roman,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doença hepática gordurosa não alcoólica</w:t>
      </w:r>
      <w:r w:rsidRPr="006A5A0E">
        <w:rPr>
          <w:rFonts w:ascii="Times New Roman," w:hAnsi="Times New Roman," w:cs="Times New Roman"/>
          <w:sz w:val="24"/>
          <w:szCs w:val="24"/>
        </w:rPr>
        <w:t xml:space="preserve"> utilizando a plataforma </w:t>
      </w:r>
      <w:proofErr w:type="spellStart"/>
      <w:r w:rsidRPr="006A5A0E">
        <w:rPr>
          <w:rFonts w:ascii="Times New Roman," w:hAnsi="Times New Roman," w:cs="Times New Roman"/>
          <w:sz w:val="24"/>
          <w:szCs w:val="24"/>
        </w:rPr>
        <w:t>Interactions</w:t>
      </w:r>
      <w:proofErr w:type="spellEnd"/>
      <w:r w:rsidRPr="006A5A0E">
        <w:rPr>
          <w:rFonts w:ascii="Times New Roman," w:hAnsi="Times New Roman," w:cs="Times New Roman"/>
          <w:sz w:val="24"/>
          <w:szCs w:val="24"/>
        </w:rPr>
        <w:t xml:space="preserve"> Checker da base de dados Drugs.com.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A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encontradas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oito</w:t>
      </w:r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possibilidades de interações medicamentosas, as quais foram subdivididas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categorias, sendo elas: diminuição da absorção do fármaco, </w:t>
      </w:r>
      <w:proofErr w:type="spellStart"/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>nefrotoxicidade</w:t>
      </w:r>
      <w:proofErr w:type="spellEnd"/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neuropatia periférica. </w:t>
      </w:r>
      <w:r w:rsidRPr="006A5A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6A5A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5A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sistemas digestório, renal e nervoso periférico estão envolvidos nas interações medicamentosas averiguadas, cujas repercussões clínicas para os eventuais pacientes incluem possível interferência na efetividade terapêutica dos fármacos, </w:t>
      </w:r>
      <w:proofErr w:type="spellStart"/>
      <w:r w:rsidRPr="006A5A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nefrotoxicidade</w:t>
      </w:r>
      <w:proofErr w:type="spellEnd"/>
      <w:r w:rsidRPr="006A5A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neuropatia periférica.</w:t>
      </w:r>
    </w:p>
    <w:p w14:paraId="279AB21E" w14:textId="77777777" w:rsidR="00203CA2" w:rsidRDefault="00203CA2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6A5A0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 xml:space="preserve">Palavras-Chave: </w:t>
      </w:r>
      <w:r w:rsidRPr="006A5A0E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hepatopatia Gordurosa não Alcoólica, síndrome metabólica, farmacologia.</w:t>
      </w:r>
    </w:p>
    <w:p w14:paraId="796A2CED" w14:textId="77777777" w:rsidR="004F29C4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3B1A50DB" w14:textId="77777777" w:rsidR="004F29C4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47A87FE6" w14:textId="77777777" w:rsidR="004F29C4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6A6423BE" w14:textId="77777777" w:rsidR="004F29C4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315CD7BB" w14:textId="77777777" w:rsidR="004F29C4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00E7376F" w14:textId="77777777" w:rsidR="004F29C4" w:rsidRPr="009D6079" w:rsidRDefault="004F29C4" w:rsidP="004F29C4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IN</w:t>
      </w:r>
      <w:r w:rsidRPr="004E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TRODUÇÃO</w:t>
      </w:r>
    </w:p>
    <w:p w14:paraId="4146481C" w14:textId="77777777" w:rsidR="004F29C4" w:rsidRPr="002B7F94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doença hepática gordurosa não alcoólica (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DHGNA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uma doença </w:t>
      </w:r>
      <w:proofErr w:type="spellStart"/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multissistêmica</w:t>
      </w:r>
      <w:proofErr w:type="spellEnd"/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rotineiramente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associada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diversas condições clínicas altamente relevantes na modernidade, incluindo a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obesidade,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resistência insulínica,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diabetes mellitus tipo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2, a hipertensão e as dislipidemias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1</w:t>
      </w:r>
      <w:r w:rsidRPr="00641BF7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641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GNA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uma das manifestações da síndrome metabólic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a, e cerca de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12 a 14%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indivíduos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doença podem desenvolver estágios mais avançados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a </w:t>
      </w:r>
      <w:proofErr w:type="spellStart"/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esteato</w:t>
      </w:r>
      <w:proofErr w:type="spellEnd"/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-hepatite não alcoólica (EHNA), a qual pode evoluir para fibrose, cirrose 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até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câncer hepático, sendo que a chance de um indivíduo com obesidade ou diabetes mellitus tipo 2 desenvolver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EHNA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aumenta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duas a três vezes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0492926" w14:textId="77777777" w:rsidR="004F29C4" w:rsidRPr="005133B3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DHGNA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caracteriza-se por esteatose hepática em mais de 5% dos hepatócitos na ausência de causas secundárias, como consumo de álcool significante, uso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ontínuo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medica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mentos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distúrbios hereditário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977238">
        <w:rPr>
          <w:rFonts w:ascii="Times New Roman" w:hAnsi="Times New Roman" w:cs="Times New Roman"/>
          <w:noProof/>
          <w:sz w:val="24"/>
          <w:szCs w:val="24"/>
          <w:lang w:eastAsia="pt-BR"/>
          <w14:ligatures w14:val="standardContextual"/>
        </w:rPr>
        <w:t xml:space="preserve">Possui uma prevalência de 25% globalmente e estima-se que </w:t>
      </w:r>
      <w:r w:rsidRPr="009772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 próxima década seja a principal causa de cirrose com necessidade de transplante de fígado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tratamento deve considerar, além de mudanças de hábitos de vida, o uso de fármacos para perda de peso e diabetes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especialmente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pioglitazona</w:t>
      </w:r>
      <w:proofErr w:type="spellEnd"/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agentes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agonistas do receptor GLP-1, além do manejo de fatores de risco cardiovascular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hipertensão e dislipidemia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Apesar do progresso alcançado na compreensão da fisiopatologia da doença e na identificação de potenciais alvos terapêuticos, pouco avanço tem sido visto no campo terapêutico, de modo que ainda não há um protocolo farmacoterapêutico específico aprovado para a DHGNA. Assim, o </w:t>
      </w:r>
      <w:r w:rsidRPr="00DE7A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principal da farmacoterapia consiste na melhora da inflamação, da esteatose e da fibrose</w:t>
      </w:r>
      <w:r w:rsidRPr="00DE7A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DE7A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1BC66FA" w14:textId="77777777" w:rsidR="004F29C4" w:rsidRPr="005133B3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Juntamente com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DHGNA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epatite 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rônica (HBC) figura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as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principais causas de doença hepática em âmbito mundia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HBC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doença viral cuja repercussão continua contribuindo para a morbimortalidade globa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Possui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alta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prevalência e potencializa o risco de cirrose hepática e carcinoma hepatocelular (CHC) nos pacientes infectado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Embora a infecção pelo vírus tenha diminuído devido ao uso em larga escala das vacinas, o número de pacientes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epatite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rônica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permanece expressivo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9,10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Evidências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apontam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para a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redução da mortalidade e do risco de desenvolvimento do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carcinoma hepatocelular 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pela terapia antiviral, assim como a melhora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parâmetros</w:t>
      </w:r>
      <w:r w:rsidRPr="00641B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gerais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t-BR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43C76C4C" w14:textId="77777777" w:rsidR="004F29C4" w:rsidRPr="007A3C84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aumento da incidência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global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obesidade e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síndrome metabólica (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contribuído para que a ocorrência da</w:t>
      </w:r>
      <w:r w:rsidRPr="001875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DHGNA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HBC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seja cada vez mais frequente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forma simultânea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 mesmo indivíduo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B20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contrário do vírus da hepatite C, não </w:t>
      </w:r>
      <w:r w:rsidRPr="00B20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há evidência de que o vírus da hepatite B aumente o risco de esteatose, apesar de não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incomum </w:t>
      </w:r>
      <w:r w:rsidRPr="00B20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idade em indivíduos com</w:t>
      </w:r>
      <w:r w:rsidRPr="00187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doença, os quais </w:t>
      </w:r>
      <w:r w:rsidRPr="00B20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presentam disfunção metabólica, sendo factível as duas etiologias hepáticas concomitantes. Além disso,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pacientes com o vírus da hepatite B e com DHGNA tem risco aumentado de evoluir para estágios avançados de doença hepática e para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CHC, porém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há melhora prognóstica com o tratamento e ajuste dos fatores de risco metabólico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relacionados à DHGNA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juntamente com o tratamento da hepatite B na sua fase inicial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6,12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4927387" w14:textId="77777777" w:rsidR="004F29C4" w:rsidRPr="007A3C84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studos prévios deram maior enfoque em como a associação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síndrome metabólica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seus componentes afetam e influenciam na progressão da doença hepática em pacientes portadores do vírus da hepatite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HBV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tratamento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entanto</w:t>
      </w:r>
      <w:r w:rsidRPr="007A3C84">
        <w:rPr>
          <w:rFonts w:ascii="Times New Roman" w:hAnsi="Times New Roman" w:cs="Times New Roman"/>
          <w:color w:val="000000"/>
          <w:sz w:val="24"/>
          <w:szCs w:val="24"/>
        </w:rPr>
        <w:t xml:space="preserve">, a síndrome metabólica corrobora de forma adversa à progressão da doença hepática em pacientes sob regime de tratamento com análogos de nucleotídeos (antivirais) por aumentar a taxa de ocorrência cumulativa de resistência genotípica e </w:t>
      </w:r>
      <w:r w:rsidRPr="007A3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CHC, </w:t>
      </w:r>
      <w:r w:rsidRPr="007A3C84">
        <w:rPr>
          <w:rFonts w:ascii="Times New Roman" w:hAnsi="Times New Roman" w:cs="Times New Roman"/>
          <w:color w:val="000000"/>
          <w:sz w:val="24"/>
          <w:szCs w:val="24"/>
        </w:rPr>
        <w:t>porém sem aumentar a resposta virológica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7A3C84">
        <w:rPr>
          <w:rFonts w:ascii="Times New Roman" w:hAnsi="Times New Roman" w:cs="Times New Roman"/>
          <w:color w:val="000000"/>
          <w:sz w:val="24"/>
          <w:szCs w:val="24"/>
        </w:rPr>
        <w:t xml:space="preserve">. Assim, fica evidente o potencial para a manifestação de </w:t>
      </w:r>
      <w:r w:rsidRPr="007A3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interações doença-doença e fármaco-doença. Contudo, nenhum estudo mostrou como o tratamento da síndrome metabólica pode influenciar no tratamento concomitante com antivirais, faltando, então, evidências sobre possíveis interações medicamentosas e o perfil de risco dessas interações. </w:t>
      </w:r>
    </w:p>
    <w:p w14:paraId="1166ECAB" w14:textId="77777777" w:rsidR="004F29C4" w:rsidRPr="00421B28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interação medicamentosa é a modificação do efeito de um fármaco diante de sua administração concomitante com outro fármaco,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gera um desfecho distinto daquele em que se administra cada um dos fármacos isoladamente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14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interações medicamentosas podem modificar o perfil dos efeitos esperados dos fármacos, sendo importante, portanto, avaliar previamente se há alguma possibilidade de interação medicamentosa quando o indivíduo utiliza dois ou mais fármacos, com o intuito de diminuir riscos ao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o principal objetivo deste trabalho consiste em descrever as interações medicamentosas dos fármacos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rotineiramente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empregados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tratamento combinado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HBC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da DHGNA, de acordo com o mecanismo e o efeito esperado, identificando associações potencialmente perigosas.</w:t>
      </w:r>
    </w:p>
    <w:p w14:paraId="349221CE" w14:textId="77777777" w:rsidR="004F29C4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maneira, a força do trabalho presente está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sistematizar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possíveis interações entre os tratamentos citados, visto a possibilidade e necessidade do manejo de ambas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doenças de forma não só independente, mas também em conjunto, uma vez esclarecido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prevalência das comorbidades metabó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licas, predispondo à DHGNA e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HBC paralelamente. Assim, o intuito é mitigar a carência de dados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 esse assunto</w:t>
      </w:r>
      <w:r w:rsidRPr="00421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 disso, é necessário que a equipe de profissionais da saúde envolvida no processo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terapêutico saiba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potencial de interação medicamentosa entre os fármacos propostos no manejo de cada doença para que danos possam ser evitados aos pacientes já acometidos por duas doenças críticas com repercussões locais e sistêmicas.</w:t>
      </w:r>
    </w:p>
    <w:p w14:paraId="6527B2D3" w14:textId="77777777" w:rsidR="004F29C4" w:rsidRDefault="004F29C4" w:rsidP="004F29C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ATERIAL E MÉTODOS</w:t>
      </w:r>
    </w:p>
    <w:p w14:paraId="3F04446F" w14:textId="77777777" w:rsidR="004F29C4" w:rsidRDefault="004F29C4" w:rsidP="004F29C4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levantamento das interações medicamentosas fármaco-fármaco envolvendo 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agentes terapêuticos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compõem o tratamento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HBC, incluindo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alfapeguinterferona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2a (PEG-IFN 2a),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entecavir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tenofovir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 fármacos utilizados no manejo clínico da DHGNA foi efetuado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meio da base de dados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medicamentos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Drugs.com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mediante o módulo “</w:t>
      </w:r>
      <w:proofErr w:type="spellStart"/>
      <w:r w:rsidRPr="00F60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Interactions</w:t>
      </w:r>
      <w:proofErr w:type="spellEnd"/>
      <w:r w:rsidRPr="00F60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Checker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disponível na plataforma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seleção dos fármacos que compõem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manejo clínico da DHGNA 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meio da diretriz para o diagnóstico e tratamento da DHGNA em ambientes clínicos de atenção primária e endocrinologia da Associação Americana de Endocrinologia Clínica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das 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diretrizes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brasileiras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individuais de cada critério determinante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diagnóstico e tratamento dos fatores que compõem a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síndrome metabólica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hipertensão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16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diabetes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17</w:t>
      </w:r>
      <w:r w:rsidRPr="004E21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islipidemia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obesidade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Para o tratamento do diabetes foram selecionados somente os fármacos de maior evidência de desfecho clínico positivo para os pacientes com a gordura hepática e diabetes, segundo a diretriz americana do tratamento da DHGNA, totalizando três classes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tiazolidinedionas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análogos do GLP-1 e inibidores da SGLT2)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1C232DD" w14:textId="77777777" w:rsidR="004F29C4" w:rsidRDefault="004F29C4" w:rsidP="004F29C4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buscas foram realizadas a partir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cruzamento aos pares dos nomes dos fármacos empregados para tratamento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HBC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grupo de fármacos usados no manejo da DHGNA, totalizando 177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pares de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combinações. As interações encontradas para cada combinação que apresentaram relevância clínica e potencial nocivo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potenciais pacientes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selecionadas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6A5A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informações referentes ao mecanismo provável de cada interação, assim como as respostas clínicas esperadas e as possibilidades de manejo terapêutico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coletadas para posterior sistematização. As interações foram categorizadas de acordo com os efeitos clínicos esperados para cada combinação potencialmente perigosa de fármacos. </w:t>
      </w:r>
    </w:p>
    <w:p w14:paraId="32260846" w14:textId="77777777" w:rsidR="004F29C4" w:rsidRDefault="004F29C4" w:rsidP="004F29C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4E21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ESULTADO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14:paraId="781843E9" w14:textId="0F58DAFA" w:rsidR="004F29C4" w:rsidRDefault="004F29C4" w:rsidP="004F29C4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amostragem de antivirais empregados no tratamento da HBC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PEG-IFN 2a,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entecavir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tenofovir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e o grupo de fármacos rotineiramente prescritos no manejo da DHGNA, f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oram encontradas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interações medicamentosas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das 177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combinações de fármacos estudadas. A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interações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subdivididas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categorias,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os desfechos clínicos esperados,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incluindo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diminuição</w:t>
      </w:r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absorção, </w:t>
      </w:r>
      <w:proofErr w:type="spellStart"/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>nefrotoxicidade</w:t>
      </w:r>
      <w:proofErr w:type="spellEnd"/>
      <w:r w:rsidRPr="004E2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neuropatia periférica.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três fármacos considerados para o tratamento da HBC estão envolvidos em pelo menos uma interação medicamentosa cada, ao passo que para a DHGNA destacam-se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orlistate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amilorida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hidralazina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estatinas (Tabela 1). </w:t>
      </w:r>
    </w:p>
    <w:p w14:paraId="4A1CD045" w14:textId="0C4B1534" w:rsidR="004F29C4" w:rsidRDefault="004F29C4" w:rsidP="004F2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EF6815" w14:textId="3CE328C0" w:rsidR="004F29C4" w:rsidRPr="002B0225" w:rsidRDefault="004F29C4" w:rsidP="004F2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T</w:t>
      </w:r>
      <w:r>
        <w:rPr>
          <w:rFonts w:ascii="Times New Roman" w:eastAsia="Times New Roman" w:hAnsi="Times New Roman" w:cs="Times New Roman"/>
          <w:b/>
          <w:bCs/>
          <w:lang w:eastAsia="pt-BR"/>
        </w:rPr>
        <w:t>abela 1</w:t>
      </w:r>
      <w:r w:rsidRPr="002B0225"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2B0225">
        <w:rPr>
          <w:rFonts w:ascii="Times New Roman" w:eastAsia="Times New Roman" w:hAnsi="Times New Roman" w:cs="Times New Roman"/>
          <w:lang w:eastAsia="pt-BR"/>
        </w:rPr>
        <w:t xml:space="preserve"> Interações medicamentosas descritas para a terapia combinada de DHGNA e HBC, considerando as combinações de fármacos, classificação de cada interação, desfecho clínico, mecanismo provável da interação e condutas clínicas.</w:t>
      </w:r>
      <w:r w:rsidRPr="002B0225">
        <w:rPr>
          <w:rFonts w:ascii="Times New Roman" w:eastAsia="Times New Roman" w:hAnsi="Times New Roman" w:cs="Times New Roman"/>
          <w:lang w:eastAsia="pt-BR"/>
        </w:rPr>
        <w:tab/>
      </w:r>
    </w:p>
    <w:tbl>
      <w:tblPr>
        <w:tblStyle w:val="Tabelacomgrade"/>
        <w:tblW w:w="871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559"/>
        <w:gridCol w:w="1908"/>
      </w:tblGrid>
      <w:tr w:rsidR="004F29C4" w14:paraId="3549EFD6" w14:textId="77777777" w:rsidTr="000B425A">
        <w:trPr>
          <w:trHeight w:val="275"/>
          <w:jc w:val="center"/>
        </w:trPr>
        <w:tc>
          <w:tcPr>
            <w:tcW w:w="1701" w:type="dxa"/>
            <w:shd w:val="clear" w:color="auto" w:fill="D9D9D9" w:themeFill="background1" w:themeFillShade="D9"/>
            <w:hideMark/>
          </w:tcPr>
          <w:p w14:paraId="4378CF8F" w14:textId="77777777" w:rsidR="004F29C4" w:rsidRPr="0065369E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Fármacos</w:t>
            </w:r>
          </w:p>
          <w:p w14:paraId="0CBF8A4D" w14:textId="77777777" w:rsidR="004F29C4" w:rsidRPr="0065369E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para HB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2B296E49" w14:textId="77777777" w:rsidR="004F29C4" w:rsidRPr="0065369E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Fármacos</w:t>
            </w:r>
          </w:p>
          <w:p w14:paraId="6F78B6D7" w14:textId="77777777" w:rsidR="004F29C4" w:rsidRPr="0065369E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manejo da</w:t>
            </w: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DHGNA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050B4B86" w14:textId="77777777" w:rsidR="004F29C4" w:rsidRPr="0065369E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Desfecho clínico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esperado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1D5CF912" w14:textId="77777777" w:rsidR="004F29C4" w:rsidRPr="0065369E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Mecanismo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provável da interação</w:t>
            </w:r>
          </w:p>
        </w:tc>
        <w:tc>
          <w:tcPr>
            <w:tcW w:w="1908" w:type="dxa"/>
            <w:shd w:val="clear" w:color="auto" w:fill="D9D9D9" w:themeFill="background1" w:themeFillShade="D9"/>
            <w:hideMark/>
          </w:tcPr>
          <w:p w14:paraId="12CBF385" w14:textId="77777777" w:rsidR="004F29C4" w:rsidRPr="0065369E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5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Conduta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clínica ideal</w:t>
            </w:r>
          </w:p>
        </w:tc>
      </w:tr>
      <w:tr w:rsidR="004F29C4" w14:paraId="7C882851" w14:textId="77777777" w:rsidTr="000B425A">
        <w:trPr>
          <w:trHeight w:val="659"/>
          <w:jc w:val="center"/>
        </w:trPr>
        <w:tc>
          <w:tcPr>
            <w:tcW w:w="1701" w:type="dxa"/>
            <w:hideMark/>
          </w:tcPr>
          <w:p w14:paraId="7082B942" w14:textId="77777777" w:rsidR="004F29C4" w:rsidRPr="00E245B2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20A14FB" w14:textId="77777777" w:rsidR="004F29C4" w:rsidRPr="00E245B2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7D3D2B3" w14:textId="77777777" w:rsidR="004F29C4" w:rsidRPr="00E245B2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Tenofovir</w:t>
            </w:r>
            <w:proofErr w:type="spellEnd"/>
          </w:p>
          <w:p w14:paraId="5446FDFC" w14:textId="77777777" w:rsidR="004F29C4" w:rsidRPr="00E245B2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Entecavir</w:t>
            </w:r>
            <w:proofErr w:type="spellEnd"/>
          </w:p>
        </w:tc>
        <w:tc>
          <w:tcPr>
            <w:tcW w:w="1701" w:type="dxa"/>
            <w:hideMark/>
          </w:tcPr>
          <w:p w14:paraId="428A8809" w14:textId="77777777" w:rsidR="004F29C4" w:rsidRPr="00E245B2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79192CA" w14:textId="77777777" w:rsidR="004F29C4" w:rsidRPr="00E245B2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6B94134" w14:textId="77777777" w:rsidR="004F29C4" w:rsidRPr="00E245B2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Orlistate</w:t>
            </w:r>
            <w:proofErr w:type="spellEnd"/>
          </w:p>
        </w:tc>
        <w:tc>
          <w:tcPr>
            <w:tcW w:w="1843" w:type="dxa"/>
            <w:hideMark/>
          </w:tcPr>
          <w:p w14:paraId="0C071800" w14:textId="77777777" w:rsidR="004F29C4" w:rsidRPr="00E245B2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7305CA5" w14:textId="77777777" w:rsidR="004F29C4" w:rsidRPr="00E245B2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Diminuição</w:t>
            </w:r>
          </w:p>
          <w:p w14:paraId="655ED299" w14:textId="77777777" w:rsidR="004F29C4" w:rsidRPr="00E245B2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absorção dos fármacos antivirais.</w:t>
            </w:r>
          </w:p>
        </w:tc>
        <w:tc>
          <w:tcPr>
            <w:tcW w:w="1559" w:type="dxa"/>
            <w:hideMark/>
          </w:tcPr>
          <w:p w14:paraId="01C21B51" w14:textId="77777777" w:rsidR="004F29C4" w:rsidRPr="00E245B2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B2">
              <w:rPr>
                <w:rFonts w:ascii="Times New Roman" w:hAnsi="Times New Roman" w:cs="Times New Roman"/>
                <w:sz w:val="20"/>
                <w:szCs w:val="20"/>
              </w:rPr>
              <w:t>Aumento da</w:t>
            </w:r>
          </w:p>
          <w:p w14:paraId="0E9E9CD7" w14:textId="77777777" w:rsidR="004F29C4" w:rsidRPr="00E245B2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B2">
              <w:rPr>
                <w:rFonts w:ascii="Times New Roman" w:hAnsi="Times New Roman" w:cs="Times New Roman"/>
                <w:sz w:val="20"/>
                <w:szCs w:val="20"/>
              </w:rPr>
              <w:t>velocidade do</w:t>
            </w:r>
          </w:p>
          <w:p w14:paraId="75F3903D" w14:textId="77777777" w:rsidR="004F29C4" w:rsidRPr="00E245B2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B2">
              <w:rPr>
                <w:rFonts w:ascii="Times New Roman" w:hAnsi="Times New Roman" w:cs="Times New Roman"/>
                <w:sz w:val="20"/>
                <w:szCs w:val="20"/>
              </w:rPr>
              <w:t xml:space="preserve">trânsito intestinal causado pelo </w:t>
            </w:r>
            <w:proofErr w:type="spellStart"/>
            <w:r w:rsidRPr="00E245B2">
              <w:rPr>
                <w:rFonts w:ascii="Times New Roman" w:hAnsi="Times New Roman" w:cs="Times New Roman"/>
                <w:sz w:val="20"/>
                <w:szCs w:val="20"/>
              </w:rPr>
              <w:t>orlistate</w:t>
            </w:r>
            <w:proofErr w:type="spellEnd"/>
            <w:r w:rsidRPr="00E24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F1647B" w14:textId="77777777" w:rsidR="004F29C4" w:rsidRPr="00E245B2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hideMark/>
          </w:tcPr>
          <w:p w14:paraId="16A880F4" w14:textId="77777777" w:rsidR="004F29C4" w:rsidRPr="00E245B2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Considerar o a</w:t>
            </w:r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</w:t>
            </w:r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</w:p>
          <w:p w14:paraId="5967C1F1" w14:textId="77777777" w:rsidR="004F29C4" w:rsidRPr="00E245B2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245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dose dos antivirais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espaçar ao máximo o horário de administração dos antivirais ao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orlistate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4F29C4" w14:paraId="0855B9C2" w14:textId="77777777" w:rsidTr="000B425A">
        <w:trPr>
          <w:trHeight w:val="659"/>
          <w:jc w:val="center"/>
        </w:trPr>
        <w:tc>
          <w:tcPr>
            <w:tcW w:w="1701" w:type="dxa"/>
          </w:tcPr>
          <w:p w14:paraId="0E7FAF9A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06A4E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B177E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hAnsi="Times New Roman" w:cs="Times New Roman"/>
                <w:sz w:val="20"/>
                <w:szCs w:val="20"/>
              </w:rPr>
              <w:t>PEG-IFN 2a</w:t>
            </w:r>
          </w:p>
        </w:tc>
        <w:tc>
          <w:tcPr>
            <w:tcW w:w="1701" w:type="dxa"/>
          </w:tcPr>
          <w:p w14:paraId="0D40F87F" w14:textId="77777777" w:rsidR="004F29C4" w:rsidRPr="004E22A9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Hidralazina</w:t>
            </w:r>
            <w:proofErr w:type="spellEnd"/>
            <w:r w:rsidRPr="004E22A9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proofErr w:type="spellStart"/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Pravastatina</w:t>
            </w:r>
            <w:proofErr w:type="spellEnd"/>
            <w:r w:rsidRPr="004E22A9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proofErr w:type="spellStart"/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Fluvastatina</w:t>
            </w:r>
            <w:proofErr w:type="spellEnd"/>
            <w:r w:rsidRPr="004E22A9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proofErr w:type="spellStart"/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Pitavastatina</w:t>
            </w:r>
            <w:proofErr w:type="spellEnd"/>
            <w:r w:rsidRPr="004E22A9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Atorvastatina</w:t>
            </w:r>
            <w:r w:rsidRPr="004E22A9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4E22A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Rosuvastatina</w:t>
            </w:r>
          </w:p>
        </w:tc>
        <w:tc>
          <w:tcPr>
            <w:tcW w:w="1843" w:type="dxa"/>
          </w:tcPr>
          <w:p w14:paraId="1089CAB3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131FA9A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5679F4E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Neuropatia periférica.</w:t>
            </w:r>
          </w:p>
          <w:p w14:paraId="33573BC1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349C3720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7FBA28F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B984348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Desconhecido.</w:t>
            </w:r>
          </w:p>
        </w:tc>
        <w:tc>
          <w:tcPr>
            <w:tcW w:w="1908" w:type="dxa"/>
          </w:tcPr>
          <w:p w14:paraId="5B59FA3F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5E21B9B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Reduzir as</w:t>
            </w:r>
          </w:p>
          <w:p w14:paraId="6E49BF2E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doses ou</w:t>
            </w:r>
          </w:p>
          <w:p w14:paraId="1E38388E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evitar a</w:t>
            </w:r>
          </w:p>
          <w:p w14:paraId="6DDE6857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associação.</w:t>
            </w:r>
          </w:p>
        </w:tc>
      </w:tr>
      <w:tr w:rsidR="004F29C4" w14:paraId="0C857464" w14:textId="77777777" w:rsidTr="000B425A">
        <w:trPr>
          <w:trHeight w:val="1690"/>
          <w:jc w:val="center"/>
        </w:trPr>
        <w:tc>
          <w:tcPr>
            <w:tcW w:w="1701" w:type="dxa"/>
          </w:tcPr>
          <w:p w14:paraId="5BC40D88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B48143E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73D4F56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61974A7" w14:textId="77777777" w:rsidR="004F29C4" w:rsidRPr="004E22A9" w:rsidRDefault="004F29C4" w:rsidP="000B425A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Tenofovir</w:t>
            </w:r>
            <w:proofErr w:type="spellEnd"/>
          </w:p>
        </w:tc>
        <w:tc>
          <w:tcPr>
            <w:tcW w:w="1701" w:type="dxa"/>
          </w:tcPr>
          <w:p w14:paraId="099CFF6A" w14:textId="77777777" w:rsidR="004F29C4" w:rsidRPr="004E22A9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6FF49B1" w14:textId="77777777" w:rsidR="004F29C4" w:rsidRPr="004E22A9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ABAF060" w14:textId="77777777" w:rsidR="004F29C4" w:rsidRPr="004E22A9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0A4945A" w14:textId="77777777" w:rsidR="004F29C4" w:rsidRPr="004E22A9" w:rsidRDefault="004F29C4" w:rsidP="000B425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Amilorida</w:t>
            </w:r>
            <w:proofErr w:type="spellEnd"/>
          </w:p>
        </w:tc>
        <w:tc>
          <w:tcPr>
            <w:tcW w:w="1843" w:type="dxa"/>
          </w:tcPr>
          <w:p w14:paraId="64DC15BD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A3AD3B7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DD90E6F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B0BBB4D" w14:textId="77777777" w:rsidR="004F29C4" w:rsidRPr="004E22A9" w:rsidRDefault="004F29C4" w:rsidP="000B425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Nefrotoxicidade</w:t>
            </w:r>
            <w:proofErr w:type="spellEnd"/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59" w:type="dxa"/>
          </w:tcPr>
          <w:p w14:paraId="4C1D3FEE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Competição pela</w:t>
            </w:r>
          </w:p>
          <w:p w14:paraId="192A67D4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excreção renal</w:t>
            </w:r>
          </w:p>
          <w:p w14:paraId="0ADDE5BE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levando ao</w:t>
            </w:r>
          </w:p>
          <w:p w14:paraId="7DC36690" w14:textId="77777777" w:rsidR="004F29C4" w:rsidRPr="004E22A9" w:rsidRDefault="004F29C4" w:rsidP="000B425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aumento dos níveis plasmáticos dos fármacos.</w:t>
            </w:r>
          </w:p>
        </w:tc>
        <w:tc>
          <w:tcPr>
            <w:tcW w:w="1908" w:type="dxa"/>
          </w:tcPr>
          <w:p w14:paraId="4C429986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2088338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B9ED782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Evitar a</w:t>
            </w:r>
          </w:p>
          <w:p w14:paraId="67BE59BC" w14:textId="77777777" w:rsidR="004F29C4" w:rsidRPr="004E22A9" w:rsidRDefault="004F29C4" w:rsidP="000B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22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Associação.</w:t>
            </w:r>
          </w:p>
        </w:tc>
      </w:tr>
    </w:tbl>
    <w:p w14:paraId="76CED3CD" w14:textId="77777777" w:rsidR="004F29C4" w:rsidRDefault="004F29C4" w:rsidP="004F29C4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05781" w14:textId="77777777" w:rsidR="004F29C4" w:rsidRPr="00520DC1" w:rsidRDefault="004F29C4" w:rsidP="004F29C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0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DISCUSSÃO</w:t>
      </w:r>
    </w:p>
    <w:p w14:paraId="5D49EFC4" w14:textId="77777777" w:rsidR="004F29C4" w:rsidRPr="00C855FD" w:rsidRDefault="004F29C4" w:rsidP="004F29C4">
      <w:pPr>
        <w:pStyle w:val="PargrafodaLista"/>
        <w:numPr>
          <w:ilvl w:val="0"/>
          <w:numId w:val="5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5FD">
        <w:rPr>
          <w:rFonts w:ascii="Times New Roman" w:hAnsi="Times New Roman" w:cs="Times New Roman"/>
          <w:b/>
          <w:bCs/>
          <w:sz w:val="24"/>
          <w:szCs w:val="24"/>
        </w:rPr>
        <w:t>Diminuição da absorção</w:t>
      </w:r>
    </w:p>
    <w:p w14:paraId="78800E70" w14:textId="77777777" w:rsidR="004F29C4" w:rsidRPr="004E218E" w:rsidRDefault="004F29C4" w:rsidP="004F29C4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171615"/>
          <w:sz w:val="24"/>
          <w:szCs w:val="24"/>
        </w:rPr>
      </w:pPr>
      <w:proofErr w:type="spellStart"/>
      <w:r w:rsidRPr="00DE7A56">
        <w:rPr>
          <w:rFonts w:ascii="Times New Roman" w:hAnsi="Times New Roman" w:cs="Times New Roman"/>
          <w:sz w:val="24"/>
          <w:szCs w:val="24"/>
        </w:rPr>
        <w:t>Entecavir</w:t>
      </w:r>
      <w:proofErr w:type="spellEnd"/>
      <w:r w:rsidRPr="00DE7A56">
        <w:rPr>
          <w:rFonts w:ascii="Times New Roman" w:hAnsi="Times New Roman" w:cs="Times New Roman"/>
          <w:sz w:val="24"/>
          <w:szCs w:val="24"/>
        </w:rPr>
        <w:t xml:space="preserve"> (ETV) e </w:t>
      </w:r>
      <w:proofErr w:type="spellStart"/>
      <w:r w:rsidRPr="00DE7A56"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 w:rsidRPr="00DE7A56">
        <w:rPr>
          <w:rFonts w:ascii="Times New Roman" w:hAnsi="Times New Roman" w:cs="Times New Roman"/>
          <w:sz w:val="24"/>
          <w:szCs w:val="24"/>
        </w:rPr>
        <w:t xml:space="preserve"> (TNF) são dois agentes antivirais que podem interagir com o </w:t>
      </w:r>
      <w:proofErr w:type="spellStart"/>
      <w:r w:rsidRPr="00DE7A56"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 w:rsidRPr="00DE7A56">
        <w:rPr>
          <w:rFonts w:ascii="Times New Roman" w:hAnsi="Times New Roman" w:cs="Times New Roman"/>
          <w:sz w:val="24"/>
          <w:szCs w:val="24"/>
        </w:rPr>
        <w:t>, um fármaco que reduz a absorção de gorduras no intestino, resultando em uma possível redução da absorção dos fármacos antivirais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18E">
        <w:rPr>
          <w:rFonts w:ascii="Times New Roman" w:hAnsi="Times New Roman" w:cs="Times New Roman"/>
          <w:color w:val="171615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171615"/>
          <w:sz w:val="24"/>
          <w:szCs w:val="24"/>
        </w:rPr>
        <w:t>ETV</w:t>
      </w:r>
      <w:r w:rsidRPr="004E218E">
        <w:rPr>
          <w:rFonts w:ascii="Times New Roman" w:hAnsi="Times New Roman" w:cs="Times New Roman"/>
          <w:color w:val="171615"/>
          <w:sz w:val="24"/>
          <w:szCs w:val="24"/>
        </w:rPr>
        <w:t xml:space="preserve"> é um agente antiviral de primeira linha para o tratamento da infecção crônica pelo vírus da hepatite B. É um análogo de nucleotídeo que restringe a replicação viral de forma eficiente, uma vez que a </w:t>
      </w:r>
      <w:r w:rsidRPr="004E218E">
        <w:rPr>
          <w:rFonts w:ascii="Times New Roman" w:hAnsi="Times New Roman" w:cs="Times New Roman"/>
          <w:color w:val="171615"/>
          <w:sz w:val="24"/>
          <w:szCs w:val="24"/>
        </w:rPr>
        <w:lastRenderedPageBreak/>
        <w:t xml:space="preserve">terapia oral com </w:t>
      </w:r>
      <w:r>
        <w:rPr>
          <w:rFonts w:ascii="Times New Roman" w:hAnsi="Times New Roman" w:cs="Times New Roman"/>
          <w:color w:val="171615"/>
          <w:sz w:val="24"/>
          <w:szCs w:val="24"/>
        </w:rPr>
        <w:t>ETV</w:t>
      </w:r>
      <w:r w:rsidRPr="004E218E">
        <w:rPr>
          <w:rFonts w:ascii="Times New Roman" w:hAnsi="Times New Roman" w:cs="Times New Roman"/>
          <w:color w:val="171615"/>
          <w:sz w:val="24"/>
          <w:szCs w:val="24"/>
        </w:rPr>
        <w:t xml:space="preserve"> pode restaurar acentuadamente a histologia hepática após 48 semanas de terapia</w:t>
      </w:r>
      <w:r>
        <w:rPr>
          <w:rFonts w:ascii="Times New Roman" w:hAnsi="Times New Roman" w:cs="Times New Roman"/>
          <w:color w:val="171615"/>
          <w:sz w:val="24"/>
          <w:szCs w:val="24"/>
          <w:vertAlign w:val="superscript"/>
        </w:rPr>
        <w:t>20</w:t>
      </w:r>
      <w:r w:rsidRPr="004E218E">
        <w:rPr>
          <w:rFonts w:ascii="Times New Roman" w:hAnsi="Times New Roman" w:cs="Times New Roman"/>
          <w:color w:val="171615"/>
          <w:sz w:val="24"/>
          <w:szCs w:val="24"/>
        </w:rPr>
        <w:t>.</w:t>
      </w:r>
    </w:p>
    <w:p w14:paraId="63B6CF87" w14:textId="77777777" w:rsidR="004F29C4" w:rsidRPr="00C855FD" w:rsidRDefault="004F29C4" w:rsidP="004F29C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otoSans-Regular" w:hAnsi="Times New Roman" w:cs="Times New Roman"/>
          <w:sz w:val="24"/>
          <w:szCs w:val="24"/>
        </w:rPr>
      </w:pP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No entanto, um dos entraves na terapia oral </w:t>
      </w:r>
      <w:r>
        <w:rPr>
          <w:rFonts w:ascii="Times New Roman" w:eastAsia="NotoSans-Regular" w:hAnsi="Times New Roman" w:cs="Times New Roman"/>
          <w:sz w:val="24"/>
          <w:szCs w:val="24"/>
        </w:rPr>
        <w:t>com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>o ETV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é a influência dos alimentos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na absorção intestinal do </w:t>
      </w:r>
      <w:r>
        <w:rPr>
          <w:rFonts w:ascii="Times New Roman" w:eastAsia="NotoSans-Regular" w:hAnsi="Times New Roman" w:cs="Times New Roman"/>
          <w:sz w:val="24"/>
          <w:szCs w:val="24"/>
        </w:rPr>
        <w:t>antiviral,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sobretudo uma dieta </w:t>
      </w:r>
      <w:proofErr w:type="spellStart"/>
      <w:r>
        <w:rPr>
          <w:rFonts w:ascii="Times New Roman" w:eastAsia="NotoSans-Regular" w:hAnsi="Times New Roman" w:cs="Times New Roman"/>
          <w:sz w:val="24"/>
          <w:szCs w:val="24"/>
        </w:rPr>
        <w:t>hiperlipídica</w:t>
      </w:r>
      <w:proofErr w:type="spellEnd"/>
      <w:r>
        <w:rPr>
          <w:rFonts w:ascii="Times New Roman" w:eastAsia="NotoSans-Regular" w:hAnsi="Times New Roman" w:cs="Times New Roman"/>
          <w:sz w:val="24"/>
          <w:szCs w:val="24"/>
        </w:rPr>
        <w:t xml:space="preserve">, os quais podem 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>redu</w:t>
      </w:r>
      <w:r>
        <w:rPr>
          <w:rFonts w:ascii="Times New Roman" w:eastAsia="NotoSans-Regular" w:hAnsi="Times New Roman" w:cs="Times New Roman"/>
          <w:sz w:val="24"/>
          <w:szCs w:val="24"/>
        </w:rPr>
        <w:t>zir a biodisponibilidade do fármaco no organismo e consequentemente a sua eficácia clínica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>. A administração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por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via oral do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ETV em conjunto com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uma refeição de alto teor de gordura resulta em atraso na absorção do fármaco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e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na </w:t>
      </w:r>
      <w:r>
        <w:rPr>
          <w:rFonts w:ascii="Times New Roman" w:eastAsia="NotoSans-Regular" w:hAnsi="Times New Roman" w:cs="Times New Roman"/>
          <w:sz w:val="24"/>
          <w:szCs w:val="24"/>
        </w:rPr>
        <w:t>redução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>da absorção e do seu pico plasmático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. </w:t>
      </w:r>
      <w:r>
        <w:rPr>
          <w:rFonts w:ascii="Times New Roman" w:eastAsia="NotoSans-Regular" w:hAnsi="Times New Roman" w:cs="Times New Roman"/>
          <w:sz w:val="24"/>
          <w:szCs w:val="24"/>
        </w:rPr>
        <w:t>O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efeito alimentar negativo </w:t>
      </w:r>
      <w:r>
        <w:rPr>
          <w:rFonts w:ascii="Times New Roman" w:eastAsia="NotoSans-Regular" w:hAnsi="Times New Roman" w:cs="Times New Roman"/>
          <w:sz w:val="24"/>
          <w:szCs w:val="24"/>
        </w:rPr>
        <w:t>sobre a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absorção intestinal do ETV provavelmente se deve à baixa permeabilidade d</w:t>
      </w:r>
      <w:r>
        <w:rPr>
          <w:rFonts w:ascii="Times New Roman" w:eastAsia="NotoSans-Regular" w:hAnsi="Times New Roman" w:cs="Times New Roman"/>
          <w:sz w:val="24"/>
          <w:szCs w:val="24"/>
        </w:rPr>
        <w:t>o antiviral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em combinação com alterações pós-prandiais no trato gastrointestinal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, incluindo 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pH, motilidade, tempo de trânsito intestinal e viscosidade. Para </w:t>
      </w:r>
      <w:r>
        <w:rPr>
          <w:rFonts w:ascii="Times New Roman" w:eastAsia="NotoSans-Regular" w:hAnsi="Times New Roman" w:cs="Times New Roman"/>
          <w:sz w:val="24"/>
          <w:szCs w:val="24"/>
        </w:rPr>
        <w:t>minimizar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o efeito negativo dos alimentos na terapia oral com ETV, é indicado </w:t>
      </w:r>
      <w:r>
        <w:rPr>
          <w:rFonts w:ascii="Times New Roman" w:eastAsia="NotoSans-Regular" w:hAnsi="Times New Roman" w:cs="Times New Roman"/>
          <w:sz w:val="24"/>
          <w:szCs w:val="24"/>
        </w:rPr>
        <w:t>administrá-lo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>em jejum.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>E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>ntretanto</w:t>
      </w:r>
      <w:r>
        <w:rPr>
          <w:rFonts w:ascii="Times New Roman" w:eastAsia="NotoSans-Regular" w:hAnsi="Times New Roman" w:cs="Times New Roman"/>
          <w:sz w:val="24"/>
          <w:szCs w:val="24"/>
        </w:rPr>
        <w:t>,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otoSans-Regular" w:hAnsi="Times New Roman" w:cs="Times New Roman"/>
          <w:sz w:val="24"/>
          <w:szCs w:val="24"/>
        </w:rPr>
        <w:t>é importante frisar que um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esquema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posológico pouco flexível costuma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prejudicar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>a adesão do</w:t>
      </w:r>
      <w:r>
        <w:rPr>
          <w:rFonts w:ascii="Times New Roman" w:eastAsia="NotoSans-Regular" w:hAnsi="Times New Roman" w:cs="Times New Roman"/>
          <w:sz w:val="24"/>
          <w:szCs w:val="24"/>
        </w:rPr>
        <w:t>s</w:t>
      </w:r>
      <w:r w:rsidRPr="004E218E">
        <w:rPr>
          <w:rFonts w:ascii="Times New Roman" w:eastAsia="NotoSans-Regular" w:hAnsi="Times New Roman" w:cs="Times New Roman"/>
          <w:sz w:val="24"/>
          <w:szCs w:val="24"/>
        </w:rPr>
        <w:t xml:space="preserve"> paciente</w:t>
      </w:r>
      <w:r>
        <w:rPr>
          <w:rFonts w:ascii="Times New Roman" w:eastAsia="NotoSans-Regular" w:hAnsi="Times New Roman" w:cs="Times New Roman"/>
          <w:sz w:val="24"/>
          <w:szCs w:val="24"/>
        </w:rPr>
        <w:t>s à farmacoterapia</w:t>
      </w:r>
      <w:r>
        <w:rPr>
          <w:rFonts w:ascii="Times New Roman" w:eastAsia="NotoSans-Regular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eastAsia="NotoSans-Regular" w:hAnsi="Times New Roman" w:cs="Times New Roman"/>
          <w:sz w:val="24"/>
          <w:szCs w:val="24"/>
        </w:rPr>
        <w:t>.</w:t>
      </w:r>
    </w:p>
    <w:p w14:paraId="77445D29" w14:textId="77777777" w:rsidR="004F29C4" w:rsidRPr="005120F2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8E">
        <w:rPr>
          <w:rFonts w:ascii="Times New Roman" w:hAnsi="Times New Roman" w:cs="Times New Roman"/>
          <w:sz w:val="24"/>
          <w:szCs w:val="24"/>
        </w:rPr>
        <w:t xml:space="preserve">Já o </w:t>
      </w:r>
      <w:r>
        <w:rPr>
          <w:rFonts w:ascii="Times New Roman" w:hAnsi="Times New Roman" w:cs="Times New Roman"/>
          <w:sz w:val="24"/>
          <w:szCs w:val="24"/>
        </w:rPr>
        <w:t>TNF</w:t>
      </w:r>
      <w:r w:rsidRPr="004E218E">
        <w:rPr>
          <w:rFonts w:ascii="Times New Roman" w:hAnsi="Times New Roman" w:cs="Times New Roman"/>
          <w:sz w:val="24"/>
          <w:szCs w:val="24"/>
        </w:rPr>
        <w:t xml:space="preserve"> atua como um análogo de nucleotídeo acíclico da adenosina 5’ monofosfato que é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fosforilado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intracelularmente pela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adenilato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quinase</w:t>
      </w:r>
      <w:r>
        <w:rPr>
          <w:rFonts w:ascii="Times New Roman" w:hAnsi="Times New Roman" w:cs="Times New Roman"/>
          <w:sz w:val="24"/>
          <w:szCs w:val="24"/>
        </w:rPr>
        <w:t xml:space="preserve"> para alcançar a</w:t>
      </w:r>
      <w:r w:rsidRPr="004E218E">
        <w:rPr>
          <w:rFonts w:ascii="Times New Roman" w:hAnsi="Times New Roman" w:cs="Times New Roman"/>
          <w:sz w:val="24"/>
          <w:szCs w:val="24"/>
        </w:rPr>
        <w:t xml:space="preserve"> sua forma ativa,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difosfato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4E218E">
        <w:rPr>
          <w:rFonts w:ascii="Times New Roman" w:hAnsi="Times New Roman" w:cs="Times New Roman"/>
          <w:sz w:val="24"/>
          <w:szCs w:val="24"/>
        </w:rPr>
        <w:t>. Entretanto, apesar de sua</w:t>
      </w:r>
      <w:r>
        <w:rPr>
          <w:rFonts w:ascii="Times New Roman" w:hAnsi="Times New Roman" w:cs="Times New Roman"/>
          <w:sz w:val="24"/>
          <w:szCs w:val="24"/>
        </w:rPr>
        <w:t xml:space="preserve"> reconhecida</w:t>
      </w:r>
      <w:r w:rsidRPr="004E218E">
        <w:rPr>
          <w:rFonts w:ascii="Times New Roman" w:hAnsi="Times New Roman" w:cs="Times New Roman"/>
          <w:sz w:val="24"/>
          <w:szCs w:val="24"/>
        </w:rPr>
        <w:t xml:space="preserve"> eficácia, a baixa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4E218E">
        <w:rPr>
          <w:rFonts w:ascii="Times New Roman" w:hAnsi="Times New Roman" w:cs="Times New Roman"/>
          <w:sz w:val="24"/>
          <w:szCs w:val="24"/>
        </w:rPr>
        <w:t xml:space="preserve">disponibilidade, inclusive </w:t>
      </w:r>
      <w:r>
        <w:rPr>
          <w:rFonts w:ascii="Times New Roman" w:hAnsi="Times New Roman" w:cs="Times New Roman"/>
          <w:sz w:val="24"/>
          <w:szCs w:val="24"/>
        </w:rPr>
        <w:t>já documentada</w:t>
      </w:r>
      <w:r w:rsidRPr="004E218E">
        <w:rPr>
          <w:rFonts w:ascii="Times New Roman" w:hAnsi="Times New Roman" w:cs="Times New Roman"/>
          <w:sz w:val="24"/>
          <w:szCs w:val="24"/>
        </w:rPr>
        <w:t xml:space="preserve"> em estudos</w:t>
      </w:r>
      <w:r>
        <w:rPr>
          <w:rFonts w:ascii="Times New Roman" w:hAnsi="Times New Roman" w:cs="Times New Roman"/>
          <w:sz w:val="24"/>
          <w:szCs w:val="24"/>
        </w:rPr>
        <w:t xml:space="preserve"> em animais</w:t>
      </w:r>
      <w:r w:rsidRPr="004E218E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Pr="004E218E">
        <w:rPr>
          <w:rFonts w:ascii="Times New Roman" w:hAnsi="Times New Roman" w:cs="Times New Roman"/>
          <w:sz w:val="24"/>
          <w:szCs w:val="24"/>
        </w:rPr>
        <w:t xml:space="preserve">de 18% em beagles e 5,3% em macacos,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E218E">
        <w:rPr>
          <w:rFonts w:ascii="Times New Roman" w:hAnsi="Times New Roman" w:cs="Times New Roman"/>
          <w:sz w:val="24"/>
          <w:szCs w:val="24"/>
        </w:rPr>
        <w:t xml:space="preserve"> um fator limitante n</w:t>
      </w:r>
      <w:r>
        <w:rPr>
          <w:rFonts w:ascii="Times New Roman" w:hAnsi="Times New Roman" w:cs="Times New Roman"/>
          <w:sz w:val="24"/>
          <w:szCs w:val="24"/>
        </w:rPr>
        <w:t>a aceitação</w:t>
      </w:r>
      <w:r w:rsidRPr="004E218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TNF </w:t>
      </w:r>
      <w:r w:rsidRPr="004E218E">
        <w:rPr>
          <w:rFonts w:ascii="Times New Roman" w:hAnsi="Times New Roman" w:cs="Times New Roman"/>
          <w:sz w:val="24"/>
          <w:szCs w:val="24"/>
        </w:rPr>
        <w:t>como agente clínico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6D60C" w14:textId="77777777" w:rsidR="004F29C4" w:rsidRPr="005120F2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8E">
        <w:rPr>
          <w:rFonts w:ascii="Times New Roman" w:hAnsi="Times New Roman" w:cs="Times New Roman"/>
          <w:sz w:val="24"/>
          <w:szCs w:val="24"/>
        </w:rPr>
        <w:t xml:space="preserve">Para facilitar </w:t>
      </w:r>
      <w:r>
        <w:rPr>
          <w:rFonts w:ascii="Times New Roman" w:hAnsi="Times New Roman" w:cs="Times New Roman"/>
          <w:sz w:val="24"/>
          <w:szCs w:val="24"/>
        </w:rPr>
        <w:t>o seu emprego na prática clínica</w:t>
      </w:r>
      <w:r w:rsidRPr="004E218E">
        <w:rPr>
          <w:rFonts w:ascii="Times New Roman" w:hAnsi="Times New Roman" w:cs="Times New Roman"/>
          <w:sz w:val="24"/>
          <w:szCs w:val="24"/>
        </w:rPr>
        <w:t xml:space="preserve">, foi </w:t>
      </w:r>
      <w:r>
        <w:rPr>
          <w:rFonts w:ascii="Times New Roman" w:hAnsi="Times New Roman" w:cs="Times New Roman"/>
          <w:sz w:val="24"/>
          <w:szCs w:val="24"/>
        </w:rPr>
        <w:t>desenvolvido</w:t>
      </w:r>
      <w:r w:rsidRPr="004E218E">
        <w:rPr>
          <w:rFonts w:ascii="Times New Roman" w:hAnsi="Times New Roman" w:cs="Times New Roman"/>
          <w:sz w:val="24"/>
          <w:szCs w:val="24"/>
        </w:rPr>
        <w:t xml:space="preserve"> o fumarato de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desoproxila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(TDF), o qual é um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diéster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fosfonato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do nucleosídeo acíclico análogo da adenosina monofosfato. O </w:t>
      </w:r>
      <w:r>
        <w:rPr>
          <w:rFonts w:ascii="Times New Roman" w:hAnsi="Times New Roman" w:cs="Times New Roman"/>
          <w:sz w:val="24"/>
          <w:szCs w:val="24"/>
        </w:rPr>
        <w:t>TDF</w:t>
      </w:r>
      <w:r w:rsidRPr="004E218E">
        <w:rPr>
          <w:rFonts w:ascii="Times New Roman" w:hAnsi="Times New Roman" w:cs="Times New Roman"/>
          <w:sz w:val="24"/>
          <w:szCs w:val="24"/>
        </w:rPr>
        <w:t xml:space="preserve"> requer uma hidrólise inicial do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diéster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para conversão em </w:t>
      </w:r>
      <w:r>
        <w:rPr>
          <w:rFonts w:ascii="Times New Roman" w:hAnsi="Times New Roman" w:cs="Times New Roman"/>
          <w:sz w:val="24"/>
          <w:szCs w:val="24"/>
        </w:rPr>
        <w:t>TNF no organismo</w:t>
      </w:r>
      <w:r w:rsidRPr="004E218E">
        <w:rPr>
          <w:rFonts w:ascii="Times New Roman" w:hAnsi="Times New Roman" w:cs="Times New Roman"/>
          <w:sz w:val="24"/>
          <w:szCs w:val="24"/>
        </w:rPr>
        <w:t xml:space="preserve"> e subsequentes fosforilações por enzimas celulares para formar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 xml:space="preserve">difosfato, servindo, portanto, como um pró-fármaco. A biodisponibilidade oral em jejum do </w:t>
      </w:r>
      <w:r>
        <w:rPr>
          <w:rFonts w:ascii="Times New Roman" w:hAnsi="Times New Roman" w:cs="Times New Roman"/>
          <w:sz w:val="24"/>
          <w:szCs w:val="24"/>
        </w:rPr>
        <w:t>TDF</w:t>
      </w:r>
      <w:r w:rsidRPr="004E218E">
        <w:rPr>
          <w:rFonts w:ascii="Times New Roman" w:hAnsi="Times New Roman" w:cs="Times New Roman"/>
          <w:sz w:val="24"/>
          <w:szCs w:val="24"/>
        </w:rPr>
        <w:t xml:space="preserve"> é de aproximadamente 25%. A administração do </w:t>
      </w:r>
      <w:r>
        <w:rPr>
          <w:rFonts w:ascii="Times New Roman" w:hAnsi="Times New Roman" w:cs="Times New Roman"/>
          <w:sz w:val="24"/>
          <w:szCs w:val="24"/>
        </w:rPr>
        <w:t>TDF</w:t>
      </w:r>
      <w:r w:rsidRPr="004E218E">
        <w:rPr>
          <w:rFonts w:ascii="Times New Roman" w:hAnsi="Times New Roman" w:cs="Times New Roman"/>
          <w:sz w:val="24"/>
          <w:szCs w:val="24"/>
        </w:rPr>
        <w:t xml:space="preserve"> após uma refeição hipercalórica – contendo 40% a 50% de gorduras – aumenta </w:t>
      </w:r>
      <w:r>
        <w:rPr>
          <w:rFonts w:ascii="Times New Roman" w:hAnsi="Times New Roman" w:cs="Times New Roman"/>
          <w:sz w:val="24"/>
          <w:szCs w:val="24"/>
        </w:rPr>
        <w:t>sua</w:t>
      </w:r>
      <w:r w:rsidRPr="004E218E">
        <w:rPr>
          <w:rFonts w:ascii="Times New Roman" w:hAnsi="Times New Roman" w:cs="Times New Roman"/>
          <w:sz w:val="24"/>
          <w:szCs w:val="24"/>
        </w:rPr>
        <w:t xml:space="preserve"> biodisponibilidade oral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4E218E">
        <w:rPr>
          <w:rFonts w:ascii="Times New Roman" w:hAnsi="Times New Roman" w:cs="Times New Roman"/>
          <w:sz w:val="24"/>
          <w:szCs w:val="24"/>
        </w:rPr>
        <w:t xml:space="preserve"> aproximadamente 40% e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E218E">
        <w:rPr>
          <w:rFonts w:ascii="Times New Roman" w:hAnsi="Times New Roman" w:cs="Times New Roman"/>
          <w:sz w:val="24"/>
          <w:szCs w:val="24"/>
        </w:rPr>
        <w:t xml:space="preserve"> concentrações plasmáticas máximas </w:t>
      </w:r>
      <w:r>
        <w:rPr>
          <w:rFonts w:ascii="Times New Roman" w:hAnsi="Times New Roman" w:cs="Times New Roman"/>
          <w:sz w:val="24"/>
          <w:szCs w:val="24"/>
        </w:rPr>
        <w:t>do fármaco em</w:t>
      </w:r>
      <w:r w:rsidRPr="004E218E">
        <w:rPr>
          <w:rFonts w:ascii="Times New Roman" w:hAnsi="Times New Roman" w:cs="Times New Roman"/>
          <w:sz w:val="24"/>
          <w:szCs w:val="24"/>
        </w:rPr>
        <w:t xml:space="preserve"> aproximadamente 14%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20,22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E506B" w14:textId="77777777" w:rsidR="004F29C4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Recentemente</w:t>
      </w:r>
      <w:r w:rsidRPr="004E218E">
        <w:rPr>
          <w:rFonts w:ascii="Times New Roman" w:hAnsi="Times New Roman" w:cs="Times New Roman"/>
          <w:sz w:val="24"/>
          <w:szCs w:val="24"/>
        </w:rPr>
        <w:t xml:space="preserve">, foi </w:t>
      </w:r>
      <w:r>
        <w:rPr>
          <w:rFonts w:ascii="Times New Roman" w:hAnsi="Times New Roman" w:cs="Times New Roman"/>
          <w:sz w:val="24"/>
          <w:szCs w:val="24"/>
        </w:rPr>
        <w:t>desenvolvida</w:t>
      </w:r>
      <w:r w:rsidRPr="004E218E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218E">
        <w:rPr>
          <w:rFonts w:ascii="Times New Roman" w:hAnsi="Times New Roman" w:cs="Times New Roman"/>
          <w:sz w:val="24"/>
          <w:szCs w:val="24"/>
        </w:rPr>
        <w:t xml:space="preserve"> segund</w:t>
      </w:r>
      <w:r>
        <w:rPr>
          <w:rFonts w:ascii="Times New Roman" w:hAnsi="Times New Roman" w:cs="Times New Roman"/>
          <w:sz w:val="24"/>
          <w:szCs w:val="24"/>
        </w:rPr>
        <w:t>a opção de</w:t>
      </w:r>
      <w:r w:rsidRPr="004E218E">
        <w:rPr>
          <w:rFonts w:ascii="Times New Roman" w:hAnsi="Times New Roman" w:cs="Times New Roman"/>
          <w:sz w:val="24"/>
          <w:szCs w:val="24"/>
        </w:rPr>
        <w:t xml:space="preserve"> pró-fármaco, o </w:t>
      </w:r>
      <w:bookmarkStart w:id="0" w:name="_Hlk137476222"/>
      <w:proofErr w:type="spellStart"/>
      <w:r w:rsidRPr="004E218E"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alafenamida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 xml:space="preserve">(TAF). </w:t>
      </w:r>
      <w:r>
        <w:rPr>
          <w:rFonts w:ascii="Times New Roman" w:hAnsi="Times New Roman" w:cs="Times New Roman"/>
          <w:sz w:val="24"/>
          <w:szCs w:val="24"/>
        </w:rPr>
        <w:t>O TAF</w:t>
      </w:r>
      <w:r w:rsidRPr="004E218E">
        <w:rPr>
          <w:rFonts w:ascii="Times New Roman" w:hAnsi="Times New Roman" w:cs="Times New Roman"/>
          <w:sz w:val="24"/>
          <w:szCs w:val="24"/>
        </w:rPr>
        <w:t xml:space="preserve">, assim como o </w:t>
      </w:r>
      <w:r>
        <w:rPr>
          <w:rFonts w:ascii="Times New Roman" w:hAnsi="Times New Roman" w:cs="Times New Roman"/>
          <w:sz w:val="24"/>
          <w:szCs w:val="24"/>
        </w:rPr>
        <w:t>TDF</w:t>
      </w:r>
      <w:r w:rsidRPr="004E218E">
        <w:rPr>
          <w:rFonts w:ascii="Times New Roman" w:hAnsi="Times New Roman" w:cs="Times New Roman"/>
          <w:sz w:val="24"/>
          <w:szCs w:val="24"/>
        </w:rPr>
        <w:t xml:space="preserve">, facilita a absorção do fármaco no trato gastrointestinal, </w:t>
      </w:r>
      <w:r>
        <w:rPr>
          <w:rFonts w:ascii="Times New Roman" w:hAnsi="Times New Roman" w:cs="Times New Roman"/>
          <w:sz w:val="24"/>
          <w:szCs w:val="24"/>
        </w:rPr>
        <w:t>só que</w:t>
      </w:r>
      <w:r w:rsidRPr="004E218E">
        <w:rPr>
          <w:rFonts w:ascii="Times New Roman" w:hAnsi="Times New Roman" w:cs="Times New Roman"/>
          <w:sz w:val="24"/>
          <w:szCs w:val="24"/>
        </w:rPr>
        <w:t xml:space="preserve"> de uma forma ainda mais eficiente, uma vez que a biodisponibilidade de 25% </w:t>
      </w:r>
      <w:r>
        <w:rPr>
          <w:rFonts w:ascii="Times New Roman" w:hAnsi="Times New Roman" w:cs="Times New Roman"/>
          <w:sz w:val="24"/>
          <w:szCs w:val="24"/>
        </w:rPr>
        <w:t>observada para o</w:t>
      </w:r>
      <w:r w:rsidRPr="004E218E">
        <w:rPr>
          <w:rFonts w:ascii="Times New Roman" w:hAnsi="Times New Roman" w:cs="Times New Roman"/>
          <w:sz w:val="24"/>
          <w:szCs w:val="24"/>
        </w:rPr>
        <w:t xml:space="preserve"> TDF</w:t>
      </w:r>
      <w:r>
        <w:rPr>
          <w:rFonts w:ascii="Times New Roman" w:hAnsi="Times New Roman" w:cs="Times New Roman"/>
          <w:sz w:val="24"/>
          <w:szCs w:val="24"/>
        </w:rPr>
        <w:t xml:space="preserve"> em jejum</w:t>
      </w:r>
      <w:r w:rsidRPr="004E218E">
        <w:rPr>
          <w:rFonts w:ascii="Times New Roman" w:hAnsi="Times New Roman" w:cs="Times New Roman"/>
          <w:sz w:val="24"/>
          <w:szCs w:val="24"/>
        </w:rPr>
        <w:t xml:space="preserve"> passa a ser de 40% com o </w:t>
      </w:r>
      <w:r>
        <w:rPr>
          <w:rFonts w:ascii="Times New Roman" w:hAnsi="Times New Roman" w:cs="Times New Roman"/>
          <w:sz w:val="24"/>
          <w:szCs w:val="24"/>
        </w:rPr>
        <w:t>TAF.</w:t>
      </w:r>
      <w:r w:rsidRPr="004E218E">
        <w:rPr>
          <w:rFonts w:ascii="Times New Roman" w:hAnsi="Times New Roman" w:cs="Times New Roman"/>
          <w:sz w:val="24"/>
          <w:szCs w:val="24"/>
        </w:rPr>
        <w:t xml:space="preserve"> Outra diferença entre os dois pró-fármacos está na distribuição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no </w:t>
      </w:r>
      <w:r w:rsidRPr="004E218E">
        <w:rPr>
          <w:rFonts w:ascii="Times New Roman" w:hAnsi="Times New Roman" w:cs="Times New Roman"/>
          <w:sz w:val="24"/>
          <w:szCs w:val="24"/>
        </w:rPr>
        <w:lastRenderedPageBreak/>
        <w:t xml:space="preserve">organismo. Enquanto o </w:t>
      </w:r>
      <w:r>
        <w:rPr>
          <w:rFonts w:ascii="Times New Roman" w:hAnsi="Times New Roman" w:cs="Times New Roman"/>
          <w:sz w:val="24"/>
          <w:szCs w:val="24"/>
        </w:rPr>
        <w:t>fármaco</w:t>
      </w:r>
      <w:r w:rsidRPr="004E218E">
        <w:rPr>
          <w:rFonts w:ascii="Times New Roman" w:hAnsi="Times New Roman" w:cs="Times New Roman"/>
          <w:sz w:val="24"/>
          <w:szCs w:val="24"/>
        </w:rPr>
        <w:t xml:space="preserve"> advindo do TDF é distribuído de maneira uniforme em uma ampla variedade de tecidos diferentes,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tenofovir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proveniente</w:t>
      </w:r>
      <w:r w:rsidRPr="004E218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TAF</w:t>
      </w:r>
      <w:r w:rsidRPr="004E218E">
        <w:rPr>
          <w:rFonts w:ascii="Times New Roman" w:hAnsi="Times New Roman" w:cs="Times New Roman"/>
          <w:sz w:val="24"/>
          <w:szCs w:val="24"/>
        </w:rPr>
        <w:t xml:space="preserve"> sofre uma captação mais seletiva pelas células nas quais ocorrem a maior parte das replicações virais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3B0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TAF</w:t>
      </w:r>
      <w:r w:rsidRPr="004E218E">
        <w:rPr>
          <w:rFonts w:ascii="Times New Roman" w:hAnsi="Times New Roman" w:cs="Times New Roman"/>
          <w:sz w:val="24"/>
          <w:szCs w:val="24"/>
        </w:rPr>
        <w:t xml:space="preserve"> possui uma ligação mais forte com o sal de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alafenamida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>, assim, a maior parte da droga circula no organismo ligada a ele, sofrendo, majoritariamente, uma captação bastante seletiva pelas células nas quais ocorre a maior parte da replicação viral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20,21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FEC58" w14:textId="77777777" w:rsidR="004F29C4" w:rsidRPr="005522F3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eastAsia="NotoSans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</w:t>
      </w:r>
      <w:r w:rsidRPr="004E218E">
        <w:rPr>
          <w:rFonts w:ascii="Times New Roman" w:hAnsi="Times New Roman" w:cs="Times New Roman"/>
          <w:sz w:val="24"/>
          <w:szCs w:val="24"/>
        </w:rPr>
        <w:t>s dois fármacos</w:t>
      </w:r>
      <w:r>
        <w:rPr>
          <w:rFonts w:ascii="Times New Roman" w:hAnsi="Times New Roman" w:cs="Times New Roman"/>
          <w:sz w:val="24"/>
          <w:szCs w:val="24"/>
        </w:rPr>
        <w:t xml:space="preserve"> antivirais para HBC</w:t>
      </w:r>
      <w:r w:rsidRPr="004E218E">
        <w:rPr>
          <w:rFonts w:ascii="Times New Roman" w:hAnsi="Times New Roman" w:cs="Times New Roman"/>
          <w:sz w:val="24"/>
          <w:szCs w:val="24"/>
        </w:rPr>
        <w:t xml:space="preserve"> (ETV e T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E218E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podem sofrer interação medicamentosa com o agente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orlistat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218E">
        <w:rPr>
          <w:rFonts w:ascii="Times New Roman" w:hAnsi="Times New Roman" w:cs="Times New Roman"/>
          <w:sz w:val="24"/>
          <w:szCs w:val="24"/>
        </w:rPr>
        <w:t>um fármaco que auxilia, em conjunto com uma dieta minimamente hipocalórica, na perda de peso em indivíduos obesos ou com sobrepeso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>com fatores de risco associados.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>O fármaco atua no trato gastrointestinal como um potente inibidor específico das lipases intestinais, chegando em uma inibição de até 91% das lipases gástrica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218E">
        <w:rPr>
          <w:rFonts w:ascii="Times New Roman" w:hAnsi="Times New Roman" w:cs="Times New Roman"/>
          <w:sz w:val="24"/>
          <w:szCs w:val="24"/>
        </w:rPr>
        <w:t xml:space="preserve"> e 81% das lipases pancreáticas em indivíduos saudáveis. Esse fato </w:t>
      </w:r>
      <w:r>
        <w:rPr>
          <w:rFonts w:ascii="Times New Roman" w:hAnsi="Times New Roman" w:cs="Times New Roman"/>
          <w:sz w:val="24"/>
          <w:szCs w:val="24"/>
        </w:rPr>
        <w:t>dificulta</w:t>
      </w:r>
      <w:r w:rsidRPr="004E218E">
        <w:rPr>
          <w:rFonts w:ascii="Times New Roman" w:hAnsi="Times New Roman" w:cs="Times New Roman"/>
          <w:sz w:val="24"/>
          <w:szCs w:val="24"/>
        </w:rPr>
        <w:t xml:space="preserve"> que os triglicerídeos da dieta sejam </w:t>
      </w:r>
      <w:r>
        <w:rPr>
          <w:rFonts w:ascii="Times New Roman" w:hAnsi="Times New Roman" w:cs="Times New Roman"/>
          <w:sz w:val="24"/>
          <w:szCs w:val="24"/>
        </w:rPr>
        <w:t>reduzidos a</w:t>
      </w:r>
      <w:r w:rsidRPr="004E218E">
        <w:rPr>
          <w:rFonts w:ascii="Times New Roman" w:hAnsi="Times New Roman" w:cs="Times New Roman"/>
          <w:sz w:val="24"/>
          <w:szCs w:val="24"/>
        </w:rPr>
        <w:t xml:space="preserve"> ácidos graxos e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monoglicerídeos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 posterior absorção</w:t>
      </w:r>
      <w:r w:rsidRPr="004E218E">
        <w:rPr>
          <w:rFonts w:ascii="Times New Roman" w:hAnsi="Times New Roman" w:cs="Times New Roman"/>
          <w:sz w:val="24"/>
          <w:szCs w:val="24"/>
        </w:rPr>
        <w:t>. Assim, a porcentagem média de gordura nas fezes de indivíduos que fazem uso do medicamento passa de 5% para 32%</w:t>
      </w:r>
      <w:r w:rsidRPr="003B0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 xml:space="preserve">É esperado, </w:t>
      </w:r>
      <w:r>
        <w:rPr>
          <w:rFonts w:ascii="Times New Roman" w:hAnsi="Times New Roman" w:cs="Times New Roman"/>
          <w:sz w:val="24"/>
          <w:szCs w:val="24"/>
        </w:rPr>
        <w:t>assim</w:t>
      </w:r>
      <w:r w:rsidRPr="004E218E">
        <w:rPr>
          <w:rFonts w:ascii="Times New Roman" w:hAnsi="Times New Roman" w:cs="Times New Roman"/>
          <w:sz w:val="24"/>
          <w:szCs w:val="24"/>
        </w:rPr>
        <w:t xml:space="preserve">, que o principal efeito adverso do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orlistat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ocorra no</w:t>
      </w:r>
      <w:r>
        <w:rPr>
          <w:rFonts w:ascii="Times New Roman" w:hAnsi="Times New Roman" w:cs="Times New Roman"/>
          <w:sz w:val="24"/>
          <w:szCs w:val="24"/>
        </w:rPr>
        <w:t xml:space="preserve"> próprio</w:t>
      </w:r>
      <w:r w:rsidRPr="004E218E">
        <w:rPr>
          <w:rFonts w:ascii="Times New Roman" w:hAnsi="Times New Roman" w:cs="Times New Roman"/>
          <w:sz w:val="24"/>
          <w:szCs w:val="24"/>
        </w:rPr>
        <w:t xml:space="preserve"> trato gastrointestinal, com a presença de fezes gordurosas, urgência fecal, </w:t>
      </w:r>
      <w:r w:rsidRPr="0053136A">
        <w:rPr>
          <w:rFonts w:ascii="Times New Roman" w:hAnsi="Times New Roman" w:cs="Times New Roman"/>
          <w:sz w:val="24"/>
          <w:szCs w:val="24"/>
        </w:rPr>
        <w:t>diarreia e desconforto abdominal</w:t>
      </w:r>
      <w:r w:rsidRPr="0053136A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3136A">
        <w:rPr>
          <w:rFonts w:ascii="Times New Roman" w:hAnsi="Times New Roman" w:cs="Times New Roman"/>
          <w:sz w:val="24"/>
          <w:szCs w:val="24"/>
        </w:rPr>
        <w:t>.</w:t>
      </w:r>
    </w:p>
    <w:p w14:paraId="4C3AACC8" w14:textId="77777777" w:rsidR="004F29C4" w:rsidRPr="004E218E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8E">
        <w:rPr>
          <w:rFonts w:ascii="Times New Roman" w:hAnsi="Times New Roman" w:cs="Times New Roman"/>
          <w:sz w:val="24"/>
          <w:szCs w:val="24"/>
        </w:rPr>
        <w:t xml:space="preserve">Além dos efeitos citados,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também pode afetar a absorção no</w:t>
      </w:r>
      <w:r>
        <w:rPr>
          <w:rFonts w:ascii="Times New Roman" w:hAnsi="Times New Roman" w:cs="Times New Roman"/>
          <w:sz w:val="24"/>
          <w:szCs w:val="24"/>
        </w:rPr>
        <w:t xml:space="preserve"> trato gastrointestinal </w:t>
      </w:r>
      <w:r w:rsidRPr="004E218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ETV </w:t>
      </w:r>
      <w:r w:rsidRPr="004E218E">
        <w:rPr>
          <w:rFonts w:ascii="Times New Roman" w:hAnsi="Times New Roman" w:cs="Times New Roman"/>
          <w:sz w:val="24"/>
          <w:szCs w:val="24"/>
        </w:rPr>
        <w:t xml:space="preserve">e do </w:t>
      </w:r>
      <w:r>
        <w:rPr>
          <w:rFonts w:ascii="Times New Roman" w:hAnsi="Times New Roman" w:cs="Times New Roman"/>
          <w:sz w:val="24"/>
          <w:szCs w:val="24"/>
        </w:rPr>
        <w:t>TNF</w:t>
      </w:r>
      <w:r w:rsidRPr="004E218E">
        <w:rPr>
          <w:rFonts w:ascii="Times New Roman" w:hAnsi="Times New Roman" w:cs="Times New Roman"/>
          <w:sz w:val="24"/>
          <w:szCs w:val="24"/>
        </w:rPr>
        <w:t xml:space="preserve"> quando necessário sua associação para </w:t>
      </w:r>
      <w:r>
        <w:rPr>
          <w:rFonts w:ascii="Times New Roman" w:hAnsi="Times New Roman" w:cs="Times New Roman"/>
          <w:sz w:val="24"/>
          <w:szCs w:val="24"/>
        </w:rPr>
        <w:t>pacientes dislipidêmicos com</w:t>
      </w:r>
      <w:r w:rsidRPr="004E218E">
        <w:rPr>
          <w:rFonts w:ascii="Times New Roman" w:hAnsi="Times New Roman" w:cs="Times New Roman"/>
          <w:sz w:val="24"/>
          <w:szCs w:val="24"/>
        </w:rPr>
        <w:t xml:space="preserve"> hepatite B</w:t>
      </w:r>
      <w:r>
        <w:rPr>
          <w:rFonts w:ascii="Times New Roman" w:hAnsi="Times New Roman" w:cs="Times New Roman"/>
          <w:sz w:val="24"/>
          <w:szCs w:val="24"/>
        </w:rPr>
        <w:t xml:space="preserve"> crônica</w:t>
      </w:r>
      <w:r w:rsidRPr="004E218E">
        <w:rPr>
          <w:rFonts w:ascii="Times New Roman" w:hAnsi="Times New Roman" w:cs="Times New Roman"/>
          <w:sz w:val="24"/>
          <w:szCs w:val="24"/>
        </w:rPr>
        <w:t xml:space="preserve">. Em relação ao </w:t>
      </w:r>
      <w:r>
        <w:rPr>
          <w:rFonts w:ascii="Times New Roman" w:hAnsi="Times New Roman" w:cs="Times New Roman"/>
          <w:sz w:val="24"/>
          <w:szCs w:val="24"/>
        </w:rPr>
        <w:t xml:space="preserve">ETV, </w:t>
      </w:r>
      <w:r w:rsidRPr="004E218E">
        <w:rPr>
          <w:rFonts w:ascii="Times New Roman" w:hAnsi="Times New Roman" w:cs="Times New Roman"/>
          <w:sz w:val="24"/>
          <w:szCs w:val="24"/>
        </w:rPr>
        <w:t xml:space="preserve">a ação do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orlistat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de diminuir a absorção de lipídeos, aumentando sua quantidade na luz intestinal, e de aumentar a velocidade do trânsito intestinal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218E">
        <w:rPr>
          <w:rFonts w:ascii="Times New Roman" w:hAnsi="Times New Roman" w:cs="Times New Roman"/>
          <w:sz w:val="24"/>
          <w:szCs w:val="24"/>
        </w:rPr>
        <w:t>acaba por prejudicar a absorção d</w:t>
      </w:r>
      <w:r>
        <w:rPr>
          <w:rFonts w:ascii="Times New Roman" w:hAnsi="Times New Roman" w:cs="Times New Roman"/>
          <w:sz w:val="24"/>
          <w:szCs w:val="24"/>
        </w:rPr>
        <w:t>o antiviral</w:t>
      </w:r>
      <w:r w:rsidRPr="004E218E">
        <w:rPr>
          <w:rFonts w:ascii="Times New Roman" w:hAnsi="Times New Roman" w:cs="Times New Roman"/>
          <w:sz w:val="24"/>
          <w:szCs w:val="24"/>
        </w:rPr>
        <w:t xml:space="preserve">, uma vez que </w:t>
      </w:r>
      <w:r>
        <w:rPr>
          <w:rFonts w:ascii="Times New Roman" w:hAnsi="Times New Roman" w:cs="Times New Roman"/>
          <w:sz w:val="24"/>
          <w:szCs w:val="24"/>
        </w:rPr>
        <w:t>o ETV</w:t>
      </w:r>
      <w:r w:rsidRPr="004E218E">
        <w:rPr>
          <w:rFonts w:ascii="Times New Roman" w:hAnsi="Times New Roman" w:cs="Times New Roman"/>
          <w:sz w:val="24"/>
          <w:szCs w:val="24"/>
        </w:rPr>
        <w:t xml:space="preserve"> tem sua absorção diminuída com uma dieta hipercalórica e com o aumento da motilidade intestinal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4E218E">
        <w:rPr>
          <w:rFonts w:ascii="Times New Roman" w:hAnsi="Times New Roman" w:cs="Times New Roman"/>
          <w:sz w:val="24"/>
          <w:szCs w:val="24"/>
        </w:rPr>
        <w:t xml:space="preserve">. Já com o </w:t>
      </w:r>
      <w:r>
        <w:rPr>
          <w:rFonts w:ascii="Times New Roman" w:hAnsi="Times New Roman" w:cs="Times New Roman"/>
          <w:sz w:val="24"/>
          <w:szCs w:val="24"/>
        </w:rPr>
        <w:t>TNF,</w:t>
      </w:r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pode-se pensar inicialmente que o aumento da quantidade de lipídios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lúmem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intestinal pode facilitar a absorção do antiviral</w:t>
      </w:r>
      <w:r w:rsidRPr="004E2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depender do sal empregado, visto que o TDF tem sua absorção potencializada por dieta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hiperlipídica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218E">
        <w:rPr>
          <w:rFonts w:ascii="Times New Roman" w:hAnsi="Times New Roman" w:cs="Times New Roman"/>
          <w:sz w:val="24"/>
          <w:szCs w:val="24"/>
        </w:rPr>
        <w:t xml:space="preserve">ntretanto, </w:t>
      </w:r>
      <w:r>
        <w:rPr>
          <w:rFonts w:ascii="Times New Roman" w:hAnsi="Times New Roman" w:cs="Times New Roman"/>
          <w:sz w:val="24"/>
          <w:szCs w:val="24"/>
        </w:rPr>
        <w:t>é importante frisar</w:t>
      </w:r>
      <w:r w:rsidRPr="004E218E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o acúmulo de</w:t>
      </w:r>
      <w:r w:rsidRPr="004E218E">
        <w:rPr>
          <w:rFonts w:ascii="Times New Roman" w:hAnsi="Times New Roman" w:cs="Times New Roman"/>
          <w:sz w:val="24"/>
          <w:szCs w:val="24"/>
        </w:rPr>
        <w:t xml:space="preserve"> lipídio</w:t>
      </w:r>
      <w:r>
        <w:rPr>
          <w:rFonts w:ascii="Times New Roman" w:hAnsi="Times New Roman" w:cs="Times New Roman"/>
          <w:sz w:val="24"/>
          <w:szCs w:val="24"/>
        </w:rPr>
        <w:t xml:space="preserve"> gerado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trato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gastrintetsinal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não </w:t>
      </w:r>
      <w:r>
        <w:rPr>
          <w:rFonts w:ascii="Times New Roman" w:hAnsi="Times New Roman" w:cs="Times New Roman"/>
          <w:sz w:val="24"/>
          <w:szCs w:val="24"/>
        </w:rPr>
        <w:t xml:space="preserve">segue o fluxo normal de absorção observado em uma dieta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hiperlipidica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visto que o objetivo do fármaco consiste em reduzir a absorção de gorduras que são eliminadas nas fezes,</w:t>
      </w:r>
      <w:r w:rsidRPr="004E218E">
        <w:rPr>
          <w:rFonts w:ascii="Times New Roman" w:hAnsi="Times New Roman" w:cs="Times New Roman"/>
          <w:sz w:val="24"/>
          <w:szCs w:val="24"/>
        </w:rPr>
        <w:t xml:space="preserve"> resultando, </w:t>
      </w:r>
      <w:r>
        <w:rPr>
          <w:rFonts w:ascii="Times New Roman" w:hAnsi="Times New Roman" w:cs="Times New Roman"/>
          <w:sz w:val="24"/>
          <w:szCs w:val="24"/>
        </w:rPr>
        <w:t>portanto</w:t>
      </w:r>
      <w:r w:rsidRPr="004E218E">
        <w:rPr>
          <w:rFonts w:ascii="Times New Roman" w:hAnsi="Times New Roman" w:cs="Times New Roman"/>
          <w:sz w:val="24"/>
          <w:szCs w:val="24"/>
        </w:rPr>
        <w:t>, na menor absorção do</w:t>
      </w:r>
      <w:r>
        <w:rPr>
          <w:rFonts w:ascii="Times New Roman" w:hAnsi="Times New Roman" w:cs="Times New Roman"/>
          <w:sz w:val="24"/>
          <w:szCs w:val="24"/>
        </w:rPr>
        <w:t xml:space="preserve"> antiviral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5313" w14:textId="77777777" w:rsidR="004F29C4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disso</w:t>
      </w:r>
      <w:r w:rsidRPr="004E2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apenas evitar o uso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pacientes obesos usuários de ETV e TNF pode ser prejudicial do ponto de vista terapêutico, visto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tem efeitos </w:t>
      </w:r>
      <w:r w:rsidRPr="004E218E">
        <w:rPr>
          <w:rFonts w:ascii="Times New Roman" w:hAnsi="Times New Roman" w:cs="Times New Roman"/>
          <w:sz w:val="24"/>
          <w:szCs w:val="24"/>
        </w:rPr>
        <w:lastRenderedPageBreak/>
        <w:t xml:space="preserve">benéficos na </w:t>
      </w:r>
      <w:r>
        <w:rPr>
          <w:rFonts w:ascii="Times New Roman" w:hAnsi="Times New Roman" w:cs="Times New Roman"/>
          <w:sz w:val="24"/>
          <w:szCs w:val="24"/>
        </w:rPr>
        <w:t>DHGNA e</w:t>
      </w:r>
      <w:r w:rsidRPr="004E218E">
        <w:rPr>
          <w:rFonts w:ascii="Times New Roman" w:hAnsi="Times New Roman" w:cs="Times New Roman"/>
          <w:sz w:val="24"/>
          <w:szCs w:val="24"/>
        </w:rPr>
        <w:t xml:space="preserve"> o uso do </w:t>
      </w:r>
      <w:r>
        <w:rPr>
          <w:rFonts w:ascii="Times New Roman" w:hAnsi="Times New Roman" w:cs="Times New Roman"/>
          <w:sz w:val="24"/>
          <w:szCs w:val="24"/>
        </w:rPr>
        <w:t>fármaco</w:t>
      </w:r>
      <w:r w:rsidRPr="004E218E">
        <w:rPr>
          <w:rFonts w:ascii="Times New Roman" w:hAnsi="Times New Roman" w:cs="Times New Roman"/>
          <w:sz w:val="24"/>
          <w:szCs w:val="24"/>
        </w:rPr>
        <w:t xml:space="preserve"> foi associado à diminuição da atividade sérica das aminotransferases e/ou à reversão da esteatose em imagens de ultrassonografia hepática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B0DBB">
        <w:rPr>
          <w:rFonts w:ascii="Times New Roman" w:hAnsi="Times New Roman" w:cs="Times New Roman"/>
          <w:sz w:val="24"/>
          <w:szCs w:val="24"/>
        </w:rPr>
        <w:t>.</w:t>
      </w:r>
      <w:r w:rsidRPr="004E218E">
        <w:rPr>
          <w:rFonts w:ascii="Times New Roman" w:hAnsi="Times New Roman" w:cs="Times New Roman"/>
          <w:sz w:val="24"/>
          <w:szCs w:val="24"/>
        </w:rPr>
        <w:t xml:space="preserve"> Uma das opções é diminuir a dosagem de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orlistat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 xml:space="preserve"> até um </w:t>
      </w:r>
      <w:r>
        <w:rPr>
          <w:rFonts w:ascii="Times New Roman" w:hAnsi="Times New Roman" w:cs="Times New Roman"/>
          <w:sz w:val="24"/>
          <w:szCs w:val="24"/>
        </w:rPr>
        <w:t>limiar mínimo</w:t>
      </w:r>
      <w:r w:rsidRPr="004E218E">
        <w:rPr>
          <w:rFonts w:ascii="Times New Roman" w:hAnsi="Times New Roman" w:cs="Times New Roman"/>
          <w:sz w:val="24"/>
          <w:szCs w:val="24"/>
        </w:rPr>
        <w:t xml:space="preserve"> que ainda seja benéfico ao organismo e</w:t>
      </w:r>
      <w:r>
        <w:rPr>
          <w:rFonts w:ascii="Times New Roman" w:hAnsi="Times New Roman" w:cs="Times New Roman"/>
          <w:sz w:val="24"/>
          <w:szCs w:val="24"/>
        </w:rPr>
        <w:t xml:space="preserve"> paralelamente</w:t>
      </w:r>
      <w:r w:rsidRPr="004E218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valiar a necessidade de aumento</w:t>
      </w:r>
      <w:r w:rsidRPr="004E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E218E">
        <w:rPr>
          <w:rFonts w:ascii="Times New Roman" w:hAnsi="Times New Roman" w:cs="Times New Roman"/>
          <w:sz w:val="24"/>
          <w:szCs w:val="24"/>
        </w:rPr>
        <w:t xml:space="preserve">a dosagem dos fármacos antivirais, uma vez que sua absorção </w:t>
      </w:r>
      <w:r>
        <w:rPr>
          <w:rFonts w:ascii="Times New Roman" w:hAnsi="Times New Roman" w:cs="Times New Roman"/>
          <w:sz w:val="24"/>
          <w:szCs w:val="24"/>
        </w:rPr>
        <w:t>poderá ser reduzida</w:t>
      </w:r>
      <w:r w:rsidRPr="004E218E">
        <w:rPr>
          <w:rFonts w:ascii="Times New Roman" w:hAnsi="Times New Roman" w:cs="Times New Roman"/>
          <w:sz w:val="24"/>
          <w:szCs w:val="24"/>
        </w:rPr>
        <w:t xml:space="preserve"> por conta da associação com o </w:t>
      </w:r>
      <w:proofErr w:type="spellStart"/>
      <w:r w:rsidRPr="004E218E">
        <w:rPr>
          <w:rFonts w:ascii="Times New Roman" w:hAnsi="Times New Roman" w:cs="Times New Roman"/>
          <w:sz w:val="24"/>
          <w:szCs w:val="24"/>
        </w:rPr>
        <w:t>orlistat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E21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Naturalmente, como o desfecho da interação é afetado por uma ação local no trato gastrintestinal, o espaçamento entre as administrações do antiviral 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emerge como uma opção plausível a ser considerada.  </w:t>
      </w:r>
    </w:p>
    <w:p w14:paraId="54969EEC" w14:textId="77777777" w:rsidR="004F29C4" w:rsidRDefault="004F29C4" w:rsidP="004F29C4">
      <w:pPr>
        <w:pStyle w:val="Pr-formatao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BA538" w14:textId="77777777" w:rsidR="004F29C4" w:rsidRDefault="004F29C4" w:rsidP="004F29C4">
      <w:pPr>
        <w:pStyle w:val="Pr-formataoHTML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18E">
        <w:rPr>
          <w:rFonts w:ascii="Times New Roman" w:hAnsi="Times New Roman" w:cs="Times New Roman"/>
          <w:b/>
          <w:bCs/>
          <w:sz w:val="24"/>
          <w:szCs w:val="24"/>
        </w:rPr>
        <w:t>Neuropatia periférica</w:t>
      </w:r>
    </w:p>
    <w:p w14:paraId="23DE2BE3" w14:textId="77777777" w:rsidR="004F29C4" w:rsidRDefault="004F29C4" w:rsidP="004F29C4">
      <w:pPr>
        <w:pStyle w:val="Pr-formataoHTML"/>
        <w:spacing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7570" w14:textId="77777777" w:rsidR="004F29C4" w:rsidRPr="004E22A9" w:rsidRDefault="004F29C4" w:rsidP="004F29C4">
      <w:pPr>
        <w:pStyle w:val="Pr-formatao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BA">
        <w:rPr>
          <w:rFonts w:ascii="Times New Roman" w:hAnsi="Times New Roman" w:cs="Times New Roman"/>
          <w:sz w:val="24"/>
          <w:szCs w:val="24"/>
        </w:rPr>
        <w:t xml:space="preserve">Outro potencial desfecho clínico encontrado é a neuropatia periférica, a qual pode ser resultado da interação entre </w:t>
      </w:r>
      <w:r>
        <w:rPr>
          <w:rFonts w:ascii="Times New Roman" w:hAnsi="Times New Roman" w:cs="Times New Roman"/>
          <w:sz w:val="24"/>
          <w:szCs w:val="24"/>
        </w:rPr>
        <w:t>PEG-IFN 2a</w:t>
      </w:r>
      <w:r w:rsidRPr="00512EBA">
        <w:rPr>
          <w:rFonts w:ascii="Times New Roman" w:hAnsi="Times New Roman" w:cs="Times New Roman"/>
          <w:sz w:val="24"/>
          <w:szCs w:val="24"/>
        </w:rPr>
        <w:t xml:space="preserve"> e fármacos empregados no </w:t>
      </w:r>
      <w:r>
        <w:rPr>
          <w:rFonts w:ascii="Times New Roman" w:hAnsi="Times New Roman" w:cs="Times New Roman"/>
          <w:sz w:val="24"/>
          <w:szCs w:val="24"/>
        </w:rPr>
        <w:t>manejo da DHGNA</w:t>
      </w:r>
      <w:r w:rsidRPr="00512EBA">
        <w:rPr>
          <w:rFonts w:ascii="Times New Roman" w:hAnsi="Times New Roman" w:cs="Times New Roman"/>
          <w:sz w:val="24"/>
          <w:szCs w:val="24"/>
        </w:rPr>
        <w:t xml:space="preserve">, especialmente as estatinas e a </w:t>
      </w:r>
      <w:proofErr w:type="spellStart"/>
      <w:r w:rsidRPr="00512EBA">
        <w:rPr>
          <w:rFonts w:ascii="Times New Roman" w:hAnsi="Times New Roman" w:cs="Times New Roman"/>
          <w:sz w:val="24"/>
          <w:szCs w:val="24"/>
        </w:rPr>
        <w:t>hidralazina</w:t>
      </w:r>
      <w:proofErr w:type="spellEnd"/>
      <w:r w:rsidRPr="00512E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Tabela 1</w:t>
      </w:r>
      <w:r w:rsidRPr="00512EB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8E">
        <w:rPr>
          <w:rFonts w:ascii="Times New Roman" w:hAnsi="Times New Roman" w:cs="Times New Roman"/>
          <w:sz w:val="24"/>
          <w:szCs w:val="24"/>
        </w:rPr>
        <w:t>A neuropatia periférica induzida por fármacos (NPIF) ocorre quando uma substância química gera algum dano no sistema nervoso periférico, seja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218E">
        <w:rPr>
          <w:rFonts w:ascii="Times New Roman" w:hAnsi="Times New Roman" w:cs="Times New Roman"/>
          <w:sz w:val="24"/>
          <w:szCs w:val="24"/>
        </w:rPr>
        <w:t xml:space="preserve"> neurônio</w:t>
      </w:r>
      <w:r>
        <w:rPr>
          <w:rFonts w:ascii="Times New Roman" w:hAnsi="Times New Roman" w:cs="Times New Roman"/>
          <w:sz w:val="24"/>
          <w:szCs w:val="24"/>
        </w:rPr>
        <w:t>s ou nas</w:t>
      </w:r>
      <w:r w:rsidRPr="004E218E">
        <w:rPr>
          <w:rFonts w:ascii="Times New Roman" w:hAnsi="Times New Roman" w:cs="Times New Roman"/>
          <w:sz w:val="24"/>
          <w:szCs w:val="24"/>
        </w:rPr>
        <w:t xml:space="preserve"> células da glia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Apresenta</w:t>
      </w:r>
      <w:r w:rsidRPr="004E218E">
        <w:rPr>
          <w:rFonts w:ascii="Times New Roman" w:hAnsi="Times New Roman" w:cs="Times New Roman"/>
          <w:sz w:val="24"/>
          <w:szCs w:val="24"/>
        </w:rPr>
        <w:t xml:space="preserve"> elevada importância clínica, visto a alta capacidade de gerar sintomas irreversíveis, os quais incluem déficits sensoriais, dor e parestesia, sendo o acometimento motor mais raro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sz w:val="24"/>
          <w:szCs w:val="24"/>
        </w:rPr>
        <w:t xml:space="preserve">Os principais fármacos </w:t>
      </w:r>
      <w:r>
        <w:rPr>
          <w:rFonts w:ascii="Times New Roman" w:hAnsi="Times New Roman" w:cs="Times New Roman"/>
          <w:sz w:val="24"/>
          <w:szCs w:val="24"/>
        </w:rPr>
        <w:t>associados a essa</w:t>
      </w:r>
      <w:r w:rsidRPr="004E218E">
        <w:rPr>
          <w:rFonts w:ascii="Times New Roman" w:hAnsi="Times New Roman" w:cs="Times New Roman"/>
          <w:sz w:val="24"/>
          <w:szCs w:val="24"/>
        </w:rPr>
        <w:t xml:space="preserve"> condição são agentes quimioterápicos, antimicrobianos, anticonvulsivantes, psicotrópicos, estatinas e a amiodarona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3141897" w14:textId="77777777" w:rsidR="004F29C4" w:rsidRPr="004E22A9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sistema nervoso periférico tem melhor alcance de substâncias químicas em relação ao sistema nervoso central, o que explica seu maior acometimento.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regiões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mais comumente afetadas pela dormência e formigamento são os lábios, mãos e pés, cujas inervações são predominantemente sensoriais. A neuropatia dolorosa aponta para uma disfunção das fibras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Aδ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mielinizadas e das fibras C não 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elinizadas menores em diâmetro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sz w:val="24"/>
          <w:szCs w:val="24"/>
        </w:rPr>
        <w:t>Apesar da potenci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4E218E">
        <w:rPr>
          <w:rFonts w:ascii="Times New Roman" w:hAnsi="Times New Roman" w:cs="Times New Roman"/>
          <w:sz w:val="24"/>
          <w:szCs w:val="24"/>
        </w:rPr>
        <w:t xml:space="preserve"> irrevers</w:t>
      </w:r>
      <w:r>
        <w:rPr>
          <w:rFonts w:ascii="Times New Roman" w:hAnsi="Times New Roman" w:cs="Times New Roman"/>
          <w:sz w:val="24"/>
          <w:szCs w:val="24"/>
        </w:rPr>
        <w:t>ibilidade</w:t>
      </w:r>
      <w:r w:rsidRPr="004E218E">
        <w:rPr>
          <w:rFonts w:ascii="Times New Roman" w:hAnsi="Times New Roman" w:cs="Times New Roman"/>
          <w:sz w:val="24"/>
          <w:szCs w:val="24"/>
        </w:rPr>
        <w:t xml:space="preserve"> do quadro, uma observação mais atenta de pacientes em uso dos fármacos com representatividade de risco, apresentando os sintomas associados, permite uma intervenção precoce, </w:t>
      </w:r>
      <w:r>
        <w:rPr>
          <w:rFonts w:ascii="Times New Roman" w:hAnsi="Times New Roman" w:cs="Times New Roman"/>
          <w:sz w:val="24"/>
          <w:szCs w:val="24"/>
        </w:rPr>
        <w:t xml:space="preserve">substituindo, </w:t>
      </w:r>
      <w:r w:rsidRPr="004E218E">
        <w:rPr>
          <w:rFonts w:ascii="Times New Roman" w:hAnsi="Times New Roman" w:cs="Times New Roman"/>
          <w:sz w:val="24"/>
          <w:szCs w:val="24"/>
        </w:rPr>
        <w:t>reduzindo</w:t>
      </w:r>
      <w:r>
        <w:rPr>
          <w:rFonts w:ascii="Times New Roman" w:hAnsi="Times New Roman" w:cs="Times New Roman"/>
          <w:sz w:val="24"/>
          <w:szCs w:val="24"/>
        </w:rPr>
        <w:t xml:space="preserve"> ou até </w:t>
      </w:r>
      <w:r w:rsidRPr="004E218E">
        <w:rPr>
          <w:rFonts w:ascii="Times New Roman" w:hAnsi="Times New Roman" w:cs="Times New Roman"/>
          <w:sz w:val="24"/>
          <w:szCs w:val="24"/>
        </w:rPr>
        <w:t>descontinuando o uso das drogas, viabilizando a reversibilidade clínica da iatrogenia</w:t>
      </w:r>
      <w:r>
        <w:rPr>
          <w:rFonts w:ascii="Times New Roman" w:hAnsi="Times New Roman" w:cs="Times New Roman"/>
          <w:sz w:val="24"/>
          <w:szCs w:val="24"/>
        </w:rPr>
        <w:t xml:space="preserve"> e a sua margem de resolutividade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26,27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5001699" w14:textId="77777777" w:rsidR="004F29C4" w:rsidRPr="008C2962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início dos sintomas é dependente da dose farmacológica, podendo levar semanas a meses para aparecer, necessitando de determinada quantidade de neurotoxinas na corrente sanguínea para que o sistema nervoso per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iférico seja afetado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mecanismos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associados ao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desenvolvimento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NPIF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consistem em: alteração do metabolismo;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modificação covalente; alteração da função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organela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formação de espécies reativas de oxigênio; sinalização intracelular e inflamatória alterada; transporte axonal lento e alteração da dinâmica e expressão dos canais iônicos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Microscopicamente,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 possível observar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uma degeneração distal dos axônios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F6FB8D6" w14:textId="77777777" w:rsidR="004F29C4" w:rsidRPr="004E218E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estatinas estão entre os fármacos que podem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causar neuropatia periférica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Porém, a patogênese ainda não é bem conhecida. Algumas teorias consideram que a inibição da síntese do colesterol,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mecanismo de ação das estatinas,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conjunto com a alteração de função da membrana dentro dos nervos atrapalha a síntese de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ubiquinona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consequentemente perturbando a utilização de energia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27,29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entanto,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ao buscar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drogas com efeito de melhora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neuropatia periférica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induzida pela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oxaliplatina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um agente antineoplásico,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sinvastatina foi uma das candidatas. Com a análise de prontuários de uma universidade japonesa e com um estudo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focado em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modelos de rato,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sinvastatina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mostrou capaz de reduzir substancialmente a neuropatia induzida pela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oxaliplatina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assim como a hiperalgesia causada por esse quimioterápico, sendo paradoxalmente usada como fárma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 profilático para esse efeito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C12A7A2" w14:textId="77777777" w:rsidR="004F29C4" w:rsidRPr="004E218E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descoberta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sobre 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sinvastatina é de grande importância clínica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visto que 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NPIF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corresponde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cerca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4%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 casos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neuropatia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Além disso,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cerca de 60% dos pacientes com quimioterapia em curso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desenvolve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27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Essa contradição encontrada sobre o uso da sinvastatina na indução da neuropatia periférica e na sua profilaxia quando associada a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oxaliplatina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merece mais estudos esclarecendo o mecanismo de cada efeito, tendo em vista tanto a porcentagem de pacientes com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câncer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desenvolvem essa condição e que seriam beneficiados, quanto em relação à quantidade de pessoas que usam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hipolipemiantes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principalmente a sinvastatina, e que são prejudicados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sobretudo se ocorre alguma interação medicamentosa que potencializa tal efeito, como a descrita neste trabalho entre estatinas e PEG-IFN 2a, o que pode elevar o risco de ocorrência de sequelas quando se combina a terapia da HBC com a DHGNA. </w:t>
      </w:r>
    </w:p>
    <w:p w14:paraId="02B5CD0B" w14:textId="77777777" w:rsidR="004F29C4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 cursar principalmente com parestesia, o tratamento da </w:t>
      </w:r>
      <w:r w:rsidRPr="00CB61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neuropatia periférica induzida por fármacos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não envolve uma intervenção específica, apenas a diminuição ou suspensão do fá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maco em questão que esteja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interferindo na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capacidade sensorial do paciente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Contudo, se a neuropatia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gerar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incapacidade e dores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alta intensidade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emergem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opções terapêuticas os antidepressivos 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gabapentinoides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Dessa forma,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 processos de acompanhamento terapêutico envolvendo terapia combinada entre HBC e DHGNA,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fica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evidente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importância sobre a identificação precoce da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NPIF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pelos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profissionais da área da saúde, possibilitando uma intervenção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previamente à ocorrência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uma iatrogenia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incapacitante 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irreversível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387D4A6" w14:textId="77777777" w:rsidR="004F29C4" w:rsidRDefault="004F29C4" w:rsidP="004F2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CF599E1" w14:textId="77777777" w:rsidR="004F29C4" w:rsidRPr="00C855FD" w:rsidRDefault="004F29C4" w:rsidP="004F29C4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855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Nefrotoxicidade</w:t>
      </w:r>
      <w:proofErr w:type="spellEnd"/>
    </w:p>
    <w:p w14:paraId="551D38B6" w14:textId="77777777" w:rsidR="004F29C4" w:rsidRDefault="004F29C4" w:rsidP="004F2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156E24" w14:textId="77777777" w:rsidR="004F29C4" w:rsidRPr="00EF1911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Amilorida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tenofovir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(TNF) são dois agentes que quando combinados podem estar associados ao desenvolvimento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nefrotoxicidade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(Tabela 1).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nefrotoxicidade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define-se por qualquer lesão renal que tenha como etiologia o uso de medicamentos, de forma direta ou indireta, sendo apresentada mais comumente como insuficiência renal aguda,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tubulopatias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glomerulopatias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redução aguda da taxa de filtração glomerular está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rotineiramente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relacionada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uso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anti-inflamatórios, antibióticos (como a vancomicina 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aminoglicosídios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e agentes quimioterápicos (como cisplatina e metotrexato). As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tubulopatias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tem maior relação com anfotericina B,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polimixinas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próprio TNF.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Já os casos de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glomerulopatias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são comuns com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emprego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inibidores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VEGF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(Fator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Crecimento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Epidermal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ascular),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bisfosfonados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imunoterapia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A2F349F" w14:textId="77777777" w:rsidR="004F29C4" w:rsidRPr="00EF1911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TNF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é um dos antirretrovirais amplamente utilizados para o tratamento do HIV e da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HBC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Apesar de ter boa tolerância, baixa indução de resistência e dosagens favoráveis,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apresenta limitações associadas aos seus efeitos adversos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Entre os efeitos estão a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tubulopatia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proximal renal e a distrofia óssea. Quanto à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nefrotoxicidade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ela é causada pelo acúmulo 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TNF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citoplasmático 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intramitocondrial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resultando na depleção 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RNA e DNA mitocondrial e disfunção da cadeia respiratória oxidativa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 células renais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0026D90" w14:textId="77777777" w:rsidR="004F29C4" w:rsidRPr="004E218E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manifestações clínicas iniciais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incluem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proteinúria,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hipofosfatemia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glicosúria, podendo envolver doença renal crônica em determinados casos. Alguns fatores de risco relacionados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lesão tubular incluem a duração do uso do fármaco, a associação com inibidores de proteases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(principalmente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atazanavir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ritonavir), redução prévia da taxa de filtração glomerular, hipertensão arterial sistêmica e idade acima de 50 anos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831F0D3" w14:textId="77777777" w:rsidR="004F29C4" w:rsidRPr="00EF1911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F5B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TAF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F5B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tem sido preferido para o tratamento do HIV e da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HBC</w:t>
      </w:r>
      <w:r w:rsidRPr="008F5B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Essa escolha advém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ocorrência de</w:t>
      </w:r>
      <w:r w:rsidRPr="008F5B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menos efeitos adversos renais e minerais ósseos em relação ao TDF.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entanto, mesmo com resultados favoráveis comparativamente, quanto maior o tempo de uso, maiores as chances de piores desfechos renais e ósseos. Além disso, já tem sido observado que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pacientes com insuficiência renal basal, outras anormalidades renais subjacentes ou uso concomitante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outras drogas nefrotóxicas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chances são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maiores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a ocorrência de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efeitos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adversos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ao TAF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realidade ambulatorial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nem sempre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menor toxicidade prevista se concretiza na prática clínica. Portanto, situações específicas do paciente sobrepostas podem levar a uma taxa de depuração menor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fármaco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com seu consequente aumento no plasma, facilitando a injúria renal.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Nesse quesito, as interações medicamentosas podem funcionar como gatilho na alteração da farmacocinética do fármaco e a consequente indução de dano renal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32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EF09B61" w14:textId="77777777" w:rsidR="004F29C4" w:rsidRDefault="004F29C4" w:rsidP="004F29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consequente aumento no plasma ocorre porque 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TNF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 eliminado por secreção tubular ativa. Outros fármacos também apresentam essa via de eliminação e quando são coadministrados podem levar a um aumento plasmático 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TNF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 do fármaco administrado simultaneamente devido à competição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excreção renal,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elevando o risco de indução de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nefrotoxicidade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acúmulo do fármaco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Esse é o mecanismo envolvido na interação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amilorida</w:t>
      </w:r>
      <w:proofErr w:type="spellEnd"/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4E21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TNF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Nesse sentido, a conduta clínica mais prudente consiste em evitar a associação entre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amilorida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TNF.</w:t>
      </w:r>
    </w:p>
    <w:p w14:paraId="7F85B213" w14:textId="77777777" w:rsidR="004F29C4" w:rsidRDefault="004F29C4" w:rsidP="004F29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interações medicamentosas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rmaco-f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rmaco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uma realidade quando se considera a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farmacoterapia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combinada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DHGNA 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HBC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informações descritas 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nesta pesquisa permit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compreender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gravidade das interações medicamentosas e estabelecer condutas apropriadas, esclarecendo sobre as eventuais repercussões clínicas e os possíveis mecanismos envolvidos.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trato gastrintestinal e os sistemas 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renal e nervoso periférico foram os envolvidos nas interações medicamentosas averiguadas, cujas repercussões clínicas de efeito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associam a redução da absorção de fármacos empregados no tratamento da HBC, neuropatia periférica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nefrotoxicidade</w:t>
      </w:r>
      <w:proofErr w:type="spellEnd"/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 Dessa maneira, as interações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medicamentosas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tratamento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HBC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da DHGNA podem gerar efeitos que prejud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icam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qualidade de vida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pcientes</w:t>
      </w:r>
      <w:proofErr w:type="spellEnd"/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efetividade terapêutica. Assim, é necessário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reforçar</w:t>
      </w:r>
      <w:r w:rsidRPr="004E21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os profissionais de saúde façam investigação prévia antes do início do tratamento farmacológico concomitante, adequando a abordagem de cada paciente de forma individualizada e segura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70D7AF0" w14:textId="77777777" w:rsidR="004F29C4" w:rsidRDefault="004F29C4" w:rsidP="004F29C4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3222B9" w14:textId="77777777" w:rsidR="004F29C4" w:rsidRDefault="004F29C4" w:rsidP="004F29C4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52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D6B15BB" w14:textId="77777777" w:rsidR="004F29C4" w:rsidRPr="00B05254" w:rsidRDefault="004F29C4" w:rsidP="004F29C4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2D90F6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fldChar w:fldCharType="begin" w:fldLock="1"/>
      </w:r>
      <w:r w:rsidRPr="00B052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ADDIN Mendeley Bibliography CSL_BIBLIOGRAPHY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fldChar w:fldCharType="separate"/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</w:r>
      <w:r w:rsidRPr="0059342E">
        <w:rPr>
          <w:rFonts w:ascii="Times New Roman" w:hAnsi="Times New Roman" w:cs="Times New Roman"/>
          <w:noProof/>
          <w:sz w:val="24"/>
          <w:szCs w:val="24"/>
        </w:rPr>
        <w:t xml:space="preserve">CUSI, K., ISAACS, S., BARB, D., BASU, R., CAPRIO, S., GARVEY, W. T., KASHYAP, S., MECHANICK, J. I., MOUZAKI, M., NADOLSKY, K., RINELLA, M. E., VOS, M. B., YOUNOSSI, Z. 2022.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American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ssociation of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linical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ndocrinology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linical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ractice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uideline for the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iagnosis and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anagement of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onalcoholic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atty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l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iver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isease in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rimary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are and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ndocrinology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linical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ettings: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o-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ponsored by the American Association for the Study of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Liver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Diseases (AASLD)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Endocrine Practice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28(5):528–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62.</w:t>
      </w:r>
    </w:p>
    <w:p w14:paraId="3F1EE1BE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22A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2. </w:t>
      </w:r>
      <w:r w:rsidRPr="00022A3D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RAZA, S., RAJAK, S., UPADHYAY, A., TEWARI, A., SINHA, R. A. 2021.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Current treatment paradigms and emerging therapies for NAFLD/NASH.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Frontiers in Bioscience (Landmark edition)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26(2):206–37. </w:t>
      </w:r>
    </w:p>
    <w:p w14:paraId="1EC70E97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HARRISON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GAWRIEH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ROBERTS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LISANTI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SCHWOPE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CEBE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PARADIS, V., BEDOSSA, P., WHITEHEAD, J. M. A., LABOURDETTE, A., MIETTE, V., NEUBAUER, S., FOURNIER, C., PAREDES, A. H., ALKHOURI, N. 2021.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Prospective evaluation of the prevalence of non-alcoholic fatty liver disease and steatohepatitis in a large middle-aged US cohort.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ournal of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Hepatol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75(2):284–91.</w:t>
      </w:r>
    </w:p>
    <w:p w14:paraId="55878528" w14:textId="77777777" w:rsidR="004F29C4" w:rsidRPr="0053136A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4.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CATALDO, I., SARCOGNATO, S., SACCHI, D., CACCIATORE, M., BACIORRI, F., MANGIA A., CAZZAGON, N., GUIDO, M. 2021.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Pathology of non-alcoholic fatty liver disease.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Pathologica 113(3):194–202. </w:t>
      </w:r>
    </w:p>
    <w:p w14:paraId="4B0C2240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5.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022A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MAURICE, J., MANOUSOU P.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Non-alcoholic fatty liver disease. Clinical Medicine (London, England)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18(3):245–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50. </w:t>
      </w:r>
    </w:p>
    <w:p w14:paraId="2B8ADF79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6.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SHI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YANG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FAN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2021.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Chronic hepatitis b infection with concomitant hepatic steatosis: Current evidence and opinion. World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ournal of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Gastroenterol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27(26):3971–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39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83. </w:t>
      </w:r>
    </w:p>
    <w:p w14:paraId="09ABDFDB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7.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SHAH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ALOYSIUS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SHARMA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PALLAV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K. Advances in treatment and prevention of hepatitis B.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2021.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World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ournal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Gastrointest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inal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Pharmacol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ogy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Ther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apeutics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12(4):56–78. </w:t>
      </w:r>
    </w:p>
    <w:p w14:paraId="21B77F32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8.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JARCUSKA, P., DRAZILOVA, S., FEDACKO, J., PELLA, D., JANICKO M. 2016.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Association between hepatitis B and metabolic syndrome: Current state of the art. World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ournal of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Gastroenterol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22(1):155–64. </w:t>
      </w:r>
    </w:p>
    <w:p w14:paraId="17976234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9.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TRÉPO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CHAN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LOK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A. Hepatitis B virus infection.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2014.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Lancet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384(9959):2053–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20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63. </w:t>
      </w:r>
    </w:p>
    <w:p w14:paraId="259F31D8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10.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TAN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BHADORIA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CUI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TAN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VAN HOLTEN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EASTERBROOK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., FORD, N., HAN, Q., LU, Y., BULTERYS, M., HUTIN, Y. 2021.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Estimating the proportion of people with chronic hepatitis B virus infection eligible for hepatitis B antiviral treatment worldwide: a systematic review and meta-analysis.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Lancet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Gastroenterol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ogy &amp;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Hepatol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6(2):106–19. </w:t>
      </w:r>
    </w:p>
    <w:p w14:paraId="6747F3D9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11.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US PREVENTIVE SERVICES TASK FORCE.,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KRIST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DAVIDSON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MANGIONE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BARRY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CABANA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CAUGHEY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., DONAHUE, K., DOUBENI, C. A., EPLING JR, J. W., KUBIK, M., OGEDEGBE,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G., OWENS, D. K., PBERT, L., SILVERSTEIN, M., SIMON, M. A., TSENG, C., WONG, J. B. 2020.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Screening for Hepatitis B Virus Infection in Adolescents and Adults: US Preventive Services Task Force Recommendation Statement. JAMA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324(23):2415–22. </w:t>
      </w:r>
    </w:p>
    <w:p w14:paraId="4E62B781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12.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LEE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 B.,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CHON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KIM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LEE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PARK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., KIM, K., KIM, S., RIM, K. S., HWANG, S. G. 2019.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Association between hepatic steatosis and the development of hepatocellular carcinoma in patients with chronic hepatitis B. Clin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ical and Molecular Hepatology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25(1):52–64.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C26AA61" w14:textId="77777777" w:rsidR="004F29C4" w:rsidRPr="00F56B20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13.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F56B2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KIM, N. H., CHO, Y. K., KIM, B. I., KIM, H. J.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Effect of Metabolic Syndrome on the Clinical Outcomes of Chronic Hepatitis B Patients with Nucleos(t)ide Analogues Treatment.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56B20">
        <w:rPr>
          <w:rFonts w:ascii="Times New Roman" w:hAnsi="Times New Roman" w:cs="Times New Roman"/>
          <w:noProof/>
          <w:sz w:val="24"/>
          <w:szCs w:val="24"/>
        </w:rPr>
        <w:t xml:space="preserve">2018. Digestive Diseases and Sciences 63(10):2792–2799. </w:t>
      </w:r>
    </w:p>
    <w:p w14:paraId="32630EE6" w14:textId="77777777" w:rsidR="004F29C4" w:rsidRPr="0053136A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14.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  <w:t>TEIXEIRA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de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>, MAXIMO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de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>, VIEIRA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>, SOUZA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F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>, BATISTA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A1470E">
        <w:rPr>
          <w:rFonts w:ascii="Times New Roman" w:hAnsi="Times New Roman" w:cs="Times New Roman"/>
          <w:noProof/>
          <w:sz w:val="24"/>
          <w:szCs w:val="24"/>
        </w:rPr>
        <w:t>, FONSECA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M.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2021.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Interações medicamentosas em unidades de terapia intensiva do Brasil: Revisão integrativa.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Brazilian Journal of Health Review 4(2):7782–96. </w:t>
      </w:r>
    </w:p>
    <w:p w14:paraId="1D3F6838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15.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Drugs.com.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Retrieved May 8, 2022, from </w:t>
      </w:r>
      <w:r w:rsidRPr="00B44D84">
        <w:rPr>
          <w:rFonts w:ascii="Times New Roman" w:hAnsi="Times New Roman" w:cs="Times New Roman"/>
          <w:noProof/>
          <w:sz w:val="24"/>
          <w:szCs w:val="24"/>
          <w:lang w:val="en-US"/>
        </w:rPr>
        <w:t>https://www.drugs.com/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248DFDF1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BARROSO, W. K. S., RODRIGUES, C. I. S., BORTOLOTTO, L. A., MOTA-GOMES, M. A., BRANDÃO, A. A., FEITOSA, A. D. de M., MACHADO, C. A. et al. 2021.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Diretrizes Diretrizes Brasileiras de Hipertensão Arterial – 2020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Arquivos Brasileiros de Cardiologia 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116(3):516–658. </w:t>
      </w:r>
    </w:p>
    <w:p w14:paraId="7653D8F8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120" w:line="360" w:lineRule="auto"/>
        <w:ind w:left="641" w:hanging="64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17.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SOCIEDADE BRASILEIRA DE DIABETES. 2019. Diretrizes Sociedade Brasielira de Diabetes 2019-2020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Clannad Editora Científica, 489p.</w:t>
      </w:r>
    </w:p>
    <w:p w14:paraId="09B79ACF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FALUDI, A. A., IZAR, M. C. O., SARAIVA, J. F. K., CHACRA, A. P. M., BIANCO, H. T., AFIUNE NETO, A., BERTOLAMI, A., PEREIRA, A. C., LOTTENBERG, A. M., SPOSITO, A. C., CHAGAS, A. C. P., et al. 2017. Atualização da diretriz brasileira de dislipidemias e prevenção da aterosclerose - 2017. Arquivos Brasileiros de Cardiologia 109(2 Supl. 1):1-76.</w:t>
      </w:r>
    </w:p>
    <w:p w14:paraId="63BA9C49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19.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ASSOCIAÇÃO BRASILEIRA PARA O ESTUDO DA OBESIDADE E DA SÍNDROME METABÓLICA. 2016. Diretrizes brasileiras de obesidade 2016.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4ª ed., ABESO, São Paulo, 186p.</w:t>
      </w:r>
    </w:p>
    <w:p w14:paraId="090A995B" w14:textId="77777777" w:rsidR="004F29C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0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>MURPHY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>, VALENTOVIC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2017.</w:t>
      </w:r>
      <w:r w:rsidRPr="000A15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Factors contributing to the antiviral effectiveness of tenofovir. </w:t>
      </w:r>
      <w:r w:rsidRPr="0053136A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J</w:t>
      </w:r>
      <w:r>
        <w:rPr>
          <w:rFonts w:ascii="Times New Roman" w:hAnsi="Times New Roman" w:cs="Times New Roman"/>
          <w:noProof/>
          <w:sz w:val="24"/>
          <w:szCs w:val="24"/>
        </w:rPr>
        <w:t>ournal of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Pharmacol</w:t>
      </w:r>
      <w:r>
        <w:rPr>
          <w:rFonts w:ascii="Times New Roman" w:hAnsi="Times New Roman" w:cs="Times New Roman"/>
          <w:noProof/>
          <w:sz w:val="24"/>
          <w:szCs w:val="24"/>
        </w:rPr>
        <w:t>ogy and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Exp</w:t>
      </w:r>
      <w:r>
        <w:rPr>
          <w:rFonts w:ascii="Times New Roman" w:hAnsi="Times New Roman" w:cs="Times New Roman"/>
          <w:noProof/>
          <w:sz w:val="24"/>
          <w:szCs w:val="24"/>
        </w:rPr>
        <w:t>erimental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Ther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apeutics 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363(2):156–63. </w:t>
      </w:r>
    </w:p>
    <w:p w14:paraId="76A9DCB2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21.  Entricitabina + fumarato de tenofovir desoproxila [bula de medicamento]. Responsável técnico Rodrigo Fonseca da Silva Ramos. Rio de Janeiro - RJ: Fundação Oswaldo Cruz; 2022.</w:t>
      </w:r>
    </w:p>
    <w:p w14:paraId="6D84920C" w14:textId="77777777" w:rsidR="004F29C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22.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1470E">
        <w:rPr>
          <w:rFonts w:ascii="Times New Roman" w:hAnsi="Times New Roman" w:cs="Times New Roman"/>
          <w:noProof/>
          <w:sz w:val="24"/>
          <w:szCs w:val="24"/>
        </w:rPr>
        <w:t>DI PERRI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 G. Tenofovir alafenamide (TAF) clinical pharmacology.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2021. Le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Infez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ioni in Medicina </w:t>
      </w:r>
      <w:r w:rsidRPr="00A1470E">
        <w:rPr>
          <w:rFonts w:ascii="Times New Roman" w:hAnsi="Times New Roman" w:cs="Times New Roman"/>
          <w:noProof/>
          <w:sz w:val="24"/>
          <w:szCs w:val="24"/>
        </w:rPr>
        <w:t>29(4):526–</w:t>
      </w:r>
      <w:r>
        <w:rPr>
          <w:rFonts w:ascii="Times New Roman" w:hAnsi="Times New Roman" w:cs="Times New Roman"/>
          <w:noProof/>
          <w:sz w:val="24"/>
          <w:szCs w:val="24"/>
        </w:rPr>
        <w:t>52</w:t>
      </w:r>
      <w:r w:rsidRPr="00A1470E">
        <w:rPr>
          <w:rFonts w:ascii="Times New Roman" w:hAnsi="Times New Roman" w:cs="Times New Roman"/>
          <w:noProof/>
          <w:sz w:val="24"/>
          <w:szCs w:val="24"/>
        </w:rPr>
        <w:t>9.</w:t>
      </w:r>
    </w:p>
    <w:p w14:paraId="11E3BA18" w14:textId="77777777" w:rsidR="004F29C4" w:rsidRPr="009D0A55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23. </w:t>
      </w:r>
      <w:r w:rsidRPr="00A1470E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9D0A55">
        <w:rPr>
          <w:rFonts w:ascii="Times New Roman" w:hAnsi="Times New Roman" w:cs="Times New Roman"/>
          <w:noProof/>
          <w:sz w:val="24"/>
          <w:szCs w:val="24"/>
        </w:rPr>
        <w:t xml:space="preserve">FILIPPATOS, T. D., DERDEMEZIS, C. S., GAZI, I. F., NAKOU, E. S., MIKHAILIDIS, D. P., ELISAF, M. S. 2008.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Orlistat-associated adverse effects and drug interactions: A critical review. Drug Saf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ety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31(1):53–65.</w:t>
      </w:r>
    </w:p>
    <w:p w14:paraId="6866D533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24.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JUNG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HO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AHN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HAN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KANG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2018.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Synthesis and physicochemical evaluation of entecavir-fatty acid conjugates in reducing food effect on intestinal absorption. Molecules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23(4):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731.</w:t>
      </w:r>
    </w:p>
    <w:p w14:paraId="4C0E055B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25.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VILHOLM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CHRISTENSEN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ZEDAN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ITANI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2014.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Drug-induced peripheral neuropathy. Basic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&amp;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Clin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ical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Pharmacol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ogy &amp;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Toxicol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ogy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115(2):185–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92.</w:t>
      </w:r>
    </w:p>
    <w:p w14:paraId="50F04940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26.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GREEN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HOLTON 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2016.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Drug-induced peripheral neuropathy.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Adverse Drug Reaction Bulletin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300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(1);1159-1162.</w:t>
      </w:r>
    </w:p>
    <w:p w14:paraId="2D370A3F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27.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JONES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URITS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WOLF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CORRIGAN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COLBURN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 PETERSON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WILLIAMSON, A., VISWANATH, O. 2020.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Drug-Induced Peripheral Neuropathy: A Narrative Review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15(1):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38–48.</w:t>
      </w:r>
    </w:p>
    <w:p w14:paraId="3390DF3D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28.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Cashman CR, Höke A. Mechanisms of distal axonal degeneration in peripheral neuropathies. Neurosci Lett [Internet]. 2015;596:33–50. Available from: http://dx.doi.org/10.1016/j.neulet.2015.01.048</w:t>
      </w:r>
    </w:p>
    <w:p w14:paraId="57D10485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29.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Gaist D, Jeppesen U, Andersen M, García Rodríguez LA, Hallas J, Sindrup SH. Statins and risk of polyneuropathy: A case-control study. Neurology. 2002;58(9):1333–7.</w:t>
      </w:r>
    </w:p>
    <w:p w14:paraId="08A74899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30.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Zamami Y, Niimura T, Kawashiri T, Goda M. Biomedicine &amp; Pharmacotherapy Identification of prophylactic drugs for oxaliplatin-induced peripheral neuropathy using big data. Biomed Pharmacother [Internet]. 2022;148:112744. Available from: https://doi.org/10.1016/j.biopha.2022.112744</w:t>
      </w:r>
    </w:p>
    <w:p w14:paraId="1498C6BD" w14:textId="77777777" w:rsidR="004F29C4" w:rsidRPr="00B0525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D0A55">
        <w:rPr>
          <w:rFonts w:ascii="Times New Roman" w:hAnsi="Times New Roman" w:cs="Times New Roman"/>
          <w:noProof/>
          <w:sz w:val="24"/>
          <w:szCs w:val="24"/>
        </w:rPr>
        <w:t xml:space="preserve">31. </w:t>
      </w:r>
      <w:r w:rsidRPr="009D0A55">
        <w:rPr>
          <w:rFonts w:ascii="Times New Roman" w:hAnsi="Times New Roman" w:cs="Times New Roman"/>
          <w:noProof/>
          <w:sz w:val="24"/>
          <w:szCs w:val="24"/>
        </w:rPr>
        <w:tab/>
      </w:r>
      <w:r w:rsidRPr="00A1470E">
        <w:rPr>
          <w:rFonts w:ascii="Times New Roman" w:hAnsi="Times New Roman" w:cs="Times New Roman"/>
          <w:noProof/>
          <w:sz w:val="24"/>
          <w:szCs w:val="24"/>
        </w:rPr>
        <w:t xml:space="preserve">Teixeira G, Sales M, Foresto RD. </w:t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>Drug-induced nephrotoxicity. 2020;66(Suppl 1):82–90.</w:t>
      </w:r>
    </w:p>
    <w:p w14:paraId="440CFA21" w14:textId="77777777" w:rsidR="004F29C4" w:rsidRPr="004F29C4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32. </w:t>
      </w:r>
      <w:r w:rsidRPr="0053136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0525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Ueaphongsukkit T, Gatechompol S, Avihingsanon A, Surintrspanont J, Iampenkhae K, Avihingsanon Y, et al. Tenofovir alafenamide nephrotoxicity: a case report and literature review. AIDS Res Ther [Internet]. </w:t>
      </w:r>
      <w:r w:rsidRPr="004F29C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2021;18(1):1–8. </w:t>
      </w:r>
      <w:r w:rsidRPr="004F29C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Available from: https://doi.org/10.1186/s12981-021-00380-w </w:t>
      </w:r>
    </w:p>
    <w:p w14:paraId="40E4AA0A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A55">
        <w:rPr>
          <w:rFonts w:ascii="Times New Roman" w:hAnsi="Times New Roman" w:cs="Times New Roman"/>
          <w:noProof/>
          <w:sz w:val="24"/>
          <w:szCs w:val="24"/>
        </w:rPr>
        <w:t xml:space="preserve">33. </w:t>
      </w:r>
      <w:r w:rsidRPr="009D0A55">
        <w:rPr>
          <w:rFonts w:ascii="Times New Roman" w:hAnsi="Times New Roman" w:cs="Times New Roman"/>
          <w:noProof/>
          <w:sz w:val="24"/>
          <w:szCs w:val="24"/>
        </w:rPr>
        <w:tab/>
      </w:r>
      <w:r w:rsidRPr="002C7E57">
        <w:rPr>
          <w:rFonts w:ascii="Times New Roman" w:hAnsi="Times New Roman" w:cs="Times New Roman"/>
          <w:noProof/>
          <w:sz w:val="24"/>
          <w:szCs w:val="24"/>
        </w:rPr>
        <w:t>Blanver Farmoquímica e Farmacêutica S.A. (2021). Fumarato de tenofovir desoproxila comprimido Revestido 300 mg. https://www.blanver.com.br/wp-content/uploads/2021/03/1-Bula_Paciente_Tenofovir.pdf</w:t>
      </w:r>
    </w:p>
    <w:p w14:paraId="1F5C2A9C" w14:textId="77777777" w:rsidR="004F29C4" w:rsidRPr="00A1470E" w:rsidRDefault="004F29C4" w:rsidP="004F29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</w:rPr>
      </w:pPr>
    </w:p>
    <w:p w14:paraId="3E13E2BE" w14:textId="2DDB6882" w:rsidR="004F29C4" w:rsidRPr="00D76388" w:rsidRDefault="004F29C4" w:rsidP="004F29C4">
      <w:pPr>
        <w:spacing w:after="0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fldChar w:fldCharType="end"/>
      </w:r>
    </w:p>
    <w:p w14:paraId="3084CB67" w14:textId="77777777" w:rsidR="00E471C1" w:rsidRDefault="00E471C1"/>
    <w:sectPr w:rsidR="00E47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Noto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F3C"/>
    <w:multiLevelType w:val="hybridMultilevel"/>
    <w:tmpl w:val="D976294E"/>
    <w:lvl w:ilvl="0" w:tplc="0AB2A1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49A8"/>
    <w:multiLevelType w:val="hybridMultilevel"/>
    <w:tmpl w:val="DEA62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5BB"/>
    <w:multiLevelType w:val="hybridMultilevel"/>
    <w:tmpl w:val="1F567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5C7"/>
    <w:multiLevelType w:val="hybridMultilevel"/>
    <w:tmpl w:val="252C87AE"/>
    <w:lvl w:ilvl="0" w:tplc="884E94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730DCF"/>
    <w:multiLevelType w:val="multilevel"/>
    <w:tmpl w:val="D63E89BC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num w:numId="1" w16cid:durableId="360324993">
    <w:abstractNumId w:val="4"/>
  </w:num>
  <w:num w:numId="2" w16cid:durableId="569314017">
    <w:abstractNumId w:val="2"/>
  </w:num>
  <w:num w:numId="3" w16cid:durableId="1881823620">
    <w:abstractNumId w:val="1"/>
  </w:num>
  <w:num w:numId="4" w16cid:durableId="629702485">
    <w:abstractNumId w:val="3"/>
  </w:num>
  <w:num w:numId="5" w16cid:durableId="20942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A2"/>
    <w:rsid w:val="00160D4E"/>
    <w:rsid w:val="00203CA2"/>
    <w:rsid w:val="00380C16"/>
    <w:rsid w:val="004F29C4"/>
    <w:rsid w:val="00727E82"/>
    <w:rsid w:val="00CD4854"/>
    <w:rsid w:val="00D136BE"/>
    <w:rsid w:val="00E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404F"/>
  <w15:chartTrackingRefBased/>
  <w15:docId w15:val="{69432539-6BC8-48D1-8074-A84666B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A2"/>
    <w:pPr>
      <w:spacing w:after="200" w:line="276" w:lineRule="auto"/>
    </w:pPr>
    <w:rPr>
      <w:kern w:val="0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4F29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F29C4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4F29C4"/>
    <w:pPr>
      <w:spacing w:after="160" w:line="256" w:lineRule="auto"/>
      <w:ind w:left="720"/>
      <w:contextualSpacing/>
    </w:pPr>
  </w:style>
  <w:style w:type="table" w:customStyle="1" w:styleId="TabeladeGrade1Clara-nfase31">
    <w:name w:val="Tabela de Grade 1 Clara - Ênfase 31"/>
    <w:basedOn w:val="Tabelanormal"/>
    <w:uiPriority w:val="46"/>
    <w:rsid w:val="004F29C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4F2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F29C4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F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F29C4"/>
    <w:rPr>
      <w:rFonts w:ascii="ArialNarrow" w:hAnsi="ArialNarrow" w:hint="default"/>
      <w:b w:val="0"/>
      <w:bCs w:val="0"/>
      <w:i w:val="0"/>
      <w:iCs w:val="0"/>
      <w:color w:val="24202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9C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F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9C4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9C4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Fontepargpadro"/>
    <w:uiPriority w:val="99"/>
    <w:unhideWhenUsed/>
    <w:rsid w:val="004F29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29C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F29C4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F29C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F29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5200</Words>
  <Characters>28085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Barreto</dc:creator>
  <cp:keywords/>
  <dc:description/>
  <cp:lastModifiedBy>Vinicius Barreto</cp:lastModifiedBy>
  <cp:revision>6</cp:revision>
  <dcterms:created xsi:type="dcterms:W3CDTF">2023-06-21T01:10:00Z</dcterms:created>
  <dcterms:modified xsi:type="dcterms:W3CDTF">2023-12-18T14:44:00Z</dcterms:modified>
</cp:coreProperties>
</file>