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4614391" w14:textId="77777777" w:rsidR="00EF742C" w:rsidRDefault="00A47FDE" w:rsidP="00E60FD2">
      <w:pPr>
        <w:spacing w:before="120" w:after="120" w:line="24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PERFIL DOS CLIENTES DA EMPRESA DE FACTORING RG LTDA.</w:t>
      </w:r>
    </w:p>
    <w:p w14:paraId="6269E36C" w14:textId="77777777" w:rsidR="00EF742C" w:rsidRDefault="00EF742C" w:rsidP="00E60FD2">
      <w:pPr>
        <w:spacing w:before="120" w:after="120" w:line="240" w:lineRule="auto"/>
        <w:jc w:val="center"/>
        <w:rPr>
          <w:rFonts w:ascii="Times New Roman" w:eastAsia="Times New Roman" w:hAnsi="Times New Roman" w:cs="Times New Roman"/>
          <w:b/>
          <w:sz w:val="24"/>
          <w:szCs w:val="24"/>
        </w:rPr>
      </w:pPr>
    </w:p>
    <w:p w14:paraId="13468698" w14:textId="77777777" w:rsidR="00EF742C" w:rsidRDefault="00A47FDE" w:rsidP="00E60FD2">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PROFILE OF THE CUSTOMERS OF THE COMPANY OF FACTORING RG LTDA.</w:t>
      </w:r>
    </w:p>
    <w:p w14:paraId="13A63F53" w14:textId="77777777" w:rsidR="00EF742C" w:rsidRDefault="00EF742C">
      <w:pPr>
        <w:spacing w:line="240" w:lineRule="auto"/>
        <w:jc w:val="center"/>
        <w:rPr>
          <w:rFonts w:ascii="Times New Roman" w:eastAsia="Times New Roman" w:hAnsi="Times New Roman" w:cs="Times New Roman"/>
          <w:b/>
          <w:sz w:val="24"/>
          <w:szCs w:val="24"/>
        </w:rPr>
      </w:pPr>
    </w:p>
    <w:p w14:paraId="6BD81F47" w14:textId="77777777" w:rsidR="00EF742C" w:rsidRDefault="00A47FD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Linha de pesquisa: Controladoria, finanças e mercado financeiro.</w:t>
      </w:r>
    </w:p>
    <w:p w14:paraId="5D34D59C" w14:textId="77777777" w:rsidR="00EF742C" w:rsidRDefault="00EF742C">
      <w:pPr>
        <w:spacing w:line="240" w:lineRule="auto"/>
        <w:jc w:val="right"/>
        <w:rPr>
          <w:rFonts w:ascii="Times New Roman" w:eastAsia="Times New Roman" w:hAnsi="Times New Roman" w:cs="Times New Roman"/>
          <w:sz w:val="24"/>
          <w:szCs w:val="24"/>
        </w:rPr>
      </w:pPr>
    </w:p>
    <w:p w14:paraId="4EF3B463" w14:textId="77777777" w:rsidR="00EF742C" w:rsidRPr="005642D7" w:rsidRDefault="00A47FDE" w:rsidP="005642D7">
      <w:pPr>
        <w:pStyle w:val="Ttulo1"/>
        <w:numPr>
          <w:ilvl w:val="0"/>
          <w:numId w:val="0"/>
        </w:numPr>
        <w:spacing w:before="0" w:after="0" w:line="240" w:lineRule="auto"/>
        <w:ind w:left="360"/>
        <w:jc w:val="right"/>
        <w:rPr>
          <w:rFonts w:eastAsia="Times New Roman" w:cs="Times New Roman"/>
          <w:b w:val="0"/>
          <w:szCs w:val="24"/>
        </w:rPr>
      </w:pPr>
      <w:bookmarkStart w:id="1" w:name="_heading=h.gjdgxs" w:colFirst="0" w:colLast="0"/>
      <w:bookmarkEnd w:id="1"/>
      <w:r w:rsidRPr="005642D7">
        <w:rPr>
          <w:rFonts w:eastAsia="Times New Roman" w:cs="Times New Roman"/>
          <w:b w:val="0"/>
          <w:szCs w:val="24"/>
        </w:rPr>
        <w:t>Gustavo Henrique de Castro¹</w:t>
      </w:r>
    </w:p>
    <w:p w14:paraId="765C1753" w14:textId="1D0A9C6D" w:rsidR="00EF742C" w:rsidRDefault="00A47FDE">
      <w:pPr>
        <w:pStyle w:val="Ttulo2"/>
        <w:spacing w:before="0" w:after="0" w:line="240" w:lineRule="auto"/>
        <w:jc w:val="right"/>
        <w:rPr>
          <w:rFonts w:ascii="Times New Roman" w:eastAsia="Times New Roman" w:hAnsi="Times New Roman" w:cs="Times New Roman"/>
          <w:sz w:val="24"/>
          <w:szCs w:val="24"/>
        </w:rPr>
      </w:pPr>
      <w:bookmarkStart w:id="2" w:name="_heading=h.30j0zll" w:colFirst="0" w:colLast="0"/>
      <w:bookmarkEnd w:id="2"/>
      <w:r>
        <w:rPr>
          <w:rFonts w:ascii="Times New Roman" w:eastAsia="Times New Roman" w:hAnsi="Times New Roman" w:cs="Times New Roman"/>
          <w:sz w:val="24"/>
          <w:szCs w:val="24"/>
        </w:rPr>
        <w:t>Ovídio Alberto Rodriguez Laraich²</w:t>
      </w:r>
    </w:p>
    <w:p w14:paraId="4A5EA08D" w14:textId="786E07B6" w:rsidR="00EF742C" w:rsidRDefault="00A47FDE" w:rsidP="00D91E7D">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RESUMO</w:t>
      </w:r>
    </w:p>
    <w:p w14:paraId="2B422807" w14:textId="40FA49C5" w:rsidR="00EF742C" w:rsidRDefault="00A47FD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presente estudo teve como objetivo geral </w:t>
      </w:r>
      <w:r w:rsidR="0057038A" w:rsidRPr="007011C9">
        <w:rPr>
          <w:rFonts w:ascii="Times New Roman" w:eastAsia="Times New Roman" w:hAnsi="Times New Roman" w:cs="Times New Roman"/>
          <w:sz w:val="24"/>
          <w:szCs w:val="24"/>
        </w:rPr>
        <w:t>identificar</w:t>
      </w:r>
      <w:r>
        <w:rPr>
          <w:rFonts w:ascii="Times New Roman" w:eastAsia="Times New Roman" w:hAnsi="Times New Roman" w:cs="Times New Roman"/>
          <w:sz w:val="24"/>
          <w:szCs w:val="24"/>
        </w:rPr>
        <w:t xml:space="preserve"> o perfil das empresas que buscam recursos na </w:t>
      </w:r>
      <w:proofErr w:type="spellStart"/>
      <w:r>
        <w:rPr>
          <w:rFonts w:ascii="Times New Roman" w:eastAsia="Times New Roman" w:hAnsi="Times New Roman" w:cs="Times New Roman"/>
          <w:sz w:val="24"/>
          <w:szCs w:val="24"/>
        </w:rPr>
        <w:t>factoring</w:t>
      </w:r>
      <w:proofErr w:type="spellEnd"/>
      <w:r>
        <w:rPr>
          <w:rFonts w:ascii="Times New Roman" w:eastAsia="Times New Roman" w:hAnsi="Times New Roman" w:cs="Times New Roman"/>
          <w:sz w:val="24"/>
          <w:szCs w:val="24"/>
        </w:rPr>
        <w:t xml:space="preserve"> RG Ltda. Do ponto de vista profissional é apontar a importância do </w:t>
      </w:r>
      <w:proofErr w:type="spellStart"/>
      <w:r>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sz w:val="24"/>
          <w:szCs w:val="24"/>
        </w:rPr>
        <w:t xml:space="preserve"> empresarial para o desenvolvimento socioeconómico das pequenas e médias empresas, que é a base para a promoção do crescimento económico, criação de emprego, geração de rendimentos e melhoria das condições de vida. Nesse sentido, o presente estudo se propõe a contribuir para conhecer a profissionalização das empresas de desenvolvimento de negócios, com o auxílio das empresas de </w:t>
      </w:r>
      <w:proofErr w:type="spellStart"/>
      <w:r>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sz w:val="24"/>
          <w:szCs w:val="24"/>
        </w:rPr>
        <w:t xml:space="preserve">. Com isso, academicamente, este trabalho é útil para estudiosos como fonte de pesquisa, a obter mais conhecimentos sobre a área de </w:t>
      </w:r>
      <w:proofErr w:type="spellStart"/>
      <w:r>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sz w:val="24"/>
          <w:szCs w:val="24"/>
        </w:rPr>
        <w:t xml:space="preserve"> e seus afins. A metodologia aplicada neste trabalho se apoiou em pesquisa bibliográfica, de campo, descritiva, quantitativa e qualitativa. Para o levantamento de dados foi utilizado questionário com questões objetivas e fechadas de múltipla escolha, o qual foi respondido pelas empresas clientes da </w:t>
      </w:r>
      <w:proofErr w:type="spellStart"/>
      <w:r>
        <w:rPr>
          <w:rFonts w:ascii="Times New Roman" w:eastAsia="Times New Roman" w:hAnsi="Times New Roman" w:cs="Times New Roman"/>
          <w:sz w:val="24"/>
          <w:szCs w:val="24"/>
        </w:rPr>
        <w:t>Factoring</w:t>
      </w:r>
      <w:proofErr w:type="spellEnd"/>
      <w:r>
        <w:rPr>
          <w:rFonts w:ascii="Times New Roman" w:eastAsia="Times New Roman" w:hAnsi="Times New Roman" w:cs="Times New Roman"/>
          <w:sz w:val="24"/>
          <w:szCs w:val="24"/>
        </w:rPr>
        <w:t xml:space="preserve"> RG Limitada. Os dados levantados são demonstrados com gráficos e respectivos comentários para facilitar o seu entendimento. A conclusão do trabalho mostra que o </w:t>
      </w:r>
      <w:proofErr w:type="spellStart"/>
      <w:r>
        <w:rPr>
          <w:rFonts w:ascii="Times New Roman" w:eastAsia="Times New Roman" w:hAnsi="Times New Roman" w:cs="Times New Roman"/>
          <w:sz w:val="24"/>
          <w:szCs w:val="24"/>
        </w:rPr>
        <w:t>factoring</w:t>
      </w:r>
      <w:proofErr w:type="spellEnd"/>
      <w:r>
        <w:rPr>
          <w:rFonts w:ascii="Times New Roman" w:eastAsia="Times New Roman" w:hAnsi="Times New Roman" w:cs="Times New Roman"/>
          <w:sz w:val="24"/>
          <w:szCs w:val="24"/>
        </w:rPr>
        <w:t xml:space="preserve"> é uma importante ferramenta para os empresários que buscam capital de giro sem que haja burocracias que empréstimos em banco gera</w:t>
      </w:r>
      <w:r w:rsidR="005642D7">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visto que, muitos encontram-se negativados nos órgãos de proteção de crédito. </w:t>
      </w:r>
    </w:p>
    <w:p w14:paraId="2406501D" w14:textId="1CCB1DA5" w:rsidR="00EF742C" w:rsidRDefault="00A47FD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Palavras-chave:</w:t>
      </w:r>
      <w:r>
        <w:rPr>
          <w:rFonts w:ascii="Times New Roman" w:eastAsia="Times New Roman" w:hAnsi="Times New Roman" w:cs="Times New Roman"/>
          <w:b/>
          <w:sz w:val="24"/>
          <w:szCs w:val="24"/>
        </w:rPr>
        <w:t xml:space="preserve"> </w:t>
      </w:r>
      <w:r w:rsidR="0057038A" w:rsidRPr="007011C9">
        <w:rPr>
          <w:rFonts w:ascii="Times New Roman" w:eastAsia="Times New Roman" w:hAnsi="Times New Roman" w:cs="Times New Roman"/>
          <w:sz w:val="24"/>
          <w:szCs w:val="24"/>
        </w:rPr>
        <w:t>Clientes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sz w:val="24"/>
          <w:szCs w:val="24"/>
        </w:rPr>
        <w:t xml:space="preserve">. Empréstimo.   </w:t>
      </w:r>
    </w:p>
    <w:p w14:paraId="213C2B86" w14:textId="77777777" w:rsidR="00EF742C" w:rsidRDefault="00EF742C">
      <w:pPr>
        <w:spacing w:line="240" w:lineRule="auto"/>
        <w:jc w:val="both"/>
        <w:rPr>
          <w:rFonts w:ascii="Times New Roman" w:eastAsia="Times New Roman" w:hAnsi="Times New Roman" w:cs="Times New Roman"/>
          <w:sz w:val="24"/>
          <w:szCs w:val="24"/>
        </w:rPr>
      </w:pPr>
    </w:p>
    <w:p w14:paraId="1C5E75FE" w14:textId="77777777" w:rsidR="00EF742C" w:rsidRDefault="00A47FDE" w:rsidP="00D91E7D">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6EE16198" w14:textId="77777777" w:rsidR="00EF742C" w:rsidRDefault="00A47FD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present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had</w:t>
      </w:r>
      <w:proofErr w:type="spellEnd"/>
      <w:r>
        <w:rPr>
          <w:rFonts w:ascii="Times New Roman" w:eastAsia="Times New Roman" w:hAnsi="Times New Roman" w:cs="Times New Roman"/>
          <w:sz w:val="24"/>
          <w:szCs w:val="24"/>
        </w:rPr>
        <w:t xml:space="preserve"> a general </w:t>
      </w:r>
      <w:proofErr w:type="spellStart"/>
      <w:r>
        <w:rPr>
          <w:rFonts w:ascii="Times New Roman" w:eastAsia="Times New Roman" w:hAnsi="Times New Roman" w:cs="Times New Roman"/>
          <w:sz w:val="24"/>
          <w:szCs w:val="24"/>
        </w:rPr>
        <w:t>objective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determine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profile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companies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look for </w:t>
      </w:r>
      <w:proofErr w:type="spellStart"/>
      <w:r>
        <w:rPr>
          <w:rFonts w:ascii="Times New Roman" w:eastAsia="Times New Roman" w:hAnsi="Times New Roman" w:cs="Times New Roman"/>
          <w:sz w:val="24"/>
          <w:szCs w:val="24"/>
        </w:rPr>
        <w:t>resources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factoring</w:t>
      </w:r>
      <w:proofErr w:type="spellEnd"/>
      <w:r>
        <w:rPr>
          <w:rFonts w:ascii="Times New Roman" w:eastAsia="Times New Roman" w:hAnsi="Times New Roman" w:cs="Times New Roman"/>
          <w:sz w:val="24"/>
          <w:szCs w:val="24"/>
        </w:rPr>
        <w:t xml:space="preserve"> RG Ltda.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a professional point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view</w:t>
      </w:r>
      <w:proofErr w:type="spellEnd"/>
      <w:r>
        <w:rPr>
          <w:rFonts w:ascii="Times New Roman" w:eastAsia="Times New Roman" w:hAnsi="Times New Roman" w:cs="Times New Roman"/>
          <w:sz w:val="24"/>
          <w:szCs w:val="24"/>
        </w:rPr>
        <w:t xml:space="preserve">, it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point out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importance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business </w:t>
      </w:r>
      <w:proofErr w:type="spellStart"/>
      <w:r>
        <w:rPr>
          <w:rFonts w:ascii="Times New Roman" w:eastAsia="Times New Roman" w:hAnsi="Times New Roman" w:cs="Times New Roman"/>
          <w:sz w:val="24"/>
          <w:szCs w:val="24"/>
        </w:rPr>
        <w:t>factoring</w:t>
      </w:r>
      <w:proofErr w:type="spellEnd"/>
      <w:r>
        <w:rPr>
          <w:rFonts w:ascii="Times New Roman" w:eastAsia="Times New Roman" w:hAnsi="Times New Roman" w:cs="Times New Roman"/>
          <w:sz w:val="24"/>
          <w:szCs w:val="24"/>
        </w:rPr>
        <w:t xml:space="preserve"> for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socio-economic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development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small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medium-sized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companies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which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basis</w:t>
      </w:r>
      <w:proofErr w:type="spellEnd"/>
      <w:r>
        <w:rPr>
          <w:rFonts w:ascii="Times New Roman" w:eastAsia="Times New Roman" w:hAnsi="Times New Roman" w:cs="Times New Roman"/>
          <w:sz w:val="24"/>
          <w:szCs w:val="24"/>
        </w:rPr>
        <w:t xml:space="preserve"> for </w:t>
      </w:r>
      <w:proofErr w:type="spellStart"/>
      <w:r>
        <w:rPr>
          <w:rFonts w:ascii="Times New Roman" w:eastAsia="Times New Roman" w:hAnsi="Times New Roman" w:cs="Times New Roman"/>
          <w:sz w:val="24"/>
          <w:szCs w:val="24"/>
        </w:rPr>
        <w:t>promoting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economic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growth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job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creation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income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generation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improvement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living </w:t>
      </w:r>
      <w:proofErr w:type="spellStart"/>
      <w:r>
        <w:rPr>
          <w:rFonts w:ascii="Times New Roman" w:eastAsia="Times New Roman" w:hAnsi="Times New Roman" w:cs="Times New Roman"/>
          <w:sz w:val="24"/>
          <w:szCs w:val="24"/>
        </w:rPr>
        <w:t>conditions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sense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present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proposes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contribute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knowing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professionalization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business </w:t>
      </w:r>
      <w:proofErr w:type="spellStart"/>
      <w:r>
        <w:rPr>
          <w:rFonts w:ascii="Times New Roman" w:eastAsia="Times New Roman" w:hAnsi="Times New Roman" w:cs="Times New Roman"/>
          <w:sz w:val="24"/>
          <w:szCs w:val="24"/>
        </w:rPr>
        <w:t>development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companies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help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factoring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companies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resulting</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better</w:t>
      </w:r>
      <w:proofErr w:type="spellEnd"/>
      <w:r>
        <w:rPr>
          <w:rFonts w:ascii="Times New Roman" w:eastAsia="Times New Roman" w:hAnsi="Times New Roman" w:cs="Times New Roman"/>
          <w:sz w:val="24"/>
          <w:szCs w:val="24"/>
        </w:rPr>
        <w:t xml:space="preserve"> performances.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academically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useful</w:t>
      </w:r>
      <w:proofErr w:type="spellEnd"/>
      <w:r>
        <w:rPr>
          <w:rFonts w:ascii="Times New Roman" w:eastAsia="Times New Roman" w:hAnsi="Times New Roman" w:cs="Times New Roman"/>
          <w:sz w:val="24"/>
          <w:szCs w:val="24"/>
        </w:rPr>
        <w:t xml:space="preserve"> for scholars as a </w:t>
      </w:r>
      <w:proofErr w:type="spellStart"/>
      <w:r>
        <w:rPr>
          <w:rFonts w:ascii="Times New Roman" w:eastAsia="Times New Roman" w:hAnsi="Times New Roman" w:cs="Times New Roman"/>
          <w:sz w:val="24"/>
          <w:szCs w:val="24"/>
        </w:rPr>
        <w:t>source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obtain</w:t>
      </w:r>
      <w:proofErr w:type="spellEnd"/>
      <w:r>
        <w:rPr>
          <w:rFonts w:ascii="Times New Roman" w:eastAsia="Times New Roman" w:hAnsi="Times New Roman" w:cs="Times New Roman"/>
          <w:sz w:val="24"/>
          <w:szCs w:val="24"/>
        </w:rPr>
        <w:t xml:space="preserve"> more </w:t>
      </w:r>
      <w:proofErr w:type="spellStart"/>
      <w:r>
        <w:rPr>
          <w:rFonts w:ascii="Times New Roman" w:eastAsia="Times New Roman" w:hAnsi="Times New Roman" w:cs="Times New Roman"/>
          <w:sz w:val="24"/>
          <w:szCs w:val="24"/>
        </w:rPr>
        <w:t>knowledge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area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factoring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its </w:t>
      </w:r>
      <w:proofErr w:type="spellStart"/>
      <w:r>
        <w:rPr>
          <w:rFonts w:ascii="Times New Roman" w:eastAsia="Times New Roman" w:hAnsi="Times New Roman" w:cs="Times New Roman"/>
          <w:sz w:val="24"/>
          <w:szCs w:val="24"/>
        </w:rPr>
        <w:t>related</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methodology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applied</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bibliographical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field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descriptive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quantitative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qualitative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For data </w:t>
      </w:r>
      <w:proofErr w:type="spellStart"/>
      <w:r>
        <w:rPr>
          <w:rFonts w:ascii="Times New Roman" w:eastAsia="Times New Roman" w:hAnsi="Times New Roman" w:cs="Times New Roman"/>
          <w:sz w:val="24"/>
          <w:szCs w:val="24"/>
        </w:rPr>
        <w:t>collection</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questionnaire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objective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closed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multiple-choice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questions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which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answered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companies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Factoring</w:t>
      </w:r>
      <w:proofErr w:type="spellEnd"/>
      <w:r>
        <w:rPr>
          <w:rFonts w:ascii="Times New Roman" w:eastAsia="Times New Roman" w:hAnsi="Times New Roman" w:cs="Times New Roman"/>
          <w:sz w:val="24"/>
          <w:szCs w:val="24"/>
        </w:rPr>
        <w:t xml:space="preserve"> RG Limitada. The </w:t>
      </w:r>
      <w:proofErr w:type="spellStart"/>
      <w:r>
        <w:rPr>
          <w:rFonts w:ascii="Times New Roman" w:eastAsia="Times New Roman" w:hAnsi="Times New Roman" w:cs="Times New Roman"/>
          <w:sz w:val="24"/>
          <w:szCs w:val="24"/>
        </w:rPr>
        <w:t>collected</w:t>
      </w:r>
      <w:proofErr w:type="spellEnd"/>
      <w:r>
        <w:rPr>
          <w:rFonts w:ascii="Times New Roman" w:eastAsia="Times New Roman" w:hAnsi="Times New Roman" w:cs="Times New Roman"/>
          <w:sz w:val="24"/>
          <w:szCs w:val="24"/>
        </w:rPr>
        <w:t xml:space="preserve"> data are </w:t>
      </w:r>
      <w:proofErr w:type="spellStart"/>
      <w:r>
        <w:rPr>
          <w:rFonts w:ascii="Times New Roman" w:eastAsia="Times New Roman" w:hAnsi="Times New Roman" w:cs="Times New Roman"/>
          <w:sz w:val="24"/>
          <w:szCs w:val="24"/>
        </w:rPr>
        <w:t>shown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graphs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respective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comments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facilitate</w:t>
      </w:r>
      <w:proofErr w:type="spellEnd"/>
      <w:r>
        <w:rPr>
          <w:rFonts w:ascii="Times New Roman" w:eastAsia="Times New Roman" w:hAnsi="Times New Roman" w:cs="Times New Roman"/>
          <w:sz w:val="24"/>
          <w:szCs w:val="24"/>
        </w:rPr>
        <w:t xml:space="preserve"> its </w:t>
      </w:r>
      <w:proofErr w:type="spellStart"/>
      <w:r>
        <w:rPr>
          <w:rFonts w:ascii="Times New Roman" w:eastAsia="Times New Roman" w:hAnsi="Times New Roman" w:cs="Times New Roman"/>
          <w:sz w:val="24"/>
          <w:szCs w:val="24"/>
        </w:rPr>
        <w:t>understanding</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conclusion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work</w:t>
      </w:r>
      <w:proofErr w:type="spellEnd"/>
      <w:r>
        <w:rPr>
          <w:rFonts w:ascii="Times New Roman" w:eastAsia="Times New Roman" w:hAnsi="Times New Roman" w:cs="Times New Roman"/>
          <w:sz w:val="24"/>
          <w:szCs w:val="24"/>
        </w:rPr>
        <w:t xml:space="preserve"> shows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factoring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important</w:t>
      </w:r>
      <w:proofErr w:type="spellEnd"/>
      <w:r>
        <w:rPr>
          <w:rFonts w:ascii="Times New Roman" w:eastAsia="Times New Roman" w:hAnsi="Times New Roman" w:cs="Times New Roman"/>
          <w:sz w:val="24"/>
          <w:szCs w:val="24"/>
        </w:rPr>
        <w:t xml:space="preserve"> tool for </w:t>
      </w:r>
      <w:proofErr w:type="spellStart"/>
      <w:r>
        <w:rPr>
          <w:rFonts w:ascii="Times New Roman" w:eastAsia="Times New Roman" w:hAnsi="Times New Roman" w:cs="Times New Roman"/>
          <w:sz w:val="24"/>
          <w:szCs w:val="24"/>
        </w:rPr>
        <w:t>entrepreneurs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seek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working</w:t>
      </w:r>
      <w:proofErr w:type="spellEnd"/>
      <w:r>
        <w:rPr>
          <w:rFonts w:ascii="Times New Roman" w:eastAsia="Times New Roman" w:hAnsi="Times New Roman" w:cs="Times New Roman"/>
          <w:sz w:val="24"/>
          <w:szCs w:val="24"/>
        </w:rPr>
        <w:t xml:space="preserve"> capital </w:t>
      </w:r>
      <w:proofErr w:type="spellStart"/>
      <w:r>
        <w:rPr>
          <w:rFonts w:ascii="Times New Roman" w:eastAsia="Times New Roman" w:hAnsi="Times New Roman" w:cs="Times New Roman"/>
          <w:sz w:val="24"/>
          <w:szCs w:val="24"/>
        </w:rPr>
        <w:t>without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bureaucracy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loans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generate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many</w:t>
      </w:r>
      <w:proofErr w:type="spellEnd"/>
      <w:r>
        <w:rPr>
          <w:rFonts w:ascii="Times New Roman" w:eastAsia="Times New Roman" w:hAnsi="Times New Roman" w:cs="Times New Roman"/>
          <w:sz w:val="24"/>
          <w:szCs w:val="24"/>
        </w:rPr>
        <w:t xml:space="preserve"> are negative in </w:t>
      </w:r>
      <w:proofErr w:type="spellStart"/>
      <w:r>
        <w:rPr>
          <w:rFonts w:ascii="Times New Roman" w:eastAsia="Times New Roman" w:hAnsi="Times New Roman" w:cs="Times New Roman"/>
          <w:sz w:val="24"/>
          <w:szCs w:val="24"/>
        </w:rPr>
        <w:t>credit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protection</w:t>
      </w:r>
      <w:proofErr w:type="spellEnd"/>
      <w:r>
        <w:rPr>
          <w:rFonts w:ascii="Times New Roman" w:eastAsia="Times New Roman" w:hAnsi="Times New Roman" w:cs="Times New Roman"/>
          <w:sz w:val="24"/>
          <w:szCs w:val="24"/>
        </w:rPr>
        <w:t xml:space="preserve"> agencies.</w:t>
      </w:r>
    </w:p>
    <w:p w14:paraId="5769F9A1" w14:textId="77777777" w:rsidR="00EF742C" w:rsidRDefault="00A47FDE">
      <w:pPr>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Keywords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Wholesaler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Factoring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Loan</w:t>
      </w:r>
      <w:proofErr w:type="spellEnd"/>
      <w:r>
        <w:rPr>
          <w:rFonts w:ascii="Times New Roman" w:eastAsia="Times New Roman" w:hAnsi="Times New Roman" w:cs="Times New Roman"/>
          <w:sz w:val="24"/>
          <w:szCs w:val="24"/>
        </w:rPr>
        <w:t>.</w:t>
      </w:r>
    </w:p>
    <w:p w14:paraId="179A879B" w14:textId="77777777" w:rsidR="00EF742C" w:rsidRDefault="00EF742C">
      <w:pPr>
        <w:spacing w:line="240" w:lineRule="auto"/>
        <w:jc w:val="both"/>
        <w:rPr>
          <w:rFonts w:ascii="Times New Roman" w:eastAsia="Times New Roman" w:hAnsi="Times New Roman" w:cs="Times New Roman"/>
          <w:sz w:val="24"/>
          <w:szCs w:val="24"/>
        </w:rPr>
      </w:pPr>
    </w:p>
    <w:p w14:paraId="1E51114A" w14:textId="77777777" w:rsidR="00EF742C" w:rsidRDefault="00EF742C">
      <w:pPr>
        <w:spacing w:line="240" w:lineRule="auto"/>
        <w:jc w:val="both"/>
        <w:rPr>
          <w:rFonts w:ascii="Times New Roman" w:eastAsia="Times New Roman" w:hAnsi="Times New Roman" w:cs="Times New Roman"/>
          <w:sz w:val="24"/>
          <w:szCs w:val="24"/>
        </w:rPr>
      </w:pPr>
    </w:p>
    <w:p w14:paraId="2710FE67" w14:textId="77777777" w:rsidR="00EF742C" w:rsidRDefault="00EF742C">
      <w:pPr>
        <w:spacing w:line="240" w:lineRule="auto"/>
        <w:jc w:val="both"/>
        <w:rPr>
          <w:rFonts w:ascii="Times New Roman" w:eastAsia="Times New Roman" w:hAnsi="Times New Roman" w:cs="Times New Roman"/>
          <w:sz w:val="24"/>
          <w:szCs w:val="24"/>
        </w:rPr>
      </w:pPr>
    </w:p>
    <w:p w14:paraId="51FC89F0" w14:textId="44437F97" w:rsidR="00EF742C" w:rsidRDefault="00EC640B" w:rsidP="00D91E7D">
      <w:pPr>
        <w:pStyle w:val="Ttulo1"/>
        <w:numPr>
          <w:ilvl w:val="0"/>
          <w:numId w:val="4"/>
        </w:numPr>
        <w:spacing w:before="120" w:line="240" w:lineRule="auto"/>
        <w:ind w:left="357" w:hanging="357"/>
      </w:pPr>
      <w:r>
        <w:t xml:space="preserve">   </w:t>
      </w:r>
      <w:r w:rsidR="00A47FDE">
        <w:t xml:space="preserve">INTRODUÇÃO </w:t>
      </w:r>
    </w:p>
    <w:p w14:paraId="604491D4" w14:textId="77777777" w:rsidR="00EF742C" w:rsidRDefault="00EF742C">
      <w:pPr>
        <w:spacing w:line="240" w:lineRule="auto"/>
        <w:rPr>
          <w:rFonts w:ascii="Times New Roman" w:eastAsia="Times New Roman" w:hAnsi="Times New Roman" w:cs="Times New Roman"/>
          <w:b/>
          <w:sz w:val="24"/>
          <w:szCs w:val="24"/>
        </w:rPr>
      </w:pPr>
    </w:p>
    <w:p w14:paraId="419B6375" w14:textId="2F6495C2"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pesquisa foi realizada com empresas atacadistas na Região da 44 em Goiânia, no Setor Norte Ferroviário, investigando o seu relacionamento com a empresa de </w:t>
      </w:r>
      <w:proofErr w:type="spellStart"/>
      <w:r>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sz w:val="24"/>
          <w:szCs w:val="24"/>
        </w:rPr>
        <w:t xml:space="preserve"> RG Ltda. Essa região se caracteriza pela concentração de muitas empresas de pequeno e médio porte dedicadas ao comércio de produtos da indústria da confecção. O volume de negócios é bastante significativo porque é conhecido na cidade como uma região com grande concorrência, concentrando pequenos negócios que praticam preços competitivos, vendendo no atacado e no varejo. A região não é somente visitada pelos moradores de Goiânia, mas também é muito frequentada por pessoas de outros municípios do Estado de Goiás e, inclusive, por </w:t>
      </w:r>
      <w:r w:rsidR="0057038A" w:rsidRPr="007011C9">
        <w:rPr>
          <w:rFonts w:ascii="Times New Roman" w:eastAsia="Times New Roman" w:hAnsi="Times New Roman" w:cs="Times New Roman"/>
          <w:sz w:val="24"/>
          <w:szCs w:val="24"/>
        </w:rPr>
        <w:t>comboio</w:t>
      </w:r>
      <w:r w:rsidR="0057038A">
        <w:rPr>
          <w:rFonts w:ascii="Times New Roman" w:eastAsia="Times New Roman" w:hAnsi="Times New Roman" w:cs="Times New Roman"/>
          <w:sz w:val="24"/>
          <w:szCs w:val="24"/>
        </w:rPr>
        <w:t xml:space="preserve"> de</w:t>
      </w:r>
      <w:r>
        <w:rPr>
          <w:rFonts w:ascii="Times New Roman" w:eastAsia="Times New Roman" w:hAnsi="Times New Roman" w:cs="Times New Roman"/>
          <w:sz w:val="24"/>
          <w:szCs w:val="24"/>
        </w:rPr>
        <w:t xml:space="preserve"> ônibus que nas vésperas dos finais de semana frequentam o local. A região já ganhou fama nacionalmente, atraindo moradores de outros Estados que vem exclusivamente para comprar e revender nas suas respectivas cidades.</w:t>
      </w:r>
    </w:p>
    <w:p w14:paraId="0143597F" w14:textId="77777777"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parte da gestão financeira, as empresas fazem a programação do fluxo de caixa, fazendo previsões sobre receita e despesa. As previsões nem sempre se confirmam e, às vezes, a entrada de recursos é menor do que o necessário, gerando demanda por recursos financeiros. </w:t>
      </w:r>
    </w:p>
    <w:p w14:paraId="0FCD1663" w14:textId="77777777"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Diante da necessidade e dificuldade de acesso a recursos financeiros, as pequenas e médias empresas do setor atacadista, em geral, não possuem os recursos necessários para conduzir seus negócios e têm dificuldades para conseguir empréstimos. Para esses empresários, </w:t>
      </w:r>
      <w:r w:rsidR="0041250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desempenha um papel importante como agente de financiamento para o desenvolvimento dessas organizações.</w:t>
      </w:r>
    </w:p>
    <w:p w14:paraId="49E07EC0" w14:textId="46E4D53A"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Dada a dificuldade de acesso ao crédito por parte de algumas instituições financeiras e a </w:t>
      </w:r>
      <w:r w:rsidR="0057038A" w:rsidRPr="007011C9">
        <w:rPr>
          <w:rFonts w:ascii="Times New Roman" w:eastAsia="Times New Roman" w:hAnsi="Times New Roman" w:cs="Times New Roman"/>
          <w:sz w:val="24"/>
          <w:szCs w:val="24"/>
        </w:rPr>
        <w:t>adversidade</w:t>
      </w:r>
      <w:r w:rsidRPr="007011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entre as partes, esta pesquisa foca o fomento mercantil de empresas conhecidas como </w:t>
      </w:r>
      <w:proofErr w:type="spellStart"/>
      <w:r>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sz w:val="24"/>
          <w:szCs w:val="24"/>
        </w:rPr>
        <w:t>, que podem ser uma alternativa com potencial para atender as necessidades das empresas, principalmente pequenas e médias empresas e corporações. </w:t>
      </w:r>
    </w:p>
    <w:p w14:paraId="446B663A" w14:textId="77777777"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fechamento prematuro é um dos problemas que micro e pequenas empresas enfrentam, independentemente do ramo de atuação. Entre as principais causas do insucesso de empresas estão a falta de capital de giro, problemas financeiros e falta de conhecimento de gestão. A dificuldade de acesso a recursos financeiros ainda é um dos principais problemas para a formação, desenvolvimento e existência de pequenas e médias empresas. </w:t>
      </w:r>
    </w:p>
    <w:p w14:paraId="673D9263" w14:textId="77777777"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Nesse cenário, as empresas de fomento mercantil têm assumido um papel muito importante no mercado brasileiro. Por meio da compra de títulos, essas empresas são responsáveis por financiar o capital de giro de muitas empresas, além de auxiliar os clientes na gestão de seus recursos financeiros.</w:t>
      </w:r>
    </w:p>
    <w:p w14:paraId="4025DF91" w14:textId="6C43103E"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presente estudo tem como objetivo geral </w:t>
      </w:r>
      <w:r w:rsidR="0057038A" w:rsidRPr="007011C9">
        <w:rPr>
          <w:rFonts w:ascii="Times New Roman" w:eastAsia="Times New Roman" w:hAnsi="Times New Roman" w:cs="Times New Roman"/>
          <w:sz w:val="24"/>
          <w:szCs w:val="24"/>
        </w:rPr>
        <w:t>identifica</w:t>
      </w:r>
      <w:r w:rsidR="0057038A" w:rsidRPr="0057038A">
        <w:rPr>
          <w:rFonts w:ascii="Times New Roman" w:eastAsia="Times New Roman" w:hAnsi="Times New Roman" w:cs="Times New Roman"/>
          <w:color w:val="00B050"/>
          <w:sz w:val="24"/>
          <w:szCs w:val="24"/>
        </w:rPr>
        <w:t>r</w:t>
      </w:r>
      <w:r>
        <w:rPr>
          <w:rFonts w:ascii="Times New Roman" w:eastAsia="Times New Roman" w:hAnsi="Times New Roman" w:cs="Times New Roman"/>
          <w:sz w:val="24"/>
          <w:szCs w:val="24"/>
        </w:rPr>
        <w:t xml:space="preserve"> o perfil das empresas que buscam recursos na empresa de </w:t>
      </w:r>
      <w:proofErr w:type="spellStart"/>
      <w:r>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sz w:val="24"/>
          <w:szCs w:val="24"/>
        </w:rPr>
        <w:t xml:space="preserve"> RG Ltda. e como objetivos específicos: aprofundar o conhecimento sobre o ramo de </w:t>
      </w:r>
      <w:proofErr w:type="spellStart"/>
      <w:r>
        <w:rPr>
          <w:rFonts w:ascii="Times New Roman" w:eastAsia="Times New Roman" w:hAnsi="Times New Roman" w:cs="Times New Roman"/>
          <w:sz w:val="24"/>
          <w:szCs w:val="24"/>
        </w:rPr>
        <w:t>factoring</w:t>
      </w:r>
      <w:proofErr w:type="spellEnd"/>
      <w:r>
        <w:rPr>
          <w:rFonts w:ascii="Times New Roman" w:eastAsia="Times New Roman" w:hAnsi="Times New Roman" w:cs="Times New Roman"/>
          <w:sz w:val="24"/>
          <w:szCs w:val="24"/>
        </w:rPr>
        <w:t xml:space="preserve">; caracterizar a forma de atuação dessas empresas e seu relacionamento com os clientes; destacar, dentro da atividade de </w:t>
      </w:r>
      <w:proofErr w:type="spellStart"/>
      <w:r>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sz w:val="24"/>
          <w:szCs w:val="24"/>
        </w:rPr>
        <w:t xml:space="preserve">, o ramo de atividade da empresa estudada; investigar a atuação das empresas-clientes, destacando seu ramo de atividade; investigar os motivos que levam as empresas a procurar os serviços de </w:t>
      </w:r>
      <w:proofErr w:type="spellStart"/>
      <w:r>
        <w:rPr>
          <w:rFonts w:ascii="Times New Roman" w:eastAsia="Times New Roman" w:hAnsi="Times New Roman" w:cs="Times New Roman"/>
          <w:sz w:val="24"/>
          <w:szCs w:val="24"/>
        </w:rPr>
        <w:t>factoring</w:t>
      </w:r>
      <w:proofErr w:type="spellEnd"/>
      <w:r>
        <w:rPr>
          <w:rFonts w:ascii="Times New Roman" w:eastAsia="Times New Roman" w:hAnsi="Times New Roman" w:cs="Times New Roman"/>
          <w:sz w:val="24"/>
          <w:szCs w:val="24"/>
        </w:rPr>
        <w:t xml:space="preserve">; e, por fim,  levantar as características dos negócios que se constituem em clientes da empresa de </w:t>
      </w:r>
      <w:proofErr w:type="spellStart"/>
      <w:r w:rsidRPr="00577B33">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sz w:val="24"/>
          <w:szCs w:val="24"/>
        </w:rPr>
        <w:t xml:space="preserve"> estudada.</w:t>
      </w:r>
    </w:p>
    <w:p w14:paraId="07FEA455" w14:textId="77777777"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O presente estudo se justifica do ponto de vista profissional, por destacar a importância d</w:t>
      </w:r>
      <w:r w:rsidR="0041250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sz w:val="24"/>
          <w:szCs w:val="24"/>
        </w:rPr>
        <w:t xml:space="preserve"> empresarial para o desenvolvimento socioeconómico das pequenas e médias empresas, que é a base para a promoção do crescimento económico, criação de emprego, geração de rendimentos e melhoria das condições de vida da maior parte da população brasileira. Também contribui para conhecer como as empresas de </w:t>
      </w:r>
      <w:proofErr w:type="spellStart"/>
      <w:r>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sz w:val="24"/>
          <w:szCs w:val="24"/>
        </w:rPr>
        <w:t xml:space="preserve"> prestam valioso apoio para a profissionalização das empresas que atuam no comércio, atuando como alternativa de fonte de financiamento para alavancar seus negócios. Academicamente, este trabalho é útil para estudiosos como fonte de pesquisa para obter mais conhecimento sobre a área de </w:t>
      </w:r>
      <w:proofErr w:type="spellStart"/>
      <w:r>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sz w:val="24"/>
          <w:szCs w:val="24"/>
        </w:rPr>
        <w:t>, dentro do ramo da administração financeira.</w:t>
      </w:r>
    </w:p>
    <w:p w14:paraId="4EF2FE82" w14:textId="77777777"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pergunta a ser respondida pela pesquisa é: Qual é o perfil dos clientes da empresa de </w:t>
      </w:r>
      <w:proofErr w:type="spellStart"/>
      <w:r>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sz w:val="24"/>
          <w:szCs w:val="24"/>
        </w:rPr>
        <w:t xml:space="preserve"> RG Ltda.?</w:t>
      </w:r>
    </w:p>
    <w:p w14:paraId="5B1AB2D1" w14:textId="77777777" w:rsidR="00EF742C" w:rsidRDefault="00EF742C">
      <w:pPr>
        <w:spacing w:line="240" w:lineRule="auto"/>
        <w:ind w:firstLine="566"/>
        <w:jc w:val="both"/>
        <w:rPr>
          <w:rFonts w:ascii="Times New Roman" w:eastAsia="Times New Roman" w:hAnsi="Times New Roman" w:cs="Times New Roman"/>
          <w:sz w:val="24"/>
          <w:szCs w:val="24"/>
        </w:rPr>
      </w:pPr>
      <w:bookmarkStart w:id="3" w:name="_heading=h.o0hi9kn9rgkt" w:colFirst="0" w:colLast="0"/>
      <w:bookmarkEnd w:id="3"/>
    </w:p>
    <w:p w14:paraId="1613F991" w14:textId="23FBC9F6" w:rsidR="00EF742C" w:rsidRPr="00BE12AB" w:rsidRDefault="00D14250" w:rsidP="00D91E7D">
      <w:pPr>
        <w:pStyle w:val="Ttulo1"/>
        <w:spacing w:before="120" w:after="100" w:afterAutospacing="1" w:line="240" w:lineRule="auto"/>
        <w:ind w:left="357" w:hanging="357"/>
      </w:pPr>
      <w:r>
        <w:t xml:space="preserve">  </w:t>
      </w:r>
      <w:r w:rsidR="00EC640B">
        <w:t xml:space="preserve">  </w:t>
      </w:r>
      <w:r w:rsidR="00A47FDE">
        <w:t>FUNDAMENTAÇÃO TEÓRICA</w:t>
      </w:r>
    </w:p>
    <w:p w14:paraId="1759DB36" w14:textId="77777777"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difícil localizar a origem do sistema de </w:t>
      </w:r>
      <w:proofErr w:type="spellStart"/>
      <w:r>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visto que, mesmo antes do surgimento da escrita, o comércio já era exercido pelo homem que praticava o escambo, ou seja, trocas de mercadorias.  </w:t>
      </w:r>
    </w:p>
    <w:p w14:paraId="6D3B6E8C" w14:textId="77777777" w:rsidR="00EF742C" w:rsidRDefault="00EF742C">
      <w:pPr>
        <w:spacing w:line="240" w:lineRule="auto"/>
        <w:ind w:left="2265"/>
        <w:jc w:val="both"/>
        <w:rPr>
          <w:rFonts w:ascii="Times New Roman" w:eastAsia="Times New Roman" w:hAnsi="Times New Roman" w:cs="Times New Roman"/>
          <w:sz w:val="20"/>
          <w:szCs w:val="20"/>
        </w:rPr>
      </w:pPr>
    </w:p>
    <w:p w14:paraId="1C0CD916" w14:textId="77777777" w:rsidR="00EF742C" w:rsidRDefault="00A47FDE">
      <w:pPr>
        <w:spacing w:line="240" w:lineRule="auto"/>
        <w:ind w:left="226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maneira de obter e transferir recursos a terceiros foi assim utilizada nos primórdios da civilização por caldeus, babilônicos, fenícios, gregos e romanos que na maioria exerciam o comércio no Oriente Médio e no Mediterrâneo O riscos inerentes a atividade comercial levaram os fenícios, que dominaram o comércio do Mediterrâneo por de volta de 1.200 a .c. , a criar suas </w:t>
      </w:r>
      <w:proofErr w:type="spellStart"/>
      <w:r>
        <w:rPr>
          <w:rFonts w:ascii="Times New Roman" w:eastAsia="Times New Roman" w:hAnsi="Times New Roman" w:cs="Times New Roman"/>
          <w:sz w:val="20"/>
          <w:szCs w:val="20"/>
        </w:rPr>
        <w:t>factorias</w:t>
      </w:r>
      <w:proofErr w:type="spellEnd"/>
      <w:r>
        <w:rPr>
          <w:rFonts w:ascii="Times New Roman" w:eastAsia="Times New Roman" w:hAnsi="Times New Roman" w:cs="Times New Roman"/>
          <w:sz w:val="20"/>
          <w:szCs w:val="20"/>
        </w:rPr>
        <w:t xml:space="preserve"> movidas pela necessidade de reduzir prejuízos decorrentes dessa atividade bem como, expandir as suas relações comerciais. Roma, um dos maiores impérios da História, organizou sua economia explorando as possibilidades comerciais das regiões conquistadas. Estabeleceu a figura do "</w:t>
      </w:r>
      <w:proofErr w:type="spellStart"/>
      <w:r>
        <w:rPr>
          <w:rFonts w:ascii="Times New Roman" w:eastAsia="Times New Roman" w:hAnsi="Times New Roman" w:cs="Times New Roman"/>
          <w:sz w:val="20"/>
          <w:szCs w:val="20"/>
        </w:rPr>
        <w:t>factor</w:t>
      </w:r>
      <w:proofErr w:type="spellEnd"/>
      <w:r>
        <w:rPr>
          <w:rFonts w:ascii="Times New Roman" w:eastAsia="Times New Roman" w:hAnsi="Times New Roman" w:cs="Times New Roman"/>
          <w:sz w:val="20"/>
          <w:szCs w:val="20"/>
        </w:rPr>
        <w:t>", em diversos pontos estratégicos do seu vasto território. O "</w:t>
      </w:r>
      <w:proofErr w:type="spellStart"/>
      <w:r>
        <w:rPr>
          <w:rFonts w:ascii="Times New Roman" w:eastAsia="Times New Roman" w:hAnsi="Times New Roman" w:cs="Times New Roman"/>
          <w:sz w:val="20"/>
          <w:szCs w:val="20"/>
        </w:rPr>
        <w:t>factor</w:t>
      </w:r>
      <w:proofErr w:type="spellEnd"/>
      <w:r>
        <w:rPr>
          <w:rFonts w:ascii="Times New Roman" w:eastAsia="Times New Roman" w:hAnsi="Times New Roman" w:cs="Times New Roman"/>
          <w:sz w:val="20"/>
          <w:szCs w:val="20"/>
        </w:rPr>
        <w:t>" em geral um próspero comerciante local, era um autêntico condutor de negócios. Tinha entre outras incumbências prestar informações creditícias, armazenar mercadorias de outras praças e fazer cobranças, recebendo por estas atividades como pagamento uma remuneração (CARACAS, 1999, p. 9). </w:t>
      </w:r>
    </w:p>
    <w:p w14:paraId="33F0EDF2" w14:textId="77777777" w:rsidR="00EF742C" w:rsidRDefault="00A47FDE">
      <w:pPr>
        <w:spacing w:line="240" w:lineRule="auto"/>
        <w:ind w:firstLine="16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3CE5254C" w14:textId="77777777"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Já, no Brasil, há registros da chegada deste sistema por volta de 1982 juntamente com a criação da ANFAC –Associação Nacional de </w:t>
      </w:r>
      <w:proofErr w:type="spellStart"/>
      <w:r>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(CARACAS, 1999).  </w:t>
      </w:r>
    </w:p>
    <w:p w14:paraId="3DD499EB" w14:textId="77777777"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Além disto, </w:t>
      </w:r>
      <w:r w:rsidR="0041250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tem previsão normativa, na Lei de Tributação Federal, na qual ainda </w:t>
      </w:r>
      <w:proofErr w:type="gramStart"/>
      <w:r>
        <w:rPr>
          <w:rFonts w:ascii="Times New Roman" w:eastAsia="Times New Roman" w:hAnsi="Times New Roman" w:cs="Times New Roman"/>
          <w:sz w:val="24"/>
          <w:szCs w:val="24"/>
        </w:rPr>
        <w:t>o  art.</w:t>
      </w:r>
      <w:proofErr w:type="gramEnd"/>
      <w:r>
        <w:rPr>
          <w:rFonts w:ascii="Times New Roman" w:eastAsia="Times New Roman" w:hAnsi="Times New Roman" w:cs="Times New Roman"/>
          <w:sz w:val="24"/>
          <w:szCs w:val="24"/>
        </w:rPr>
        <w:t xml:space="preserve"> 14, inciso VI, da Lei 9718/98 conceitua </w:t>
      </w:r>
      <w:proofErr w:type="spellStart"/>
      <w:r>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como: </w:t>
      </w:r>
    </w:p>
    <w:p w14:paraId="2021A6E3" w14:textId="77777777" w:rsidR="00EF742C" w:rsidRDefault="00EF742C">
      <w:pPr>
        <w:spacing w:line="240" w:lineRule="auto"/>
        <w:ind w:left="2265"/>
        <w:jc w:val="both"/>
        <w:rPr>
          <w:rFonts w:ascii="Times New Roman" w:eastAsia="Times New Roman" w:hAnsi="Times New Roman" w:cs="Times New Roman"/>
          <w:sz w:val="20"/>
          <w:szCs w:val="20"/>
        </w:rPr>
      </w:pPr>
    </w:p>
    <w:p w14:paraId="460C1620" w14:textId="77777777" w:rsidR="00EF742C" w:rsidRDefault="00A47FDE">
      <w:pPr>
        <w:spacing w:line="240" w:lineRule="auto"/>
        <w:ind w:left="226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 - que explorem as atividades de prestação cumulativa e contínua de serviços de assessoria creditícia, mercadológica, gestão de crédito, seleção e riscos, administração de contas a pagar e a receber, compras de direitos creditórios resultantes de vendas mercantis a prazo ou de prestação de serviços (</w:t>
      </w:r>
      <w:proofErr w:type="spellStart"/>
      <w:r>
        <w:rPr>
          <w:rFonts w:ascii="Times New Roman" w:eastAsia="Times New Roman" w:hAnsi="Times New Roman" w:cs="Times New Roman"/>
          <w:sz w:val="20"/>
          <w:szCs w:val="20"/>
        </w:rPr>
        <w:t>factoring</w:t>
      </w:r>
      <w:proofErr w:type="spellEnd"/>
      <w:r>
        <w:rPr>
          <w:rFonts w:ascii="Times New Roman" w:eastAsia="Times New Roman" w:hAnsi="Times New Roman" w:cs="Times New Roman"/>
          <w:sz w:val="20"/>
          <w:szCs w:val="20"/>
        </w:rPr>
        <w:t>) (BRASIL, 1998). </w:t>
      </w:r>
    </w:p>
    <w:p w14:paraId="58B9A449" w14:textId="77777777" w:rsidR="00EF742C" w:rsidRDefault="00A47FDE">
      <w:pPr>
        <w:spacing w:line="240" w:lineRule="auto"/>
        <w:ind w:left="22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4E07C7A" w14:textId="77777777"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 seja, pode-se afirmar que </w:t>
      </w:r>
      <w:r w:rsidR="0041250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é o nome moderno para negócios ou desenvolvimento comercial. Basicamente, trata-se de um negócio financeiro prestado por estabelecimentos comerciais que obtêm direitos creditórios (via cheques ou duplicatas) e pagam à vista as taxas de vendas e juros parcelados.  </w:t>
      </w:r>
    </w:p>
    <w:p w14:paraId="13144D1C" w14:textId="77777777"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 efetuar as vendas, as empresas emitem cheques, geralmente para pagamento a prazo. A necessidade de obter, antecipadamente, os respectivos créditos, induzem as empresas a celebrarem o contrato de </w:t>
      </w:r>
      <w:proofErr w:type="spellStart"/>
      <w:r>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sz w:val="24"/>
          <w:szCs w:val="24"/>
        </w:rPr>
        <w:t>, transferindo os títulos para empresa especializada, que lhes paga adiantadamente o valor correspondente ao quantitativo dos cheques ou de outros documentos, descontando o importe de sua comissão (NADER, 2019). </w:t>
      </w:r>
    </w:p>
    <w:p w14:paraId="0CDED729" w14:textId="77777777"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Mas, para que haja esse sistema nas empresas, as mesmas devem observar as regras e critérios para caracterização do negócio de </w:t>
      </w:r>
      <w:proofErr w:type="spellStart"/>
      <w:r>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sz w:val="24"/>
          <w:szCs w:val="24"/>
        </w:rPr>
        <w:t>. O Código Civil estabelece alguns artigos nos quais disciplinam sobre as regras de um contrato.  </w:t>
      </w:r>
    </w:p>
    <w:p w14:paraId="5BF0E4E8" w14:textId="2487E255" w:rsidR="00EF742C" w:rsidRDefault="00F532D5">
      <w:pPr>
        <w:spacing w:line="240" w:lineRule="auto"/>
        <w:ind w:firstLine="16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A47FDE">
        <w:rPr>
          <w:rFonts w:ascii="Times New Roman" w:eastAsia="Times New Roman" w:hAnsi="Times New Roman" w:cs="Times New Roman"/>
          <w:sz w:val="24"/>
          <w:szCs w:val="24"/>
        </w:rPr>
        <w:t xml:space="preserve"> contrato é um instrumento da autocomposição dos interesses e da concretização das transações jurídicas dentro do cotidiano das pessoas. </w:t>
      </w:r>
    </w:p>
    <w:p w14:paraId="438A8E25" w14:textId="77777777" w:rsidR="00EF742C" w:rsidRDefault="00EF742C">
      <w:pPr>
        <w:spacing w:line="240" w:lineRule="auto"/>
        <w:ind w:left="2265"/>
        <w:jc w:val="both"/>
        <w:rPr>
          <w:rFonts w:ascii="Times New Roman" w:eastAsia="Times New Roman" w:hAnsi="Times New Roman" w:cs="Times New Roman"/>
          <w:sz w:val="20"/>
          <w:szCs w:val="20"/>
        </w:rPr>
      </w:pPr>
    </w:p>
    <w:p w14:paraId="357BF091" w14:textId="77777777" w:rsidR="00EF742C" w:rsidRDefault="00A47FDE">
      <w:pPr>
        <w:spacing w:line="240" w:lineRule="auto"/>
        <w:ind w:left="226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 contrato é o instrumento por excelência da autocomposição dos interesses e da realização pacífica das transações ou do tráfico jurídico, no cotidiano de cada pessoa. </w:t>
      </w:r>
      <w:proofErr w:type="spellStart"/>
      <w:r>
        <w:rPr>
          <w:rFonts w:ascii="Times New Roman" w:eastAsia="Times New Roman" w:hAnsi="Times New Roman" w:cs="Times New Roman"/>
          <w:sz w:val="20"/>
          <w:szCs w:val="20"/>
        </w:rPr>
        <w:t>Esta</w:t>
      </w:r>
      <w:proofErr w:type="spellEnd"/>
      <w:r>
        <w:rPr>
          <w:rFonts w:ascii="Times New Roman" w:eastAsia="Times New Roman" w:hAnsi="Times New Roman" w:cs="Times New Roman"/>
          <w:sz w:val="20"/>
          <w:szCs w:val="20"/>
        </w:rPr>
        <w:t xml:space="preserve"> sempre foi sua destinação, em todos os povos, a partir de quando abriram mão da força bruta para obtenção e circulação dos bens da vida, em prol do reconhecimento de obrigações nascidas do consenso das próprias partes. O contrato gera nas partes a convicção da certeza e da segurança de que as obrigações assumidas serão cumpridas e, se não o forem, de que poderão requerer judicialmente a execução forçada e a reparação pelas perdas e danos (LOBO, 2017, p.13). </w:t>
      </w:r>
    </w:p>
    <w:p w14:paraId="6EC8BD52" w14:textId="77777777" w:rsidR="00EF742C" w:rsidRDefault="00A47FDE">
      <w:pPr>
        <w:spacing w:line="240" w:lineRule="auto"/>
        <w:ind w:left="22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613DA0B" w14:textId="77777777"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possível observar que o contrato se encontra presente na vida das pessoas há muitos anos, sob o qual as pessoas já celebraram pactos entre si, na finalidade de pactuarem algo de interesse de ambos. </w:t>
      </w:r>
    </w:p>
    <w:p w14:paraId="62A09729" w14:textId="77777777"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Percebe-se o caráter social do contrato, enquanto mecanismo capaz de gerar obrigações recíprocas entre as pessoas. No entanto, apesar da força deste instrumento, existe na modernidade uma crescente preocupação para com a sobrevivência do instituto. Fala-se em crise dos contratos, com a possibilidade de completa extinção desse mecanismo (TARTUCE, 2017). </w:t>
      </w:r>
    </w:p>
    <w:p w14:paraId="45D3DE74" w14:textId="77777777"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compreender a noção de contrato, nada melhor do que analisar o seu conceito. No entanto, os doutrinadores divergem com relação a um conceito para esse fenômeno jurídico. </w:t>
      </w:r>
    </w:p>
    <w:p w14:paraId="6C09EAD2" w14:textId="77777777"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próprio ato de criar um conceito, segundo alguns pensadores, é tarefa difícil, por uma série de razões. </w:t>
      </w:r>
    </w:p>
    <w:p w14:paraId="53825C98" w14:textId="77777777" w:rsidR="00EF742C" w:rsidRDefault="00EF742C">
      <w:pPr>
        <w:spacing w:line="240" w:lineRule="auto"/>
        <w:ind w:firstLine="1695"/>
        <w:jc w:val="both"/>
        <w:rPr>
          <w:rFonts w:ascii="Times New Roman" w:eastAsia="Times New Roman" w:hAnsi="Times New Roman" w:cs="Times New Roman"/>
          <w:sz w:val="24"/>
          <w:szCs w:val="24"/>
        </w:rPr>
      </w:pPr>
    </w:p>
    <w:p w14:paraId="4B27190C" w14:textId="77777777" w:rsidR="00EF742C" w:rsidRDefault="00A47FDE">
      <w:pPr>
        <w:spacing w:line="240" w:lineRule="auto"/>
        <w:ind w:left="226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apresentar um conceito é missão das mais intrincadas na doutrina, uma vez que aquele que se arrisca a realizá-la poderá pecar por presunção, por imaginar que a sua definição criada é a mais perfeita de todas ou simplesmente uma verdade jurídica absoluta; ou por omissão, acreditando que a enunciação simples demais seja a mais didática, quando, em verdade, não passa de uma concepção simplória (GAGLIANO, 2016, p.51) </w:t>
      </w:r>
    </w:p>
    <w:p w14:paraId="35F8B56E" w14:textId="77777777" w:rsidR="00EF742C" w:rsidRDefault="00A47FDE">
      <w:pPr>
        <w:spacing w:line="240" w:lineRule="auto"/>
        <w:ind w:left="22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21550F29" w14:textId="77777777"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Existe consenso doutrinário no sentido de que o conceito de contrato não é moderno. Muito pelo contrário, desde o princípio da humanidade, quando as pessoas começaram a se agrupar e conviver em sociedade, a figura do contrato passou a existir. No entanto, o conceito moderno de contrato, admitido e aplicado pelas legislações contemporâneas, tem sua base no direito romano (TARTUCE, 2017). </w:t>
      </w:r>
    </w:p>
    <w:p w14:paraId="57335556" w14:textId="77777777"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contrato é conhecido por um pacto celebrado por pessoas capazes civilmente de celebrar um acordo. Para que ele possa ser realizado se faz necessário a manifestação de duas ou mais pessoas. </w:t>
      </w:r>
    </w:p>
    <w:p w14:paraId="675D9BFB" w14:textId="77777777"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Um acordo de duas ou mais vontades, cujos interesses se contrapõem, no qual uma das partes contratantes almeja a prestação e a outra a contraprestação. </w:t>
      </w:r>
    </w:p>
    <w:p w14:paraId="0D35E0ED" w14:textId="77777777"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Contudo, no caso objeto de estudo, a lei estipula os efeitos do contrato. Com efeito, o contrato de cessão financeira ou de </w:t>
      </w:r>
      <w:proofErr w:type="spellStart"/>
      <w:r>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sz w:val="24"/>
          <w:szCs w:val="24"/>
        </w:rPr>
        <w:t xml:space="preserve">, devido a sua complexidade de conteúdo, exclui a possibilidade da sua celebração por mera capacidade e, portanto, as declarações negociais constitutivas deste contrato devem exprimir-se em termos solenes ou formais. Conforme pode se ver no art. 7º do Decreto-Lei nº 171/95, </w:t>
      </w:r>
      <w:r>
        <w:rPr>
          <w:rFonts w:ascii="Times New Roman" w:eastAsia="Times New Roman" w:hAnsi="Times New Roman" w:cs="Times New Roman"/>
          <w:i/>
          <w:sz w:val="24"/>
          <w:szCs w:val="24"/>
        </w:rPr>
        <w:t>in litteris</w:t>
      </w:r>
      <w:r>
        <w:rPr>
          <w:rFonts w:ascii="Times New Roman" w:eastAsia="Times New Roman" w:hAnsi="Times New Roman" w:cs="Times New Roman"/>
          <w:sz w:val="24"/>
          <w:szCs w:val="24"/>
        </w:rPr>
        <w:t>:  </w:t>
      </w:r>
    </w:p>
    <w:p w14:paraId="6702976C" w14:textId="77777777" w:rsidR="00EF742C" w:rsidRDefault="00A47FDE">
      <w:pPr>
        <w:spacing w:line="240" w:lineRule="auto"/>
        <w:ind w:firstLine="16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6977F455" w14:textId="77777777" w:rsidR="00EF742C" w:rsidRDefault="00A47FDE">
      <w:pPr>
        <w:spacing w:line="240" w:lineRule="auto"/>
        <w:ind w:left="226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Artigo 7º- </w:t>
      </w:r>
    </w:p>
    <w:p w14:paraId="39E54283" w14:textId="77777777" w:rsidR="00EF742C" w:rsidRDefault="00A47FDE">
      <w:pPr>
        <w:spacing w:line="240" w:lineRule="auto"/>
        <w:ind w:left="2265"/>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Contrato de </w:t>
      </w:r>
      <w:proofErr w:type="spellStart"/>
      <w:r>
        <w:rPr>
          <w:rFonts w:ascii="Times New Roman" w:eastAsia="Times New Roman" w:hAnsi="Times New Roman" w:cs="Times New Roman"/>
          <w:i/>
          <w:sz w:val="20"/>
          <w:szCs w:val="20"/>
        </w:rPr>
        <w:t>factoring</w:t>
      </w:r>
      <w:proofErr w:type="spellEnd"/>
      <w:r>
        <w:rPr>
          <w:rFonts w:ascii="Times New Roman" w:eastAsia="Times New Roman" w:hAnsi="Times New Roman" w:cs="Times New Roman"/>
          <w:i/>
          <w:sz w:val="20"/>
          <w:szCs w:val="20"/>
        </w:rPr>
        <w:t> </w:t>
      </w:r>
    </w:p>
    <w:p w14:paraId="2B356911" w14:textId="77777777" w:rsidR="00EF742C" w:rsidRDefault="00A47FDE">
      <w:pPr>
        <w:spacing w:line="240" w:lineRule="auto"/>
        <w:ind w:left="226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1 - O contrato de </w:t>
      </w:r>
      <w:proofErr w:type="spellStart"/>
      <w:r>
        <w:rPr>
          <w:rFonts w:ascii="Times New Roman" w:eastAsia="Times New Roman" w:hAnsi="Times New Roman" w:cs="Times New Roman"/>
          <w:i/>
          <w:sz w:val="20"/>
          <w:szCs w:val="20"/>
        </w:rPr>
        <w:t>factoring</w:t>
      </w:r>
      <w:proofErr w:type="spellEnd"/>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é sempre celebrado por escrito e dele deve constar o conjunto das relações do </w:t>
      </w:r>
      <w:proofErr w:type="spellStart"/>
      <w:r>
        <w:rPr>
          <w:rFonts w:ascii="Times New Roman" w:eastAsia="Times New Roman" w:hAnsi="Times New Roman" w:cs="Times New Roman"/>
          <w:sz w:val="20"/>
          <w:szCs w:val="20"/>
        </w:rPr>
        <w:t>factor</w:t>
      </w:r>
      <w:proofErr w:type="spellEnd"/>
      <w:r>
        <w:rPr>
          <w:rFonts w:ascii="Times New Roman" w:eastAsia="Times New Roman" w:hAnsi="Times New Roman" w:cs="Times New Roman"/>
          <w:sz w:val="20"/>
          <w:szCs w:val="20"/>
        </w:rPr>
        <w:t xml:space="preserve"> com o respectivo aderente. </w:t>
      </w:r>
    </w:p>
    <w:p w14:paraId="3B0C83F9" w14:textId="77777777" w:rsidR="00EF742C" w:rsidRDefault="00A47FDE">
      <w:pPr>
        <w:spacing w:line="240" w:lineRule="auto"/>
        <w:ind w:left="226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 A transmissão de créditos ao abrigo de contratos de </w:t>
      </w:r>
      <w:proofErr w:type="spellStart"/>
      <w:r>
        <w:rPr>
          <w:rFonts w:ascii="Times New Roman" w:eastAsia="Times New Roman" w:hAnsi="Times New Roman" w:cs="Times New Roman"/>
          <w:sz w:val="20"/>
          <w:szCs w:val="20"/>
        </w:rPr>
        <w:t>factoring</w:t>
      </w:r>
      <w:proofErr w:type="spellEnd"/>
      <w:r>
        <w:rPr>
          <w:rFonts w:ascii="Times New Roman" w:eastAsia="Times New Roman" w:hAnsi="Times New Roman" w:cs="Times New Roman"/>
          <w:sz w:val="20"/>
          <w:szCs w:val="20"/>
        </w:rPr>
        <w:t xml:space="preserve"> deve ser acompanhada pelas correspondentes faturas ou suporte documental equivalente, nomeadamente informático, ou título cambiário (BRASIL, 1995). </w:t>
      </w:r>
    </w:p>
    <w:p w14:paraId="6A2FB648" w14:textId="77777777" w:rsidR="00EF742C" w:rsidRDefault="00A47FDE">
      <w:pPr>
        <w:spacing w:line="240" w:lineRule="auto"/>
        <w:ind w:firstLine="16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4370C54B" w14:textId="664EE8B9"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Outra característica dos contratos de </w:t>
      </w:r>
      <w:proofErr w:type="spellStart"/>
      <w:r>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é que eles são onerosos. Os contratos onerosos significam que ambas as partes ganham vantagem com o mesmo contrato, ou seja, as vantagens patrimoniais são usufruídas por ambas as partes no contrato de </w:t>
      </w:r>
      <w:proofErr w:type="spellStart"/>
      <w:r>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sz w:val="24"/>
          <w:szCs w:val="24"/>
        </w:rPr>
        <w:t xml:space="preserve">. Ademais, pode-se também caracterizar o contrato de </w:t>
      </w:r>
      <w:proofErr w:type="spellStart"/>
      <w:r>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sz w:val="24"/>
          <w:szCs w:val="24"/>
        </w:rPr>
        <w:t xml:space="preserve"> como sendo um contrato sinalagmático e de execução continuada (SANTANA, </w:t>
      </w:r>
      <w:r w:rsidR="00EC640B">
        <w:rPr>
          <w:rFonts w:ascii="Times New Roman" w:eastAsia="Times New Roman" w:hAnsi="Times New Roman" w:cs="Times New Roman"/>
          <w:sz w:val="24"/>
          <w:szCs w:val="24"/>
        </w:rPr>
        <w:t>2014</w:t>
      </w:r>
      <w:r>
        <w:rPr>
          <w:rFonts w:ascii="Times New Roman" w:eastAsia="Times New Roman" w:hAnsi="Times New Roman" w:cs="Times New Roman"/>
          <w:sz w:val="24"/>
          <w:szCs w:val="24"/>
        </w:rPr>
        <w:t>).</w:t>
      </w:r>
      <w:r w:rsidR="00C80D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Ou seja, gera obrigações recíprocas para ambas as partes, nas palavras de Gonçalves:  </w:t>
      </w:r>
    </w:p>
    <w:p w14:paraId="584D9F9E" w14:textId="77777777" w:rsidR="00EF742C" w:rsidRDefault="00EF742C">
      <w:pPr>
        <w:spacing w:line="240" w:lineRule="auto"/>
        <w:ind w:left="2265"/>
        <w:jc w:val="both"/>
        <w:rPr>
          <w:rFonts w:ascii="Times New Roman" w:eastAsia="Times New Roman" w:hAnsi="Times New Roman" w:cs="Times New Roman"/>
          <w:sz w:val="20"/>
          <w:szCs w:val="20"/>
        </w:rPr>
      </w:pPr>
    </w:p>
    <w:p w14:paraId="34F15447" w14:textId="77777777" w:rsidR="00EF742C" w:rsidRDefault="00A47FDE">
      <w:pPr>
        <w:spacing w:line="240" w:lineRule="auto"/>
        <w:ind w:left="226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Do ponto de vista do aderente, podemos dizer generalizadamente que este se obriga a ceder ao </w:t>
      </w:r>
      <w:proofErr w:type="spellStart"/>
      <w:r>
        <w:rPr>
          <w:rFonts w:ascii="Times New Roman" w:eastAsia="Times New Roman" w:hAnsi="Times New Roman" w:cs="Times New Roman"/>
          <w:sz w:val="20"/>
          <w:szCs w:val="20"/>
        </w:rPr>
        <w:t>factor</w:t>
      </w:r>
      <w:proofErr w:type="spellEnd"/>
      <w:r>
        <w:rPr>
          <w:rFonts w:ascii="Times New Roman" w:eastAsia="Times New Roman" w:hAnsi="Times New Roman" w:cs="Times New Roman"/>
          <w:sz w:val="20"/>
          <w:szCs w:val="20"/>
        </w:rPr>
        <w:t xml:space="preserve"> todos os seus créditos numa estreita relação de exclusividade, bem como se obriga a notificação dos devedores cedidos e a pagar uma remuneração (comissões de cobrança)</w:t>
      </w:r>
      <w:proofErr w:type="gramStart"/>
      <w:r>
        <w:rPr>
          <w:rFonts w:ascii="Times New Roman" w:eastAsia="Times New Roman" w:hAnsi="Times New Roman" w:cs="Times New Roman"/>
          <w:sz w:val="20"/>
          <w:szCs w:val="20"/>
        </w:rPr>
        <w:t>. .</w:t>
      </w:r>
      <w:proofErr w:type="gramEnd"/>
      <w:r>
        <w:rPr>
          <w:rFonts w:ascii="Times New Roman" w:eastAsia="Times New Roman" w:hAnsi="Times New Roman" w:cs="Times New Roman"/>
          <w:sz w:val="20"/>
          <w:szCs w:val="20"/>
        </w:rPr>
        <w:t xml:space="preserve"> Já o </w:t>
      </w:r>
      <w:proofErr w:type="spellStart"/>
      <w:r>
        <w:rPr>
          <w:rFonts w:ascii="Times New Roman" w:eastAsia="Times New Roman" w:hAnsi="Times New Roman" w:cs="Times New Roman"/>
          <w:sz w:val="20"/>
          <w:szCs w:val="20"/>
        </w:rPr>
        <w:t>factor</w:t>
      </w:r>
      <w:proofErr w:type="spellEnd"/>
      <w:r>
        <w:rPr>
          <w:rFonts w:ascii="Times New Roman" w:eastAsia="Times New Roman" w:hAnsi="Times New Roman" w:cs="Times New Roman"/>
          <w:sz w:val="20"/>
          <w:szCs w:val="20"/>
        </w:rPr>
        <w:t xml:space="preserve"> poderá obrigar-se a prestar serviços de cobrança, gestão de créditos, de antecipação de pagamentos de créditos não vencidos e inclusivamente de assunção do risco de incumprimento do devedor cedido (no caso de cessão sem recurso). (GONÇALVES, 2016, p. 23) </w:t>
      </w:r>
    </w:p>
    <w:p w14:paraId="293B0681" w14:textId="77777777" w:rsidR="00EF742C" w:rsidRDefault="00A47FDE">
      <w:pPr>
        <w:spacing w:line="240" w:lineRule="auto"/>
        <w:ind w:left="22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8754D1E" w14:textId="77777777"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fim, o contrato de </w:t>
      </w:r>
      <w:proofErr w:type="spellStart"/>
      <w:r>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sz w:val="24"/>
          <w:szCs w:val="24"/>
        </w:rPr>
        <w:t xml:space="preserve"> é de execução contínua, já que o </w:t>
      </w:r>
      <w:proofErr w:type="spellStart"/>
      <w:r>
        <w:rPr>
          <w:rFonts w:ascii="Times New Roman" w:eastAsia="Times New Roman" w:hAnsi="Times New Roman" w:cs="Times New Roman"/>
          <w:i/>
          <w:sz w:val="24"/>
          <w:szCs w:val="24"/>
        </w:rPr>
        <w:t>factor</w:t>
      </w:r>
      <w:proofErr w:type="spellEnd"/>
      <w:r>
        <w:rPr>
          <w:rFonts w:ascii="Times New Roman" w:eastAsia="Times New Roman" w:hAnsi="Times New Roman" w:cs="Times New Roman"/>
          <w:sz w:val="24"/>
          <w:szCs w:val="24"/>
        </w:rPr>
        <w:t xml:space="preserve"> tem a obrigação de conceder o adiantamento pecuniário e de realizar todas as operações em relação ao crédito do aderente de uma forma contínua (GONÇALVES, 2016), aproximando este sistema dos contratos de adesão.  </w:t>
      </w:r>
    </w:p>
    <w:p w14:paraId="271C51F7" w14:textId="77777777" w:rsidR="00EF742C" w:rsidRDefault="00A47FDE">
      <w:pPr>
        <w:spacing w:line="240" w:lineRule="auto"/>
        <w:ind w:firstLine="169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administração do fluxo de caixa n</w:t>
      </w:r>
      <w:r w:rsidR="0041250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sz w:val="24"/>
          <w:szCs w:val="24"/>
        </w:rPr>
        <w:t xml:space="preserve"> como em qualquer outra gestão de caixa eficiente requer uma gestão diária por parte dos administradores de recursos financeiros para tentar reduzir o custo que traz. O caixa pode ser entendido como: </w:t>
      </w:r>
    </w:p>
    <w:p w14:paraId="048130F3" w14:textId="77777777" w:rsidR="00EF742C" w:rsidRDefault="00EF742C">
      <w:pPr>
        <w:spacing w:line="240" w:lineRule="auto"/>
        <w:ind w:left="2265"/>
        <w:jc w:val="both"/>
        <w:rPr>
          <w:rFonts w:ascii="Times New Roman" w:eastAsia="Times New Roman" w:hAnsi="Times New Roman" w:cs="Times New Roman"/>
          <w:sz w:val="20"/>
          <w:szCs w:val="20"/>
        </w:rPr>
      </w:pPr>
    </w:p>
    <w:p w14:paraId="6B3F80F0" w14:textId="77777777" w:rsidR="00EF742C" w:rsidRDefault="00A47FDE">
      <w:pPr>
        <w:spacing w:line="240" w:lineRule="auto"/>
        <w:ind w:left="226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Definir caixa é algo que pode parecer tão empírico e simples que se torna difícil e complicado por essa mesma simplicidade... Afinal de contas, caixa é... caixa. No sentido clássico, o caixa representa o objetivo final dos investidores ao optarem por uma alternativa de alocação de recursos. No meio empresarial, caixa é o ativo mais líquido disponível na empresa, encontrado em espécie na empresa, nos bancos e no mercado financeiro de curtíssimo prazo. (FREZATTI, 2007, p.13).  </w:t>
      </w:r>
    </w:p>
    <w:p w14:paraId="7E426CE5" w14:textId="77777777" w:rsidR="00EF742C" w:rsidRDefault="00A47FDE">
      <w:pPr>
        <w:spacing w:line="240" w:lineRule="auto"/>
        <w:ind w:left="22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14:paraId="55589B2E" w14:textId="77777777"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Sendo assim, o fluxo de caixa é o dinheiro disponível que a empresa tem para realizar suas atividades. Dessa forma, saber administrar o caixa de uma empresa torna-se uma tarefa imprescindível para que esta realize suas atividades. </w:t>
      </w:r>
    </w:p>
    <w:p w14:paraId="434615A4" w14:textId="77777777"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2021, o sistema de </w:t>
      </w:r>
      <w:proofErr w:type="spellStart"/>
      <w:r>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sz w:val="24"/>
          <w:szCs w:val="24"/>
        </w:rPr>
        <w:t xml:space="preserve"> movimentou cerca de R$ 138 bilhões no Brasil (BONIN, 2021). As principais atividades desse segmento incluem a alavancagem de pequenas e médias empresas, permitindo que as empresas convertam as vendas a prazo em dinheiro. </w:t>
      </w:r>
    </w:p>
    <w:p w14:paraId="72B91DED" w14:textId="1FC65EE6"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órgão responsável por fiscalizar o fomento mercantil (</w:t>
      </w:r>
      <w:proofErr w:type="spellStart"/>
      <w:r>
        <w:rPr>
          <w:rFonts w:ascii="Times New Roman" w:eastAsia="Times New Roman" w:hAnsi="Times New Roman" w:cs="Times New Roman"/>
          <w:sz w:val="24"/>
          <w:szCs w:val="24"/>
        </w:rPr>
        <w:t>factoring</w:t>
      </w:r>
      <w:proofErr w:type="spellEnd"/>
      <w:r>
        <w:rPr>
          <w:rFonts w:ascii="Times New Roman" w:eastAsia="Times New Roman" w:hAnsi="Times New Roman" w:cs="Times New Roman"/>
          <w:sz w:val="24"/>
          <w:szCs w:val="24"/>
        </w:rPr>
        <w:t>), no Brasil é o Conselho de Controle de Atividades Financeiras</w:t>
      </w:r>
      <w:r w:rsidR="006C5470" w:rsidRPr="006C547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(Coaf) foi criado pela Lei nº 9.613, de 3 de março de 1998, e integra a estrutura do Ministério da Fazenda. </w:t>
      </w:r>
    </w:p>
    <w:p w14:paraId="42BDF5C6" w14:textId="77777777"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suma, globalmente, </w:t>
      </w:r>
      <w:r w:rsidR="0041250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sz w:val="24"/>
          <w:szCs w:val="24"/>
        </w:rPr>
        <w:t xml:space="preserve"> é uma fonte crescente de financiamento externo das </w:t>
      </w:r>
      <w:proofErr w:type="spellStart"/>
      <w:r>
        <w:rPr>
          <w:rFonts w:ascii="Times New Roman" w:eastAsia="Times New Roman" w:hAnsi="Times New Roman" w:cs="Times New Roman"/>
          <w:sz w:val="24"/>
          <w:szCs w:val="24"/>
        </w:rPr>
        <w:t>PMEs</w:t>
      </w:r>
      <w:proofErr w:type="spellEnd"/>
      <w:r>
        <w:rPr>
          <w:rFonts w:ascii="Times New Roman" w:eastAsia="Times New Roman" w:hAnsi="Times New Roman" w:cs="Times New Roman"/>
          <w:sz w:val="24"/>
          <w:szCs w:val="24"/>
        </w:rPr>
        <w:t>, pois na sua grande maioria, as pequenas e médias empresas encontram dificuldades no acesso a financiamentos.  Como os serviços oferecidos vão além da aquisição de valores mobiliários, eles podem focar em aspectos mais importantes de suas atividades, como a conquista de mais clientes, mas é importante observar que os benefícios das promoções não são apenas das empresas envolvidas, pois as empresas de fomento estimulam o crescimento econômico de seus clientes e, indiretamente, de outras companhias.  </w:t>
      </w:r>
    </w:p>
    <w:p w14:paraId="0C8A7D55" w14:textId="77777777"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Conclui-se que, </w:t>
      </w:r>
      <w:proofErr w:type="spellStart"/>
      <w:r>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sz w:val="24"/>
          <w:szCs w:val="24"/>
        </w:rPr>
        <w:t xml:space="preserve"> é o nome dado às atividades realizadas por empresas legalizadas pelos órgãos governamentais competentes em antecipação de faturas de empresas </w:t>
      </w:r>
      <w:r>
        <w:rPr>
          <w:rFonts w:ascii="Times New Roman" w:eastAsia="Times New Roman" w:hAnsi="Times New Roman" w:cs="Times New Roman"/>
          <w:sz w:val="24"/>
          <w:szCs w:val="24"/>
        </w:rPr>
        <w:lastRenderedPageBreak/>
        <w:t>comerciais, como cheques pré-datados, cópias e outras faturas, é uma regulamentação contínua e cumulativa. Exercem os serviços de consultoria de marketing, concessão de crédito, análises de risco, seleção, gestão de crédito, contas a receber e acompanhamento de contas a pagar, combinados com crédito resultante da obtenção de vendas comerciais de empresas ou prestação de serviços na compra de recebíveis a prazo.</w:t>
      </w:r>
    </w:p>
    <w:p w14:paraId="53957864" w14:textId="17E7394C" w:rsidR="0095049A" w:rsidRDefault="00A47FDE" w:rsidP="0095049A">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empresas de </w:t>
      </w:r>
      <w:proofErr w:type="spellStart"/>
      <w:r>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sz w:val="24"/>
          <w:szCs w:val="24"/>
        </w:rPr>
        <w:t xml:space="preserve"> esperam que os comerciantes paguem suas contas por menos do que o valor de face do título. Essa diferença, o benefício d</w:t>
      </w:r>
      <w:r w:rsidR="00412506">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sz w:val="24"/>
          <w:szCs w:val="24"/>
        </w:rPr>
        <w:t>, é chamada de desconto, atividade que decorre das necessidades financeiras de comerciantes que muitas vezes recorrem a agiotas que, além de trabalharem em sigilo (sem pagar impostos), impõem taxas de juros absurdas. </w:t>
      </w:r>
    </w:p>
    <w:p w14:paraId="1C8DCBA3" w14:textId="4DED5A0F" w:rsidR="0095049A" w:rsidRPr="007011C9" w:rsidRDefault="0095049A" w:rsidP="0095049A">
      <w:pPr>
        <w:spacing w:line="240" w:lineRule="auto"/>
        <w:ind w:firstLine="566"/>
        <w:jc w:val="both"/>
        <w:rPr>
          <w:rFonts w:ascii="Times New Roman" w:eastAsia="Times New Roman" w:hAnsi="Times New Roman" w:cs="Times New Roman"/>
          <w:sz w:val="24"/>
          <w:szCs w:val="24"/>
        </w:rPr>
      </w:pPr>
      <w:r w:rsidRPr="007011C9">
        <w:rPr>
          <w:rFonts w:ascii="Times New Roman" w:eastAsia="Times New Roman" w:hAnsi="Times New Roman" w:cs="Times New Roman"/>
          <w:sz w:val="24"/>
          <w:szCs w:val="24"/>
        </w:rPr>
        <w:t xml:space="preserve">A Função da </w:t>
      </w:r>
      <w:proofErr w:type="spellStart"/>
      <w:r w:rsidR="00BE7D19" w:rsidRPr="007011C9">
        <w:rPr>
          <w:rFonts w:ascii="Times New Roman" w:eastAsia="Times New Roman" w:hAnsi="Times New Roman" w:cs="Times New Roman"/>
          <w:i/>
          <w:iCs/>
          <w:sz w:val="24"/>
          <w:szCs w:val="24"/>
        </w:rPr>
        <w:t>f</w:t>
      </w:r>
      <w:r w:rsidRPr="007011C9">
        <w:rPr>
          <w:rFonts w:ascii="Times New Roman" w:eastAsia="Times New Roman" w:hAnsi="Times New Roman" w:cs="Times New Roman"/>
          <w:i/>
          <w:iCs/>
          <w:sz w:val="24"/>
          <w:szCs w:val="24"/>
        </w:rPr>
        <w:t>actoring</w:t>
      </w:r>
      <w:proofErr w:type="spellEnd"/>
      <w:r w:rsidRPr="007011C9">
        <w:rPr>
          <w:rFonts w:ascii="Times New Roman" w:eastAsia="Times New Roman" w:hAnsi="Times New Roman" w:cs="Times New Roman"/>
          <w:sz w:val="24"/>
          <w:szCs w:val="24"/>
        </w:rPr>
        <w:t xml:space="preserve"> corriqueiramente é confundida com outras entidades, como por exemplo as instituições financeiras (bancos) e a pr</w:t>
      </w:r>
      <w:r w:rsidR="00BE7D19" w:rsidRPr="007011C9">
        <w:rPr>
          <w:rFonts w:ascii="Times New Roman" w:eastAsia="Times New Roman" w:hAnsi="Times New Roman" w:cs="Times New Roman"/>
          <w:sz w:val="24"/>
          <w:szCs w:val="24"/>
        </w:rPr>
        <w:t>á</w:t>
      </w:r>
      <w:r w:rsidRPr="007011C9">
        <w:rPr>
          <w:rFonts w:ascii="Times New Roman" w:eastAsia="Times New Roman" w:hAnsi="Times New Roman" w:cs="Times New Roman"/>
          <w:sz w:val="24"/>
          <w:szCs w:val="24"/>
        </w:rPr>
        <w:t xml:space="preserve">tica de agiotagem. Essa conformidade está na relação da atividade Financeira que estes institutos exercem, e como resultado fornecem capital Financeiro </w:t>
      </w:r>
      <w:r w:rsidR="00BE7D19" w:rsidRPr="007011C9">
        <w:rPr>
          <w:rFonts w:ascii="Times New Roman" w:eastAsia="Times New Roman" w:hAnsi="Times New Roman" w:cs="Times New Roman"/>
          <w:sz w:val="24"/>
          <w:szCs w:val="24"/>
        </w:rPr>
        <w:t>à</w:t>
      </w:r>
      <w:r w:rsidRPr="007011C9">
        <w:rPr>
          <w:rFonts w:ascii="Times New Roman" w:eastAsia="Times New Roman" w:hAnsi="Times New Roman" w:cs="Times New Roman"/>
          <w:sz w:val="24"/>
          <w:szCs w:val="24"/>
        </w:rPr>
        <w:t xml:space="preserve">s empresas que buscam o serviço.   </w:t>
      </w:r>
    </w:p>
    <w:p w14:paraId="0C175B95" w14:textId="682DA5FF" w:rsidR="0095049A" w:rsidRPr="007011C9" w:rsidRDefault="0095049A" w:rsidP="0095049A">
      <w:pPr>
        <w:spacing w:line="240" w:lineRule="auto"/>
        <w:ind w:firstLine="566"/>
        <w:jc w:val="both"/>
        <w:rPr>
          <w:rFonts w:ascii="Times New Roman" w:eastAsia="Times New Roman" w:hAnsi="Times New Roman" w:cs="Times New Roman"/>
          <w:sz w:val="24"/>
          <w:szCs w:val="24"/>
        </w:rPr>
      </w:pPr>
      <w:r w:rsidRPr="007011C9">
        <w:rPr>
          <w:rFonts w:ascii="Times New Roman" w:eastAsia="Times New Roman" w:hAnsi="Times New Roman" w:cs="Times New Roman"/>
          <w:sz w:val="24"/>
          <w:szCs w:val="24"/>
        </w:rPr>
        <w:t xml:space="preserve">Por se tratarem de operações econômicas </w:t>
      </w:r>
      <w:r w:rsidR="003D1D05" w:rsidRPr="007011C9">
        <w:rPr>
          <w:rFonts w:ascii="Times New Roman" w:eastAsia="Times New Roman" w:hAnsi="Times New Roman" w:cs="Times New Roman"/>
          <w:sz w:val="24"/>
          <w:szCs w:val="24"/>
        </w:rPr>
        <w:t>para satisfazer necessidade de financiamentos ocorre u</w:t>
      </w:r>
      <w:r w:rsidR="00BE7D19" w:rsidRPr="007011C9">
        <w:rPr>
          <w:rFonts w:ascii="Times New Roman" w:eastAsia="Times New Roman" w:hAnsi="Times New Roman" w:cs="Times New Roman"/>
          <w:sz w:val="24"/>
          <w:szCs w:val="24"/>
        </w:rPr>
        <w:t>ma distorção</w:t>
      </w:r>
      <w:r w:rsidR="003D1D05" w:rsidRPr="007011C9">
        <w:rPr>
          <w:rFonts w:ascii="Times New Roman" w:eastAsia="Times New Roman" w:hAnsi="Times New Roman" w:cs="Times New Roman"/>
          <w:sz w:val="24"/>
          <w:szCs w:val="24"/>
        </w:rPr>
        <w:t xml:space="preserve"> desses institutos com a </w:t>
      </w:r>
      <w:proofErr w:type="spellStart"/>
      <w:r w:rsidR="003D1D05" w:rsidRPr="007011C9">
        <w:rPr>
          <w:rFonts w:ascii="Times New Roman" w:eastAsia="Times New Roman" w:hAnsi="Times New Roman" w:cs="Times New Roman"/>
          <w:i/>
          <w:iCs/>
          <w:sz w:val="24"/>
          <w:szCs w:val="24"/>
        </w:rPr>
        <w:t>factoring</w:t>
      </w:r>
      <w:proofErr w:type="spellEnd"/>
      <w:r w:rsidR="00BE7D19" w:rsidRPr="007011C9">
        <w:rPr>
          <w:rFonts w:ascii="Times New Roman" w:eastAsia="Times New Roman" w:hAnsi="Times New Roman" w:cs="Times New Roman"/>
          <w:i/>
          <w:iCs/>
          <w:sz w:val="24"/>
          <w:szCs w:val="24"/>
        </w:rPr>
        <w:t>,</w:t>
      </w:r>
      <w:r w:rsidR="003D1D05" w:rsidRPr="007011C9">
        <w:rPr>
          <w:rFonts w:ascii="Times New Roman" w:eastAsia="Times New Roman" w:hAnsi="Times New Roman" w:cs="Times New Roman"/>
          <w:sz w:val="24"/>
          <w:szCs w:val="24"/>
        </w:rPr>
        <w:t xml:space="preserve"> por terem esse ponto em comum. </w:t>
      </w:r>
      <w:r w:rsidR="007C2CE1" w:rsidRPr="007011C9">
        <w:rPr>
          <w:rFonts w:ascii="Times New Roman" w:eastAsia="Times New Roman" w:hAnsi="Times New Roman" w:cs="Times New Roman"/>
          <w:sz w:val="24"/>
          <w:szCs w:val="24"/>
        </w:rPr>
        <w:t>(</w:t>
      </w:r>
      <w:r w:rsidR="00BE7D19" w:rsidRPr="007011C9">
        <w:rPr>
          <w:rFonts w:ascii="Times New Roman" w:eastAsia="Times New Roman" w:hAnsi="Times New Roman" w:cs="Times New Roman"/>
          <w:sz w:val="24"/>
          <w:szCs w:val="24"/>
        </w:rPr>
        <w:t>DONINI</w:t>
      </w:r>
      <w:r w:rsidR="007C2CE1" w:rsidRPr="007011C9">
        <w:rPr>
          <w:rFonts w:ascii="Times New Roman" w:eastAsia="Times New Roman" w:hAnsi="Times New Roman" w:cs="Times New Roman"/>
          <w:sz w:val="24"/>
          <w:szCs w:val="24"/>
        </w:rPr>
        <w:t>,</w:t>
      </w:r>
      <w:r w:rsidR="003D1D05" w:rsidRPr="007011C9">
        <w:rPr>
          <w:rFonts w:ascii="Times New Roman" w:eastAsia="Times New Roman" w:hAnsi="Times New Roman" w:cs="Times New Roman"/>
          <w:sz w:val="24"/>
          <w:szCs w:val="24"/>
        </w:rPr>
        <w:t>2004)</w:t>
      </w:r>
      <w:r w:rsidR="007C2CE1" w:rsidRPr="007011C9">
        <w:rPr>
          <w:rFonts w:ascii="Times New Roman" w:eastAsia="Times New Roman" w:hAnsi="Times New Roman" w:cs="Times New Roman"/>
          <w:sz w:val="24"/>
          <w:szCs w:val="24"/>
        </w:rPr>
        <w:t>.</w:t>
      </w:r>
    </w:p>
    <w:p w14:paraId="56C11B07" w14:textId="1C6A8AFC" w:rsidR="007C2CE1" w:rsidRPr="007011C9" w:rsidRDefault="007C2CE1" w:rsidP="0095049A">
      <w:pPr>
        <w:spacing w:line="240" w:lineRule="auto"/>
        <w:ind w:firstLine="566"/>
        <w:jc w:val="both"/>
        <w:rPr>
          <w:rFonts w:ascii="Times New Roman" w:eastAsia="Times New Roman" w:hAnsi="Times New Roman" w:cs="Times New Roman"/>
          <w:sz w:val="24"/>
          <w:szCs w:val="24"/>
        </w:rPr>
      </w:pPr>
      <w:r w:rsidRPr="007011C9">
        <w:rPr>
          <w:rFonts w:ascii="Times New Roman" w:eastAsia="Times New Roman" w:hAnsi="Times New Roman" w:cs="Times New Roman"/>
          <w:sz w:val="24"/>
          <w:szCs w:val="24"/>
        </w:rPr>
        <w:t xml:space="preserve">A empresa de </w:t>
      </w:r>
      <w:proofErr w:type="spellStart"/>
      <w:r w:rsidRPr="007011C9">
        <w:rPr>
          <w:rFonts w:ascii="Times New Roman" w:eastAsia="Times New Roman" w:hAnsi="Times New Roman" w:cs="Times New Roman"/>
          <w:i/>
          <w:iCs/>
          <w:sz w:val="24"/>
          <w:szCs w:val="24"/>
        </w:rPr>
        <w:t>factoring</w:t>
      </w:r>
      <w:proofErr w:type="spellEnd"/>
      <w:r w:rsidRPr="007011C9">
        <w:rPr>
          <w:rFonts w:ascii="Times New Roman" w:eastAsia="Times New Roman" w:hAnsi="Times New Roman" w:cs="Times New Roman"/>
          <w:sz w:val="24"/>
          <w:szCs w:val="24"/>
        </w:rPr>
        <w:t xml:space="preserve"> atua como parceira das pequenas e medias empresas, dispondo de uma série de serviços de gestão empresarial conjugados com o capital de giro, permitindo a estas, dedicar-se </w:t>
      </w:r>
      <w:r w:rsidR="00BE7D19" w:rsidRPr="007011C9">
        <w:rPr>
          <w:rFonts w:ascii="Times New Roman" w:eastAsia="Times New Roman" w:hAnsi="Times New Roman" w:cs="Times New Roman"/>
          <w:sz w:val="24"/>
          <w:szCs w:val="24"/>
        </w:rPr>
        <w:t>à</w:t>
      </w:r>
      <w:r w:rsidRPr="007011C9">
        <w:rPr>
          <w:rFonts w:ascii="Times New Roman" w:eastAsia="Times New Roman" w:hAnsi="Times New Roman" w:cs="Times New Roman"/>
          <w:sz w:val="24"/>
          <w:szCs w:val="24"/>
        </w:rPr>
        <w:t>s atividades de produção e vendas de seus produtos. Enquanto os bancos representam intermediadores financeiros, sendo regulamentado</w:t>
      </w:r>
      <w:r w:rsidR="00BE7D19" w:rsidRPr="007011C9">
        <w:rPr>
          <w:rFonts w:ascii="Times New Roman" w:eastAsia="Times New Roman" w:hAnsi="Times New Roman" w:cs="Times New Roman"/>
          <w:sz w:val="24"/>
          <w:szCs w:val="24"/>
        </w:rPr>
        <w:t>s</w:t>
      </w:r>
      <w:r w:rsidRPr="007011C9">
        <w:rPr>
          <w:rFonts w:ascii="Times New Roman" w:eastAsia="Times New Roman" w:hAnsi="Times New Roman" w:cs="Times New Roman"/>
          <w:sz w:val="24"/>
          <w:szCs w:val="24"/>
        </w:rPr>
        <w:t xml:space="preserve"> por lei, diferente da prática de agiotagem. (BATISTA,2012).</w:t>
      </w:r>
    </w:p>
    <w:p w14:paraId="798B1BB4" w14:textId="2332A205" w:rsidR="004957BB" w:rsidRDefault="0056509D" w:rsidP="004957BB">
      <w:pPr>
        <w:spacing w:line="240" w:lineRule="auto"/>
        <w:ind w:firstLine="566"/>
        <w:jc w:val="both"/>
        <w:rPr>
          <w:rFonts w:ascii="Times New Roman" w:eastAsia="Times New Roman" w:hAnsi="Times New Roman" w:cs="Times New Roman"/>
          <w:color w:val="00B050"/>
          <w:sz w:val="24"/>
          <w:szCs w:val="24"/>
        </w:rPr>
      </w:pPr>
      <w:r w:rsidRPr="007011C9">
        <w:rPr>
          <w:rFonts w:ascii="Times New Roman" w:eastAsia="Times New Roman" w:hAnsi="Times New Roman" w:cs="Times New Roman"/>
          <w:sz w:val="24"/>
          <w:szCs w:val="24"/>
        </w:rPr>
        <w:t xml:space="preserve">Ainda segundo Batista (2012) desconto bancário é um tipo de serviço oferecido pelos bancos, é confundido com o serviço de </w:t>
      </w:r>
      <w:proofErr w:type="spellStart"/>
      <w:r w:rsidRPr="007011C9">
        <w:rPr>
          <w:rFonts w:ascii="Times New Roman" w:eastAsia="Times New Roman" w:hAnsi="Times New Roman" w:cs="Times New Roman"/>
          <w:i/>
          <w:iCs/>
          <w:sz w:val="24"/>
          <w:szCs w:val="24"/>
        </w:rPr>
        <w:t>factoring</w:t>
      </w:r>
      <w:proofErr w:type="spellEnd"/>
      <w:r w:rsidRPr="007011C9">
        <w:rPr>
          <w:rFonts w:ascii="Times New Roman" w:eastAsia="Times New Roman" w:hAnsi="Times New Roman" w:cs="Times New Roman"/>
          <w:sz w:val="24"/>
          <w:szCs w:val="24"/>
        </w:rPr>
        <w:t>, devido à semelhança. Porém, a diferença está na captação de recursos</w:t>
      </w:r>
      <w:r w:rsidR="00BE7D19" w:rsidRPr="007011C9">
        <w:rPr>
          <w:rFonts w:ascii="Times New Roman" w:eastAsia="Times New Roman" w:hAnsi="Times New Roman" w:cs="Times New Roman"/>
          <w:sz w:val="24"/>
          <w:szCs w:val="24"/>
        </w:rPr>
        <w:t>.</w:t>
      </w:r>
      <w:r w:rsidRPr="007011C9">
        <w:rPr>
          <w:rFonts w:ascii="Times New Roman" w:eastAsia="Times New Roman" w:hAnsi="Times New Roman" w:cs="Times New Roman"/>
          <w:sz w:val="24"/>
          <w:szCs w:val="24"/>
        </w:rPr>
        <w:t xml:space="preserve"> </w:t>
      </w:r>
      <w:r w:rsidR="00BE7D19" w:rsidRPr="007011C9">
        <w:rPr>
          <w:rFonts w:ascii="Times New Roman" w:eastAsia="Times New Roman" w:hAnsi="Times New Roman" w:cs="Times New Roman"/>
          <w:sz w:val="24"/>
          <w:szCs w:val="24"/>
        </w:rPr>
        <w:t>N</w:t>
      </w:r>
      <w:r w:rsidRPr="007011C9">
        <w:rPr>
          <w:rFonts w:ascii="Times New Roman" w:eastAsia="Times New Roman" w:hAnsi="Times New Roman" w:cs="Times New Roman"/>
          <w:sz w:val="24"/>
          <w:szCs w:val="24"/>
        </w:rPr>
        <w:t>o desconto bancário</w:t>
      </w:r>
      <w:r w:rsidR="00BE7D19" w:rsidRPr="007011C9">
        <w:rPr>
          <w:rFonts w:ascii="Times New Roman" w:eastAsia="Times New Roman" w:hAnsi="Times New Roman" w:cs="Times New Roman"/>
          <w:sz w:val="24"/>
          <w:szCs w:val="24"/>
        </w:rPr>
        <w:t>,</w:t>
      </w:r>
      <w:r w:rsidRPr="007011C9">
        <w:rPr>
          <w:rFonts w:ascii="Times New Roman" w:eastAsia="Times New Roman" w:hAnsi="Times New Roman" w:cs="Times New Roman"/>
          <w:sz w:val="24"/>
          <w:szCs w:val="24"/>
        </w:rPr>
        <w:t xml:space="preserve"> a instituição financeira capta recursos de terceiros para efetuar a compra dos créditos, enquanto que no fomento mercantil a empresa de </w:t>
      </w:r>
      <w:proofErr w:type="spellStart"/>
      <w:r w:rsidRPr="007011C9">
        <w:rPr>
          <w:rFonts w:ascii="Times New Roman" w:eastAsia="Times New Roman" w:hAnsi="Times New Roman" w:cs="Times New Roman"/>
          <w:i/>
          <w:iCs/>
          <w:sz w:val="24"/>
          <w:szCs w:val="24"/>
        </w:rPr>
        <w:t>factoring</w:t>
      </w:r>
      <w:proofErr w:type="spellEnd"/>
      <w:r w:rsidRPr="007011C9">
        <w:rPr>
          <w:rFonts w:ascii="Times New Roman" w:eastAsia="Times New Roman" w:hAnsi="Times New Roman" w:cs="Times New Roman"/>
          <w:sz w:val="24"/>
          <w:szCs w:val="24"/>
        </w:rPr>
        <w:t xml:space="preserve"> não capta recursos de terceiros.</w:t>
      </w:r>
    </w:p>
    <w:p w14:paraId="136AB054" w14:textId="17ECFBF8" w:rsidR="00EF742C" w:rsidRPr="004957BB" w:rsidRDefault="00A47FDE" w:rsidP="004957BB">
      <w:pPr>
        <w:spacing w:line="240" w:lineRule="auto"/>
        <w:ind w:firstLine="566"/>
        <w:jc w:val="both"/>
        <w:rPr>
          <w:rFonts w:ascii="Times New Roman" w:eastAsia="Times New Roman" w:hAnsi="Times New Roman" w:cs="Times New Roman"/>
          <w:color w:val="00B050"/>
          <w:sz w:val="24"/>
          <w:szCs w:val="24"/>
        </w:rPr>
      </w:pPr>
      <w:r>
        <w:rPr>
          <w:rFonts w:ascii="Times New Roman" w:eastAsia="Times New Roman" w:hAnsi="Times New Roman" w:cs="Times New Roman"/>
          <w:sz w:val="24"/>
          <w:szCs w:val="24"/>
        </w:rPr>
        <w:t xml:space="preserve">Para a realização desses descontos e operações, a </w:t>
      </w:r>
      <w:proofErr w:type="spellStart"/>
      <w:r>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utiliza um sistema informatizado, onde o cliente vai até a empresa com um título de crédito para negociação, com o cheque endossado, e por meio de nota fiscal e comprovantes da transportadora que comprovam a entrega da mercadoria. Para a negociação desse cheque são feitas confirmações com o sacado (empresa devedora do título), via telefone e WhatsApp, solicitando uma confirmação por escrito se realmente existe uma operação mercantil entre as duas partes. </w:t>
      </w:r>
    </w:p>
    <w:p w14:paraId="7EFB4BE5" w14:textId="77777777"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Além disso, são levadas em conta consultas realizadas em órgãos oficiais e privados de controle ao crédito, como SPC, SERASA, CCF e etc. São também consultadas outras empresas credoras que também têm o poder de colocar o nome do usuário no cadastro de inadimplentes.</w:t>
      </w:r>
    </w:p>
    <w:p w14:paraId="099B980A" w14:textId="77777777"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Brasil, onde os índices de inadimplência acompanham as taxas de desemprego, manter o nome limpo pode ser um verdadeiro desafio.</w:t>
      </w:r>
      <w:r>
        <w:rPr>
          <w:rFonts w:ascii="Times New Roman" w:eastAsia="Times New Roman" w:hAnsi="Times New Roman" w:cs="Times New Roman"/>
          <w:color w:val="263238"/>
          <w:sz w:val="24"/>
          <w:szCs w:val="24"/>
          <w:highlight w:val="white"/>
        </w:rPr>
        <w:t xml:space="preserve"> </w:t>
      </w:r>
      <w:r>
        <w:rPr>
          <w:rFonts w:ascii="Times New Roman" w:eastAsia="Times New Roman" w:hAnsi="Times New Roman" w:cs="Times New Roman"/>
          <w:sz w:val="24"/>
          <w:szCs w:val="24"/>
        </w:rPr>
        <w:t>De modo geral, esses órgãos são os responsáveis pelas lista de inadimplentes no Brasil e servem para controlar essa relação de pessoas com nome sujo, além de servirem como "termômetros" da reputação dos consumidores.</w:t>
      </w:r>
    </w:p>
    <w:p w14:paraId="31247740" w14:textId="77777777"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Assembleia Nacional Constituinte de 1988 conseguiu incorporar um parâmetro novo nas relações de consumo do Brasil: o </w:t>
      </w:r>
      <w:hyperlink r:id="rId12">
        <w:r>
          <w:rPr>
            <w:rFonts w:ascii="Times New Roman" w:eastAsia="Times New Roman" w:hAnsi="Times New Roman" w:cs="Times New Roman"/>
            <w:sz w:val="24"/>
            <w:szCs w:val="24"/>
          </w:rPr>
          <w:t>Código de Defesa do Consumidor</w:t>
        </w:r>
      </w:hyperlink>
      <w:r>
        <w:rPr>
          <w:rFonts w:ascii="Times New Roman" w:eastAsia="Times New Roman" w:hAnsi="Times New Roman" w:cs="Times New Roman"/>
          <w:sz w:val="24"/>
          <w:szCs w:val="24"/>
        </w:rPr>
        <w:t>. E o CDC (Conselho de defesa do consumidor) estabelece, ao mesmo tempo, os direitos e obrigações do tomador de serviços financeiros e das instituições de crédito e financiamento, além de organizar as relações de consumo no país.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Conforme se pode ver no </w:t>
      </w:r>
      <w:hyperlink r:id="rId13">
        <w:r>
          <w:rPr>
            <w:rFonts w:ascii="Times New Roman" w:eastAsia="Times New Roman" w:hAnsi="Times New Roman" w:cs="Times New Roman"/>
            <w:sz w:val="24"/>
            <w:szCs w:val="24"/>
          </w:rPr>
          <w:t>Código de Defesa do Consumidor</w:t>
        </w:r>
      </w:hyperlink>
      <w:r>
        <w:rPr>
          <w:rFonts w:ascii="Times New Roman" w:eastAsia="Times New Roman" w:hAnsi="Times New Roman" w:cs="Times New Roman"/>
          <w:sz w:val="24"/>
          <w:szCs w:val="24"/>
        </w:rPr>
        <w:t> (artigo 43) diz:</w:t>
      </w:r>
    </w:p>
    <w:p w14:paraId="5EFF8DE4" w14:textId="77777777" w:rsidR="00EF742C" w:rsidRDefault="00EF742C">
      <w:pPr>
        <w:spacing w:line="240" w:lineRule="auto"/>
        <w:ind w:firstLine="1695"/>
        <w:jc w:val="both"/>
        <w:rPr>
          <w:rFonts w:ascii="Times New Roman" w:eastAsia="Times New Roman" w:hAnsi="Times New Roman" w:cs="Times New Roman"/>
          <w:sz w:val="24"/>
          <w:szCs w:val="24"/>
        </w:rPr>
      </w:pPr>
    </w:p>
    <w:p w14:paraId="0CF35426" w14:textId="77777777" w:rsidR="00EF742C" w:rsidRDefault="00A47FDE">
      <w:pPr>
        <w:spacing w:line="240" w:lineRule="auto"/>
        <w:ind w:left="226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4º - Os bancos de dados e cadastros relativos a consumidores, os serviços de proteção ao crédito e congêneres são considerados entidades de caráter público.</w:t>
      </w:r>
      <w:r>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sz w:val="20"/>
          <w:szCs w:val="20"/>
        </w:rPr>
        <w:t>Enquanto isso, a </w:t>
      </w:r>
      <w:hyperlink r:id="rId14">
        <w:r>
          <w:rPr>
            <w:rFonts w:ascii="Times New Roman" w:eastAsia="Times New Roman" w:hAnsi="Times New Roman" w:cs="Times New Roman"/>
            <w:sz w:val="20"/>
            <w:szCs w:val="20"/>
          </w:rPr>
          <w:t>Constituição Federal</w:t>
        </w:r>
      </w:hyperlink>
      <w:r>
        <w:rPr>
          <w:rFonts w:ascii="Times New Roman" w:eastAsia="Times New Roman" w:hAnsi="Times New Roman" w:cs="Times New Roman"/>
          <w:sz w:val="20"/>
          <w:szCs w:val="20"/>
        </w:rPr>
        <w:t> de 1988 implementava, em seu artigo </w:t>
      </w:r>
      <w:hyperlink r:id="rId15">
        <w:r>
          <w:rPr>
            <w:rFonts w:ascii="Times New Roman" w:eastAsia="Times New Roman" w:hAnsi="Times New Roman" w:cs="Times New Roman"/>
            <w:sz w:val="20"/>
            <w:szCs w:val="20"/>
            <w:u w:val="single"/>
          </w:rPr>
          <w:t>5º</w:t>
        </w:r>
      </w:hyperlink>
      <w:r>
        <w:rPr>
          <w:rFonts w:ascii="Times New Roman" w:eastAsia="Times New Roman" w:hAnsi="Times New Roman" w:cs="Times New Roman"/>
          <w:sz w:val="20"/>
          <w:szCs w:val="20"/>
        </w:rPr>
        <w:t xml:space="preserve">: X - são invioláveis a intimidade, a vida privada, a honra e a imagem das pessoas, </w:t>
      </w:r>
      <w:r>
        <w:rPr>
          <w:rFonts w:ascii="Times New Roman" w:eastAsia="Times New Roman" w:hAnsi="Times New Roman" w:cs="Times New Roman"/>
          <w:sz w:val="20"/>
          <w:szCs w:val="20"/>
        </w:rPr>
        <w:lastRenderedPageBreak/>
        <w:t>assegurado o direito a indenização pelo dano material ou moral decorrente de sua violação;</w:t>
      </w:r>
    </w:p>
    <w:p w14:paraId="6DEFF3FE" w14:textId="77777777" w:rsidR="00EF742C" w:rsidRDefault="00EF742C">
      <w:pPr>
        <w:spacing w:line="240" w:lineRule="auto"/>
        <w:ind w:left="2265"/>
        <w:jc w:val="both"/>
        <w:rPr>
          <w:rFonts w:ascii="Times New Roman" w:eastAsia="Times New Roman" w:hAnsi="Times New Roman" w:cs="Times New Roman"/>
          <w:sz w:val="24"/>
          <w:szCs w:val="24"/>
        </w:rPr>
      </w:pPr>
    </w:p>
    <w:p w14:paraId="29704E56" w14:textId="77777777"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Assim, ao mesmo tempo em que a legislação protege os abusos contra o consumidor, ela também define suas responsabilidades, permitindo a inclusão do nome dos devedores inadimplentes em cadastros restritivos como SERASA e SPC, impedindo-os de tomar novos empréstimos, enquanto não saldar as dívidas existentes. Enquanto seus débitos não forem quitados, eles permanecem no cadastro de devedores, ficando com os nomes sujos. (ROCHA, 2015)             </w:t>
      </w:r>
    </w:p>
    <w:p w14:paraId="547A04D8" w14:textId="336F3FF3"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contrato de </w:t>
      </w:r>
      <w:proofErr w:type="spellStart"/>
      <w:r>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sz w:val="24"/>
          <w:szCs w:val="24"/>
        </w:rPr>
        <w:t xml:space="preserve"> não se resume à cessão de crédito apenas, conforme visto anteriormente. Diz-se que se faz presente ainda, a prestação de serviços pelo </w:t>
      </w:r>
      <w:proofErr w:type="spellStart"/>
      <w:r>
        <w:rPr>
          <w:rFonts w:ascii="Times New Roman" w:eastAsia="Times New Roman" w:hAnsi="Times New Roman" w:cs="Times New Roman"/>
          <w:sz w:val="24"/>
          <w:szCs w:val="24"/>
        </w:rPr>
        <w:t>faturizador</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faturizado</w:t>
      </w:r>
      <w:proofErr w:type="spellEnd"/>
      <w:r>
        <w:rPr>
          <w:rFonts w:ascii="Times New Roman" w:eastAsia="Times New Roman" w:hAnsi="Times New Roman" w:cs="Times New Roman"/>
          <w:sz w:val="24"/>
          <w:szCs w:val="24"/>
        </w:rPr>
        <w:t>. Tais serviços envolvem a análise do risco (apuração sobre a eventual negativação dos nomes dos devedores originais junto ao</w:t>
      </w:r>
      <w:r w:rsidR="004957BB">
        <w:rPr>
          <w:rFonts w:ascii="Times New Roman" w:eastAsia="Times New Roman" w:hAnsi="Times New Roman" w:cs="Times New Roman"/>
          <w:sz w:val="24"/>
          <w:szCs w:val="24"/>
        </w:rPr>
        <w:t xml:space="preserve"> </w:t>
      </w:r>
      <w:r w:rsidR="004957BB" w:rsidRPr="007011C9">
        <w:rPr>
          <w:rFonts w:ascii="Times New Roman" w:eastAsia="Times New Roman" w:hAnsi="Times New Roman" w:cs="Times New Roman"/>
          <w:sz w:val="24"/>
          <w:szCs w:val="24"/>
        </w:rPr>
        <w:t>Serviço de Proteção ao Crédito</w:t>
      </w:r>
      <w:r w:rsidRPr="007011C9">
        <w:rPr>
          <w:rFonts w:ascii="Times New Roman" w:eastAsia="Times New Roman" w:hAnsi="Times New Roman" w:cs="Times New Roman"/>
          <w:sz w:val="24"/>
          <w:szCs w:val="24"/>
        </w:rPr>
        <w:t xml:space="preserve"> </w:t>
      </w:r>
      <w:r w:rsidR="004957BB" w:rsidRPr="007011C9">
        <w:rPr>
          <w:rFonts w:ascii="Times New Roman" w:eastAsia="Times New Roman" w:hAnsi="Times New Roman" w:cs="Times New Roman"/>
          <w:sz w:val="24"/>
          <w:szCs w:val="24"/>
        </w:rPr>
        <w:t>(</w:t>
      </w:r>
      <w:r w:rsidRPr="007011C9">
        <w:rPr>
          <w:rFonts w:ascii="Times New Roman" w:eastAsia="Times New Roman" w:hAnsi="Times New Roman" w:cs="Times New Roman"/>
          <w:sz w:val="24"/>
          <w:szCs w:val="24"/>
        </w:rPr>
        <w:t>SPC</w:t>
      </w:r>
      <w:proofErr w:type="gramStart"/>
      <w:r w:rsidR="004957BB" w:rsidRPr="007011C9">
        <w:rPr>
          <w:rFonts w:ascii="Times New Roman" w:eastAsia="Times New Roman" w:hAnsi="Times New Roman" w:cs="Times New Roman"/>
          <w:sz w:val="24"/>
          <w:szCs w:val="24"/>
        </w:rPr>
        <w:t xml:space="preserve">) </w:t>
      </w:r>
      <w:r w:rsidRPr="007011C9">
        <w:rPr>
          <w:rFonts w:ascii="Times New Roman" w:eastAsia="Times New Roman" w:hAnsi="Times New Roman" w:cs="Times New Roman"/>
          <w:sz w:val="24"/>
          <w:szCs w:val="24"/>
        </w:rPr>
        <w:t>,</w:t>
      </w:r>
      <w:proofErr w:type="gramEnd"/>
      <w:r w:rsidRPr="007011C9">
        <w:rPr>
          <w:rFonts w:ascii="Times New Roman" w:eastAsia="Times New Roman" w:hAnsi="Times New Roman" w:cs="Times New Roman"/>
          <w:sz w:val="24"/>
          <w:szCs w:val="24"/>
        </w:rPr>
        <w:t xml:space="preserve"> ao </w:t>
      </w:r>
      <w:r w:rsidR="004957BB" w:rsidRPr="007011C9">
        <w:rPr>
          <w:rFonts w:ascii="Times New Roman" w:eastAsia="Times New Roman" w:hAnsi="Times New Roman" w:cs="Times New Roman"/>
          <w:sz w:val="24"/>
          <w:szCs w:val="24"/>
        </w:rPr>
        <w:t>Serviços de Assessoria S.A (</w:t>
      </w:r>
      <w:r w:rsidRPr="007011C9">
        <w:rPr>
          <w:rFonts w:ascii="Times New Roman" w:eastAsia="Times New Roman" w:hAnsi="Times New Roman" w:cs="Times New Roman"/>
          <w:sz w:val="24"/>
          <w:szCs w:val="24"/>
        </w:rPr>
        <w:t>SERASA</w:t>
      </w:r>
      <w:r w:rsidR="004957BB" w:rsidRPr="007011C9">
        <w:rPr>
          <w:rFonts w:ascii="Times New Roman" w:eastAsia="Times New Roman" w:hAnsi="Times New Roman" w:cs="Times New Roman"/>
          <w:sz w:val="24"/>
          <w:szCs w:val="24"/>
        </w:rPr>
        <w:t xml:space="preserve">) </w:t>
      </w:r>
      <w:r w:rsidRPr="007011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 aos cartórios de protesto de títulos), e atividades de assessoria mercadológica, creditícia, gestão de crédito, acompanhamento de contas a receber, além de outras congêneres.</w:t>
      </w:r>
    </w:p>
    <w:p w14:paraId="08139122" w14:textId="71B38663" w:rsidR="0057038A" w:rsidRDefault="00A47FDE" w:rsidP="0057038A">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Sendo um conjunto de serviços de apoio gerencial e de fornecimento de recursos à empresa-cliente, mediante a venda de sua produção, </w:t>
      </w:r>
      <w:r w:rsidR="0041250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sz w:val="24"/>
          <w:szCs w:val="24"/>
        </w:rPr>
        <w:t xml:space="preserve"> pode ter como clientes pessoas jurídicas(empresas), visto que é um mecanismo intrinsecamente vinculado ao setor produtivo (de bens ou serviços).</w:t>
      </w:r>
    </w:p>
    <w:p w14:paraId="172C7224" w14:textId="77777777"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mercado financeiro, a inadimplência de clientes gera muitos desafios para os gestores lidarem, especialmente os das empresas de </w:t>
      </w:r>
      <w:proofErr w:type="spellStart"/>
      <w:r>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sz w:val="24"/>
          <w:szCs w:val="24"/>
        </w:rPr>
        <w:t>. Isso porque esse segmento de negócio é diferenciado dos empreendimentos mais tradicionais da área, como bancos e financeiras, tendo desafios próprios devido à forma específica de se trabalhar nele.</w:t>
      </w:r>
    </w:p>
    <w:p w14:paraId="1F237C7D" w14:textId="77777777"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atuar com a aquisição de direitos creditórios, mediante um valor à vista e com taxas de serviços e juros, de contas a receber a curto, médio ou longo prazo, o </w:t>
      </w:r>
      <w:proofErr w:type="spellStart"/>
      <w:r>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sz w:val="24"/>
          <w:szCs w:val="24"/>
        </w:rPr>
        <w:t xml:space="preserve"> precisa se precaver para diminuir os riscos de inadimplência.</w:t>
      </w:r>
      <w:r>
        <w:rPr>
          <w:rFonts w:ascii="Times New Roman" w:eastAsia="Times New Roman" w:hAnsi="Times New Roman" w:cs="Times New Roman"/>
          <w:color w:val="363636"/>
          <w:sz w:val="24"/>
          <w:szCs w:val="24"/>
          <w:highlight w:val="white"/>
        </w:rPr>
        <w:t xml:space="preserve"> </w:t>
      </w:r>
      <w:r>
        <w:rPr>
          <w:rFonts w:ascii="Times New Roman" w:eastAsia="Times New Roman" w:hAnsi="Times New Roman" w:cs="Times New Roman"/>
          <w:sz w:val="24"/>
          <w:szCs w:val="24"/>
        </w:rPr>
        <w:t xml:space="preserve">Isso porque, de modo distinto das instituições financeiras, além de se responsabilizar por ativos a receber, as empresas de fomento mercantil assumem os riscos existentes na venda a prazo, tal como a inadimplência. Nesse ponto, vale destacar que na antecipação de recebíveis, depois do desconto de duplicata ou cheque, a organização que pegou crédito se torna responsável pelos riscos e cobrança. </w:t>
      </w:r>
    </w:p>
    <w:p w14:paraId="2F6B7DBC" w14:textId="77777777"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Também é preciso ter em mente que, embora não seja responsável pela execução e solvência do crédito posteriormente, a </w:t>
      </w:r>
      <w:proofErr w:type="spellStart"/>
      <w:r>
        <w:rPr>
          <w:rFonts w:ascii="Times New Roman" w:eastAsia="Times New Roman" w:hAnsi="Times New Roman" w:cs="Times New Roman"/>
          <w:sz w:val="24"/>
          <w:szCs w:val="24"/>
        </w:rPr>
        <w:t>fatorizada</w:t>
      </w:r>
      <w:proofErr w:type="spellEnd"/>
      <w:r>
        <w:rPr>
          <w:rFonts w:ascii="Times New Roman" w:eastAsia="Times New Roman" w:hAnsi="Times New Roman" w:cs="Times New Roman"/>
          <w:sz w:val="24"/>
          <w:szCs w:val="24"/>
        </w:rPr>
        <w:t xml:space="preserve"> tem responsabilidades pela existência do crédito que será cedido na negociação. </w:t>
      </w:r>
      <w:r w:rsidR="0041250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sz w:val="24"/>
          <w:szCs w:val="24"/>
        </w:rPr>
        <w:t xml:space="preserve"> precisa checar a integridade e veracidade dos créditos que tomará para não cair em golpes ou ter maiores riscos de inadimplência.</w:t>
      </w:r>
    </w:p>
    <w:p w14:paraId="67C257F3" w14:textId="0D7F9E2A" w:rsidR="00EF742C" w:rsidRPr="00BE12AB" w:rsidRDefault="00A47FDE" w:rsidP="00BE12AB">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Conclui-se que existem algumas ações que uma </w:t>
      </w:r>
      <w:proofErr w:type="spellStart"/>
      <w:r>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sz w:val="24"/>
          <w:szCs w:val="24"/>
        </w:rPr>
        <w:t xml:space="preserve"> pode realizar para prevenir a inadimplência de clientes, como promover uma análise cadastral acurada e minuciosa dos cedentes, incluindo os documentos que possuem relação com seu patrimônio. Também pode fazer a avaliação frequente do </w:t>
      </w:r>
      <w:hyperlink r:id="rId16">
        <w:r>
          <w:rPr>
            <w:rFonts w:ascii="Times New Roman" w:eastAsia="Times New Roman" w:hAnsi="Times New Roman" w:cs="Times New Roman"/>
            <w:sz w:val="24"/>
            <w:szCs w:val="24"/>
          </w:rPr>
          <w:t>cadastro do cliente</w:t>
        </w:r>
      </w:hyperlink>
      <w:r>
        <w:rPr>
          <w:rFonts w:ascii="Times New Roman" w:eastAsia="Times New Roman" w:hAnsi="Times New Roman" w:cs="Times New Roman"/>
          <w:sz w:val="24"/>
          <w:szCs w:val="24"/>
        </w:rPr>
        <w:t>, contrato social, dentre outros.</w:t>
      </w:r>
    </w:p>
    <w:p w14:paraId="25B4E1BE" w14:textId="77777777" w:rsidR="00EF742C" w:rsidRDefault="00EF742C">
      <w:pPr>
        <w:spacing w:line="240" w:lineRule="auto"/>
        <w:rPr>
          <w:rFonts w:ascii="Times New Roman" w:eastAsia="Times New Roman" w:hAnsi="Times New Roman" w:cs="Times New Roman"/>
          <w:b/>
          <w:sz w:val="24"/>
          <w:szCs w:val="24"/>
        </w:rPr>
      </w:pPr>
    </w:p>
    <w:p w14:paraId="75519554" w14:textId="2B6AA5AE" w:rsidR="00BE12AB" w:rsidRPr="00EC640B" w:rsidRDefault="00EC640B" w:rsidP="00D91E7D">
      <w:pPr>
        <w:spacing w:before="120" w:after="100" w:afterAutospacing="1" w:line="240" w:lineRule="auto"/>
        <w:rPr>
          <w:rFonts w:ascii="Times New Roman" w:eastAsia="Times New Roman" w:hAnsi="Times New Roman" w:cs="Times New Roman"/>
          <w:b/>
          <w:sz w:val="24"/>
          <w:szCs w:val="24"/>
        </w:rPr>
      </w:pPr>
      <w:r w:rsidRPr="00EC640B">
        <w:rPr>
          <w:rFonts w:ascii="Times New Roman" w:eastAsia="Times New Roman" w:hAnsi="Times New Roman" w:cs="Times New Roman"/>
          <w:b/>
          <w:sz w:val="24"/>
          <w:szCs w:val="24"/>
        </w:rPr>
        <w:t xml:space="preserve">3.    </w:t>
      </w:r>
      <w:r>
        <w:rPr>
          <w:rFonts w:ascii="Times New Roman" w:eastAsia="Times New Roman" w:hAnsi="Times New Roman" w:cs="Times New Roman"/>
          <w:b/>
          <w:sz w:val="24"/>
          <w:szCs w:val="24"/>
        </w:rPr>
        <w:t xml:space="preserve">  </w:t>
      </w:r>
      <w:r w:rsidR="00A47FDE" w:rsidRPr="00EC640B">
        <w:rPr>
          <w:rFonts w:ascii="Times New Roman" w:eastAsia="Times New Roman" w:hAnsi="Times New Roman" w:cs="Times New Roman"/>
          <w:b/>
          <w:sz w:val="24"/>
          <w:szCs w:val="24"/>
        </w:rPr>
        <w:t>METODOLOGIA</w:t>
      </w:r>
    </w:p>
    <w:p w14:paraId="1A935B9B" w14:textId="77777777" w:rsidR="00EF742C" w:rsidRDefault="00A47FDE">
      <w:pPr>
        <w:tabs>
          <w:tab w:val="left" w:pos="230"/>
        </w:tabs>
        <w:spacing w:after="160" w:line="240" w:lineRule="auto"/>
        <w:ind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tipo de pesquisa adotado foi exploratório, visando abordar um problema ou questão de pesquisa que geralmente são assuntos com pouco ou nenhum estudo anterior a seu respeito. O objetivo desse tipo de estudo é procurar padrões. Adotou-se também na pesquisa, o método explicativo, que como o próprio nome diz, visa explicar a razão e o porquê das coisas, há um maior aprofundamento da realidade estudada. Inicialmente, a partir do tema proposto, foram definidos o problema e os objetivos, os quais permitem um projeto mais elaborado.</w:t>
      </w:r>
    </w:p>
    <w:p w14:paraId="222DFE49" w14:textId="77777777" w:rsidR="00EF742C" w:rsidRDefault="00EF742C">
      <w:pPr>
        <w:tabs>
          <w:tab w:val="left" w:pos="230"/>
        </w:tabs>
        <w:spacing w:line="240" w:lineRule="auto"/>
        <w:ind w:firstLine="1133"/>
        <w:jc w:val="both"/>
        <w:rPr>
          <w:rFonts w:ascii="Times New Roman" w:eastAsia="Times New Roman" w:hAnsi="Times New Roman" w:cs="Times New Roman"/>
          <w:sz w:val="24"/>
          <w:szCs w:val="24"/>
        </w:rPr>
      </w:pPr>
    </w:p>
    <w:p w14:paraId="5980FA1B" w14:textId="77777777" w:rsidR="00EF742C" w:rsidRDefault="00A47FDE">
      <w:pPr>
        <w:spacing w:after="160" w:line="240" w:lineRule="auto"/>
        <w:ind w:left="226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Formular um problema científico não constitui tarefa fácil. Para alguns, isto implica mesmo o exercício de certa capacidade que não é muito comum nos seres humanos. Todavia, não há como deixar de reconhecer que o treinamento desempenha papel fundamental nesse processo (GIL, 1996, p. 29).</w:t>
      </w:r>
    </w:p>
    <w:p w14:paraId="4407B181" w14:textId="77777777" w:rsidR="00EF742C" w:rsidRDefault="00EF742C">
      <w:pPr>
        <w:spacing w:line="240" w:lineRule="auto"/>
        <w:ind w:left="2268" w:hanging="1134"/>
        <w:jc w:val="both"/>
        <w:rPr>
          <w:rFonts w:ascii="Times New Roman" w:eastAsia="Times New Roman" w:hAnsi="Times New Roman" w:cs="Times New Roman"/>
          <w:sz w:val="24"/>
          <w:szCs w:val="24"/>
        </w:rPr>
      </w:pPr>
    </w:p>
    <w:p w14:paraId="76317794" w14:textId="77777777" w:rsidR="00EF742C" w:rsidRDefault="00A47FDE">
      <w:pPr>
        <w:tabs>
          <w:tab w:val="left" w:pos="230"/>
        </w:tabs>
        <w:spacing w:line="240" w:lineRule="auto"/>
        <w:ind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Partindo de uma revisão bibliográfica composta pelos principais autores na área, conclui-se que “as pesquisas descritivas têm um objetivo de descrever as características de determinada população ou fenômeno” (GIL, 2017, p. 45). A pesquisa bibliográfica tem um desenvolvimento diferente, pois, tem como base um material já elaborado, que varia de livros a artigos científicos. O método de abordagem utilizado foi o dedutivo, pois prezou-se por usar o raciocínio lógico para obter uma conclusão a respeito de determinadas premissas.</w:t>
      </w:r>
    </w:p>
    <w:p w14:paraId="62C5612C" w14:textId="77777777" w:rsidR="00EF742C" w:rsidRDefault="00A47FDE">
      <w:pPr>
        <w:tabs>
          <w:tab w:val="left" w:pos="230"/>
        </w:tabs>
        <w:spacing w:line="240" w:lineRule="auto"/>
        <w:ind w:firstLine="1133"/>
        <w:jc w:val="both"/>
        <w:rPr>
          <w:rFonts w:ascii="Times New Roman" w:eastAsia="Times New Roman" w:hAnsi="Times New Roman" w:cs="Times New Roman"/>
          <w:i/>
          <w:color w:val="FF0000"/>
          <w:sz w:val="24"/>
          <w:szCs w:val="24"/>
        </w:rPr>
      </w:pPr>
      <w:r>
        <w:rPr>
          <w:rFonts w:ascii="Times New Roman" w:eastAsia="Times New Roman" w:hAnsi="Times New Roman" w:cs="Times New Roman"/>
          <w:sz w:val="24"/>
          <w:szCs w:val="24"/>
        </w:rPr>
        <w:t>Quanto à natureza, a pesquisa foi quantitativa, porque as respostas foram quantificadas pela sua frequência. Este método trata sobre a melhor compreensão que o tema pode trazer com um sentido restrito, com o objetivo de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descrever os dados e dimensioná-los numericamente.</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Assim, através da análise dos dados é possível a obtenção clara das informações acerca da proposta do tema. (LAKATOS; MARCONI, 1991)</w:t>
      </w:r>
    </w:p>
    <w:p w14:paraId="492DD14A" w14:textId="77777777" w:rsidR="00EF742C" w:rsidRDefault="00EF742C">
      <w:pPr>
        <w:tabs>
          <w:tab w:val="left" w:pos="230"/>
        </w:tabs>
        <w:spacing w:line="240" w:lineRule="auto"/>
        <w:ind w:firstLine="1133"/>
        <w:jc w:val="both"/>
        <w:rPr>
          <w:rFonts w:ascii="Times New Roman" w:eastAsia="Times New Roman" w:hAnsi="Times New Roman" w:cs="Times New Roman"/>
          <w:sz w:val="24"/>
          <w:szCs w:val="24"/>
        </w:rPr>
      </w:pPr>
    </w:p>
    <w:p w14:paraId="7DC2EAD5" w14:textId="77777777" w:rsidR="00EF742C" w:rsidRDefault="00A47FDE">
      <w:pPr>
        <w:tabs>
          <w:tab w:val="left" w:pos="0"/>
        </w:tabs>
        <w:spacing w:line="240" w:lineRule="auto"/>
        <w:ind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pesquisa também foi qualitativa porque os dados que não são possíveis de </w:t>
      </w:r>
      <w:proofErr w:type="spellStart"/>
      <w:r>
        <w:rPr>
          <w:rFonts w:ascii="Times New Roman" w:eastAsia="Times New Roman" w:hAnsi="Times New Roman" w:cs="Times New Roman"/>
          <w:sz w:val="24"/>
          <w:szCs w:val="24"/>
        </w:rPr>
        <w:t>ser</w:t>
      </w:r>
      <w:proofErr w:type="spellEnd"/>
      <w:r>
        <w:rPr>
          <w:rFonts w:ascii="Times New Roman" w:eastAsia="Times New Roman" w:hAnsi="Times New Roman" w:cs="Times New Roman"/>
          <w:sz w:val="24"/>
          <w:szCs w:val="24"/>
        </w:rPr>
        <w:t xml:space="preserve"> quantificados foram interpretados por narrativas detalhadas, a fim de esclarecer para o leitor os fenômenos observados.</w:t>
      </w:r>
    </w:p>
    <w:p w14:paraId="39B7DD3F" w14:textId="77777777" w:rsidR="00EF742C" w:rsidRDefault="00A47FDE">
      <w:pPr>
        <w:tabs>
          <w:tab w:val="left" w:pos="0"/>
        </w:tabs>
        <w:spacing w:line="240" w:lineRule="auto"/>
        <w:ind w:firstLine="113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Quanto ao instrumento de levantamento de dados foi utilizado questionário com questões fechadas, de múltipla escolha, sendo que a escolha dos respondentes foi uma amostra não probabilística ou não aleatória, uma vez que coube ao pesquisador a escolha dos participantes da pesquisa.</w:t>
      </w:r>
    </w:p>
    <w:p w14:paraId="5DAF9B11" w14:textId="333ACE00" w:rsidR="00EF742C" w:rsidRDefault="00A47FDE">
      <w:pPr>
        <w:tabs>
          <w:tab w:val="left" w:pos="230"/>
        </w:tabs>
        <w:spacing w:line="240" w:lineRule="auto"/>
        <w:ind w:firstLine="1133"/>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O universo desta pesquisa se dá pela gama de clientes da empresa objeto da pesquisa, que é de 60 clientes</w:t>
      </w:r>
      <w:r w:rsidR="00CF317E">
        <w:rPr>
          <w:rFonts w:ascii="Times New Roman" w:eastAsia="Times New Roman" w:hAnsi="Times New Roman" w:cs="Times New Roman"/>
          <w:sz w:val="24"/>
          <w:szCs w:val="24"/>
        </w:rPr>
        <w:t>, para os quais foi enviado o questionário</w:t>
      </w:r>
      <w:r>
        <w:rPr>
          <w:rFonts w:ascii="Times New Roman" w:eastAsia="Times New Roman" w:hAnsi="Times New Roman" w:cs="Times New Roman"/>
          <w:sz w:val="24"/>
          <w:szCs w:val="24"/>
        </w:rPr>
        <w:t xml:space="preserve">, na região conhecida como Rua 44, em Goiânia, e a amostra por 11 clientes que responderam o questionário. Segundo a Secretaria Municipal de Comunicação (Secom) de Goiânia (2022), esta região conta com mais de 17 mil lojas e mais de 250 mil pessoas passam pela região semanalmente, sendo o objeto de estudo somente as empresas clientes da loja RG </w:t>
      </w:r>
      <w:proofErr w:type="spellStart"/>
      <w:r>
        <w:rPr>
          <w:rFonts w:ascii="Times New Roman" w:eastAsia="Times New Roman" w:hAnsi="Times New Roman" w:cs="Times New Roman"/>
          <w:sz w:val="24"/>
          <w:szCs w:val="24"/>
        </w:rPr>
        <w:t>Factoring</w:t>
      </w:r>
      <w:proofErr w:type="spellEnd"/>
      <w:r>
        <w:rPr>
          <w:rFonts w:ascii="Times New Roman" w:eastAsia="Times New Roman" w:hAnsi="Times New Roman" w:cs="Times New Roman"/>
          <w:sz w:val="24"/>
          <w:szCs w:val="24"/>
        </w:rPr>
        <w:t xml:space="preserve">, representando assim, </w:t>
      </w:r>
      <w:r w:rsidR="006B4658">
        <w:rPr>
          <w:rFonts w:ascii="Times New Roman" w:eastAsia="Times New Roman" w:hAnsi="Times New Roman" w:cs="Times New Roman"/>
          <w:sz w:val="24"/>
          <w:szCs w:val="24"/>
        </w:rPr>
        <w:t>aproximadamente</w:t>
      </w:r>
      <w:r>
        <w:rPr>
          <w:rFonts w:ascii="Times New Roman" w:eastAsia="Times New Roman" w:hAnsi="Times New Roman" w:cs="Times New Roman"/>
          <w:sz w:val="24"/>
          <w:szCs w:val="24"/>
        </w:rPr>
        <w:t xml:space="preserve"> 0</w:t>
      </w:r>
      <w:r w:rsidR="0068465E">
        <w:rPr>
          <w:rFonts w:ascii="Times New Roman" w:eastAsia="Times New Roman" w:hAnsi="Times New Roman" w:cs="Times New Roman"/>
          <w:sz w:val="24"/>
          <w:szCs w:val="24"/>
        </w:rPr>
        <w:t>,3</w:t>
      </w:r>
      <w:r>
        <w:rPr>
          <w:rFonts w:ascii="Times New Roman" w:eastAsia="Times New Roman" w:hAnsi="Times New Roman" w:cs="Times New Roman"/>
          <w:sz w:val="24"/>
          <w:szCs w:val="24"/>
        </w:rPr>
        <w:t>% das lojas presentes nesta região.</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Vale ressaltar que </w:t>
      </w:r>
      <w:r w:rsidR="00412506">
        <w:rPr>
          <w:rFonts w:ascii="Times New Roman" w:eastAsia="Times New Roman" w:hAnsi="Times New Roman" w:cs="Times New Roman"/>
          <w:sz w:val="24"/>
          <w:szCs w:val="24"/>
        </w:rPr>
        <w:t>se trata</w:t>
      </w:r>
      <w:r>
        <w:rPr>
          <w:rFonts w:ascii="Times New Roman" w:eastAsia="Times New Roman" w:hAnsi="Times New Roman" w:cs="Times New Roman"/>
          <w:sz w:val="24"/>
          <w:szCs w:val="24"/>
        </w:rPr>
        <w:t xml:space="preserve"> de estudo de caso, uma vez que o levantamento de dados deste projeto de pesquisa visa conhecer somente a realidade desta empresa, não sendo este estudo fundamento para um embasamento generalizado.</w:t>
      </w:r>
    </w:p>
    <w:p w14:paraId="157A6533" w14:textId="1630C55C" w:rsidR="00EF742C" w:rsidRPr="0037365A" w:rsidRDefault="0037365A" w:rsidP="00E60FD2">
      <w:pPr>
        <w:pStyle w:val="Ttulo1"/>
        <w:numPr>
          <w:ilvl w:val="0"/>
          <w:numId w:val="3"/>
        </w:numPr>
        <w:spacing w:before="240" w:after="240" w:line="240" w:lineRule="auto"/>
        <w:ind w:left="357" w:hanging="357"/>
      </w:pPr>
      <w:r w:rsidRPr="0037365A">
        <w:t xml:space="preserve"> </w:t>
      </w:r>
      <w:r w:rsidR="00A47FDE" w:rsidRPr="0037365A">
        <w:t>ANÁLISE DOS RESULTADOS</w:t>
      </w:r>
    </w:p>
    <w:p w14:paraId="0EEE31B7" w14:textId="77777777" w:rsidR="00EF742C" w:rsidRDefault="00A47FDE" w:rsidP="00863350">
      <w:pPr>
        <w:widowControl w:val="0"/>
        <w:spacing w:before="1" w:line="240" w:lineRule="auto"/>
        <w:ind w:right="232" w:firstLine="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seguir, encontram-se comentados e demonstrados, em forma de gráficos, os dados colhidos para cada questão do questionário aplicado, com a participação de 11 empresários nesta pesquisa.</w:t>
      </w:r>
    </w:p>
    <w:p w14:paraId="0F93248D" w14:textId="37AD0CC7" w:rsidR="00EF742C" w:rsidRDefault="0037365A" w:rsidP="00BE12AB">
      <w:pPr>
        <w:pStyle w:val="Ttulo1"/>
        <w:numPr>
          <w:ilvl w:val="0"/>
          <w:numId w:val="0"/>
        </w:numPr>
        <w:spacing w:before="120" w:line="240" w:lineRule="auto"/>
      </w:pPr>
      <w:r w:rsidRPr="00CF4EAE">
        <w:rPr>
          <w:b w:val="0"/>
          <w:bCs/>
        </w:rPr>
        <w:t>4.1</w:t>
      </w:r>
      <w:r w:rsidR="00CF4EAE">
        <w:t xml:space="preserve">  </w:t>
      </w:r>
      <w:r w:rsidR="00A47FDE" w:rsidRPr="00CF4EAE">
        <w:rPr>
          <w:b w:val="0"/>
          <w:bCs/>
        </w:rPr>
        <w:t xml:space="preserve"> Tamanho da empresa </w:t>
      </w:r>
    </w:p>
    <w:p w14:paraId="33559497" w14:textId="71FDB78E" w:rsidR="00EF742C" w:rsidRPr="00E00DF9" w:rsidRDefault="00A47FDE" w:rsidP="00863350">
      <w:pPr>
        <w:widowControl w:val="0"/>
        <w:spacing w:before="1" w:line="240" w:lineRule="auto"/>
        <w:ind w:right="232" w:firstLine="1134"/>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Questionados sobre qual o tamanho da empresa, foi respondido que 50% se consideram de médio porte, 40% pequeno porte e 10% de grande porte, sendo que a micro</w:t>
      </w:r>
      <w:r w:rsidR="00CF317E">
        <w:rPr>
          <w:rFonts w:ascii="Times New Roman" w:eastAsia="Times New Roman" w:hAnsi="Times New Roman" w:cs="Times New Roman"/>
          <w:sz w:val="24"/>
          <w:szCs w:val="24"/>
        </w:rPr>
        <w:t xml:space="preserve"> empresa</w:t>
      </w:r>
      <w:r>
        <w:rPr>
          <w:rFonts w:ascii="Times New Roman" w:eastAsia="Times New Roman" w:hAnsi="Times New Roman" w:cs="Times New Roman"/>
          <w:sz w:val="24"/>
          <w:szCs w:val="24"/>
        </w:rPr>
        <w:t xml:space="preserve"> não foi marcada (fig. 1). </w:t>
      </w:r>
    </w:p>
    <w:p w14:paraId="75322D15" w14:textId="77777777" w:rsidR="00EF742C" w:rsidRDefault="00EF742C">
      <w:pPr>
        <w:widowControl w:val="0"/>
        <w:spacing w:before="1" w:line="240" w:lineRule="auto"/>
        <w:ind w:left="221" w:right="232"/>
        <w:jc w:val="both"/>
        <w:rPr>
          <w:rFonts w:ascii="Times New Roman" w:eastAsia="Times New Roman" w:hAnsi="Times New Roman" w:cs="Times New Roman"/>
          <w:sz w:val="24"/>
          <w:szCs w:val="24"/>
        </w:rPr>
      </w:pPr>
    </w:p>
    <w:p w14:paraId="20F882BB" w14:textId="232EEDD9" w:rsidR="00EF742C" w:rsidRDefault="0068465E">
      <w:pPr>
        <w:spacing w:line="240" w:lineRule="auto"/>
        <w:jc w:val="center"/>
        <w:rPr>
          <w:rFonts w:ascii="Times New Roman" w:eastAsia="Times New Roman" w:hAnsi="Times New Roman" w:cs="Times New Roman"/>
          <w:b/>
          <w:sz w:val="24"/>
          <w:szCs w:val="24"/>
        </w:rPr>
      </w:pPr>
      <w:r w:rsidRPr="00C536EF">
        <w:rPr>
          <w:noProof/>
        </w:rPr>
        <w:lastRenderedPageBreak/>
        <w:drawing>
          <wp:inline distT="0" distB="0" distL="0" distR="0" wp14:anchorId="5A675C65" wp14:editId="20165640">
            <wp:extent cx="4718957" cy="2411185"/>
            <wp:effectExtent l="0" t="0" r="5715" b="8255"/>
            <wp:docPr id="1" name="Gráfico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8BBFC66" w14:textId="48F6436D" w:rsidR="00D77DBB" w:rsidRDefault="00A47FDE">
      <w:pPr>
        <w:spacing w:line="240" w:lineRule="auto"/>
        <w:jc w:val="center"/>
        <w:rPr>
          <w:rFonts w:ascii="Times New Roman" w:eastAsia="Times New Roman" w:hAnsi="Times New Roman" w:cs="Times New Roman"/>
          <w:sz w:val="20"/>
          <w:szCs w:val="20"/>
        </w:rPr>
      </w:pPr>
      <w:r w:rsidRPr="007011C9">
        <w:rPr>
          <w:rFonts w:ascii="Times New Roman" w:eastAsia="Times New Roman" w:hAnsi="Times New Roman" w:cs="Times New Roman"/>
          <w:sz w:val="20"/>
          <w:szCs w:val="20"/>
        </w:rPr>
        <w:t>F</w:t>
      </w:r>
      <w:r w:rsidR="004957BB" w:rsidRPr="007011C9">
        <w:rPr>
          <w:rFonts w:ascii="Times New Roman" w:eastAsia="Times New Roman" w:hAnsi="Times New Roman" w:cs="Times New Roman"/>
          <w:sz w:val="20"/>
          <w:szCs w:val="20"/>
        </w:rPr>
        <w:t>IG</w:t>
      </w:r>
      <w:r w:rsidRPr="007011C9">
        <w:rPr>
          <w:rFonts w:ascii="Times New Roman" w:eastAsia="Times New Roman" w:hAnsi="Times New Roman" w:cs="Times New Roman"/>
          <w:sz w:val="20"/>
          <w:szCs w:val="20"/>
        </w:rPr>
        <w:t xml:space="preserve">. 1 </w:t>
      </w:r>
      <w:r>
        <w:rPr>
          <w:rFonts w:ascii="Times New Roman" w:eastAsia="Times New Roman" w:hAnsi="Times New Roman" w:cs="Times New Roman"/>
          <w:sz w:val="20"/>
          <w:szCs w:val="20"/>
        </w:rPr>
        <w:t>– Questão acerca do tamanho da empresa.</w:t>
      </w:r>
    </w:p>
    <w:p w14:paraId="5ECEC54C" w14:textId="528652F3" w:rsidR="00EF742C" w:rsidRDefault="00A47FD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Fonte: </w:t>
      </w:r>
      <w:r w:rsidR="00CF317E">
        <w:rPr>
          <w:rFonts w:ascii="Times New Roman" w:eastAsia="Times New Roman" w:hAnsi="Times New Roman" w:cs="Times New Roman"/>
          <w:sz w:val="20"/>
          <w:szCs w:val="20"/>
        </w:rPr>
        <w:t>Dados da pesquisa</w:t>
      </w:r>
      <w:r>
        <w:rPr>
          <w:rFonts w:ascii="Times New Roman" w:eastAsia="Times New Roman" w:hAnsi="Times New Roman" w:cs="Times New Roman"/>
          <w:sz w:val="20"/>
          <w:szCs w:val="20"/>
        </w:rPr>
        <w:t>, 2022.</w:t>
      </w:r>
    </w:p>
    <w:p w14:paraId="42470E7B" w14:textId="19CB5195" w:rsidR="00EF742C" w:rsidRPr="00D91E7D" w:rsidRDefault="007F6223" w:rsidP="00D91E7D">
      <w:pPr>
        <w:pStyle w:val="Ttulo1"/>
        <w:numPr>
          <w:ilvl w:val="0"/>
          <w:numId w:val="0"/>
        </w:numPr>
        <w:spacing w:before="120" w:after="240" w:line="240" w:lineRule="auto"/>
        <w:rPr>
          <w:b w:val="0"/>
          <w:bCs/>
        </w:rPr>
      </w:pPr>
      <w:r w:rsidRPr="00EC640B">
        <w:rPr>
          <w:b w:val="0"/>
          <w:bCs/>
        </w:rPr>
        <w:t>4.2</w:t>
      </w:r>
      <w:r w:rsidR="00CF4EAE" w:rsidRPr="00EC640B">
        <w:rPr>
          <w:b w:val="0"/>
          <w:bCs/>
        </w:rPr>
        <w:t xml:space="preserve">   </w:t>
      </w:r>
      <w:r w:rsidR="00A47FDE" w:rsidRPr="00EC640B">
        <w:rPr>
          <w:b w:val="0"/>
          <w:bCs/>
        </w:rPr>
        <w:t xml:space="preserve"> Características da empresa</w:t>
      </w:r>
    </w:p>
    <w:p w14:paraId="0C7BDEC7" w14:textId="6C57AA28" w:rsidR="00EF742C" w:rsidRDefault="00A47FDE" w:rsidP="00CF4EA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 relação à segunda questão sobre a empresa ser </w:t>
      </w:r>
      <w:r w:rsidR="00CF4EA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tacadista, </w:t>
      </w:r>
      <w:r w:rsidR="00CF4EAE">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arejista ou </w:t>
      </w:r>
      <w:proofErr w:type="spellStart"/>
      <w:r w:rsidR="00CF4EAE">
        <w:rPr>
          <w:rFonts w:ascii="Times New Roman" w:eastAsia="Times New Roman" w:hAnsi="Times New Roman" w:cs="Times New Roman"/>
          <w:sz w:val="24"/>
          <w:szCs w:val="24"/>
        </w:rPr>
        <w:t>a</w:t>
      </w:r>
      <w:r>
        <w:rPr>
          <w:rFonts w:ascii="Times New Roman" w:eastAsia="Times New Roman" w:hAnsi="Times New Roman" w:cs="Times New Roman"/>
          <w:sz w:val="24"/>
          <w:szCs w:val="24"/>
        </w:rPr>
        <w:t>tacarejo</w:t>
      </w:r>
      <w:proofErr w:type="spellEnd"/>
      <w:r w:rsidR="00863350" w:rsidRPr="008633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foi respondido por 60% que se caracterizam como </w:t>
      </w:r>
      <w:proofErr w:type="spellStart"/>
      <w:r w:rsidR="00CF4EAE">
        <w:rPr>
          <w:rFonts w:ascii="Times New Roman" w:eastAsia="Times New Roman" w:hAnsi="Times New Roman" w:cs="Times New Roman"/>
          <w:sz w:val="24"/>
          <w:szCs w:val="24"/>
        </w:rPr>
        <w:t>a</w:t>
      </w:r>
      <w:r>
        <w:rPr>
          <w:rFonts w:ascii="Times New Roman" w:eastAsia="Times New Roman" w:hAnsi="Times New Roman" w:cs="Times New Roman"/>
          <w:sz w:val="24"/>
          <w:szCs w:val="24"/>
        </w:rPr>
        <w:t>tacarejo</w:t>
      </w:r>
      <w:proofErr w:type="spellEnd"/>
      <w:r>
        <w:rPr>
          <w:rFonts w:ascii="Times New Roman" w:eastAsia="Times New Roman" w:hAnsi="Times New Roman" w:cs="Times New Roman"/>
          <w:sz w:val="24"/>
          <w:szCs w:val="24"/>
        </w:rPr>
        <w:t xml:space="preserve">, e 40% como </w:t>
      </w:r>
      <w:r w:rsidR="00CF4EA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tacadista, sendo as empresas </w:t>
      </w:r>
      <w:r w:rsidR="00CF4EAE">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arejistas nulas (fig. 2). </w:t>
      </w:r>
    </w:p>
    <w:p w14:paraId="071E209C" w14:textId="48F2BB2B" w:rsidR="00EF742C" w:rsidRDefault="00EF2F86">
      <w:pPr>
        <w:spacing w:line="240" w:lineRule="auto"/>
        <w:jc w:val="center"/>
        <w:rPr>
          <w:rFonts w:ascii="Times New Roman" w:eastAsia="Times New Roman" w:hAnsi="Times New Roman" w:cs="Times New Roman"/>
          <w:sz w:val="24"/>
          <w:szCs w:val="24"/>
        </w:rPr>
      </w:pPr>
      <w:r w:rsidRPr="00C536EF">
        <w:rPr>
          <w:noProof/>
        </w:rPr>
        <w:drawing>
          <wp:inline distT="0" distB="0" distL="0" distR="0" wp14:anchorId="23033345" wp14:editId="5FC14C4D">
            <wp:extent cx="4868636" cy="2661557"/>
            <wp:effectExtent l="0" t="0" r="8255" b="5715"/>
            <wp:docPr id="2" name="Gráfico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9D5A982" w14:textId="6109EAC0" w:rsidR="00D77DBB" w:rsidRDefault="00A47FDE">
      <w:pPr>
        <w:spacing w:line="240" w:lineRule="auto"/>
        <w:jc w:val="center"/>
        <w:rPr>
          <w:rFonts w:ascii="Times New Roman" w:eastAsia="Times New Roman" w:hAnsi="Times New Roman" w:cs="Times New Roman"/>
          <w:sz w:val="20"/>
          <w:szCs w:val="20"/>
        </w:rPr>
      </w:pPr>
      <w:r w:rsidRPr="007011C9">
        <w:rPr>
          <w:rFonts w:ascii="Times New Roman" w:eastAsia="Times New Roman" w:hAnsi="Times New Roman" w:cs="Times New Roman"/>
          <w:sz w:val="20"/>
          <w:szCs w:val="20"/>
        </w:rPr>
        <w:t>F</w:t>
      </w:r>
      <w:r w:rsidR="004957BB" w:rsidRPr="007011C9">
        <w:rPr>
          <w:rFonts w:ascii="Times New Roman" w:eastAsia="Times New Roman" w:hAnsi="Times New Roman" w:cs="Times New Roman"/>
          <w:sz w:val="20"/>
          <w:szCs w:val="20"/>
        </w:rPr>
        <w:t>IG.</w:t>
      </w:r>
      <w:r w:rsidRPr="007011C9">
        <w:rPr>
          <w:rFonts w:ascii="Times New Roman" w:eastAsia="Times New Roman" w:hAnsi="Times New Roman" w:cs="Times New Roman"/>
          <w:sz w:val="20"/>
          <w:szCs w:val="20"/>
        </w:rPr>
        <w:t xml:space="preserve"> 2 </w:t>
      </w:r>
      <w:r>
        <w:rPr>
          <w:rFonts w:ascii="Times New Roman" w:eastAsia="Times New Roman" w:hAnsi="Times New Roman" w:cs="Times New Roman"/>
          <w:sz w:val="20"/>
          <w:szCs w:val="20"/>
        </w:rPr>
        <w:t xml:space="preserve">- Questão acerca da característica varejista, </w:t>
      </w:r>
      <w:proofErr w:type="spellStart"/>
      <w:r>
        <w:rPr>
          <w:rFonts w:ascii="Times New Roman" w:eastAsia="Times New Roman" w:hAnsi="Times New Roman" w:cs="Times New Roman"/>
          <w:sz w:val="20"/>
          <w:szCs w:val="20"/>
        </w:rPr>
        <w:t>atacarejo</w:t>
      </w:r>
      <w:proofErr w:type="spellEnd"/>
      <w:r>
        <w:rPr>
          <w:rFonts w:ascii="Times New Roman" w:eastAsia="Times New Roman" w:hAnsi="Times New Roman" w:cs="Times New Roman"/>
          <w:sz w:val="20"/>
          <w:szCs w:val="20"/>
        </w:rPr>
        <w:t xml:space="preserve"> ou atacadista. </w:t>
      </w:r>
    </w:p>
    <w:p w14:paraId="04D4B9D8" w14:textId="39AF7CDD" w:rsidR="00EF742C" w:rsidRDefault="00A47FD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Fonte: </w:t>
      </w:r>
      <w:r w:rsidR="00CF317E">
        <w:rPr>
          <w:rFonts w:ascii="Times New Roman" w:eastAsia="Times New Roman" w:hAnsi="Times New Roman" w:cs="Times New Roman"/>
          <w:sz w:val="20"/>
          <w:szCs w:val="20"/>
        </w:rPr>
        <w:t>Dados da pesquisa</w:t>
      </w:r>
      <w:r>
        <w:rPr>
          <w:rFonts w:ascii="Times New Roman" w:eastAsia="Times New Roman" w:hAnsi="Times New Roman" w:cs="Times New Roman"/>
          <w:sz w:val="20"/>
          <w:szCs w:val="20"/>
        </w:rPr>
        <w:t xml:space="preserve">, 2022. </w:t>
      </w:r>
    </w:p>
    <w:p w14:paraId="0B14F38E" w14:textId="156D089F" w:rsidR="00EF742C" w:rsidRPr="00EC640B" w:rsidRDefault="006A0851" w:rsidP="00D91E7D">
      <w:pPr>
        <w:pStyle w:val="Ttulo1"/>
        <w:numPr>
          <w:ilvl w:val="0"/>
          <w:numId w:val="0"/>
        </w:numPr>
        <w:spacing w:before="240" w:line="240" w:lineRule="auto"/>
        <w:rPr>
          <w:b w:val="0"/>
          <w:bCs/>
        </w:rPr>
      </w:pPr>
      <w:r w:rsidRPr="00EC640B">
        <w:rPr>
          <w:b w:val="0"/>
          <w:bCs/>
        </w:rPr>
        <w:t xml:space="preserve">4.3    </w:t>
      </w:r>
      <w:r w:rsidR="00A47FDE" w:rsidRPr="00EC640B">
        <w:rPr>
          <w:b w:val="0"/>
          <w:bCs/>
        </w:rPr>
        <w:t xml:space="preserve"> Frequência de utilização </w:t>
      </w:r>
    </w:p>
    <w:p w14:paraId="3DD03579" w14:textId="77777777" w:rsidR="00EF742C" w:rsidRDefault="00EF742C">
      <w:pPr>
        <w:spacing w:line="240" w:lineRule="auto"/>
        <w:ind w:firstLine="566"/>
        <w:jc w:val="both"/>
        <w:rPr>
          <w:rFonts w:ascii="Times New Roman" w:eastAsia="Times New Roman" w:hAnsi="Times New Roman" w:cs="Times New Roman"/>
          <w:sz w:val="24"/>
          <w:szCs w:val="24"/>
        </w:rPr>
      </w:pPr>
    </w:p>
    <w:p w14:paraId="77A04735" w14:textId="6E0578E1" w:rsidR="00EF742C" w:rsidRPr="004957BB" w:rsidRDefault="00A47FDE">
      <w:pPr>
        <w:spacing w:line="240" w:lineRule="auto"/>
        <w:ind w:firstLine="566"/>
        <w:jc w:val="both"/>
        <w:rPr>
          <w:rFonts w:ascii="Times New Roman" w:eastAsia="Times New Roman" w:hAnsi="Times New Roman" w:cs="Times New Roman"/>
          <w:color w:val="00B050"/>
          <w:sz w:val="24"/>
          <w:szCs w:val="24"/>
        </w:rPr>
      </w:pPr>
      <w:r>
        <w:rPr>
          <w:rFonts w:ascii="Times New Roman" w:eastAsia="Times New Roman" w:hAnsi="Times New Roman" w:cs="Times New Roman"/>
          <w:sz w:val="24"/>
          <w:szCs w:val="24"/>
        </w:rPr>
        <w:t xml:space="preserve">Quando questionados sobre a quantidade de frequência em que a empresa utiliza os recursos de </w:t>
      </w:r>
      <w:proofErr w:type="spellStart"/>
      <w:r w:rsidRPr="00863350">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sz w:val="24"/>
          <w:szCs w:val="24"/>
        </w:rPr>
        <w:t xml:space="preserve">, foi respondido que </w:t>
      </w:r>
      <w:r w:rsidR="004957BB" w:rsidRPr="007011C9">
        <w:rPr>
          <w:rFonts w:ascii="Times New Roman" w:eastAsia="Times New Roman" w:hAnsi="Times New Roman" w:cs="Times New Roman"/>
          <w:sz w:val="24"/>
          <w:szCs w:val="24"/>
        </w:rPr>
        <w:t>70</w:t>
      </w:r>
      <w:r w:rsidRPr="007011C9">
        <w:rPr>
          <w:rFonts w:ascii="Times New Roman" w:eastAsia="Times New Roman" w:hAnsi="Times New Roman" w:cs="Times New Roman"/>
          <w:sz w:val="24"/>
          <w:szCs w:val="24"/>
        </w:rPr>
        <w:t>% utiliza</w:t>
      </w:r>
      <w:r w:rsidR="006C1607" w:rsidRPr="007011C9">
        <w:rPr>
          <w:rFonts w:ascii="Times New Roman" w:eastAsia="Times New Roman" w:hAnsi="Times New Roman" w:cs="Times New Roman"/>
          <w:sz w:val="24"/>
          <w:szCs w:val="24"/>
        </w:rPr>
        <w:t>m</w:t>
      </w:r>
      <w:r w:rsidRPr="007011C9">
        <w:rPr>
          <w:rFonts w:ascii="Times New Roman" w:eastAsia="Times New Roman" w:hAnsi="Times New Roman" w:cs="Times New Roman"/>
          <w:sz w:val="24"/>
          <w:szCs w:val="24"/>
        </w:rPr>
        <w:t xml:space="preserve"> </w:t>
      </w:r>
      <w:r w:rsidR="004957BB" w:rsidRPr="007011C9">
        <w:rPr>
          <w:rFonts w:ascii="Times New Roman" w:eastAsia="Times New Roman" w:hAnsi="Times New Roman" w:cs="Times New Roman"/>
          <w:sz w:val="24"/>
          <w:szCs w:val="24"/>
        </w:rPr>
        <w:t>quase sempre,</w:t>
      </w:r>
      <w:r w:rsidRPr="007011C9">
        <w:rPr>
          <w:rFonts w:ascii="Times New Roman" w:eastAsia="Times New Roman" w:hAnsi="Times New Roman" w:cs="Times New Roman"/>
          <w:sz w:val="24"/>
          <w:szCs w:val="24"/>
        </w:rPr>
        <w:t xml:space="preserve"> 30% utiliza</w:t>
      </w:r>
      <w:r w:rsidR="006C1607" w:rsidRPr="007011C9">
        <w:rPr>
          <w:rFonts w:ascii="Times New Roman" w:eastAsia="Times New Roman" w:hAnsi="Times New Roman" w:cs="Times New Roman"/>
          <w:sz w:val="24"/>
          <w:szCs w:val="24"/>
        </w:rPr>
        <w:t>m</w:t>
      </w:r>
      <w:r w:rsidRPr="007011C9">
        <w:rPr>
          <w:rFonts w:ascii="Times New Roman" w:eastAsia="Times New Roman" w:hAnsi="Times New Roman" w:cs="Times New Roman"/>
          <w:sz w:val="24"/>
          <w:szCs w:val="24"/>
        </w:rPr>
        <w:t xml:space="preserve"> </w:t>
      </w:r>
      <w:r w:rsidR="004957BB" w:rsidRPr="007011C9">
        <w:rPr>
          <w:rFonts w:ascii="Times New Roman" w:eastAsia="Times New Roman" w:hAnsi="Times New Roman" w:cs="Times New Roman"/>
          <w:sz w:val="24"/>
          <w:szCs w:val="24"/>
        </w:rPr>
        <w:t>sempre</w:t>
      </w:r>
      <w:r w:rsidRPr="007011C9">
        <w:rPr>
          <w:rFonts w:ascii="Times New Roman" w:eastAsia="Times New Roman" w:hAnsi="Times New Roman" w:cs="Times New Roman"/>
          <w:sz w:val="24"/>
          <w:szCs w:val="24"/>
        </w:rPr>
        <w:t xml:space="preserve"> e 20% utiliza</w:t>
      </w:r>
      <w:r w:rsidR="006C1607" w:rsidRPr="007011C9">
        <w:rPr>
          <w:rFonts w:ascii="Times New Roman" w:eastAsia="Times New Roman" w:hAnsi="Times New Roman" w:cs="Times New Roman"/>
          <w:sz w:val="24"/>
          <w:szCs w:val="24"/>
        </w:rPr>
        <w:t>m</w:t>
      </w:r>
      <w:r w:rsidRPr="007011C9">
        <w:rPr>
          <w:rFonts w:ascii="Times New Roman" w:eastAsia="Times New Roman" w:hAnsi="Times New Roman" w:cs="Times New Roman"/>
          <w:sz w:val="24"/>
          <w:szCs w:val="24"/>
        </w:rPr>
        <w:t xml:space="preserve"> </w:t>
      </w:r>
      <w:r w:rsidR="004957BB" w:rsidRPr="007011C9">
        <w:rPr>
          <w:rFonts w:ascii="Times New Roman" w:eastAsia="Times New Roman" w:hAnsi="Times New Roman" w:cs="Times New Roman"/>
          <w:sz w:val="24"/>
          <w:szCs w:val="24"/>
        </w:rPr>
        <w:t>raramente</w:t>
      </w:r>
      <w:r w:rsidR="00C55FBE" w:rsidRPr="007011C9">
        <w:rPr>
          <w:rFonts w:ascii="Times New Roman" w:eastAsia="Times New Roman" w:hAnsi="Times New Roman" w:cs="Times New Roman"/>
          <w:sz w:val="24"/>
          <w:szCs w:val="24"/>
        </w:rPr>
        <w:t xml:space="preserve"> e</w:t>
      </w:r>
      <w:r w:rsidRPr="007011C9">
        <w:rPr>
          <w:rFonts w:ascii="Times New Roman" w:eastAsia="Times New Roman" w:hAnsi="Times New Roman" w:cs="Times New Roman"/>
          <w:sz w:val="24"/>
          <w:szCs w:val="24"/>
        </w:rPr>
        <w:t xml:space="preserve"> 0% </w:t>
      </w:r>
      <w:r w:rsidR="004957BB" w:rsidRPr="007011C9">
        <w:rPr>
          <w:rFonts w:ascii="Times New Roman" w:eastAsia="Times New Roman" w:hAnsi="Times New Roman" w:cs="Times New Roman"/>
          <w:sz w:val="24"/>
          <w:szCs w:val="24"/>
        </w:rPr>
        <w:t>as vezes</w:t>
      </w:r>
      <w:r w:rsidR="005E20E8" w:rsidRPr="007011C9">
        <w:rPr>
          <w:rFonts w:ascii="Times New Roman" w:eastAsia="Times New Roman" w:hAnsi="Times New Roman" w:cs="Times New Roman"/>
          <w:sz w:val="24"/>
          <w:szCs w:val="24"/>
        </w:rPr>
        <w:t xml:space="preserve"> (fig.</w:t>
      </w:r>
      <w:r w:rsidRPr="007011C9">
        <w:rPr>
          <w:rFonts w:ascii="Times New Roman" w:eastAsia="Times New Roman" w:hAnsi="Times New Roman" w:cs="Times New Roman"/>
          <w:sz w:val="24"/>
          <w:szCs w:val="24"/>
        </w:rPr>
        <w:t xml:space="preserve"> 3</w:t>
      </w:r>
      <w:r w:rsidR="002A4818" w:rsidRPr="007011C9">
        <w:rPr>
          <w:rFonts w:ascii="Times New Roman" w:eastAsia="Times New Roman" w:hAnsi="Times New Roman" w:cs="Times New Roman"/>
          <w:sz w:val="24"/>
          <w:szCs w:val="24"/>
        </w:rPr>
        <w:t>)</w:t>
      </w:r>
      <w:r w:rsidRPr="007011C9">
        <w:rPr>
          <w:rFonts w:ascii="Times New Roman" w:eastAsia="Times New Roman" w:hAnsi="Times New Roman" w:cs="Times New Roman"/>
          <w:sz w:val="24"/>
          <w:szCs w:val="24"/>
        </w:rPr>
        <w:t>.</w:t>
      </w:r>
    </w:p>
    <w:p w14:paraId="5AD8BDCE" w14:textId="77777777" w:rsidR="00EF742C" w:rsidRDefault="00EF742C">
      <w:pPr>
        <w:spacing w:line="240" w:lineRule="auto"/>
        <w:rPr>
          <w:rFonts w:ascii="Times New Roman" w:eastAsia="Times New Roman" w:hAnsi="Times New Roman" w:cs="Times New Roman"/>
          <w:sz w:val="24"/>
          <w:szCs w:val="24"/>
        </w:rPr>
      </w:pPr>
    </w:p>
    <w:p w14:paraId="47F663EC" w14:textId="0575E54F" w:rsidR="00EF742C" w:rsidRDefault="00905C92">
      <w:pPr>
        <w:spacing w:line="240" w:lineRule="auto"/>
        <w:jc w:val="center"/>
        <w:rPr>
          <w:rFonts w:ascii="Times New Roman" w:eastAsia="Times New Roman" w:hAnsi="Times New Roman" w:cs="Times New Roman"/>
          <w:sz w:val="20"/>
          <w:szCs w:val="20"/>
        </w:rPr>
      </w:pPr>
      <w:r>
        <w:rPr>
          <w:noProof/>
        </w:rPr>
        <w:lastRenderedPageBreak/>
        <w:drawing>
          <wp:inline distT="0" distB="0" distL="0" distR="0" wp14:anchorId="16EAA8BF" wp14:editId="7C30494A">
            <wp:extent cx="4868636" cy="2661557"/>
            <wp:effectExtent l="0" t="0" r="8255" b="5715"/>
            <wp:docPr id="3" name="Gráfico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26437A4" w14:textId="2F0FE6E8" w:rsidR="00D77DBB" w:rsidRDefault="00A47FDE">
      <w:pPr>
        <w:spacing w:line="240" w:lineRule="auto"/>
        <w:jc w:val="center"/>
        <w:rPr>
          <w:rFonts w:ascii="Times New Roman" w:eastAsia="Times New Roman" w:hAnsi="Times New Roman" w:cs="Times New Roman"/>
          <w:sz w:val="20"/>
          <w:szCs w:val="20"/>
        </w:rPr>
      </w:pPr>
      <w:r w:rsidRPr="007011C9">
        <w:rPr>
          <w:rFonts w:ascii="Times New Roman" w:eastAsia="Times New Roman" w:hAnsi="Times New Roman" w:cs="Times New Roman"/>
          <w:sz w:val="20"/>
          <w:szCs w:val="20"/>
        </w:rPr>
        <w:t>F</w:t>
      </w:r>
      <w:r w:rsidR="004957BB" w:rsidRPr="007011C9">
        <w:rPr>
          <w:rFonts w:ascii="Times New Roman" w:eastAsia="Times New Roman" w:hAnsi="Times New Roman" w:cs="Times New Roman"/>
          <w:sz w:val="20"/>
          <w:szCs w:val="20"/>
        </w:rPr>
        <w:t>IG</w:t>
      </w:r>
      <w:r w:rsidRPr="007011C9">
        <w:rPr>
          <w:rFonts w:ascii="Times New Roman" w:eastAsia="Times New Roman" w:hAnsi="Times New Roman" w:cs="Times New Roman"/>
          <w:sz w:val="20"/>
          <w:szCs w:val="20"/>
        </w:rPr>
        <w:t xml:space="preserve">. 3 </w:t>
      </w:r>
      <w:r>
        <w:rPr>
          <w:rFonts w:ascii="Times New Roman" w:eastAsia="Times New Roman" w:hAnsi="Times New Roman" w:cs="Times New Roman"/>
          <w:sz w:val="20"/>
          <w:szCs w:val="20"/>
        </w:rPr>
        <w:t xml:space="preserve">- Questão sobre a frequência de utilização do </w:t>
      </w:r>
      <w:proofErr w:type="spellStart"/>
      <w:r w:rsidRPr="00863350">
        <w:rPr>
          <w:rFonts w:ascii="Times New Roman" w:eastAsia="Times New Roman" w:hAnsi="Times New Roman" w:cs="Times New Roman"/>
          <w:i/>
          <w:sz w:val="20"/>
          <w:szCs w:val="20"/>
        </w:rPr>
        <w:t>factoring</w:t>
      </w:r>
      <w:proofErr w:type="spellEnd"/>
      <w:r>
        <w:rPr>
          <w:rFonts w:ascii="Times New Roman" w:eastAsia="Times New Roman" w:hAnsi="Times New Roman" w:cs="Times New Roman"/>
          <w:sz w:val="20"/>
          <w:szCs w:val="20"/>
        </w:rPr>
        <w:t xml:space="preserve">. </w:t>
      </w:r>
    </w:p>
    <w:p w14:paraId="69B75F6C" w14:textId="27E6B3F5" w:rsidR="00EF742C" w:rsidRDefault="00A47FD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Fonte: </w:t>
      </w:r>
      <w:r w:rsidR="00CF317E">
        <w:rPr>
          <w:rFonts w:ascii="Times New Roman" w:eastAsia="Times New Roman" w:hAnsi="Times New Roman" w:cs="Times New Roman"/>
          <w:sz w:val="20"/>
          <w:szCs w:val="20"/>
        </w:rPr>
        <w:t>Dados da pesquisa</w:t>
      </w:r>
      <w:r>
        <w:rPr>
          <w:rFonts w:ascii="Times New Roman" w:eastAsia="Times New Roman" w:hAnsi="Times New Roman" w:cs="Times New Roman"/>
          <w:sz w:val="20"/>
          <w:szCs w:val="20"/>
        </w:rPr>
        <w:t xml:space="preserve">, 2022. </w:t>
      </w:r>
    </w:p>
    <w:p w14:paraId="3AD4B210" w14:textId="77777777" w:rsidR="00EF742C" w:rsidRDefault="00EF742C">
      <w:pPr>
        <w:spacing w:line="240" w:lineRule="auto"/>
        <w:ind w:firstLine="566"/>
        <w:jc w:val="both"/>
        <w:rPr>
          <w:rFonts w:ascii="Times New Roman" w:eastAsia="Times New Roman" w:hAnsi="Times New Roman" w:cs="Times New Roman"/>
          <w:sz w:val="24"/>
          <w:szCs w:val="24"/>
        </w:rPr>
      </w:pPr>
    </w:p>
    <w:p w14:paraId="38C1455C" w14:textId="78850737" w:rsidR="00EF742C" w:rsidRPr="00EC640B" w:rsidRDefault="007F6223" w:rsidP="00D91E7D">
      <w:pPr>
        <w:pStyle w:val="Ttulo1"/>
        <w:numPr>
          <w:ilvl w:val="0"/>
          <w:numId w:val="0"/>
        </w:numPr>
        <w:spacing w:before="0" w:after="240"/>
        <w:rPr>
          <w:b w:val="0"/>
          <w:bCs/>
        </w:rPr>
      </w:pPr>
      <w:r w:rsidRPr="00EC640B">
        <w:rPr>
          <w:b w:val="0"/>
          <w:bCs/>
        </w:rPr>
        <w:t xml:space="preserve">4.4     </w:t>
      </w:r>
      <w:r w:rsidR="00A47FDE" w:rsidRPr="00EC640B">
        <w:rPr>
          <w:b w:val="0"/>
          <w:bCs/>
        </w:rPr>
        <w:t xml:space="preserve"> Prazo de pagamento</w:t>
      </w:r>
    </w:p>
    <w:p w14:paraId="698EA6C6" w14:textId="2C6B85F6"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respeito da pergunta sobre qual a frequência de prazo para pagamento concedido, foi respondido por 40% que o prazo é superior a 60 dias, outros 40% superior a 30 dias e inferior a 60, e apenas 20% afirmaram que é de</w:t>
      </w:r>
      <w:r w:rsidR="00963F7A">
        <w:rPr>
          <w:rFonts w:ascii="Times New Roman" w:eastAsia="Times New Roman" w:hAnsi="Times New Roman" w:cs="Times New Roman"/>
          <w:sz w:val="24"/>
          <w:szCs w:val="24"/>
        </w:rPr>
        <w:t xml:space="preserve"> até</w:t>
      </w:r>
      <w:r>
        <w:rPr>
          <w:rFonts w:ascii="Times New Roman" w:eastAsia="Times New Roman" w:hAnsi="Times New Roman" w:cs="Times New Roman"/>
          <w:sz w:val="24"/>
          <w:szCs w:val="24"/>
        </w:rPr>
        <w:t xml:space="preserve"> 30 dias. A opção somente à vista não foi computada </w:t>
      </w:r>
      <w:r w:rsidR="005E20E8">
        <w:rPr>
          <w:rFonts w:ascii="Times New Roman" w:eastAsia="Times New Roman" w:hAnsi="Times New Roman" w:cs="Times New Roman"/>
          <w:sz w:val="24"/>
          <w:szCs w:val="24"/>
        </w:rPr>
        <w:t>(</w:t>
      </w:r>
      <w:r>
        <w:rPr>
          <w:rFonts w:ascii="Times New Roman" w:eastAsia="Times New Roman" w:hAnsi="Times New Roman" w:cs="Times New Roman"/>
          <w:sz w:val="24"/>
          <w:szCs w:val="24"/>
        </w:rPr>
        <w:t>figura 4</w:t>
      </w:r>
      <w:r w:rsidR="005E20E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0A0D74B" w14:textId="77777777" w:rsidR="00EF742C" w:rsidRDefault="00EF742C">
      <w:pPr>
        <w:spacing w:line="240" w:lineRule="auto"/>
        <w:ind w:firstLine="566"/>
        <w:rPr>
          <w:rFonts w:ascii="Times New Roman" w:eastAsia="Times New Roman" w:hAnsi="Times New Roman" w:cs="Times New Roman"/>
          <w:sz w:val="24"/>
          <w:szCs w:val="24"/>
        </w:rPr>
      </w:pPr>
    </w:p>
    <w:p w14:paraId="55701829" w14:textId="0BE9F9D1" w:rsidR="00EF742C" w:rsidRDefault="00905C92">
      <w:pPr>
        <w:spacing w:line="240" w:lineRule="auto"/>
        <w:jc w:val="center"/>
        <w:rPr>
          <w:rFonts w:ascii="Times New Roman" w:eastAsia="Times New Roman" w:hAnsi="Times New Roman" w:cs="Times New Roman"/>
          <w:sz w:val="24"/>
          <w:szCs w:val="24"/>
        </w:rPr>
      </w:pPr>
      <w:r>
        <w:rPr>
          <w:noProof/>
        </w:rPr>
        <w:drawing>
          <wp:inline distT="0" distB="0" distL="0" distR="0" wp14:anchorId="2A217BD4" wp14:editId="7A8F25B6">
            <wp:extent cx="4751614" cy="2797629"/>
            <wp:effectExtent l="0" t="0" r="11430" b="3175"/>
            <wp:docPr id="4" name="Gráfico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85BB469" w14:textId="1133DB7D" w:rsidR="00D77DBB" w:rsidRDefault="00A47FDE">
      <w:pPr>
        <w:spacing w:line="240" w:lineRule="auto"/>
        <w:jc w:val="center"/>
        <w:rPr>
          <w:rFonts w:ascii="Times New Roman" w:eastAsia="Times New Roman" w:hAnsi="Times New Roman" w:cs="Times New Roman"/>
          <w:sz w:val="20"/>
          <w:szCs w:val="20"/>
        </w:rPr>
      </w:pPr>
      <w:r w:rsidRPr="007011C9">
        <w:rPr>
          <w:rFonts w:ascii="Times New Roman" w:eastAsia="Times New Roman" w:hAnsi="Times New Roman" w:cs="Times New Roman"/>
          <w:sz w:val="20"/>
          <w:szCs w:val="20"/>
        </w:rPr>
        <w:t>F</w:t>
      </w:r>
      <w:r w:rsidR="004957BB" w:rsidRPr="007011C9">
        <w:rPr>
          <w:rFonts w:ascii="Times New Roman" w:eastAsia="Times New Roman" w:hAnsi="Times New Roman" w:cs="Times New Roman"/>
          <w:sz w:val="20"/>
          <w:szCs w:val="20"/>
        </w:rPr>
        <w:t>IG</w:t>
      </w:r>
      <w:r w:rsidRPr="007011C9">
        <w:rPr>
          <w:rFonts w:ascii="Times New Roman" w:eastAsia="Times New Roman" w:hAnsi="Times New Roman" w:cs="Times New Roman"/>
          <w:sz w:val="20"/>
          <w:szCs w:val="20"/>
        </w:rPr>
        <w:t xml:space="preserve">. 4 </w:t>
      </w:r>
      <w:r>
        <w:rPr>
          <w:rFonts w:ascii="Times New Roman" w:eastAsia="Times New Roman" w:hAnsi="Times New Roman" w:cs="Times New Roman"/>
          <w:sz w:val="20"/>
          <w:szCs w:val="20"/>
        </w:rPr>
        <w:t xml:space="preserve">- Questão referente ao prazo de pagamento concedido. </w:t>
      </w:r>
    </w:p>
    <w:p w14:paraId="0124FFFB" w14:textId="099059E3" w:rsidR="00EF742C" w:rsidRDefault="00A47FD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Fonte: </w:t>
      </w:r>
      <w:r w:rsidR="00CF317E">
        <w:rPr>
          <w:rFonts w:ascii="Times New Roman" w:eastAsia="Times New Roman" w:hAnsi="Times New Roman" w:cs="Times New Roman"/>
          <w:sz w:val="20"/>
          <w:szCs w:val="20"/>
        </w:rPr>
        <w:t>Dados da pesquisa</w:t>
      </w:r>
      <w:r>
        <w:rPr>
          <w:rFonts w:ascii="Times New Roman" w:eastAsia="Times New Roman" w:hAnsi="Times New Roman" w:cs="Times New Roman"/>
          <w:sz w:val="20"/>
          <w:szCs w:val="20"/>
        </w:rPr>
        <w:t xml:space="preserve">, 2022. </w:t>
      </w:r>
    </w:p>
    <w:p w14:paraId="68912822" w14:textId="613D24C0" w:rsidR="00311954" w:rsidRPr="00767550" w:rsidRDefault="00311954" w:rsidP="00311954">
      <w:pPr>
        <w:spacing w:line="240" w:lineRule="auto"/>
        <w:ind w:firstLine="566"/>
        <w:jc w:val="both"/>
        <w:rPr>
          <w:rFonts w:ascii="Times New Roman" w:eastAsia="Times New Roman" w:hAnsi="Times New Roman" w:cs="Times New Roman"/>
          <w:color w:val="FF0000"/>
          <w:sz w:val="24"/>
          <w:szCs w:val="24"/>
        </w:rPr>
      </w:pPr>
    </w:p>
    <w:p w14:paraId="6D70F6FC" w14:textId="27215953" w:rsidR="00EF742C" w:rsidRPr="00EC640B" w:rsidRDefault="007F6223" w:rsidP="00E60FD2">
      <w:pPr>
        <w:pStyle w:val="Ttulo1"/>
        <w:numPr>
          <w:ilvl w:val="0"/>
          <w:numId w:val="0"/>
        </w:numPr>
        <w:spacing w:before="120" w:after="0" w:line="240" w:lineRule="auto"/>
        <w:rPr>
          <w:b w:val="0"/>
          <w:bCs/>
        </w:rPr>
      </w:pPr>
      <w:r w:rsidRPr="00EC640B">
        <w:rPr>
          <w:b w:val="0"/>
          <w:bCs/>
        </w:rPr>
        <w:t xml:space="preserve">4.5    </w:t>
      </w:r>
      <w:r w:rsidR="00A47FDE" w:rsidRPr="00EC640B">
        <w:rPr>
          <w:b w:val="0"/>
          <w:bCs/>
        </w:rPr>
        <w:t xml:space="preserve"> Sobre certificado do COAF</w:t>
      </w:r>
    </w:p>
    <w:p w14:paraId="21C0193E" w14:textId="77777777" w:rsidR="00EF742C" w:rsidRDefault="00EF742C">
      <w:pPr>
        <w:spacing w:line="240" w:lineRule="auto"/>
        <w:ind w:firstLine="566"/>
        <w:jc w:val="both"/>
        <w:rPr>
          <w:rFonts w:ascii="Times New Roman" w:eastAsia="Times New Roman" w:hAnsi="Times New Roman" w:cs="Times New Roman"/>
          <w:sz w:val="24"/>
          <w:szCs w:val="24"/>
        </w:rPr>
      </w:pPr>
    </w:p>
    <w:p w14:paraId="61952521" w14:textId="28C4B646"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Quando perguntado se o empresário pesquisa se a empresa de </w:t>
      </w:r>
      <w:proofErr w:type="spellStart"/>
      <w:r w:rsidRPr="0035336C">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sz w:val="24"/>
          <w:szCs w:val="24"/>
        </w:rPr>
        <w:t xml:space="preserve"> tem certificado cadastral no Coaf, que atesta a sua idoneidade, foi respondido por 50% que raramente pesquisam, 40% às vezes, e 10% raramente. A opção sempre não foi escolhida por nenhum respondente </w:t>
      </w:r>
      <w:r w:rsidR="005E20E8">
        <w:rPr>
          <w:rFonts w:ascii="Times New Roman" w:eastAsia="Times New Roman" w:hAnsi="Times New Roman" w:cs="Times New Roman"/>
          <w:sz w:val="24"/>
          <w:szCs w:val="24"/>
        </w:rPr>
        <w:t>(</w:t>
      </w:r>
      <w:r>
        <w:rPr>
          <w:rFonts w:ascii="Times New Roman" w:eastAsia="Times New Roman" w:hAnsi="Times New Roman" w:cs="Times New Roman"/>
          <w:sz w:val="24"/>
          <w:szCs w:val="24"/>
        </w:rPr>
        <w:t>figura 5</w:t>
      </w:r>
      <w:r w:rsidR="005E20E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31BE5960" w14:textId="77777777"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6E779169" w14:textId="1FCFA598" w:rsidR="00EF742C" w:rsidRDefault="00A47FD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05C92">
        <w:rPr>
          <w:noProof/>
        </w:rPr>
        <w:drawing>
          <wp:inline distT="0" distB="0" distL="0" distR="0" wp14:anchorId="7C1077AE" wp14:editId="441AE164">
            <wp:extent cx="4902654" cy="2764790"/>
            <wp:effectExtent l="0" t="0" r="12700" b="16510"/>
            <wp:docPr id="6" name="Gráfico 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C126BAB" w14:textId="0A47BCF2" w:rsidR="00D77DBB" w:rsidRDefault="00A47FD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sidR="004957BB">
        <w:rPr>
          <w:rFonts w:ascii="Times New Roman" w:eastAsia="Times New Roman" w:hAnsi="Times New Roman" w:cs="Times New Roman"/>
          <w:sz w:val="20"/>
          <w:szCs w:val="20"/>
        </w:rPr>
        <w:t>IG</w:t>
      </w:r>
      <w:r>
        <w:rPr>
          <w:rFonts w:ascii="Times New Roman" w:eastAsia="Times New Roman" w:hAnsi="Times New Roman" w:cs="Times New Roman"/>
          <w:sz w:val="20"/>
          <w:szCs w:val="20"/>
        </w:rPr>
        <w:t xml:space="preserve">. 5 - Questão referente pesquisa das empresas no </w:t>
      </w:r>
      <w:proofErr w:type="gramStart"/>
      <w:r>
        <w:rPr>
          <w:rFonts w:ascii="Times New Roman" w:eastAsia="Times New Roman" w:hAnsi="Times New Roman" w:cs="Times New Roman"/>
          <w:sz w:val="20"/>
          <w:szCs w:val="20"/>
        </w:rPr>
        <w:t>COAF .</w:t>
      </w:r>
      <w:proofErr w:type="gramEnd"/>
      <w:r>
        <w:rPr>
          <w:rFonts w:ascii="Times New Roman" w:eastAsia="Times New Roman" w:hAnsi="Times New Roman" w:cs="Times New Roman"/>
          <w:sz w:val="20"/>
          <w:szCs w:val="20"/>
        </w:rPr>
        <w:t xml:space="preserve"> </w:t>
      </w:r>
    </w:p>
    <w:p w14:paraId="69B96924" w14:textId="66B73BB4" w:rsidR="00EF742C" w:rsidRDefault="00A47FD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Fonte: </w:t>
      </w:r>
      <w:r w:rsidR="00CF317E">
        <w:rPr>
          <w:rFonts w:ascii="Times New Roman" w:eastAsia="Times New Roman" w:hAnsi="Times New Roman" w:cs="Times New Roman"/>
          <w:sz w:val="20"/>
          <w:szCs w:val="20"/>
        </w:rPr>
        <w:t>Dados da pesquisa</w:t>
      </w:r>
      <w:r>
        <w:rPr>
          <w:rFonts w:ascii="Times New Roman" w:eastAsia="Times New Roman" w:hAnsi="Times New Roman" w:cs="Times New Roman"/>
          <w:sz w:val="20"/>
          <w:szCs w:val="20"/>
        </w:rPr>
        <w:t xml:space="preserve">, 2022. </w:t>
      </w:r>
    </w:p>
    <w:p w14:paraId="09038B2F" w14:textId="77777777" w:rsidR="00EF742C" w:rsidRDefault="00EF742C">
      <w:pPr>
        <w:spacing w:line="240" w:lineRule="auto"/>
        <w:rPr>
          <w:rFonts w:ascii="Times New Roman" w:eastAsia="Times New Roman" w:hAnsi="Times New Roman" w:cs="Times New Roman"/>
          <w:sz w:val="20"/>
          <w:szCs w:val="20"/>
        </w:rPr>
      </w:pPr>
    </w:p>
    <w:p w14:paraId="45B83E18" w14:textId="5BD38497" w:rsidR="00EF742C" w:rsidRPr="0073282D" w:rsidRDefault="007F6223" w:rsidP="00E60FD2">
      <w:pPr>
        <w:pStyle w:val="Ttulo1"/>
        <w:numPr>
          <w:ilvl w:val="0"/>
          <w:numId w:val="0"/>
        </w:numPr>
        <w:spacing w:before="120" w:after="240" w:line="240" w:lineRule="auto"/>
        <w:rPr>
          <w:b w:val="0"/>
          <w:bCs/>
        </w:rPr>
      </w:pPr>
      <w:r w:rsidRPr="00EC640B">
        <w:rPr>
          <w:b w:val="0"/>
          <w:bCs/>
        </w:rPr>
        <w:t xml:space="preserve">4.6   </w:t>
      </w:r>
      <w:r w:rsidR="00D77DBB" w:rsidRPr="00EC640B">
        <w:rPr>
          <w:b w:val="0"/>
          <w:bCs/>
        </w:rPr>
        <w:t xml:space="preserve"> </w:t>
      </w:r>
      <w:r w:rsidRPr="00EC640B">
        <w:rPr>
          <w:b w:val="0"/>
          <w:bCs/>
        </w:rPr>
        <w:t xml:space="preserve"> </w:t>
      </w:r>
      <w:r w:rsidR="00D77DBB" w:rsidRPr="00EC640B">
        <w:rPr>
          <w:b w:val="0"/>
          <w:bCs/>
        </w:rPr>
        <w:t>Previsão</w:t>
      </w:r>
      <w:r w:rsidR="00A47FDE" w:rsidRPr="00EC640B">
        <w:rPr>
          <w:b w:val="0"/>
          <w:bCs/>
        </w:rPr>
        <w:t xml:space="preserve"> de Receita</w:t>
      </w:r>
    </w:p>
    <w:p w14:paraId="4832F170" w14:textId="5A55CF67" w:rsidR="00D77DBB" w:rsidRPr="00D77DBB" w:rsidRDefault="00A47FDE" w:rsidP="0073282D">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Referente ao grau de acerto da previsão de receita, 70% dos participantes responderam que há uma assertividade de 40% a 60% e 30% afirmaram ter uma assertividade na previsão </w:t>
      </w:r>
      <w:r w:rsidR="00D77DBB">
        <w:rPr>
          <w:rFonts w:ascii="Times New Roman" w:eastAsia="Times New Roman" w:hAnsi="Times New Roman" w:cs="Times New Roman"/>
          <w:sz w:val="24"/>
          <w:szCs w:val="24"/>
        </w:rPr>
        <w:t>da receita</w:t>
      </w:r>
      <w:r>
        <w:rPr>
          <w:rFonts w:ascii="Times New Roman" w:eastAsia="Times New Roman" w:hAnsi="Times New Roman" w:cs="Times New Roman"/>
          <w:sz w:val="24"/>
          <w:szCs w:val="24"/>
        </w:rPr>
        <w:t xml:space="preserve"> acima de 20% e até 40% dos casos (fig. 6)</w:t>
      </w:r>
      <w:r w:rsidR="00636AEA">
        <w:rPr>
          <w:rFonts w:ascii="Times New Roman" w:eastAsia="Times New Roman" w:hAnsi="Times New Roman" w:cs="Times New Roman"/>
          <w:sz w:val="24"/>
          <w:szCs w:val="24"/>
        </w:rPr>
        <w:t>.</w:t>
      </w:r>
    </w:p>
    <w:p w14:paraId="656543E8" w14:textId="7E956031" w:rsidR="00EF742C" w:rsidRDefault="00905C92">
      <w:pPr>
        <w:spacing w:line="240" w:lineRule="auto"/>
        <w:jc w:val="center"/>
        <w:rPr>
          <w:rFonts w:ascii="Times New Roman" w:eastAsia="Times New Roman" w:hAnsi="Times New Roman" w:cs="Times New Roman"/>
          <w:sz w:val="24"/>
          <w:szCs w:val="24"/>
        </w:rPr>
      </w:pPr>
      <w:r>
        <w:rPr>
          <w:noProof/>
        </w:rPr>
        <w:drawing>
          <wp:inline distT="0" distB="0" distL="0" distR="0" wp14:anchorId="43983948" wp14:editId="57F295D3">
            <wp:extent cx="4821010" cy="2661557"/>
            <wp:effectExtent l="0" t="0" r="17780" b="5715"/>
            <wp:docPr id="7" name="Gráfico 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8EAFC89" w14:textId="23AFF9E6" w:rsidR="00D77DBB" w:rsidRDefault="00A47FD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sidR="007011C9">
        <w:rPr>
          <w:rFonts w:ascii="Times New Roman" w:eastAsia="Times New Roman" w:hAnsi="Times New Roman" w:cs="Times New Roman"/>
          <w:sz w:val="20"/>
          <w:szCs w:val="20"/>
        </w:rPr>
        <w:t>IG</w:t>
      </w:r>
      <w:r>
        <w:rPr>
          <w:rFonts w:ascii="Times New Roman" w:eastAsia="Times New Roman" w:hAnsi="Times New Roman" w:cs="Times New Roman"/>
          <w:sz w:val="20"/>
          <w:szCs w:val="20"/>
        </w:rPr>
        <w:t xml:space="preserve">. 6 - Questão referente ao grau de acerto na previsão de receita. </w:t>
      </w:r>
    </w:p>
    <w:p w14:paraId="69E70B21" w14:textId="53DB73A4" w:rsidR="00EF742C" w:rsidRDefault="00A47FD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Fonte: </w:t>
      </w:r>
      <w:r w:rsidR="00CF317E">
        <w:rPr>
          <w:rFonts w:ascii="Times New Roman" w:eastAsia="Times New Roman" w:hAnsi="Times New Roman" w:cs="Times New Roman"/>
          <w:sz w:val="20"/>
          <w:szCs w:val="20"/>
        </w:rPr>
        <w:t>Dados da pesquisa</w:t>
      </w:r>
      <w:r>
        <w:rPr>
          <w:rFonts w:ascii="Times New Roman" w:eastAsia="Times New Roman" w:hAnsi="Times New Roman" w:cs="Times New Roman"/>
          <w:sz w:val="20"/>
          <w:szCs w:val="20"/>
        </w:rPr>
        <w:t xml:space="preserve">, 2022. </w:t>
      </w:r>
    </w:p>
    <w:p w14:paraId="5FA2D876" w14:textId="77777777" w:rsidR="00EF742C" w:rsidRDefault="00EF742C">
      <w:pPr>
        <w:spacing w:line="240" w:lineRule="auto"/>
        <w:rPr>
          <w:rFonts w:ascii="Times New Roman" w:eastAsia="Times New Roman" w:hAnsi="Times New Roman" w:cs="Times New Roman"/>
          <w:sz w:val="20"/>
          <w:szCs w:val="20"/>
        </w:rPr>
      </w:pPr>
    </w:p>
    <w:p w14:paraId="05572127" w14:textId="02434C15" w:rsidR="00EF742C" w:rsidRPr="007F6223" w:rsidRDefault="007F6223" w:rsidP="00E60FD2">
      <w:pPr>
        <w:pStyle w:val="Ttulo1"/>
        <w:numPr>
          <w:ilvl w:val="0"/>
          <w:numId w:val="0"/>
        </w:numPr>
        <w:spacing w:before="120" w:line="240" w:lineRule="auto"/>
        <w:rPr>
          <w:b w:val="0"/>
          <w:bCs/>
          <w:i/>
        </w:rPr>
      </w:pPr>
      <w:r w:rsidRPr="007F6223">
        <w:rPr>
          <w:b w:val="0"/>
          <w:bCs/>
        </w:rPr>
        <w:t xml:space="preserve">4.7    </w:t>
      </w:r>
      <w:r w:rsidR="00A47FDE" w:rsidRPr="007F6223">
        <w:rPr>
          <w:b w:val="0"/>
          <w:bCs/>
        </w:rPr>
        <w:t xml:space="preserve"> Frequência de utilização do </w:t>
      </w:r>
      <w:proofErr w:type="spellStart"/>
      <w:r w:rsidR="00A47FDE" w:rsidRPr="007F6223">
        <w:rPr>
          <w:b w:val="0"/>
          <w:bCs/>
          <w:i/>
        </w:rPr>
        <w:t>factoring</w:t>
      </w:r>
      <w:proofErr w:type="spellEnd"/>
    </w:p>
    <w:p w14:paraId="7A9F996D" w14:textId="77777777" w:rsidR="00EF742C" w:rsidRDefault="00EF742C">
      <w:pPr>
        <w:spacing w:line="240" w:lineRule="auto"/>
        <w:ind w:firstLine="566"/>
        <w:jc w:val="both"/>
        <w:rPr>
          <w:rFonts w:ascii="Times New Roman" w:eastAsia="Times New Roman" w:hAnsi="Times New Roman" w:cs="Times New Roman"/>
          <w:sz w:val="24"/>
          <w:szCs w:val="24"/>
        </w:rPr>
      </w:pPr>
    </w:p>
    <w:p w14:paraId="57CDD6A5" w14:textId="32FC18BF" w:rsidR="00EF742C" w:rsidRPr="00767550" w:rsidRDefault="00A47FDE" w:rsidP="0073282D">
      <w:pPr>
        <w:spacing w:after="120" w:line="240" w:lineRule="auto"/>
        <w:ind w:firstLine="567"/>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Acerca da frequência com que os empresários utilizam o sistema de </w:t>
      </w:r>
      <w:proofErr w:type="spellStart"/>
      <w:r w:rsidRPr="004A1244">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sz w:val="24"/>
          <w:szCs w:val="24"/>
        </w:rPr>
        <w:t xml:space="preserve"> para o fluxo de caixa, 70% responderam que utilizam quase sempre e 20% sempre, sendo que somente 10% responderam às vezes. Raramente não computou (fig. 7)</w:t>
      </w:r>
      <w:r w:rsidR="00CF4EAE">
        <w:rPr>
          <w:rFonts w:ascii="Times New Roman" w:eastAsia="Times New Roman" w:hAnsi="Times New Roman" w:cs="Times New Roman"/>
          <w:sz w:val="24"/>
          <w:szCs w:val="24"/>
        </w:rPr>
        <w:t>.</w:t>
      </w:r>
    </w:p>
    <w:p w14:paraId="0EB04F16" w14:textId="77777777" w:rsidR="00EF742C" w:rsidRDefault="00EF742C" w:rsidP="0073282D">
      <w:pPr>
        <w:spacing w:after="120" w:line="240" w:lineRule="auto"/>
        <w:rPr>
          <w:rFonts w:ascii="Times New Roman" w:eastAsia="Times New Roman" w:hAnsi="Times New Roman" w:cs="Times New Roman"/>
          <w:sz w:val="24"/>
          <w:szCs w:val="24"/>
        </w:rPr>
      </w:pPr>
    </w:p>
    <w:p w14:paraId="1CD6BBFC" w14:textId="62F06342" w:rsidR="00EF742C" w:rsidRDefault="00B313E4">
      <w:pPr>
        <w:spacing w:line="240" w:lineRule="auto"/>
        <w:jc w:val="center"/>
        <w:rPr>
          <w:rFonts w:ascii="Times New Roman" w:eastAsia="Times New Roman" w:hAnsi="Times New Roman" w:cs="Times New Roman"/>
          <w:sz w:val="24"/>
          <w:szCs w:val="24"/>
        </w:rPr>
      </w:pPr>
      <w:r>
        <w:rPr>
          <w:noProof/>
        </w:rPr>
        <w:lastRenderedPageBreak/>
        <w:drawing>
          <wp:inline distT="0" distB="0" distL="0" distR="0" wp14:anchorId="3B1CD4D0" wp14:editId="23EFE959">
            <wp:extent cx="4861831" cy="2641147"/>
            <wp:effectExtent l="0" t="0" r="15240" b="6985"/>
            <wp:docPr id="8" name="Gráfico 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4F686D7" w14:textId="1DC7F902" w:rsidR="00D77DBB" w:rsidRDefault="00A47FD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sidR="004957BB">
        <w:rPr>
          <w:rFonts w:ascii="Times New Roman" w:eastAsia="Times New Roman" w:hAnsi="Times New Roman" w:cs="Times New Roman"/>
          <w:sz w:val="20"/>
          <w:szCs w:val="20"/>
        </w:rPr>
        <w:t>IG</w:t>
      </w:r>
      <w:r>
        <w:rPr>
          <w:rFonts w:ascii="Times New Roman" w:eastAsia="Times New Roman" w:hAnsi="Times New Roman" w:cs="Times New Roman"/>
          <w:sz w:val="20"/>
          <w:szCs w:val="20"/>
        </w:rPr>
        <w:t xml:space="preserve">. 7 - Questão referente a frequência que utiliza o </w:t>
      </w:r>
      <w:proofErr w:type="spellStart"/>
      <w:r>
        <w:rPr>
          <w:rFonts w:ascii="Times New Roman" w:eastAsia="Times New Roman" w:hAnsi="Times New Roman" w:cs="Times New Roman"/>
          <w:sz w:val="20"/>
          <w:szCs w:val="20"/>
        </w:rPr>
        <w:t>factoring</w:t>
      </w:r>
      <w:proofErr w:type="spellEnd"/>
      <w:r>
        <w:rPr>
          <w:rFonts w:ascii="Times New Roman" w:eastAsia="Times New Roman" w:hAnsi="Times New Roman" w:cs="Times New Roman"/>
          <w:sz w:val="20"/>
          <w:szCs w:val="20"/>
        </w:rPr>
        <w:t xml:space="preserve">. </w:t>
      </w:r>
    </w:p>
    <w:p w14:paraId="309FCD35" w14:textId="37D747FA" w:rsidR="00EF742C" w:rsidRDefault="00A47FDE" w:rsidP="005E20E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Fonte: </w:t>
      </w:r>
      <w:r w:rsidR="00CF317E">
        <w:rPr>
          <w:rFonts w:ascii="Times New Roman" w:eastAsia="Times New Roman" w:hAnsi="Times New Roman" w:cs="Times New Roman"/>
          <w:sz w:val="20"/>
          <w:szCs w:val="20"/>
        </w:rPr>
        <w:t>Dados da pesquisa</w:t>
      </w:r>
      <w:r>
        <w:rPr>
          <w:rFonts w:ascii="Times New Roman" w:eastAsia="Times New Roman" w:hAnsi="Times New Roman" w:cs="Times New Roman"/>
          <w:sz w:val="20"/>
          <w:szCs w:val="20"/>
        </w:rPr>
        <w:t xml:space="preserve">, 2022. </w:t>
      </w:r>
    </w:p>
    <w:p w14:paraId="58F11DE8" w14:textId="77777777" w:rsidR="00E60FD2" w:rsidRPr="005E20E8" w:rsidRDefault="00E60FD2" w:rsidP="005E20E8">
      <w:pPr>
        <w:spacing w:line="240" w:lineRule="auto"/>
        <w:jc w:val="center"/>
        <w:rPr>
          <w:rFonts w:ascii="Times New Roman" w:eastAsia="Times New Roman" w:hAnsi="Times New Roman" w:cs="Times New Roman"/>
          <w:sz w:val="20"/>
          <w:szCs w:val="20"/>
        </w:rPr>
      </w:pPr>
    </w:p>
    <w:p w14:paraId="7D9041B1" w14:textId="123B143F" w:rsidR="00EF742C" w:rsidRPr="00EC640B" w:rsidRDefault="007F6223" w:rsidP="00E60FD2">
      <w:pPr>
        <w:pStyle w:val="Ttulo1"/>
        <w:numPr>
          <w:ilvl w:val="0"/>
          <w:numId w:val="0"/>
        </w:numPr>
        <w:spacing w:before="120" w:line="240" w:lineRule="auto"/>
        <w:rPr>
          <w:b w:val="0"/>
          <w:bCs/>
        </w:rPr>
      </w:pPr>
      <w:r w:rsidRPr="00EC640B">
        <w:rPr>
          <w:b w:val="0"/>
          <w:bCs/>
        </w:rPr>
        <w:t xml:space="preserve">4.8    </w:t>
      </w:r>
      <w:r w:rsidR="00A47FDE" w:rsidRPr="00EC640B">
        <w:rPr>
          <w:b w:val="0"/>
          <w:bCs/>
        </w:rPr>
        <w:t xml:space="preserve"> Sobre a realização de operação de crédito com agiota</w:t>
      </w:r>
    </w:p>
    <w:p w14:paraId="22352288" w14:textId="77777777" w:rsidR="00EF742C" w:rsidRDefault="00EF742C">
      <w:pPr>
        <w:spacing w:line="240" w:lineRule="auto"/>
        <w:ind w:firstLine="566"/>
        <w:jc w:val="both"/>
        <w:rPr>
          <w:rFonts w:ascii="Times New Roman" w:eastAsia="Times New Roman" w:hAnsi="Times New Roman" w:cs="Times New Roman"/>
          <w:sz w:val="24"/>
          <w:szCs w:val="24"/>
        </w:rPr>
      </w:pPr>
    </w:p>
    <w:p w14:paraId="6B7A7F5D" w14:textId="77777777" w:rsidR="00EF742C" w:rsidRDefault="00A47FDE" w:rsidP="0073282D">
      <w:pPr>
        <w:spacing w:after="12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 serem perguntados a respeito de realizações de operação de crédito com agiota, 50% responderam que realizam raramente, 40% utilizam nunca e 10% quase sempre, sempre não totalizou (fig. 8). </w:t>
      </w:r>
    </w:p>
    <w:p w14:paraId="55750952" w14:textId="77777777" w:rsidR="00EF742C" w:rsidRDefault="00EF742C">
      <w:pPr>
        <w:spacing w:line="240" w:lineRule="auto"/>
        <w:ind w:firstLine="566"/>
        <w:jc w:val="both"/>
        <w:rPr>
          <w:rFonts w:ascii="Times New Roman" w:eastAsia="Times New Roman" w:hAnsi="Times New Roman" w:cs="Times New Roman"/>
          <w:sz w:val="24"/>
          <w:szCs w:val="24"/>
        </w:rPr>
      </w:pPr>
    </w:p>
    <w:p w14:paraId="05F3766B" w14:textId="5E4FB9FC" w:rsidR="00EF742C" w:rsidRDefault="00C33E40">
      <w:pPr>
        <w:spacing w:line="240" w:lineRule="auto"/>
        <w:jc w:val="center"/>
        <w:rPr>
          <w:rFonts w:ascii="Times New Roman" w:eastAsia="Times New Roman" w:hAnsi="Times New Roman" w:cs="Times New Roman"/>
          <w:sz w:val="24"/>
          <w:szCs w:val="24"/>
        </w:rPr>
      </w:pPr>
      <w:r>
        <w:rPr>
          <w:noProof/>
        </w:rPr>
        <w:drawing>
          <wp:inline distT="0" distB="0" distL="0" distR="0" wp14:anchorId="339EDA8E" wp14:editId="7CA1940A">
            <wp:extent cx="4810125" cy="2641147"/>
            <wp:effectExtent l="0" t="0" r="9525" b="6985"/>
            <wp:docPr id="9" name="Gráfico 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812A25D" w14:textId="65893B7E" w:rsidR="00D77DBB" w:rsidRDefault="00A47FD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sidR="004957BB">
        <w:rPr>
          <w:rFonts w:ascii="Times New Roman" w:eastAsia="Times New Roman" w:hAnsi="Times New Roman" w:cs="Times New Roman"/>
          <w:sz w:val="20"/>
          <w:szCs w:val="20"/>
        </w:rPr>
        <w:t>IG</w:t>
      </w:r>
      <w:r>
        <w:rPr>
          <w:rFonts w:ascii="Times New Roman" w:eastAsia="Times New Roman" w:hAnsi="Times New Roman" w:cs="Times New Roman"/>
          <w:sz w:val="20"/>
          <w:szCs w:val="20"/>
        </w:rPr>
        <w:t xml:space="preserve">. 8 - Questão referente à utilização de operação de crédito com agiota. </w:t>
      </w:r>
    </w:p>
    <w:p w14:paraId="2DEBAC2B" w14:textId="7323F13A" w:rsidR="00EF742C" w:rsidRDefault="00A47FD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Fonte: </w:t>
      </w:r>
      <w:r w:rsidR="00CF317E">
        <w:rPr>
          <w:rFonts w:ascii="Times New Roman" w:eastAsia="Times New Roman" w:hAnsi="Times New Roman" w:cs="Times New Roman"/>
          <w:sz w:val="20"/>
          <w:szCs w:val="20"/>
        </w:rPr>
        <w:t>Dados da pesquisa</w:t>
      </w:r>
      <w:r>
        <w:rPr>
          <w:rFonts w:ascii="Times New Roman" w:eastAsia="Times New Roman" w:hAnsi="Times New Roman" w:cs="Times New Roman"/>
          <w:sz w:val="20"/>
          <w:szCs w:val="20"/>
        </w:rPr>
        <w:t>, 2022</w:t>
      </w:r>
    </w:p>
    <w:p w14:paraId="4538B40E" w14:textId="77777777" w:rsidR="00EF742C" w:rsidRDefault="00A47FD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87824D8" w14:textId="653B62C0" w:rsidR="00EF742C" w:rsidRPr="00543ED2" w:rsidRDefault="00CF4EAE" w:rsidP="00D91E7D">
      <w:pPr>
        <w:pStyle w:val="Ttulo1"/>
        <w:numPr>
          <w:ilvl w:val="0"/>
          <w:numId w:val="0"/>
        </w:numPr>
        <w:spacing w:before="120" w:after="100" w:afterAutospacing="1" w:line="240" w:lineRule="auto"/>
        <w:rPr>
          <w:b w:val="0"/>
          <w:bCs/>
        </w:rPr>
      </w:pPr>
      <w:r w:rsidRPr="00EC640B">
        <w:rPr>
          <w:b w:val="0"/>
          <w:bCs/>
        </w:rPr>
        <w:t xml:space="preserve">4.9    </w:t>
      </w:r>
      <w:r w:rsidR="00A47FDE" w:rsidRPr="00EC640B">
        <w:rPr>
          <w:b w:val="0"/>
          <w:bCs/>
        </w:rPr>
        <w:t xml:space="preserve"> Restrição nos últimos 12 meses</w:t>
      </w:r>
    </w:p>
    <w:p w14:paraId="242A2C64" w14:textId="77777777" w:rsidR="00EF742C" w:rsidRPr="00412506" w:rsidRDefault="00A47FDE" w:rsidP="00543ED2">
      <w:pPr>
        <w:spacing w:before="120" w:after="12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 serem questionados sobre restrições nos últimos 12 meses, 40% respondeu uma vez, 20% duas vezes, 20% mais de duas vezes e 20% nunca (fig. 9). </w:t>
      </w:r>
    </w:p>
    <w:p w14:paraId="00F5BB78" w14:textId="07052CDA" w:rsidR="00EF742C" w:rsidRDefault="00C33E40">
      <w:pPr>
        <w:spacing w:line="240" w:lineRule="auto"/>
        <w:jc w:val="center"/>
        <w:rPr>
          <w:rFonts w:ascii="Times New Roman" w:eastAsia="Times New Roman" w:hAnsi="Times New Roman" w:cs="Times New Roman"/>
          <w:sz w:val="20"/>
          <w:szCs w:val="20"/>
        </w:rPr>
      </w:pPr>
      <w:r>
        <w:rPr>
          <w:noProof/>
        </w:rPr>
        <w:lastRenderedPageBreak/>
        <w:drawing>
          <wp:inline distT="0" distB="0" distL="0" distR="0" wp14:anchorId="6C96526D" wp14:editId="1764B402">
            <wp:extent cx="4846864" cy="2647950"/>
            <wp:effectExtent l="0" t="0" r="11430" b="0"/>
            <wp:docPr id="10" name="Gráfico 1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E25947A" w14:textId="09B36D72" w:rsidR="00D77DBB" w:rsidRDefault="00A47FD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sidR="004957BB">
        <w:rPr>
          <w:rFonts w:ascii="Times New Roman" w:eastAsia="Times New Roman" w:hAnsi="Times New Roman" w:cs="Times New Roman"/>
          <w:sz w:val="20"/>
          <w:szCs w:val="20"/>
        </w:rPr>
        <w:t>IG</w:t>
      </w:r>
      <w:r>
        <w:rPr>
          <w:rFonts w:ascii="Times New Roman" w:eastAsia="Times New Roman" w:hAnsi="Times New Roman" w:cs="Times New Roman"/>
          <w:sz w:val="20"/>
          <w:szCs w:val="20"/>
        </w:rPr>
        <w:t xml:space="preserve">. 9 - Questão referente à restrição nos últimos 12 meses. </w:t>
      </w:r>
    </w:p>
    <w:p w14:paraId="32BDFAC4" w14:textId="67DA06F8" w:rsidR="00EF742C" w:rsidRDefault="00A47FD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Fonte: </w:t>
      </w:r>
      <w:r w:rsidR="00CF317E">
        <w:rPr>
          <w:rFonts w:ascii="Times New Roman" w:eastAsia="Times New Roman" w:hAnsi="Times New Roman" w:cs="Times New Roman"/>
          <w:sz w:val="20"/>
          <w:szCs w:val="20"/>
        </w:rPr>
        <w:t>Dados da pesquisa</w:t>
      </w:r>
      <w:r>
        <w:rPr>
          <w:rFonts w:ascii="Times New Roman" w:eastAsia="Times New Roman" w:hAnsi="Times New Roman" w:cs="Times New Roman"/>
          <w:sz w:val="20"/>
          <w:szCs w:val="20"/>
        </w:rPr>
        <w:t xml:space="preserve">, 2022. </w:t>
      </w:r>
    </w:p>
    <w:p w14:paraId="3D4A0C8B" w14:textId="77777777" w:rsidR="00EF742C" w:rsidRDefault="00EF742C">
      <w:pPr>
        <w:spacing w:line="240" w:lineRule="auto"/>
        <w:jc w:val="center"/>
        <w:rPr>
          <w:rFonts w:ascii="Times New Roman" w:eastAsia="Times New Roman" w:hAnsi="Times New Roman" w:cs="Times New Roman"/>
          <w:sz w:val="24"/>
          <w:szCs w:val="24"/>
        </w:rPr>
      </w:pPr>
    </w:p>
    <w:p w14:paraId="5CCFF414" w14:textId="2641B4FD" w:rsidR="005E20E8" w:rsidRPr="00EC640B" w:rsidRDefault="00CF4EAE" w:rsidP="00D91E7D">
      <w:pPr>
        <w:pStyle w:val="Ttulo1"/>
        <w:numPr>
          <w:ilvl w:val="0"/>
          <w:numId w:val="0"/>
        </w:numPr>
        <w:spacing w:before="120" w:after="240" w:line="240" w:lineRule="auto"/>
        <w:rPr>
          <w:b w:val="0"/>
          <w:bCs/>
          <w:i/>
        </w:rPr>
      </w:pPr>
      <w:r w:rsidRPr="00EC640B">
        <w:rPr>
          <w:b w:val="0"/>
          <w:bCs/>
        </w:rPr>
        <w:t xml:space="preserve">4.10   </w:t>
      </w:r>
      <w:r w:rsidR="00E560CD" w:rsidRPr="00EC640B">
        <w:rPr>
          <w:b w:val="0"/>
          <w:bCs/>
        </w:rPr>
        <w:t xml:space="preserve"> Motivação do uso da</w:t>
      </w:r>
      <w:r w:rsidR="00A47FDE" w:rsidRPr="00EC640B">
        <w:rPr>
          <w:b w:val="0"/>
          <w:bCs/>
        </w:rPr>
        <w:t xml:space="preserve"> </w:t>
      </w:r>
      <w:proofErr w:type="spellStart"/>
      <w:r w:rsidR="00A47FDE" w:rsidRPr="00EC640B">
        <w:rPr>
          <w:b w:val="0"/>
          <w:bCs/>
          <w:i/>
        </w:rPr>
        <w:t>factoring</w:t>
      </w:r>
      <w:proofErr w:type="spellEnd"/>
    </w:p>
    <w:p w14:paraId="30D39D53" w14:textId="77777777" w:rsidR="005E20E8" w:rsidRDefault="005E20E8" w:rsidP="005E20E8">
      <w:pPr>
        <w:spacing w:line="240" w:lineRule="auto"/>
        <w:ind w:firstLine="566"/>
        <w:jc w:val="both"/>
        <w:rPr>
          <w:rFonts w:ascii="Times New Roman" w:eastAsia="Times New Roman" w:hAnsi="Times New Roman" w:cs="Times New Roman"/>
          <w:i/>
          <w:sz w:val="24"/>
          <w:szCs w:val="24"/>
        </w:rPr>
      </w:pPr>
    </w:p>
    <w:p w14:paraId="41474EDF" w14:textId="78EFCDDA" w:rsidR="00EF742C" w:rsidRPr="005E20E8" w:rsidRDefault="00A47FDE" w:rsidP="005E20E8">
      <w:pPr>
        <w:spacing w:line="240" w:lineRule="auto"/>
        <w:ind w:firstLine="566"/>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Foi perguntado aos entrevistados por qual motivo levou os mesmos a </w:t>
      </w:r>
      <w:r w:rsidR="006A0851">
        <w:rPr>
          <w:rFonts w:ascii="Times New Roman" w:eastAsia="Times New Roman" w:hAnsi="Times New Roman" w:cs="Times New Roman"/>
          <w:sz w:val="24"/>
          <w:szCs w:val="24"/>
        </w:rPr>
        <w:t>recorrerem</w:t>
      </w:r>
      <w:r w:rsidR="00E560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aos recursos de </w:t>
      </w:r>
      <w:proofErr w:type="spellStart"/>
      <w:r w:rsidRPr="0035336C">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sz w:val="24"/>
          <w:szCs w:val="24"/>
        </w:rPr>
        <w:t xml:space="preserve"> e foi respondido por 60% que era para compra de mercadorias, 20% responde</w:t>
      </w:r>
      <w:r w:rsidR="00B93DFF">
        <w:rPr>
          <w:rFonts w:ascii="Times New Roman" w:eastAsia="Times New Roman" w:hAnsi="Times New Roman" w:cs="Times New Roman"/>
          <w:sz w:val="24"/>
          <w:szCs w:val="24"/>
        </w:rPr>
        <w:t>ram</w:t>
      </w:r>
      <w:r>
        <w:rPr>
          <w:rFonts w:ascii="Times New Roman" w:eastAsia="Times New Roman" w:hAnsi="Times New Roman" w:cs="Times New Roman"/>
          <w:sz w:val="24"/>
          <w:szCs w:val="24"/>
        </w:rPr>
        <w:t xml:space="preserve"> que era por falta de fluxo no caixa, 10% para pagamento de funcionários e 10% outros gastos, novos investimentos não totalizou (fig. 10). </w:t>
      </w:r>
    </w:p>
    <w:p w14:paraId="67A9930E" w14:textId="77777777" w:rsidR="00EF742C" w:rsidRDefault="00EF742C">
      <w:pPr>
        <w:spacing w:line="240" w:lineRule="auto"/>
        <w:jc w:val="both"/>
        <w:rPr>
          <w:rFonts w:ascii="Times New Roman" w:eastAsia="Times New Roman" w:hAnsi="Times New Roman" w:cs="Times New Roman"/>
          <w:sz w:val="24"/>
          <w:szCs w:val="24"/>
        </w:rPr>
      </w:pPr>
    </w:p>
    <w:p w14:paraId="6F7B7C51" w14:textId="0510E503" w:rsidR="00EF742C" w:rsidRDefault="00C33E40">
      <w:pPr>
        <w:spacing w:line="240" w:lineRule="auto"/>
        <w:jc w:val="center"/>
        <w:rPr>
          <w:rFonts w:ascii="Times New Roman" w:eastAsia="Times New Roman" w:hAnsi="Times New Roman" w:cs="Times New Roman"/>
          <w:sz w:val="24"/>
          <w:szCs w:val="24"/>
        </w:rPr>
      </w:pPr>
      <w:r>
        <w:rPr>
          <w:noProof/>
        </w:rPr>
        <w:drawing>
          <wp:inline distT="0" distB="0" distL="0" distR="0" wp14:anchorId="742E4475" wp14:editId="3A4F54EB">
            <wp:extent cx="4838700" cy="2647950"/>
            <wp:effectExtent l="0" t="0" r="0" b="0"/>
            <wp:docPr id="11" name="Gráfico 1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C4E0A08" w14:textId="77777777" w:rsidR="00577B33" w:rsidRDefault="00577B33">
      <w:pPr>
        <w:spacing w:line="240" w:lineRule="auto"/>
        <w:jc w:val="center"/>
        <w:rPr>
          <w:rFonts w:ascii="Times New Roman" w:eastAsia="Times New Roman" w:hAnsi="Times New Roman" w:cs="Times New Roman"/>
          <w:sz w:val="20"/>
          <w:szCs w:val="20"/>
        </w:rPr>
      </w:pPr>
    </w:p>
    <w:p w14:paraId="6F5D0F68" w14:textId="3374D611" w:rsidR="00D77DBB" w:rsidRDefault="00A47FD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sidR="004957BB">
        <w:rPr>
          <w:rFonts w:ascii="Times New Roman" w:eastAsia="Times New Roman" w:hAnsi="Times New Roman" w:cs="Times New Roman"/>
          <w:sz w:val="20"/>
          <w:szCs w:val="20"/>
        </w:rPr>
        <w:t>IG</w:t>
      </w:r>
      <w:r>
        <w:rPr>
          <w:rFonts w:ascii="Times New Roman" w:eastAsia="Times New Roman" w:hAnsi="Times New Roman" w:cs="Times New Roman"/>
          <w:sz w:val="20"/>
          <w:szCs w:val="20"/>
        </w:rPr>
        <w:t xml:space="preserve">. 10 - Questão referente ao que levou a recorrer ao </w:t>
      </w:r>
      <w:proofErr w:type="spellStart"/>
      <w:r w:rsidRPr="0035336C">
        <w:rPr>
          <w:rFonts w:ascii="Times New Roman" w:eastAsia="Times New Roman" w:hAnsi="Times New Roman" w:cs="Times New Roman"/>
          <w:i/>
          <w:sz w:val="20"/>
          <w:szCs w:val="20"/>
        </w:rPr>
        <w:t>factoring</w:t>
      </w:r>
      <w:proofErr w:type="spellEnd"/>
      <w:r>
        <w:rPr>
          <w:rFonts w:ascii="Times New Roman" w:eastAsia="Times New Roman" w:hAnsi="Times New Roman" w:cs="Times New Roman"/>
          <w:sz w:val="20"/>
          <w:szCs w:val="20"/>
        </w:rPr>
        <w:t xml:space="preserve">. </w:t>
      </w:r>
    </w:p>
    <w:p w14:paraId="6024FCD8" w14:textId="63CF0AF8" w:rsidR="00EF742C" w:rsidRDefault="00A47FD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Fonte: </w:t>
      </w:r>
      <w:r w:rsidR="00CF317E">
        <w:rPr>
          <w:rFonts w:ascii="Times New Roman" w:eastAsia="Times New Roman" w:hAnsi="Times New Roman" w:cs="Times New Roman"/>
          <w:sz w:val="20"/>
          <w:szCs w:val="20"/>
        </w:rPr>
        <w:t>Dados da pesquisa</w:t>
      </w:r>
      <w:r>
        <w:rPr>
          <w:rFonts w:ascii="Times New Roman" w:eastAsia="Times New Roman" w:hAnsi="Times New Roman" w:cs="Times New Roman"/>
          <w:sz w:val="20"/>
          <w:szCs w:val="20"/>
        </w:rPr>
        <w:t xml:space="preserve">, 2022. </w:t>
      </w:r>
    </w:p>
    <w:p w14:paraId="0604D240" w14:textId="77777777" w:rsidR="00EF742C" w:rsidRDefault="00EF742C">
      <w:pPr>
        <w:spacing w:line="240" w:lineRule="auto"/>
        <w:rPr>
          <w:rFonts w:ascii="Times New Roman" w:eastAsia="Times New Roman" w:hAnsi="Times New Roman" w:cs="Times New Roman"/>
          <w:sz w:val="24"/>
          <w:szCs w:val="24"/>
        </w:rPr>
      </w:pPr>
    </w:p>
    <w:p w14:paraId="02028452" w14:textId="55C32370" w:rsidR="005E20E8" w:rsidRPr="00EC640B" w:rsidRDefault="007F6223" w:rsidP="00D91E7D">
      <w:pPr>
        <w:pStyle w:val="Ttulo1"/>
        <w:numPr>
          <w:ilvl w:val="0"/>
          <w:numId w:val="0"/>
        </w:numPr>
        <w:spacing w:before="120" w:after="240" w:line="240" w:lineRule="auto"/>
        <w:rPr>
          <w:b w:val="0"/>
          <w:bCs/>
        </w:rPr>
      </w:pPr>
      <w:r w:rsidRPr="00EC640B">
        <w:rPr>
          <w:b w:val="0"/>
          <w:bCs/>
        </w:rPr>
        <w:t xml:space="preserve">4.11   </w:t>
      </w:r>
      <w:r w:rsidR="00A47FDE" w:rsidRPr="00EC640B">
        <w:rPr>
          <w:b w:val="0"/>
          <w:bCs/>
        </w:rPr>
        <w:t xml:space="preserve"> Financeira ou </w:t>
      </w:r>
      <w:proofErr w:type="spellStart"/>
      <w:r w:rsidR="00A47FDE" w:rsidRPr="00EC640B">
        <w:rPr>
          <w:b w:val="0"/>
          <w:bCs/>
          <w:i/>
        </w:rPr>
        <w:t>Factoring</w:t>
      </w:r>
      <w:proofErr w:type="spellEnd"/>
      <w:r w:rsidR="00A47FDE" w:rsidRPr="00EC640B">
        <w:rPr>
          <w:b w:val="0"/>
          <w:bCs/>
        </w:rPr>
        <w:t>?</w:t>
      </w:r>
    </w:p>
    <w:p w14:paraId="359AF191" w14:textId="77777777" w:rsidR="00EF742C" w:rsidRDefault="00A47FDE" w:rsidP="005E20E8">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Ao </w:t>
      </w:r>
      <w:r w:rsidR="006059C6">
        <w:rPr>
          <w:rFonts w:ascii="Times New Roman" w:eastAsia="Times New Roman" w:hAnsi="Times New Roman" w:cs="Times New Roman"/>
          <w:sz w:val="24"/>
          <w:szCs w:val="24"/>
        </w:rPr>
        <w:t>serem questionados a respeito do</w:t>
      </w:r>
      <w:r>
        <w:rPr>
          <w:rFonts w:ascii="Times New Roman" w:eastAsia="Times New Roman" w:hAnsi="Times New Roman" w:cs="Times New Roman"/>
          <w:sz w:val="24"/>
          <w:szCs w:val="24"/>
        </w:rPr>
        <w:t xml:space="preserve"> porqu</w:t>
      </w:r>
      <w:r w:rsidR="00E560CD">
        <w:rPr>
          <w:rFonts w:ascii="Times New Roman" w:eastAsia="Times New Roman" w:hAnsi="Times New Roman" w:cs="Times New Roman"/>
          <w:sz w:val="24"/>
          <w:szCs w:val="24"/>
        </w:rPr>
        <w:t>ê</w:t>
      </w:r>
      <w:r>
        <w:rPr>
          <w:rFonts w:ascii="Times New Roman" w:eastAsia="Times New Roman" w:hAnsi="Times New Roman" w:cs="Times New Roman"/>
          <w:sz w:val="24"/>
          <w:szCs w:val="24"/>
        </w:rPr>
        <w:t xml:space="preserve"> preferiram utilizar uma </w:t>
      </w:r>
      <w:proofErr w:type="spellStart"/>
      <w:r w:rsidRPr="00B93DFF">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sz w:val="24"/>
          <w:szCs w:val="24"/>
        </w:rPr>
        <w:t xml:space="preserve"> ao invés de uma financeira, foi respondido por 40% que é por haver menos burocracia, já outros 40% por ser mais ágil, e 20% por terem restrição em órgãos de recuperação de crédito (fig. 11) </w:t>
      </w:r>
    </w:p>
    <w:p w14:paraId="14320EDD" w14:textId="77777777" w:rsidR="00EF742C" w:rsidRDefault="00EF742C">
      <w:pPr>
        <w:spacing w:line="240" w:lineRule="auto"/>
        <w:rPr>
          <w:rFonts w:ascii="Times New Roman" w:eastAsia="Times New Roman" w:hAnsi="Times New Roman" w:cs="Times New Roman"/>
          <w:sz w:val="24"/>
          <w:szCs w:val="24"/>
        </w:rPr>
      </w:pPr>
    </w:p>
    <w:p w14:paraId="5F70EDD4" w14:textId="2957F881" w:rsidR="00EF742C" w:rsidRDefault="00C33E40">
      <w:pPr>
        <w:spacing w:line="240" w:lineRule="auto"/>
        <w:jc w:val="center"/>
        <w:rPr>
          <w:rFonts w:ascii="Times New Roman" w:eastAsia="Times New Roman" w:hAnsi="Times New Roman" w:cs="Times New Roman"/>
          <w:sz w:val="24"/>
          <w:szCs w:val="24"/>
        </w:rPr>
      </w:pPr>
      <w:r>
        <w:rPr>
          <w:noProof/>
        </w:rPr>
        <w:drawing>
          <wp:inline distT="0" distB="0" distL="0" distR="0" wp14:anchorId="2EE523A3" wp14:editId="0E964C62">
            <wp:extent cx="4838700" cy="2641146"/>
            <wp:effectExtent l="0" t="0" r="0" b="6985"/>
            <wp:docPr id="12" name="Gráfico 1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A60CB0A" w14:textId="147DF1BA" w:rsidR="00D77DBB" w:rsidRDefault="00A47FD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w:t>
      </w:r>
      <w:r w:rsidR="004957BB">
        <w:rPr>
          <w:rFonts w:ascii="Times New Roman" w:eastAsia="Times New Roman" w:hAnsi="Times New Roman" w:cs="Times New Roman"/>
          <w:sz w:val="20"/>
          <w:szCs w:val="20"/>
        </w:rPr>
        <w:t>IG</w:t>
      </w:r>
      <w:r>
        <w:rPr>
          <w:rFonts w:ascii="Times New Roman" w:eastAsia="Times New Roman" w:hAnsi="Times New Roman" w:cs="Times New Roman"/>
          <w:sz w:val="20"/>
          <w:szCs w:val="20"/>
        </w:rPr>
        <w:t xml:space="preserve">. 11 - Referente ao motivo de escolherem a </w:t>
      </w:r>
      <w:proofErr w:type="spellStart"/>
      <w:r>
        <w:rPr>
          <w:rFonts w:ascii="Times New Roman" w:eastAsia="Times New Roman" w:hAnsi="Times New Roman" w:cs="Times New Roman"/>
          <w:sz w:val="20"/>
          <w:szCs w:val="20"/>
        </w:rPr>
        <w:t>factoring</w:t>
      </w:r>
      <w:proofErr w:type="spellEnd"/>
      <w:r>
        <w:rPr>
          <w:rFonts w:ascii="Times New Roman" w:eastAsia="Times New Roman" w:hAnsi="Times New Roman" w:cs="Times New Roman"/>
          <w:sz w:val="20"/>
          <w:szCs w:val="20"/>
        </w:rPr>
        <w:t xml:space="preserve"> ao invés de uma financeira</w:t>
      </w:r>
      <w:r w:rsidR="00D77DBB">
        <w:rPr>
          <w:rFonts w:ascii="Times New Roman" w:eastAsia="Times New Roman" w:hAnsi="Times New Roman" w:cs="Times New Roman"/>
          <w:sz w:val="20"/>
          <w:szCs w:val="20"/>
        </w:rPr>
        <w:t>.</w:t>
      </w:r>
    </w:p>
    <w:p w14:paraId="3E59FD20" w14:textId="180EE45E" w:rsidR="00412506" w:rsidRDefault="00A47FDE" w:rsidP="005E20E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Fonte: </w:t>
      </w:r>
      <w:r w:rsidR="00CF317E">
        <w:rPr>
          <w:rFonts w:ascii="Times New Roman" w:eastAsia="Times New Roman" w:hAnsi="Times New Roman" w:cs="Times New Roman"/>
          <w:sz w:val="20"/>
          <w:szCs w:val="20"/>
        </w:rPr>
        <w:t>Dados da pesquisa</w:t>
      </w:r>
      <w:r>
        <w:rPr>
          <w:rFonts w:ascii="Times New Roman" w:eastAsia="Times New Roman" w:hAnsi="Times New Roman" w:cs="Times New Roman"/>
          <w:sz w:val="20"/>
          <w:szCs w:val="20"/>
        </w:rPr>
        <w:t xml:space="preserve">, 2022. </w:t>
      </w:r>
    </w:p>
    <w:p w14:paraId="1D507AD6" w14:textId="7A8C47BD" w:rsidR="00EF742C" w:rsidRDefault="00EC640B" w:rsidP="00D91E7D">
      <w:pPr>
        <w:pStyle w:val="Ttulo1"/>
        <w:spacing w:before="100" w:beforeAutospacing="1" w:after="100" w:afterAutospacing="1" w:line="240" w:lineRule="auto"/>
        <w:ind w:left="357" w:hanging="357"/>
      </w:pPr>
      <w:r>
        <w:t xml:space="preserve">   </w:t>
      </w:r>
      <w:r w:rsidR="00A47FDE">
        <w:t>CONSIDERAÇÕES FINAIS</w:t>
      </w:r>
    </w:p>
    <w:p w14:paraId="14FAE3F5" w14:textId="4CFB355C"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Nas últimas duas décadas, </w:t>
      </w:r>
      <w:r w:rsidR="0041250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proofErr w:type="spellStart"/>
      <w:r w:rsidRPr="00B93DFF">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sz w:val="24"/>
          <w:szCs w:val="24"/>
        </w:rPr>
        <w:t xml:space="preserve"> ganhou espaço para crescer no Brasil, em relação à compra e venda de crédito empresarial comercial ou ativos financeiros ou indústria. É uma poderosa ferramenta de alavancagem financeira de pequenas e médias empresas porque pode</w:t>
      </w:r>
      <w:r w:rsidR="00AD0B5E">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trocar contas a receber por dinheiro, aumentando assim o caixa da organização.</w:t>
      </w:r>
    </w:p>
    <w:p w14:paraId="7807E6CC" w14:textId="614BB00F" w:rsidR="002A4818" w:rsidRDefault="00AD0B5E" w:rsidP="002A4818">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2A4818">
        <w:rPr>
          <w:rFonts w:ascii="Times New Roman" w:eastAsia="Times New Roman" w:hAnsi="Times New Roman" w:cs="Times New Roman"/>
          <w:sz w:val="24"/>
          <w:szCs w:val="24"/>
        </w:rPr>
        <w:t xml:space="preserve"> objetivo geral d</w:t>
      </w:r>
      <w:r w:rsidR="00DC3B40">
        <w:rPr>
          <w:rFonts w:ascii="Times New Roman" w:eastAsia="Times New Roman" w:hAnsi="Times New Roman" w:cs="Times New Roman"/>
          <w:sz w:val="24"/>
          <w:szCs w:val="24"/>
        </w:rPr>
        <w:t>este</w:t>
      </w:r>
      <w:r w:rsidR="002A4818">
        <w:rPr>
          <w:rFonts w:ascii="Times New Roman" w:eastAsia="Times New Roman" w:hAnsi="Times New Roman" w:cs="Times New Roman"/>
          <w:sz w:val="24"/>
          <w:szCs w:val="24"/>
        </w:rPr>
        <w:t xml:space="preserve"> estudo foi </w:t>
      </w:r>
      <w:r w:rsidR="00A72A81">
        <w:rPr>
          <w:rFonts w:ascii="Times New Roman" w:eastAsia="Times New Roman" w:hAnsi="Times New Roman" w:cs="Times New Roman"/>
          <w:sz w:val="24"/>
          <w:szCs w:val="24"/>
        </w:rPr>
        <w:t>identifica</w:t>
      </w:r>
      <w:r w:rsidR="002A4818">
        <w:rPr>
          <w:rFonts w:ascii="Times New Roman" w:eastAsia="Times New Roman" w:hAnsi="Times New Roman" w:cs="Times New Roman"/>
          <w:sz w:val="24"/>
          <w:szCs w:val="24"/>
        </w:rPr>
        <w:t xml:space="preserve">r as principais </w:t>
      </w:r>
      <w:r w:rsidR="002A4818" w:rsidRPr="007011C9">
        <w:rPr>
          <w:rFonts w:ascii="Times New Roman" w:eastAsia="Times New Roman" w:hAnsi="Times New Roman" w:cs="Times New Roman"/>
          <w:sz w:val="24"/>
          <w:szCs w:val="24"/>
        </w:rPr>
        <w:t>características</w:t>
      </w:r>
      <w:r w:rsidR="00A72A81" w:rsidRPr="007011C9">
        <w:rPr>
          <w:rFonts w:ascii="Times New Roman" w:eastAsia="Times New Roman" w:hAnsi="Times New Roman" w:cs="Times New Roman"/>
          <w:sz w:val="24"/>
          <w:szCs w:val="24"/>
        </w:rPr>
        <w:t xml:space="preserve"> e perfil</w:t>
      </w:r>
      <w:r w:rsidR="002A4818" w:rsidRPr="007011C9">
        <w:rPr>
          <w:rFonts w:ascii="Times New Roman" w:eastAsia="Times New Roman" w:hAnsi="Times New Roman" w:cs="Times New Roman"/>
          <w:sz w:val="24"/>
          <w:szCs w:val="24"/>
        </w:rPr>
        <w:t xml:space="preserve"> </w:t>
      </w:r>
      <w:r w:rsidR="002A4818">
        <w:rPr>
          <w:rFonts w:ascii="Times New Roman" w:eastAsia="Times New Roman" w:hAnsi="Times New Roman" w:cs="Times New Roman"/>
          <w:sz w:val="24"/>
          <w:szCs w:val="24"/>
        </w:rPr>
        <w:t xml:space="preserve">das empresas que buscam recursos na </w:t>
      </w:r>
      <w:proofErr w:type="spellStart"/>
      <w:r w:rsidR="002A4818" w:rsidRPr="00DC3B40">
        <w:rPr>
          <w:rFonts w:ascii="Times New Roman" w:eastAsia="Times New Roman" w:hAnsi="Times New Roman" w:cs="Times New Roman"/>
          <w:i/>
          <w:sz w:val="24"/>
          <w:szCs w:val="24"/>
        </w:rPr>
        <w:t>Factoring</w:t>
      </w:r>
      <w:proofErr w:type="spellEnd"/>
      <w:r w:rsidR="002A4818">
        <w:rPr>
          <w:rFonts w:ascii="Times New Roman" w:eastAsia="Times New Roman" w:hAnsi="Times New Roman" w:cs="Times New Roman"/>
          <w:sz w:val="24"/>
          <w:szCs w:val="24"/>
        </w:rPr>
        <w:t xml:space="preserve"> RG Ltda.</w:t>
      </w:r>
      <w:r w:rsidR="004E4010">
        <w:rPr>
          <w:rFonts w:ascii="Times New Roman" w:eastAsia="Times New Roman" w:hAnsi="Times New Roman" w:cs="Times New Roman"/>
          <w:sz w:val="24"/>
          <w:szCs w:val="24"/>
        </w:rPr>
        <w:t xml:space="preserve"> </w:t>
      </w:r>
      <w:r w:rsidR="00D1429F">
        <w:rPr>
          <w:rFonts w:ascii="Times New Roman" w:eastAsia="Times New Roman" w:hAnsi="Times New Roman" w:cs="Times New Roman"/>
          <w:sz w:val="24"/>
          <w:szCs w:val="24"/>
        </w:rPr>
        <w:t>Assim, mediante esta pesquisa foi possível conhecer o perfil dos clientes da empresa, podendo se concluir que os objetivos da pesquisa foram alcançados.</w:t>
      </w:r>
    </w:p>
    <w:p w14:paraId="1CC8C3C3" w14:textId="77777777" w:rsidR="00DC3B40" w:rsidRPr="006A0851" w:rsidRDefault="00DC3B40" w:rsidP="002A4818">
      <w:pPr>
        <w:spacing w:line="240" w:lineRule="auto"/>
        <w:ind w:firstLine="566"/>
        <w:jc w:val="both"/>
        <w:rPr>
          <w:rFonts w:ascii="Times New Roman" w:eastAsia="Times New Roman" w:hAnsi="Times New Roman" w:cs="Times New Roman"/>
          <w:sz w:val="24"/>
          <w:szCs w:val="24"/>
        </w:rPr>
      </w:pPr>
      <w:r w:rsidRPr="006A0851">
        <w:rPr>
          <w:rFonts w:ascii="Times New Roman" w:eastAsia="Times New Roman" w:hAnsi="Times New Roman" w:cs="Times New Roman"/>
          <w:sz w:val="24"/>
          <w:szCs w:val="24"/>
        </w:rPr>
        <w:t xml:space="preserve">Quanto ao tamanho das empresas clientes da </w:t>
      </w:r>
      <w:proofErr w:type="spellStart"/>
      <w:r w:rsidRPr="006A0851">
        <w:rPr>
          <w:rFonts w:ascii="Times New Roman" w:eastAsia="Times New Roman" w:hAnsi="Times New Roman" w:cs="Times New Roman"/>
          <w:i/>
          <w:sz w:val="24"/>
          <w:szCs w:val="24"/>
        </w:rPr>
        <w:t>Factoring</w:t>
      </w:r>
      <w:proofErr w:type="spellEnd"/>
      <w:r w:rsidRPr="006A0851">
        <w:rPr>
          <w:rFonts w:ascii="Times New Roman" w:eastAsia="Times New Roman" w:hAnsi="Times New Roman" w:cs="Times New Roman"/>
          <w:sz w:val="24"/>
          <w:szCs w:val="24"/>
        </w:rPr>
        <w:t xml:space="preserve"> RG </w:t>
      </w:r>
      <w:proofErr w:type="spellStart"/>
      <w:r w:rsidRPr="006A0851">
        <w:rPr>
          <w:rFonts w:ascii="Times New Roman" w:eastAsia="Times New Roman" w:hAnsi="Times New Roman" w:cs="Times New Roman"/>
          <w:sz w:val="24"/>
          <w:szCs w:val="24"/>
        </w:rPr>
        <w:t>Ltda</w:t>
      </w:r>
      <w:proofErr w:type="spellEnd"/>
      <w:r w:rsidRPr="006A0851">
        <w:rPr>
          <w:rFonts w:ascii="Times New Roman" w:eastAsia="Times New Roman" w:hAnsi="Times New Roman" w:cs="Times New Roman"/>
          <w:sz w:val="24"/>
          <w:szCs w:val="24"/>
        </w:rPr>
        <w:t xml:space="preserve">, conclui-se pelos dados levantados que metade delas são de médio porte, seguidas por </w:t>
      </w:r>
      <w:r w:rsidRPr="007011C9">
        <w:rPr>
          <w:rFonts w:ascii="Times New Roman" w:eastAsia="Times New Roman" w:hAnsi="Times New Roman" w:cs="Times New Roman"/>
          <w:sz w:val="24"/>
          <w:szCs w:val="24"/>
        </w:rPr>
        <w:t xml:space="preserve">40% que se consideram de pequeno porte e apenas 10% como grande porte. Como se observa </w:t>
      </w:r>
      <w:r w:rsidRPr="006A0851">
        <w:rPr>
          <w:rFonts w:ascii="Times New Roman" w:eastAsia="Times New Roman" w:hAnsi="Times New Roman" w:cs="Times New Roman"/>
          <w:sz w:val="24"/>
          <w:szCs w:val="24"/>
        </w:rPr>
        <w:t>pelo resultado desta questão os clientes da empresa são preferencialmente de médio e pequeno porte.</w:t>
      </w:r>
    </w:p>
    <w:p w14:paraId="5D0AD945" w14:textId="77FD4923" w:rsidR="00DC3B40" w:rsidRPr="006A0851" w:rsidRDefault="00DC3B40" w:rsidP="002A4818">
      <w:pPr>
        <w:spacing w:line="240" w:lineRule="auto"/>
        <w:ind w:firstLine="566"/>
        <w:jc w:val="both"/>
        <w:rPr>
          <w:rFonts w:ascii="Times New Roman" w:eastAsia="Times New Roman" w:hAnsi="Times New Roman" w:cs="Times New Roman"/>
          <w:sz w:val="24"/>
          <w:szCs w:val="24"/>
        </w:rPr>
      </w:pPr>
      <w:r w:rsidRPr="006A0851">
        <w:rPr>
          <w:rFonts w:ascii="Times New Roman" w:eastAsia="Times New Roman" w:hAnsi="Times New Roman" w:cs="Times New Roman"/>
          <w:sz w:val="24"/>
          <w:szCs w:val="24"/>
        </w:rPr>
        <w:t xml:space="preserve"> </w:t>
      </w:r>
      <w:r w:rsidR="00836537" w:rsidRPr="006A0851">
        <w:rPr>
          <w:rFonts w:ascii="Times New Roman" w:eastAsia="Times New Roman" w:hAnsi="Times New Roman" w:cs="Times New Roman"/>
          <w:sz w:val="24"/>
          <w:szCs w:val="24"/>
        </w:rPr>
        <w:t xml:space="preserve">Já, quanto às características das empresas pesquisadas, </w:t>
      </w:r>
      <w:r w:rsidRPr="006A0851">
        <w:rPr>
          <w:rFonts w:ascii="Times New Roman" w:eastAsia="Times New Roman" w:hAnsi="Times New Roman" w:cs="Times New Roman"/>
          <w:sz w:val="24"/>
          <w:szCs w:val="24"/>
        </w:rPr>
        <w:t xml:space="preserve">a maioria, 60%, é do setor de </w:t>
      </w:r>
      <w:proofErr w:type="spellStart"/>
      <w:r w:rsidRPr="006A0851">
        <w:rPr>
          <w:rFonts w:ascii="Times New Roman" w:eastAsia="Times New Roman" w:hAnsi="Times New Roman" w:cs="Times New Roman"/>
          <w:sz w:val="24"/>
          <w:szCs w:val="24"/>
        </w:rPr>
        <w:t>atacarejo</w:t>
      </w:r>
      <w:proofErr w:type="spellEnd"/>
      <w:r w:rsidRPr="006A0851">
        <w:rPr>
          <w:rFonts w:ascii="Times New Roman" w:eastAsia="Times New Roman" w:hAnsi="Times New Roman" w:cs="Times New Roman"/>
          <w:sz w:val="24"/>
          <w:szCs w:val="24"/>
        </w:rPr>
        <w:t xml:space="preserve"> e</w:t>
      </w:r>
      <w:r w:rsidR="00A72A81">
        <w:rPr>
          <w:rFonts w:ascii="Times New Roman" w:eastAsia="Times New Roman" w:hAnsi="Times New Roman" w:cs="Times New Roman"/>
          <w:sz w:val="24"/>
          <w:szCs w:val="24"/>
        </w:rPr>
        <w:t xml:space="preserve"> 40</w:t>
      </w:r>
      <w:r w:rsidRPr="006A0851">
        <w:rPr>
          <w:rFonts w:ascii="Times New Roman" w:eastAsia="Times New Roman" w:hAnsi="Times New Roman" w:cs="Times New Roman"/>
          <w:sz w:val="24"/>
          <w:szCs w:val="24"/>
        </w:rPr>
        <w:t xml:space="preserve"> % atacadistas. Como se observa são </w:t>
      </w:r>
      <w:r w:rsidR="00836537" w:rsidRPr="006A0851">
        <w:rPr>
          <w:rFonts w:ascii="Times New Roman" w:eastAsia="Times New Roman" w:hAnsi="Times New Roman" w:cs="Times New Roman"/>
          <w:sz w:val="24"/>
          <w:szCs w:val="24"/>
        </w:rPr>
        <w:t>empresas que apesar de serem, em sua maioria de pequeno e médio porte trabalham com grandes estoques, sendo um indício de necessidade de elevado capital de giro.</w:t>
      </w:r>
    </w:p>
    <w:p w14:paraId="043E0636" w14:textId="0340E2AB" w:rsidR="00836537" w:rsidRDefault="00836537" w:rsidP="002A4818">
      <w:pPr>
        <w:spacing w:line="240" w:lineRule="auto"/>
        <w:ind w:firstLine="566"/>
        <w:jc w:val="both"/>
        <w:rPr>
          <w:rFonts w:ascii="Times New Roman" w:eastAsia="Times New Roman" w:hAnsi="Times New Roman" w:cs="Times New Roman"/>
          <w:sz w:val="24"/>
          <w:szCs w:val="24"/>
        </w:rPr>
      </w:pPr>
      <w:r w:rsidRPr="006A0851">
        <w:rPr>
          <w:rFonts w:ascii="Times New Roman" w:eastAsia="Times New Roman" w:hAnsi="Times New Roman" w:cs="Times New Roman"/>
          <w:sz w:val="24"/>
          <w:szCs w:val="24"/>
        </w:rPr>
        <w:t xml:space="preserve">Quando questionadas sobre a frequência de utilização de recursos de </w:t>
      </w:r>
      <w:proofErr w:type="spellStart"/>
      <w:r w:rsidRPr="006A0851">
        <w:rPr>
          <w:rFonts w:ascii="Times New Roman" w:eastAsia="Times New Roman" w:hAnsi="Times New Roman" w:cs="Times New Roman"/>
          <w:i/>
          <w:sz w:val="24"/>
          <w:szCs w:val="24"/>
        </w:rPr>
        <w:t>factoring</w:t>
      </w:r>
      <w:proofErr w:type="spellEnd"/>
      <w:r w:rsidRPr="006A0851">
        <w:rPr>
          <w:rFonts w:ascii="Times New Roman" w:eastAsia="Times New Roman" w:hAnsi="Times New Roman" w:cs="Times New Roman"/>
          <w:i/>
          <w:sz w:val="24"/>
          <w:szCs w:val="24"/>
        </w:rPr>
        <w:t xml:space="preserve">, </w:t>
      </w:r>
      <w:r w:rsidRPr="006A0851">
        <w:rPr>
          <w:rFonts w:ascii="Times New Roman" w:eastAsia="Times New Roman" w:hAnsi="Times New Roman" w:cs="Times New Roman"/>
          <w:sz w:val="24"/>
          <w:szCs w:val="24"/>
        </w:rPr>
        <w:t xml:space="preserve">50% responderam que utilizam frequentemente, 30% sempre e 20% sempre. Como se observa, pode-se concluir que há mercado para as empresas de </w:t>
      </w:r>
      <w:proofErr w:type="spellStart"/>
      <w:r w:rsidRPr="006A0851">
        <w:rPr>
          <w:rFonts w:ascii="Times New Roman" w:eastAsia="Times New Roman" w:hAnsi="Times New Roman" w:cs="Times New Roman"/>
          <w:i/>
          <w:sz w:val="24"/>
          <w:szCs w:val="24"/>
        </w:rPr>
        <w:t>factoring</w:t>
      </w:r>
      <w:proofErr w:type="spellEnd"/>
      <w:r w:rsidRPr="006A0851">
        <w:rPr>
          <w:rFonts w:ascii="Times New Roman" w:eastAsia="Times New Roman" w:hAnsi="Times New Roman" w:cs="Times New Roman"/>
          <w:i/>
          <w:sz w:val="24"/>
          <w:szCs w:val="24"/>
        </w:rPr>
        <w:t xml:space="preserve">, </w:t>
      </w:r>
      <w:r w:rsidRPr="006A0851">
        <w:rPr>
          <w:rFonts w:ascii="Times New Roman" w:eastAsia="Times New Roman" w:hAnsi="Times New Roman" w:cs="Times New Roman"/>
          <w:sz w:val="24"/>
          <w:szCs w:val="24"/>
        </w:rPr>
        <w:t>uma vez que a frequência de utilização é elevada.</w:t>
      </w:r>
    </w:p>
    <w:p w14:paraId="53DA211C" w14:textId="38FF0DED" w:rsidR="00985C54" w:rsidRDefault="00320549" w:rsidP="002A4818">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w:t>
      </w:r>
      <w:r w:rsidR="003F5346">
        <w:rPr>
          <w:rFonts w:ascii="Times New Roman" w:eastAsia="Times New Roman" w:hAnsi="Times New Roman" w:cs="Times New Roman"/>
          <w:sz w:val="24"/>
          <w:szCs w:val="24"/>
        </w:rPr>
        <w:t>do perguntado</w:t>
      </w:r>
      <w:r w:rsidR="006D2F1E">
        <w:rPr>
          <w:rFonts w:ascii="Times New Roman" w:eastAsia="Times New Roman" w:hAnsi="Times New Roman" w:cs="Times New Roman"/>
          <w:sz w:val="24"/>
          <w:szCs w:val="24"/>
        </w:rPr>
        <w:t>s</w:t>
      </w:r>
      <w:r w:rsidR="003F5346">
        <w:rPr>
          <w:rFonts w:ascii="Times New Roman" w:eastAsia="Times New Roman" w:hAnsi="Times New Roman" w:cs="Times New Roman"/>
          <w:sz w:val="24"/>
          <w:szCs w:val="24"/>
        </w:rPr>
        <w:t xml:space="preserve"> </w:t>
      </w:r>
      <w:r w:rsidR="00B93DFF">
        <w:rPr>
          <w:rFonts w:ascii="Times New Roman" w:eastAsia="Times New Roman" w:hAnsi="Times New Roman" w:cs="Times New Roman"/>
          <w:sz w:val="24"/>
          <w:szCs w:val="24"/>
        </w:rPr>
        <w:t xml:space="preserve">sobre </w:t>
      </w:r>
      <w:r>
        <w:rPr>
          <w:rFonts w:ascii="Times New Roman" w:eastAsia="Times New Roman" w:hAnsi="Times New Roman" w:cs="Times New Roman"/>
          <w:sz w:val="24"/>
          <w:szCs w:val="24"/>
        </w:rPr>
        <w:t xml:space="preserve">o prazo de pagamento concedido aos seus </w:t>
      </w:r>
      <w:r w:rsidR="003F5346">
        <w:rPr>
          <w:rFonts w:ascii="Times New Roman" w:eastAsia="Times New Roman" w:hAnsi="Times New Roman" w:cs="Times New Roman"/>
          <w:sz w:val="24"/>
          <w:szCs w:val="24"/>
        </w:rPr>
        <w:t xml:space="preserve">clientes, 40% responderam que suportam o prazo superior </w:t>
      </w:r>
      <w:r w:rsidR="00B93DFF">
        <w:rPr>
          <w:rFonts w:ascii="Times New Roman" w:eastAsia="Times New Roman" w:hAnsi="Times New Roman" w:cs="Times New Roman"/>
          <w:sz w:val="24"/>
          <w:szCs w:val="24"/>
        </w:rPr>
        <w:t>a</w:t>
      </w:r>
      <w:r w:rsidR="003F5346">
        <w:rPr>
          <w:rFonts w:ascii="Times New Roman" w:eastAsia="Times New Roman" w:hAnsi="Times New Roman" w:cs="Times New Roman"/>
          <w:sz w:val="24"/>
          <w:szCs w:val="24"/>
        </w:rPr>
        <w:t xml:space="preserve"> 30 dias e até 60 dias, </w:t>
      </w:r>
      <w:r w:rsidR="00985C54">
        <w:rPr>
          <w:rFonts w:ascii="Times New Roman" w:eastAsia="Times New Roman" w:hAnsi="Times New Roman" w:cs="Times New Roman"/>
          <w:sz w:val="24"/>
          <w:szCs w:val="24"/>
        </w:rPr>
        <w:t xml:space="preserve">outros </w:t>
      </w:r>
      <w:r w:rsidR="003F5346">
        <w:rPr>
          <w:rFonts w:ascii="Times New Roman" w:eastAsia="Times New Roman" w:hAnsi="Times New Roman" w:cs="Times New Roman"/>
          <w:sz w:val="24"/>
          <w:szCs w:val="24"/>
        </w:rPr>
        <w:t xml:space="preserve">40% superior </w:t>
      </w:r>
      <w:r w:rsidR="001A5904">
        <w:rPr>
          <w:rFonts w:ascii="Times New Roman" w:eastAsia="Times New Roman" w:hAnsi="Times New Roman" w:cs="Times New Roman"/>
          <w:sz w:val="24"/>
          <w:szCs w:val="24"/>
        </w:rPr>
        <w:t>a</w:t>
      </w:r>
      <w:r w:rsidR="003F5346">
        <w:rPr>
          <w:rFonts w:ascii="Times New Roman" w:eastAsia="Times New Roman" w:hAnsi="Times New Roman" w:cs="Times New Roman"/>
          <w:sz w:val="24"/>
          <w:szCs w:val="24"/>
        </w:rPr>
        <w:t xml:space="preserve"> 60 dias e 20% até 30 dias. Percebe- se que </w:t>
      </w:r>
      <w:r w:rsidR="00B93DFF">
        <w:rPr>
          <w:rFonts w:ascii="Times New Roman" w:eastAsia="Times New Roman" w:hAnsi="Times New Roman" w:cs="Times New Roman"/>
          <w:sz w:val="24"/>
          <w:szCs w:val="24"/>
        </w:rPr>
        <w:t>a</w:t>
      </w:r>
      <w:r w:rsidR="003F5346">
        <w:rPr>
          <w:rFonts w:ascii="Times New Roman" w:eastAsia="Times New Roman" w:hAnsi="Times New Roman" w:cs="Times New Roman"/>
          <w:sz w:val="24"/>
          <w:szCs w:val="24"/>
        </w:rPr>
        <w:t xml:space="preserve"> maioria concede um prazo </w:t>
      </w:r>
      <w:r w:rsidR="001A5904">
        <w:rPr>
          <w:rFonts w:ascii="Times New Roman" w:eastAsia="Times New Roman" w:hAnsi="Times New Roman" w:cs="Times New Roman"/>
          <w:sz w:val="24"/>
          <w:szCs w:val="24"/>
        </w:rPr>
        <w:t>dilatado</w:t>
      </w:r>
      <w:r w:rsidR="003F5346">
        <w:rPr>
          <w:rFonts w:ascii="Times New Roman" w:eastAsia="Times New Roman" w:hAnsi="Times New Roman" w:cs="Times New Roman"/>
          <w:sz w:val="24"/>
          <w:szCs w:val="24"/>
        </w:rPr>
        <w:t xml:space="preserve"> para o recebimento</w:t>
      </w:r>
      <w:r w:rsidR="00985C54">
        <w:rPr>
          <w:rFonts w:ascii="Times New Roman" w:eastAsia="Times New Roman" w:hAnsi="Times New Roman" w:cs="Times New Roman"/>
          <w:sz w:val="24"/>
          <w:szCs w:val="24"/>
        </w:rPr>
        <w:t xml:space="preserve"> de suas vendas, com o prazo estipulado no cheque </w:t>
      </w:r>
      <w:r w:rsidR="00B93DFF">
        <w:rPr>
          <w:rFonts w:ascii="Times New Roman" w:eastAsia="Times New Roman" w:hAnsi="Times New Roman" w:cs="Times New Roman"/>
          <w:sz w:val="24"/>
          <w:szCs w:val="24"/>
        </w:rPr>
        <w:t xml:space="preserve">quando efetuam </w:t>
      </w:r>
      <w:r w:rsidR="001A5904">
        <w:rPr>
          <w:rFonts w:ascii="Times New Roman" w:eastAsia="Times New Roman" w:hAnsi="Times New Roman" w:cs="Times New Roman"/>
          <w:sz w:val="24"/>
          <w:szCs w:val="24"/>
        </w:rPr>
        <w:t xml:space="preserve">a venda, podendo ser um indicativo da dificuldade de lidar com o fluxo de caixa e a eventual necessidade de financiamento. </w:t>
      </w:r>
      <w:r w:rsidR="00985C54">
        <w:rPr>
          <w:rFonts w:ascii="Times New Roman" w:eastAsia="Times New Roman" w:hAnsi="Times New Roman" w:cs="Times New Roman"/>
          <w:sz w:val="24"/>
          <w:szCs w:val="24"/>
        </w:rPr>
        <w:t xml:space="preserve"> </w:t>
      </w:r>
    </w:p>
    <w:p w14:paraId="6B446773" w14:textId="28323B51" w:rsidR="00320549" w:rsidRDefault="0019687A" w:rsidP="002A4818">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Quando</w:t>
      </w:r>
      <w:r w:rsidR="00985C54">
        <w:rPr>
          <w:rFonts w:ascii="Times New Roman" w:eastAsia="Times New Roman" w:hAnsi="Times New Roman" w:cs="Times New Roman"/>
          <w:sz w:val="24"/>
          <w:szCs w:val="24"/>
        </w:rPr>
        <w:t xml:space="preserve"> indagados, se desempenham</w:t>
      </w:r>
      <w:r w:rsidR="006A26F7">
        <w:rPr>
          <w:rFonts w:ascii="Times New Roman" w:eastAsia="Times New Roman" w:hAnsi="Times New Roman" w:cs="Times New Roman"/>
          <w:sz w:val="24"/>
          <w:szCs w:val="24"/>
        </w:rPr>
        <w:t xml:space="preserve"> uma</w:t>
      </w:r>
      <w:r w:rsidR="00985C54">
        <w:rPr>
          <w:rFonts w:ascii="Times New Roman" w:eastAsia="Times New Roman" w:hAnsi="Times New Roman" w:cs="Times New Roman"/>
          <w:sz w:val="24"/>
          <w:szCs w:val="24"/>
        </w:rPr>
        <w:t xml:space="preserve"> pesquisa</w:t>
      </w:r>
      <w:r w:rsidR="006A26F7">
        <w:rPr>
          <w:rFonts w:ascii="Times New Roman" w:eastAsia="Times New Roman" w:hAnsi="Times New Roman" w:cs="Times New Roman"/>
          <w:sz w:val="24"/>
          <w:szCs w:val="24"/>
        </w:rPr>
        <w:t xml:space="preserve"> se</w:t>
      </w:r>
      <w:r>
        <w:rPr>
          <w:rFonts w:ascii="Times New Roman" w:eastAsia="Times New Roman" w:hAnsi="Times New Roman" w:cs="Times New Roman"/>
          <w:sz w:val="24"/>
          <w:szCs w:val="24"/>
        </w:rPr>
        <w:t xml:space="preserve"> a</w:t>
      </w:r>
      <w:r w:rsidR="00985C54">
        <w:rPr>
          <w:rFonts w:ascii="Times New Roman" w:eastAsia="Times New Roman" w:hAnsi="Times New Roman" w:cs="Times New Roman"/>
          <w:sz w:val="24"/>
          <w:szCs w:val="24"/>
        </w:rPr>
        <w:t xml:space="preserve"> </w:t>
      </w:r>
      <w:proofErr w:type="spellStart"/>
      <w:r w:rsidR="00985C54" w:rsidRPr="0019687A">
        <w:rPr>
          <w:rFonts w:ascii="Times New Roman" w:eastAsia="Times New Roman" w:hAnsi="Times New Roman" w:cs="Times New Roman"/>
          <w:i/>
          <w:sz w:val="24"/>
          <w:szCs w:val="24"/>
        </w:rPr>
        <w:t>factoring</w:t>
      </w:r>
      <w:proofErr w:type="spellEnd"/>
      <w:r w:rsidR="00985C54">
        <w:rPr>
          <w:rFonts w:ascii="Times New Roman" w:eastAsia="Times New Roman" w:hAnsi="Times New Roman" w:cs="Times New Roman"/>
          <w:sz w:val="24"/>
          <w:szCs w:val="24"/>
        </w:rPr>
        <w:t xml:space="preserve"> tem certificado cadastral no Conselho de controle de atividades financeiras (COAF) 50% </w:t>
      </w:r>
      <w:r w:rsidR="006A26F7">
        <w:rPr>
          <w:rFonts w:ascii="Times New Roman" w:eastAsia="Times New Roman" w:hAnsi="Times New Roman" w:cs="Times New Roman"/>
          <w:sz w:val="24"/>
          <w:szCs w:val="24"/>
        </w:rPr>
        <w:t>responderam</w:t>
      </w:r>
      <w:r w:rsidR="00985C54">
        <w:rPr>
          <w:rFonts w:ascii="Times New Roman" w:eastAsia="Times New Roman" w:hAnsi="Times New Roman" w:cs="Times New Roman"/>
          <w:sz w:val="24"/>
          <w:szCs w:val="24"/>
        </w:rPr>
        <w:t xml:space="preserve"> que </w:t>
      </w:r>
      <w:r w:rsidR="00985C54">
        <w:rPr>
          <w:rFonts w:ascii="Times New Roman" w:eastAsia="Times New Roman" w:hAnsi="Times New Roman" w:cs="Times New Roman"/>
          <w:sz w:val="24"/>
          <w:szCs w:val="24"/>
        </w:rPr>
        <w:lastRenderedPageBreak/>
        <w:t>raramente efetuam essa pesquisa, 40% ás vezes e 10% frequentemente</w:t>
      </w:r>
      <w:r>
        <w:rPr>
          <w:rFonts w:ascii="Times New Roman" w:eastAsia="Times New Roman" w:hAnsi="Times New Roman" w:cs="Times New Roman"/>
          <w:sz w:val="24"/>
          <w:szCs w:val="24"/>
        </w:rPr>
        <w:t>.</w:t>
      </w:r>
      <w:r w:rsidR="00985C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w:t>
      </w:r>
      <w:r w:rsidR="006A26F7">
        <w:rPr>
          <w:rFonts w:ascii="Times New Roman" w:eastAsia="Times New Roman" w:hAnsi="Times New Roman" w:cs="Times New Roman"/>
          <w:sz w:val="24"/>
          <w:szCs w:val="24"/>
        </w:rPr>
        <w:t>onstata-se</w:t>
      </w:r>
      <w:r>
        <w:rPr>
          <w:rFonts w:ascii="Times New Roman" w:eastAsia="Times New Roman" w:hAnsi="Times New Roman" w:cs="Times New Roman"/>
          <w:sz w:val="24"/>
          <w:szCs w:val="24"/>
        </w:rPr>
        <w:t xml:space="preserve"> assim</w:t>
      </w:r>
      <w:r w:rsidR="006A26F7">
        <w:rPr>
          <w:rFonts w:ascii="Times New Roman" w:eastAsia="Times New Roman" w:hAnsi="Times New Roman" w:cs="Times New Roman"/>
          <w:sz w:val="24"/>
          <w:szCs w:val="24"/>
        </w:rPr>
        <w:t xml:space="preserve"> que</w:t>
      </w:r>
      <w:r>
        <w:rPr>
          <w:rFonts w:ascii="Times New Roman" w:eastAsia="Times New Roman" w:hAnsi="Times New Roman" w:cs="Times New Roman"/>
          <w:sz w:val="24"/>
          <w:szCs w:val="24"/>
        </w:rPr>
        <w:t>,</w:t>
      </w:r>
      <w:r w:rsidR="006A26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 maneira geral,</w:t>
      </w:r>
      <w:r w:rsidR="006A26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as </w:t>
      </w:r>
      <w:r w:rsidR="006A26F7">
        <w:rPr>
          <w:rFonts w:ascii="Times New Roman" w:eastAsia="Times New Roman" w:hAnsi="Times New Roman" w:cs="Times New Roman"/>
          <w:sz w:val="24"/>
          <w:szCs w:val="24"/>
        </w:rPr>
        <w:t xml:space="preserve">empresas entrevistadas não buscam saber a idoneidade formal da </w:t>
      </w:r>
      <w:proofErr w:type="spellStart"/>
      <w:r w:rsidR="006A26F7" w:rsidRPr="0019687A">
        <w:rPr>
          <w:rFonts w:ascii="Times New Roman" w:eastAsia="Times New Roman" w:hAnsi="Times New Roman" w:cs="Times New Roman"/>
          <w:i/>
          <w:sz w:val="24"/>
          <w:szCs w:val="24"/>
        </w:rPr>
        <w:t>factoring</w:t>
      </w:r>
      <w:proofErr w:type="spellEnd"/>
      <w:r w:rsidR="006A26F7">
        <w:rPr>
          <w:rFonts w:ascii="Times New Roman" w:eastAsia="Times New Roman" w:hAnsi="Times New Roman" w:cs="Times New Roman"/>
          <w:sz w:val="24"/>
          <w:szCs w:val="24"/>
        </w:rPr>
        <w:t xml:space="preserve">. </w:t>
      </w:r>
    </w:p>
    <w:p w14:paraId="7B505E07" w14:textId="6BCEF75E" w:rsidR="00985C54" w:rsidRPr="005C0D91" w:rsidRDefault="006A26F7" w:rsidP="002A4818">
      <w:pPr>
        <w:spacing w:line="240" w:lineRule="auto"/>
        <w:ind w:firstLine="566"/>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Quanto ao grau de acerto de sua previsão de receita, 70% dos entrevistados responder</w:t>
      </w:r>
      <w:r w:rsidR="005C0D91">
        <w:rPr>
          <w:rFonts w:ascii="Times New Roman" w:eastAsia="Times New Roman" w:hAnsi="Times New Roman" w:cs="Times New Roman"/>
          <w:sz w:val="24"/>
          <w:szCs w:val="24"/>
        </w:rPr>
        <w:t>am</w:t>
      </w:r>
      <w:r>
        <w:rPr>
          <w:rFonts w:ascii="Times New Roman" w:eastAsia="Times New Roman" w:hAnsi="Times New Roman" w:cs="Times New Roman"/>
          <w:sz w:val="24"/>
          <w:szCs w:val="24"/>
        </w:rPr>
        <w:t xml:space="preserve"> que </w:t>
      </w:r>
      <w:r w:rsidR="00BF4CA4">
        <w:rPr>
          <w:rFonts w:ascii="Times New Roman" w:eastAsia="Times New Roman" w:hAnsi="Times New Roman" w:cs="Times New Roman"/>
          <w:sz w:val="24"/>
          <w:szCs w:val="24"/>
        </w:rPr>
        <w:t xml:space="preserve">são assertivos </w:t>
      </w:r>
      <w:r>
        <w:rPr>
          <w:rFonts w:ascii="Times New Roman" w:eastAsia="Times New Roman" w:hAnsi="Times New Roman" w:cs="Times New Roman"/>
          <w:sz w:val="24"/>
          <w:szCs w:val="24"/>
        </w:rPr>
        <w:t>acima de 40% e até 60%</w:t>
      </w:r>
      <w:r w:rsidR="00BF4CA4">
        <w:rPr>
          <w:rFonts w:ascii="Times New Roman" w:eastAsia="Times New Roman" w:hAnsi="Times New Roman" w:cs="Times New Roman"/>
          <w:sz w:val="24"/>
          <w:szCs w:val="24"/>
        </w:rPr>
        <w:t xml:space="preserve"> do valor previsto</w:t>
      </w:r>
      <w:r>
        <w:rPr>
          <w:rFonts w:ascii="Times New Roman" w:eastAsia="Times New Roman" w:hAnsi="Times New Roman" w:cs="Times New Roman"/>
          <w:sz w:val="24"/>
          <w:szCs w:val="24"/>
        </w:rPr>
        <w:t>, e 30%</w:t>
      </w:r>
      <w:r w:rsidR="00C33E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acima de 20% e até 40</w:t>
      </w:r>
      <w:r w:rsidR="00BF4CA4">
        <w:rPr>
          <w:rFonts w:ascii="Times New Roman" w:eastAsia="Times New Roman" w:hAnsi="Times New Roman" w:cs="Times New Roman"/>
          <w:sz w:val="24"/>
          <w:szCs w:val="24"/>
        </w:rPr>
        <w:t>%.</w:t>
      </w:r>
      <w:r w:rsidR="006D2F1E">
        <w:rPr>
          <w:rFonts w:ascii="Times New Roman" w:eastAsia="Times New Roman" w:hAnsi="Times New Roman" w:cs="Times New Roman"/>
          <w:sz w:val="24"/>
          <w:szCs w:val="24"/>
        </w:rPr>
        <w:t xml:space="preserve"> </w:t>
      </w:r>
      <w:r w:rsidR="00BF4CA4">
        <w:rPr>
          <w:rFonts w:ascii="Times New Roman" w:eastAsia="Times New Roman" w:hAnsi="Times New Roman" w:cs="Times New Roman"/>
          <w:sz w:val="24"/>
          <w:szCs w:val="24"/>
        </w:rPr>
        <w:t>Observa-se pelos dados que o grau de acerto na previsão de receita é razoável, uma vez que a maioria acerta mais de 50%, em média, na sua previsão</w:t>
      </w:r>
      <w:r w:rsidR="006D2F1E">
        <w:rPr>
          <w:rFonts w:ascii="Times New Roman" w:eastAsia="Times New Roman" w:hAnsi="Times New Roman" w:cs="Times New Roman"/>
          <w:sz w:val="24"/>
          <w:szCs w:val="24"/>
        </w:rPr>
        <w:t>.</w:t>
      </w:r>
      <w:r w:rsidR="005C0D91">
        <w:rPr>
          <w:rFonts w:ascii="Times New Roman" w:eastAsia="Times New Roman" w:hAnsi="Times New Roman" w:cs="Times New Roman"/>
          <w:sz w:val="24"/>
          <w:szCs w:val="24"/>
        </w:rPr>
        <w:t xml:space="preserve"> </w:t>
      </w:r>
    </w:p>
    <w:p w14:paraId="29E86CAA" w14:textId="724BD349" w:rsidR="00CC2DA6" w:rsidRDefault="00A95D89" w:rsidP="002A4818">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Quando questionados com qual</w:t>
      </w:r>
      <w:r w:rsidR="00CC2DA6">
        <w:rPr>
          <w:rFonts w:ascii="Times New Roman" w:eastAsia="Times New Roman" w:hAnsi="Times New Roman" w:cs="Times New Roman"/>
          <w:sz w:val="24"/>
          <w:szCs w:val="24"/>
        </w:rPr>
        <w:t xml:space="preserve"> frequência utiliza a </w:t>
      </w:r>
      <w:proofErr w:type="spellStart"/>
      <w:r w:rsidR="00CC2DA6" w:rsidRPr="00A95D89">
        <w:rPr>
          <w:rFonts w:ascii="Times New Roman" w:eastAsia="Times New Roman" w:hAnsi="Times New Roman" w:cs="Times New Roman"/>
          <w:i/>
          <w:sz w:val="24"/>
          <w:szCs w:val="24"/>
        </w:rPr>
        <w:t>factoring</w:t>
      </w:r>
      <w:proofErr w:type="spellEnd"/>
      <w:r w:rsidR="00CC2DA6">
        <w:rPr>
          <w:rFonts w:ascii="Times New Roman" w:eastAsia="Times New Roman" w:hAnsi="Times New Roman" w:cs="Times New Roman"/>
          <w:sz w:val="24"/>
          <w:szCs w:val="24"/>
        </w:rPr>
        <w:t xml:space="preserve"> para o Fluxo de Caixa, 70% responderam que quase sempre, 20% sempre, e 10% ás vezes, conclui-se que </w:t>
      </w:r>
      <w:r>
        <w:rPr>
          <w:rFonts w:ascii="Times New Roman" w:eastAsia="Times New Roman" w:hAnsi="Times New Roman" w:cs="Times New Roman"/>
          <w:sz w:val="24"/>
          <w:szCs w:val="24"/>
        </w:rPr>
        <w:t>a</w:t>
      </w:r>
      <w:r w:rsidR="00CC2DA6">
        <w:rPr>
          <w:rFonts w:ascii="Times New Roman" w:eastAsia="Times New Roman" w:hAnsi="Times New Roman" w:cs="Times New Roman"/>
          <w:sz w:val="24"/>
          <w:szCs w:val="24"/>
        </w:rPr>
        <w:t xml:space="preserve"> maioria das empresas pesquisadas, buscam </w:t>
      </w:r>
      <w:r>
        <w:rPr>
          <w:rFonts w:ascii="Times New Roman" w:eastAsia="Times New Roman" w:hAnsi="Times New Roman" w:cs="Times New Roman"/>
          <w:sz w:val="24"/>
          <w:szCs w:val="24"/>
        </w:rPr>
        <w:t xml:space="preserve">com muita frequência </w:t>
      </w:r>
      <w:r w:rsidR="00CC2DA6">
        <w:rPr>
          <w:rFonts w:ascii="Times New Roman" w:eastAsia="Times New Roman" w:hAnsi="Times New Roman" w:cs="Times New Roman"/>
          <w:sz w:val="24"/>
          <w:szCs w:val="24"/>
        </w:rPr>
        <w:t>esse serviço para obt</w:t>
      </w:r>
      <w:r>
        <w:rPr>
          <w:rFonts w:ascii="Times New Roman" w:eastAsia="Times New Roman" w:hAnsi="Times New Roman" w:cs="Times New Roman"/>
          <w:sz w:val="24"/>
          <w:szCs w:val="24"/>
        </w:rPr>
        <w:t xml:space="preserve">erem recursos da </w:t>
      </w:r>
      <w:proofErr w:type="spellStart"/>
      <w:r w:rsidRPr="00A95D89">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sz w:val="24"/>
          <w:szCs w:val="24"/>
        </w:rPr>
        <w:t xml:space="preserve"> para o fluxo de caixa.</w:t>
      </w:r>
    </w:p>
    <w:p w14:paraId="115D4A75" w14:textId="30E57A62" w:rsidR="00CC2DA6" w:rsidRDefault="00CC2DA6" w:rsidP="002A4818">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Quando questionados se já realizaram operação de crédito com agiotas, 50% </w:t>
      </w:r>
      <w:r w:rsidR="0058053B">
        <w:rPr>
          <w:rFonts w:ascii="Times New Roman" w:eastAsia="Times New Roman" w:hAnsi="Times New Roman" w:cs="Times New Roman"/>
          <w:sz w:val="24"/>
          <w:szCs w:val="24"/>
        </w:rPr>
        <w:t xml:space="preserve">responderam raramente, 40% nunca, e 10% disse que quase sempre procura. Constata-se que </w:t>
      </w:r>
      <w:r w:rsidR="0081360A">
        <w:rPr>
          <w:rFonts w:ascii="Times New Roman" w:eastAsia="Times New Roman" w:hAnsi="Times New Roman" w:cs="Times New Roman"/>
          <w:sz w:val="24"/>
          <w:szCs w:val="24"/>
        </w:rPr>
        <w:t>a minoria dos entrevistados recorre</w:t>
      </w:r>
      <w:r w:rsidR="0058053B">
        <w:rPr>
          <w:rFonts w:ascii="Times New Roman" w:eastAsia="Times New Roman" w:hAnsi="Times New Roman" w:cs="Times New Roman"/>
          <w:sz w:val="24"/>
          <w:szCs w:val="24"/>
        </w:rPr>
        <w:t xml:space="preserve"> ao meio informal e irregular na busca ao cr</w:t>
      </w:r>
      <w:r w:rsidR="00251640">
        <w:rPr>
          <w:rFonts w:ascii="Times New Roman" w:eastAsia="Times New Roman" w:hAnsi="Times New Roman" w:cs="Times New Roman"/>
          <w:sz w:val="24"/>
          <w:szCs w:val="24"/>
        </w:rPr>
        <w:t>é</w:t>
      </w:r>
      <w:r w:rsidR="0058053B">
        <w:rPr>
          <w:rFonts w:ascii="Times New Roman" w:eastAsia="Times New Roman" w:hAnsi="Times New Roman" w:cs="Times New Roman"/>
          <w:sz w:val="24"/>
          <w:szCs w:val="24"/>
        </w:rPr>
        <w:t>dito</w:t>
      </w:r>
      <w:r w:rsidR="00251640">
        <w:rPr>
          <w:rFonts w:ascii="Times New Roman" w:eastAsia="Times New Roman" w:hAnsi="Times New Roman" w:cs="Times New Roman"/>
          <w:sz w:val="24"/>
          <w:szCs w:val="24"/>
        </w:rPr>
        <w:t xml:space="preserve"> e que a</w:t>
      </w:r>
      <w:r w:rsidR="0081360A">
        <w:rPr>
          <w:rFonts w:ascii="Times New Roman" w:eastAsia="Times New Roman" w:hAnsi="Times New Roman" w:cs="Times New Roman"/>
          <w:sz w:val="24"/>
          <w:szCs w:val="24"/>
        </w:rPr>
        <w:t xml:space="preserve"> maioria dos opta pela </w:t>
      </w:r>
      <w:proofErr w:type="spellStart"/>
      <w:r w:rsidR="0058053B" w:rsidRPr="004A1CB8">
        <w:rPr>
          <w:rFonts w:ascii="Times New Roman" w:eastAsia="Times New Roman" w:hAnsi="Times New Roman" w:cs="Times New Roman"/>
          <w:i/>
          <w:sz w:val="24"/>
          <w:szCs w:val="24"/>
        </w:rPr>
        <w:t>factoring</w:t>
      </w:r>
      <w:proofErr w:type="spellEnd"/>
      <w:r w:rsidR="0058053B">
        <w:rPr>
          <w:rFonts w:ascii="Times New Roman" w:eastAsia="Times New Roman" w:hAnsi="Times New Roman" w:cs="Times New Roman"/>
          <w:sz w:val="24"/>
          <w:szCs w:val="24"/>
        </w:rPr>
        <w:t xml:space="preserve"> registrada e formalizada </w:t>
      </w:r>
      <w:r w:rsidR="0081360A">
        <w:rPr>
          <w:rFonts w:ascii="Times New Roman" w:eastAsia="Times New Roman" w:hAnsi="Times New Roman" w:cs="Times New Roman"/>
          <w:sz w:val="24"/>
          <w:szCs w:val="24"/>
        </w:rPr>
        <w:t xml:space="preserve">e com isso ganham vantagem devido </w:t>
      </w:r>
      <w:r w:rsidR="00251640">
        <w:rPr>
          <w:rFonts w:ascii="Times New Roman" w:eastAsia="Times New Roman" w:hAnsi="Times New Roman" w:cs="Times New Roman"/>
          <w:sz w:val="24"/>
          <w:szCs w:val="24"/>
        </w:rPr>
        <w:t>à</w:t>
      </w:r>
      <w:r w:rsidR="0081360A">
        <w:rPr>
          <w:rFonts w:ascii="Times New Roman" w:eastAsia="Times New Roman" w:hAnsi="Times New Roman" w:cs="Times New Roman"/>
          <w:sz w:val="24"/>
          <w:szCs w:val="24"/>
        </w:rPr>
        <w:t xml:space="preserve"> confiabilidade</w:t>
      </w:r>
      <w:r w:rsidR="0058053B">
        <w:rPr>
          <w:rFonts w:ascii="Times New Roman" w:eastAsia="Times New Roman" w:hAnsi="Times New Roman" w:cs="Times New Roman"/>
          <w:sz w:val="24"/>
          <w:szCs w:val="24"/>
        </w:rPr>
        <w:t xml:space="preserve">. </w:t>
      </w:r>
    </w:p>
    <w:p w14:paraId="2C465D4A" w14:textId="7591DD75" w:rsidR="0081360A" w:rsidRDefault="0061651E" w:rsidP="002A4818">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Quando interrogados se tiveram alguma restrição nos últimos 12 meses, 40% dos entrevistados disseram uma vez, 20% duas vezes, 20% mais vezes e 20% nunca. C</w:t>
      </w:r>
      <w:r w:rsidRPr="006A0851">
        <w:rPr>
          <w:rFonts w:ascii="Times New Roman" w:eastAsia="Times New Roman" w:hAnsi="Times New Roman" w:cs="Times New Roman"/>
          <w:sz w:val="24"/>
          <w:szCs w:val="24"/>
        </w:rPr>
        <w:t>onclui-se pelos dados levantados que</w:t>
      </w:r>
      <w:r>
        <w:rPr>
          <w:rFonts w:ascii="Times New Roman" w:eastAsia="Times New Roman" w:hAnsi="Times New Roman" w:cs="Times New Roman"/>
          <w:sz w:val="24"/>
          <w:szCs w:val="24"/>
        </w:rPr>
        <w:t xml:space="preserve"> mais da metade, tiveram restrição incluída por entidades financeiras, sendo assim, houve a </w:t>
      </w:r>
      <w:r w:rsidRPr="0061651E">
        <w:rPr>
          <w:rFonts w:ascii="Times New Roman" w:eastAsia="Times New Roman" w:hAnsi="Times New Roman" w:cs="Times New Roman"/>
          <w:sz w:val="24"/>
          <w:szCs w:val="24"/>
        </w:rPr>
        <w:t xml:space="preserve">diminuição do </w:t>
      </w:r>
      <w:r w:rsidR="001D1801" w:rsidRPr="001D1801">
        <w:rPr>
          <w:rFonts w:ascii="Times New Roman" w:eastAsia="Times New Roman" w:hAnsi="Times New Roman" w:cs="Times New Roman"/>
          <w:i/>
          <w:sz w:val="24"/>
          <w:szCs w:val="24"/>
        </w:rPr>
        <w:t>s</w:t>
      </w:r>
      <w:r w:rsidRPr="001D1801">
        <w:rPr>
          <w:rFonts w:ascii="Times New Roman" w:eastAsia="Times New Roman" w:hAnsi="Times New Roman" w:cs="Times New Roman"/>
          <w:i/>
          <w:sz w:val="24"/>
          <w:szCs w:val="24"/>
        </w:rPr>
        <w:t>core</w:t>
      </w:r>
      <w:r>
        <w:rPr>
          <w:rFonts w:ascii="Times New Roman" w:eastAsia="Times New Roman" w:hAnsi="Times New Roman" w:cs="Times New Roman"/>
          <w:sz w:val="24"/>
          <w:szCs w:val="24"/>
        </w:rPr>
        <w:t xml:space="preserve"> em suas respectivas certidões </w:t>
      </w:r>
      <w:r w:rsidR="00176651">
        <w:rPr>
          <w:rFonts w:ascii="Times New Roman" w:eastAsia="Times New Roman" w:hAnsi="Times New Roman" w:cs="Times New Roman"/>
          <w:sz w:val="24"/>
          <w:szCs w:val="24"/>
        </w:rPr>
        <w:t xml:space="preserve">e </w:t>
      </w:r>
      <w:r w:rsidR="00176651" w:rsidRPr="0061651E">
        <w:rPr>
          <w:rFonts w:ascii="Times New Roman" w:eastAsia="Times New Roman" w:hAnsi="Times New Roman" w:cs="Times New Roman"/>
          <w:sz w:val="24"/>
          <w:szCs w:val="24"/>
        </w:rPr>
        <w:t>dificuldade</w:t>
      </w:r>
      <w:r w:rsidRPr="0061651E">
        <w:rPr>
          <w:rFonts w:ascii="Times New Roman" w:eastAsia="Times New Roman" w:hAnsi="Times New Roman" w:cs="Times New Roman"/>
          <w:sz w:val="24"/>
          <w:szCs w:val="24"/>
        </w:rPr>
        <w:t xml:space="preserve"> de obter crédito</w:t>
      </w:r>
      <w:r w:rsidR="00EB39CA">
        <w:rPr>
          <w:rFonts w:ascii="Times New Roman" w:eastAsia="Times New Roman" w:hAnsi="Times New Roman" w:cs="Times New Roman"/>
          <w:sz w:val="24"/>
          <w:szCs w:val="24"/>
        </w:rPr>
        <w:t xml:space="preserve"> junto à rede bancária.</w:t>
      </w:r>
    </w:p>
    <w:p w14:paraId="14FFF698" w14:textId="27B0436A" w:rsidR="00BA533E" w:rsidRDefault="00176651" w:rsidP="002A4818">
      <w:pPr>
        <w:spacing w:line="240" w:lineRule="auto"/>
        <w:ind w:firstLine="566"/>
        <w:jc w:val="both"/>
        <w:rPr>
          <w:rFonts w:ascii="Times New Roman" w:eastAsia="Times New Roman" w:hAnsi="Times New Roman" w:cs="Times New Roman"/>
          <w:sz w:val="24"/>
          <w:szCs w:val="24"/>
        </w:rPr>
      </w:pPr>
      <w:r w:rsidRPr="006A0851">
        <w:rPr>
          <w:rFonts w:ascii="Times New Roman" w:eastAsia="Times New Roman" w:hAnsi="Times New Roman" w:cs="Times New Roman"/>
          <w:sz w:val="24"/>
          <w:szCs w:val="24"/>
        </w:rPr>
        <w:t>Quando questionadas sobre</w:t>
      </w:r>
      <w:r>
        <w:rPr>
          <w:rFonts w:ascii="Times New Roman" w:eastAsia="Times New Roman" w:hAnsi="Times New Roman" w:cs="Times New Roman"/>
          <w:sz w:val="24"/>
          <w:szCs w:val="24"/>
        </w:rPr>
        <w:t xml:space="preserve"> qual o motivo levou a recorrerem a uma </w:t>
      </w:r>
      <w:proofErr w:type="spellStart"/>
      <w:r w:rsidRPr="00F10F4E">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sz w:val="24"/>
          <w:szCs w:val="24"/>
        </w:rPr>
        <w:t>, 60% responderam que foi para a compra de mercadorias, 20% falta de fluxo de caixa, 10% pagamento de funcionário</w:t>
      </w:r>
      <w:r w:rsidR="00F10F4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 10% outros gastos. </w:t>
      </w:r>
      <w:r w:rsidRPr="006A0851">
        <w:rPr>
          <w:rFonts w:ascii="Times New Roman" w:eastAsia="Times New Roman" w:hAnsi="Times New Roman" w:cs="Times New Roman"/>
          <w:sz w:val="24"/>
          <w:szCs w:val="24"/>
        </w:rPr>
        <w:t xml:space="preserve">Como se observa, pode-se concluir que </w:t>
      </w:r>
      <w:r w:rsidR="00F10F4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maioria se beneficiam deste serviço </w:t>
      </w:r>
      <w:r w:rsidR="00F10F4E">
        <w:rPr>
          <w:rFonts w:ascii="Times New Roman" w:eastAsia="Times New Roman" w:hAnsi="Times New Roman" w:cs="Times New Roman"/>
          <w:sz w:val="24"/>
          <w:szCs w:val="24"/>
        </w:rPr>
        <w:t>para o</w:t>
      </w:r>
      <w:r>
        <w:rPr>
          <w:rFonts w:ascii="Times New Roman" w:eastAsia="Times New Roman" w:hAnsi="Times New Roman" w:cs="Times New Roman"/>
          <w:sz w:val="24"/>
          <w:szCs w:val="24"/>
        </w:rPr>
        <w:t xml:space="preserve"> melhor desempenho de vendas, na compra d</w:t>
      </w:r>
      <w:r w:rsidR="00F10F4E">
        <w:rPr>
          <w:rFonts w:ascii="Times New Roman" w:eastAsia="Times New Roman" w:hAnsi="Times New Roman" w:cs="Times New Roman"/>
          <w:sz w:val="24"/>
          <w:szCs w:val="24"/>
        </w:rPr>
        <w:t>e mercadorias</w:t>
      </w:r>
      <w:r>
        <w:rPr>
          <w:rFonts w:ascii="Times New Roman" w:eastAsia="Times New Roman" w:hAnsi="Times New Roman" w:cs="Times New Roman"/>
          <w:sz w:val="24"/>
          <w:szCs w:val="24"/>
        </w:rPr>
        <w:t xml:space="preserve"> e rotação do estoque. </w:t>
      </w:r>
      <w:r w:rsidR="0042257A">
        <w:rPr>
          <w:rFonts w:ascii="Times New Roman" w:eastAsia="Times New Roman" w:hAnsi="Times New Roman" w:cs="Times New Roman"/>
          <w:sz w:val="24"/>
          <w:szCs w:val="24"/>
        </w:rPr>
        <w:t>Somente</w:t>
      </w:r>
      <w:r w:rsidR="00BA533E">
        <w:rPr>
          <w:rFonts w:ascii="Times New Roman" w:eastAsia="Times New Roman" w:hAnsi="Times New Roman" w:cs="Times New Roman"/>
          <w:sz w:val="24"/>
          <w:szCs w:val="24"/>
        </w:rPr>
        <w:t xml:space="preserve"> 20% responderam </w:t>
      </w:r>
      <w:r w:rsidR="0042257A">
        <w:rPr>
          <w:rFonts w:ascii="Times New Roman" w:eastAsia="Times New Roman" w:hAnsi="Times New Roman" w:cs="Times New Roman"/>
          <w:sz w:val="24"/>
          <w:szCs w:val="24"/>
        </w:rPr>
        <w:t>que é para o</w:t>
      </w:r>
      <w:r w:rsidR="00BA533E">
        <w:rPr>
          <w:rFonts w:ascii="Times New Roman" w:eastAsia="Times New Roman" w:hAnsi="Times New Roman" w:cs="Times New Roman"/>
          <w:sz w:val="24"/>
          <w:szCs w:val="24"/>
        </w:rPr>
        <w:t xml:space="preserve"> fluxo de caixa, nota</w:t>
      </w:r>
      <w:r w:rsidR="00F10F4E">
        <w:rPr>
          <w:rFonts w:ascii="Times New Roman" w:eastAsia="Times New Roman" w:hAnsi="Times New Roman" w:cs="Times New Roman"/>
          <w:sz w:val="24"/>
          <w:szCs w:val="24"/>
        </w:rPr>
        <w:t>ndo</w:t>
      </w:r>
      <w:r w:rsidR="00BA533E">
        <w:rPr>
          <w:rFonts w:ascii="Times New Roman" w:eastAsia="Times New Roman" w:hAnsi="Times New Roman" w:cs="Times New Roman"/>
          <w:sz w:val="24"/>
          <w:szCs w:val="24"/>
        </w:rPr>
        <w:t xml:space="preserve">-se escassez </w:t>
      </w:r>
      <w:r w:rsidR="00F10F4E">
        <w:rPr>
          <w:rFonts w:ascii="Times New Roman" w:eastAsia="Times New Roman" w:hAnsi="Times New Roman" w:cs="Times New Roman"/>
          <w:sz w:val="24"/>
          <w:szCs w:val="24"/>
        </w:rPr>
        <w:t>de</w:t>
      </w:r>
      <w:r w:rsidR="00BA533E">
        <w:rPr>
          <w:rFonts w:ascii="Times New Roman" w:eastAsia="Times New Roman" w:hAnsi="Times New Roman" w:cs="Times New Roman"/>
          <w:sz w:val="24"/>
          <w:szCs w:val="24"/>
        </w:rPr>
        <w:t xml:space="preserve"> capital de Giro. </w:t>
      </w:r>
    </w:p>
    <w:p w14:paraId="3671E3F2" w14:textId="51B8ABCD" w:rsidR="007F6223" w:rsidRDefault="00BA533E" w:rsidP="007F6223">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Quanto </w:t>
      </w:r>
      <w:r w:rsidR="004361AD">
        <w:rPr>
          <w:rFonts w:ascii="Times New Roman" w:eastAsia="Times New Roman" w:hAnsi="Times New Roman" w:cs="Times New Roman"/>
          <w:sz w:val="24"/>
          <w:szCs w:val="24"/>
        </w:rPr>
        <w:t>à</w:t>
      </w:r>
      <w:r>
        <w:rPr>
          <w:rFonts w:ascii="Times New Roman" w:eastAsia="Times New Roman" w:hAnsi="Times New Roman" w:cs="Times New Roman"/>
          <w:sz w:val="24"/>
          <w:szCs w:val="24"/>
        </w:rPr>
        <w:t xml:space="preserve"> razão de escolherem uma </w:t>
      </w:r>
      <w:proofErr w:type="spellStart"/>
      <w:r w:rsidRPr="004361AD">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sz w:val="24"/>
          <w:szCs w:val="24"/>
        </w:rPr>
        <w:t xml:space="preserve">, ao invés de uma financeira, 40% </w:t>
      </w:r>
      <w:r w:rsidR="007F6223">
        <w:rPr>
          <w:rFonts w:ascii="Times New Roman" w:eastAsia="Times New Roman" w:hAnsi="Times New Roman" w:cs="Times New Roman"/>
          <w:sz w:val="24"/>
          <w:szCs w:val="24"/>
        </w:rPr>
        <w:t xml:space="preserve">dos entrevistados </w:t>
      </w:r>
      <w:r>
        <w:rPr>
          <w:rFonts w:ascii="Times New Roman" w:eastAsia="Times New Roman" w:hAnsi="Times New Roman" w:cs="Times New Roman"/>
          <w:sz w:val="24"/>
          <w:szCs w:val="24"/>
        </w:rPr>
        <w:t>responderam</w:t>
      </w:r>
      <w:r w:rsidR="007F6223">
        <w:rPr>
          <w:rFonts w:ascii="Times New Roman" w:eastAsia="Times New Roman" w:hAnsi="Times New Roman" w:cs="Times New Roman"/>
          <w:sz w:val="24"/>
          <w:szCs w:val="24"/>
        </w:rPr>
        <w:t xml:space="preserve"> </w:t>
      </w:r>
      <w:r w:rsidR="004361AD">
        <w:rPr>
          <w:rFonts w:ascii="Times New Roman" w:eastAsia="Times New Roman" w:hAnsi="Times New Roman" w:cs="Times New Roman"/>
          <w:sz w:val="24"/>
          <w:szCs w:val="24"/>
        </w:rPr>
        <w:t xml:space="preserve">ser </w:t>
      </w:r>
      <w:r w:rsidR="007F6223">
        <w:rPr>
          <w:rFonts w:ascii="Times New Roman" w:eastAsia="Times New Roman" w:hAnsi="Times New Roman" w:cs="Times New Roman"/>
          <w:sz w:val="24"/>
          <w:szCs w:val="24"/>
        </w:rPr>
        <w:t xml:space="preserve">pela </w:t>
      </w:r>
      <w:r>
        <w:rPr>
          <w:rFonts w:ascii="Times New Roman" w:eastAsia="Times New Roman" w:hAnsi="Times New Roman" w:cs="Times New Roman"/>
          <w:sz w:val="24"/>
          <w:szCs w:val="24"/>
        </w:rPr>
        <w:t>meno</w:t>
      </w:r>
      <w:r w:rsidR="007F6223">
        <w:rPr>
          <w:rFonts w:ascii="Times New Roman" w:eastAsia="Times New Roman" w:hAnsi="Times New Roman" w:cs="Times New Roman"/>
          <w:sz w:val="24"/>
          <w:szCs w:val="24"/>
        </w:rPr>
        <w:t xml:space="preserve">r </w:t>
      </w:r>
      <w:r>
        <w:rPr>
          <w:rFonts w:ascii="Times New Roman" w:eastAsia="Times New Roman" w:hAnsi="Times New Roman" w:cs="Times New Roman"/>
          <w:sz w:val="24"/>
          <w:szCs w:val="24"/>
        </w:rPr>
        <w:t xml:space="preserve">burocracia, 40% consideram </w:t>
      </w:r>
      <w:r w:rsidR="004361AD">
        <w:rPr>
          <w:rFonts w:ascii="Times New Roman" w:eastAsia="Times New Roman" w:hAnsi="Times New Roman" w:cs="Times New Roman"/>
          <w:sz w:val="24"/>
          <w:szCs w:val="24"/>
        </w:rPr>
        <w:t xml:space="preserve">ter </w:t>
      </w:r>
      <w:r>
        <w:rPr>
          <w:rFonts w:ascii="Times New Roman" w:eastAsia="Times New Roman" w:hAnsi="Times New Roman" w:cs="Times New Roman"/>
          <w:sz w:val="24"/>
          <w:szCs w:val="24"/>
        </w:rPr>
        <w:t>mais agilidade e 20% por terem restrições em órgãos de proteção ao cr</w:t>
      </w:r>
      <w:r w:rsidR="004361AD">
        <w:rPr>
          <w:rFonts w:ascii="Times New Roman" w:eastAsia="Times New Roman" w:hAnsi="Times New Roman" w:cs="Times New Roman"/>
          <w:sz w:val="24"/>
          <w:szCs w:val="24"/>
        </w:rPr>
        <w:t>é</w:t>
      </w:r>
      <w:r>
        <w:rPr>
          <w:rFonts w:ascii="Times New Roman" w:eastAsia="Times New Roman" w:hAnsi="Times New Roman" w:cs="Times New Roman"/>
          <w:sz w:val="24"/>
          <w:szCs w:val="24"/>
        </w:rPr>
        <w:t>dito</w:t>
      </w:r>
      <w:r w:rsidR="007F6223">
        <w:rPr>
          <w:rFonts w:ascii="Times New Roman" w:eastAsia="Times New Roman" w:hAnsi="Times New Roman" w:cs="Times New Roman"/>
          <w:sz w:val="24"/>
          <w:szCs w:val="24"/>
        </w:rPr>
        <w:t xml:space="preserve">. </w:t>
      </w:r>
      <w:r w:rsidR="007F6223" w:rsidRPr="006A0851">
        <w:rPr>
          <w:rFonts w:ascii="Times New Roman" w:eastAsia="Times New Roman" w:hAnsi="Times New Roman" w:cs="Times New Roman"/>
          <w:sz w:val="24"/>
          <w:szCs w:val="24"/>
        </w:rPr>
        <w:t xml:space="preserve">Como se observa, pode-se concluir que </w:t>
      </w:r>
      <w:r w:rsidR="004361AD">
        <w:rPr>
          <w:rFonts w:ascii="Times New Roman" w:eastAsia="Times New Roman" w:hAnsi="Times New Roman" w:cs="Times New Roman"/>
          <w:sz w:val="24"/>
          <w:szCs w:val="24"/>
        </w:rPr>
        <w:t>a</w:t>
      </w:r>
      <w:r w:rsidR="007F6223">
        <w:rPr>
          <w:rFonts w:ascii="Times New Roman" w:eastAsia="Times New Roman" w:hAnsi="Times New Roman" w:cs="Times New Roman"/>
          <w:sz w:val="24"/>
          <w:szCs w:val="24"/>
        </w:rPr>
        <w:t xml:space="preserve"> burocracia</w:t>
      </w:r>
      <w:r w:rsidR="004361AD">
        <w:rPr>
          <w:rFonts w:ascii="Times New Roman" w:eastAsia="Times New Roman" w:hAnsi="Times New Roman" w:cs="Times New Roman"/>
          <w:sz w:val="24"/>
          <w:szCs w:val="24"/>
        </w:rPr>
        <w:t xml:space="preserve"> e falta de agilidade</w:t>
      </w:r>
      <w:r w:rsidR="007F6223">
        <w:rPr>
          <w:rFonts w:ascii="Times New Roman" w:eastAsia="Times New Roman" w:hAnsi="Times New Roman" w:cs="Times New Roman"/>
          <w:sz w:val="24"/>
          <w:szCs w:val="24"/>
        </w:rPr>
        <w:t xml:space="preserve"> </w:t>
      </w:r>
      <w:r w:rsidR="004361AD">
        <w:rPr>
          <w:rFonts w:ascii="Times New Roman" w:eastAsia="Times New Roman" w:hAnsi="Times New Roman" w:cs="Times New Roman"/>
          <w:sz w:val="24"/>
          <w:szCs w:val="24"/>
        </w:rPr>
        <w:t>das</w:t>
      </w:r>
      <w:r w:rsidR="007F6223">
        <w:rPr>
          <w:rFonts w:ascii="Times New Roman" w:eastAsia="Times New Roman" w:hAnsi="Times New Roman" w:cs="Times New Roman"/>
          <w:sz w:val="24"/>
          <w:szCs w:val="24"/>
        </w:rPr>
        <w:t xml:space="preserve"> entidades financeiras </w:t>
      </w:r>
      <w:r w:rsidR="004361AD">
        <w:rPr>
          <w:rFonts w:ascii="Times New Roman" w:eastAsia="Times New Roman" w:hAnsi="Times New Roman" w:cs="Times New Roman"/>
          <w:sz w:val="24"/>
          <w:szCs w:val="24"/>
        </w:rPr>
        <w:t>são</w:t>
      </w:r>
      <w:r w:rsidR="007F6223">
        <w:rPr>
          <w:rFonts w:ascii="Times New Roman" w:eastAsia="Times New Roman" w:hAnsi="Times New Roman" w:cs="Times New Roman"/>
          <w:sz w:val="24"/>
          <w:szCs w:val="24"/>
        </w:rPr>
        <w:t xml:space="preserve"> causa e motivaç</w:t>
      </w:r>
      <w:r w:rsidR="004361AD">
        <w:rPr>
          <w:rFonts w:ascii="Times New Roman" w:eastAsia="Times New Roman" w:hAnsi="Times New Roman" w:cs="Times New Roman"/>
          <w:sz w:val="24"/>
          <w:szCs w:val="24"/>
        </w:rPr>
        <w:t>ão</w:t>
      </w:r>
      <w:r w:rsidR="007F6223">
        <w:rPr>
          <w:rFonts w:ascii="Times New Roman" w:eastAsia="Times New Roman" w:hAnsi="Times New Roman" w:cs="Times New Roman"/>
          <w:sz w:val="24"/>
          <w:szCs w:val="24"/>
        </w:rPr>
        <w:t xml:space="preserve"> p</w:t>
      </w:r>
      <w:r w:rsidR="004361AD">
        <w:rPr>
          <w:rFonts w:ascii="Times New Roman" w:eastAsia="Times New Roman" w:hAnsi="Times New Roman" w:cs="Times New Roman"/>
          <w:sz w:val="24"/>
          <w:szCs w:val="24"/>
        </w:rPr>
        <w:t>ara a</w:t>
      </w:r>
      <w:r w:rsidR="007F6223">
        <w:rPr>
          <w:rFonts w:ascii="Times New Roman" w:eastAsia="Times New Roman" w:hAnsi="Times New Roman" w:cs="Times New Roman"/>
          <w:sz w:val="24"/>
          <w:szCs w:val="24"/>
        </w:rPr>
        <w:t xml:space="preserve"> escolha da </w:t>
      </w:r>
      <w:proofErr w:type="spellStart"/>
      <w:r w:rsidR="007F6223" w:rsidRPr="004361AD">
        <w:rPr>
          <w:rFonts w:ascii="Times New Roman" w:eastAsia="Times New Roman" w:hAnsi="Times New Roman" w:cs="Times New Roman"/>
          <w:i/>
          <w:sz w:val="24"/>
          <w:szCs w:val="24"/>
        </w:rPr>
        <w:t>factoring</w:t>
      </w:r>
      <w:proofErr w:type="spellEnd"/>
      <w:r w:rsidR="007F6223">
        <w:rPr>
          <w:rFonts w:ascii="Times New Roman" w:eastAsia="Times New Roman" w:hAnsi="Times New Roman" w:cs="Times New Roman"/>
          <w:sz w:val="24"/>
          <w:szCs w:val="24"/>
        </w:rPr>
        <w:t>,</w:t>
      </w:r>
    </w:p>
    <w:p w14:paraId="703C532A" w14:textId="54C8CD1E" w:rsidR="00BC51B3" w:rsidRPr="007F6223" w:rsidRDefault="00BC51B3" w:rsidP="007F6223">
      <w:pPr>
        <w:spacing w:line="240" w:lineRule="auto"/>
        <w:ind w:firstLine="566"/>
        <w:jc w:val="both"/>
        <w:rPr>
          <w:rFonts w:ascii="Times New Roman" w:eastAsia="Times New Roman" w:hAnsi="Times New Roman" w:cs="Times New Roman"/>
          <w:sz w:val="24"/>
          <w:szCs w:val="24"/>
        </w:rPr>
      </w:pPr>
      <w:r w:rsidRPr="00BC51B3">
        <w:rPr>
          <w:rFonts w:ascii="Times New Roman" w:hAnsi="Times New Roman" w:cs="Times New Roman"/>
          <w:sz w:val="24"/>
          <w:szCs w:val="24"/>
        </w:rPr>
        <w:t xml:space="preserve">O tema </w:t>
      </w:r>
      <w:proofErr w:type="spellStart"/>
      <w:r w:rsidRPr="00272F6C">
        <w:rPr>
          <w:rFonts w:ascii="Times New Roman" w:hAnsi="Times New Roman" w:cs="Times New Roman"/>
          <w:i/>
          <w:sz w:val="24"/>
          <w:szCs w:val="24"/>
        </w:rPr>
        <w:t>factoring</w:t>
      </w:r>
      <w:proofErr w:type="spellEnd"/>
      <w:r w:rsidRPr="00BC51B3">
        <w:rPr>
          <w:rFonts w:ascii="Times New Roman" w:hAnsi="Times New Roman" w:cs="Times New Roman"/>
          <w:sz w:val="24"/>
          <w:szCs w:val="24"/>
        </w:rPr>
        <w:t xml:space="preserve"> é muito importante, por vários fatores, como foi mostrado anteriormente, mas o acesso às informações</w:t>
      </w:r>
      <w:r w:rsidR="00647E1B">
        <w:rPr>
          <w:rFonts w:ascii="Times New Roman" w:hAnsi="Times New Roman" w:cs="Times New Roman"/>
          <w:sz w:val="24"/>
          <w:szCs w:val="24"/>
        </w:rPr>
        <w:t xml:space="preserve">, </w:t>
      </w:r>
      <w:r w:rsidR="00647E1B" w:rsidRPr="00BC51B3">
        <w:rPr>
          <w:rFonts w:ascii="Times New Roman" w:hAnsi="Times New Roman" w:cs="Times New Roman"/>
          <w:sz w:val="24"/>
          <w:szCs w:val="24"/>
        </w:rPr>
        <w:t>como as bibliográficas</w:t>
      </w:r>
      <w:r w:rsidR="00647E1B">
        <w:rPr>
          <w:rFonts w:ascii="Times New Roman" w:hAnsi="Times New Roman" w:cs="Times New Roman"/>
          <w:sz w:val="24"/>
          <w:szCs w:val="24"/>
        </w:rPr>
        <w:t>,</w:t>
      </w:r>
      <w:r w:rsidRPr="00BC51B3">
        <w:rPr>
          <w:rFonts w:ascii="Times New Roman" w:hAnsi="Times New Roman" w:cs="Times New Roman"/>
          <w:sz w:val="24"/>
          <w:szCs w:val="24"/>
        </w:rPr>
        <w:t xml:space="preserve"> é um pouco restrito, por ser uma modalidade relativamente nova, </w:t>
      </w:r>
      <w:r w:rsidR="00647E1B">
        <w:rPr>
          <w:rFonts w:ascii="Times New Roman" w:hAnsi="Times New Roman" w:cs="Times New Roman"/>
          <w:sz w:val="24"/>
          <w:szCs w:val="24"/>
        </w:rPr>
        <w:t>sendo uma limitação para este tipo de estudo.</w:t>
      </w:r>
    </w:p>
    <w:p w14:paraId="554F6AF7" w14:textId="0732E21B" w:rsidR="00EF742C" w:rsidRPr="00597D29" w:rsidRDefault="00BC51B3">
      <w:pPr>
        <w:spacing w:line="240" w:lineRule="auto"/>
        <w:ind w:firstLine="566"/>
        <w:jc w:val="both"/>
        <w:rPr>
          <w:rFonts w:ascii="Times New Roman" w:eastAsia="Times New Roman" w:hAnsi="Times New Roman" w:cs="Times New Roman"/>
          <w:sz w:val="24"/>
          <w:szCs w:val="24"/>
        </w:rPr>
      </w:pPr>
      <w:r w:rsidRPr="00BC51B3">
        <w:rPr>
          <w:rFonts w:ascii="Times New Roman" w:eastAsia="Times New Roman" w:hAnsi="Times New Roman" w:cs="Times New Roman"/>
          <w:sz w:val="24"/>
          <w:szCs w:val="24"/>
        </w:rPr>
        <w:t xml:space="preserve">Este trabalho não </w:t>
      </w:r>
      <w:r>
        <w:rPr>
          <w:rFonts w:ascii="Times New Roman" w:eastAsia="Times New Roman" w:hAnsi="Times New Roman" w:cs="Times New Roman"/>
          <w:sz w:val="24"/>
          <w:szCs w:val="24"/>
        </w:rPr>
        <w:t>consumiu</w:t>
      </w:r>
      <w:r w:rsidRPr="00BC51B3">
        <w:rPr>
          <w:rFonts w:ascii="Times New Roman" w:eastAsia="Times New Roman" w:hAnsi="Times New Roman" w:cs="Times New Roman"/>
          <w:sz w:val="24"/>
          <w:szCs w:val="24"/>
        </w:rPr>
        <w:t xml:space="preserve"> completamente o tema. Observou-se que o assunto relacionado às </w:t>
      </w:r>
      <w:proofErr w:type="spellStart"/>
      <w:r w:rsidRPr="00272F6C">
        <w:rPr>
          <w:rFonts w:ascii="Times New Roman" w:eastAsia="Times New Roman" w:hAnsi="Times New Roman" w:cs="Times New Roman"/>
          <w:i/>
          <w:sz w:val="24"/>
          <w:szCs w:val="24"/>
        </w:rPr>
        <w:t>fac</w:t>
      </w:r>
      <w:r w:rsidR="008D51F4" w:rsidRPr="00272F6C">
        <w:rPr>
          <w:rFonts w:ascii="Times New Roman" w:eastAsia="Times New Roman" w:hAnsi="Times New Roman" w:cs="Times New Roman"/>
          <w:i/>
          <w:sz w:val="24"/>
          <w:szCs w:val="24"/>
        </w:rPr>
        <w:t>torings</w:t>
      </w:r>
      <w:proofErr w:type="spellEnd"/>
      <w:r w:rsidR="008D51F4">
        <w:rPr>
          <w:rFonts w:ascii="Times New Roman" w:eastAsia="Times New Roman" w:hAnsi="Times New Roman" w:cs="Times New Roman"/>
          <w:sz w:val="24"/>
          <w:szCs w:val="24"/>
        </w:rPr>
        <w:t xml:space="preserve"> ainda é pouco estudado</w:t>
      </w:r>
      <w:r w:rsidRPr="00BC51B3">
        <w:rPr>
          <w:rFonts w:ascii="Times New Roman" w:eastAsia="Times New Roman" w:hAnsi="Times New Roman" w:cs="Times New Roman"/>
          <w:sz w:val="24"/>
          <w:szCs w:val="24"/>
        </w:rPr>
        <w:t xml:space="preserve"> e pode ser melhor explorado em diversas áreas de conhecimento da</w:t>
      </w:r>
      <w:r w:rsidR="008D51F4">
        <w:rPr>
          <w:rFonts w:ascii="Times New Roman" w:eastAsia="Times New Roman" w:hAnsi="Times New Roman" w:cs="Times New Roman"/>
          <w:sz w:val="24"/>
          <w:szCs w:val="24"/>
        </w:rPr>
        <w:t>s finanças</w:t>
      </w:r>
      <w:r w:rsidRPr="00BC51B3">
        <w:rPr>
          <w:rFonts w:ascii="Times New Roman" w:eastAsia="Times New Roman" w:hAnsi="Times New Roman" w:cs="Times New Roman"/>
          <w:sz w:val="24"/>
          <w:szCs w:val="24"/>
        </w:rPr>
        <w:t>, como por exemplo em sua forma de tributação e operacionalização, ficando como sugestão para novos trabalhos.</w:t>
      </w:r>
    </w:p>
    <w:p w14:paraId="62C7778B" w14:textId="6659042D"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Pode-se observar que para quem utiliza o sistema de </w:t>
      </w:r>
      <w:proofErr w:type="spellStart"/>
      <w:r w:rsidRPr="008D51F4">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sz w:val="24"/>
          <w:szCs w:val="24"/>
        </w:rPr>
        <w:t xml:space="preserve">, as vantagens se sobrepõem às desvantagens, pois seguindo o objetivo geral deste trabalho pode-se </w:t>
      </w:r>
      <w:r w:rsidR="00CE4291">
        <w:rPr>
          <w:rFonts w:ascii="Times New Roman" w:eastAsia="Times New Roman" w:hAnsi="Times New Roman" w:cs="Times New Roman"/>
          <w:sz w:val="24"/>
          <w:szCs w:val="24"/>
        </w:rPr>
        <w:t>aferi</w:t>
      </w:r>
      <w:r>
        <w:rPr>
          <w:rFonts w:ascii="Times New Roman" w:eastAsia="Times New Roman" w:hAnsi="Times New Roman" w:cs="Times New Roman"/>
          <w:sz w:val="24"/>
          <w:szCs w:val="24"/>
        </w:rPr>
        <w:t>r que os perfis das empresas que buscam estes serviços são empresas que precisam de agilidade e menos burocracia.</w:t>
      </w:r>
    </w:p>
    <w:p w14:paraId="19420C54" w14:textId="4295BB15"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necessário esclarecer novamente aqui que não existe um único diploma de direito para regular as atividades de desenvolvimento de negócios. </w:t>
      </w:r>
      <w:r w:rsidR="008D7A9D">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Projeto de Lei nº 1.230/95</w:t>
      </w:r>
      <w:r w:rsidR="008D7A9D">
        <w:rPr>
          <w:rFonts w:ascii="Times New Roman" w:eastAsia="Times New Roman" w:hAnsi="Times New Roman" w:cs="Times New Roman"/>
          <w:sz w:val="24"/>
          <w:szCs w:val="24"/>
        </w:rPr>
        <w:t xml:space="preserve"> representa um avanço mesmo que</w:t>
      </w:r>
      <w:r>
        <w:rPr>
          <w:rFonts w:ascii="Times New Roman" w:eastAsia="Times New Roman" w:hAnsi="Times New Roman" w:cs="Times New Roman"/>
          <w:sz w:val="24"/>
          <w:szCs w:val="24"/>
        </w:rPr>
        <w:t xml:space="preserve"> não pretend</w:t>
      </w:r>
      <w:r w:rsidR="008D7A9D">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legitimar as atividades de </w:t>
      </w:r>
      <w:proofErr w:type="spellStart"/>
      <w:r>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sz w:val="24"/>
          <w:szCs w:val="24"/>
        </w:rPr>
        <w:t>, mas condensa a legislação, de forma a proteger as empresas sérias que atuam nesta área.</w:t>
      </w:r>
    </w:p>
    <w:p w14:paraId="15DFBD86" w14:textId="506FA0CE" w:rsidR="00EF742C" w:rsidRDefault="00A72A81">
      <w:pPr>
        <w:spacing w:line="240" w:lineRule="auto"/>
        <w:ind w:firstLine="566"/>
        <w:jc w:val="both"/>
        <w:rPr>
          <w:rFonts w:ascii="Times New Roman" w:eastAsia="Times New Roman" w:hAnsi="Times New Roman" w:cs="Times New Roman"/>
          <w:sz w:val="24"/>
          <w:szCs w:val="24"/>
        </w:rPr>
      </w:pPr>
      <w:r w:rsidRPr="007011C9">
        <w:rPr>
          <w:rFonts w:ascii="Times New Roman" w:eastAsia="Times New Roman" w:hAnsi="Times New Roman" w:cs="Times New Roman"/>
          <w:sz w:val="24"/>
          <w:szCs w:val="24"/>
        </w:rPr>
        <w:t xml:space="preserve">Um reduzido de pessoas </w:t>
      </w:r>
      <w:r w:rsidR="00A47FDE">
        <w:rPr>
          <w:rFonts w:ascii="Times New Roman" w:eastAsia="Times New Roman" w:hAnsi="Times New Roman" w:cs="Times New Roman"/>
          <w:sz w:val="24"/>
          <w:szCs w:val="24"/>
        </w:rPr>
        <w:t xml:space="preserve">têm a percepção que as empresas de </w:t>
      </w:r>
      <w:proofErr w:type="spellStart"/>
      <w:r w:rsidR="00A47FDE">
        <w:rPr>
          <w:rFonts w:ascii="Times New Roman" w:eastAsia="Times New Roman" w:hAnsi="Times New Roman" w:cs="Times New Roman"/>
          <w:i/>
          <w:sz w:val="24"/>
          <w:szCs w:val="24"/>
        </w:rPr>
        <w:t>factoring</w:t>
      </w:r>
      <w:proofErr w:type="spellEnd"/>
      <w:r w:rsidR="00A47FDE">
        <w:rPr>
          <w:rFonts w:ascii="Times New Roman" w:eastAsia="Times New Roman" w:hAnsi="Times New Roman" w:cs="Times New Roman"/>
          <w:sz w:val="24"/>
          <w:szCs w:val="24"/>
        </w:rPr>
        <w:t xml:space="preserve"> são nocivas como forma de financiamento, no entanto, deve-se esclarecer que se a </w:t>
      </w:r>
      <w:proofErr w:type="spellStart"/>
      <w:r w:rsidR="00A47FDE">
        <w:rPr>
          <w:rFonts w:ascii="Times New Roman" w:eastAsia="Times New Roman" w:hAnsi="Times New Roman" w:cs="Times New Roman"/>
          <w:i/>
          <w:sz w:val="24"/>
          <w:szCs w:val="24"/>
        </w:rPr>
        <w:t>factoring</w:t>
      </w:r>
      <w:proofErr w:type="spellEnd"/>
      <w:r w:rsidR="00A47FDE">
        <w:rPr>
          <w:rFonts w:ascii="Times New Roman" w:eastAsia="Times New Roman" w:hAnsi="Times New Roman" w:cs="Times New Roman"/>
          <w:sz w:val="24"/>
          <w:szCs w:val="24"/>
        </w:rPr>
        <w:t xml:space="preserve"> for usada corretamente pode trazer muitos benefícios para as pequenas e médias empresas. Normalmente, essas empresas que procuram negócios de </w:t>
      </w:r>
      <w:proofErr w:type="spellStart"/>
      <w:r w:rsidR="00A47FDE" w:rsidRPr="00E25CCE">
        <w:rPr>
          <w:rFonts w:ascii="Times New Roman" w:eastAsia="Times New Roman" w:hAnsi="Times New Roman" w:cs="Times New Roman"/>
          <w:i/>
          <w:sz w:val="24"/>
          <w:szCs w:val="24"/>
        </w:rPr>
        <w:t>factoring</w:t>
      </w:r>
      <w:proofErr w:type="spellEnd"/>
      <w:r w:rsidR="00A47FDE">
        <w:rPr>
          <w:rFonts w:ascii="Times New Roman" w:eastAsia="Times New Roman" w:hAnsi="Times New Roman" w:cs="Times New Roman"/>
          <w:sz w:val="24"/>
          <w:szCs w:val="24"/>
        </w:rPr>
        <w:t xml:space="preserve"> </w:t>
      </w:r>
      <w:r w:rsidR="00E25CCE">
        <w:rPr>
          <w:rFonts w:ascii="Times New Roman" w:eastAsia="Times New Roman" w:hAnsi="Times New Roman" w:cs="Times New Roman"/>
          <w:sz w:val="24"/>
          <w:szCs w:val="24"/>
        </w:rPr>
        <w:t>têm</w:t>
      </w:r>
      <w:r w:rsidR="00A47FDE">
        <w:rPr>
          <w:rFonts w:ascii="Times New Roman" w:eastAsia="Times New Roman" w:hAnsi="Times New Roman" w:cs="Times New Roman"/>
          <w:sz w:val="24"/>
          <w:szCs w:val="24"/>
        </w:rPr>
        <w:t xml:space="preserve"> problemas de capital de giro porque </w:t>
      </w:r>
      <w:r w:rsidR="00A47FDE">
        <w:rPr>
          <w:rFonts w:ascii="Times New Roman" w:eastAsia="Times New Roman" w:hAnsi="Times New Roman" w:cs="Times New Roman"/>
          <w:sz w:val="24"/>
          <w:szCs w:val="24"/>
        </w:rPr>
        <w:lastRenderedPageBreak/>
        <w:t>eles têm pouco capital e precisam de fontes de microcrédito para as necessidades do seu negócio.</w:t>
      </w:r>
    </w:p>
    <w:p w14:paraId="43766A56" w14:textId="6578D72D" w:rsidR="00EF742C" w:rsidRDefault="00A47FDE">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fim, </w:t>
      </w:r>
      <w:r w:rsidR="00412506">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deve ser mais </w:t>
      </w:r>
      <w:r w:rsidRPr="007011C9">
        <w:rPr>
          <w:rFonts w:ascii="Times New Roman" w:eastAsia="Times New Roman" w:hAnsi="Times New Roman" w:cs="Times New Roman"/>
          <w:sz w:val="24"/>
          <w:szCs w:val="24"/>
        </w:rPr>
        <w:t>flexível e</w:t>
      </w:r>
      <w:r w:rsidR="00A72A81" w:rsidRPr="007011C9">
        <w:rPr>
          <w:rFonts w:ascii="Times New Roman" w:eastAsia="Times New Roman" w:hAnsi="Times New Roman" w:cs="Times New Roman"/>
          <w:sz w:val="24"/>
          <w:szCs w:val="24"/>
        </w:rPr>
        <w:t>m</w:t>
      </w:r>
      <w:r w:rsidRPr="007011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responder às necessidades dos clientes, pequenas e médias empresas, pois é considerada uma ferramenta de viabilização destas, reclamando, portanto, uma regulamentação própria, a qual certamente trará maior segurança para estas relações contratuais.</w:t>
      </w:r>
    </w:p>
    <w:p w14:paraId="412E493B" w14:textId="67E3B91B" w:rsidR="00EF742C" w:rsidRDefault="00A47FDE" w:rsidP="00D91E7D">
      <w:pPr>
        <w:spacing w:line="240"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já citado, por se tratar de um estudo de caso, </w:t>
      </w:r>
      <w:r w:rsidR="00762429">
        <w:rPr>
          <w:rFonts w:ascii="Times New Roman" w:eastAsia="Times New Roman" w:hAnsi="Times New Roman" w:cs="Times New Roman"/>
          <w:sz w:val="24"/>
          <w:szCs w:val="24"/>
        </w:rPr>
        <w:t>os resultados desta pesquisa não têm</w:t>
      </w:r>
      <w:r>
        <w:rPr>
          <w:rFonts w:ascii="Times New Roman" w:eastAsia="Times New Roman" w:hAnsi="Times New Roman" w:cs="Times New Roman"/>
          <w:sz w:val="24"/>
          <w:szCs w:val="24"/>
        </w:rPr>
        <w:t xml:space="preserve"> a pretensão de explicar a realidade das empresas clientes das empresas de </w:t>
      </w:r>
      <w:proofErr w:type="spellStart"/>
      <w:r>
        <w:rPr>
          <w:rFonts w:ascii="Times New Roman" w:eastAsia="Times New Roman" w:hAnsi="Times New Roman" w:cs="Times New Roman"/>
          <w:i/>
          <w:sz w:val="24"/>
          <w:szCs w:val="24"/>
        </w:rPr>
        <w:t>factoring</w:t>
      </w:r>
      <w:proofErr w:type="spellEnd"/>
      <w:r>
        <w:rPr>
          <w:rFonts w:ascii="Times New Roman" w:eastAsia="Times New Roman" w:hAnsi="Times New Roman" w:cs="Times New Roman"/>
          <w:i/>
          <w:sz w:val="24"/>
          <w:szCs w:val="24"/>
        </w:rPr>
        <w:t xml:space="preserve"> </w:t>
      </w:r>
      <w:r w:rsidR="00762429">
        <w:rPr>
          <w:rFonts w:ascii="Times New Roman" w:eastAsia="Times New Roman" w:hAnsi="Times New Roman" w:cs="Times New Roman"/>
          <w:sz w:val="24"/>
          <w:szCs w:val="24"/>
        </w:rPr>
        <w:t>em geral,</w:t>
      </w:r>
      <w:r>
        <w:rPr>
          <w:rFonts w:ascii="Times New Roman" w:eastAsia="Times New Roman" w:hAnsi="Times New Roman" w:cs="Times New Roman"/>
          <w:sz w:val="24"/>
          <w:szCs w:val="24"/>
        </w:rPr>
        <w:t xml:space="preserve"> mas somente dos clientes da empresa objeto de estudo desta pesquisa.</w:t>
      </w:r>
    </w:p>
    <w:p w14:paraId="26411FE5" w14:textId="4BA323A8" w:rsidR="00A72A81" w:rsidRPr="007011C9" w:rsidRDefault="002C43A9" w:rsidP="00D91E7D">
      <w:pPr>
        <w:spacing w:line="240" w:lineRule="auto"/>
        <w:ind w:firstLine="566"/>
        <w:jc w:val="both"/>
        <w:rPr>
          <w:rFonts w:ascii="Times New Roman" w:eastAsia="Times New Roman" w:hAnsi="Times New Roman" w:cs="Times New Roman"/>
          <w:sz w:val="24"/>
          <w:szCs w:val="24"/>
        </w:rPr>
      </w:pPr>
      <w:r w:rsidRPr="007011C9">
        <w:rPr>
          <w:rFonts w:ascii="Times New Roman" w:eastAsia="Times New Roman" w:hAnsi="Times New Roman" w:cs="Times New Roman"/>
          <w:sz w:val="24"/>
          <w:szCs w:val="24"/>
        </w:rPr>
        <w:t>Além dos resultados alcançados, e</w:t>
      </w:r>
      <w:r w:rsidR="00A72A81" w:rsidRPr="007011C9">
        <w:rPr>
          <w:rFonts w:ascii="Times New Roman" w:eastAsia="Times New Roman" w:hAnsi="Times New Roman" w:cs="Times New Roman"/>
          <w:sz w:val="24"/>
          <w:szCs w:val="24"/>
        </w:rPr>
        <w:t>s</w:t>
      </w:r>
      <w:r w:rsidRPr="007011C9">
        <w:rPr>
          <w:rFonts w:ascii="Times New Roman" w:eastAsia="Times New Roman" w:hAnsi="Times New Roman" w:cs="Times New Roman"/>
          <w:sz w:val="24"/>
          <w:szCs w:val="24"/>
        </w:rPr>
        <w:t>t</w:t>
      </w:r>
      <w:r w:rsidR="00A72A81" w:rsidRPr="007011C9">
        <w:rPr>
          <w:rFonts w:ascii="Times New Roman" w:eastAsia="Times New Roman" w:hAnsi="Times New Roman" w:cs="Times New Roman"/>
          <w:sz w:val="24"/>
          <w:szCs w:val="24"/>
        </w:rPr>
        <w:t xml:space="preserve">a pesquisa </w:t>
      </w:r>
      <w:r w:rsidRPr="007011C9">
        <w:rPr>
          <w:rFonts w:ascii="Times New Roman" w:eastAsia="Times New Roman" w:hAnsi="Times New Roman" w:cs="Times New Roman"/>
          <w:sz w:val="24"/>
          <w:szCs w:val="24"/>
        </w:rPr>
        <w:t>se apresenta como uma oportunidade para</w:t>
      </w:r>
      <w:r w:rsidR="00A72A81" w:rsidRPr="007011C9">
        <w:rPr>
          <w:rFonts w:ascii="Times New Roman" w:eastAsia="Times New Roman" w:hAnsi="Times New Roman" w:cs="Times New Roman"/>
          <w:sz w:val="24"/>
          <w:szCs w:val="24"/>
        </w:rPr>
        <w:t xml:space="preserve"> solucionar dificuldades da empresa, diante</w:t>
      </w:r>
      <w:r w:rsidRPr="007011C9">
        <w:rPr>
          <w:rFonts w:ascii="Times New Roman" w:eastAsia="Times New Roman" w:hAnsi="Times New Roman" w:cs="Times New Roman"/>
          <w:sz w:val="24"/>
          <w:szCs w:val="24"/>
        </w:rPr>
        <w:t xml:space="preserve"> da quantidade de dados levantados junto às</w:t>
      </w:r>
      <w:r w:rsidR="00A72A81" w:rsidRPr="007011C9">
        <w:rPr>
          <w:rFonts w:ascii="Times New Roman" w:eastAsia="Times New Roman" w:hAnsi="Times New Roman" w:cs="Times New Roman"/>
          <w:sz w:val="24"/>
          <w:szCs w:val="24"/>
        </w:rPr>
        <w:t xml:space="preserve"> empresas clientes. </w:t>
      </w:r>
      <w:r w:rsidRPr="007011C9">
        <w:rPr>
          <w:rFonts w:ascii="Times New Roman" w:eastAsia="Times New Roman" w:hAnsi="Times New Roman" w:cs="Times New Roman"/>
          <w:sz w:val="24"/>
          <w:szCs w:val="24"/>
        </w:rPr>
        <w:t>A partir desses dados podem ser formuladas políticas de tratamento junto a esses clientes que possam favorecer o</w:t>
      </w:r>
      <w:r w:rsidR="00A72A81" w:rsidRPr="007011C9">
        <w:rPr>
          <w:rFonts w:ascii="Times New Roman" w:eastAsia="Times New Roman" w:hAnsi="Times New Roman" w:cs="Times New Roman"/>
          <w:sz w:val="24"/>
          <w:szCs w:val="24"/>
        </w:rPr>
        <w:t xml:space="preserve"> </w:t>
      </w:r>
      <w:r w:rsidRPr="007011C9">
        <w:rPr>
          <w:rFonts w:ascii="Times New Roman" w:eastAsia="Times New Roman" w:hAnsi="Times New Roman" w:cs="Times New Roman"/>
          <w:sz w:val="24"/>
          <w:szCs w:val="24"/>
        </w:rPr>
        <w:t>desenvolvimento organizacional</w:t>
      </w:r>
      <w:r w:rsidR="00A72A81" w:rsidRPr="007011C9">
        <w:rPr>
          <w:rFonts w:ascii="Times New Roman" w:eastAsia="Times New Roman" w:hAnsi="Times New Roman" w:cs="Times New Roman"/>
          <w:sz w:val="24"/>
          <w:szCs w:val="24"/>
        </w:rPr>
        <w:t xml:space="preserve"> </w:t>
      </w:r>
      <w:r w:rsidRPr="007011C9">
        <w:rPr>
          <w:rFonts w:ascii="Times New Roman" w:eastAsia="Times New Roman" w:hAnsi="Times New Roman" w:cs="Times New Roman"/>
          <w:sz w:val="24"/>
          <w:szCs w:val="24"/>
        </w:rPr>
        <w:t>da empresa pesquisada</w:t>
      </w:r>
      <w:r w:rsidR="006C5470" w:rsidRPr="007011C9">
        <w:rPr>
          <w:rFonts w:ascii="Times New Roman" w:eastAsia="Times New Roman" w:hAnsi="Times New Roman" w:cs="Times New Roman"/>
          <w:sz w:val="24"/>
          <w:szCs w:val="24"/>
        </w:rPr>
        <w:t>.</w:t>
      </w:r>
    </w:p>
    <w:p w14:paraId="27BC2EEE" w14:textId="77777777" w:rsidR="00EF742C" w:rsidRDefault="00A47FDE" w:rsidP="00D91E7D">
      <w:pPr>
        <w:pStyle w:val="Ttulo1"/>
        <w:spacing w:before="100" w:beforeAutospacing="1" w:after="100" w:afterAutospacing="1" w:line="240" w:lineRule="auto"/>
        <w:ind w:left="357" w:hanging="357"/>
      </w:pPr>
      <w:r>
        <w:t>REFERÊNCIAS BIBLIOGRÁFICAS</w:t>
      </w:r>
    </w:p>
    <w:p w14:paraId="54C8028F" w14:textId="14BDD5A2" w:rsidR="0056509D" w:rsidRPr="007011C9" w:rsidRDefault="0056509D">
      <w:pPr>
        <w:spacing w:line="240" w:lineRule="auto"/>
        <w:jc w:val="both"/>
        <w:rPr>
          <w:rFonts w:ascii="Times New Roman" w:eastAsia="Times New Roman" w:hAnsi="Times New Roman" w:cs="Times New Roman"/>
          <w:sz w:val="24"/>
          <w:szCs w:val="24"/>
        </w:rPr>
      </w:pPr>
      <w:r w:rsidRPr="007011C9">
        <w:t xml:space="preserve">BATISTA, R. S. A Importância do </w:t>
      </w:r>
      <w:proofErr w:type="spellStart"/>
      <w:r w:rsidRPr="007011C9">
        <w:rPr>
          <w:i/>
          <w:iCs/>
        </w:rPr>
        <w:t>factoring</w:t>
      </w:r>
      <w:proofErr w:type="spellEnd"/>
      <w:r w:rsidRPr="007011C9">
        <w:t xml:space="preserve"> para pequenas e médias empresas. Veredas </w:t>
      </w:r>
      <w:proofErr w:type="spellStart"/>
      <w:r w:rsidRPr="007011C9">
        <w:t>Favip</w:t>
      </w:r>
      <w:proofErr w:type="spellEnd"/>
      <w:r w:rsidRPr="007011C9">
        <w:t xml:space="preserve"> Revista Eletrônica de Ciências – v.5, n. 1- janeiro a junho de 2012.</w:t>
      </w:r>
    </w:p>
    <w:p w14:paraId="49A04688" w14:textId="77777777" w:rsidR="0056509D" w:rsidRDefault="0056509D">
      <w:pPr>
        <w:spacing w:line="240" w:lineRule="auto"/>
        <w:jc w:val="both"/>
        <w:rPr>
          <w:rFonts w:ascii="Times New Roman" w:eastAsia="Times New Roman" w:hAnsi="Times New Roman" w:cs="Times New Roman"/>
          <w:sz w:val="24"/>
          <w:szCs w:val="24"/>
        </w:rPr>
      </w:pPr>
    </w:p>
    <w:p w14:paraId="67BC472B" w14:textId="1683AE72" w:rsidR="00EF742C" w:rsidRPr="00EC640B" w:rsidRDefault="00A47FD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BONIN, R</w:t>
      </w:r>
      <w:r w:rsidRPr="00EC640B">
        <w:rPr>
          <w:rFonts w:ascii="Times New Roman" w:eastAsia="Times New Roman" w:hAnsi="Times New Roman" w:cs="Times New Roman"/>
          <w:sz w:val="24"/>
          <w:szCs w:val="24"/>
        </w:rPr>
        <w:t>. Fomento comercial deve movimentar R$ 138 bilhões no país, estima setor. [S. l.], 2021. Disponível em: https://veja.abril.com.br/coluna/radar/fomento-comercial-deve-movimentar-r-138-bilhoes-no-pais-estima-setor/. Acesso em: 5 out. 2022.</w:t>
      </w:r>
    </w:p>
    <w:p w14:paraId="3D03358E" w14:textId="77777777" w:rsidR="00EF742C" w:rsidRPr="00EC640B" w:rsidRDefault="00EF742C">
      <w:pPr>
        <w:spacing w:line="240" w:lineRule="auto"/>
        <w:jc w:val="both"/>
        <w:rPr>
          <w:rFonts w:ascii="Times New Roman" w:eastAsia="Times New Roman" w:hAnsi="Times New Roman" w:cs="Times New Roman"/>
          <w:sz w:val="24"/>
          <w:szCs w:val="24"/>
        </w:rPr>
      </w:pPr>
    </w:p>
    <w:p w14:paraId="3F2A68DF" w14:textId="77777777" w:rsidR="00EF742C" w:rsidRPr="00EC640B" w:rsidRDefault="00A47FDE">
      <w:pPr>
        <w:spacing w:line="240" w:lineRule="auto"/>
        <w:jc w:val="both"/>
        <w:rPr>
          <w:rFonts w:ascii="Times New Roman" w:eastAsia="Times New Roman" w:hAnsi="Times New Roman" w:cs="Times New Roman"/>
          <w:sz w:val="24"/>
          <w:szCs w:val="24"/>
        </w:rPr>
      </w:pPr>
      <w:r w:rsidRPr="00EC640B">
        <w:rPr>
          <w:rFonts w:ascii="Times New Roman" w:eastAsia="Times New Roman" w:hAnsi="Times New Roman" w:cs="Times New Roman"/>
          <w:sz w:val="24"/>
          <w:szCs w:val="24"/>
        </w:rPr>
        <w:t>BRASIL, Constituição da República Federativa do Brasil: promulgada em 5 de outubro de 1988. Disponível em: &lt; http://www.planalto.gov.br/ccivil_03/constituicao/ constituicao.htm&gt;. Acesso em: 10 out. 2022.</w:t>
      </w:r>
    </w:p>
    <w:p w14:paraId="5905F625" w14:textId="77777777" w:rsidR="00EF742C" w:rsidRPr="00EC640B" w:rsidRDefault="00EF742C">
      <w:pPr>
        <w:spacing w:line="240" w:lineRule="auto"/>
        <w:jc w:val="both"/>
        <w:rPr>
          <w:rFonts w:ascii="Times New Roman" w:eastAsia="Times New Roman" w:hAnsi="Times New Roman" w:cs="Times New Roman"/>
          <w:sz w:val="24"/>
          <w:szCs w:val="24"/>
        </w:rPr>
      </w:pPr>
    </w:p>
    <w:p w14:paraId="54C0E00D" w14:textId="5277FB1C" w:rsidR="00EF742C" w:rsidRDefault="00A47FDE">
      <w:pPr>
        <w:spacing w:line="240" w:lineRule="auto"/>
        <w:jc w:val="both"/>
        <w:rPr>
          <w:rFonts w:ascii="Times New Roman" w:eastAsia="Times New Roman" w:hAnsi="Times New Roman" w:cs="Times New Roman"/>
          <w:sz w:val="24"/>
          <w:szCs w:val="24"/>
        </w:rPr>
      </w:pPr>
      <w:r w:rsidRPr="00EC640B">
        <w:rPr>
          <w:rFonts w:ascii="Times New Roman" w:eastAsia="Times New Roman" w:hAnsi="Times New Roman" w:cs="Times New Roman"/>
          <w:sz w:val="24"/>
          <w:szCs w:val="24"/>
        </w:rPr>
        <w:t>CARACAS, C</w:t>
      </w:r>
      <w:r w:rsidR="00C80D5E" w:rsidRPr="00EC640B">
        <w:rPr>
          <w:rFonts w:ascii="Times New Roman" w:eastAsia="Times New Roman" w:hAnsi="Times New Roman" w:cs="Times New Roman"/>
          <w:sz w:val="24"/>
          <w:szCs w:val="24"/>
        </w:rPr>
        <w:t>. T</w:t>
      </w:r>
      <w:r w:rsidRPr="00EC640B">
        <w:rPr>
          <w:rFonts w:ascii="Times New Roman" w:eastAsia="Times New Roman" w:hAnsi="Times New Roman" w:cs="Times New Roman"/>
          <w:sz w:val="24"/>
          <w:szCs w:val="24"/>
        </w:rPr>
        <w:t>. FACTORING ORIGEM E DESENVOLVIMENTO. Fortaleza, 1999. Disponível em: &lt;https://repositorio.ufc.br/bitstream/riufc/66981/1/1999_tcc_ctcaracas.pdff&gt;. Acesso em: 5 out. 2022.</w:t>
      </w:r>
    </w:p>
    <w:p w14:paraId="5FE942E0" w14:textId="12B78630" w:rsidR="003D1D05" w:rsidRDefault="003D1D05">
      <w:pPr>
        <w:spacing w:line="240" w:lineRule="auto"/>
        <w:jc w:val="both"/>
        <w:rPr>
          <w:rFonts w:ascii="Times New Roman" w:eastAsia="Times New Roman" w:hAnsi="Times New Roman" w:cs="Times New Roman"/>
          <w:sz w:val="24"/>
          <w:szCs w:val="24"/>
        </w:rPr>
      </w:pPr>
    </w:p>
    <w:p w14:paraId="25A387C0" w14:textId="3A9189E8" w:rsidR="003D1D05" w:rsidRPr="007011C9" w:rsidRDefault="003D1D05">
      <w:pPr>
        <w:spacing w:line="240" w:lineRule="auto"/>
        <w:jc w:val="both"/>
        <w:rPr>
          <w:rFonts w:ascii="Times New Roman" w:eastAsia="Times New Roman" w:hAnsi="Times New Roman" w:cs="Times New Roman"/>
          <w:sz w:val="24"/>
          <w:szCs w:val="24"/>
        </w:rPr>
      </w:pPr>
      <w:r w:rsidRPr="007011C9">
        <w:rPr>
          <w:rFonts w:ascii="Times New Roman" w:eastAsia="Times New Roman" w:hAnsi="Times New Roman" w:cs="Times New Roman"/>
          <w:sz w:val="24"/>
          <w:szCs w:val="24"/>
        </w:rPr>
        <w:t xml:space="preserve">DONINI, A.C Manual da </w:t>
      </w:r>
      <w:proofErr w:type="spellStart"/>
      <w:r w:rsidRPr="007011C9">
        <w:rPr>
          <w:rFonts w:ascii="Times New Roman" w:eastAsia="Times New Roman" w:hAnsi="Times New Roman" w:cs="Times New Roman"/>
          <w:i/>
          <w:iCs/>
          <w:sz w:val="24"/>
          <w:szCs w:val="24"/>
        </w:rPr>
        <w:t>Factoring</w:t>
      </w:r>
      <w:proofErr w:type="spellEnd"/>
      <w:r w:rsidRPr="007011C9">
        <w:rPr>
          <w:rFonts w:ascii="Times New Roman" w:eastAsia="Times New Roman" w:hAnsi="Times New Roman" w:cs="Times New Roman"/>
          <w:sz w:val="24"/>
          <w:szCs w:val="24"/>
        </w:rPr>
        <w:t xml:space="preserve">. São Paulo. </w:t>
      </w:r>
      <w:proofErr w:type="spellStart"/>
      <w:r w:rsidRPr="007011C9">
        <w:rPr>
          <w:rFonts w:ascii="Times New Roman" w:eastAsia="Times New Roman" w:hAnsi="Times New Roman" w:cs="Times New Roman"/>
          <w:sz w:val="24"/>
          <w:szCs w:val="24"/>
        </w:rPr>
        <w:t>Klarear</w:t>
      </w:r>
      <w:proofErr w:type="spellEnd"/>
      <w:r w:rsidRPr="007011C9">
        <w:rPr>
          <w:rFonts w:ascii="Times New Roman" w:eastAsia="Times New Roman" w:hAnsi="Times New Roman" w:cs="Times New Roman"/>
          <w:sz w:val="24"/>
          <w:szCs w:val="24"/>
        </w:rPr>
        <w:t>, 2004.</w:t>
      </w:r>
    </w:p>
    <w:p w14:paraId="7D827FE5" w14:textId="12716EED" w:rsidR="00543ED2" w:rsidRDefault="00543ED2">
      <w:pPr>
        <w:spacing w:line="240" w:lineRule="auto"/>
        <w:jc w:val="both"/>
        <w:rPr>
          <w:rFonts w:ascii="Times New Roman" w:eastAsia="Times New Roman" w:hAnsi="Times New Roman" w:cs="Times New Roman"/>
          <w:sz w:val="24"/>
          <w:szCs w:val="24"/>
        </w:rPr>
      </w:pPr>
    </w:p>
    <w:p w14:paraId="72240EE5" w14:textId="77777777" w:rsidR="00543ED2" w:rsidRPr="00EC640B" w:rsidRDefault="00543ED2" w:rsidP="00543ED2">
      <w:pPr>
        <w:spacing w:line="240" w:lineRule="auto"/>
        <w:jc w:val="both"/>
        <w:rPr>
          <w:rFonts w:ascii="Times New Roman" w:eastAsia="Times New Roman" w:hAnsi="Times New Roman" w:cs="Times New Roman"/>
          <w:sz w:val="24"/>
          <w:szCs w:val="24"/>
        </w:rPr>
      </w:pPr>
      <w:r w:rsidRPr="00EC640B">
        <w:rPr>
          <w:rFonts w:ascii="Times New Roman" w:eastAsia="Times New Roman" w:hAnsi="Times New Roman" w:cs="Times New Roman"/>
          <w:sz w:val="24"/>
          <w:szCs w:val="24"/>
        </w:rPr>
        <w:t xml:space="preserve">FREZATTI, F. Gestão do fluxo de caixa diário: como dispor de um instrumento fundamental para o gerenciamento do negócio. 1. ed. – 8. </w:t>
      </w:r>
      <w:proofErr w:type="spellStart"/>
      <w:r w:rsidRPr="00EC640B">
        <w:rPr>
          <w:rFonts w:ascii="Times New Roman" w:eastAsia="Times New Roman" w:hAnsi="Times New Roman" w:cs="Times New Roman"/>
          <w:sz w:val="24"/>
          <w:szCs w:val="24"/>
        </w:rPr>
        <w:t>reimpr</w:t>
      </w:r>
      <w:proofErr w:type="spellEnd"/>
      <w:r w:rsidRPr="00EC640B">
        <w:rPr>
          <w:rFonts w:ascii="Times New Roman" w:eastAsia="Times New Roman" w:hAnsi="Times New Roman" w:cs="Times New Roman"/>
          <w:sz w:val="24"/>
          <w:szCs w:val="24"/>
        </w:rPr>
        <w:t xml:space="preserve">. – São Paulo: Atlas, 2007. </w:t>
      </w:r>
    </w:p>
    <w:p w14:paraId="24B941F5" w14:textId="77777777" w:rsidR="00543ED2" w:rsidRPr="00EC640B" w:rsidRDefault="00543ED2">
      <w:pPr>
        <w:spacing w:line="240" w:lineRule="auto"/>
        <w:jc w:val="both"/>
        <w:rPr>
          <w:rFonts w:ascii="Times New Roman" w:eastAsia="Times New Roman" w:hAnsi="Times New Roman" w:cs="Times New Roman"/>
          <w:sz w:val="24"/>
          <w:szCs w:val="24"/>
        </w:rPr>
      </w:pPr>
    </w:p>
    <w:p w14:paraId="1E88C22D" w14:textId="77777777" w:rsidR="00EF742C" w:rsidRPr="00EC640B" w:rsidRDefault="00A47FDE">
      <w:pPr>
        <w:spacing w:line="240" w:lineRule="auto"/>
        <w:jc w:val="both"/>
        <w:rPr>
          <w:rFonts w:ascii="Times New Roman" w:eastAsia="Times New Roman" w:hAnsi="Times New Roman" w:cs="Times New Roman"/>
          <w:sz w:val="24"/>
          <w:szCs w:val="24"/>
        </w:rPr>
      </w:pPr>
      <w:r w:rsidRPr="00EC640B">
        <w:rPr>
          <w:rFonts w:ascii="Times New Roman" w:eastAsia="Times New Roman" w:hAnsi="Times New Roman" w:cs="Times New Roman"/>
          <w:sz w:val="24"/>
          <w:szCs w:val="24"/>
        </w:rPr>
        <w:t>GAGLIANO, P. Novo curso de direito civil: contratos, tomo I: teoria geral. 12 ed. São Paulo: Saraiva. 2016. p. 51.</w:t>
      </w:r>
    </w:p>
    <w:p w14:paraId="7F8DFABB" w14:textId="77777777" w:rsidR="00EF742C" w:rsidRPr="00EC640B" w:rsidRDefault="00EF742C">
      <w:pPr>
        <w:spacing w:line="240" w:lineRule="auto"/>
        <w:jc w:val="both"/>
        <w:rPr>
          <w:rFonts w:ascii="Times New Roman" w:eastAsia="Times New Roman" w:hAnsi="Times New Roman" w:cs="Times New Roman"/>
          <w:sz w:val="24"/>
          <w:szCs w:val="24"/>
        </w:rPr>
      </w:pPr>
    </w:p>
    <w:p w14:paraId="04D8D598" w14:textId="77777777" w:rsidR="00EF742C" w:rsidRPr="00EC640B" w:rsidRDefault="00A47FDE">
      <w:pPr>
        <w:spacing w:line="240" w:lineRule="auto"/>
        <w:jc w:val="both"/>
        <w:rPr>
          <w:rFonts w:ascii="Times New Roman" w:eastAsia="Times New Roman" w:hAnsi="Times New Roman" w:cs="Times New Roman"/>
          <w:sz w:val="24"/>
          <w:szCs w:val="24"/>
        </w:rPr>
      </w:pPr>
      <w:r w:rsidRPr="00EC640B">
        <w:rPr>
          <w:rFonts w:ascii="Times New Roman" w:eastAsia="Times New Roman" w:hAnsi="Times New Roman" w:cs="Times New Roman"/>
          <w:sz w:val="24"/>
          <w:szCs w:val="24"/>
        </w:rPr>
        <w:t>GIL, A. Como Elaborar Projetos de Pesquisa. 3. Ed. São Paulo: Atlas, 1996.</w:t>
      </w:r>
    </w:p>
    <w:p w14:paraId="0D86CCDD" w14:textId="77777777" w:rsidR="00EF742C" w:rsidRPr="00EC640B" w:rsidRDefault="00EF742C">
      <w:pPr>
        <w:spacing w:line="240" w:lineRule="auto"/>
        <w:jc w:val="both"/>
        <w:rPr>
          <w:rFonts w:ascii="Times New Roman" w:eastAsia="Times New Roman" w:hAnsi="Times New Roman" w:cs="Times New Roman"/>
          <w:sz w:val="24"/>
          <w:szCs w:val="24"/>
        </w:rPr>
      </w:pPr>
    </w:p>
    <w:p w14:paraId="076DE6F2" w14:textId="77777777" w:rsidR="00EF742C" w:rsidRPr="00EC640B" w:rsidRDefault="00A47FDE">
      <w:pPr>
        <w:spacing w:line="240" w:lineRule="auto"/>
        <w:jc w:val="both"/>
        <w:rPr>
          <w:rFonts w:ascii="Times New Roman" w:eastAsia="Times New Roman" w:hAnsi="Times New Roman" w:cs="Times New Roman"/>
          <w:sz w:val="24"/>
          <w:szCs w:val="24"/>
        </w:rPr>
      </w:pPr>
      <w:r w:rsidRPr="00EC640B">
        <w:rPr>
          <w:rFonts w:ascii="Times New Roman" w:eastAsia="Times New Roman" w:hAnsi="Times New Roman" w:cs="Times New Roman"/>
          <w:sz w:val="24"/>
          <w:szCs w:val="24"/>
        </w:rPr>
        <w:t>GIL, A. Como elaborar projetos de pesquisa. São Paulo: Atlas, 2017.</w:t>
      </w:r>
    </w:p>
    <w:p w14:paraId="1E418F48" w14:textId="77777777" w:rsidR="00EF742C" w:rsidRPr="00EC640B" w:rsidRDefault="00EF742C">
      <w:pPr>
        <w:spacing w:line="240" w:lineRule="auto"/>
        <w:jc w:val="both"/>
        <w:rPr>
          <w:rFonts w:ascii="Times New Roman" w:eastAsia="Times New Roman" w:hAnsi="Times New Roman" w:cs="Times New Roman"/>
          <w:sz w:val="24"/>
          <w:szCs w:val="24"/>
        </w:rPr>
      </w:pPr>
    </w:p>
    <w:p w14:paraId="54228DEE" w14:textId="77777777" w:rsidR="00EF742C" w:rsidRPr="00EC640B" w:rsidRDefault="00A47FDE">
      <w:pPr>
        <w:spacing w:line="240" w:lineRule="auto"/>
        <w:jc w:val="both"/>
        <w:rPr>
          <w:rFonts w:ascii="Times New Roman" w:eastAsia="Times New Roman" w:hAnsi="Times New Roman" w:cs="Times New Roman"/>
          <w:sz w:val="24"/>
          <w:szCs w:val="24"/>
        </w:rPr>
      </w:pPr>
      <w:r w:rsidRPr="00EC640B">
        <w:rPr>
          <w:rFonts w:ascii="Times New Roman" w:eastAsia="Times New Roman" w:hAnsi="Times New Roman" w:cs="Times New Roman"/>
          <w:sz w:val="24"/>
          <w:szCs w:val="24"/>
        </w:rPr>
        <w:t xml:space="preserve">GONÇALVES, A. L. O Contrato de </w:t>
      </w:r>
      <w:proofErr w:type="spellStart"/>
      <w:r w:rsidRPr="00EC640B">
        <w:rPr>
          <w:rFonts w:ascii="Times New Roman" w:eastAsia="Times New Roman" w:hAnsi="Times New Roman" w:cs="Times New Roman"/>
          <w:sz w:val="24"/>
          <w:szCs w:val="24"/>
        </w:rPr>
        <w:t>Confirming</w:t>
      </w:r>
      <w:proofErr w:type="spellEnd"/>
      <w:r w:rsidRPr="00EC640B">
        <w:rPr>
          <w:rFonts w:ascii="Times New Roman" w:eastAsia="Times New Roman" w:hAnsi="Times New Roman" w:cs="Times New Roman"/>
          <w:sz w:val="24"/>
          <w:szCs w:val="24"/>
        </w:rPr>
        <w:t xml:space="preserve"> ou Contrato de Gestão de Pagamentos a Fornecedores. Coimbra: Almedina. 2016</w:t>
      </w:r>
    </w:p>
    <w:p w14:paraId="5EAE004E" w14:textId="77777777" w:rsidR="00543ED2" w:rsidRDefault="00543ED2">
      <w:pPr>
        <w:spacing w:line="240" w:lineRule="auto"/>
        <w:jc w:val="both"/>
        <w:rPr>
          <w:rFonts w:ascii="Times New Roman" w:eastAsia="Times New Roman" w:hAnsi="Times New Roman" w:cs="Times New Roman"/>
          <w:sz w:val="24"/>
          <w:szCs w:val="24"/>
        </w:rPr>
      </w:pPr>
    </w:p>
    <w:p w14:paraId="60AC624E" w14:textId="65252FF7" w:rsidR="00EF742C" w:rsidRPr="00EC640B" w:rsidRDefault="00A47FDE">
      <w:pPr>
        <w:spacing w:line="240" w:lineRule="auto"/>
        <w:jc w:val="both"/>
        <w:rPr>
          <w:rFonts w:ascii="Times New Roman" w:eastAsia="Times New Roman" w:hAnsi="Times New Roman" w:cs="Times New Roman"/>
          <w:sz w:val="24"/>
          <w:szCs w:val="24"/>
        </w:rPr>
      </w:pPr>
      <w:r w:rsidRPr="00EC640B">
        <w:rPr>
          <w:rFonts w:ascii="Times New Roman" w:eastAsia="Times New Roman" w:hAnsi="Times New Roman" w:cs="Times New Roman"/>
          <w:sz w:val="24"/>
          <w:szCs w:val="24"/>
        </w:rPr>
        <w:t>LAKATOS, E</w:t>
      </w:r>
      <w:r w:rsidR="00762429" w:rsidRPr="00EC640B">
        <w:rPr>
          <w:rFonts w:ascii="Times New Roman" w:eastAsia="Times New Roman" w:hAnsi="Times New Roman" w:cs="Times New Roman"/>
          <w:sz w:val="24"/>
          <w:szCs w:val="24"/>
        </w:rPr>
        <w:t>.</w:t>
      </w:r>
      <w:r w:rsidRPr="00EC640B">
        <w:rPr>
          <w:rFonts w:ascii="Times New Roman" w:eastAsia="Times New Roman" w:hAnsi="Times New Roman" w:cs="Times New Roman"/>
          <w:sz w:val="24"/>
          <w:szCs w:val="24"/>
        </w:rPr>
        <w:t xml:space="preserve"> M</w:t>
      </w:r>
      <w:r w:rsidR="00762429" w:rsidRPr="00EC640B">
        <w:rPr>
          <w:rFonts w:ascii="Times New Roman" w:eastAsia="Times New Roman" w:hAnsi="Times New Roman" w:cs="Times New Roman"/>
          <w:sz w:val="24"/>
          <w:szCs w:val="24"/>
        </w:rPr>
        <w:t>.</w:t>
      </w:r>
      <w:r w:rsidRPr="00EC640B">
        <w:rPr>
          <w:rFonts w:ascii="Times New Roman" w:eastAsia="Times New Roman" w:hAnsi="Times New Roman" w:cs="Times New Roman"/>
          <w:sz w:val="24"/>
          <w:szCs w:val="24"/>
        </w:rPr>
        <w:t xml:space="preserve"> &amp; MARCONI, Marina de Andrade. Metodologia Científica. 2a. ed. São Paulo: Editora Atlas. 1991.</w:t>
      </w:r>
    </w:p>
    <w:p w14:paraId="50444345" w14:textId="77777777" w:rsidR="00EF742C" w:rsidRPr="00EC640B" w:rsidRDefault="00EF742C">
      <w:pPr>
        <w:spacing w:line="240" w:lineRule="auto"/>
        <w:jc w:val="both"/>
        <w:rPr>
          <w:rFonts w:ascii="Times New Roman" w:eastAsia="Times New Roman" w:hAnsi="Times New Roman" w:cs="Times New Roman"/>
          <w:sz w:val="24"/>
          <w:szCs w:val="24"/>
        </w:rPr>
      </w:pPr>
    </w:p>
    <w:p w14:paraId="65D58E59" w14:textId="77777777" w:rsidR="00EF742C" w:rsidRPr="00EC640B" w:rsidRDefault="00A47FDE">
      <w:pPr>
        <w:spacing w:line="240" w:lineRule="auto"/>
        <w:jc w:val="both"/>
        <w:rPr>
          <w:rFonts w:ascii="Times New Roman" w:eastAsia="Times New Roman" w:hAnsi="Times New Roman" w:cs="Times New Roman"/>
          <w:sz w:val="24"/>
          <w:szCs w:val="24"/>
        </w:rPr>
      </w:pPr>
      <w:r w:rsidRPr="00EC640B">
        <w:rPr>
          <w:rFonts w:ascii="Times New Roman" w:eastAsia="Times New Roman" w:hAnsi="Times New Roman" w:cs="Times New Roman"/>
          <w:sz w:val="24"/>
          <w:szCs w:val="24"/>
        </w:rPr>
        <w:t xml:space="preserve">LÔBO, </w:t>
      </w:r>
      <w:r w:rsidR="00762429" w:rsidRPr="00EC640B">
        <w:rPr>
          <w:rFonts w:ascii="Times New Roman" w:eastAsia="Times New Roman" w:hAnsi="Times New Roman" w:cs="Times New Roman"/>
          <w:sz w:val="24"/>
          <w:szCs w:val="24"/>
        </w:rPr>
        <w:t>P</w:t>
      </w:r>
      <w:r w:rsidRPr="00EC640B">
        <w:rPr>
          <w:rFonts w:ascii="Times New Roman" w:eastAsia="Times New Roman" w:hAnsi="Times New Roman" w:cs="Times New Roman"/>
          <w:sz w:val="24"/>
          <w:szCs w:val="24"/>
        </w:rPr>
        <w:t>. Direito civil: Parte geral. 6ª. ed. São Paulo: Editora Saraiva, 2017.</w:t>
      </w:r>
    </w:p>
    <w:p w14:paraId="4CC2D5D5" w14:textId="77777777" w:rsidR="00EF742C" w:rsidRPr="00EC640B" w:rsidRDefault="00EF742C">
      <w:pPr>
        <w:spacing w:line="240" w:lineRule="auto"/>
        <w:jc w:val="both"/>
        <w:rPr>
          <w:rFonts w:ascii="Times New Roman" w:eastAsia="Times New Roman" w:hAnsi="Times New Roman" w:cs="Times New Roman"/>
          <w:sz w:val="24"/>
          <w:szCs w:val="24"/>
        </w:rPr>
      </w:pPr>
    </w:p>
    <w:p w14:paraId="69921CA0" w14:textId="14287AA3" w:rsidR="00EF742C" w:rsidRDefault="00A47FDE">
      <w:pPr>
        <w:spacing w:line="240" w:lineRule="auto"/>
        <w:jc w:val="both"/>
        <w:rPr>
          <w:rFonts w:ascii="Times New Roman" w:eastAsia="Times New Roman" w:hAnsi="Times New Roman" w:cs="Times New Roman"/>
          <w:sz w:val="24"/>
          <w:szCs w:val="24"/>
        </w:rPr>
      </w:pPr>
      <w:r w:rsidRPr="00EC640B">
        <w:rPr>
          <w:rFonts w:ascii="Times New Roman" w:eastAsia="Times New Roman" w:hAnsi="Times New Roman" w:cs="Times New Roman"/>
          <w:sz w:val="24"/>
          <w:szCs w:val="24"/>
        </w:rPr>
        <w:t>NADER, P. Curso de Direito Civil: contratos. 9ºed. Rio de Janeiro: Forense, 2019.</w:t>
      </w:r>
    </w:p>
    <w:p w14:paraId="6FF5826C" w14:textId="389966D1" w:rsidR="00543ED2" w:rsidRDefault="00543ED2">
      <w:pPr>
        <w:spacing w:line="240" w:lineRule="auto"/>
        <w:jc w:val="both"/>
        <w:rPr>
          <w:rFonts w:ascii="Times New Roman" w:eastAsia="Times New Roman" w:hAnsi="Times New Roman" w:cs="Times New Roman"/>
          <w:sz w:val="24"/>
          <w:szCs w:val="24"/>
        </w:rPr>
      </w:pPr>
    </w:p>
    <w:p w14:paraId="021D7A69" w14:textId="77777777" w:rsidR="00543ED2" w:rsidRPr="00EC640B" w:rsidRDefault="00543ED2" w:rsidP="00543ED2">
      <w:pPr>
        <w:spacing w:line="240" w:lineRule="auto"/>
        <w:jc w:val="both"/>
        <w:rPr>
          <w:rFonts w:ascii="Times New Roman" w:eastAsia="Times New Roman" w:hAnsi="Times New Roman" w:cs="Times New Roman"/>
          <w:sz w:val="24"/>
          <w:szCs w:val="24"/>
          <w:highlight w:val="white"/>
        </w:rPr>
      </w:pPr>
      <w:r w:rsidRPr="00EC640B">
        <w:rPr>
          <w:rFonts w:ascii="Times New Roman" w:eastAsia="Times New Roman" w:hAnsi="Times New Roman" w:cs="Times New Roman"/>
          <w:sz w:val="24"/>
          <w:szCs w:val="24"/>
          <w:highlight w:val="white"/>
        </w:rPr>
        <w:t>ROCHA, A. Restrição interna nos bancos. [</w:t>
      </w:r>
      <w:r w:rsidRPr="00EC640B">
        <w:rPr>
          <w:rFonts w:ascii="Times New Roman" w:eastAsia="Times New Roman" w:hAnsi="Times New Roman" w:cs="Times New Roman"/>
          <w:i/>
          <w:sz w:val="24"/>
          <w:szCs w:val="24"/>
          <w:highlight w:val="white"/>
        </w:rPr>
        <w:t>S. l.</w:t>
      </w:r>
      <w:r w:rsidRPr="00EC640B">
        <w:rPr>
          <w:rFonts w:ascii="Times New Roman" w:eastAsia="Times New Roman" w:hAnsi="Times New Roman" w:cs="Times New Roman"/>
          <w:sz w:val="24"/>
          <w:szCs w:val="24"/>
          <w:highlight w:val="white"/>
        </w:rPr>
        <w:t>], 2015. Disponível em: https://adaorochas.jusbrasil.com.br/artigos/229698814/restricao-interna-nos-bancos. Acesso em: 1 nov. 2022.</w:t>
      </w:r>
    </w:p>
    <w:p w14:paraId="6BA05D05" w14:textId="77777777" w:rsidR="00543ED2" w:rsidRDefault="00543ED2" w:rsidP="00543ED2">
      <w:pPr>
        <w:spacing w:line="240" w:lineRule="auto"/>
        <w:jc w:val="both"/>
        <w:rPr>
          <w:rFonts w:ascii="Times New Roman" w:eastAsia="Times New Roman" w:hAnsi="Times New Roman" w:cs="Times New Roman"/>
          <w:sz w:val="24"/>
          <w:szCs w:val="24"/>
        </w:rPr>
      </w:pPr>
    </w:p>
    <w:p w14:paraId="0DE3A0BE" w14:textId="21462A20" w:rsidR="00EF742C" w:rsidRDefault="00543ED2">
      <w:pPr>
        <w:spacing w:line="240" w:lineRule="auto"/>
        <w:jc w:val="both"/>
        <w:rPr>
          <w:rFonts w:ascii="Times New Roman" w:eastAsia="Times New Roman" w:hAnsi="Times New Roman" w:cs="Times New Roman"/>
          <w:sz w:val="24"/>
          <w:szCs w:val="24"/>
        </w:rPr>
      </w:pPr>
      <w:r w:rsidRPr="00EC640B">
        <w:rPr>
          <w:rFonts w:ascii="Times New Roman" w:eastAsia="Times New Roman" w:hAnsi="Times New Roman" w:cs="Times New Roman"/>
          <w:sz w:val="24"/>
          <w:szCs w:val="24"/>
        </w:rPr>
        <w:t>SANTANA,</w:t>
      </w:r>
      <w:r w:rsidRPr="00EC640B">
        <w:t xml:space="preserve"> </w:t>
      </w:r>
      <w:hyperlink r:id="rId28" w:history="1">
        <w:r w:rsidRPr="00EC640B">
          <w:rPr>
            <w:rStyle w:val="Hyperlink"/>
            <w:rFonts w:ascii="Times New Roman" w:eastAsia="Times New Roman" w:hAnsi="Times New Roman" w:cs="Times New Roman"/>
            <w:color w:val="auto"/>
            <w:sz w:val="24"/>
            <w:szCs w:val="24"/>
            <w:u w:val="none"/>
          </w:rPr>
          <w:t>L. V. de C.</w:t>
        </w:r>
      </w:hyperlink>
      <w:r w:rsidRPr="00EC640B">
        <w:rPr>
          <w:rFonts w:ascii="Times New Roman" w:eastAsia="Times New Roman" w:hAnsi="Times New Roman" w:cs="Times New Roman"/>
          <w:sz w:val="24"/>
          <w:szCs w:val="24"/>
        </w:rPr>
        <w:t xml:space="preserve"> Os Contratos de </w:t>
      </w:r>
      <w:proofErr w:type="spellStart"/>
      <w:r w:rsidRPr="00EC640B">
        <w:rPr>
          <w:rFonts w:ascii="Times New Roman" w:eastAsia="Times New Roman" w:hAnsi="Times New Roman" w:cs="Times New Roman"/>
          <w:sz w:val="24"/>
          <w:szCs w:val="24"/>
        </w:rPr>
        <w:t>Factoring</w:t>
      </w:r>
      <w:proofErr w:type="spellEnd"/>
      <w:r w:rsidRPr="00EC640B">
        <w:rPr>
          <w:rFonts w:ascii="Times New Roman" w:eastAsia="Times New Roman" w:hAnsi="Times New Roman" w:cs="Times New Roman"/>
          <w:sz w:val="24"/>
          <w:szCs w:val="24"/>
        </w:rPr>
        <w:t xml:space="preserve">: aspectos relevantes e práticos dos contratos das grandes redes Bancárias em nosso sistema Jurídico.  </w:t>
      </w:r>
      <w:r w:rsidRPr="00EC640B">
        <w:rPr>
          <w:rFonts w:ascii="Times New Roman" w:eastAsia="Times New Roman" w:hAnsi="Times New Roman" w:cs="Times New Roman"/>
          <w:sz w:val="24"/>
          <w:szCs w:val="24"/>
          <w:highlight w:val="white"/>
        </w:rPr>
        <w:t>Disponível em:</w:t>
      </w:r>
      <w:r w:rsidRPr="00EC640B">
        <w:rPr>
          <w:rFonts w:ascii="Times New Roman" w:eastAsia="Times New Roman" w:hAnsi="Times New Roman" w:cs="Times New Roman"/>
          <w:sz w:val="24"/>
          <w:szCs w:val="24"/>
        </w:rPr>
        <w:t xml:space="preserve"> https://leovenancio.jusbrasil.com.br/artigos/185405569/os-contratos-de-factoring-aspectos-relevantes-e-praticos-dos-contratos-das-grandes-redes-bancarias-em-nosso-sistema-juridico. 2014.</w:t>
      </w:r>
    </w:p>
    <w:p w14:paraId="1BCAD02A" w14:textId="77777777" w:rsidR="00543ED2" w:rsidRPr="00543ED2" w:rsidRDefault="00543ED2">
      <w:pPr>
        <w:spacing w:line="240" w:lineRule="auto"/>
        <w:jc w:val="both"/>
        <w:rPr>
          <w:rFonts w:ascii="Times New Roman" w:eastAsia="Times New Roman" w:hAnsi="Times New Roman" w:cs="Times New Roman"/>
          <w:sz w:val="24"/>
          <w:szCs w:val="24"/>
        </w:rPr>
      </w:pPr>
    </w:p>
    <w:p w14:paraId="709A5B2F" w14:textId="77777777" w:rsidR="00EF742C" w:rsidRPr="00EC640B" w:rsidRDefault="00A47FDE">
      <w:pPr>
        <w:spacing w:line="240" w:lineRule="auto"/>
        <w:jc w:val="both"/>
        <w:rPr>
          <w:rFonts w:ascii="Times New Roman" w:eastAsia="Times New Roman" w:hAnsi="Times New Roman" w:cs="Times New Roman"/>
          <w:sz w:val="24"/>
          <w:szCs w:val="24"/>
        </w:rPr>
      </w:pPr>
      <w:r w:rsidRPr="00EC640B">
        <w:rPr>
          <w:rFonts w:ascii="Times New Roman" w:eastAsia="Times New Roman" w:hAnsi="Times New Roman" w:cs="Times New Roman"/>
          <w:sz w:val="24"/>
          <w:szCs w:val="24"/>
        </w:rPr>
        <w:t>TARTUCE, F. Direito Civil: Vol. 3 - Teoria Geral dos Contratos e Contratos em</w:t>
      </w:r>
    </w:p>
    <w:p w14:paraId="6CA902D2" w14:textId="77777777" w:rsidR="00EF742C" w:rsidRPr="00EC640B" w:rsidRDefault="00A47FDE">
      <w:pPr>
        <w:spacing w:line="240" w:lineRule="auto"/>
        <w:jc w:val="both"/>
        <w:rPr>
          <w:rFonts w:ascii="Times New Roman" w:eastAsia="Times New Roman" w:hAnsi="Times New Roman" w:cs="Times New Roman"/>
          <w:sz w:val="24"/>
          <w:szCs w:val="24"/>
        </w:rPr>
      </w:pPr>
      <w:r w:rsidRPr="00EC640B">
        <w:rPr>
          <w:rFonts w:ascii="Times New Roman" w:eastAsia="Times New Roman" w:hAnsi="Times New Roman" w:cs="Times New Roman"/>
          <w:sz w:val="24"/>
          <w:szCs w:val="24"/>
        </w:rPr>
        <w:t>Espécie. 13ª.ed. Rio de Janeiro: Forense, 2017</w:t>
      </w:r>
    </w:p>
    <w:p w14:paraId="2ADE3018" w14:textId="77777777" w:rsidR="00EF742C" w:rsidRDefault="00EF742C">
      <w:pPr>
        <w:spacing w:line="240" w:lineRule="auto"/>
        <w:jc w:val="both"/>
        <w:rPr>
          <w:rFonts w:ascii="Times New Roman" w:eastAsia="Times New Roman" w:hAnsi="Times New Roman" w:cs="Times New Roman"/>
          <w:sz w:val="24"/>
          <w:szCs w:val="24"/>
        </w:rPr>
      </w:pPr>
    </w:p>
    <w:p w14:paraId="28E7E1A9" w14:textId="77777777" w:rsidR="00EF742C" w:rsidRDefault="00EF742C">
      <w:pPr>
        <w:spacing w:line="240" w:lineRule="auto"/>
        <w:jc w:val="both"/>
        <w:rPr>
          <w:rFonts w:ascii="Times New Roman" w:eastAsia="Times New Roman" w:hAnsi="Times New Roman" w:cs="Times New Roman"/>
          <w:sz w:val="24"/>
          <w:szCs w:val="24"/>
        </w:rPr>
      </w:pPr>
    </w:p>
    <w:p w14:paraId="62C8DB2C" w14:textId="77777777" w:rsidR="00EF742C" w:rsidRDefault="00EF742C">
      <w:pPr>
        <w:spacing w:line="240" w:lineRule="auto"/>
        <w:jc w:val="both"/>
        <w:rPr>
          <w:rFonts w:ascii="Times New Roman" w:eastAsia="Times New Roman" w:hAnsi="Times New Roman" w:cs="Times New Roman"/>
          <w:sz w:val="24"/>
          <w:szCs w:val="24"/>
        </w:rPr>
      </w:pPr>
    </w:p>
    <w:sectPr w:rsidR="00EF742C">
      <w:footerReference w:type="first" r:id="rId29"/>
      <w:pgSz w:w="11906" w:h="16838"/>
      <w:pgMar w:top="1700" w:right="1133" w:bottom="1133" w:left="17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4772C" w14:textId="77777777" w:rsidR="008E64A7" w:rsidRDefault="008E64A7">
      <w:pPr>
        <w:spacing w:line="240" w:lineRule="auto"/>
      </w:pPr>
      <w:r>
        <w:separator/>
      </w:r>
    </w:p>
  </w:endnote>
  <w:endnote w:type="continuationSeparator" w:id="0">
    <w:p w14:paraId="7F2AD361" w14:textId="77777777" w:rsidR="008E64A7" w:rsidRDefault="008E64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0D1A9" w14:textId="77777777" w:rsidR="00EF742C" w:rsidRPr="005642D7" w:rsidRDefault="00A47FDE" w:rsidP="005642D7">
    <w:pPr>
      <w:pStyle w:val="Ttulo1"/>
      <w:numPr>
        <w:ilvl w:val="0"/>
        <w:numId w:val="0"/>
      </w:numPr>
      <w:spacing w:before="0" w:after="0" w:line="240" w:lineRule="auto"/>
      <w:jc w:val="both"/>
      <w:rPr>
        <w:rFonts w:eastAsia="Times New Roman" w:cs="Times New Roman"/>
        <w:b w:val="0"/>
        <w:sz w:val="22"/>
        <w:szCs w:val="22"/>
      </w:rPr>
    </w:pPr>
    <w:r w:rsidRPr="005642D7">
      <w:rPr>
        <w:rFonts w:eastAsia="Times New Roman" w:cs="Times New Roman"/>
        <w:b w:val="0"/>
        <w:sz w:val="22"/>
        <w:szCs w:val="22"/>
      </w:rPr>
      <w:t xml:space="preserve">¹Acadêmico do Curso de Administração da Pontifícia Universidade Católica de Goiás ─ </w:t>
    </w:r>
    <w:hyperlink r:id="rId1">
      <w:r w:rsidRPr="005642D7">
        <w:rPr>
          <w:rFonts w:eastAsia="Times New Roman" w:cs="Times New Roman"/>
          <w:b w:val="0"/>
          <w:sz w:val="22"/>
          <w:szCs w:val="22"/>
        </w:rPr>
        <w:t>gustavoherique_@hotmail.com</w:t>
      </w:r>
    </w:hyperlink>
    <w:r w:rsidRPr="005642D7">
      <w:rPr>
        <w:rFonts w:eastAsia="Times New Roman" w:cs="Times New Roman"/>
        <w:b w:val="0"/>
        <w:sz w:val="22"/>
        <w:szCs w:val="22"/>
      </w:rPr>
      <w:t xml:space="preserve"> -  CPF: 702.638.301.95</w:t>
    </w:r>
  </w:p>
  <w:p w14:paraId="07F8130B" w14:textId="77777777" w:rsidR="00EF742C" w:rsidRDefault="00A47FDE">
    <w:pPr>
      <w:pStyle w:val="Ttulo2"/>
      <w:spacing w:before="0" w:after="0" w:line="240" w:lineRule="auto"/>
      <w:jc w:val="both"/>
    </w:pPr>
    <w:bookmarkStart w:id="4" w:name="_heading=h.cp29lsx362b3" w:colFirst="0" w:colLast="0"/>
    <w:bookmarkEnd w:id="4"/>
    <w:r>
      <w:rPr>
        <w:rFonts w:ascii="Times New Roman" w:eastAsia="Times New Roman" w:hAnsi="Times New Roman" w:cs="Times New Roman"/>
        <w:sz w:val="22"/>
        <w:szCs w:val="22"/>
      </w:rPr>
      <w:t>²Mestre em Engenharia de Produção com ênfase Planejamento Estratégico (UFSC) Professor efetivo do Curso de Administração PUC Goiás- laraich@yahoo.com.br.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5C61B" w14:textId="77777777" w:rsidR="008E64A7" w:rsidRDefault="008E64A7">
      <w:pPr>
        <w:spacing w:line="240" w:lineRule="auto"/>
      </w:pPr>
      <w:r>
        <w:separator/>
      </w:r>
    </w:p>
  </w:footnote>
  <w:footnote w:type="continuationSeparator" w:id="0">
    <w:p w14:paraId="6A619306" w14:textId="77777777" w:rsidR="008E64A7" w:rsidRDefault="008E64A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736DA"/>
    <w:multiLevelType w:val="hybridMultilevel"/>
    <w:tmpl w:val="BC2C9EA8"/>
    <w:lvl w:ilvl="0" w:tplc="FE023654">
      <w:start w:val="1"/>
      <w:numFmt w:val="decimal"/>
      <w:pStyle w:val="Ttulo1"/>
      <w:lvlText w:val="%1."/>
      <w:lvlJc w:val="left"/>
      <w:pPr>
        <w:ind w:left="36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2DA1CC0"/>
    <w:multiLevelType w:val="hybridMultilevel"/>
    <w:tmpl w:val="0FBA9B4E"/>
    <w:lvl w:ilvl="0" w:tplc="7E5CEEBA">
      <w:start w:val="3"/>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751866FA"/>
    <w:multiLevelType w:val="multilevel"/>
    <w:tmpl w:val="9E1C09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0"/>
    <w:lvlOverride w:ilvl="0">
      <w:startOverride w:val="4"/>
    </w:lvlOverride>
  </w:num>
  <w:num w:numId="4">
    <w:abstractNumId w:val="0"/>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42C"/>
    <w:rsid w:val="00007BE8"/>
    <w:rsid w:val="00060FDE"/>
    <w:rsid w:val="00176651"/>
    <w:rsid w:val="0019687A"/>
    <w:rsid w:val="001A5904"/>
    <w:rsid w:val="001D1801"/>
    <w:rsid w:val="00240111"/>
    <w:rsid w:val="00251640"/>
    <w:rsid w:val="00255D88"/>
    <w:rsid w:val="00272F6C"/>
    <w:rsid w:val="002A4818"/>
    <w:rsid w:val="002C43A9"/>
    <w:rsid w:val="00307AE3"/>
    <w:rsid w:val="00311954"/>
    <w:rsid w:val="00320549"/>
    <w:rsid w:val="00333158"/>
    <w:rsid w:val="0035336C"/>
    <w:rsid w:val="0037365A"/>
    <w:rsid w:val="003D1D05"/>
    <w:rsid w:val="003F5346"/>
    <w:rsid w:val="00412506"/>
    <w:rsid w:val="0042257A"/>
    <w:rsid w:val="00425222"/>
    <w:rsid w:val="004361AD"/>
    <w:rsid w:val="00441CBF"/>
    <w:rsid w:val="00451771"/>
    <w:rsid w:val="004957BB"/>
    <w:rsid w:val="004A1244"/>
    <w:rsid w:val="004A1CB8"/>
    <w:rsid w:val="004D3CDF"/>
    <w:rsid w:val="004E4010"/>
    <w:rsid w:val="00515FDA"/>
    <w:rsid w:val="00543ED2"/>
    <w:rsid w:val="005642D7"/>
    <w:rsid w:val="0056509D"/>
    <w:rsid w:val="0057038A"/>
    <w:rsid w:val="00574980"/>
    <w:rsid w:val="00577B33"/>
    <w:rsid w:val="005800B5"/>
    <w:rsid w:val="0058053B"/>
    <w:rsid w:val="00597D29"/>
    <w:rsid w:val="005C0D91"/>
    <w:rsid w:val="005E20E8"/>
    <w:rsid w:val="005F4C3A"/>
    <w:rsid w:val="006059C6"/>
    <w:rsid w:val="0061651E"/>
    <w:rsid w:val="00636AEA"/>
    <w:rsid w:val="00647E1B"/>
    <w:rsid w:val="0068465E"/>
    <w:rsid w:val="00684CF0"/>
    <w:rsid w:val="006A0851"/>
    <w:rsid w:val="006A26F7"/>
    <w:rsid w:val="006B4658"/>
    <w:rsid w:val="006C1607"/>
    <w:rsid w:val="006C5470"/>
    <w:rsid w:val="006D2F1E"/>
    <w:rsid w:val="007011C9"/>
    <w:rsid w:val="0073282D"/>
    <w:rsid w:val="00762429"/>
    <w:rsid w:val="00767550"/>
    <w:rsid w:val="00780C3E"/>
    <w:rsid w:val="007C2CE1"/>
    <w:rsid w:val="007F6223"/>
    <w:rsid w:val="0081360A"/>
    <w:rsid w:val="00836537"/>
    <w:rsid w:val="00863350"/>
    <w:rsid w:val="008B0791"/>
    <w:rsid w:val="008D51F4"/>
    <w:rsid w:val="008D7A9D"/>
    <w:rsid w:val="008E016B"/>
    <w:rsid w:val="008E64A7"/>
    <w:rsid w:val="00905C92"/>
    <w:rsid w:val="0095049A"/>
    <w:rsid w:val="00963F7A"/>
    <w:rsid w:val="00985C54"/>
    <w:rsid w:val="00A47FDE"/>
    <w:rsid w:val="00A72A81"/>
    <w:rsid w:val="00A95D89"/>
    <w:rsid w:val="00A966E9"/>
    <w:rsid w:val="00AD0B5E"/>
    <w:rsid w:val="00AE7F9F"/>
    <w:rsid w:val="00B313E4"/>
    <w:rsid w:val="00B93DFF"/>
    <w:rsid w:val="00B964F6"/>
    <w:rsid w:val="00BA0EDF"/>
    <w:rsid w:val="00BA533E"/>
    <w:rsid w:val="00BA7C99"/>
    <w:rsid w:val="00BC51B3"/>
    <w:rsid w:val="00BE12AB"/>
    <w:rsid w:val="00BE28B1"/>
    <w:rsid w:val="00BE7D19"/>
    <w:rsid w:val="00BF4CA4"/>
    <w:rsid w:val="00C33E40"/>
    <w:rsid w:val="00C536EF"/>
    <w:rsid w:val="00C55FBE"/>
    <w:rsid w:val="00C80D5E"/>
    <w:rsid w:val="00CC2DA6"/>
    <w:rsid w:val="00CE4291"/>
    <w:rsid w:val="00CF317E"/>
    <w:rsid w:val="00CF436D"/>
    <w:rsid w:val="00CF4EAE"/>
    <w:rsid w:val="00D14250"/>
    <w:rsid w:val="00D1429F"/>
    <w:rsid w:val="00D77DBB"/>
    <w:rsid w:val="00D91E7D"/>
    <w:rsid w:val="00DC3B40"/>
    <w:rsid w:val="00DD185E"/>
    <w:rsid w:val="00E00DF9"/>
    <w:rsid w:val="00E25CCE"/>
    <w:rsid w:val="00E560CD"/>
    <w:rsid w:val="00E60FD2"/>
    <w:rsid w:val="00E84E7D"/>
    <w:rsid w:val="00EB39CA"/>
    <w:rsid w:val="00EC640B"/>
    <w:rsid w:val="00EF2F86"/>
    <w:rsid w:val="00EF742C"/>
    <w:rsid w:val="00F10F4E"/>
    <w:rsid w:val="00F532D5"/>
    <w:rsid w:val="00F87686"/>
    <w:rsid w:val="00FD7B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F1A41"/>
  <w15:docId w15:val="{2C3F0072-8B55-444A-81FB-FF067AF6F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rsid w:val="0037365A"/>
    <w:pPr>
      <w:keepNext/>
      <w:keepLines/>
      <w:numPr>
        <w:numId w:val="2"/>
      </w:numPr>
      <w:spacing w:before="400" w:after="120"/>
      <w:outlineLvl w:val="0"/>
    </w:pPr>
    <w:rPr>
      <w:rFonts w:ascii="Times New Roman" w:hAnsi="Times New Roman"/>
      <w:b/>
      <w:sz w:val="24"/>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8F6CE8"/>
    <w:pPr>
      <w:tabs>
        <w:tab w:val="center" w:pos="4252"/>
        <w:tab w:val="right" w:pos="8504"/>
      </w:tabs>
      <w:spacing w:line="240" w:lineRule="auto"/>
    </w:pPr>
  </w:style>
  <w:style w:type="character" w:customStyle="1" w:styleId="CabealhoChar">
    <w:name w:val="Cabeçalho Char"/>
    <w:basedOn w:val="Fontepargpadro"/>
    <w:link w:val="Cabealho"/>
    <w:uiPriority w:val="99"/>
    <w:rsid w:val="008F6CE8"/>
  </w:style>
  <w:style w:type="paragraph" w:styleId="Rodap">
    <w:name w:val="footer"/>
    <w:basedOn w:val="Normal"/>
    <w:link w:val="RodapChar"/>
    <w:uiPriority w:val="99"/>
    <w:unhideWhenUsed/>
    <w:rsid w:val="008F6CE8"/>
    <w:pPr>
      <w:tabs>
        <w:tab w:val="center" w:pos="4252"/>
        <w:tab w:val="right" w:pos="8504"/>
      </w:tabs>
      <w:spacing w:line="240" w:lineRule="auto"/>
    </w:pPr>
  </w:style>
  <w:style w:type="character" w:customStyle="1" w:styleId="RodapChar">
    <w:name w:val="Rodapé Char"/>
    <w:basedOn w:val="Fontepargpadro"/>
    <w:link w:val="Rodap"/>
    <w:uiPriority w:val="99"/>
    <w:rsid w:val="008F6CE8"/>
  </w:style>
  <w:style w:type="character" w:styleId="Hyperlink">
    <w:name w:val="Hyperlink"/>
    <w:basedOn w:val="Fontepargpadro"/>
    <w:uiPriority w:val="99"/>
    <w:unhideWhenUsed/>
    <w:rsid w:val="008F6CE8"/>
    <w:rPr>
      <w:color w:val="0000FF" w:themeColor="hyperlink"/>
      <w:u w:val="single"/>
    </w:rPr>
  </w:style>
  <w:style w:type="character" w:customStyle="1" w:styleId="MenoPendente1">
    <w:name w:val="Menção Pendente1"/>
    <w:basedOn w:val="Fontepargpadro"/>
    <w:uiPriority w:val="99"/>
    <w:semiHidden/>
    <w:unhideWhenUsed/>
    <w:rsid w:val="008F6CE8"/>
    <w:rPr>
      <w:color w:val="605E5C"/>
      <w:shd w:val="clear" w:color="auto" w:fill="E1DFDD"/>
    </w:rPr>
  </w:style>
  <w:style w:type="paragraph" w:styleId="PargrafodaLista">
    <w:name w:val="List Paragraph"/>
    <w:basedOn w:val="Normal"/>
    <w:uiPriority w:val="34"/>
    <w:qFormat/>
    <w:rsid w:val="00B87167"/>
    <w:pPr>
      <w:ind w:left="720"/>
      <w:contextualSpacing/>
    </w:pPr>
  </w:style>
  <w:style w:type="character" w:customStyle="1" w:styleId="MenoPendente2">
    <w:name w:val="Menção Pendente2"/>
    <w:basedOn w:val="Fontepargpadro"/>
    <w:uiPriority w:val="99"/>
    <w:semiHidden/>
    <w:unhideWhenUsed/>
    <w:rsid w:val="00D14250"/>
    <w:rPr>
      <w:color w:val="605E5C"/>
      <w:shd w:val="clear" w:color="auto" w:fill="E1DFDD"/>
    </w:rPr>
  </w:style>
  <w:style w:type="character" w:customStyle="1" w:styleId="MenoPendente3">
    <w:name w:val="Menção Pendente3"/>
    <w:basedOn w:val="Fontepargpadro"/>
    <w:uiPriority w:val="99"/>
    <w:semiHidden/>
    <w:unhideWhenUsed/>
    <w:rsid w:val="00543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756317">
      <w:bodyDiv w:val="1"/>
      <w:marLeft w:val="0"/>
      <w:marRight w:val="0"/>
      <w:marTop w:val="0"/>
      <w:marBottom w:val="0"/>
      <w:divBdr>
        <w:top w:val="none" w:sz="0" w:space="0" w:color="auto"/>
        <w:left w:val="none" w:sz="0" w:space="0" w:color="auto"/>
        <w:bottom w:val="none" w:sz="0" w:space="0" w:color="auto"/>
        <w:right w:val="none" w:sz="0" w:space="0" w:color="auto"/>
      </w:divBdr>
    </w:div>
    <w:div w:id="1118839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jusbrasil.com.br/legislacao/91585/c%C3%B3digo-de-defesa-do-consumidor-lei-8078-90" TargetMode="External"/><Relationship Id="rId18" Type="http://schemas.openxmlformats.org/officeDocument/2006/relationships/chart" Target="charts/chart2.xml"/><Relationship Id="rId26" Type="http://schemas.openxmlformats.org/officeDocument/2006/relationships/chart" Target="charts/chart10.xml"/><Relationship Id="rId3" Type="http://schemas.openxmlformats.org/officeDocument/2006/relationships/customXml" Target="../customXml/item3.xml"/><Relationship Id="rId21" Type="http://schemas.openxmlformats.org/officeDocument/2006/relationships/chart" Target="charts/chart5.xml"/><Relationship Id="rId7" Type="http://schemas.openxmlformats.org/officeDocument/2006/relationships/styles" Target="styles.xml"/><Relationship Id="rId12" Type="http://schemas.openxmlformats.org/officeDocument/2006/relationships/hyperlink" Target="https://www.jusbrasil.com.br/legislacao/91585/c%C3%B3digo-de-defesa-do-consumidor-lei-8078-90" TargetMode="External"/><Relationship Id="rId17" Type="http://schemas.openxmlformats.org/officeDocument/2006/relationships/chart" Target="charts/chart1.xml"/><Relationship Id="rId25" Type="http://schemas.openxmlformats.org/officeDocument/2006/relationships/chart" Target="charts/chart9.xml"/><Relationship Id="rId2" Type="http://schemas.openxmlformats.org/officeDocument/2006/relationships/customXml" Target="../customXml/item2.xml"/><Relationship Id="rId16" Type="http://schemas.openxmlformats.org/officeDocument/2006/relationships/hyperlink" Target="http://www.decisaosistemas.com.br/2017/02/07/entenda-a-importancia-de-um-cadastramento-de-clientes-eficiente/" TargetMode="External"/><Relationship Id="rId20" Type="http://schemas.openxmlformats.org/officeDocument/2006/relationships/chart" Target="charts/chart4.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hart" Target="charts/chart8.xml"/><Relationship Id="rId5" Type="http://schemas.openxmlformats.org/officeDocument/2006/relationships/customXml" Target="../customXml/item5.xml"/><Relationship Id="rId15" Type="http://schemas.openxmlformats.org/officeDocument/2006/relationships/hyperlink" Target="https://www.jusbrasil.com.br/topicos/10641516/artigo-5-da-constitui%C3%A7%C3%A3o-federal-de-1988" TargetMode="External"/><Relationship Id="rId23" Type="http://schemas.openxmlformats.org/officeDocument/2006/relationships/chart" Target="charts/chart7.xml"/><Relationship Id="rId28" Type="http://schemas.openxmlformats.org/officeDocument/2006/relationships/hyperlink" Target="https://leovenancio.jusbrasil.com.br/" TargetMode="External"/><Relationship Id="rId10" Type="http://schemas.openxmlformats.org/officeDocument/2006/relationships/footnotes" Target="footnotes.xml"/><Relationship Id="rId19" Type="http://schemas.openxmlformats.org/officeDocument/2006/relationships/chart" Target="charts/chart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jusbrasil.com.br/legislacao/188546065/constitui%C3%A7%C3%A3o-federal-constitui%C3%A7%C3%A3o-da-republica-federativa-do-brasil-1988" TargetMode="Externa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gustavoherique_@hotmail.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ustavo\Downloads\TODOSGRAFICOSEMEXCEL.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Gustavo\Downloads\TODOSGRAFICOSEMEXCEL.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Gustavo\Downloads\TODOSGRAFICOSEMEXCEL.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ustavo\Downloads\TODOSGRAFICOSEMEXCE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ustavo\Downloads\TODOSGRAFICOSEMEXCE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Gustavo\Downloads\TODOSGRAFICOSEMEXCEL.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Planilha_do_Microsoft_Excel1.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Gustavo\Downloads\TODOSGRAFICOSEMEXCEL.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Gustavo\Downloads\TODOSGRAFICOSEMEXCEL.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Gustavo\Downloads\TODOSGRAFICOSEMEXCEL.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Gustavo\Downloads\TODOSGRAFICOSEMEXCEL.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2203854739053902"/>
          <c:y val="0.18571428571428569"/>
          <c:w val="0.3960898819347467"/>
          <c:h val="0.74285714285714277"/>
        </c:manualLayout>
      </c:layout>
      <c:pieChart>
        <c:varyColors val="1"/>
        <c:ser>
          <c:idx val="0"/>
          <c:order val="0"/>
          <c:spPr>
            <a:effectLst>
              <a:outerShdw blurRad="57150" dist="19050" dir="4800000" algn="ctr" rotWithShape="0">
                <a:srgbClr val="000000">
                  <a:alpha val="63000"/>
                </a:srgbClr>
              </a:outerShdw>
            </a:effectLst>
          </c:spPr>
          <c:dPt>
            <c:idx val="0"/>
            <c:bubble3D val="0"/>
            <c:spPr>
              <a:gradFill rotWithShape="1">
                <a:gsLst>
                  <a:gs pos="0">
                    <a:schemeClr val="dk1">
                      <a:tint val="88500"/>
                      <a:tint val="100000"/>
                      <a:shade val="100000"/>
                      <a:satMod val="130000"/>
                    </a:schemeClr>
                  </a:gs>
                  <a:gs pos="100000">
                    <a:schemeClr val="dk1">
                      <a:tint val="88500"/>
                      <a:tint val="50000"/>
                      <a:shade val="100000"/>
                      <a:satMod val="350000"/>
                    </a:schemeClr>
                  </a:gs>
                </a:gsLst>
                <a:lin ang="16200000" scaled="0"/>
              </a:gradFill>
              <a:ln>
                <a:noFill/>
              </a:ln>
              <a:effectLst>
                <a:outerShdw blurRad="57150" dist="19050" dir="48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6766-4492-B279-48A589C7C075}"/>
              </c:ext>
            </c:extLst>
          </c:dPt>
          <c:dPt>
            <c:idx val="1"/>
            <c:bubble3D val="0"/>
            <c:spPr>
              <a:gradFill rotWithShape="1">
                <a:gsLst>
                  <a:gs pos="0">
                    <a:schemeClr val="dk1">
                      <a:tint val="55000"/>
                      <a:tint val="100000"/>
                      <a:shade val="100000"/>
                      <a:satMod val="130000"/>
                    </a:schemeClr>
                  </a:gs>
                  <a:gs pos="100000">
                    <a:schemeClr val="dk1">
                      <a:tint val="55000"/>
                      <a:tint val="50000"/>
                      <a:shade val="100000"/>
                      <a:satMod val="350000"/>
                    </a:schemeClr>
                  </a:gs>
                </a:gsLst>
                <a:lin ang="16200000" scaled="0"/>
              </a:gradFill>
              <a:ln>
                <a:noFill/>
              </a:ln>
              <a:effectLst>
                <a:outerShdw blurRad="57150" dist="19050" dir="48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6766-4492-B279-48A589C7C075}"/>
              </c:ext>
            </c:extLst>
          </c:dPt>
          <c:dPt>
            <c:idx val="2"/>
            <c:bubble3D val="0"/>
            <c:spPr>
              <a:gradFill rotWithShape="1">
                <a:gsLst>
                  <a:gs pos="0">
                    <a:schemeClr val="dk1">
                      <a:tint val="75000"/>
                      <a:tint val="100000"/>
                      <a:shade val="100000"/>
                      <a:satMod val="130000"/>
                    </a:schemeClr>
                  </a:gs>
                  <a:gs pos="100000">
                    <a:schemeClr val="dk1">
                      <a:tint val="75000"/>
                      <a:tint val="50000"/>
                      <a:shade val="100000"/>
                      <a:satMod val="350000"/>
                    </a:schemeClr>
                  </a:gs>
                </a:gsLst>
                <a:lin ang="16200000" scaled="0"/>
              </a:gradFill>
              <a:ln>
                <a:noFill/>
              </a:ln>
              <a:effectLst>
                <a:outerShdw blurRad="57150" dist="19050" dir="48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6766-4492-B279-48A589C7C075}"/>
              </c:ext>
            </c:extLst>
          </c:dPt>
          <c:dPt>
            <c:idx val="3"/>
            <c:bubble3D val="0"/>
            <c:spPr>
              <a:gradFill rotWithShape="1">
                <a:gsLst>
                  <a:gs pos="0">
                    <a:schemeClr val="dk1">
                      <a:tint val="98500"/>
                      <a:tint val="100000"/>
                      <a:shade val="100000"/>
                      <a:satMod val="130000"/>
                    </a:schemeClr>
                  </a:gs>
                  <a:gs pos="100000">
                    <a:schemeClr val="dk1">
                      <a:tint val="98500"/>
                      <a:tint val="50000"/>
                      <a:shade val="100000"/>
                      <a:satMod val="350000"/>
                    </a:schemeClr>
                  </a:gs>
                </a:gsLst>
                <a:lin ang="16200000" scaled="0"/>
              </a:gradFill>
              <a:ln>
                <a:noFill/>
              </a:ln>
              <a:effectLst>
                <a:outerShdw blurRad="57150" dist="19050" dir="48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6766-4492-B279-48A589C7C075}"/>
              </c:ext>
            </c:extLst>
          </c:dPt>
          <c:dLbls>
            <c:dLbl>
              <c:idx val="0"/>
              <c:delete val="1"/>
              <c:extLst xmlns:c16r2="http://schemas.microsoft.com/office/drawing/2015/06/chart">
                <c:ext xmlns:c16="http://schemas.microsoft.com/office/drawing/2014/chart" uri="{C3380CC4-5D6E-409C-BE32-E72D297353CC}">
                  <c16:uniqueId val="{00000001-6766-4492-B279-48A589C7C075}"/>
                </c:ext>
                <c:ext xmlns:c15="http://schemas.microsoft.com/office/drawing/2012/chart" uri="{CE6537A1-D6FC-4f65-9D91-7224C49458BB}"/>
              </c:extLst>
            </c:dLbl>
            <c:dLbl>
              <c:idx val="1"/>
              <c:tx>
                <c:rich>
                  <a:bodyPr/>
                  <a:lstStyle/>
                  <a:p>
                    <a:r>
                      <a:rPr lang="en-US"/>
                      <a:t> </a:t>
                    </a:r>
                    <a:fld id="{E18D46BB-BC50-467A-AAB6-1632D80AE6E0}" type="PERCENTAGE">
                      <a:rPr lang="en-US"/>
                      <a:pPr/>
                      <a:t>[PORCENTAGEM]</a:t>
                    </a:fld>
                    <a:endParaRPr lang="en-US"/>
                  </a:p>
                </c:rich>
              </c:tx>
              <c:dLblPos val="ct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6766-4492-B279-48A589C7C075}"/>
                </c:ext>
                <c:ext xmlns:c15="http://schemas.microsoft.com/office/drawing/2012/chart" uri="{CE6537A1-D6FC-4f65-9D91-7224C49458BB}">
                  <c15:dlblFieldTable/>
                  <c15:showDataLabelsRange val="0"/>
                </c:ext>
              </c:extLst>
            </c:dLbl>
            <c:dLbl>
              <c:idx val="2"/>
              <c:tx>
                <c:rich>
                  <a:bodyPr/>
                  <a:lstStyle/>
                  <a:p>
                    <a:fld id="{9CC20959-9208-4C72-A4A0-22B38B63416B}" type="PERCENTAGE">
                      <a:rPr lang="en-US"/>
                      <a:pPr/>
                      <a:t>[PORCENTAGEM]</a:t>
                    </a:fld>
                    <a:endParaRPr lang="pt-BR"/>
                  </a:p>
                </c:rich>
              </c:tx>
              <c:dLblPos val="ct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6766-4492-B279-48A589C7C075}"/>
                </c:ext>
                <c:ext xmlns:c15="http://schemas.microsoft.com/office/drawing/2012/chart" uri="{CE6537A1-D6FC-4f65-9D91-7224C49458BB}">
                  <c15:dlblFieldTable/>
                  <c15:showDataLabelsRange val="0"/>
                </c:ext>
              </c:extLst>
            </c:dLbl>
            <c:dLbl>
              <c:idx val="3"/>
              <c:tx>
                <c:rich>
                  <a:bodyPr/>
                  <a:lstStyle/>
                  <a:p>
                    <a:fld id="{321234EA-07DC-4AAD-B9B5-F50D5B52E0D4}" type="PERCENTAGE">
                      <a:rPr lang="en-US"/>
                      <a:pPr/>
                      <a:t>[PORCENTAGEM]</a:t>
                    </a:fld>
                    <a:endParaRPr lang="pt-BR"/>
                  </a:p>
                </c:rich>
              </c:tx>
              <c:dLblPos val="ct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6766-4492-B279-48A589C7C075}"/>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pt-BR"/>
              </a:p>
            </c:txPr>
            <c:dLblPos val="ctr"/>
            <c:showLegendKey val="0"/>
            <c:showVal val="0"/>
            <c:showCatName val="0"/>
            <c:showSerName val="0"/>
            <c:showPercent val="1"/>
            <c:showBubbleSize val="0"/>
            <c:showLeaderLines val="0"/>
            <c:extLst xmlns:c16r2="http://schemas.microsoft.com/office/drawing/2015/06/chart">
              <c:ext xmlns:c15="http://schemas.microsoft.com/office/drawing/2012/chart" uri="{CE6537A1-D6FC-4f65-9D91-7224C49458BB}"/>
            </c:extLst>
          </c:dLbls>
          <c:cat>
            <c:strRef>
              <c:f>Tabela1!$A$11:$A$14</c:f>
              <c:strCache>
                <c:ptCount val="4"/>
                <c:pt idx="0">
                  <c:v>MICRO </c:v>
                </c:pt>
                <c:pt idx="1">
                  <c:v>PEQUENO PORTE </c:v>
                </c:pt>
                <c:pt idx="2">
                  <c:v>MÉDIO PORTE</c:v>
                </c:pt>
                <c:pt idx="3">
                  <c:v>GRANDE PORTE</c:v>
                </c:pt>
              </c:strCache>
            </c:strRef>
          </c:cat>
          <c:val>
            <c:numRef>
              <c:f>Tabela1!$B$11:$B$14</c:f>
              <c:numCache>
                <c:formatCode>General</c:formatCode>
                <c:ptCount val="4"/>
                <c:pt idx="0">
                  <c:v>0</c:v>
                </c:pt>
                <c:pt idx="1">
                  <c:v>4</c:v>
                </c:pt>
                <c:pt idx="2">
                  <c:v>5</c:v>
                </c:pt>
                <c:pt idx="3">
                  <c:v>1</c:v>
                </c:pt>
              </c:numCache>
            </c:numRef>
          </c:val>
          <c:extLst xmlns:c16r2="http://schemas.microsoft.com/office/drawing/2015/06/chart">
            <c:ext xmlns:c16="http://schemas.microsoft.com/office/drawing/2014/chart" uri="{C3380CC4-5D6E-409C-BE32-E72D297353CC}">
              <c16:uniqueId val="{00000008-6766-4492-B279-48A589C7C075}"/>
            </c:ext>
          </c:extLst>
        </c:ser>
        <c:dLbls>
          <c:showLegendKey val="0"/>
          <c:showVal val="0"/>
          <c:showCatName val="0"/>
          <c:showSerName val="0"/>
          <c:showPercent val="0"/>
          <c:showBubbleSize val="0"/>
          <c:showLeaderLines val="0"/>
        </c:dLbls>
        <c:firstSliceAng val="0"/>
      </c:pieChart>
      <c:spPr>
        <a:noFill/>
        <a:ln>
          <a:noFill/>
        </a:ln>
        <a:effectLst/>
      </c:spPr>
    </c:plotArea>
    <c:legend>
      <c:legendPos val="r"/>
      <c:layout>
        <c:manualLayout>
          <c:xMode val="edge"/>
          <c:yMode val="edge"/>
          <c:x val="0.65400682848772473"/>
          <c:y val="0.2262605924259467"/>
          <c:w val="0.32060325638656328"/>
          <c:h val="0.5547641544806899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solidFill>
      <a:round/>
    </a:ln>
    <a:effectLst/>
  </c:spPr>
  <c:txPr>
    <a:bodyPr/>
    <a:lstStyle/>
    <a:p>
      <a:pPr>
        <a:defRPr sz="1200">
          <a:latin typeface="Times New Roman" panose="02020603050405020304" pitchFamily="18" charset="0"/>
          <a:cs typeface="Times New Roman" panose="02020603050405020304" pitchFamily="18" charset="0"/>
        </a:defRPr>
      </a:pPr>
      <a:endParaRPr lang="pt-BR"/>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pt-BR" sz="1200">
                <a:solidFill>
                  <a:schemeClr val="tx1"/>
                </a:solidFill>
                <a:latin typeface="Times New Roman" panose="02020603050405020304" pitchFamily="18" charset="0"/>
                <a:cs typeface="Times New Roman" panose="02020603050405020304" pitchFamily="18" charset="0"/>
              </a:rPr>
              <a:t>QUAL</a:t>
            </a:r>
            <a:r>
              <a:rPr lang="pt-BR" sz="1200" baseline="0">
                <a:solidFill>
                  <a:schemeClr val="tx1"/>
                </a:solidFill>
                <a:latin typeface="Times New Roman" panose="02020603050405020304" pitchFamily="18" charset="0"/>
                <a:cs typeface="Times New Roman" panose="02020603050405020304" pitchFamily="18" charset="0"/>
              </a:rPr>
              <a:t> MOTIVO LEVOU VOCÊ A RECORRER A UMA FACTORING?</a:t>
            </a:r>
            <a:endParaRPr lang="pt-BR"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title>
    <c:autoTitleDeleted val="0"/>
    <c:plotArea>
      <c:layout/>
      <c:pieChart>
        <c:varyColors val="1"/>
        <c:ser>
          <c:idx val="0"/>
          <c:order val="0"/>
          <c:dPt>
            <c:idx val="0"/>
            <c:bubble3D val="0"/>
            <c:spPr>
              <a:gradFill rotWithShape="1">
                <a:gsLst>
                  <a:gs pos="0">
                    <a:schemeClr val="dk1">
                      <a:tint val="88500"/>
                      <a:tint val="100000"/>
                      <a:shade val="100000"/>
                      <a:satMod val="130000"/>
                    </a:schemeClr>
                  </a:gs>
                  <a:gs pos="100000">
                    <a:schemeClr val="dk1">
                      <a:tint val="88500"/>
                      <a:tint val="50000"/>
                      <a:shade val="100000"/>
                      <a:satMod val="350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49E1-404B-9FC7-DE10A4A29DDD}"/>
              </c:ext>
            </c:extLst>
          </c:dPt>
          <c:dPt>
            <c:idx val="1"/>
            <c:bubble3D val="0"/>
            <c:spPr>
              <a:gradFill rotWithShape="1">
                <a:gsLst>
                  <a:gs pos="0">
                    <a:schemeClr val="dk1">
                      <a:tint val="55000"/>
                      <a:tint val="100000"/>
                      <a:shade val="100000"/>
                      <a:satMod val="130000"/>
                    </a:schemeClr>
                  </a:gs>
                  <a:gs pos="100000">
                    <a:schemeClr val="dk1">
                      <a:tint val="55000"/>
                      <a:tint val="50000"/>
                      <a:shade val="100000"/>
                      <a:satMod val="350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49E1-404B-9FC7-DE10A4A29DDD}"/>
              </c:ext>
            </c:extLst>
          </c:dPt>
          <c:dPt>
            <c:idx val="2"/>
            <c:bubble3D val="0"/>
            <c:spPr>
              <a:gradFill rotWithShape="1">
                <a:gsLst>
                  <a:gs pos="0">
                    <a:schemeClr val="dk1">
                      <a:tint val="75000"/>
                      <a:tint val="100000"/>
                      <a:shade val="100000"/>
                      <a:satMod val="130000"/>
                    </a:schemeClr>
                  </a:gs>
                  <a:gs pos="100000">
                    <a:schemeClr val="dk1">
                      <a:tint val="75000"/>
                      <a:tint val="50000"/>
                      <a:shade val="100000"/>
                      <a:satMod val="350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49E1-404B-9FC7-DE10A4A29DDD}"/>
              </c:ext>
            </c:extLst>
          </c:dPt>
          <c:dPt>
            <c:idx val="3"/>
            <c:bubble3D val="0"/>
            <c:spPr>
              <a:gradFill rotWithShape="1">
                <a:gsLst>
                  <a:gs pos="0">
                    <a:schemeClr val="dk1">
                      <a:tint val="98500"/>
                      <a:tint val="100000"/>
                      <a:shade val="100000"/>
                      <a:satMod val="130000"/>
                    </a:schemeClr>
                  </a:gs>
                  <a:gs pos="100000">
                    <a:schemeClr val="dk1">
                      <a:tint val="98500"/>
                      <a:tint val="50000"/>
                      <a:shade val="100000"/>
                      <a:satMod val="350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49E1-404B-9FC7-DE10A4A29DDD}"/>
              </c:ext>
            </c:extLst>
          </c:dPt>
          <c:dPt>
            <c:idx val="4"/>
            <c:bubble3D val="0"/>
            <c:spPr>
              <a:gradFill rotWithShape="1">
                <a:gsLst>
                  <a:gs pos="0">
                    <a:schemeClr val="dk1">
                      <a:tint val="30000"/>
                      <a:tint val="100000"/>
                      <a:shade val="100000"/>
                      <a:satMod val="130000"/>
                    </a:schemeClr>
                  </a:gs>
                  <a:gs pos="100000">
                    <a:schemeClr val="dk1">
                      <a:tint val="30000"/>
                      <a:tint val="50000"/>
                      <a:shade val="100000"/>
                      <a:satMod val="350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9-49E1-404B-9FC7-DE10A4A29DDD}"/>
              </c:ext>
            </c:extLst>
          </c:dPt>
          <c:dLbls>
            <c:dLbl>
              <c:idx val="0"/>
              <c:tx>
                <c:rich>
                  <a:bodyPr/>
                  <a:lstStyle/>
                  <a:p>
                    <a:r>
                      <a:rPr lang="en-US" baseline="0"/>
                      <a:t>
</a:t>
                    </a:r>
                    <a:fld id="{0EE61307-9123-4789-B74E-4390B12D8CD8}" type="PERCENTAGE">
                      <a:rPr lang="en-US" baseline="0"/>
                      <a:pPr/>
                      <a:t>[PORCENTAGEM]</a:t>
                    </a:fld>
                    <a:endParaRPr lang="en-US" baseline="0"/>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49E1-404B-9FC7-DE10A4A29DDD}"/>
                </c:ext>
                <c:ext xmlns:c15="http://schemas.microsoft.com/office/drawing/2012/chart" uri="{CE6537A1-D6FC-4f65-9D91-7224C49458BB}">
                  <c15:dlblFieldTable/>
                  <c15:showDataLabelsRange val="0"/>
                </c:ext>
              </c:extLst>
            </c:dLbl>
            <c:dLbl>
              <c:idx val="1"/>
              <c:layout>
                <c:manualLayout>
                  <c:x val="-6.8328958880139986E-3"/>
                  <c:y val="9.3132473024205312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baseline="0"/>
                      <a:t>
</a:t>
                    </a:r>
                    <a:fld id="{0D2C0BA5-5196-4578-B022-2D82678752D9}" type="PERCENTAGE">
                      <a:rPr lang="en-US" baseline="0"/>
                      <a:pPr>
                        <a:defRPr>
                          <a:solidFill>
                            <a:schemeClr val="tx1"/>
                          </a:solidFill>
                        </a:defRPr>
                      </a:pPr>
                      <a:t>[PORCENTAGEM]</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pt-BR"/>
                </a:p>
              </c:txP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49E1-404B-9FC7-DE10A4A29DDD}"/>
                </c:ext>
                <c:ext xmlns:c15="http://schemas.microsoft.com/office/drawing/2012/chart" uri="{CE6537A1-D6FC-4f65-9D91-7224C49458BB}">
                  <c15:layout>
                    <c:manualLayout>
                      <c:w val="0.14893066491688539"/>
                      <c:h val="0.26368073782443863"/>
                    </c:manualLayout>
                  </c15:layout>
                  <c15:dlblFieldTable/>
                  <c15:showDataLabelsRange val="0"/>
                </c:ext>
              </c:extLst>
            </c:dLbl>
            <c:dLbl>
              <c:idx val="2"/>
              <c:tx>
                <c:rich>
                  <a:bodyPr/>
                  <a:lstStyle/>
                  <a:p>
                    <a:r>
                      <a:rPr lang="en-US" baseline="0"/>
                      <a:t>
</a:t>
                    </a:r>
                    <a:fld id="{64BB9994-90B5-47C8-83EC-39B633E58C06}" type="PERCENTAGE">
                      <a:rPr lang="en-US" baseline="0"/>
                      <a:pPr/>
                      <a:t>[PORCENTAGEM]</a:t>
                    </a:fld>
                    <a:endParaRPr lang="en-US" baseline="0"/>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49E1-404B-9FC7-DE10A4A29DDD}"/>
                </c:ext>
                <c:ext xmlns:c15="http://schemas.microsoft.com/office/drawing/2012/chart" uri="{CE6537A1-D6FC-4f65-9D91-7224C49458BB}">
                  <c15:dlblFieldTable/>
                  <c15:showDataLabelsRange val="0"/>
                </c:ext>
              </c:extLst>
            </c:dLbl>
            <c:dLbl>
              <c:idx val="3"/>
              <c:tx>
                <c:rich>
                  <a:bodyPr/>
                  <a:lstStyle/>
                  <a:p>
                    <a:r>
                      <a:rPr lang="en-US" baseline="0"/>
                      <a:t>
</a:t>
                    </a:r>
                    <a:fld id="{883136C3-DD6F-4B4B-9706-25242F7C295F}" type="PERCENTAGE">
                      <a:rPr lang="en-US" baseline="0"/>
                      <a:pPr/>
                      <a:t>[PORCENTAGEM]</a:t>
                    </a:fld>
                    <a:endParaRPr lang="en-US" baseline="0"/>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49E1-404B-9FC7-DE10A4A29DDD}"/>
                </c:ext>
                <c:ext xmlns:c15="http://schemas.microsoft.com/office/drawing/2012/chart" uri="{CE6537A1-D6FC-4f65-9D91-7224C49458BB}">
                  <c15:dlblFieldTable/>
                  <c15:showDataLabelsRange val="0"/>
                </c:ext>
              </c:extLst>
            </c:dLbl>
            <c:dLbl>
              <c:idx val="4"/>
              <c:tx>
                <c:rich>
                  <a:bodyPr/>
                  <a:lstStyle/>
                  <a:p>
                    <a:r>
                      <a:rPr lang="en-US" baseline="0"/>
                      <a:t>
</a:t>
                    </a:r>
                    <a:fld id="{47408DD9-BB79-4D1C-B1CC-0089361068EA}" type="PERCENTAGE">
                      <a:rPr lang="en-US" baseline="0"/>
                      <a:pPr/>
                      <a:t>[PORCENTAGEM]</a:t>
                    </a:fld>
                    <a:endParaRPr lang="en-US" baseline="0"/>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49E1-404B-9FC7-DE10A4A29DDD}"/>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t-BR"/>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Tabela1!$A$165:$A$169</c:f>
              <c:strCache>
                <c:ptCount val="5"/>
                <c:pt idx="0">
                  <c:v>FALTA DE FLUXO DE CAIXA</c:v>
                </c:pt>
                <c:pt idx="1">
                  <c:v>NOVO INVESTIMENTO</c:v>
                </c:pt>
                <c:pt idx="2">
                  <c:v>COMPRA DE MERCADORIAS</c:v>
                </c:pt>
                <c:pt idx="3">
                  <c:v>PAGAMENTO DE FUNCIONÁRIOS</c:v>
                </c:pt>
                <c:pt idx="4">
                  <c:v>OUTROS GASTOS</c:v>
                </c:pt>
              </c:strCache>
            </c:strRef>
          </c:cat>
          <c:val>
            <c:numRef>
              <c:f>Tabela1!$B$165:$B$169</c:f>
              <c:numCache>
                <c:formatCode>General</c:formatCode>
                <c:ptCount val="5"/>
                <c:pt idx="0">
                  <c:v>2</c:v>
                </c:pt>
                <c:pt idx="1">
                  <c:v>0</c:v>
                </c:pt>
                <c:pt idx="2">
                  <c:v>6</c:v>
                </c:pt>
                <c:pt idx="3">
                  <c:v>1</c:v>
                </c:pt>
                <c:pt idx="4">
                  <c:v>1</c:v>
                </c:pt>
              </c:numCache>
            </c:numRef>
          </c:val>
          <c:extLst xmlns:c16r2="http://schemas.microsoft.com/office/drawing/2015/06/chart">
            <c:ext xmlns:c16="http://schemas.microsoft.com/office/drawing/2014/chart" uri="{C3380CC4-5D6E-409C-BE32-E72D297353CC}">
              <c16:uniqueId val="{0000000A-49E1-404B-9FC7-DE10A4A29DDD}"/>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1862401058135452"/>
          <c:y val="0.26725164750089692"/>
          <c:w val="0.36470932275197882"/>
          <c:h val="0.6929594592042901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pt-BR"/>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pt-BR" sz="1200">
                <a:solidFill>
                  <a:schemeClr val="tx1"/>
                </a:solidFill>
                <a:latin typeface="Times New Roman" panose="02020603050405020304" pitchFamily="18" charset="0"/>
                <a:cs typeface="Times New Roman" panose="02020603050405020304" pitchFamily="18" charset="0"/>
              </a:rPr>
              <a:t>POR</a:t>
            </a:r>
            <a:r>
              <a:rPr lang="pt-BR" sz="1200" baseline="0">
                <a:solidFill>
                  <a:schemeClr val="tx1"/>
                </a:solidFill>
                <a:latin typeface="Times New Roman" panose="02020603050405020304" pitchFamily="18" charset="0"/>
                <a:cs typeface="Times New Roman" panose="02020603050405020304" pitchFamily="18" charset="0"/>
              </a:rPr>
              <a:t> QUAL RAZÃO ESCOLHER UMA FACTORING INVÉS DE UMA FINANCEIRA?</a:t>
            </a:r>
            <a:endParaRPr lang="pt-BR"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title>
    <c:autoTitleDeleted val="0"/>
    <c:plotArea>
      <c:layout/>
      <c:pieChart>
        <c:varyColors val="1"/>
        <c:ser>
          <c:idx val="0"/>
          <c:order val="0"/>
          <c:dPt>
            <c:idx val="0"/>
            <c:bubble3D val="0"/>
            <c:spPr>
              <a:gradFill rotWithShape="1">
                <a:gsLst>
                  <a:gs pos="0">
                    <a:schemeClr val="dk1">
                      <a:tint val="88500"/>
                      <a:tint val="100000"/>
                      <a:shade val="100000"/>
                      <a:satMod val="130000"/>
                    </a:schemeClr>
                  </a:gs>
                  <a:gs pos="100000">
                    <a:schemeClr val="dk1">
                      <a:tint val="88500"/>
                      <a:tint val="50000"/>
                      <a:shade val="100000"/>
                      <a:satMod val="350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075F-40D3-A458-F31541972E12}"/>
              </c:ext>
            </c:extLst>
          </c:dPt>
          <c:dPt>
            <c:idx val="1"/>
            <c:bubble3D val="0"/>
            <c:spPr>
              <a:gradFill rotWithShape="1">
                <a:gsLst>
                  <a:gs pos="0">
                    <a:schemeClr val="dk1">
                      <a:tint val="55000"/>
                      <a:tint val="100000"/>
                      <a:shade val="100000"/>
                      <a:satMod val="130000"/>
                    </a:schemeClr>
                  </a:gs>
                  <a:gs pos="100000">
                    <a:schemeClr val="dk1">
                      <a:tint val="55000"/>
                      <a:tint val="50000"/>
                      <a:shade val="100000"/>
                      <a:satMod val="350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075F-40D3-A458-F31541972E12}"/>
              </c:ext>
            </c:extLst>
          </c:dPt>
          <c:dPt>
            <c:idx val="2"/>
            <c:bubble3D val="0"/>
            <c:spPr>
              <a:gradFill rotWithShape="1">
                <a:gsLst>
                  <a:gs pos="0">
                    <a:schemeClr val="dk1">
                      <a:tint val="75000"/>
                      <a:tint val="100000"/>
                      <a:shade val="100000"/>
                      <a:satMod val="130000"/>
                    </a:schemeClr>
                  </a:gs>
                  <a:gs pos="100000">
                    <a:schemeClr val="dk1">
                      <a:tint val="75000"/>
                      <a:tint val="50000"/>
                      <a:shade val="100000"/>
                      <a:satMod val="350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075F-40D3-A458-F31541972E12}"/>
              </c:ext>
            </c:extLst>
          </c:dPt>
          <c:dPt>
            <c:idx val="3"/>
            <c:bubble3D val="0"/>
            <c:spPr>
              <a:gradFill rotWithShape="1">
                <a:gsLst>
                  <a:gs pos="0">
                    <a:schemeClr val="dk1">
                      <a:tint val="98500"/>
                      <a:tint val="100000"/>
                      <a:shade val="100000"/>
                      <a:satMod val="130000"/>
                    </a:schemeClr>
                  </a:gs>
                  <a:gs pos="100000">
                    <a:schemeClr val="dk1">
                      <a:tint val="98500"/>
                      <a:tint val="50000"/>
                      <a:shade val="100000"/>
                      <a:satMod val="350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075F-40D3-A458-F31541972E12}"/>
              </c:ext>
            </c:extLst>
          </c:dPt>
          <c:dPt>
            <c:idx val="4"/>
            <c:bubble3D val="0"/>
            <c:spPr>
              <a:gradFill rotWithShape="1">
                <a:gsLst>
                  <a:gs pos="0">
                    <a:schemeClr val="dk1">
                      <a:tint val="30000"/>
                      <a:tint val="100000"/>
                      <a:shade val="100000"/>
                      <a:satMod val="130000"/>
                    </a:schemeClr>
                  </a:gs>
                  <a:gs pos="100000">
                    <a:schemeClr val="dk1">
                      <a:tint val="30000"/>
                      <a:tint val="50000"/>
                      <a:shade val="100000"/>
                      <a:satMod val="350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9-075F-40D3-A458-F31541972E12}"/>
              </c:ext>
            </c:extLst>
          </c:dPt>
          <c:dLbls>
            <c:dLbl>
              <c:idx val="0"/>
              <c:layout>
                <c:manualLayout>
                  <c:x val="0.20188374890638669"/>
                  <c:y val="8.5175342665500142E-2"/>
                </c:manualLayout>
              </c:layout>
              <c:tx>
                <c:rich>
                  <a:bodyPr/>
                  <a:lstStyle/>
                  <a:p>
                    <a:r>
                      <a:rPr lang="en-US" baseline="0"/>
                      <a:t>
</a:t>
                    </a:r>
                    <a:fld id="{BEF62662-94BC-4099-AE06-D6472540A805}" type="PERCENTAGE">
                      <a:rPr lang="en-US" baseline="0"/>
                      <a:pPr/>
                      <a:t>[PORCENTAGEM]</a:t>
                    </a:fld>
                    <a:endParaRPr lang="en-US" baseline="0"/>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075F-40D3-A458-F31541972E12}"/>
                </c:ext>
                <c:ext xmlns:c15="http://schemas.microsoft.com/office/drawing/2012/chart" uri="{CE6537A1-D6FC-4f65-9D91-7224C49458BB}">
                  <c15:dlblFieldTable/>
                  <c15:showDataLabelsRange val="0"/>
                </c:ext>
              </c:extLst>
            </c:dLbl>
            <c:dLbl>
              <c:idx val="1"/>
              <c:tx>
                <c:rich>
                  <a:bodyPr/>
                  <a:lstStyle/>
                  <a:p>
                    <a:r>
                      <a:rPr lang="en-US" baseline="0"/>
                      <a:t>
</a:t>
                    </a:r>
                    <a:fld id="{F11DB3E5-6AD4-4053-9594-1BBF101683CC}" type="PERCENTAGE">
                      <a:rPr lang="en-US" baseline="0"/>
                      <a:pPr/>
                      <a:t>[PORCENTAGEM]</a:t>
                    </a:fld>
                    <a:endParaRPr lang="en-US" baseline="0"/>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075F-40D3-A458-F31541972E12}"/>
                </c:ext>
                <c:ext xmlns:c15="http://schemas.microsoft.com/office/drawing/2012/chart" uri="{CE6537A1-D6FC-4f65-9D91-7224C49458BB}">
                  <c15:dlblFieldTable/>
                  <c15:showDataLabelsRange val="0"/>
                </c:ext>
              </c:extLst>
            </c:dLbl>
            <c:dLbl>
              <c:idx val="2"/>
              <c:tx>
                <c:rich>
                  <a:bodyPr/>
                  <a:lstStyle/>
                  <a:p>
                    <a:r>
                      <a:rPr lang="en-US" baseline="0"/>
                      <a:t>
</a:t>
                    </a:r>
                    <a:fld id="{CF6E2063-145C-4AC1-AB95-ECEC26E4C4CD}" type="PERCENTAGE">
                      <a:rPr lang="en-US" baseline="0"/>
                      <a:pPr/>
                      <a:t>[PORCENTAGEM]</a:t>
                    </a:fld>
                    <a:endParaRPr lang="en-US" baseline="0"/>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075F-40D3-A458-F31541972E12}"/>
                </c:ext>
                <c:ext xmlns:c15="http://schemas.microsoft.com/office/drawing/2012/chart" uri="{CE6537A1-D6FC-4f65-9D91-7224C49458BB}">
                  <c15:dlblFieldTable/>
                  <c15:showDataLabelsRange val="0"/>
                </c:ext>
              </c:extLst>
            </c:dLbl>
            <c:dLbl>
              <c:idx val="3"/>
              <c:tx>
                <c:rich>
                  <a:bodyPr/>
                  <a:lstStyle/>
                  <a:p>
                    <a:r>
                      <a:rPr lang="en-US" baseline="0"/>
                      <a:t>
</a:t>
                    </a:r>
                    <a:fld id="{09F0DDF7-049F-45D6-B0CB-82CE76755B95}" type="PERCENTAGE">
                      <a:rPr lang="en-US" baseline="0"/>
                      <a:pPr/>
                      <a:t>[PORCENTAGEM]</a:t>
                    </a:fld>
                    <a:endParaRPr lang="en-US" baseline="0"/>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075F-40D3-A458-F31541972E12}"/>
                </c:ext>
                <c:ext xmlns:c15="http://schemas.microsoft.com/office/drawing/2012/chart" uri="{CE6537A1-D6FC-4f65-9D91-7224C49458BB}">
                  <c15:dlblFieldTable/>
                  <c15:showDataLabelsRange val="0"/>
                </c:ext>
              </c:extLst>
            </c:dLbl>
            <c:dLbl>
              <c:idx val="4"/>
              <c:layout>
                <c:manualLayout>
                  <c:x val="-0.25992169728783904"/>
                  <c:y val="-0.16289880431612716"/>
                </c:manualLayout>
              </c:layout>
              <c:tx>
                <c:rich>
                  <a:bodyPr/>
                  <a:lstStyle/>
                  <a:p>
                    <a:r>
                      <a:rPr lang="en-US" baseline="0"/>
                      <a:t>
</a:t>
                    </a:r>
                    <a:fld id="{11064EA4-22FC-4E54-951D-1C59B5D4B33A}" type="PERCENTAGE">
                      <a:rPr lang="en-US" baseline="0"/>
                      <a:pPr/>
                      <a:t>[PORCENTAGEM]</a:t>
                    </a:fld>
                    <a:endParaRPr lang="en-US" baseline="0"/>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075F-40D3-A458-F31541972E12}"/>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t-BR"/>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Tabela1!$A$185:$A$189</c:f>
              <c:strCache>
                <c:ptCount val="5"/>
                <c:pt idx="0">
                  <c:v>MENOR TAXA DE JUROS</c:v>
                </c:pt>
                <c:pt idx="1">
                  <c:v>MENOS BUROCRACIA</c:v>
                </c:pt>
                <c:pt idx="2">
                  <c:v>MAIS AGILIDADE</c:v>
                </c:pt>
                <c:pt idx="3">
                  <c:v>RESTRIÇÃO DE ORGÃOS DE PROTEÇÃO DE CRÉDITOS</c:v>
                </c:pt>
                <c:pt idx="4">
                  <c:v>OUTROS </c:v>
                </c:pt>
              </c:strCache>
            </c:strRef>
          </c:cat>
          <c:val>
            <c:numRef>
              <c:f>Tabela1!$B$185:$B$189</c:f>
              <c:numCache>
                <c:formatCode>General</c:formatCode>
                <c:ptCount val="5"/>
                <c:pt idx="0">
                  <c:v>0</c:v>
                </c:pt>
                <c:pt idx="1">
                  <c:v>4</c:v>
                </c:pt>
                <c:pt idx="2">
                  <c:v>4</c:v>
                </c:pt>
                <c:pt idx="3">
                  <c:v>2</c:v>
                </c:pt>
                <c:pt idx="4">
                  <c:v>0</c:v>
                </c:pt>
              </c:numCache>
            </c:numRef>
          </c:val>
          <c:extLst xmlns:c16r2="http://schemas.microsoft.com/office/drawing/2015/06/chart">
            <c:ext xmlns:c16="http://schemas.microsoft.com/office/drawing/2014/chart" uri="{C3380CC4-5D6E-409C-BE32-E72D297353CC}">
              <c16:uniqueId val="{0000000A-075F-40D3-A458-F31541972E12}"/>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9288941244549154"/>
          <c:y val="0.24557500762032064"/>
          <c:w val="0.3904439208878418"/>
          <c:h val="0.7544249923796794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pt-BR" sz="1200" baseline="0">
                <a:solidFill>
                  <a:schemeClr val="tx1"/>
                </a:solidFill>
                <a:latin typeface="Times New Roman" panose="02020603050405020304" pitchFamily="18" charset="0"/>
                <a:cs typeface="Times New Roman" panose="02020603050405020304" pitchFamily="18" charset="0"/>
              </a:rPr>
              <a:t>A  SUA EMPRESA É ?</a:t>
            </a:r>
            <a:endParaRPr lang="pt-BR"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title>
    <c:autoTitleDeleted val="0"/>
    <c:plotArea>
      <c:layout>
        <c:manualLayout>
          <c:layoutTarget val="inner"/>
          <c:xMode val="edge"/>
          <c:yMode val="edge"/>
          <c:x val="0.18096303587051621"/>
          <c:y val="0.18300925925925926"/>
          <c:w val="0.45963888888888887"/>
          <c:h val="0.76606481481481481"/>
        </c:manualLayout>
      </c:layout>
      <c:pieChart>
        <c:varyColors val="1"/>
        <c:ser>
          <c:idx val="0"/>
          <c:order val="0"/>
          <c:dPt>
            <c:idx val="0"/>
            <c:bubble3D val="0"/>
            <c:spPr>
              <a:gradFill rotWithShape="1">
                <a:gsLst>
                  <a:gs pos="0">
                    <a:schemeClr val="dk1">
                      <a:tint val="88500"/>
                      <a:tint val="100000"/>
                      <a:shade val="100000"/>
                      <a:satMod val="130000"/>
                    </a:schemeClr>
                  </a:gs>
                  <a:gs pos="100000">
                    <a:schemeClr val="dk1">
                      <a:tint val="88500"/>
                      <a:tint val="50000"/>
                      <a:shade val="100000"/>
                      <a:satMod val="350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AB2C-4400-8569-FA4F54B1EB66}"/>
              </c:ext>
            </c:extLst>
          </c:dPt>
          <c:dPt>
            <c:idx val="1"/>
            <c:bubble3D val="0"/>
            <c:spPr>
              <a:gradFill rotWithShape="1">
                <a:gsLst>
                  <a:gs pos="0">
                    <a:schemeClr val="dk1">
                      <a:tint val="55000"/>
                      <a:tint val="100000"/>
                      <a:shade val="100000"/>
                      <a:satMod val="130000"/>
                    </a:schemeClr>
                  </a:gs>
                  <a:gs pos="100000">
                    <a:schemeClr val="dk1">
                      <a:tint val="55000"/>
                      <a:tint val="50000"/>
                      <a:shade val="100000"/>
                      <a:satMod val="350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AB2C-4400-8569-FA4F54B1EB66}"/>
              </c:ext>
            </c:extLst>
          </c:dPt>
          <c:dPt>
            <c:idx val="2"/>
            <c:bubble3D val="0"/>
            <c:spPr>
              <a:gradFill rotWithShape="1">
                <a:gsLst>
                  <a:gs pos="0">
                    <a:schemeClr val="dk1">
                      <a:tint val="75000"/>
                      <a:tint val="100000"/>
                      <a:shade val="100000"/>
                      <a:satMod val="130000"/>
                    </a:schemeClr>
                  </a:gs>
                  <a:gs pos="100000">
                    <a:schemeClr val="dk1">
                      <a:tint val="75000"/>
                      <a:tint val="50000"/>
                      <a:shade val="100000"/>
                      <a:satMod val="350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AB2C-4400-8569-FA4F54B1EB66}"/>
              </c:ext>
            </c:extLst>
          </c:dPt>
          <c:dLbls>
            <c:dLbl>
              <c:idx val="0"/>
              <c:tx>
                <c:rich>
                  <a:bodyPr/>
                  <a:lstStyle/>
                  <a:p>
                    <a:r>
                      <a:rPr lang="en-US" baseline="0"/>
                      <a:t> </a:t>
                    </a:r>
                    <a:fld id="{3AB943DE-6723-49CA-ACD6-A0A0324BDB6D}" type="PERCENTAGE">
                      <a:rPr lang="en-US" baseline="0"/>
                      <a:pPr/>
                      <a:t>[PORCENTAGEM]</a:t>
                    </a:fld>
                    <a:endParaRPr lang="en-US" baseline="0"/>
                  </a:p>
                </c:rich>
              </c:tx>
              <c:dLblPos val="ct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AB2C-4400-8569-FA4F54B1EB66}"/>
                </c:ext>
                <c:ext xmlns:c15="http://schemas.microsoft.com/office/drawing/2012/chart" uri="{CE6537A1-D6FC-4f65-9D91-7224C49458BB}">
                  <c15:dlblFieldTable/>
                  <c15:showDataLabelsRange val="0"/>
                </c:ext>
              </c:extLst>
            </c:dLbl>
            <c:dLbl>
              <c:idx val="1"/>
              <c:tx>
                <c:rich>
                  <a:bodyPr/>
                  <a:lstStyle/>
                  <a:p>
                    <a:r>
                      <a:rPr lang="en-US" baseline="0"/>
                      <a:t> </a:t>
                    </a:r>
                    <a:fld id="{EFD255D4-DB06-41F2-A6BD-8F22C3D1B6A2}" type="PERCENTAGE">
                      <a:rPr lang="en-US" baseline="0"/>
                      <a:pPr/>
                      <a:t>[PORCENTAGEM]</a:t>
                    </a:fld>
                    <a:endParaRPr lang="en-US" baseline="0"/>
                  </a:p>
                </c:rich>
              </c:tx>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AB2C-4400-8569-FA4F54B1EB66}"/>
                </c:ext>
                <c:ext xmlns:c15="http://schemas.microsoft.com/office/drawing/2012/chart" uri="{CE6537A1-D6FC-4f65-9D91-7224C49458BB}">
                  <c15:dlblFieldTable/>
                  <c15:showDataLabelsRange val="0"/>
                </c:ext>
              </c:extLst>
            </c:dLbl>
            <c:dLbl>
              <c:idx val="2"/>
              <c:tx>
                <c:rich>
                  <a:bodyPr/>
                  <a:lstStyle/>
                  <a:p>
                    <a:r>
                      <a:rPr lang="en-US" baseline="0"/>
                      <a:t> </a:t>
                    </a:r>
                    <a:fld id="{A62E3CCD-572E-4D6C-9B9A-8F41E933B4C1}" type="PERCENTAGE">
                      <a:rPr lang="en-US" baseline="0"/>
                      <a:pPr/>
                      <a:t>[PORCENTAGEM]</a:t>
                    </a:fld>
                    <a:endParaRPr lang="en-US" baseline="0"/>
                  </a:p>
                </c:rich>
              </c:tx>
              <c:dLblPos val="ct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AB2C-4400-8569-FA4F54B1EB66}"/>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t-BR"/>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Tabela1!$A$39:$A$41</c:f>
              <c:strCache>
                <c:ptCount val="3"/>
                <c:pt idx="0">
                  <c:v>ATACADISTA</c:v>
                </c:pt>
                <c:pt idx="1">
                  <c:v>VAREJISTA</c:v>
                </c:pt>
                <c:pt idx="2">
                  <c:v>ATACAREJO</c:v>
                </c:pt>
              </c:strCache>
            </c:strRef>
          </c:cat>
          <c:val>
            <c:numRef>
              <c:f>Tabela1!$B$39:$B$41</c:f>
              <c:numCache>
                <c:formatCode>General</c:formatCode>
                <c:ptCount val="3"/>
                <c:pt idx="0">
                  <c:v>4</c:v>
                </c:pt>
                <c:pt idx="1">
                  <c:v>0</c:v>
                </c:pt>
                <c:pt idx="2">
                  <c:v>6</c:v>
                </c:pt>
              </c:numCache>
            </c:numRef>
          </c:val>
          <c:extLst xmlns:c16r2="http://schemas.microsoft.com/office/drawing/2015/06/chart">
            <c:ext xmlns:c16="http://schemas.microsoft.com/office/drawing/2014/chart" uri="{C3380CC4-5D6E-409C-BE32-E72D297353CC}">
              <c16:uniqueId val="{00000006-AB2C-4400-8569-FA4F54B1EB66}"/>
            </c:ext>
          </c:extLst>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legendEntry>
      <c:legendEntry>
        <c:idx val="1"/>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legendEntry>
      <c:legendEntry>
        <c:idx val="2"/>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legendEntry>
      <c:layout>
        <c:manualLayout>
          <c:xMode val="edge"/>
          <c:yMode val="edge"/>
          <c:x val="0.68524408068296749"/>
          <c:y val="0.24514946048410616"/>
          <c:w val="0.27200344250695024"/>
          <c:h val="0.5237631444959859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pt-BR" sz="1200">
                <a:solidFill>
                  <a:schemeClr val="tx1"/>
                </a:solidFill>
                <a:latin typeface="Times New Roman" panose="02020603050405020304" pitchFamily="18" charset="0"/>
                <a:cs typeface="Times New Roman" panose="02020603050405020304" pitchFamily="18" charset="0"/>
              </a:rPr>
              <a:t>QUAL FREQUÊNCIA</a:t>
            </a:r>
            <a:r>
              <a:rPr lang="pt-BR" sz="1200" baseline="0">
                <a:solidFill>
                  <a:schemeClr val="tx1"/>
                </a:solidFill>
                <a:latin typeface="Times New Roman" panose="02020603050405020304" pitchFamily="18" charset="0"/>
                <a:cs typeface="Times New Roman" panose="02020603050405020304" pitchFamily="18" charset="0"/>
              </a:rPr>
              <a:t> UTILIZA A FACTORING?</a:t>
            </a:r>
            <a:endParaRPr lang="pt-BR"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title>
    <c:autoTitleDeleted val="0"/>
    <c:plotArea>
      <c:layout/>
      <c:pieChart>
        <c:varyColors val="1"/>
        <c:ser>
          <c:idx val="0"/>
          <c:order val="0"/>
          <c:dPt>
            <c:idx val="0"/>
            <c:bubble3D val="0"/>
            <c:spPr>
              <a:gradFill rotWithShape="1">
                <a:gsLst>
                  <a:gs pos="0">
                    <a:schemeClr val="dk1">
                      <a:tint val="88500"/>
                      <a:tint val="100000"/>
                      <a:shade val="100000"/>
                      <a:satMod val="130000"/>
                    </a:schemeClr>
                  </a:gs>
                  <a:gs pos="100000">
                    <a:schemeClr val="dk1">
                      <a:tint val="88500"/>
                      <a:tint val="50000"/>
                      <a:shade val="100000"/>
                      <a:satMod val="350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824F-4341-865B-251E1D9D8E5D}"/>
              </c:ext>
            </c:extLst>
          </c:dPt>
          <c:dPt>
            <c:idx val="1"/>
            <c:bubble3D val="0"/>
            <c:spPr>
              <a:gradFill rotWithShape="1">
                <a:gsLst>
                  <a:gs pos="0">
                    <a:schemeClr val="dk1">
                      <a:tint val="55000"/>
                      <a:tint val="100000"/>
                      <a:shade val="100000"/>
                      <a:satMod val="130000"/>
                    </a:schemeClr>
                  </a:gs>
                  <a:gs pos="100000">
                    <a:schemeClr val="dk1">
                      <a:tint val="55000"/>
                      <a:tint val="50000"/>
                      <a:shade val="100000"/>
                      <a:satMod val="350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824F-4341-865B-251E1D9D8E5D}"/>
              </c:ext>
            </c:extLst>
          </c:dPt>
          <c:dPt>
            <c:idx val="2"/>
            <c:bubble3D val="0"/>
            <c:spPr>
              <a:gradFill rotWithShape="1">
                <a:gsLst>
                  <a:gs pos="0">
                    <a:schemeClr val="dk1">
                      <a:tint val="75000"/>
                      <a:tint val="100000"/>
                      <a:shade val="100000"/>
                      <a:satMod val="130000"/>
                    </a:schemeClr>
                  </a:gs>
                  <a:gs pos="100000">
                    <a:schemeClr val="dk1">
                      <a:tint val="75000"/>
                      <a:tint val="50000"/>
                      <a:shade val="100000"/>
                      <a:satMod val="350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824F-4341-865B-251E1D9D8E5D}"/>
              </c:ext>
            </c:extLst>
          </c:dPt>
          <c:dPt>
            <c:idx val="3"/>
            <c:bubble3D val="0"/>
            <c:spPr>
              <a:gradFill rotWithShape="1">
                <a:gsLst>
                  <a:gs pos="0">
                    <a:schemeClr val="dk1">
                      <a:tint val="98500"/>
                      <a:tint val="100000"/>
                      <a:shade val="100000"/>
                      <a:satMod val="130000"/>
                    </a:schemeClr>
                  </a:gs>
                  <a:gs pos="100000">
                    <a:schemeClr val="dk1">
                      <a:tint val="98500"/>
                      <a:tint val="50000"/>
                      <a:shade val="100000"/>
                      <a:satMod val="350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824F-4341-865B-251E1D9D8E5D}"/>
              </c:ext>
            </c:extLst>
          </c:dPt>
          <c:dLbls>
            <c:dLbl>
              <c:idx val="0"/>
              <c:tx>
                <c:rich>
                  <a:bodyPr/>
                  <a:lstStyle/>
                  <a:p>
                    <a:r>
                      <a:rPr lang="en-US" baseline="0"/>
                      <a:t>
</a:t>
                    </a:r>
                    <a:fld id="{813E6AD7-D268-4F95-9C47-976C1D9F1981}" type="PERCENTAGE">
                      <a:rPr lang="en-US" baseline="0"/>
                      <a:pPr/>
                      <a:t>[PORCENTAGEM]</a:t>
                    </a:fld>
                    <a:endParaRPr lang="en-US" baseline="0"/>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824F-4341-865B-251E1D9D8E5D}"/>
                </c:ext>
                <c:ext xmlns:c15="http://schemas.microsoft.com/office/drawing/2012/chart" uri="{CE6537A1-D6FC-4f65-9D91-7224C49458BB}">
                  <c15:dlblFieldTable/>
                  <c15:showDataLabelsRange val="0"/>
                </c:ext>
              </c:extLst>
            </c:dLbl>
            <c:dLbl>
              <c:idx val="1"/>
              <c:tx>
                <c:rich>
                  <a:bodyPr/>
                  <a:lstStyle/>
                  <a:p>
                    <a:fld id="{55FE11D8-6E00-4CCB-8699-8DED0D3F22AC}" type="PERCENTAGE">
                      <a:rPr lang="en-US" baseline="0"/>
                      <a:pPr/>
                      <a:t>[PORCENTAGEM]</a:t>
                    </a:fld>
                    <a:endParaRPr lang="pt-B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824F-4341-865B-251E1D9D8E5D}"/>
                </c:ext>
                <c:ext xmlns:c15="http://schemas.microsoft.com/office/drawing/2012/chart" uri="{CE6537A1-D6FC-4f65-9D91-7224C49458BB}">
                  <c15:dlblFieldTable/>
                  <c15:showDataLabelsRange val="0"/>
                </c:ext>
              </c:extLst>
            </c:dLbl>
            <c:dLbl>
              <c:idx val="2"/>
              <c:tx>
                <c:rich>
                  <a:bodyPr/>
                  <a:lstStyle/>
                  <a:p>
                    <a:r>
                      <a:rPr lang="en-US" baseline="0"/>
                      <a:t>
</a:t>
                    </a:r>
                    <a:fld id="{E714CF8D-2391-446A-9F44-DF6230F34635}" type="PERCENTAGE">
                      <a:rPr lang="en-US" baseline="0"/>
                      <a:pPr/>
                      <a:t>[PORCENTAGEM]</a:t>
                    </a:fld>
                    <a:endParaRPr lang="en-US" baseline="0"/>
                  </a:p>
                </c:rich>
              </c:tx>
              <c:dLblPos val="ct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824F-4341-865B-251E1D9D8E5D}"/>
                </c:ext>
                <c:ext xmlns:c15="http://schemas.microsoft.com/office/drawing/2012/chart" uri="{CE6537A1-D6FC-4f65-9D91-7224C49458BB}">
                  <c15:dlblFieldTable/>
                  <c15:showDataLabelsRange val="0"/>
                </c:ext>
              </c:extLst>
            </c:dLbl>
            <c:dLbl>
              <c:idx val="3"/>
              <c:tx>
                <c:rich>
                  <a:bodyPr/>
                  <a:lstStyle/>
                  <a:p>
                    <a:fld id="{910345BD-C811-4A83-B167-28E03BAAD453}" type="PERCENTAGE">
                      <a:rPr lang="en-US" baseline="0"/>
                      <a:pPr/>
                      <a:t>[PORCENTAGEM]</a:t>
                    </a:fld>
                    <a:endParaRPr lang="pt-B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824F-4341-865B-251E1D9D8E5D}"/>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t-BR"/>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Tabela1!$A$57:$A$60</c:f>
              <c:strCache>
                <c:ptCount val="4"/>
                <c:pt idx="0">
                  <c:v>RARAMENTE</c:v>
                </c:pt>
                <c:pt idx="1">
                  <c:v>ÀS VEZES</c:v>
                </c:pt>
                <c:pt idx="2">
                  <c:v>QUASE SEMPRE </c:v>
                </c:pt>
                <c:pt idx="3">
                  <c:v>SEMPRE</c:v>
                </c:pt>
              </c:strCache>
            </c:strRef>
          </c:cat>
          <c:val>
            <c:numRef>
              <c:f>Tabela1!$B$57:$B$60</c:f>
              <c:numCache>
                <c:formatCode>General</c:formatCode>
                <c:ptCount val="4"/>
                <c:pt idx="0">
                  <c:v>0</c:v>
                </c:pt>
                <c:pt idx="1">
                  <c:v>1</c:v>
                </c:pt>
                <c:pt idx="2">
                  <c:v>7</c:v>
                </c:pt>
                <c:pt idx="3">
                  <c:v>2</c:v>
                </c:pt>
              </c:numCache>
            </c:numRef>
          </c:val>
          <c:extLst xmlns:c16r2="http://schemas.microsoft.com/office/drawing/2015/06/chart">
            <c:ext xmlns:c16="http://schemas.microsoft.com/office/drawing/2014/chart" uri="{C3380CC4-5D6E-409C-BE32-E72D297353CC}">
              <c16:uniqueId val="{00000008-824F-4341-865B-251E1D9D8E5D}"/>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7528433014914238"/>
          <c:y val="0.23386446485855936"/>
          <c:w val="0.40804898949110174"/>
          <c:h val="0.6550947798191890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pt-B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pt-BR" sz="1200">
                <a:solidFill>
                  <a:schemeClr val="tx1"/>
                </a:solidFill>
                <a:latin typeface="Times New Roman" panose="02020603050405020304" pitchFamily="18" charset="0"/>
                <a:cs typeface="Times New Roman" panose="02020603050405020304" pitchFamily="18" charset="0"/>
              </a:rPr>
              <a:t>PRAZO</a:t>
            </a:r>
            <a:r>
              <a:rPr lang="pt-BR" sz="1200" baseline="0">
                <a:solidFill>
                  <a:schemeClr val="tx1"/>
                </a:solidFill>
                <a:latin typeface="Times New Roman" panose="02020603050405020304" pitchFamily="18" charset="0"/>
                <a:cs typeface="Times New Roman" panose="02020603050405020304" pitchFamily="18" charset="0"/>
              </a:rPr>
              <a:t> DE PAGAMENTO CONCEDIDO</a:t>
            </a:r>
            <a:endParaRPr lang="pt-BR"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title>
    <c:autoTitleDeleted val="0"/>
    <c:plotArea>
      <c:layout/>
      <c:pieChart>
        <c:varyColors val="1"/>
        <c:ser>
          <c:idx val="0"/>
          <c:order val="0"/>
          <c:dPt>
            <c:idx val="0"/>
            <c:bubble3D val="0"/>
            <c:spPr>
              <a:gradFill rotWithShape="1">
                <a:gsLst>
                  <a:gs pos="0">
                    <a:schemeClr val="dk1">
                      <a:tint val="88500"/>
                      <a:tint val="100000"/>
                      <a:shade val="100000"/>
                      <a:satMod val="130000"/>
                    </a:schemeClr>
                  </a:gs>
                  <a:gs pos="100000">
                    <a:schemeClr val="dk1">
                      <a:tint val="88500"/>
                      <a:tint val="50000"/>
                      <a:shade val="100000"/>
                      <a:satMod val="350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AA5D-4053-ACC2-6241FA25EB4A}"/>
              </c:ext>
            </c:extLst>
          </c:dPt>
          <c:dPt>
            <c:idx val="1"/>
            <c:bubble3D val="0"/>
            <c:spPr>
              <a:gradFill rotWithShape="1">
                <a:gsLst>
                  <a:gs pos="0">
                    <a:schemeClr val="dk1">
                      <a:tint val="55000"/>
                      <a:tint val="100000"/>
                      <a:shade val="100000"/>
                      <a:satMod val="130000"/>
                    </a:schemeClr>
                  </a:gs>
                  <a:gs pos="100000">
                    <a:schemeClr val="dk1">
                      <a:tint val="55000"/>
                      <a:tint val="50000"/>
                      <a:shade val="100000"/>
                      <a:satMod val="350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AA5D-4053-ACC2-6241FA25EB4A}"/>
              </c:ext>
            </c:extLst>
          </c:dPt>
          <c:dPt>
            <c:idx val="2"/>
            <c:bubble3D val="0"/>
            <c:spPr>
              <a:gradFill rotWithShape="1">
                <a:gsLst>
                  <a:gs pos="0">
                    <a:schemeClr val="dk1">
                      <a:tint val="75000"/>
                      <a:tint val="100000"/>
                      <a:shade val="100000"/>
                      <a:satMod val="130000"/>
                    </a:schemeClr>
                  </a:gs>
                  <a:gs pos="100000">
                    <a:schemeClr val="dk1">
                      <a:tint val="75000"/>
                      <a:tint val="50000"/>
                      <a:shade val="100000"/>
                      <a:satMod val="350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AA5D-4053-ACC2-6241FA25EB4A}"/>
              </c:ext>
            </c:extLst>
          </c:dPt>
          <c:dPt>
            <c:idx val="3"/>
            <c:bubble3D val="0"/>
            <c:spPr>
              <a:gradFill rotWithShape="1">
                <a:gsLst>
                  <a:gs pos="0">
                    <a:schemeClr val="dk1">
                      <a:tint val="98500"/>
                      <a:tint val="100000"/>
                      <a:shade val="100000"/>
                      <a:satMod val="130000"/>
                    </a:schemeClr>
                  </a:gs>
                  <a:gs pos="100000">
                    <a:schemeClr val="dk1">
                      <a:tint val="98500"/>
                      <a:tint val="50000"/>
                      <a:shade val="100000"/>
                      <a:satMod val="350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AA5D-4053-ACC2-6241FA25EB4A}"/>
              </c:ext>
            </c:extLst>
          </c:dPt>
          <c:dLbls>
            <c:dLbl>
              <c:idx val="0"/>
              <c:tx>
                <c:rich>
                  <a:bodyPr/>
                  <a:lstStyle/>
                  <a:p>
                    <a:r>
                      <a:rPr lang="en-US" baseline="0"/>
                      <a:t>
</a:t>
                    </a:r>
                    <a:fld id="{41DC1597-CB25-4E0C-870B-A3B3D7A5B6C4}" type="PERCENTAGE">
                      <a:rPr lang="en-US" baseline="0"/>
                      <a:pPr/>
                      <a:t>[PORCENTAGEM]</a:t>
                    </a:fld>
                    <a:endParaRPr lang="en-US" baseline="0"/>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AA5D-4053-ACC2-6241FA25EB4A}"/>
                </c:ext>
                <c:ext xmlns:c15="http://schemas.microsoft.com/office/drawing/2012/chart" uri="{CE6537A1-D6FC-4f65-9D91-7224C49458BB}">
                  <c15:dlblFieldTable/>
                  <c15:showDataLabelsRange val="0"/>
                </c:ext>
              </c:extLst>
            </c:dLbl>
            <c:dLbl>
              <c:idx val="1"/>
              <c:tx>
                <c:rich>
                  <a:bodyPr/>
                  <a:lstStyle/>
                  <a:p>
                    <a:fld id="{E5563D1D-8513-452C-8F1B-EFB4607CDC7F}" type="PERCENTAGE">
                      <a:rPr lang="en-US" baseline="0"/>
                      <a:pPr/>
                      <a:t>[PORCENTAGEM]</a:t>
                    </a:fld>
                    <a:endParaRPr lang="pt-B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AA5D-4053-ACC2-6241FA25EB4A}"/>
                </c:ext>
                <c:ext xmlns:c15="http://schemas.microsoft.com/office/drawing/2012/chart" uri="{CE6537A1-D6FC-4f65-9D91-7224C49458BB}">
                  <c15:dlblFieldTable/>
                  <c15:showDataLabelsRange val="0"/>
                </c:ext>
              </c:extLst>
            </c:dLbl>
            <c:dLbl>
              <c:idx val="2"/>
              <c:layout>
                <c:manualLayout>
                  <c:x val="-0.10112587489063866"/>
                  <c:y val="-0.21555555555555556"/>
                </c:manualLayout>
              </c:layout>
              <c:tx>
                <c:rich>
                  <a:bodyPr/>
                  <a:lstStyle/>
                  <a:p>
                    <a:r>
                      <a:rPr lang="en-US" baseline="0"/>
                      <a:t>
</a:t>
                    </a:r>
                    <a:fld id="{C58969B4-6346-49E4-8534-CF26281798EE}" type="PERCENTAGE">
                      <a:rPr lang="en-US" baseline="0"/>
                      <a:pPr/>
                      <a:t>[PORCENTAGEM]</a:t>
                    </a:fld>
                    <a:endParaRPr lang="en-US" baseline="0"/>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AA5D-4053-ACC2-6241FA25EB4A}"/>
                </c:ext>
                <c:ext xmlns:c15="http://schemas.microsoft.com/office/drawing/2012/chart" uri="{CE6537A1-D6FC-4f65-9D91-7224C49458BB}">
                  <c15:dlblFieldTable/>
                  <c15:showDataLabelsRange val="0"/>
                </c:ext>
              </c:extLst>
            </c:dLbl>
            <c:dLbl>
              <c:idx val="3"/>
              <c:tx>
                <c:rich>
                  <a:bodyPr/>
                  <a:lstStyle/>
                  <a:p>
                    <a:r>
                      <a:rPr lang="en-US" baseline="0"/>
                      <a:t>
</a:t>
                    </a:r>
                    <a:fld id="{862CC8F3-9025-45EB-9A7A-73FF0128D0AF}" type="PERCENTAGE">
                      <a:rPr lang="en-US" baseline="0"/>
                      <a:pPr/>
                      <a:t>[PORCENTAGEM]</a:t>
                    </a:fld>
                    <a:endParaRPr lang="en-US" baseline="0"/>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AA5D-4053-ACC2-6241FA25EB4A}"/>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t-BR"/>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Tabela1!$A$75:$A$78</c:f>
              <c:strCache>
                <c:ptCount val="4"/>
                <c:pt idx="0">
                  <c:v>SOMENTE À VISTA</c:v>
                </c:pt>
                <c:pt idx="1">
                  <c:v>ATÉ 30 DIAS</c:v>
                </c:pt>
                <c:pt idx="2">
                  <c:v>SUPERIOR À 30 DIAS E ATÉ 60 DIAS</c:v>
                </c:pt>
                <c:pt idx="3">
                  <c:v>SUPERIOR À 60 DIAS</c:v>
                </c:pt>
              </c:strCache>
            </c:strRef>
          </c:cat>
          <c:val>
            <c:numRef>
              <c:f>Tabela1!$B$75:$B$78</c:f>
              <c:numCache>
                <c:formatCode>General</c:formatCode>
                <c:ptCount val="4"/>
                <c:pt idx="0">
                  <c:v>0</c:v>
                </c:pt>
                <c:pt idx="1">
                  <c:v>2</c:v>
                </c:pt>
                <c:pt idx="2">
                  <c:v>4</c:v>
                </c:pt>
                <c:pt idx="3">
                  <c:v>4</c:v>
                </c:pt>
              </c:numCache>
            </c:numRef>
          </c:val>
          <c:extLst xmlns:c16r2="http://schemas.microsoft.com/office/drawing/2015/06/chart">
            <c:ext xmlns:c16="http://schemas.microsoft.com/office/drawing/2014/chart" uri="{C3380CC4-5D6E-409C-BE32-E72D297353CC}">
              <c16:uniqueId val="{00000008-AA5D-4053-ACC2-6241FA25EB4A}"/>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4852120638967126"/>
          <c:y val="0.24598718288345667"/>
          <c:w val="0.3358129972656812"/>
          <c:h val="0.688411801066026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pt-B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pt-BR" sz="1200">
                <a:solidFill>
                  <a:schemeClr val="tx1"/>
                </a:solidFill>
                <a:latin typeface="Times New Roman" panose="02020603050405020304" pitchFamily="18" charset="0"/>
                <a:cs typeface="Times New Roman" panose="02020603050405020304" pitchFamily="18" charset="0"/>
              </a:rPr>
              <a:t>VOCÊ</a:t>
            </a:r>
            <a:r>
              <a:rPr lang="pt-BR" sz="1200" baseline="0">
                <a:solidFill>
                  <a:schemeClr val="tx1"/>
                </a:solidFill>
                <a:latin typeface="Times New Roman" panose="02020603050405020304" pitchFamily="18" charset="0"/>
                <a:cs typeface="Times New Roman" panose="02020603050405020304" pitchFamily="18" charset="0"/>
              </a:rPr>
              <a:t> PESQUISA SE A FACTORING TEM CERTIFICADO CADASTRAL NO COAF?</a:t>
            </a:r>
            <a:endParaRPr lang="pt-BR"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title>
    <c:autoTitleDeleted val="0"/>
    <c:plotArea>
      <c:layout/>
      <c:pieChart>
        <c:varyColors val="1"/>
        <c:ser>
          <c:idx val="0"/>
          <c:order val="0"/>
          <c:dPt>
            <c:idx val="0"/>
            <c:bubble3D val="0"/>
            <c:spPr>
              <a:gradFill rotWithShape="1">
                <a:gsLst>
                  <a:gs pos="0">
                    <a:schemeClr val="dk1">
                      <a:tint val="88500"/>
                      <a:tint val="100000"/>
                      <a:shade val="100000"/>
                      <a:satMod val="130000"/>
                    </a:schemeClr>
                  </a:gs>
                  <a:gs pos="100000">
                    <a:schemeClr val="dk1">
                      <a:tint val="88500"/>
                      <a:tint val="50000"/>
                      <a:shade val="100000"/>
                      <a:satMod val="350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0497-4B9E-A90C-17BC7A24968E}"/>
              </c:ext>
            </c:extLst>
          </c:dPt>
          <c:dPt>
            <c:idx val="1"/>
            <c:bubble3D val="0"/>
            <c:spPr>
              <a:gradFill rotWithShape="1">
                <a:gsLst>
                  <a:gs pos="0">
                    <a:schemeClr val="dk1">
                      <a:tint val="55000"/>
                      <a:tint val="100000"/>
                      <a:shade val="100000"/>
                      <a:satMod val="130000"/>
                    </a:schemeClr>
                  </a:gs>
                  <a:gs pos="100000">
                    <a:schemeClr val="dk1">
                      <a:tint val="55000"/>
                      <a:tint val="50000"/>
                      <a:shade val="100000"/>
                      <a:satMod val="350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0497-4B9E-A90C-17BC7A24968E}"/>
              </c:ext>
            </c:extLst>
          </c:dPt>
          <c:dPt>
            <c:idx val="2"/>
            <c:bubble3D val="0"/>
            <c:spPr>
              <a:gradFill rotWithShape="1">
                <a:gsLst>
                  <a:gs pos="0">
                    <a:schemeClr val="dk1">
                      <a:tint val="75000"/>
                      <a:tint val="100000"/>
                      <a:shade val="100000"/>
                      <a:satMod val="130000"/>
                    </a:schemeClr>
                  </a:gs>
                  <a:gs pos="100000">
                    <a:schemeClr val="dk1">
                      <a:tint val="75000"/>
                      <a:tint val="50000"/>
                      <a:shade val="100000"/>
                      <a:satMod val="350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0497-4B9E-A90C-17BC7A24968E}"/>
              </c:ext>
            </c:extLst>
          </c:dPt>
          <c:dPt>
            <c:idx val="3"/>
            <c:bubble3D val="0"/>
            <c:spPr>
              <a:gradFill rotWithShape="1">
                <a:gsLst>
                  <a:gs pos="0">
                    <a:schemeClr val="dk1">
                      <a:tint val="98500"/>
                      <a:tint val="100000"/>
                      <a:shade val="100000"/>
                      <a:satMod val="130000"/>
                    </a:schemeClr>
                  </a:gs>
                  <a:gs pos="100000">
                    <a:schemeClr val="dk1">
                      <a:tint val="98500"/>
                      <a:tint val="50000"/>
                      <a:shade val="100000"/>
                      <a:satMod val="350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0497-4B9E-A90C-17BC7A24968E}"/>
              </c:ext>
            </c:extLst>
          </c:dPt>
          <c:dLbls>
            <c:dLbl>
              <c:idx val="0"/>
              <c:tx>
                <c:rich>
                  <a:bodyPr/>
                  <a:lstStyle/>
                  <a:p>
                    <a:r>
                      <a:rPr lang="en-US" baseline="0"/>
                      <a:t>
</a:t>
                    </a:r>
                    <a:fld id="{CDC65948-4340-4AD3-80A0-0DEA674CE945}" type="PERCENTAGE">
                      <a:rPr lang="en-US" baseline="0"/>
                      <a:pPr/>
                      <a:t>[PORCENTAGEM]</a:t>
                    </a:fld>
                    <a:endParaRPr lang="en-US" baseline="0"/>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0497-4B9E-A90C-17BC7A24968E}"/>
                </c:ext>
                <c:ext xmlns:c15="http://schemas.microsoft.com/office/drawing/2012/chart" uri="{CE6537A1-D6FC-4f65-9D91-7224C49458BB}">
                  <c15:dlblFieldTable/>
                  <c15:showDataLabelsRange val="0"/>
                </c:ext>
              </c:extLst>
            </c:dLbl>
            <c:dLbl>
              <c:idx val="1"/>
              <c:tx>
                <c:rich>
                  <a:bodyPr/>
                  <a:lstStyle/>
                  <a:p>
                    <a:r>
                      <a:rPr lang="en-US" baseline="0"/>
                      <a:t>
</a:t>
                    </a:r>
                    <a:fld id="{5E90648A-1DA6-4C2A-A9BB-3A14F2117CBC}" type="PERCENTAGE">
                      <a:rPr lang="en-US" baseline="0"/>
                      <a:pPr/>
                      <a:t>[PORCENTAGEM]</a:t>
                    </a:fld>
                    <a:endParaRPr lang="en-US" baseline="0"/>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0497-4B9E-A90C-17BC7A24968E}"/>
                </c:ext>
                <c:ext xmlns:c15="http://schemas.microsoft.com/office/drawing/2012/chart" uri="{CE6537A1-D6FC-4f65-9D91-7224C49458BB}">
                  <c15:dlblFieldTable/>
                  <c15:showDataLabelsRange val="0"/>
                </c:ext>
              </c:extLst>
            </c:dLbl>
            <c:dLbl>
              <c:idx val="2"/>
              <c:tx>
                <c:rich>
                  <a:bodyPr/>
                  <a:lstStyle/>
                  <a:p>
                    <a:r>
                      <a:rPr lang="en-US" baseline="0"/>
                      <a:t>
</a:t>
                    </a:r>
                    <a:fld id="{FAA8F89C-3CDF-456B-97BA-E80F4B1E4AA7}" type="PERCENTAGE">
                      <a:rPr lang="en-US" baseline="0"/>
                      <a:pPr/>
                      <a:t>[PORCENTAGEM]</a:t>
                    </a:fld>
                    <a:endParaRPr lang="en-US" baseline="0"/>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0497-4B9E-A90C-17BC7A24968E}"/>
                </c:ext>
                <c:ext xmlns:c15="http://schemas.microsoft.com/office/drawing/2012/chart" uri="{CE6537A1-D6FC-4f65-9D91-7224C49458BB}">
                  <c15:dlblFieldTable/>
                  <c15:showDataLabelsRange val="0"/>
                </c:ext>
              </c:extLst>
            </c:dLbl>
            <c:dLbl>
              <c:idx val="3"/>
              <c:tx>
                <c:rich>
                  <a:bodyPr/>
                  <a:lstStyle/>
                  <a:p>
                    <a:r>
                      <a:rPr lang="en-US" baseline="0"/>
                      <a:t>
</a:t>
                    </a:r>
                    <a:fld id="{0D04341C-9015-408F-AC36-AAE3E5857013}" type="PERCENTAGE">
                      <a:rPr lang="en-US" baseline="0"/>
                      <a:pPr/>
                      <a:t>[PORCENTAGEM]</a:t>
                    </a:fld>
                    <a:endParaRPr lang="en-US" baseline="0"/>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0497-4B9E-A90C-17BC7A24968E}"/>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t-BR"/>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Tabela1!$A$94:$A$97</c:f>
              <c:strCache>
                <c:ptCount val="4"/>
                <c:pt idx="0">
                  <c:v>RARAMENTE</c:v>
                </c:pt>
                <c:pt idx="1">
                  <c:v>ÀS VEZES</c:v>
                </c:pt>
                <c:pt idx="2">
                  <c:v>FREQUENTEMENTE</c:v>
                </c:pt>
                <c:pt idx="3">
                  <c:v>SEMPRE</c:v>
                </c:pt>
              </c:strCache>
            </c:strRef>
          </c:cat>
          <c:val>
            <c:numRef>
              <c:f>Tabela1!$B$94:$B$97</c:f>
              <c:numCache>
                <c:formatCode>General</c:formatCode>
                <c:ptCount val="4"/>
                <c:pt idx="0">
                  <c:v>5</c:v>
                </c:pt>
                <c:pt idx="1">
                  <c:v>4</c:v>
                </c:pt>
                <c:pt idx="2">
                  <c:v>1</c:v>
                </c:pt>
                <c:pt idx="3">
                  <c:v>0</c:v>
                </c:pt>
              </c:numCache>
            </c:numRef>
          </c:val>
          <c:extLst xmlns:c16r2="http://schemas.microsoft.com/office/drawing/2015/06/chart">
            <c:ext xmlns:c16="http://schemas.microsoft.com/office/drawing/2014/chart" uri="{C3380CC4-5D6E-409C-BE32-E72D297353CC}">
              <c16:uniqueId val="{00000008-0497-4B9E-A90C-17BC7A24968E}"/>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5659776590723506"/>
          <c:y val="0.26627187226596677"/>
          <c:w val="0.32673550499336962"/>
          <c:h val="0.6134281131525224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pt-B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pt-BR" sz="1200">
                <a:solidFill>
                  <a:schemeClr val="tx1"/>
                </a:solidFill>
                <a:latin typeface="Times New Roman" panose="02020603050405020304" pitchFamily="18" charset="0"/>
                <a:cs typeface="Times New Roman" panose="02020603050405020304" pitchFamily="18" charset="0"/>
              </a:rPr>
              <a:t>QUAL</a:t>
            </a:r>
            <a:r>
              <a:rPr lang="pt-BR" sz="1200" baseline="0">
                <a:solidFill>
                  <a:schemeClr val="tx1"/>
                </a:solidFill>
                <a:latin typeface="Times New Roman" panose="02020603050405020304" pitchFamily="18" charset="0"/>
                <a:cs typeface="Times New Roman" panose="02020603050405020304" pitchFamily="18" charset="0"/>
              </a:rPr>
              <a:t> GRAU DE ACERTO DE SUA PREVISÃO DE RECEITA?</a:t>
            </a:r>
            <a:endParaRPr lang="pt-BR"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title>
    <c:autoTitleDeleted val="0"/>
    <c:plotArea>
      <c:layout/>
      <c:pieChart>
        <c:varyColors val="1"/>
        <c:ser>
          <c:idx val="0"/>
          <c:order val="0"/>
          <c:dPt>
            <c:idx val="0"/>
            <c:bubble3D val="0"/>
            <c:spPr>
              <a:gradFill rotWithShape="1">
                <a:gsLst>
                  <a:gs pos="0">
                    <a:schemeClr val="dk1">
                      <a:tint val="88500"/>
                      <a:tint val="100000"/>
                      <a:shade val="100000"/>
                      <a:satMod val="130000"/>
                    </a:schemeClr>
                  </a:gs>
                  <a:gs pos="100000">
                    <a:schemeClr val="dk1">
                      <a:tint val="88500"/>
                      <a:tint val="50000"/>
                      <a:shade val="100000"/>
                      <a:satMod val="350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A9C4-43B8-A14D-2439C427B713}"/>
              </c:ext>
            </c:extLst>
          </c:dPt>
          <c:dPt>
            <c:idx val="1"/>
            <c:bubble3D val="0"/>
            <c:spPr>
              <a:gradFill rotWithShape="1">
                <a:gsLst>
                  <a:gs pos="0">
                    <a:schemeClr val="dk1">
                      <a:tint val="55000"/>
                      <a:tint val="100000"/>
                      <a:shade val="100000"/>
                      <a:satMod val="130000"/>
                    </a:schemeClr>
                  </a:gs>
                  <a:gs pos="100000">
                    <a:schemeClr val="dk1">
                      <a:tint val="55000"/>
                      <a:tint val="50000"/>
                      <a:shade val="100000"/>
                      <a:satMod val="350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A9C4-43B8-A14D-2439C427B713}"/>
              </c:ext>
            </c:extLst>
          </c:dPt>
          <c:dPt>
            <c:idx val="2"/>
            <c:bubble3D val="0"/>
            <c:spPr>
              <a:gradFill rotWithShape="1">
                <a:gsLst>
                  <a:gs pos="0">
                    <a:schemeClr val="dk1">
                      <a:tint val="75000"/>
                      <a:tint val="100000"/>
                      <a:shade val="100000"/>
                      <a:satMod val="130000"/>
                    </a:schemeClr>
                  </a:gs>
                  <a:gs pos="100000">
                    <a:schemeClr val="dk1">
                      <a:tint val="75000"/>
                      <a:tint val="50000"/>
                      <a:shade val="100000"/>
                      <a:satMod val="350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A9C4-43B8-A14D-2439C427B713}"/>
              </c:ext>
            </c:extLst>
          </c:dPt>
          <c:dPt>
            <c:idx val="3"/>
            <c:bubble3D val="0"/>
            <c:spPr>
              <a:gradFill rotWithShape="1">
                <a:gsLst>
                  <a:gs pos="0">
                    <a:schemeClr val="dk1">
                      <a:tint val="98500"/>
                      <a:tint val="100000"/>
                      <a:shade val="100000"/>
                      <a:satMod val="130000"/>
                    </a:schemeClr>
                  </a:gs>
                  <a:gs pos="100000">
                    <a:schemeClr val="dk1">
                      <a:tint val="98500"/>
                      <a:tint val="50000"/>
                      <a:shade val="100000"/>
                      <a:satMod val="350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A9C4-43B8-A14D-2439C427B713}"/>
              </c:ext>
            </c:extLst>
          </c:dPt>
          <c:dLbls>
            <c:dLbl>
              <c:idx val="0"/>
              <c:delete val="1"/>
              <c:extLst xmlns:c16r2="http://schemas.microsoft.com/office/drawing/2015/06/chart">
                <c:ext xmlns:c16="http://schemas.microsoft.com/office/drawing/2014/chart" uri="{C3380CC4-5D6E-409C-BE32-E72D297353CC}">
                  <c16:uniqueId val="{00000001-A9C4-43B8-A14D-2439C427B713}"/>
                </c:ext>
                <c:ext xmlns:c15="http://schemas.microsoft.com/office/drawing/2012/chart" uri="{CE6537A1-D6FC-4f65-9D91-7224C49458BB}"/>
              </c:extLst>
            </c:dLbl>
            <c:dLbl>
              <c:idx val="1"/>
              <c:tx>
                <c:rich>
                  <a:bodyPr/>
                  <a:lstStyle/>
                  <a:p>
                    <a:r>
                      <a:rPr lang="en-US" baseline="0"/>
                      <a:t>
</a:t>
                    </a:r>
                    <a:fld id="{7A98FCCD-5BCF-4524-B217-5C37D07BF3E2}" type="PERCENTAGE">
                      <a:rPr lang="en-US" baseline="0"/>
                      <a:pPr/>
                      <a:t>[PORCENTAGEM]</a:t>
                    </a:fld>
                    <a:endParaRPr lang="en-US" baseline="0"/>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A9C4-43B8-A14D-2439C427B713}"/>
                </c:ext>
                <c:ext xmlns:c15="http://schemas.microsoft.com/office/drawing/2012/chart" uri="{CE6537A1-D6FC-4f65-9D91-7224C49458BB}">
                  <c15:dlblFieldTable/>
                  <c15:showDataLabelsRange val="0"/>
                </c:ext>
              </c:extLst>
            </c:dLbl>
            <c:dLbl>
              <c:idx val="2"/>
              <c:tx>
                <c:rich>
                  <a:bodyPr/>
                  <a:lstStyle/>
                  <a:p>
                    <a:r>
                      <a:rPr lang="en-US" baseline="0"/>
                      <a:t>
</a:t>
                    </a:r>
                    <a:fld id="{BCB19F68-5E3B-4206-B220-3AA956B9EF2D}" type="PERCENTAGE">
                      <a:rPr lang="en-US" baseline="0"/>
                      <a:pPr/>
                      <a:t>[PORCENTAGEM]</a:t>
                    </a:fld>
                    <a:endParaRPr lang="en-US" baseline="0"/>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A9C4-43B8-A14D-2439C427B713}"/>
                </c:ext>
                <c:ext xmlns:c15="http://schemas.microsoft.com/office/drawing/2012/chart" uri="{CE6537A1-D6FC-4f65-9D91-7224C49458BB}">
                  <c15:dlblFieldTable/>
                  <c15:showDataLabelsRange val="0"/>
                </c:ext>
              </c:extLst>
            </c:dLbl>
            <c:dLbl>
              <c:idx val="3"/>
              <c:tx>
                <c:rich>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r>
                      <a:rPr lang="en-US" baseline="0"/>
                      <a:t>
</a:t>
                    </a:r>
                    <a:fld id="{B4E8674A-E8EF-4ADA-92F4-A3D0D3222B06}" type="PERCENTAGE">
                      <a:rPr lang="en-US" baseline="0"/>
                      <a:pPr>
                        <a:defRPr>
                          <a:solidFill>
                            <a:schemeClr val="tx1"/>
                          </a:solidFill>
                        </a:defRPr>
                      </a:pPr>
                      <a:t>[PORCENTAGEM]</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t-BR"/>
                </a:p>
              </c:txP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A9C4-43B8-A14D-2439C427B713}"/>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Tabela1!$A$110:$A$113</c:f>
              <c:strCache>
                <c:ptCount val="4"/>
                <c:pt idx="0">
                  <c:v>ATÉ 20%</c:v>
                </c:pt>
                <c:pt idx="1">
                  <c:v>ACIMA DE 20% E ATÉ 40%</c:v>
                </c:pt>
                <c:pt idx="2">
                  <c:v>ACIMA DE 40% E ATÉ 60%</c:v>
                </c:pt>
                <c:pt idx="3">
                  <c:v>ACIMA DE 60%</c:v>
                </c:pt>
              </c:strCache>
            </c:strRef>
          </c:cat>
          <c:val>
            <c:numRef>
              <c:f>Tabela1!$B$110:$B$113</c:f>
              <c:numCache>
                <c:formatCode>General</c:formatCode>
                <c:ptCount val="4"/>
                <c:pt idx="0">
                  <c:v>0</c:v>
                </c:pt>
                <c:pt idx="1">
                  <c:v>3</c:v>
                </c:pt>
                <c:pt idx="2">
                  <c:v>7</c:v>
                </c:pt>
                <c:pt idx="3">
                  <c:v>0</c:v>
                </c:pt>
              </c:numCache>
            </c:numRef>
          </c:val>
          <c:extLst xmlns:c16r2="http://schemas.microsoft.com/office/drawing/2015/06/chart">
            <c:ext xmlns:c16="http://schemas.microsoft.com/office/drawing/2014/chart" uri="{C3380CC4-5D6E-409C-BE32-E72D297353CC}">
              <c16:uniqueId val="{00000008-A9C4-43B8-A14D-2439C427B713}"/>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56263389560498822"/>
          <c:y val="0.2431237241178186"/>
          <c:w val="0.42069957601453667"/>
          <c:h val="0.608798483522892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pt-B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pt-BR" sz="1200">
                <a:solidFill>
                  <a:schemeClr val="tx1"/>
                </a:solidFill>
                <a:latin typeface="Times New Roman" panose="02020603050405020304" pitchFamily="18" charset="0"/>
                <a:cs typeface="Times New Roman" panose="02020603050405020304" pitchFamily="18" charset="0"/>
              </a:rPr>
              <a:t>QUAL FREQUÊNCIA</a:t>
            </a:r>
            <a:r>
              <a:rPr lang="pt-BR" sz="1200" baseline="0">
                <a:solidFill>
                  <a:schemeClr val="tx1"/>
                </a:solidFill>
                <a:latin typeface="Times New Roman" panose="02020603050405020304" pitchFamily="18" charset="0"/>
                <a:cs typeface="Times New Roman" panose="02020603050405020304" pitchFamily="18" charset="0"/>
              </a:rPr>
              <a:t> UTILIZA A FACTORING  PARA FLUXO DE CAIXA  ?</a:t>
            </a:r>
            <a:endParaRPr lang="pt-BR"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title>
    <c:autoTitleDeleted val="0"/>
    <c:plotArea>
      <c:layout/>
      <c:pieChart>
        <c:varyColors val="1"/>
        <c:ser>
          <c:idx val="0"/>
          <c:order val="0"/>
          <c:dPt>
            <c:idx val="0"/>
            <c:bubble3D val="0"/>
            <c:spPr>
              <a:gradFill rotWithShape="1">
                <a:gsLst>
                  <a:gs pos="0">
                    <a:schemeClr val="dk1">
                      <a:tint val="88500"/>
                      <a:tint val="100000"/>
                      <a:shade val="100000"/>
                      <a:satMod val="130000"/>
                    </a:schemeClr>
                  </a:gs>
                  <a:gs pos="100000">
                    <a:schemeClr val="dk1">
                      <a:tint val="88500"/>
                      <a:tint val="50000"/>
                      <a:shade val="100000"/>
                      <a:satMod val="350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E8B6-4D31-86FE-301666E84749}"/>
              </c:ext>
            </c:extLst>
          </c:dPt>
          <c:dPt>
            <c:idx val="1"/>
            <c:bubble3D val="0"/>
            <c:spPr>
              <a:gradFill rotWithShape="1">
                <a:gsLst>
                  <a:gs pos="0">
                    <a:schemeClr val="dk1">
                      <a:tint val="55000"/>
                      <a:tint val="100000"/>
                      <a:shade val="100000"/>
                      <a:satMod val="130000"/>
                    </a:schemeClr>
                  </a:gs>
                  <a:gs pos="100000">
                    <a:schemeClr val="dk1">
                      <a:tint val="55000"/>
                      <a:tint val="50000"/>
                      <a:shade val="100000"/>
                      <a:satMod val="350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E8B6-4D31-86FE-301666E84749}"/>
              </c:ext>
            </c:extLst>
          </c:dPt>
          <c:dPt>
            <c:idx val="2"/>
            <c:bubble3D val="0"/>
            <c:spPr>
              <a:gradFill rotWithShape="1">
                <a:gsLst>
                  <a:gs pos="0">
                    <a:schemeClr val="dk1">
                      <a:tint val="75000"/>
                      <a:tint val="100000"/>
                      <a:shade val="100000"/>
                      <a:satMod val="130000"/>
                    </a:schemeClr>
                  </a:gs>
                  <a:gs pos="100000">
                    <a:schemeClr val="dk1">
                      <a:tint val="75000"/>
                      <a:tint val="50000"/>
                      <a:shade val="100000"/>
                      <a:satMod val="350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E8B6-4D31-86FE-301666E84749}"/>
              </c:ext>
            </c:extLst>
          </c:dPt>
          <c:dPt>
            <c:idx val="3"/>
            <c:bubble3D val="0"/>
            <c:spPr>
              <a:gradFill rotWithShape="1">
                <a:gsLst>
                  <a:gs pos="0">
                    <a:schemeClr val="dk1">
                      <a:tint val="98500"/>
                      <a:tint val="100000"/>
                      <a:shade val="100000"/>
                      <a:satMod val="130000"/>
                    </a:schemeClr>
                  </a:gs>
                  <a:gs pos="100000">
                    <a:schemeClr val="dk1">
                      <a:tint val="98500"/>
                      <a:tint val="50000"/>
                      <a:shade val="100000"/>
                      <a:satMod val="350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E8B6-4D31-86FE-301666E84749}"/>
              </c:ext>
            </c:extLst>
          </c:dPt>
          <c:dLbls>
            <c:dLbl>
              <c:idx val="0"/>
              <c:tx>
                <c:rich>
                  <a:bodyPr/>
                  <a:lstStyle/>
                  <a:p>
                    <a:r>
                      <a:rPr lang="en-US" baseline="0"/>
                      <a:t>
</a:t>
                    </a:r>
                    <a:fld id="{813E6AD7-D268-4F95-9C47-976C1D9F1981}" type="PERCENTAGE">
                      <a:rPr lang="en-US" baseline="0"/>
                      <a:pPr/>
                      <a:t>[PORCENTAGEM]</a:t>
                    </a:fld>
                    <a:endParaRPr lang="en-US" baseline="0"/>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E8B6-4D31-86FE-301666E84749}"/>
                </c:ext>
                <c:ext xmlns:c15="http://schemas.microsoft.com/office/drawing/2012/chart" uri="{CE6537A1-D6FC-4f65-9D91-7224C49458BB}">
                  <c15:dlblFieldTable/>
                  <c15:showDataLabelsRange val="0"/>
                </c:ext>
              </c:extLst>
            </c:dLbl>
            <c:dLbl>
              <c:idx val="1"/>
              <c:tx>
                <c:rich>
                  <a:bodyPr/>
                  <a:lstStyle/>
                  <a:p>
                    <a:fld id="{55FE11D8-6E00-4CCB-8699-8DED0D3F22AC}" type="PERCENTAGE">
                      <a:rPr lang="en-US" baseline="0"/>
                      <a:pPr/>
                      <a:t>[PORCENTAGEM]</a:t>
                    </a:fld>
                    <a:endParaRPr lang="pt-B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E8B6-4D31-86FE-301666E84749}"/>
                </c:ext>
                <c:ext xmlns:c15="http://schemas.microsoft.com/office/drawing/2012/chart" uri="{CE6537A1-D6FC-4f65-9D91-7224C49458BB}">
                  <c15:dlblFieldTable/>
                  <c15:showDataLabelsRange val="0"/>
                </c:ext>
              </c:extLst>
            </c:dLbl>
            <c:dLbl>
              <c:idx val="2"/>
              <c:tx>
                <c:rich>
                  <a:bodyPr/>
                  <a:lstStyle/>
                  <a:p>
                    <a:r>
                      <a:rPr lang="en-US" baseline="0"/>
                      <a:t>
</a:t>
                    </a:r>
                    <a:fld id="{E714CF8D-2391-446A-9F44-DF6230F34635}" type="PERCENTAGE">
                      <a:rPr lang="en-US" baseline="0"/>
                      <a:pPr/>
                      <a:t>[PORCENTAGEM]</a:t>
                    </a:fld>
                    <a:endParaRPr lang="en-US" baseline="0"/>
                  </a:p>
                </c:rich>
              </c:tx>
              <c:dLblPos val="ctr"/>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E8B6-4D31-86FE-301666E84749}"/>
                </c:ext>
                <c:ext xmlns:c15="http://schemas.microsoft.com/office/drawing/2012/chart" uri="{CE6537A1-D6FC-4f65-9D91-7224C49458BB}">
                  <c15:dlblFieldTable/>
                  <c15:showDataLabelsRange val="0"/>
                </c:ext>
              </c:extLst>
            </c:dLbl>
            <c:dLbl>
              <c:idx val="3"/>
              <c:tx>
                <c:rich>
                  <a:bodyPr/>
                  <a:lstStyle/>
                  <a:p>
                    <a:fld id="{910345BD-C811-4A83-B167-28E03BAAD453}" type="PERCENTAGE">
                      <a:rPr lang="en-US" baseline="0"/>
                      <a:pPr/>
                      <a:t>[PORCENTAGEM]</a:t>
                    </a:fld>
                    <a:endParaRPr lang="pt-BR"/>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E8B6-4D31-86FE-301666E84749}"/>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t-BR"/>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Tabela1!$A$57:$A$60</c:f>
              <c:strCache>
                <c:ptCount val="4"/>
                <c:pt idx="0">
                  <c:v>RARAMENTE</c:v>
                </c:pt>
                <c:pt idx="1">
                  <c:v>ÀS VEZES</c:v>
                </c:pt>
                <c:pt idx="2">
                  <c:v>QUASE SEMPRE </c:v>
                </c:pt>
                <c:pt idx="3">
                  <c:v>SEMPRE</c:v>
                </c:pt>
              </c:strCache>
            </c:strRef>
          </c:cat>
          <c:val>
            <c:numRef>
              <c:f>Tabela1!$B$57:$B$60</c:f>
              <c:numCache>
                <c:formatCode>General</c:formatCode>
                <c:ptCount val="4"/>
                <c:pt idx="0">
                  <c:v>0</c:v>
                </c:pt>
                <c:pt idx="1">
                  <c:v>1</c:v>
                </c:pt>
                <c:pt idx="2">
                  <c:v>7</c:v>
                </c:pt>
                <c:pt idx="3">
                  <c:v>2</c:v>
                </c:pt>
              </c:numCache>
            </c:numRef>
          </c:val>
          <c:extLst xmlns:c16r2="http://schemas.microsoft.com/office/drawing/2015/06/chart">
            <c:ext xmlns:c16="http://schemas.microsoft.com/office/drawing/2014/chart" uri="{C3380CC4-5D6E-409C-BE32-E72D297353CC}">
              <c16:uniqueId val="{00000008-E8B6-4D31-86FE-301666E84749}"/>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2752798277027733"/>
          <c:y val="0.23386446485855936"/>
          <c:w val="0.35580525114920697"/>
          <c:h val="0.5733501391630226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pt-B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pt-BR" sz="1200" b="1" i="0" baseline="0">
                <a:effectLst/>
                <a:latin typeface="Times New Roman" panose="02020603050405020304" pitchFamily="18" charset="0"/>
                <a:cs typeface="Times New Roman" panose="02020603050405020304" pitchFamily="18" charset="0"/>
              </a:rPr>
              <a:t>VOCÊ JÁ REALIZOU OPERAÇÃO DE CRÉDITO COM AGIOTA?</a:t>
            </a:r>
            <a:endParaRPr lang="pt-BR" sz="12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title>
    <c:autoTitleDeleted val="0"/>
    <c:plotArea>
      <c:layout/>
      <c:pieChart>
        <c:varyColors val="1"/>
        <c:ser>
          <c:idx val="0"/>
          <c:order val="0"/>
          <c:explosion val="2"/>
          <c:dPt>
            <c:idx val="0"/>
            <c:bubble3D val="0"/>
            <c:spPr>
              <a:gradFill rotWithShape="1">
                <a:gsLst>
                  <a:gs pos="0">
                    <a:schemeClr val="dk1">
                      <a:tint val="88500"/>
                      <a:tint val="100000"/>
                      <a:shade val="100000"/>
                      <a:satMod val="130000"/>
                    </a:schemeClr>
                  </a:gs>
                  <a:gs pos="100000">
                    <a:schemeClr val="dk1">
                      <a:tint val="88500"/>
                      <a:tint val="50000"/>
                      <a:shade val="100000"/>
                      <a:satMod val="350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BFEB-49A5-9E16-CFA225B88E70}"/>
              </c:ext>
            </c:extLst>
          </c:dPt>
          <c:dPt>
            <c:idx val="1"/>
            <c:bubble3D val="0"/>
            <c:spPr>
              <a:gradFill rotWithShape="1">
                <a:gsLst>
                  <a:gs pos="0">
                    <a:schemeClr val="dk1">
                      <a:tint val="55000"/>
                      <a:tint val="100000"/>
                      <a:shade val="100000"/>
                      <a:satMod val="130000"/>
                    </a:schemeClr>
                  </a:gs>
                  <a:gs pos="100000">
                    <a:schemeClr val="dk1">
                      <a:tint val="55000"/>
                      <a:tint val="50000"/>
                      <a:shade val="100000"/>
                      <a:satMod val="350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BFEB-49A5-9E16-CFA225B88E70}"/>
              </c:ext>
            </c:extLst>
          </c:dPt>
          <c:dPt>
            <c:idx val="2"/>
            <c:bubble3D val="0"/>
            <c:spPr>
              <a:gradFill rotWithShape="1">
                <a:gsLst>
                  <a:gs pos="0">
                    <a:schemeClr val="dk1">
                      <a:tint val="75000"/>
                      <a:tint val="100000"/>
                      <a:shade val="100000"/>
                      <a:satMod val="130000"/>
                    </a:schemeClr>
                  </a:gs>
                  <a:gs pos="100000">
                    <a:schemeClr val="dk1">
                      <a:tint val="75000"/>
                      <a:tint val="50000"/>
                      <a:shade val="100000"/>
                      <a:satMod val="350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BFEB-49A5-9E16-CFA225B88E70}"/>
              </c:ext>
            </c:extLst>
          </c:dPt>
          <c:dPt>
            <c:idx val="3"/>
            <c:bubble3D val="0"/>
            <c:spPr>
              <a:gradFill rotWithShape="1">
                <a:gsLst>
                  <a:gs pos="0">
                    <a:schemeClr val="dk1">
                      <a:tint val="98500"/>
                      <a:tint val="100000"/>
                      <a:shade val="100000"/>
                      <a:satMod val="130000"/>
                    </a:schemeClr>
                  </a:gs>
                  <a:gs pos="100000">
                    <a:schemeClr val="dk1">
                      <a:tint val="98500"/>
                      <a:tint val="50000"/>
                      <a:shade val="100000"/>
                      <a:satMod val="350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BFEB-49A5-9E16-CFA225B88E70}"/>
              </c:ext>
            </c:extLst>
          </c:dPt>
          <c:dLbls>
            <c:dLbl>
              <c:idx val="0"/>
              <c:tx>
                <c:rich>
                  <a:bodyPr/>
                  <a:lstStyle/>
                  <a:p>
                    <a:r>
                      <a:rPr lang="en-US" baseline="0"/>
                      <a:t>
</a:t>
                    </a:r>
                    <a:fld id="{DFBD4114-6AD2-40B5-A4A1-526968142862}" type="PERCENTAGE">
                      <a:rPr lang="en-US" baseline="0"/>
                      <a:pPr/>
                      <a:t>[PORCENTAGEM]</a:t>
                    </a:fld>
                    <a:endParaRPr lang="en-US" baseline="0"/>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BFEB-49A5-9E16-CFA225B88E70}"/>
                </c:ext>
                <c:ext xmlns:c15="http://schemas.microsoft.com/office/drawing/2012/chart" uri="{CE6537A1-D6FC-4f65-9D91-7224C49458BB}">
                  <c15:dlblFieldTable/>
                  <c15:showDataLabelsRange val="0"/>
                </c:ext>
              </c:extLst>
            </c:dLbl>
            <c:dLbl>
              <c:idx val="1"/>
              <c:tx>
                <c:rich>
                  <a:bodyPr/>
                  <a:lstStyle/>
                  <a:p>
                    <a:r>
                      <a:rPr lang="en-US" baseline="0"/>
                      <a:t>
</a:t>
                    </a:r>
                    <a:fld id="{C14C6100-885C-4C98-8CCC-5B5C410F7468}" type="PERCENTAGE">
                      <a:rPr lang="en-US" baseline="0"/>
                      <a:pPr/>
                      <a:t>[PORCENTAGEM]</a:t>
                    </a:fld>
                    <a:endParaRPr lang="en-US" baseline="0"/>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BFEB-49A5-9E16-CFA225B88E70}"/>
                </c:ext>
                <c:ext xmlns:c15="http://schemas.microsoft.com/office/drawing/2012/chart" uri="{CE6537A1-D6FC-4f65-9D91-7224C49458BB}">
                  <c15:dlblFieldTable/>
                  <c15:showDataLabelsRange val="0"/>
                </c:ext>
              </c:extLst>
            </c:dLbl>
            <c:dLbl>
              <c:idx val="2"/>
              <c:tx>
                <c:rich>
                  <a:bodyPr/>
                  <a:lstStyle/>
                  <a:p>
                    <a:r>
                      <a:rPr lang="en-US" baseline="0"/>
                      <a:t>
</a:t>
                    </a:r>
                    <a:fld id="{540CD1E1-0B10-46A2-B578-EDD26069B712}" type="PERCENTAGE">
                      <a:rPr lang="en-US" baseline="0"/>
                      <a:pPr/>
                      <a:t>[PORCENTAGEM]</a:t>
                    </a:fld>
                    <a:endParaRPr lang="en-US" baseline="0"/>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BFEB-49A5-9E16-CFA225B88E70}"/>
                </c:ext>
                <c:ext xmlns:c15="http://schemas.microsoft.com/office/drawing/2012/chart" uri="{CE6537A1-D6FC-4f65-9D91-7224C49458BB}">
                  <c15:dlblFieldTable/>
                  <c15:showDataLabelsRange val="0"/>
                </c:ext>
              </c:extLst>
            </c:dLbl>
            <c:dLbl>
              <c:idx val="3"/>
              <c:tx>
                <c:rich>
                  <a:bodyPr/>
                  <a:lstStyle/>
                  <a:p>
                    <a:r>
                      <a:rPr lang="en-US" baseline="0"/>
                      <a:t>
</a:t>
                    </a:r>
                    <a:fld id="{762C5F4B-5B3B-4F86-B7BF-997258DDD0E7}" type="PERCENTAGE">
                      <a:rPr lang="en-US" baseline="0"/>
                      <a:pPr/>
                      <a:t>[PORCENTAGEM]</a:t>
                    </a:fld>
                    <a:endParaRPr lang="en-US" baseline="0"/>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BFEB-49A5-9E16-CFA225B88E70}"/>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Tabela1!$A$122:$A$125</c:f>
              <c:strCache>
                <c:ptCount val="4"/>
                <c:pt idx="0">
                  <c:v>SEMPRE</c:v>
                </c:pt>
                <c:pt idx="1">
                  <c:v>QUASE SEMPRE</c:v>
                </c:pt>
                <c:pt idx="2">
                  <c:v>RARAMENTE</c:v>
                </c:pt>
                <c:pt idx="3">
                  <c:v>NUNCA</c:v>
                </c:pt>
              </c:strCache>
            </c:strRef>
          </c:cat>
          <c:val>
            <c:numRef>
              <c:f>Tabela1!$B$122:$B$125</c:f>
              <c:numCache>
                <c:formatCode>General</c:formatCode>
                <c:ptCount val="4"/>
                <c:pt idx="0">
                  <c:v>0</c:v>
                </c:pt>
                <c:pt idx="1">
                  <c:v>1</c:v>
                </c:pt>
                <c:pt idx="2">
                  <c:v>5</c:v>
                </c:pt>
                <c:pt idx="3">
                  <c:v>4</c:v>
                </c:pt>
              </c:numCache>
            </c:numRef>
          </c:val>
          <c:extLst xmlns:c16r2="http://schemas.microsoft.com/office/drawing/2015/06/chart">
            <c:ext xmlns:c16="http://schemas.microsoft.com/office/drawing/2014/chart" uri="{C3380CC4-5D6E-409C-BE32-E72D297353CC}">
              <c16:uniqueId val="{00000008-BFEB-49A5-9E16-CFA225B88E70}"/>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72595327564252476"/>
          <c:y val="0.2431237241178186"/>
          <c:w val="0.25738000571710712"/>
          <c:h val="0.6365762613006706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pt-B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pt-BR" sz="1200">
                <a:solidFill>
                  <a:schemeClr val="tx1"/>
                </a:solidFill>
                <a:latin typeface="Times New Roman" panose="02020603050405020304" pitchFamily="18" charset="0"/>
                <a:cs typeface="Times New Roman" panose="02020603050405020304" pitchFamily="18" charset="0"/>
              </a:rPr>
              <a:t>VOCÊ</a:t>
            </a:r>
            <a:r>
              <a:rPr lang="pt-BR" sz="1200" baseline="0">
                <a:solidFill>
                  <a:schemeClr val="tx1"/>
                </a:solidFill>
                <a:latin typeface="Times New Roman" panose="02020603050405020304" pitchFamily="18" charset="0"/>
                <a:cs typeface="Times New Roman" panose="02020603050405020304" pitchFamily="18" charset="0"/>
              </a:rPr>
              <a:t> JÁ TEVE ALGUMA RESTRIÇÃO NOS ÚLTIMOS 12 MESES?</a:t>
            </a:r>
            <a:endParaRPr lang="pt-BR"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title>
    <c:autoTitleDeleted val="0"/>
    <c:plotArea>
      <c:layout/>
      <c:pieChart>
        <c:varyColors val="1"/>
        <c:ser>
          <c:idx val="0"/>
          <c:order val="0"/>
          <c:dPt>
            <c:idx val="0"/>
            <c:bubble3D val="0"/>
            <c:spPr>
              <a:gradFill rotWithShape="1">
                <a:gsLst>
                  <a:gs pos="0">
                    <a:schemeClr val="dk1">
                      <a:tint val="88500"/>
                      <a:tint val="100000"/>
                      <a:shade val="100000"/>
                      <a:satMod val="130000"/>
                    </a:schemeClr>
                  </a:gs>
                  <a:gs pos="100000">
                    <a:schemeClr val="dk1">
                      <a:tint val="88500"/>
                      <a:tint val="50000"/>
                      <a:shade val="100000"/>
                      <a:satMod val="350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1-88AA-4C21-8903-44EBEE299B29}"/>
              </c:ext>
            </c:extLst>
          </c:dPt>
          <c:dPt>
            <c:idx val="1"/>
            <c:bubble3D val="0"/>
            <c:spPr>
              <a:gradFill rotWithShape="1">
                <a:gsLst>
                  <a:gs pos="0">
                    <a:schemeClr val="dk1">
                      <a:tint val="55000"/>
                      <a:tint val="100000"/>
                      <a:shade val="100000"/>
                      <a:satMod val="130000"/>
                    </a:schemeClr>
                  </a:gs>
                  <a:gs pos="100000">
                    <a:schemeClr val="dk1">
                      <a:tint val="55000"/>
                      <a:tint val="50000"/>
                      <a:shade val="100000"/>
                      <a:satMod val="350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88AA-4C21-8903-44EBEE299B29}"/>
              </c:ext>
            </c:extLst>
          </c:dPt>
          <c:dPt>
            <c:idx val="2"/>
            <c:bubble3D val="0"/>
            <c:spPr>
              <a:gradFill rotWithShape="1">
                <a:gsLst>
                  <a:gs pos="0">
                    <a:schemeClr val="dk1">
                      <a:tint val="75000"/>
                      <a:tint val="100000"/>
                      <a:shade val="100000"/>
                      <a:satMod val="130000"/>
                    </a:schemeClr>
                  </a:gs>
                  <a:gs pos="100000">
                    <a:schemeClr val="dk1">
                      <a:tint val="75000"/>
                      <a:tint val="50000"/>
                      <a:shade val="100000"/>
                      <a:satMod val="350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5-88AA-4C21-8903-44EBEE299B29}"/>
              </c:ext>
            </c:extLst>
          </c:dPt>
          <c:dPt>
            <c:idx val="3"/>
            <c:bubble3D val="0"/>
            <c:spPr>
              <a:gradFill rotWithShape="1">
                <a:gsLst>
                  <a:gs pos="0">
                    <a:schemeClr val="dk1">
                      <a:tint val="98500"/>
                      <a:tint val="100000"/>
                      <a:shade val="100000"/>
                      <a:satMod val="130000"/>
                    </a:schemeClr>
                  </a:gs>
                  <a:gs pos="100000">
                    <a:schemeClr val="dk1">
                      <a:tint val="98500"/>
                      <a:tint val="50000"/>
                      <a:shade val="100000"/>
                      <a:satMod val="350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7-88AA-4C21-8903-44EBEE299B29}"/>
              </c:ext>
            </c:extLst>
          </c:dPt>
          <c:dLbls>
            <c:dLbl>
              <c:idx val="0"/>
              <c:tx>
                <c:rich>
                  <a:bodyPr/>
                  <a:lstStyle/>
                  <a:p>
                    <a:r>
                      <a:rPr lang="en-US" baseline="0"/>
                      <a:t>
</a:t>
                    </a:r>
                    <a:fld id="{D954C5B5-DF4F-4B73-8184-62FF591F2699}" type="PERCENTAGE">
                      <a:rPr lang="en-US" baseline="0"/>
                      <a:pPr/>
                      <a:t>[PORCENTAGEM]</a:t>
                    </a:fld>
                    <a:endParaRPr lang="en-US" baseline="0"/>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88AA-4C21-8903-44EBEE299B29}"/>
                </c:ext>
                <c:ext xmlns:c15="http://schemas.microsoft.com/office/drawing/2012/chart" uri="{CE6537A1-D6FC-4f65-9D91-7224C49458BB}">
                  <c15:dlblFieldTable/>
                  <c15:showDataLabelsRange val="0"/>
                </c:ext>
              </c:extLst>
            </c:dLbl>
            <c:dLbl>
              <c:idx val="1"/>
              <c:tx>
                <c:rich>
                  <a:bodyPr/>
                  <a:lstStyle/>
                  <a:p>
                    <a:r>
                      <a:rPr lang="en-US" baseline="0"/>
                      <a:t>
</a:t>
                    </a:r>
                    <a:fld id="{A6C3BCC4-83D3-41B9-98F3-2E87FF3A4D21}" type="PERCENTAGE">
                      <a:rPr lang="en-US" baseline="0"/>
                      <a:pPr/>
                      <a:t>[PORCENTAGEM]</a:t>
                    </a:fld>
                    <a:endParaRPr lang="en-US" baseline="0"/>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3-88AA-4C21-8903-44EBEE299B29}"/>
                </c:ext>
                <c:ext xmlns:c15="http://schemas.microsoft.com/office/drawing/2012/chart" uri="{CE6537A1-D6FC-4f65-9D91-7224C49458BB}">
                  <c15:dlblFieldTable/>
                  <c15:showDataLabelsRange val="0"/>
                </c:ext>
              </c:extLst>
            </c:dLbl>
            <c:dLbl>
              <c:idx val="2"/>
              <c:tx>
                <c:rich>
                  <a:bodyPr/>
                  <a:lstStyle/>
                  <a:p>
                    <a:r>
                      <a:rPr lang="en-US" baseline="0"/>
                      <a:t>
</a:t>
                    </a:r>
                    <a:fld id="{1B1346BB-D4A3-46E9-ADCD-C179B92D6D98}" type="PERCENTAGE">
                      <a:rPr lang="en-US" baseline="0"/>
                      <a:pPr/>
                      <a:t>[PORCENTAGEM]</a:t>
                    </a:fld>
                    <a:endParaRPr lang="en-US" baseline="0"/>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5-88AA-4C21-8903-44EBEE299B29}"/>
                </c:ext>
                <c:ext xmlns:c15="http://schemas.microsoft.com/office/drawing/2012/chart" uri="{CE6537A1-D6FC-4f65-9D91-7224C49458BB}">
                  <c15:dlblFieldTable/>
                  <c15:showDataLabelsRange val="0"/>
                </c:ext>
              </c:extLst>
            </c:dLbl>
            <c:dLbl>
              <c:idx val="3"/>
              <c:tx>
                <c:rich>
                  <a:bodyPr/>
                  <a:lstStyle/>
                  <a:p>
                    <a:r>
                      <a:rPr lang="en-US" baseline="0"/>
                      <a:t>
</a:t>
                    </a:r>
                    <a:fld id="{659B972A-5C72-4B6F-82BD-0FC6A27BBEA8}" type="PERCENTAGE">
                      <a:rPr lang="en-US" baseline="0"/>
                      <a:pPr/>
                      <a:t>[PORCENTAGEM]</a:t>
                    </a:fld>
                    <a:endParaRPr lang="en-US" baseline="0"/>
                  </a:p>
                </c:rich>
              </c:tx>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7-88AA-4C21-8903-44EBEE299B29}"/>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Tabela1!$A$139:$A$142</c:f>
              <c:strCache>
                <c:ptCount val="4"/>
                <c:pt idx="0">
                  <c:v>NUNCA</c:v>
                </c:pt>
                <c:pt idx="1">
                  <c:v>UMA VEZ</c:v>
                </c:pt>
                <c:pt idx="2">
                  <c:v>DUAS VEZES</c:v>
                </c:pt>
                <c:pt idx="3">
                  <c:v>MAIS VEZES</c:v>
                </c:pt>
              </c:strCache>
            </c:strRef>
          </c:cat>
          <c:val>
            <c:numRef>
              <c:f>Tabela1!$B$139:$B$142</c:f>
              <c:numCache>
                <c:formatCode>General</c:formatCode>
                <c:ptCount val="4"/>
                <c:pt idx="0">
                  <c:v>2</c:v>
                </c:pt>
                <c:pt idx="1">
                  <c:v>4</c:v>
                </c:pt>
                <c:pt idx="2">
                  <c:v>2</c:v>
                </c:pt>
                <c:pt idx="3">
                  <c:v>2</c:v>
                </c:pt>
              </c:numCache>
            </c:numRef>
          </c:val>
          <c:extLst xmlns:c16r2="http://schemas.microsoft.com/office/drawing/2015/06/chart">
            <c:ext xmlns:c16="http://schemas.microsoft.com/office/drawing/2014/chart" uri="{C3380CC4-5D6E-409C-BE32-E72D297353CC}">
              <c16:uniqueId val="{00000008-88AA-4C21-8903-44EBEE299B29}"/>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8335644365209069"/>
          <c:y val="0.26164224263633706"/>
          <c:w val="0.2999768896812427"/>
          <c:h val="0.5949095946340039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0.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1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4.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6.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8.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9.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0.23125</cdr:x>
      <cdr:y>0.04514</cdr:y>
    </cdr:from>
    <cdr:to>
      <cdr:x>0.79583</cdr:x>
      <cdr:y>0.15972</cdr:y>
    </cdr:to>
    <cdr:sp macro="" textlink="">
      <cdr:nvSpPr>
        <cdr:cNvPr id="2" name="CaixaDeTexto 1"/>
        <cdr:cNvSpPr txBox="1"/>
      </cdr:nvSpPr>
      <cdr:spPr>
        <a:xfrm xmlns:a="http://schemas.openxmlformats.org/drawingml/2006/main">
          <a:off x="1057275" y="123825"/>
          <a:ext cx="2581275" cy="3143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pt-BR" sz="1100"/>
        </a:p>
      </cdr:txBody>
    </cdr:sp>
  </cdr:relSizeAnchor>
  <cdr:relSizeAnchor xmlns:cdr="http://schemas.openxmlformats.org/drawingml/2006/chartDrawing">
    <cdr:from>
      <cdr:x>0.26116</cdr:x>
      <cdr:y>0.01837</cdr:y>
    </cdr:from>
    <cdr:to>
      <cdr:x>0.74865</cdr:x>
      <cdr:y>0.1627</cdr:y>
    </cdr:to>
    <cdr:pic>
      <cdr:nvPicPr>
        <cdr:cNvPr id="6" name="chart">
          <a:extLst xmlns:a="http://schemas.openxmlformats.org/drawingml/2006/main">
            <a:ext uri="{FF2B5EF4-FFF2-40B4-BE49-F238E27FC236}">
              <a16:creationId xmlns="" xmlns:a16="http://schemas.microsoft.com/office/drawing/2014/main" id="{CCDA0E57-3FE3-4660-99CB-C00ED7D84202}"/>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306284" y="48987"/>
          <a:ext cx="2438401" cy="38493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13F9DAA17C98B499A7EED7F3CB3D655" ma:contentTypeVersion="2" ma:contentTypeDescription="Criar um novo documento." ma:contentTypeScope="" ma:versionID="92bfc41c761228e2aeec2a47b1032846">
  <xsd:schema xmlns:xsd="http://www.w3.org/2001/XMLSchema" xmlns:xs="http://www.w3.org/2001/XMLSchema" xmlns:p="http://schemas.microsoft.com/office/2006/metadata/properties" xmlns:ns2="aec05f7b-0498-4377-9441-777e328edbf9" targetNamespace="http://schemas.microsoft.com/office/2006/metadata/properties" ma:root="true" ma:fieldsID="25fb93b2c02d3ea49a53f96cd5d176af" ns2:_="">
    <xsd:import namespace="aec05f7b-0498-4377-9441-777e328edbf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05f7b-0498-4377-9441-777e328edb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DWaHUQZnz53/jdCrmVesFDOm+wg==">AMUW2mXb646qX6MTFMKHreC4HkD7NCPczWmm0nYC81mLg6jdTXlNWyALM70yHlbzmFOITRUTbFU9UhJwgTc27v0h7oCLoPJYLqfQ+RUOzWYkkiX5NKGIHRGd8R+KeiQ3QzLn9D+m+yaYNu0YLMstHK0gf3uhdYS8eEyuVmQ3anwyvA3OhXNs7v8=</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A6F93-D652-4510-83FD-E04B0AC5B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05f7b-0498-4377-9441-777e328ed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785CC3A-7780-4B74-9A7B-D8B1B137F8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178404-C8ED-4744-A880-A87D4D7D7C86}">
  <ds:schemaRefs>
    <ds:schemaRef ds:uri="http://schemas.microsoft.com/sharepoint/v3/contenttype/forms"/>
  </ds:schemaRefs>
</ds:datastoreItem>
</file>

<file path=customXml/itemProps5.xml><?xml version="1.0" encoding="utf-8"?>
<ds:datastoreItem xmlns:ds="http://schemas.openxmlformats.org/officeDocument/2006/customXml" ds:itemID="{A99C7AB6-0F4E-4237-89E5-76B755F58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6560</Words>
  <Characters>35425</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Ovidio Alberto Rodriguez Laraich</cp:lastModifiedBy>
  <cp:revision>2</cp:revision>
  <cp:lastPrinted>2022-12-12T22:36:00Z</cp:lastPrinted>
  <dcterms:created xsi:type="dcterms:W3CDTF">2022-12-13T17:56:00Z</dcterms:created>
  <dcterms:modified xsi:type="dcterms:W3CDTF">2022-12-13T17:56:00Z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0x010100113F9DAA17C98B499A7EED7F3CB3D655</vt:lpwstr>
  </property>
</Properties>
</file>