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B3E93E" w14:textId="1EC74988" w:rsidR="00141E37" w:rsidRDefault="00141E37" w:rsidP="00B87756">
      <w:pPr>
        <w:spacing w:after="0" w:line="360" w:lineRule="auto"/>
        <w:jc w:val="center"/>
        <w:rPr>
          <w:rFonts w:ascii="Times New Roman" w:hAnsi="Times New Roman" w:cs="Times New Roman"/>
          <w:b/>
          <w:bCs/>
          <w:sz w:val="24"/>
          <w:szCs w:val="24"/>
        </w:rPr>
      </w:pPr>
      <w:r w:rsidRPr="00A128AC">
        <w:rPr>
          <w:rFonts w:ascii="Times New Roman" w:hAnsi="Times New Roman" w:cs="Times New Roman"/>
          <w:b/>
          <w:bCs/>
          <w:sz w:val="24"/>
          <w:szCs w:val="24"/>
        </w:rPr>
        <w:t xml:space="preserve">Investigação </w:t>
      </w:r>
      <w:r w:rsidRPr="00A128AC">
        <w:rPr>
          <w:rFonts w:ascii="Times New Roman" w:hAnsi="Times New Roman" w:cs="Times New Roman"/>
          <w:b/>
          <w:bCs/>
          <w:i/>
          <w:iCs/>
          <w:sz w:val="24"/>
          <w:szCs w:val="24"/>
        </w:rPr>
        <w:t>in silico</w:t>
      </w:r>
      <w:r w:rsidRPr="00A128AC">
        <w:rPr>
          <w:rFonts w:ascii="Times New Roman" w:hAnsi="Times New Roman" w:cs="Times New Roman"/>
          <w:b/>
          <w:bCs/>
          <w:sz w:val="24"/>
          <w:szCs w:val="24"/>
        </w:rPr>
        <w:t xml:space="preserve"> de candidatos da espécie </w:t>
      </w:r>
      <w:r w:rsidRPr="00A128AC">
        <w:rPr>
          <w:rFonts w:ascii="Times New Roman" w:hAnsi="Times New Roman" w:cs="Times New Roman"/>
          <w:b/>
          <w:bCs/>
          <w:i/>
          <w:iCs/>
          <w:sz w:val="24"/>
          <w:szCs w:val="24"/>
        </w:rPr>
        <w:t>Annona coriacea</w:t>
      </w:r>
      <w:r w:rsidRPr="00A128AC">
        <w:rPr>
          <w:rFonts w:ascii="Times New Roman" w:hAnsi="Times New Roman" w:cs="Times New Roman"/>
          <w:b/>
          <w:bCs/>
          <w:sz w:val="24"/>
          <w:szCs w:val="24"/>
        </w:rPr>
        <w:t xml:space="preserve"> com efeito no sistema nervoso central</w:t>
      </w:r>
    </w:p>
    <w:p w14:paraId="5E5CAE90" w14:textId="77777777" w:rsidR="00351F9A" w:rsidRPr="00A128AC" w:rsidRDefault="00351F9A" w:rsidP="00B87756">
      <w:pPr>
        <w:spacing w:after="0" w:line="360" w:lineRule="auto"/>
        <w:jc w:val="center"/>
        <w:rPr>
          <w:rFonts w:ascii="Times New Roman" w:hAnsi="Times New Roman" w:cs="Times New Roman"/>
          <w:b/>
          <w:bCs/>
          <w:sz w:val="24"/>
          <w:szCs w:val="24"/>
        </w:rPr>
      </w:pPr>
    </w:p>
    <w:p w14:paraId="4DB268E2" w14:textId="64473B45" w:rsidR="00D06FB2" w:rsidRPr="00A128AC" w:rsidRDefault="00D06FB2" w:rsidP="00B87756">
      <w:pPr>
        <w:spacing w:after="0" w:line="360" w:lineRule="auto"/>
        <w:jc w:val="center"/>
        <w:rPr>
          <w:rFonts w:ascii="Times New Roman" w:hAnsi="Times New Roman" w:cs="Times New Roman"/>
          <w:sz w:val="24"/>
          <w:szCs w:val="24"/>
        </w:rPr>
      </w:pPr>
      <w:r w:rsidRPr="00A128AC">
        <w:rPr>
          <w:rFonts w:ascii="Times New Roman" w:hAnsi="Times New Roman" w:cs="Times New Roman"/>
          <w:sz w:val="24"/>
          <w:szCs w:val="24"/>
        </w:rPr>
        <w:t>Túlio</w:t>
      </w:r>
      <w:r w:rsidR="00A128AC" w:rsidRPr="00A128AC">
        <w:rPr>
          <w:rFonts w:ascii="Times New Roman" w:hAnsi="Times New Roman" w:cs="Times New Roman"/>
          <w:sz w:val="24"/>
          <w:szCs w:val="24"/>
        </w:rPr>
        <w:t xml:space="preserve"> Nunes Pinto* e Leonardo Luiz Borges *, †, ‡.</w:t>
      </w:r>
    </w:p>
    <w:p w14:paraId="447C0364" w14:textId="2145E38E" w:rsidR="00A128AC" w:rsidRPr="00A128AC" w:rsidRDefault="00A128AC" w:rsidP="00B87756">
      <w:pPr>
        <w:spacing w:after="0" w:line="360" w:lineRule="auto"/>
        <w:jc w:val="center"/>
        <w:rPr>
          <w:rFonts w:ascii="Times New Roman" w:hAnsi="Times New Roman" w:cs="Times New Roman"/>
          <w:i/>
          <w:iCs/>
          <w:sz w:val="24"/>
          <w:szCs w:val="24"/>
        </w:rPr>
      </w:pPr>
      <w:r w:rsidRPr="00A128AC">
        <w:rPr>
          <w:rFonts w:ascii="Times New Roman" w:hAnsi="Times New Roman" w:cs="Times New Roman"/>
          <w:i/>
          <w:iCs/>
          <w:sz w:val="24"/>
          <w:szCs w:val="24"/>
        </w:rPr>
        <w:t xml:space="preserve">*Escola de Ciências Médicas e da Vida </w:t>
      </w:r>
    </w:p>
    <w:p w14:paraId="13E45AFB" w14:textId="3CEC3462" w:rsidR="00A128AC" w:rsidRPr="00A128AC" w:rsidRDefault="00A128AC" w:rsidP="00B87756">
      <w:pPr>
        <w:spacing w:after="0" w:line="360" w:lineRule="auto"/>
        <w:jc w:val="center"/>
        <w:rPr>
          <w:rFonts w:ascii="Times New Roman" w:hAnsi="Times New Roman" w:cs="Times New Roman"/>
          <w:i/>
          <w:iCs/>
          <w:sz w:val="24"/>
          <w:szCs w:val="24"/>
        </w:rPr>
      </w:pPr>
      <w:r w:rsidRPr="00A128AC">
        <w:rPr>
          <w:rFonts w:ascii="Times New Roman" w:hAnsi="Times New Roman" w:cs="Times New Roman"/>
          <w:i/>
          <w:iCs/>
          <w:sz w:val="24"/>
          <w:szCs w:val="24"/>
        </w:rPr>
        <w:t>Pontifícia Universidade Católica de Goiás, Brasil</w:t>
      </w:r>
    </w:p>
    <w:p w14:paraId="2958B7A0" w14:textId="76266452" w:rsidR="00A128AC" w:rsidRPr="00A128AC" w:rsidRDefault="00A128AC" w:rsidP="00B87756">
      <w:pPr>
        <w:spacing w:after="0" w:line="360" w:lineRule="auto"/>
        <w:jc w:val="center"/>
        <w:rPr>
          <w:rFonts w:ascii="Times New Roman" w:hAnsi="Times New Roman" w:cs="Times New Roman"/>
          <w:i/>
          <w:iCs/>
          <w:sz w:val="24"/>
          <w:szCs w:val="24"/>
        </w:rPr>
      </w:pPr>
      <w:r w:rsidRPr="00A128AC">
        <w:rPr>
          <w:rFonts w:ascii="Times New Roman" w:hAnsi="Times New Roman" w:cs="Times New Roman"/>
          <w:i/>
          <w:iCs/>
          <w:sz w:val="24"/>
          <w:szCs w:val="24"/>
        </w:rPr>
        <w:t xml:space="preserve"> † Campus Central, Unidade Universitária de Anápolis </w:t>
      </w:r>
    </w:p>
    <w:p w14:paraId="553B9797" w14:textId="680F1A9C" w:rsidR="00A128AC" w:rsidRPr="00A128AC" w:rsidRDefault="00A128AC" w:rsidP="00B87756">
      <w:pPr>
        <w:spacing w:after="0" w:line="360" w:lineRule="auto"/>
        <w:jc w:val="center"/>
        <w:rPr>
          <w:rFonts w:ascii="Times New Roman" w:hAnsi="Times New Roman" w:cs="Times New Roman"/>
          <w:i/>
          <w:iCs/>
          <w:sz w:val="24"/>
          <w:szCs w:val="24"/>
        </w:rPr>
      </w:pPr>
      <w:r w:rsidRPr="00A128AC">
        <w:rPr>
          <w:rFonts w:ascii="Times New Roman" w:hAnsi="Times New Roman" w:cs="Times New Roman"/>
          <w:i/>
          <w:iCs/>
          <w:sz w:val="24"/>
          <w:szCs w:val="24"/>
        </w:rPr>
        <w:t>Universidade Estadual de Goiás, Brasil</w:t>
      </w:r>
    </w:p>
    <w:p w14:paraId="6954C858" w14:textId="41D22F52" w:rsidR="00D06FB2" w:rsidRDefault="00A128AC" w:rsidP="00B87756">
      <w:pPr>
        <w:spacing w:after="0" w:line="360" w:lineRule="auto"/>
        <w:jc w:val="center"/>
        <w:rPr>
          <w:rFonts w:ascii="Times New Roman" w:hAnsi="Times New Roman" w:cs="Times New Roman"/>
          <w:i/>
          <w:iCs/>
          <w:sz w:val="24"/>
          <w:szCs w:val="24"/>
        </w:rPr>
      </w:pPr>
      <w:r w:rsidRPr="00A128AC">
        <w:rPr>
          <w:rFonts w:ascii="Times New Roman" w:hAnsi="Times New Roman" w:cs="Times New Roman"/>
          <w:i/>
          <w:iCs/>
          <w:sz w:val="24"/>
          <w:szCs w:val="24"/>
        </w:rPr>
        <w:t xml:space="preserve"> ‡ </w:t>
      </w:r>
      <w:hyperlink r:id="rId5" w:history="1">
        <w:r w:rsidR="00351F9A" w:rsidRPr="00C6480A">
          <w:rPr>
            <w:rStyle w:val="Hyperlink"/>
            <w:rFonts w:ascii="Times New Roman" w:hAnsi="Times New Roman" w:cs="Times New Roman"/>
            <w:i/>
            <w:iCs/>
            <w:sz w:val="24"/>
            <w:szCs w:val="24"/>
          </w:rPr>
          <w:t>leonardo.cbb@pucgoias.edu.br</w:t>
        </w:r>
      </w:hyperlink>
    </w:p>
    <w:p w14:paraId="67AD6324" w14:textId="77777777" w:rsidR="00351F9A" w:rsidRPr="004878E6" w:rsidRDefault="00351F9A" w:rsidP="00B87756">
      <w:pPr>
        <w:spacing w:after="0" w:line="360" w:lineRule="auto"/>
        <w:jc w:val="center"/>
        <w:rPr>
          <w:rFonts w:ascii="Times New Roman" w:hAnsi="Times New Roman" w:cs="Times New Roman"/>
          <w:b/>
          <w:bCs/>
          <w:i/>
          <w:iCs/>
          <w:sz w:val="24"/>
          <w:szCs w:val="24"/>
        </w:rPr>
      </w:pPr>
    </w:p>
    <w:p w14:paraId="5C27796A" w14:textId="30ACDD7B" w:rsidR="00D06FB2" w:rsidRPr="00A128AC" w:rsidRDefault="00D06FB2" w:rsidP="00B87756">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Resumo:</w:t>
      </w:r>
      <w:r w:rsidR="00A128AC">
        <w:rPr>
          <w:rFonts w:ascii="Times New Roman" w:hAnsi="Times New Roman" w:cs="Times New Roman"/>
          <w:b/>
          <w:bCs/>
          <w:sz w:val="24"/>
          <w:szCs w:val="24"/>
        </w:rPr>
        <w:t xml:space="preserve"> </w:t>
      </w:r>
      <w:r w:rsidR="00A128AC" w:rsidRPr="00A128AC">
        <w:rPr>
          <w:rFonts w:ascii="Times New Roman" w:hAnsi="Times New Roman" w:cs="Times New Roman"/>
          <w:i/>
          <w:iCs/>
          <w:sz w:val="24"/>
          <w:szCs w:val="24"/>
        </w:rPr>
        <w:t xml:space="preserve">Annona coriacea, </w:t>
      </w:r>
      <w:r w:rsidR="00A128AC" w:rsidRPr="00A128AC">
        <w:rPr>
          <w:rFonts w:ascii="Times New Roman" w:hAnsi="Times New Roman" w:cs="Times New Roman"/>
          <w:sz w:val="24"/>
          <w:szCs w:val="24"/>
        </w:rPr>
        <w:t>conhecida por nomes como “araticum”, “araticum liso” e “</w:t>
      </w:r>
      <w:proofErr w:type="spellStart"/>
      <w:r w:rsidR="00A128AC" w:rsidRPr="00A128AC">
        <w:rPr>
          <w:rFonts w:ascii="Times New Roman" w:hAnsi="Times New Roman" w:cs="Times New Roman"/>
          <w:sz w:val="24"/>
          <w:szCs w:val="24"/>
        </w:rPr>
        <w:t>marolo</w:t>
      </w:r>
      <w:proofErr w:type="spellEnd"/>
      <w:r w:rsidR="00A128AC" w:rsidRPr="00A128AC">
        <w:rPr>
          <w:rFonts w:ascii="Times New Roman" w:hAnsi="Times New Roman" w:cs="Times New Roman"/>
          <w:sz w:val="24"/>
          <w:szCs w:val="24"/>
        </w:rPr>
        <w:t xml:space="preserve">”, é </w:t>
      </w:r>
      <w:r w:rsidR="004878E6" w:rsidRPr="00A128AC">
        <w:rPr>
          <w:rFonts w:ascii="Times New Roman" w:hAnsi="Times New Roman" w:cs="Times New Roman"/>
          <w:sz w:val="24"/>
          <w:szCs w:val="24"/>
        </w:rPr>
        <w:t>uma planta popularmente utilizada</w:t>
      </w:r>
      <w:r w:rsidR="00A128AC" w:rsidRPr="00A128AC">
        <w:rPr>
          <w:rFonts w:ascii="Times New Roman" w:hAnsi="Times New Roman" w:cs="Times New Roman"/>
          <w:sz w:val="24"/>
          <w:szCs w:val="24"/>
        </w:rPr>
        <w:t xml:space="preserve"> por suas propriedades antiprotozoária, antirreumática, anti-helmíntica e anti-inflamatórias, entre outras. Estudos com camundongos mostraram atividade ansiolítica e antidepressiva. Nesse estudo, procuramos identificar e elucidar os potenciais mecanismos envolvidos nas atividades supracitadas. O método de escolha empregado para predizer atividade biológica, farmacodinâmica e toxicidade foi o uso de ferramentas </w:t>
      </w:r>
      <w:r w:rsidR="00A128AC" w:rsidRPr="00A128AC">
        <w:rPr>
          <w:rFonts w:ascii="Times New Roman" w:hAnsi="Times New Roman" w:cs="Times New Roman"/>
          <w:i/>
          <w:iCs/>
          <w:sz w:val="24"/>
          <w:szCs w:val="24"/>
        </w:rPr>
        <w:t>in silico</w:t>
      </w:r>
      <w:r w:rsidR="00A128AC" w:rsidRPr="00A128AC">
        <w:rPr>
          <w:rFonts w:ascii="Times New Roman" w:hAnsi="Times New Roman" w:cs="Times New Roman"/>
          <w:sz w:val="24"/>
          <w:szCs w:val="24"/>
        </w:rPr>
        <w:t xml:space="preserve">. Além disso, foi performado </w:t>
      </w:r>
      <w:proofErr w:type="spellStart"/>
      <w:r w:rsidR="00A128AC" w:rsidRPr="004878E6">
        <w:rPr>
          <w:rFonts w:ascii="Times New Roman" w:hAnsi="Times New Roman" w:cs="Times New Roman"/>
          <w:i/>
          <w:iCs/>
          <w:sz w:val="24"/>
          <w:szCs w:val="24"/>
        </w:rPr>
        <w:t>docking</w:t>
      </w:r>
      <w:proofErr w:type="spellEnd"/>
      <w:r w:rsidR="00A128AC" w:rsidRPr="00A128AC">
        <w:rPr>
          <w:rFonts w:ascii="Times New Roman" w:hAnsi="Times New Roman" w:cs="Times New Roman"/>
          <w:sz w:val="24"/>
          <w:szCs w:val="24"/>
        </w:rPr>
        <w:t xml:space="preserve"> e </w:t>
      </w:r>
      <w:proofErr w:type="spellStart"/>
      <w:r w:rsidR="00A128AC" w:rsidRPr="004878E6">
        <w:rPr>
          <w:rFonts w:ascii="Times New Roman" w:hAnsi="Times New Roman" w:cs="Times New Roman"/>
          <w:i/>
          <w:iCs/>
          <w:sz w:val="24"/>
          <w:szCs w:val="24"/>
        </w:rPr>
        <w:t>redocking</w:t>
      </w:r>
      <w:proofErr w:type="spellEnd"/>
      <w:r w:rsidR="00A128AC" w:rsidRPr="00A128AC">
        <w:rPr>
          <w:rFonts w:ascii="Times New Roman" w:hAnsi="Times New Roman" w:cs="Times New Roman"/>
          <w:sz w:val="24"/>
          <w:szCs w:val="24"/>
        </w:rPr>
        <w:t xml:space="preserve">. Dentre 28 compostos elegíveis, 2 foram os mais </w:t>
      </w:r>
      <w:r w:rsidR="004878E6">
        <w:rPr>
          <w:rFonts w:ascii="Times New Roman" w:hAnsi="Times New Roman" w:cs="Times New Roman"/>
          <w:sz w:val="24"/>
          <w:szCs w:val="24"/>
        </w:rPr>
        <w:t>promissores</w:t>
      </w:r>
      <w:r w:rsidR="00A128AC" w:rsidRPr="00A128AC">
        <w:rPr>
          <w:rFonts w:ascii="Times New Roman" w:hAnsi="Times New Roman" w:cs="Times New Roman"/>
          <w:sz w:val="24"/>
          <w:szCs w:val="24"/>
        </w:rPr>
        <w:t>, a trigonelina e o ácido gálico.</w:t>
      </w:r>
      <w:r w:rsidR="00A128AC">
        <w:rPr>
          <w:rFonts w:ascii="Times New Roman" w:hAnsi="Times New Roman" w:cs="Times New Roman"/>
          <w:sz w:val="24"/>
          <w:szCs w:val="24"/>
        </w:rPr>
        <w:t xml:space="preserve"> </w:t>
      </w:r>
      <w:r w:rsidR="004878E6">
        <w:rPr>
          <w:rFonts w:ascii="Times New Roman" w:hAnsi="Times New Roman" w:cs="Times New Roman"/>
          <w:sz w:val="24"/>
          <w:szCs w:val="24"/>
        </w:rPr>
        <w:t xml:space="preserve">Este estudo abre perspectivas para estudos </w:t>
      </w:r>
      <w:r w:rsidR="004878E6" w:rsidRPr="004878E6">
        <w:rPr>
          <w:rFonts w:ascii="Times New Roman" w:hAnsi="Times New Roman" w:cs="Times New Roman"/>
          <w:i/>
          <w:iCs/>
          <w:sz w:val="24"/>
          <w:szCs w:val="24"/>
        </w:rPr>
        <w:t>in vitro</w:t>
      </w:r>
      <w:r w:rsidR="004878E6">
        <w:rPr>
          <w:rFonts w:ascii="Times New Roman" w:hAnsi="Times New Roman" w:cs="Times New Roman"/>
          <w:sz w:val="24"/>
          <w:szCs w:val="24"/>
        </w:rPr>
        <w:t xml:space="preserve"> e </w:t>
      </w:r>
      <w:r w:rsidR="004878E6" w:rsidRPr="004878E6">
        <w:rPr>
          <w:rFonts w:ascii="Times New Roman" w:hAnsi="Times New Roman" w:cs="Times New Roman"/>
          <w:i/>
          <w:iCs/>
          <w:sz w:val="24"/>
          <w:szCs w:val="24"/>
        </w:rPr>
        <w:t>in vivo</w:t>
      </w:r>
      <w:r w:rsidR="004878E6">
        <w:rPr>
          <w:rFonts w:ascii="Times New Roman" w:hAnsi="Times New Roman" w:cs="Times New Roman"/>
          <w:sz w:val="24"/>
          <w:szCs w:val="24"/>
        </w:rPr>
        <w:t xml:space="preserve"> com essas estruturas isoladas.</w:t>
      </w:r>
    </w:p>
    <w:p w14:paraId="11832A08" w14:textId="63511FEC" w:rsidR="00D06FB2" w:rsidRDefault="00D06FB2" w:rsidP="00B87756">
      <w:pPr>
        <w:spacing w:after="0" w:line="360" w:lineRule="auto"/>
        <w:jc w:val="both"/>
        <w:rPr>
          <w:rFonts w:ascii="Times New Roman" w:hAnsi="Times New Roman" w:cs="Times New Roman"/>
          <w:b/>
          <w:bCs/>
          <w:sz w:val="24"/>
          <w:szCs w:val="24"/>
        </w:rPr>
      </w:pPr>
    </w:p>
    <w:p w14:paraId="3A427A6D" w14:textId="5A494604" w:rsidR="00D06FB2" w:rsidRPr="00A128AC" w:rsidRDefault="00D06FB2" w:rsidP="00B87756">
      <w:pPr>
        <w:spacing w:after="0" w:line="360" w:lineRule="auto"/>
        <w:jc w:val="both"/>
        <w:rPr>
          <w:rFonts w:ascii="Times New Roman" w:hAnsi="Times New Roman" w:cs="Times New Roman"/>
          <w:sz w:val="24"/>
          <w:szCs w:val="24"/>
        </w:rPr>
      </w:pPr>
      <w:r>
        <w:rPr>
          <w:rFonts w:ascii="Times New Roman" w:hAnsi="Times New Roman" w:cs="Times New Roman"/>
          <w:b/>
          <w:bCs/>
          <w:sz w:val="24"/>
          <w:szCs w:val="24"/>
        </w:rPr>
        <w:t>Palavras-chaves:</w:t>
      </w:r>
      <w:r w:rsidR="00A128AC">
        <w:rPr>
          <w:rFonts w:ascii="Times New Roman" w:hAnsi="Times New Roman" w:cs="Times New Roman"/>
          <w:b/>
          <w:bCs/>
          <w:sz w:val="24"/>
          <w:szCs w:val="24"/>
        </w:rPr>
        <w:t xml:space="preserve"> </w:t>
      </w:r>
      <w:proofErr w:type="spellStart"/>
      <w:r w:rsidR="00A128AC">
        <w:rPr>
          <w:rFonts w:ascii="Times New Roman" w:hAnsi="Times New Roman" w:cs="Times New Roman"/>
          <w:sz w:val="24"/>
          <w:szCs w:val="24"/>
        </w:rPr>
        <w:t>Trigonelina</w:t>
      </w:r>
      <w:proofErr w:type="spellEnd"/>
      <w:r w:rsidR="00A128AC">
        <w:rPr>
          <w:rFonts w:ascii="Times New Roman" w:hAnsi="Times New Roman" w:cs="Times New Roman"/>
          <w:sz w:val="24"/>
          <w:szCs w:val="24"/>
        </w:rPr>
        <w:t xml:space="preserve">; ácido gálico; </w:t>
      </w:r>
      <w:proofErr w:type="spellStart"/>
      <w:r w:rsidR="00A128AC" w:rsidRPr="004878E6">
        <w:rPr>
          <w:rFonts w:ascii="Times New Roman" w:hAnsi="Times New Roman" w:cs="Times New Roman"/>
          <w:i/>
          <w:iCs/>
          <w:sz w:val="24"/>
          <w:szCs w:val="24"/>
        </w:rPr>
        <w:t>docking</w:t>
      </w:r>
      <w:proofErr w:type="spellEnd"/>
      <w:r w:rsidR="00A128AC">
        <w:rPr>
          <w:rFonts w:ascii="Times New Roman" w:hAnsi="Times New Roman" w:cs="Times New Roman"/>
          <w:sz w:val="24"/>
          <w:szCs w:val="24"/>
        </w:rPr>
        <w:t xml:space="preserve"> molecular; </w:t>
      </w:r>
      <w:r w:rsidR="004878E6" w:rsidRPr="004878E6">
        <w:rPr>
          <w:rFonts w:ascii="Times New Roman" w:hAnsi="Times New Roman" w:cs="Times New Roman"/>
          <w:sz w:val="24"/>
          <w:szCs w:val="24"/>
        </w:rPr>
        <w:t>produtos naturais</w:t>
      </w:r>
      <w:r w:rsidR="00A128AC">
        <w:rPr>
          <w:rFonts w:ascii="Times New Roman" w:hAnsi="Times New Roman" w:cs="Times New Roman"/>
          <w:sz w:val="24"/>
          <w:szCs w:val="24"/>
        </w:rPr>
        <w:t>.</w:t>
      </w:r>
    </w:p>
    <w:p w14:paraId="2B82D548" w14:textId="431E1E2A" w:rsidR="00D06FB2" w:rsidRDefault="00D06FB2" w:rsidP="00B87756">
      <w:pPr>
        <w:spacing w:after="0" w:line="360" w:lineRule="auto"/>
        <w:jc w:val="both"/>
        <w:rPr>
          <w:rFonts w:ascii="Times New Roman" w:hAnsi="Times New Roman" w:cs="Times New Roman"/>
          <w:b/>
          <w:bCs/>
          <w:sz w:val="24"/>
          <w:szCs w:val="24"/>
        </w:rPr>
      </w:pPr>
    </w:p>
    <w:p w14:paraId="7578137C" w14:textId="125E4395" w:rsidR="00D06FB2" w:rsidRDefault="00D06FB2" w:rsidP="00B87756">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Abstract:</w:t>
      </w:r>
      <w:r w:rsidR="00A156D7" w:rsidRPr="00A156D7">
        <w:t xml:space="preserve"> </w:t>
      </w:r>
      <w:proofErr w:type="spellStart"/>
      <w:r w:rsidR="00A156D7" w:rsidRPr="00A156D7">
        <w:rPr>
          <w:rFonts w:ascii="Times New Roman" w:hAnsi="Times New Roman" w:cs="Times New Roman"/>
          <w:i/>
          <w:iCs/>
          <w:sz w:val="24"/>
          <w:szCs w:val="24"/>
        </w:rPr>
        <w:t>Annona</w:t>
      </w:r>
      <w:proofErr w:type="spellEnd"/>
      <w:r w:rsidR="00A156D7" w:rsidRPr="00A156D7">
        <w:rPr>
          <w:rFonts w:ascii="Times New Roman" w:hAnsi="Times New Roman" w:cs="Times New Roman"/>
          <w:i/>
          <w:iCs/>
          <w:sz w:val="24"/>
          <w:szCs w:val="24"/>
        </w:rPr>
        <w:t xml:space="preserve"> </w:t>
      </w:r>
      <w:proofErr w:type="spellStart"/>
      <w:r w:rsidR="00A156D7" w:rsidRPr="00A156D7">
        <w:rPr>
          <w:rFonts w:ascii="Times New Roman" w:hAnsi="Times New Roman" w:cs="Times New Roman"/>
          <w:i/>
          <w:iCs/>
          <w:sz w:val="24"/>
          <w:szCs w:val="24"/>
        </w:rPr>
        <w:t>coriacea</w:t>
      </w:r>
      <w:proofErr w:type="spellEnd"/>
      <w:r w:rsidR="00A156D7" w:rsidRPr="00A156D7">
        <w:rPr>
          <w:rFonts w:ascii="Times New Roman" w:hAnsi="Times New Roman" w:cs="Times New Roman"/>
          <w:sz w:val="24"/>
          <w:szCs w:val="24"/>
        </w:rPr>
        <w:t xml:space="preserve">, </w:t>
      </w:r>
      <w:proofErr w:type="spellStart"/>
      <w:r w:rsidR="00A156D7" w:rsidRPr="00A156D7">
        <w:rPr>
          <w:rFonts w:ascii="Times New Roman" w:hAnsi="Times New Roman" w:cs="Times New Roman"/>
          <w:sz w:val="24"/>
          <w:szCs w:val="24"/>
        </w:rPr>
        <w:t>known</w:t>
      </w:r>
      <w:proofErr w:type="spellEnd"/>
      <w:r w:rsidR="00A156D7" w:rsidRPr="00A156D7">
        <w:rPr>
          <w:rFonts w:ascii="Times New Roman" w:hAnsi="Times New Roman" w:cs="Times New Roman"/>
          <w:sz w:val="24"/>
          <w:szCs w:val="24"/>
        </w:rPr>
        <w:t xml:space="preserve"> </w:t>
      </w:r>
      <w:proofErr w:type="spellStart"/>
      <w:r w:rsidR="00A156D7" w:rsidRPr="00A156D7">
        <w:rPr>
          <w:rFonts w:ascii="Times New Roman" w:hAnsi="Times New Roman" w:cs="Times New Roman"/>
          <w:sz w:val="24"/>
          <w:szCs w:val="24"/>
        </w:rPr>
        <w:t>by</w:t>
      </w:r>
      <w:proofErr w:type="spellEnd"/>
      <w:r w:rsidR="00A156D7" w:rsidRPr="00A156D7">
        <w:rPr>
          <w:rFonts w:ascii="Times New Roman" w:hAnsi="Times New Roman" w:cs="Times New Roman"/>
          <w:sz w:val="24"/>
          <w:szCs w:val="24"/>
        </w:rPr>
        <w:t xml:space="preserve"> </w:t>
      </w:r>
      <w:proofErr w:type="spellStart"/>
      <w:r w:rsidR="00A156D7" w:rsidRPr="00A156D7">
        <w:rPr>
          <w:rFonts w:ascii="Times New Roman" w:hAnsi="Times New Roman" w:cs="Times New Roman"/>
          <w:sz w:val="24"/>
          <w:szCs w:val="24"/>
        </w:rPr>
        <w:t>names</w:t>
      </w:r>
      <w:proofErr w:type="spellEnd"/>
      <w:r w:rsidR="00A156D7" w:rsidRPr="00A156D7">
        <w:rPr>
          <w:rFonts w:ascii="Times New Roman" w:hAnsi="Times New Roman" w:cs="Times New Roman"/>
          <w:sz w:val="24"/>
          <w:szCs w:val="24"/>
        </w:rPr>
        <w:t xml:space="preserve"> </w:t>
      </w:r>
      <w:proofErr w:type="spellStart"/>
      <w:r w:rsidR="00A156D7" w:rsidRPr="00A156D7">
        <w:rPr>
          <w:rFonts w:ascii="Times New Roman" w:hAnsi="Times New Roman" w:cs="Times New Roman"/>
          <w:sz w:val="24"/>
          <w:szCs w:val="24"/>
        </w:rPr>
        <w:t>such</w:t>
      </w:r>
      <w:proofErr w:type="spellEnd"/>
      <w:r w:rsidR="00A156D7" w:rsidRPr="00A156D7">
        <w:rPr>
          <w:rFonts w:ascii="Times New Roman" w:hAnsi="Times New Roman" w:cs="Times New Roman"/>
          <w:sz w:val="24"/>
          <w:szCs w:val="24"/>
        </w:rPr>
        <w:t xml:space="preserve"> as "araticum", "araticum </w:t>
      </w:r>
      <w:proofErr w:type="spellStart"/>
      <w:r w:rsidR="00A156D7" w:rsidRPr="00A156D7">
        <w:rPr>
          <w:rFonts w:ascii="Times New Roman" w:hAnsi="Times New Roman" w:cs="Times New Roman"/>
          <w:sz w:val="24"/>
          <w:szCs w:val="24"/>
        </w:rPr>
        <w:t>smooth</w:t>
      </w:r>
      <w:proofErr w:type="spellEnd"/>
      <w:r w:rsidR="00A156D7" w:rsidRPr="00A156D7">
        <w:rPr>
          <w:rFonts w:ascii="Times New Roman" w:hAnsi="Times New Roman" w:cs="Times New Roman"/>
          <w:sz w:val="24"/>
          <w:szCs w:val="24"/>
        </w:rPr>
        <w:t xml:space="preserve">" </w:t>
      </w:r>
      <w:proofErr w:type="spellStart"/>
      <w:r w:rsidR="00A156D7" w:rsidRPr="00A156D7">
        <w:rPr>
          <w:rFonts w:ascii="Times New Roman" w:hAnsi="Times New Roman" w:cs="Times New Roman"/>
          <w:sz w:val="24"/>
          <w:szCs w:val="24"/>
        </w:rPr>
        <w:t>and</w:t>
      </w:r>
      <w:proofErr w:type="spellEnd"/>
      <w:r w:rsidR="00A156D7" w:rsidRPr="00A156D7">
        <w:rPr>
          <w:rFonts w:ascii="Times New Roman" w:hAnsi="Times New Roman" w:cs="Times New Roman"/>
          <w:sz w:val="24"/>
          <w:szCs w:val="24"/>
        </w:rPr>
        <w:t xml:space="preserve"> "</w:t>
      </w:r>
      <w:proofErr w:type="spellStart"/>
      <w:r w:rsidR="00A156D7" w:rsidRPr="00A156D7">
        <w:rPr>
          <w:rFonts w:ascii="Times New Roman" w:hAnsi="Times New Roman" w:cs="Times New Roman"/>
          <w:sz w:val="24"/>
          <w:szCs w:val="24"/>
        </w:rPr>
        <w:t>marolo</w:t>
      </w:r>
      <w:proofErr w:type="spellEnd"/>
      <w:r w:rsidR="00A156D7" w:rsidRPr="00A156D7">
        <w:rPr>
          <w:rFonts w:ascii="Times New Roman" w:hAnsi="Times New Roman" w:cs="Times New Roman"/>
          <w:sz w:val="24"/>
          <w:szCs w:val="24"/>
        </w:rPr>
        <w:t xml:space="preserve">", </w:t>
      </w:r>
      <w:proofErr w:type="spellStart"/>
      <w:r w:rsidR="00A156D7" w:rsidRPr="00A156D7">
        <w:rPr>
          <w:rFonts w:ascii="Times New Roman" w:hAnsi="Times New Roman" w:cs="Times New Roman"/>
          <w:sz w:val="24"/>
          <w:szCs w:val="24"/>
        </w:rPr>
        <w:t>is</w:t>
      </w:r>
      <w:proofErr w:type="spellEnd"/>
      <w:r w:rsidR="00A156D7" w:rsidRPr="00A156D7">
        <w:rPr>
          <w:rFonts w:ascii="Times New Roman" w:hAnsi="Times New Roman" w:cs="Times New Roman"/>
          <w:sz w:val="24"/>
          <w:szCs w:val="24"/>
        </w:rPr>
        <w:t xml:space="preserve"> a </w:t>
      </w:r>
      <w:proofErr w:type="spellStart"/>
      <w:r w:rsidR="00A156D7" w:rsidRPr="00A156D7">
        <w:rPr>
          <w:rFonts w:ascii="Times New Roman" w:hAnsi="Times New Roman" w:cs="Times New Roman"/>
          <w:sz w:val="24"/>
          <w:szCs w:val="24"/>
        </w:rPr>
        <w:t>plant</w:t>
      </w:r>
      <w:proofErr w:type="spellEnd"/>
      <w:r w:rsidR="00A156D7" w:rsidRPr="00A156D7">
        <w:rPr>
          <w:rFonts w:ascii="Times New Roman" w:hAnsi="Times New Roman" w:cs="Times New Roman"/>
          <w:sz w:val="24"/>
          <w:szCs w:val="24"/>
        </w:rPr>
        <w:t xml:space="preserve"> </w:t>
      </w:r>
      <w:proofErr w:type="spellStart"/>
      <w:r w:rsidR="00A156D7" w:rsidRPr="00A156D7">
        <w:rPr>
          <w:rFonts w:ascii="Times New Roman" w:hAnsi="Times New Roman" w:cs="Times New Roman"/>
          <w:sz w:val="24"/>
          <w:szCs w:val="24"/>
        </w:rPr>
        <w:t>popularly</w:t>
      </w:r>
      <w:proofErr w:type="spellEnd"/>
      <w:r w:rsidR="00A156D7" w:rsidRPr="00A156D7">
        <w:rPr>
          <w:rFonts w:ascii="Times New Roman" w:hAnsi="Times New Roman" w:cs="Times New Roman"/>
          <w:sz w:val="24"/>
          <w:szCs w:val="24"/>
        </w:rPr>
        <w:t xml:space="preserve"> </w:t>
      </w:r>
      <w:proofErr w:type="spellStart"/>
      <w:r w:rsidR="00A156D7" w:rsidRPr="00A156D7">
        <w:rPr>
          <w:rFonts w:ascii="Times New Roman" w:hAnsi="Times New Roman" w:cs="Times New Roman"/>
          <w:sz w:val="24"/>
          <w:szCs w:val="24"/>
        </w:rPr>
        <w:t>used</w:t>
      </w:r>
      <w:proofErr w:type="spellEnd"/>
      <w:r w:rsidR="00A156D7" w:rsidRPr="00A156D7">
        <w:rPr>
          <w:rFonts w:ascii="Times New Roman" w:hAnsi="Times New Roman" w:cs="Times New Roman"/>
          <w:sz w:val="24"/>
          <w:szCs w:val="24"/>
        </w:rPr>
        <w:t xml:space="preserve"> for its </w:t>
      </w:r>
      <w:proofErr w:type="spellStart"/>
      <w:r w:rsidR="00A156D7" w:rsidRPr="00A156D7">
        <w:rPr>
          <w:rFonts w:ascii="Times New Roman" w:hAnsi="Times New Roman" w:cs="Times New Roman"/>
          <w:sz w:val="24"/>
          <w:szCs w:val="24"/>
        </w:rPr>
        <w:t>antiprotozoal</w:t>
      </w:r>
      <w:proofErr w:type="spellEnd"/>
      <w:r w:rsidR="00A156D7" w:rsidRPr="00A156D7">
        <w:rPr>
          <w:rFonts w:ascii="Times New Roman" w:hAnsi="Times New Roman" w:cs="Times New Roman"/>
          <w:sz w:val="24"/>
          <w:szCs w:val="24"/>
        </w:rPr>
        <w:t xml:space="preserve">, </w:t>
      </w:r>
      <w:proofErr w:type="spellStart"/>
      <w:r w:rsidR="00A156D7" w:rsidRPr="00A156D7">
        <w:rPr>
          <w:rFonts w:ascii="Times New Roman" w:hAnsi="Times New Roman" w:cs="Times New Roman"/>
          <w:sz w:val="24"/>
          <w:szCs w:val="24"/>
        </w:rPr>
        <w:t>antirheumatic</w:t>
      </w:r>
      <w:proofErr w:type="spellEnd"/>
      <w:r w:rsidR="00A156D7" w:rsidRPr="00A156D7">
        <w:rPr>
          <w:rFonts w:ascii="Times New Roman" w:hAnsi="Times New Roman" w:cs="Times New Roman"/>
          <w:sz w:val="24"/>
          <w:szCs w:val="24"/>
        </w:rPr>
        <w:t xml:space="preserve">, </w:t>
      </w:r>
      <w:proofErr w:type="spellStart"/>
      <w:r w:rsidR="00A156D7" w:rsidRPr="00A156D7">
        <w:rPr>
          <w:rFonts w:ascii="Times New Roman" w:hAnsi="Times New Roman" w:cs="Times New Roman"/>
          <w:sz w:val="24"/>
          <w:szCs w:val="24"/>
        </w:rPr>
        <w:t>anthelmintic</w:t>
      </w:r>
      <w:proofErr w:type="spellEnd"/>
      <w:r w:rsidR="00A156D7">
        <w:rPr>
          <w:rFonts w:ascii="Times New Roman" w:hAnsi="Times New Roman" w:cs="Times New Roman"/>
          <w:sz w:val="24"/>
          <w:szCs w:val="24"/>
        </w:rPr>
        <w:t>,</w:t>
      </w:r>
      <w:r w:rsidR="00A156D7" w:rsidRPr="00A156D7">
        <w:rPr>
          <w:rFonts w:ascii="Times New Roman" w:hAnsi="Times New Roman" w:cs="Times New Roman"/>
          <w:sz w:val="24"/>
          <w:szCs w:val="24"/>
        </w:rPr>
        <w:t xml:space="preserve"> </w:t>
      </w:r>
      <w:proofErr w:type="spellStart"/>
      <w:r w:rsidR="00A156D7" w:rsidRPr="00A156D7">
        <w:rPr>
          <w:rFonts w:ascii="Times New Roman" w:hAnsi="Times New Roman" w:cs="Times New Roman"/>
          <w:sz w:val="24"/>
          <w:szCs w:val="24"/>
        </w:rPr>
        <w:t>and</w:t>
      </w:r>
      <w:proofErr w:type="spellEnd"/>
      <w:r w:rsidR="00A156D7" w:rsidRPr="00A156D7">
        <w:rPr>
          <w:rFonts w:ascii="Times New Roman" w:hAnsi="Times New Roman" w:cs="Times New Roman"/>
          <w:sz w:val="24"/>
          <w:szCs w:val="24"/>
        </w:rPr>
        <w:t xml:space="preserve"> </w:t>
      </w:r>
      <w:proofErr w:type="spellStart"/>
      <w:r w:rsidR="00A156D7" w:rsidRPr="00A156D7">
        <w:rPr>
          <w:rFonts w:ascii="Times New Roman" w:hAnsi="Times New Roman" w:cs="Times New Roman"/>
          <w:sz w:val="24"/>
          <w:szCs w:val="24"/>
        </w:rPr>
        <w:t>anti-inflammatory</w:t>
      </w:r>
      <w:proofErr w:type="spellEnd"/>
      <w:r w:rsidR="00A156D7" w:rsidRPr="00A156D7">
        <w:rPr>
          <w:rFonts w:ascii="Times New Roman" w:hAnsi="Times New Roman" w:cs="Times New Roman"/>
          <w:sz w:val="24"/>
          <w:szCs w:val="24"/>
        </w:rPr>
        <w:t xml:space="preserve"> </w:t>
      </w:r>
      <w:proofErr w:type="spellStart"/>
      <w:r w:rsidR="00A156D7" w:rsidRPr="00A156D7">
        <w:rPr>
          <w:rFonts w:ascii="Times New Roman" w:hAnsi="Times New Roman" w:cs="Times New Roman"/>
          <w:sz w:val="24"/>
          <w:szCs w:val="24"/>
        </w:rPr>
        <w:t>properties</w:t>
      </w:r>
      <w:proofErr w:type="spellEnd"/>
      <w:r w:rsidR="00A156D7" w:rsidRPr="00A156D7">
        <w:rPr>
          <w:rFonts w:ascii="Times New Roman" w:hAnsi="Times New Roman" w:cs="Times New Roman"/>
          <w:sz w:val="24"/>
          <w:szCs w:val="24"/>
        </w:rPr>
        <w:t xml:space="preserve">, </w:t>
      </w:r>
      <w:proofErr w:type="spellStart"/>
      <w:r w:rsidR="00A156D7" w:rsidRPr="00A156D7">
        <w:rPr>
          <w:rFonts w:ascii="Times New Roman" w:hAnsi="Times New Roman" w:cs="Times New Roman"/>
          <w:sz w:val="24"/>
          <w:szCs w:val="24"/>
        </w:rPr>
        <w:t>among</w:t>
      </w:r>
      <w:proofErr w:type="spellEnd"/>
      <w:r w:rsidR="00A156D7" w:rsidRPr="00A156D7">
        <w:rPr>
          <w:rFonts w:ascii="Times New Roman" w:hAnsi="Times New Roman" w:cs="Times New Roman"/>
          <w:sz w:val="24"/>
          <w:szCs w:val="24"/>
        </w:rPr>
        <w:t xml:space="preserve"> </w:t>
      </w:r>
      <w:proofErr w:type="spellStart"/>
      <w:r w:rsidR="00A156D7" w:rsidRPr="00A156D7">
        <w:rPr>
          <w:rFonts w:ascii="Times New Roman" w:hAnsi="Times New Roman" w:cs="Times New Roman"/>
          <w:sz w:val="24"/>
          <w:szCs w:val="24"/>
        </w:rPr>
        <w:t>others</w:t>
      </w:r>
      <w:proofErr w:type="spellEnd"/>
      <w:r w:rsidR="00A156D7" w:rsidRPr="00A156D7">
        <w:rPr>
          <w:rFonts w:ascii="Times New Roman" w:hAnsi="Times New Roman" w:cs="Times New Roman"/>
          <w:sz w:val="24"/>
          <w:szCs w:val="24"/>
        </w:rPr>
        <w:t xml:space="preserve">. </w:t>
      </w:r>
      <w:proofErr w:type="spellStart"/>
      <w:r w:rsidR="00A156D7" w:rsidRPr="00A156D7">
        <w:rPr>
          <w:rFonts w:ascii="Times New Roman" w:hAnsi="Times New Roman" w:cs="Times New Roman"/>
          <w:sz w:val="24"/>
          <w:szCs w:val="24"/>
        </w:rPr>
        <w:t>Studies</w:t>
      </w:r>
      <w:proofErr w:type="spellEnd"/>
      <w:r w:rsidR="00A156D7" w:rsidRPr="00A156D7">
        <w:rPr>
          <w:rFonts w:ascii="Times New Roman" w:hAnsi="Times New Roman" w:cs="Times New Roman"/>
          <w:sz w:val="24"/>
          <w:szCs w:val="24"/>
        </w:rPr>
        <w:t xml:space="preserve"> </w:t>
      </w:r>
      <w:proofErr w:type="spellStart"/>
      <w:r w:rsidR="00A156D7" w:rsidRPr="00A156D7">
        <w:rPr>
          <w:rFonts w:ascii="Times New Roman" w:hAnsi="Times New Roman" w:cs="Times New Roman"/>
          <w:sz w:val="24"/>
          <w:szCs w:val="24"/>
        </w:rPr>
        <w:t>with</w:t>
      </w:r>
      <w:proofErr w:type="spellEnd"/>
      <w:r w:rsidR="00A156D7" w:rsidRPr="00A156D7">
        <w:rPr>
          <w:rFonts w:ascii="Times New Roman" w:hAnsi="Times New Roman" w:cs="Times New Roman"/>
          <w:sz w:val="24"/>
          <w:szCs w:val="24"/>
        </w:rPr>
        <w:t xml:space="preserve"> </w:t>
      </w:r>
      <w:proofErr w:type="spellStart"/>
      <w:r w:rsidR="00A156D7" w:rsidRPr="00A156D7">
        <w:rPr>
          <w:rFonts w:ascii="Times New Roman" w:hAnsi="Times New Roman" w:cs="Times New Roman"/>
          <w:sz w:val="24"/>
          <w:szCs w:val="24"/>
        </w:rPr>
        <w:t>mice</w:t>
      </w:r>
      <w:proofErr w:type="spellEnd"/>
      <w:r w:rsidR="00A156D7" w:rsidRPr="00A156D7">
        <w:rPr>
          <w:rFonts w:ascii="Times New Roman" w:hAnsi="Times New Roman" w:cs="Times New Roman"/>
          <w:sz w:val="24"/>
          <w:szCs w:val="24"/>
        </w:rPr>
        <w:t xml:space="preserve"> </w:t>
      </w:r>
      <w:proofErr w:type="spellStart"/>
      <w:r w:rsidR="00A156D7" w:rsidRPr="00A156D7">
        <w:rPr>
          <w:rFonts w:ascii="Times New Roman" w:hAnsi="Times New Roman" w:cs="Times New Roman"/>
          <w:sz w:val="24"/>
          <w:szCs w:val="24"/>
        </w:rPr>
        <w:t>showed</w:t>
      </w:r>
      <w:proofErr w:type="spellEnd"/>
      <w:r w:rsidR="00A156D7" w:rsidRPr="00A156D7">
        <w:rPr>
          <w:rFonts w:ascii="Times New Roman" w:hAnsi="Times New Roman" w:cs="Times New Roman"/>
          <w:sz w:val="24"/>
          <w:szCs w:val="24"/>
        </w:rPr>
        <w:t xml:space="preserve"> </w:t>
      </w:r>
      <w:proofErr w:type="spellStart"/>
      <w:r w:rsidR="00A156D7" w:rsidRPr="00A156D7">
        <w:rPr>
          <w:rFonts w:ascii="Times New Roman" w:hAnsi="Times New Roman" w:cs="Times New Roman"/>
          <w:sz w:val="24"/>
          <w:szCs w:val="24"/>
        </w:rPr>
        <w:t>anxiolytic</w:t>
      </w:r>
      <w:proofErr w:type="spellEnd"/>
      <w:r w:rsidR="00A156D7" w:rsidRPr="00A156D7">
        <w:rPr>
          <w:rFonts w:ascii="Times New Roman" w:hAnsi="Times New Roman" w:cs="Times New Roman"/>
          <w:sz w:val="24"/>
          <w:szCs w:val="24"/>
        </w:rPr>
        <w:t xml:space="preserve"> </w:t>
      </w:r>
      <w:proofErr w:type="spellStart"/>
      <w:r w:rsidR="00A156D7" w:rsidRPr="00A156D7">
        <w:rPr>
          <w:rFonts w:ascii="Times New Roman" w:hAnsi="Times New Roman" w:cs="Times New Roman"/>
          <w:sz w:val="24"/>
          <w:szCs w:val="24"/>
        </w:rPr>
        <w:t>and</w:t>
      </w:r>
      <w:proofErr w:type="spellEnd"/>
      <w:r w:rsidR="00A156D7" w:rsidRPr="00A156D7">
        <w:rPr>
          <w:rFonts w:ascii="Times New Roman" w:hAnsi="Times New Roman" w:cs="Times New Roman"/>
          <w:sz w:val="24"/>
          <w:szCs w:val="24"/>
        </w:rPr>
        <w:t xml:space="preserve"> </w:t>
      </w:r>
      <w:proofErr w:type="spellStart"/>
      <w:r w:rsidR="00A156D7" w:rsidRPr="00A156D7">
        <w:rPr>
          <w:rFonts w:ascii="Times New Roman" w:hAnsi="Times New Roman" w:cs="Times New Roman"/>
          <w:sz w:val="24"/>
          <w:szCs w:val="24"/>
        </w:rPr>
        <w:t>antidepressant</w:t>
      </w:r>
      <w:proofErr w:type="spellEnd"/>
      <w:r w:rsidR="00A156D7" w:rsidRPr="00A156D7">
        <w:rPr>
          <w:rFonts w:ascii="Times New Roman" w:hAnsi="Times New Roman" w:cs="Times New Roman"/>
          <w:sz w:val="24"/>
          <w:szCs w:val="24"/>
        </w:rPr>
        <w:t xml:space="preserve"> </w:t>
      </w:r>
      <w:proofErr w:type="spellStart"/>
      <w:r w:rsidR="00A156D7" w:rsidRPr="00A156D7">
        <w:rPr>
          <w:rFonts w:ascii="Times New Roman" w:hAnsi="Times New Roman" w:cs="Times New Roman"/>
          <w:sz w:val="24"/>
          <w:szCs w:val="24"/>
        </w:rPr>
        <w:t>activity</w:t>
      </w:r>
      <w:proofErr w:type="spellEnd"/>
      <w:r w:rsidR="00A156D7" w:rsidRPr="00A156D7">
        <w:rPr>
          <w:rFonts w:ascii="Times New Roman" w:hAnsi="Times New Roman" w:cs="Times New Roman"/>
          <w:sz w:val="24"/>
          <w:szCs w:val="24"/>
        </w:rPr>
        <w:t xml:space="preserve">. </w:t>
      </w:r>
      <w:proofErr w:type="spellStart"/>
      <w:r w:rsidR="00A156D7">
        <w:rPr>
          <w:rFonts w:ascii="Times New Roman" w:hAnsi="Times New Roman" w:cs="Times New Roman"/>
          <w:sz w:val="24"/>
          <w:szCs w:val="24"/>
        </w:rPr>
        <w:t>This</w:t>
      </w:r>
      <w:proofErr w:type="spellEnd"/>
      <w:r w:rsidR="00A156D7">
        <w:rPr>
          <w:rFonts w:ascii="Times New Roman" w:hAnsi="Times New Roman" w:cs="Times New Roman"/>
          <w:sz w:val="24"/>
          <w:szCs w:val="24"/>
        </w:rPr>
        <w:t xml:space="preserve"> </w:t>
      </w:r>
      <w:proofErr w:type="spellStart"/>
      <w:r w:rsidR="00A156D7">
        <w:rPr>
          <w:rFonts w:ascii="Times New Roman" w:hAnsi="Times New Roman" w:cs="Times New Roman"/>
          <w:sz w:val="24"/>
          <w:szCs w:val="24"/>
        </w:rPr>
        <w:t>study</w:t>
      </w:r>
      <w:proofErr w:type="spellEnd"/>
      <w:r w:rsidR="00A156D7" w:rsidRPr="00A156D7">
        <w:rPr>
          <w:rFonts w:ascii="Times New Roman" w:hAnsi="Times New Roman" w:cs="Times New Roman"/>
          <w:sz w:val="24"/>
          <w:szCs w:val="24"/>
        </w:rPr>
        <w:t xml:space="preserve"> </w:t>
      </w:r>
      <w:proofErr w:type="spellStart"/>
      <w:r w:rsidR="00A156D7" w:rsidRPr="00A156D7">
        <w:rPr>
          <w:rFonts w:ascii="Times New Roman" w:hAnsi="Times New Roman" w:cs="Times New Roman"/>
          <w:sz w:val="24"/>
          <w:szCs w:val="24"/>
        </w:rPr>
        <w:t>sought</w:t>
      </w:r>
      <w:proofErr w:type="spellEnd"/>
      <w:r w:rsidR="00A156D7" w:rsidRPr="00A156D7">
        <w:rPr>
          <w:rFonts w:ascii="Times New Roman" w:hAnsi="Times New Roman" w:cs="Times New Roman"/>
          <w:sz w:val="24"/>
          <w:szCs w:val="24"/>
        </w:rPr>
        <w:t xml:space="preserve"> </w:t>
      </w:r>
      <w:proofErr w:type="spellStart"/>
      <w:r w:rsidR="00A156D7" w:rsidRPr="00A156D7">
        <w:rPr>
          <w:rFonts w:ascii="Times New Roman" w:hAnsi="Times New Roman" w:cs="Times New Roman"/>
          <w:sz w:val="24"/>
          <w:szCs w:val="24"/>
        </w:rPr>
        <w:t>to</w:t>
      </w:r>
      <w:proofErr w:type="spellEnd"/>
      <w:r w:rsidR="00A156D7" w:rsidRPr="00A156D7">
        <w:rPr>
          <w:rFonts w:ascii="Times New Roman" w:hAnsi="Times New Roman" w:cs="Times New Roman"/>
          <w:sz w:val="24"/>
          <w:szCs w:val="24"/>
        </w:rPr>
        <w:t xml:space="preserve"> </w:t>
      </w:r>
      <w:proofErr w:type="spellStart"/>
      <w:r w:rsidR="00A156D7" w:rsidRPr="00A156D7">
        <w:rPr>
          <w:rFonts w:ascii="Times New Roman" w:hAnsi="Times New Roman" w:cs="Times New Roman"/>
          <w:sz w:val="24"/>
          <w:szCs w:val="24"/>
        </w:rPr>
        <w:t>identify</w:t>
      </w:r>
      <w:proofErr w:type="spellEnd"/>
      <w:r w:rsidR="00A156D7" w:rsidRPr="00A156D7">
        <w:rPr>
          <w:rFonts w:ascii="Times New Roman" w:hAnsi="Times New Roman" w:cs="Times New Roman"/>
          <w:sz w:val="24"/>
          <w:szCs w:val="24"/>
        </w:rPr>
        <w:t xml:space="preserve"> </w:t>
      </w:r>
      <w:proofErr w:type="spellStart"/>
      <w:r w:rsidR="00A156D7" w:rsidRPr="00A156D7">
        <w:rPr>
          <w:rFonts w:ascii="Times New Roman" w:hAnsi="Times New Roman" w:cs="Times New Roman"/>
          <w:sz w:val="24"/>
          <w:szCs w:val="24"/>
        </w:rPr>
        <w:t>and</w:t>
      </w:r>
      <w:proofErr w:type="spellEnd"/>
      <w:r w:rsidR="00A156D7" w:rsidRPr="00A156D7">
        <w:rPr>
          <w:rFonts w:ascii="Times New Roman" w:hAnsi="Times New Roman" w:cs="Times New Roman"/>
          <w:sz w:val="24"/>
          <w:szCs w:val="24"/>
        </w:rPr>
        <w:t xml:space="preserve"> </w:t>
      </w:r>
      <w:proofErr w:type="spellStart"/>
      <w:r w:rsidR="00A156D7" w:rsidRPr="00A156D7">
        <w:rPr>
          <w:rFonts w:ascii="Times New Roman" w:hAnsi="Times New Roman" w:cs="Times New Roman"/>
          <w:sz w:val="24"/>
          <w:szCs w:val="24"/>
        </w:rPr>
        <w:t>elucidate</w:t>
      </w:r>
      <w:proofErr w:type="spellEnd"/>
      <w:r w:rsidR="00A156D7" w:rsidRPr="00A156D7">
        <w:rPr>
          <w:rFonts w:ascii="Times New Roman" w:hAnsi="Times New Roman" w:cs="Times New Roman"/>
          <w:sz w:val="24"/>
          <w:szCs w:val="24"/>
        </w:rPr>
        <w:t xml:space="preserve"> </w:t>
      </w:r>
      <w:proofErr w:type="spellStart"/>
      <w:r w:rsidR="00A156D7" w:rsidRPr="00A156D7">
        <w:rPr>
          <w:rFonts w:ascii="Times New Roman" w:hAnsi="Times New Roman" w:cs="Times New Roman"/>
          <w:sz w:val="24"/>
          <w:szCs w:val="24"/>
        </w:rPr>
        <w:t>the</w:t>
      </w:r>
      <w:proofErr w:type="spellEnd"/>
      <w:r w:rsidR="00A156D7" w:rsidRPr="00A156D7">
        <w:rPr>
          <w:rFonts w:ascii="Times New Roman" w:hAnsi="Times New Roman" w:cs="Times New Roman"/>
          <w:sz w:val="24"/>
          <w:szCs w:val="24"/>
        </w:rPr>
        <w:t xml:space="preserve"> </w:t>
      </w:r>
      <w:proofErr w:type="spellStart"/>
      <w:r w:rsidR="00A156D7" w:rsidRPr="00A156D7">
        <w:rPr>
          <w:rFonts w:ascii="Times New Roman" w:hAnsi="Times New Roman" w:cs="Times New Roman"/>
          <w:sz w:val="24"/>
          <w:szCs w:val="24"/>
        </w:rPr>
        <w:t>potential</w:t>
      </w:r>
      <w:proofErr w:type="spellEnd"/>
      <w:r w:rsidR="00A156D7" w:rsidRPr="00A156D7">
        <w:rPr>
          <w:rFonts w:ascii="Times New Roman" w:hAnsi="Times New Roman" w:cs="Times New Roman"/>
          <w:sz w:val="24"/>
          <w:szCs w:val="24"/>
        </w:rPr>
        <w:t xml:space="preserve"> </w:t>
      </w:r>
      <w:proofErr w:type="spellStart"/>
      <w:r w:rsidR="00A156D7" w:rsidRPr="00A156D7">
        <w:rPr>
          <w:rFonts w:ascii="Times New Roman" w:hAnsi="Times New Roman" w:cs="Times New Roman"/>
          <w:sz w:val="24"/>
          <w:szCs w:val="24"/>
        </w:rPr>
        <w:t>mechanisms</w:t>
      </w:r>
      <w:proofErr w:type="spellEnd"/>
      <w:r w:rsidR="00A156D7" w:rsidRPr="00A156D7">
        <w:rPr>
          <w:rFonts w:ascii="Times New Roman" w:hAnsi="Times New Roman" w:cs="Times New Roman"/>
          <w:sz w:val="24"/>
          <w:szCs w:val="24"/>
        </w:rPr>
        <w:t xml:space="preserve"> </w:t>
      </w:r>
      <w:proofErr w:type="spellStart"/>
      <w:r w:rsidR="00A156D7" w:rsidRPr="00A156D7">
        <w:rPr>
          <w:rFonts w:ascii="Times New Roman" w:hAnsi="Times New Roman" w:cs="Times New Roman"/>
          <w:sz w:val="24"/>
          <w:szCs w:val="24"/>
        </w:rPr>
        <w:t>involved</w:t>
      </w:r>
      <w:proofErr w:type="spellEnd"/>
      <w:r w:rsidR="00A156D7" w:rsidRPr="00A156D7">
        <w:rPr>
          <w:rFonts w:ascii="Times New Roman" w:hAnsi="Times New Roman" w:cs="Times New Roman"/>
          <w:sz w:val="24"/>
          <w:szCs w:val="24"/>
        </w:rPr>
        <w:t xml:space="preserve"> in </w:t>
      </w:r>
      <w:proofErr w:type="spellStart"/>
      <w:r w:rsidR="00A156D7" w:rsidRPr="00A156D7">
        <w:rPr>
          <w:rFonts w:ascii="Times New Roman" w:hAnsi="Times New Roman" w:cs="Times New Roman"/>
          <w:sz w:val="24"/>
          <w:szCs w:val="24"/>
        </w:rPr>
        <w:t>the</w:t>
      </w:r>
      <w:proofErr w:type="spellEnd"/>
      <w:r w:rsidR="00A156D7" w:rsidRPr="00A156D7">
        <w:rPr>
          <w:rFonts w:ascii="Times New Roman" w:hAnsi="Times New Roman" w:cs="Times New Roman"/>
          <w:sz w:val="24"/>
          <w:szCs w:val="24"/>
        </w:rPr>
        <w:t xml:space="preserve"> </w:t>
      </w:r>
      <w:proofErr w:type="spellStart"/>
      <w:r w:rsidR="00A156D7" w:rsidRPr="00A156D7">
        <w:rPr>
          <w:rFonts w:ascii="Times New Roman" w:hAnsi="Times New Roman" w:cs="Times New Roman"/>
          <w:sz w:val="24"/>
          <w:szCs w:val="24"/>
        </w:rPr>
        <w:t>a</w:t>
      </w:r>
      <w:r w:rsidR="00A156D7">
        <w:rPr>
          <w:rFonts w:ascii="Times New Roman" w:hAnsi="Times New Roman" w:cs="Times New Roman"/>
          <w:sz w:val="24"/>
          <w:szCs w:val="24"/>
        </w:rPr>
        <w:t>ctivities</w:t>
      </w:r>
      <w:proofErr w:type="spellEnd"/>
      <w:r w:rsidR="00A156D7">
        <w:rPr>
          <w:rFonts w:ascii="Times New Roman" w:hAnsi="Times New Roman" w:cs="Times New Roman"/>
          <w:sz w:val="24"/>
          <w:szCs w:val="24"/>
        </w:rPr>
        <w:t xml:space="preserve"> </w:t>
      </w:r>
      <w:proofErr w:type="spellStart"/>
      <w:r w:rsidR="00A156D7">
        <w:rPr>
          <w:rFonts w:ascii="Times New Roman" w:hAnsi="Times New Roman" w:cs="Times New Roman"/>
          <w:sz w:val="24"/>
          <w:szCs w:val="24"/>
        </w:rPr>
        <w:t>above</w:t>
      </w:r>
      <w:proofErr w:type="spellEnd"/>
      <w:r w:rsidR="00A156D7" w:rsidRPr="00A156D7">
        <w:rPr>
          <w:rFonts w:ascii="Times New Roman" w:hAnsi="Times New Roman" w:cs="Times New Roman"/>
          <w:sz w:val="24"/>
          <w:szCs w:val="24"/>
        </w:rPr>
        <w:t xml:space="preserve">. The </w:t>
      </w:r>
      <w:proofErr w:type="spellStart"/>
      <w:r w:rsidR="00A156D7" w:rsidRPr="00A156D7">
        <w:rPr>
          <w:rFonts w:ascii="Times New Roman" w:hAnsi="Times New Roman" w:cs="Times New Roman"/>
          <w:sz w:val="24"/>
          <w:szCs w:val="24"/>
        </w:rPr>
        <w:t>method</w:t>
      </w:r>
      <w:proofErr w:type="spellEnd"/>
      <w:r w:rsidR="00A156D7" w:rsidRPr="00A156D7">
        <w:rPr>
          <w:rFonts w:ascii="Times New Roman" w:hAnsi="Times New Roman" w:cs="Times New Roman"/>
          <w:sz w:val="24"/>
          <w:szCs w:val="24"/>
        </w:rPr>
        <w:t xml:space="preserve"> </w:t>
      </w:r>
      <w:proofErr w:type="spellStart"/>
      <w:r w:rsidR="00A156D7" w:rsidRPr="00A156D7">
        <w:rPr>
          <w:rFonts w:ascii="Times New Roman" w:hAnsi="Times New Roman" w:cs="Times New Roman"/>
          <w:sz w:val="24"/>
          <w:szCs w:val="24"/>
        </w:rPr>
        <w:t>of</w:t>
      </w:r>
      <w:proofErr w:type="spellEnd"/>
      <w:r w:rsidR="00A156D7" w:rsidRPr="00A156D7">
        <w:rPr>
          <w:rFonts w:ascii="Times New Roman" w:hAnsi="Times New Roman" w:cs="Times New Roman"/>
          <w:sz w:val="24"/>
          <w:szCs w:val="24"/>
        </w:rPr>
        <w:t xml:space="preserve"> </w:t>
      </w:r>
      <w:proofErr w:type="spellStart"/>
      <w:r w:rsidR="00A156D7" w:rsidRPr="00A156D7">
        <w:rPr>
          <w:rFonts w:ascii="Times New Roman" w:hAnsi="Times New Roman" w:cs="Times New Roman"/>
          <w:sz w:val="24"/>
          <w:szCs w:val="24"/>
        </w:rPr>
        <w:t>choice</w:t>
      </w:r>
      <w:proofErr w:type="spellEnd"/>
      <w:r w:rsidR="00A156D7" w:rsidRPr="00A156D7">
        <w:rPr>
          <w:rFonts w:ascii="Times New Roman" w:hAnsi="Times New Roman" w:cs="Times New Roman"/>
          <w:sz w:val="24"/>
          <w:szCs w:val="24"/>
        </w:rPr>
        <w:t xml:space="preserve"> </w:t>
      </w:r>
      <w:proofErr w:type="spellStart"/>
      <w:r w:rsidR="00A156D7" w:rsidRPr="00A156D7">
        <w:rPr>
          <w:rFonts w:ascii="Times New Roman" w:hAnsi="Times New Roman" w:cs="Times New Roman"/>
          <w:sz w:val="24"/>
          <w:szCs w:val="24"/>
        </w:rPr>
        <w:t>employed</w:t>
      </w:r>
      <w:proofErr w:type="spellEnd"/>
      <w:r w:rsidR="00A156D7" w:rsidRPr="00A156D7">
        <w:rPr>
          <w:rFonts w:ascii="Times New Roman" w:hAnsi="Times New Roman" w:cs="Times New Roman"/>
          <w:sz w:val="24"/>
          <w:szCs w:val="24"/>
        </w:rPr>
        <w:t xml:space="preserve"> </w:t>
      </w:r>
      <w:proofErr w:type="spellStart"/>
      <w:r w:rsidR="00A156D7" w:rsidRPr="00A156D7">
        <w:rPr>
          <w:rFonts w:ascii="Times New Roman" w:hAnsi="Times New Roman" w:cs="Times New Roman"/>
          <w:sz w:val="24"/>
          <w:szCs w:val="24"/>
        </w:rPr>
        <w:t>to</w:t>
      </w:r>
      <w:proofErr w:type="spellEnd"/>
      <w:r w:rsidR="00A156D7" w:rsidRPr="00A156D7">
        <w:rPr>
          <w:rFonts w:ascii="Times New Roman" w:hAnsi="Times New Roman" w:cs="Times New Roman"/>
          <w:sz w:val="24"/>
          <w:szCs w:val="24"/>
        </w:rPr>
        <w:t xml:space="preserve"> </w:t>
      </w:r>
      <w:proofErr w:type="spellStart"/>
      <w:r w:rsidR="00A156D7" w:rsidRPr="00A156D7">
        <w:rPr>
          <w:rFonts w:ascii="Times New Roman" w:hAnsi="Times New Roman" w:cs="Times New Roman"/>
          <w:sz w:val="24"/>
          <w:szCs w:val="24"/>
        </w:rPr>
        <w:t>predict</w:t>
      </w:r>
      <w:proofErr w:type="spellEnd"/>
      <w:r w:rsidR="00A156D7" w:rsidRPr="00A156D7">
        <w:rPr>
          <w:rFonts w:ascii="Times New Roman" w:hAnsi="Times New Roman" w:cs="Times New Roman"/>
          <w:sz w:val="24"/>
          <w:szCs w:val="24"/>
        </w:rPr>
        <w:t xml:space="preserve"> </w:t>
      </w:r>
      <w:proofErr w:type="spellStart"/>
      <w:r w:rsidR="00A156D7" w:rsidRPr="00A156D7">
        <w:rPr>
          <w:rFonts w:ascii="Times New Roman" w:hAnsi="Times New Roman" w:cs="Times New Roman"/>
          <w:sz w:val="24"/>
          <w:szCs w:val="24"/>
        </w:rPr>
        <w:t>biological</w:t>
      </w:r>
      <w:proofErr w:type="spellEnd"/>
      <w:r w:rsidR="00A156D7" w:rsidRPr="00A156D7">
        <w:rPr>
          <w:rFonts w:ascii="Times New Roman" w:hAnsi="Times New Roman" w:cs="Times New Roman"/>
          <w:sz w:val="24"/>
          <w:szCs w:val="24"/>
        </w:rPr>
        <w:t xml:space="preserve"> </w:t>
      </w:r>
      <w:proofErr w:type="spellStart"/>
      <w:r w:rsidR="00A156D7" w:rsidRPr="00A156D7">
        <w:rPr>
          <w:rFonts w:ascii="Times New Roman" w:hAnsi="Times New Roman" w:cs="Times New Roman"/>
          <w:sz w:val="24"/>
          <w:szCs w:val="24"/>
        </w:rPr>
        <w:t>activity</w:t>
      </w:r>
      <w:proofErr w:type="spellEnd"/>
      <w:r w:rsidR="00A156D7" w:rsidRPr="00A156D7">
        <w:rPr>
          <w:rFonts w:ascii="Times New Roman" w:hAnsi="Times New Roman" w:cs="Times New Roman"/>
          <w:sz w:val="24"/>
          <w:szCs w:val="24"/>
        </w:rPr>
        <w:t xml:space="preserve">, </w:t>
      </w:r>
      <w:proofErr w:type="spellStart"/>
      <w:r w:rsidR="00A156D7" w:rsidRPr="00A156D7">
        <w:rPr>
          <w:rFonts w:ascii="Times New Roman" w:hAnsi="Times New Roman" w:cs="Times New Roman"/>
          <w:sz w:val="24"/>
          <w:szCs w:val="24"/>
        </w:rPr>
        <w:t>pharmacodynamics</w:t>
      </w:r>
      <w:proofErr w:type="spellEnd"/>
      <w:r w:rsidR="00A156D7">
        <w:rPr>
          <w:rFonts w:ascii="Times New Roman" w:hAnsi="Times New Roman" w:cs="Times New Roman"/>
          <w:sz w:val="24"/>
          <w:szCs w:val="24"/>
        </w:rPr>
        <w:t>,</w:t>
      </w:r>
      <w:r w:rsidR="00A156D7" w:rsidRPr="00A156D7">
        <w:rPr>
          <w:rFonts w:ascii="Times New Roman" w:hAnsi="Times New Roman" w:cs="Times New Roman"/>
          <w:sz w:val="24"/>
          <w:szCs w:val="24"/>
        </w:rPr>
        <w:t xml:space="preserve"> </w:t>
      </w:r>
      <w:proofErr w:type="spellStart"/>
      <w:r w:rsidR="00A156D7" w:rsidRPr="00A156D7">
        <w:rPr>
          <w:rFonts w:ascii="Times New Roman" w:hAnsi="Times New Roman" w:cs="Times New Roman"/>
          <w:sz w:val="24"/>
          <w:szCs w:val="24"/>
        </w:rPr>
        <w:t>and</w:t>
      </w:r>
      <w:proofErr w:type="spellEnd"/>
      <w:r w:rsidR="00A156D7" w:rsidRPr="00A156D7">
        <w:rPr>
          <w:rFonts w:ascii="Times New Roman" w:hAnsi="Times New Roman" w:cs="Times New Roman"/>
          <w:sz w:val="24"/>
          <w:szCs w:val="24"/>
        </w:rPr>
        <w:t xml:space="preserve"> </w:t>
      </w:r>
      <w:proofErr w:type="spellStart"/>
      <w:r w:rsidR="00A156D7" w:rsidRPr="00A156D7">
        <w:rPr>
          <w:rFonts w:ascii="Times New Roman" w:hAnsi="Times New Roman" w:cs="Times New Roman"/>
          <w:sz w:val="24"/>
          <w:szCs w:val="24"/>
        </w:rPr>
        <w:t>toxicity</w:t>
      </w:r>
      <w:proofErr w:type="spellEnd"/>
      <w:r w:rsidR="00A156D7" w:rsidRPr="00A156D7">
        <w:rPr>
          <w:rFonts w:ascii="Times New Roman" w:hAnsi="Times New Roman" w:cs="Times New Roman"/>
          <w:sz w:val="24"/>
          <w:szCs w:val="24"/>
        </w:rPr>
        <w:t xml:space="preserve"> </w:t>
      </w:r>
      <w:proofErr w:type="spellStart"/>
      <w:r w:rsidR="00A156D7" w:rsidRPr="00A156D7">
        <w:rPr>
          <w:rFonts w:ascii="Times New Roman" w:hAnsi="Times New Roman" w:cs="Times New Roman"/>
          <w:sz w:val="24"/>
          <w:szCs w:val="24"/>
        </w:rPr>
        <w:t>was</w:t>
      </w:r>
      <w:proofErr w:type="spellEnd"/>
      <w:r w:rsidR="00A156D7" w:rsidRPr="00A156D7">
        <w:rPr>
          <w:rFonts w:ascii="Times New Roman" w:hAnsi="Times New Roman" w:cs="Times New Roman"/>
          <w:sz w:val="24"/>
          <w:szCs w:val="24"/>
        </w:rPr>
        <w:t xml:space="preserve"> </w:t>
      </w:r>
      <w:r w:rsidR="00A156D7" w:rsidRPr="00A156D7">
        <w:rPr>
          <w:rFonts w:ascii="Times New Roman" w:hAnsi="Times New Roman" w:cs="Times New Roman"/>
          <w:i/>
          <w:iCs/>
          <w:sz w:val="24"/>
          <w:szCs w:val="24"/>
        </w:rPr>
        <w:t xml:space="preserve">in </w:t>
      </w:r>
      <w:proofErr w:type="spellStart"/>
      <w:r w:rsidR="00A156D7" w:rsidRPr="00A156D7">
        <w:rPr>
          <w:rFonts w:ascii="Times New Roman" w:hAnsi="Times New Roman" w:cs="Times New Roman"/>
          <w:i/>
          <w:iCs/>
          <w:sz w:val="24"/>
          <w:szCs w:val="24"/>
        </w:rPr>
        <w:t>silico</w:t>
      </w:r>
      <w:proofErr w:type="spellEnd"/>
      <w:r w:rsidR="00A156D7" w:rsidRPr="00A156D7">
        <w:rPr>
          <w:rFonts w:ascii="Times New Roman" w:hAnsi="Times New Roman" w:cs="Times New Roman"/>
          <w:sz w:val="24"/>
          <w:szCs w:val="24"/>
        </w:rPr>
        <w:t xml:space="preserve"> tools. In </w:t>
      </w:r>
      <w:proofErr w:type="spellStart"/>
      <w:r w:rsidR="00A156D7" w:rsidRPr="00A156D7">
        <w:rPr>
          <w:rFonts w:ascii="Times New Roman" w:hAnsi="Times New Roman" w:cs="Times New Roman"/>
          <w:sz w:val="24"/>
          <w:szCs w:val="24"/>
        </w:rPr>
        <w:t>addition</w:t>
      </w:r>
      <w:proofErr w:type="spellEnd"/>
      <w:r w:rsidR="00A156D7" w:rsidRPr="00A156D7">
        <w:rPr>
          <w:rFonts w:ascii="Times New Roman" w:hAnsi="Times New Roman" w:cs="Times New Roman"/>
          <w:sz w:val="24"/>
          <w:szCs w:val="24"/>
        </w:rPr>
        <w:t xml:space="preserve">, </w:t>
      </w:r>
      <w:proofErr w:type="spellStart"/>
      <w:r w:rsidR="00A156D7" w:rsidRPr="00A156D7">
        <w:rPr>
          <w:rFonts w:ascii="Times New Roman" w:hAnsi="Times New Roman" w:cs="Times New Roman"/>
          <w:sz w:val="24"/>
          <w:szCs w:val="24"/>
        </w:rPr>
        <w:t>docking</w:t>
      </w:r>
      <w:proofErr w:type="spellEnd"/>
      <w:r w:rsidR="00A156D7" w:rsidRPr="00A156D7">
        <w:rPr>
          <w:rFonts w:ascii="Times New Roman" w:hAnsi="Times New Roman" w:cs="Times New Roman"/>
          <w:sz w:val="24"/>
          <w:szCs w:val="24"/>
        </w:rPr>
        <w:t xml:space="preserve"> </w:t>
      </w:r>
      <w:proofErr w:type="spellStart"/>
      <w:r w:rsidR="00A156D7" w:rsidRPr="00A156D7">
        <w:rPr>
          <w:rFonts w:ascii="Times New Roman" w:hAnsi="Times New Roman" w:cs="Times New Roman"/>
          <w:sz w:val="24"/>
          <w:szCs w:val="24"/>
        </w:rPr>
        <w:t>and</w:t>
      </w:r>
      <w:proofErr w:type="spellEnd"/>
      <w:r w:rsidR="00A156D7" w:rsidRPr="00A156D7">
        <w:rPr>
          <w:rFonts w:ascii="Times New Roman" w:hAnsi="Times New Roman" w:cs="Times New Roman"/>
          <w:sz w:val="24"/>
          <w:szCs w:val="24"/>
        </w:rPr>
        <w:t xml:space="preserve"> </w:t>
      </w:r>
      <w:proofErr w:type="spellStart"/>
      <w:r w:rsidR="00A156D7" w:rsidRPr="00A156D7">
        <w:rPr>
          <w:rFonts w:ascii="Times New Roman" w:hAnsi="Times New Roman" w:cs="Times New Roman"/>
          <w:sz w:val="24"/>
          <w:szCs w:val="24"/>
        </w:rPr>
        <w:t>redocking</w:t>
      </w:r>
      <w:proofErr w:type="spellEnd"/>
      <w:r w:rsidR="00A156D7" w:rsidRPr="00A156D7">
        <w:rPr>
          <w:rFonts w:ascii="Times New Roman" w:hAnsi="Times New Roman" w:cs="Times New Roman"/>
          <w:sz w:val="24"/>
          <w:szCs w:val="24"/>
        </w:rPr>
        <w:t xml:space="preserve"> </w:t>
      </w:r>
      <w:proofErr w:type="spellStart"/>
      <w:r w:rsidR="00A156D7" w:rsidRPr="00A156D7">
        <w:rPr>
          <w:rFonts w:ascii="Times New Roman" w:hAnsi="Times New Roman" w:cs="Times New Roman"/>
          <w:sz w:val="24"/>
          <w:szCs w:val="24"/>
        </w:rPr>
        <w:t>were</w:t>
      </w:r>
      <w:proofErr w:type="spellEnd"/>
      <w:r w:rsidR="00A156D7" w:rsidRPr="00A156D7">
        <w:rPr>
          <w:rFonts w:ascii="Times New Roman" w:hAnsi="Times New Roman" w:cs="Times New Roman"/>
          <w:sz w:val="24"/>
          <w:szCs w:val="24"/>
        </w:rPr>
        <w:t xml:space="preserve"> </w:t>
      </w:r>
      <w:proofErr w:type="spellStart"/>
      <w:r w:rsidR="00A156D7" w:rsidRPr="00A156D7">
        <w:rPr>
          <w:rFonts w:ascii="Times New Roman" w:hAnsi="Times New Roman" w:cs="Times New Roman"/>
          <w:sz w:val="24"/>
          <w:szCs w:val="24"/>
        </w:rPr>
        <w:t>performed</w:t>
      </w:r>
      <w:proofErr w:type="spellEnd"/>
      <w:r w:rsidR="00A156D7" w:rsidRPr="00A156D7">
        <w:rPr>
          <w:rFonts w:ascii="Times New Roman" w:hAnsi="Times New Roman" w:cs="Times New Roman"/>
          <w:sz w:val="24"/>
          <w:szCs w:val="24"/>
        </w:rPr>
        <w:t xml:space="preserve">. </w:t>
      </w:r>
      <w:proofErr w:type="spellStart"/>
      <w:r w:rsidR="00A156D7" w:rsidRPr="00A156D7">
        <w:rPr>
          <w:rFonts w:ascii="Times New Roman" w:hAnsi="Times New Roman" w:cs="Times New Roman"/>
          <w:sz w:val="24"/>
          <w:szCs w:val="24"/>
        </w:rPr>
        <w:t>Among</w:t>
      </w:r>
      <w:proofErr w:type="spellEnd"/>
      <w:r w:rsidR="00A156D7" w:rsidRPr="00A156D7">
        <w:rPr>
          <w:rFonts w:ascii="Times New Roman" w:hAnsi="Times New Roman" w:cs="Times New Roman"/>
          <w:sz w:val="24"/>
          <w:szCs w:val="24"/>
        </w:rPr>
        <w:t xml:space="preserve"> 28 </w:t>
      </w:r>
      <w:proofErr w:type="spellStart"/>
      <w:r w:rsidR="00A156D7" w:rsidRPr="00A156D7">
        <w:rPr>
          <w:rFonts w:ascii="Times New Roman" w:hAnsi="Times New Roman" w:cs="Times New Roman"/>
          <w:sz w:val="24"/>
          <w:szCs w:val="24"/>
        </w:rPr>
        <w:t>eligible</w:t>
      </w:r>
      <w:proofErr w:type="spellEnd"/>
      <w:r w:rsidR="00A156D7" w:rsidRPr="00A156D7">
        <w:rPr>
          <w:rFonts w:ascii="Times New Roman" w:hAnsi="Times New Roman" w:cs="Times New Roman"/>
          <w:sz w:val="24"/>
          <w:szCs w:val="24"/>
        </w:rPr>
        <w:t xml:space="preserve"> </w:t>
      </w:r>
      <w:proofErr w:type="spellStart"/>
      <w:r w:rsidR="00A156D7" w:rsidRPr="00A156D7">
        <w:rPr>
          <w:rFonts w:ascii="Times New Roman" w:hAnsi="Times New Roman" w:cs="Times New Roman"/>
          <w:sz w:val="24"/>
          <w:szCs w:val="24"/>
        </w:rPr>
        <w:t>compounds</w:t>
      </w:r>
      <w:proofErr w:type="spellEnd"/>
      <w:r w:rsidR="00A156D7" w:rsidRPr="00A156D7">
        <w:rPr>
          <w:rFonts w:ascii="Times New Roman" w:hAnsi="Times New Roman" w:cs="Times New Roman"/>
          <w:sz w:val="24"/>
          <w:szCs w:val="24"/>
        </w:rPr>
        <w:t xml:space="preserve">, 2 </w:t>
      </w:r>
      <w:proofErr w:type="spellStart"/>
      <w:r w:rsidR="00A156D7" w:rsidRPr="00A156D7">
        <w:rPr>
          <w:rFonts w:ascii="Times New Roman" w:hAnsi="Times New Roman" w:cs="Times New Roman"/>
          <w:sz w:val="24"/>
          <w:szCs w:val="24"/>
        </w:rPr>
        <w:t>were</w:t>
      </w:r>
      <w:proofErr w:type="spellEnd"/>
      <w:r w:rsidR="00A156D7" w:rsidRPr="00A156D7">
        <w:rPr>
          <w:rFonts w:ascii="Times New Roman" w:hAnsi="Times New Roman" w:cs="Times New Roman"/>
          <w:sz w:val="24"/>
          <w:szCs w:val="24"/>
        </w:rPr>
        <w:t xml:space="preserve"> </w:t>
      </w:r>
      <w:proofErr w:type="spellStart"/>
      <w:r w:rsidR="00A156D7" w:rsidRPr="00A156D7">
        <w:rPr>
          <w:rFonts w:ascii="Times New Roman" w:hAnsi="Times New Roman" w:cs="Times New Roman"/>
          <w:sz w:val="24"/>
          <w:szCs w:val="24"/>
        </w:rPr>
        <w:t>the</w:t>
      </w:r>
      <w:proofErr w:type="spellEnd"/>
      <w:r w:rsidR="00A156D7" w:rsidRPr="00A156D7">
        <w:rPr>
          <w:rFonts w:ascii="Times New Roman" w:hAnsi="Times New Roman" w:cs="Times New Roman"/>
          <w:sz w:val="24"/>
          <w:szCs w:val="24"/>
        </w:rPr>
        <w:t xml:space="preserve"> </w:t>
      </w:r>
      <w:proofErr w:type="spellStart"/>
      <w:r w:rsidR="00A156D7" w:rsidRPr="00A156D7">
        <w:rPr>
          <w:rFonts w:ascii="Times New Roman" w:hAnsi="Times New Roman" w:cs="Times New Roman"/>
          <w:sz w:val="24"/>
          <w:szCs w:val="24"/>
        </w:rPr>
        <w:t>most</w:t>
      </w:r>
      <w:proofErr w:type="spellEnd"/>
      <w:r w:rsidR="00A156D7" w:rsidRPr="00A156D7">
        <w:rPr>
          <w:rFonts w:ascii="Times New Roman" w:hAnsi="Times New Roman" w:cs="Times New Roman"/>
          <w:sz w:val="24"/>
          <w:szCs w:val="24"/>
        </w:rPr>
        <w:t xml:space="preserve"> </w:t>
      </w:r>
      <w:proofErr w:type="spellStart"/>
      <w:r w:rsidR="00A156D7" w:rsidRPr="00A156D7">
        <w:rPr>
          <w:rFonts w:ascii="Times New Roman" w:hAnsi="Times New Roman" w:cs="Times New Roman"/>
          <w:sz w:val="24"/>
          <w:szCs w:val="24"/>
        </w:rPr>
        <w:t>promising</w:t>
      </w:r>
      <w:proofErr w:type="spellEnd"/>
      <w:r w:rsidR="00A156D7" w:rsidRPr="00A156D7">
        <w:rPr>
          <w:rFonts w:ascii="Times New Roman" w:hAnsi="Times New Roman" w:cs="Times New Roman"/>
          <w:sz w:val="24"/>
          <w:szCs w:val="24"/>
        </w:rPr>
        <w:t xml:space="preserve">, </w:t>
      </w:r>
      <w:proofErr w:type="spellStart"/>
      <w:r w:rsidR="00A156D7" w:rsidRPr="00A156D7">
        <w:rPr>
          <w:rFonts w:ascii="Times New Roman" w:hAnsi="Times New Roman" w:cs="Times New Roman"/>
          <w:sz w:val="24"/>
          <w:szCs w:val="24"/>
        </w:rPr>
        <w:t>trigonelline</w:t>
      </w:r>
      <w:proofErr w:type="spellEnd"/>
      <w:r w:rsidR="00A156D7" w:rsidRPr="00A156D7">
        <w:rPr>
          <w:rFonts w:ascii="Times New Roman" w:hAnsi="Times New Roman" w:cs="Times New Roman"/>
          <w:sz w:val="24"/>
          <w:szCs w:val="24"/>
        </w:rPr>
        <w:t xml:space="preserve"> </w:t>
      </w:r>
      <w:proofErr w:type="spellStart"/>
      <w:r w:rsidR="00A156D7" w:rsidRPr="00A156D7">
        <w:rPr>
          <w:rFonts w:ascii="Times New Roman" w:hAnsi="Times New Roman" w:cs="Times New Roman"/>
          <w:sz w:val="24"/>
          <w:szCs w:val="24"/>
        </w:rPr>
        <w:t>and</w:t>
      </w:r>
      <w:proofErr w:type="spellEnd"/>
      <w:r w:rsidR="00A156D7" w:rsidRPr="00A156D7">
        <w:rPr>
          <w:rFonts w:ascii="Times New Roman" w:hAnsi="Times New Roman" w:cs="Times New Roman"/>
          <w:sz w:val="24"/>
          <w:szCs w:val="24"/>
        </w:rPr>
        <w:t xml:space="preserve"> </w:t>
      </w:r>
      <w:proofErr w:type="spellStart"/>
      <w:r w:rsidR="00A156D7" w:rsidRPr="00A156D7">
        <w:rPr>
          <w:rFonts w:ascii="Times New Roman" w:hAnsi="Times New Roman" w:cs="Times New Roman"/>
          <w:sz w:val="24"/>
          <w:szCs w:val="24"/>
        </w:rPr>
        <w:t>gallic</w:t>
      </w:r>
      <w:proofErr w:type="spellEnd"/>
      <w:r w:rsidR="00A156D7" w:rsidRPr="00A156D7">
        <w:rPr>
          <w:rFonts w:ascii="Times New Roman" w:hAnsi="Times New Roman" w:cs="Times New Roman"/>
          <w:sz w:val="24"/>
          <w:szCs w:val="24"/>
        </w:rPr>
        <w:t xml:space="preserve"> </w:t>
      </w:r>
      <w:proofErr w:type="spellStart"/>
      <w:r w:rsidR="00A156D7" w:rsidRPr="00A156D7">
        <w:rPr>
          <w:rFonts w:ascii="Times New Roman" w:hAnsi="Times New Roman" w:cs="Times New Roman"/>
          <w:sz w:val="24"/>
          <w:szCs w:val="24"/>
        </w:rPr>
        <w:t>acid</w:t>
      </w:r>
      <w:proofErr w:type="spellEnd"/>
      <w:r w:rsidR="00A156D7" w:rsidRPr="00A156D7">
        <w:rPr>
          <w:rFonts w:ascii="Times New Roman" w:hAnsi="Times New Roman" w:cs="Times New Roman"/>
          <w:sz w:val="24"/>
          <w:szCs w:val="24"/>
        </w:rPr>
        <w:t xml:space="preserve">. </w:t>
      </w:r>
      <w:proofErr w:type="spellStart"/>
      <w:r w:rsidR="00A156D7" w:rsidRPr="00A156D7">
        <w:rPr>
          <w:rFonts w:ascii="Times New Roman" w:hAnsi="Times New Roman" w:cs="Times New Roman"/>
          <w:sz w:val="24"/>
          <w:szCs w:val="24"/>
        </w:rPr>
        <w:t>This</w:t>
      </w:r>
      <w:proofErr w:type="spellEnd"/>
      <w:r w:rsidR="00A156D7" w:rsidRPr="00A156D7">
        <w:rPr>
          <w:rFonts w:ascii="Times New Roman" w:hAnsi="Times New Roman" w:cs="Times New Roman"/>
          <w:sz w:val="24"/>
          <w:szCs w:val="24"/>
        </w:rPr>
        <w:t xml:space="preserve"> </w:t>
      </w:r>
      <w:proofErr w:type="spellStart"/>
      <w:r w:rsidR="00A156D7" w:rsidRPr="00A156D7">
        <w:rPr>
          <w:rFonts w:ascii="Times New Roman" w:hAnsi="Times New Roman" w:cs="Times New Roman"/>
          <w:sz w:val="24"/>
          <w:szCs w:val="24"/>
        </w:rPr>
        <w:t>study</w:t>
      </w:r>
      <w:proofErr w:type="spellEnd"/>
      <w:r w:rsidR="00A156D7" w:rsidRPr="00A156D7">
        <w:rPr>
          <w:rFonts w:ascii="Times New Roman" w:hAnsi="Times New Roman" w:cs="Times New Roman"/>
          <w:sz w:val="24"/>
          <w:szCs w:val="24"/>
        </w:rPr>
        <w:t xml:space="preserve"> opens perspectives for </w:t>
      </w:r>
      <w:r w:rsidR="00A156D7" w:rsidRPr="00A156D7">
        <w:rPr>
          <w:rFonts w:ascii="Times New Roman" w:hAnsi="Times New Roman" w:cs="Times New Roman"/>
          <w:i/>
          <w:iCs/>
          <w:sz w:val="24"/>
          <w:szCs w:val="24"/>
        </w:rPr>
        <w:t>in vitro</w:t>
      </w:r>
      <w:r w:rsidR="00A156D7" w:rsidRPr="00A156D7">
        <w:rPr>
          <w:rFonts w:ascii="Times New Roman" w:hAnsi="Times New Roman" w:cs="Times New Roman"/>
          <w:sz w:val="24"/>
          <w:szCs w:val="24"/>
        </w:rPr>
        <w:t xml:space="preserve"> </w:t>
      </w:r>
      <w:proofErr w:type="spellStart"/>
      <w:r w:rsidR="00A156D7" w:rsidRPr="00A156D7">
        <w:rPr>
          <w:rFonts w:ascii="Times New Roman" w:hAnsi="Times New Roman" w:cs="Times New Roman"/>
          <w:sz w:val="24"/>
          <w:szCs w:val="24"/>
        </w:rPr>
        <w:t>and</w:t>
      </w:r>
      <w:proofErr w:type="spellEnd"/>
      <w:r w:rsidR="00A156D7" w:rsidRPr="00A156D7">
        <w:rPr>
          <w:rFonts w:ascii="Times New Roman" w:hAnsi="Times New Roman" w:cs="Times New Roman"/>
          <w:sz w:val="24"/>
          <w:szCs w:val="24"/>
        </w:rPr>
        <w:t xml:space="preserve"> </w:t>
      </w:r>
      <w:r w:rsidR="00A156D7" w:rsidRPr="00A156D7">
        <w:rPr>
          <w:rFonts w:ascii="Times New Roman" w:hAnsi="Times New Roman" w:cs="Times New Roman"/>
          <w:i/>
          <w:iCs/>
          <w:sz w:val="24"/>
          <w:szCs w:val="24"/>
        </w:rPr>
        <w:t>in vivo</w:t>
      </w:r>
      <w:r w:rsidR="00A156D7" w:rsidRPr="00A156D7">
        <w:rPr>
          <w:rFonts w:ascii="Times New Roman" w:hAnsi="Times New Roman" w:cs="Times New Roman"/>
          <w:sz w:val="24"/>
          <w:szCs w:val="24"/>
        </w:rPr>
        <w:t xml:space="preserve"> </w:t>
      </w:r>
      <w:proofErr w:type="spellStart"/>
      <w:r w:rsidR="00A156D7" w:rsidRPr="00A156D7">
        <w:rPr>
          <w:rFonts w:ascii="Times New Roman" w:hAnsi="Times New Roman" w:cs="Times New Roman"/>
          <w:sz w:val="24"/>
          <w:szCs w:val="24"/>
        </w:rPr>
        <w:t>studies</w:t>
      </w:r>
      <w:proofErr w:type="spellEnd"/>
      <w:r w:rsidR="00A156D7" w:rsidRPr="00A156D7">
        <w:rPr>
          <w:rFonts w:ascii="Times New Roman" w:hAnsi="Times New Roman" w:cs="Times New Roman"/>
          <w:sz w:val="24"/>
          <w:szCs w:val="24"/>
        </w:rPr>
        <w:t xml:space="preserve"> </w:t>
      </w:r>
      <w:proofErr w:type="spellStart"/>
      <w:r w:rsidR="00A156D7" w:rsidRPr="00A156D7">
        <w:rPr>
          <w:rFonts w:ascii="Times New Roman" w:hAnsi="Times New Roman" w:cs="Times New Roman"/>
          <w:sz w:val="24"/>
          <w:szCs w:val="24"/>
        </w:rPr>
        <w:t>with</w:t>
      </w:r>
      <w:proofErr w:type="spellEnd"/>
      <w:r w:rsidR="00A156D7" w:rsidRPr="00A156D7">
        <w:rPr>
          <w:rFonts w:ascii="Times New Roman" w:hAnsi="Times New Roman" w:cs="Times New Roman"/>
          <w:sz w:val="24"/>
          <w:szCs w:val="24"/>
        </w:rPr>
        <w:t xml:space="preserve"> </w:t>
      </w:r>
      <w:proofErr w:type="spellStart"/>
      <w:r w:rsidR="00A156D7" w:rsidRPr="00A156D7">
        <w:rPr>
          <w:rFonts w:ascii="Times New Roman" w:hAnsi="Times New Roman" w:cs="Times New Roman"/>
          <w:sz w:val="24"/>
          <w:szCs w:val="24"/>
        </w:rPr>
        <w:t>these</w:t>
      </w:r>
      <w:proofErr w:type="spellEnd"/>
      <w:r w:rsidR="00A156D7" w:rsidRPr="00A156D7">
        <w:rPr>
          <w:rFonts w:ascii="Times New Roman" w:hAnsi="Times New Roman" w:cs="Times New Roman"/>
          <w:sz w:val="24"/>
          <w:szCs w:val="24"/>
        </w:rPr>
        <w:t xml:space="preserve"> </w:t>
      </w:r>
      <w:proofErr w:type="spellStart"/>
      <w:r w:rsidR="00A156D7" w:rsidRPr="00A156D7">
        <w:rPr>
          <w:rFonts w:ascii="Times New Roman" w:hAnsi="Times New Roman" w:cs="Times New Roman"/>
          <w:sz w:val="24"/>
          <w:szCs w:val="24"/>
        </w:rPr>
        <w:t>isolated</w:t>
      </w:r>
      <w:proofErr w:type="spellEnd"/>
      <w:r w:rsidR="00A156D7" w:rsidRPr="00A156D7">
        <w:rPr>
          <w:rFonts w:ascii="Times New Roman" w:hAnsi="Times New Roman" w:cs="Times New Roman"/>
          <w:sz w:val="24"/>
          <w:szCs w:val="24"/>
        </w:rPr>
        <w:t xml:space="preserve"> </w:t>
      </w:r>
      <w:proofErr w:type="spellStart"/>
      <w:r w:rsidR="00A156D7" w:rsidRPr="00A156D7">
        <w:rPr>
          <w:rFonts w:ascii="Times New Roman" w:hAnsi="Times New Roman" w:cs="Times New Roman"/>
          <w:sz w:val="24"/>
          <w:szCs w:val="24"/>
        </w:rPr>
        <w:t>structures</w:t>
      </w:r>
      <w:proofErr w:type="spellEnd"/>
      <w:r w:rsidR="00A156D7" w:rsidRPr="00A156D7">
        <w:rPr>
          <w:rFonts w:ascii="Times New Roman" w:hAnsi="Times New Roman" w:cs="Times New Roman"/>
          <w:sz w:val="24"/>
          <w:szCs w:val="24"/>
        </w:rPr>
        <w:t>.</w:t>
      </w:r>
    </w:p>
    <w:p w14:paraId="7DA0D63D" w14:textId="4FF681B0" w:rsidR="00D06FB2" w:rsidRPr="00A156D7" w:rsidRDefault="00A128AC" w:rsidP="00B87756">
      <w:pPr>
        <w:spacing w:after="0" w:line="360" w:lineRule="auto"/>
        <w:jc w:val="both"/>
        <w:rPr>
          <w:rFonts w:ascii="Times New Roman" w:hAnsi="Times New Roman" w:cs="Times New Roman"/>
          <w:sz w:val="24"/>
          <w:szCs w:val="24"/>
        </w:rPr>
      </w:pPr>
      <w:r>
        <w:rPr>
          <w:rFonts w:ascii="Times New Roman" w:hAnsi="Times New Roman" w:cs="Times New Roman"/>
          <w:b/>
          <w:bCs/>
          <w:sz w:val="24"/>
          <w:szCs w:val="24"/>
        </w:rPr>
        <w:t>Keywords</w:t>
      </w:r>
      <w:r w:rsidR="00A156D7">
        <w:rPr>
          <w:rFonts w:ascii="Times New Roman" w:hAnsi="Times New Roman" w:cs="Times New Roman"/>
          <w:b/>
          <w:bCs/>
          <w:sz w:val="24"/>
          <w:szCs w:val="24"/>
        </w:rPr>
        <w:t xml:space="preserve">: </w:t>
      </w:r>
      <w:proofErr w:type="spellStart"/>
      <w:r w:rsidR="00A156D7" w:rsidRPr="00A156D7">
        <w:rPr>
          <w:rFonts w:ascii="Times New Roman" w:hAnsi="Times New Roman" w:cs="Times New Roman"/>
          <w:sz w:val="24"/>
          <w:szCs w:val="24"/>
        </w:rPr>
        <w:t>Trigonellin</w:t>
      </w:r>
      <w:proofErr w:type="spellEnd"/>
      <w:r w:rsidR="00A156D7" w:rsidRPr="00A156D7">
        <w:rPr>
          <w:rFonts w:ascii="Times New Roman" w:hAnsi="Times New Roman" w:cs="Times New Roman"/>
          <w:sz w:val="24"/>
          <w:szCs w:val="24"/>
        </w:rPr>
        <w:t xml:space="preserve">; </w:t>
      </w:r>
      <w:proofErr w:type="spellStart"/>
      <w:r w:rsidR="00A156D7" w:rsidRPr="00A156D7">
        <w:rPr>
          <w:rFonts w:ascii="Times New Roman" w:hAnsi="Times New Roman" w:cs="Times New Roman"/>
          <w:sz w:val="24"/>
          <w:szCs w:val="24"/>
        </w:rPr>
        <w:t>gallic</w:t>
      </w:r>
      <w:proofErr w:type="spellEnd"/>
      <w:r w:rsidR="00A156D7" w:rsidRPr="00A156D7">
        <w:rPr>
          <w:rFonts w:ascii="Times New Roman" w:hAnsi="Times New Roman" w:cs="Times New Roman"/>
          <w:sz w:val="24"/>
          <w:szCs w:val="24"/>
        </w:rPr>
        <w:t xml:space="preserve"> </w:t>
      </w:r>
      <w:proofErr w:type="spellStart"/>
      <w:r w:rsidR="00A156D7" w:rsidRPr="00A156D7">
        <w:rPr>
          <w:rFonts w:ascii="Times New Roman" w:hAnsi="Times New Roman" w:cs="Times New Roman"/>
          <w:sz w:val="24"/>
          <w:szCs w:val="24"/>
        </w:rPr>
        <w:t>acid</w:t>
      </w:r>
      <w:proofErr w:type="spellEnd"/>
      <w:r w:rsidR="00A156D7" w:rsidRPr="00A156D7">
        <w:rPr>
          <w:rFonts w:ascii="Times New Roman" w:hAnsi="Times New Roman" w:cs="Times New Roman"/>
          <w:sz w:val="24"/>
          <w:szCs w:val="24"/>
        </w:rPr>
        <w:t xml:space="preserve">; molecular </w:t>
      </w:r>
      <w:proofErr w:type="spellStart"/>
      <w:r w:rsidR="00A156D7" w:rsidRPr="00A156D7">
        <w:rPr>
          <w:rFonts w:ascii="Times New Roman" w:hAnsi="Times New Roman" w:cs="Times New Roman"/>
          <w:sz w:val="24"/>
          <w:szCs w:val="24"/>
        </w:rPr>
        <w:t>docking</w:t>
      </w:r>
      <w:proofErr w:type="spellEnd"/>
      <w:r w:rsidR="00A156D7" w:rsidRPr="00A156D7">
        <w:rPr>
          <w:rFonts w:ascii="Times New Roman" w:hAnsi="Times New Roman" w:cs="Times New Roman"/>
          <w:sz w:val="24"/>
          <w:szCs w:val="24"/>
        </w:rPr>
        <w:t xml:space="preserve">; natural </w:t>
      </w:r>
      <w:proofErr w:type="spellStart"/>
      <w:r w:rsidR="00A156D7" w:rsidRPr="00A156D7">
        <w:rPr>
          <w:rFonts w:ascii="Times New Roman" w:hAnsi="Times New Roman" w:cs="Times New Roman"/>
          <w:sz w:val="24"/>
          <w:szCs w:val="24"/>
        </w:rPr>
        <w:t>products</w:t>
      </w:r>
      <w:proofErr w:type="spellEnd"/>
      <w:r w:rsidR="00A156D7">
        <w:rPr>
          <w:rFonts w:ascii="Times New Roman" w:hAnsi="Times New Roman" w:cs="Times New Roman"/>
          <w:sz w:val="24"/>
          <w:szCs w:val="24"/>
        </w:rPr>
        <w:t>.</w:t>
      </w:r>
    </w:p>
    <w:p w14:paraId="2EBDE117" w14:textId="77777777" w:rsidR="00D06FB2" w:rsidRDefault="00D06FB2" w:rsidP="00B87756">
      <w:pPr>
        <w:spacing w:after="0" w:line="360" w:lineRule="auto"/>
        <w:rPr>
          <w:rFonts w:ascii="Times New Roman" w:hAnsi="Times New Roman" w:cs="Times New Roman"/>
          <w:b/>
          <w:bCs/>
          <w:sz w:val="24"/>
          <w:szCs w:val="24"/>
        </w:rPr>
      </w:pPr>
      <w:r>
        <w:rPr>
          <w:rFonts w:ascii="Times New Roman" w:hAnsi="Times New Roman" w:cs="Times New Roman"/>
          <w:b/>
          <w:bCs/>
          <w:sz w:val="24"/>
          <w:szCs w:val="24"/>
        </w:rPr>
        <w:br w:type="page"/>
      </w:r>
    </w:p>
    <w:p w14:paraId="14D27737" w14:textId="38172B20" w:rsidR="00344686" w:rsidRDefault="00344686" w:rsidP="00B87756">
      <w:pPr>
        <w:spacing w:after="0" w:line="360" w:lineRule="auto"/>
        <w:jc w:val="both"/>
        <w:rPr>
          <w:rFonts w:ascii="Times New Roman" w:hAnsi="Times New Roman" w:cs="Times New Roman"/>
          <w:b/>
          <w:bCs/>
          <w:sz w:val="24"/>
          <w:szCs w:val="24"/>
        </w:rPr>
      </w:pPr>
      <w:r w:rsidRPr="00EE7EC5">
        <w:rPr>
          <w:rFonts w:ascii="Times New Roman" w:hAnsi="Times New Roman" w:cs="Times New Roman"/>
          <w:b/>
          <w:bCs/>
          <w:sz w:val="24"/>
          <w:szCs w:val="24"/>
        </w:rPr>
        <w:lastRenderedPageBreak/>
        <w:t>INTRODUÇÃO</w:t>
      </w:r>
    </w:p>
    <w:p w14:paraId="06B1B99A" w14:textId="79B209B4" w:rsidR="00EE7EC5" w:rsidRPr="008B3DB7" w:rsidRDefault="00542377" w:rsidP="00B87756">
      <w:pPr>
        <w:spacing w:after="0" w:line="360" w:lineRule="auto"/>
        <w:ind w:firstLine="708"/>
        <w:jc w:val="both"/>
        <w:rPr>
          <w:rFonts w:ascii="Times New Roman" w:hAnsi="Times New Roman" w:cs="Times New Roman"/>
          <w:sz w:val="24"/>
          <w:szCs w:val="24"/>
        </w:rPr>
      </w:pPr>
      <w:r w:rsidRPr="008B3DB7">
        <w:rPr>
          <w:rFonts w:ascii="Times New Roman" w:hAnsi="Times New Roman" w:cs="Times New Roman"/>
          <w:sz w:val="24"/>
          <w:szCs w:val="24"/>
        </w:rPr>
        <w:t xml:space="preserve">A espécie </w:t>
      </w:r>
      <w:r w:rsidRPr="008B3DB7">
        <w:rPr>
          <w:rFonts w:ascii="Times New Roman" w:hAnsi="Times New Roman" w:cs="Times New Roman"/>
          <w:i/>
          <w:iCs/>
          <w:sz w:val="24"/>
          <w:szCs w:val="24"/>
        </w:rPr>
        <w:t xml:space="preserve">Annona coriacea, </w:t>
      </w:r>
      <w:r w:rsidRPr="008B3DB7">
        <w:rPr>
          <w:rFonts w:ascii="Times New Roman" w:hAnsi="Times New Roman" w:cs="Times New Roman"/>
          <w:sz w:val="24"/>
          <w:szCs w:val="24"/>
        </w:rPr>
        <w:t xml:space="preserve">popularmente conhecida como </w:t>
      </w:r>
      <w:r w:rsidR="00A2452C">
        <w:rPr>
          <w:rFonts w:ascii="Times New Roman" w:hAnsi="Times New Roman" w:cs="Times New Roman"/>
          <w:sz w:val="24"/>
          <w:szCs w:val="24"/>
        </w:rPr>
        <w:t>“</w:t>
      </w:r>
      <w:r w:rsidRPr="008B3DB7">
        <w:rPr>
          <w:rFonts w:ascii="Times New Roman" w:hAnsi="Times New Roman" w:cs="Times New Roman"/>
          <w:sz w:val="24"/>
          <w:szCs w:val="24"/>
        </w:rPr>
        <w:t>araticum</w:t>
      </w:r>
      <w:r w:rsidR="00A2452C">
        <w:rPr>
          <w:rFonts w:ascii="Times New Roman" w:hAnsi="Times New Roman" w:cs="Times New Roman"/>
          <w:sz w:val="24"/>
          <w:szCs w:val="24"/>
        </w:rPr>
        <w:t>”</w:t>
      </w:r>
      <w:r w:rsidRPr="008B3DB7">
        <w:rPr>
          <w:rFonts w:ascii="Times New Roman" w:hAnsi="Times New Roman" w:cs="Times New Roman"/>
          <w:sz w:val="24"/>
          <w:szCs w:val="24"/>
        </w:rPr>
        <w:t xml:space="preserve">, </w:t>
      </w:r>
      <w:r w:rsidR="00A2452C">
        <w:rPr>
          <w:rFonts w:ascii="Times New Roman" w:hAnsi="Times New Roman" w:cs="Times New Roman"/>
          <w:sz w:val="24"/>
          <w:szCs w:val="24"/>
        </w:rPr>
        <w:t>“</w:t>
      </w:r>
      <w:r w:rsidRPr="008B3DB7">
        <w:rPr>
          <w:rFonts w:ascii="Times New Roman" w:hAnsi="Times New Roman" w:cs="Times New Roman"/>
          <w:sz w:val="24"/>
          <w:szCs w:val="24"/>
        </w:rPr>
        <w:t>araticum-liso</w:t>
      </w:r>
      <w:r w:rsidR="00A2452C">
        <w:rPr>
          <w:rFonts w:ascii="Times New Roman" w:hAnsi="Times New Roman" w:cs="Times New Roman"/>
          <w:sz w:val="24"/>
          <w:szCs w:val="24"/>
        </w:rPr>
        <w:t>”</w:t>
      </w:r>
      <w:r w:rsidRPr="008B3DB7">
        <w:rPr>
          <w:rFonts w:ascii="Times New Roman" w:hAnsi="Times New Roman" w:cs="Times New Roman"/>
          <w:sz w:val="24"/>
          <w:szCs w:val="24"/>
        </w:rPr>
        <w:t xml:space="preserve"> e </w:t>
      </w:r>
      <w:r w:rsidR="00A2452C">
        <w:rPr>
          <w:rFonts w:ascii="Times New Roman" w:hAnsi="Times New Roman" w:cs="Times New Roman"/>
          <w:sz w:val="24"/>
          <w:szCs w:val="24"/>
        </w:rPr>
        <w:t>“</w:t>
      </w:r>
      <w:r w:rsidRPr="008B3DB7">
        <w:rPr>
          <w:rFonts w:ascii="Times New Roman" w:hAnsi="Times New Roman" w:cs="Times New Roman"/>
          <w:sz w:val="24"/>
          <w:szCs w:val="24"/>
        </w:rPr>
        <w:t>marolo</w:t>
      </w:r>
      <w:r w:rsidR="00A2452C">
        <w:rPr>
          <w:rFonts w:ascii="Times New Roman" w:hAnsi="Times New Roman" w:cs="Times New Roman"/>
          <w:sz w:val="24"/>
          <w:szCs w:val="24"/>
        </w:rPr>
        <w:t>”</w:t>
      </w:r>
      <w:r w:rsidRPr="008B3DB7">
        <w:rPr>
          <w:rFonts w:ascii="Times New Roman" w:hAnsi="Times New Roman" w:cs="Times New Roman"/>
          <w:sz w:val="24"/>
          <w:szCs w:val="24"/>
        </w:rPr>
        <w:t xml:space="preserve">, é uma árvore pequena, da família </w:t>
      </w:r>
      <w:r w:rsidR="00CF3C97" w:rsidRPr="008B3DB7">
        <w:rPr>
          <w:rFonts w:ascii="Times New Roman" w:hAnsi="Times New Roman" w:cs="Times New Roman"/>
          <w:sz w:val="24"/>
          <w:szCs w:val="24"/>
        </w:rPr>
        <w:t>Annonaceae, comumente encontrado nas regiões norte, nordeste, centro-oeste e sudeste do Brasil. No entanto, pode ser encontrado em outros países como Paraguai, Bolívia e nos trópicos do continente africano</w:t>
      </w:r>
      <w:r w:rsidR="00C93E61" w:rsidRPr="008B3DB7">
        <w:rPr>
          <w:rFonts w:ascii="Times New Roman" w:hAnsi="Times New Roman" w:cs="Times New Roman"/>
          <w:sz w:val="24"/>
          <w:szCs w:val="24"/>
        </w:rPr>
        <w:t xml:space="preserve">. Popularmente, essa espécie é utilizada na produção de soluções caseiras com a finalidade antiprotozoária, antirreumática, anti-helmíntica e </w:t>
      </w:r>
      <w:r w:rsidR="00A2452C" w:rsidRPr="008B3DB7">
        <w:rPr>
          <w:rFonts w:ascii="Times New Roman" w:hAnsi="Times New Roman" w:cs="Times New Roman"/>
          <w:sz w:val="24"/>
          <w:szCs w:val="24"/>
        </w:rPr>
        <w:t>anti-inflamatórias</w:t>
      </w:r>
      <w:r w:rsidR="00C93E61" w:rsidRPr="008B3DB7">
        <w:rPr>
          <w:rFonts w:ascii="Times New Roman" w:hAnsi="Times New Roman" w:cs="Times New Roman"/>
          <w:sz w:val="24"/>
          <w:szCs w:val="24"/>
        </w:rPr>
        <w:t xml:space="preserve">, assim como neuralgias, cefaleias. </w:t>
      </w:r>
      <w:r w:rsidR="00A2452C">
        <w:rPr>
          <w:rFonts w:ascii="Times New Roman" w:hAnsi="Times New Roman" w:cs="Times New Roman"/>
          <w:sz w:val="24"/>
          <w:szCs w:val="24"/>
        </w:rPr>
        <w:t>Além disso</w:t>
      </w:r>
      <w:r w:rsidR="00C93E61" w:rsidRPr="008B3DB7">
        <w:rPr>
          <w:rFonts w:ascii="Times New Roman" w:hAnsi="Times New Roman" w:cs="Times New Roman"/>
          <w:sz w:val="24"/>
          <w:szCs w:val="24"/>
        </w:rPr>
        <w:t>, alguns estudos indicam que algumas espécies do gênero possuem propriedades ansiolítica e antidepressiva</w:t>
      </w:r>
      <w:r w:rsidR="00A128AC">
        <w:rPr>
          <w:rFonts w:ascii="Times New Roman" w:hAnsi="Times New Roman" w:cs="Times New Roman"/>
          <w:sz w:val="24"/>
          <w:szCs w:val="24"/>
        </w:rPr>
        <w:t xml:space="preserve"> </w:t>
      </w:r>
      <w:r w:rsidR="00A128AC">
        <w:rPr>
          <w:rFonts w:ascii="Times New Roman" w:hAnsi="Times New Roman" w:cs="Times New Roman"/>
          <w:sz w:val="24"/>
          <w:szCs w:val="24"/>
        </w:rPr>
        <w:fldChar w:fldCharType="begin" w:fldLock="1"/>
      </w:r>
      <w:r w:rsidR="00A128AC">
        <w:rPr>
          <w:rFonts w:ascii="Times New Roman" w:hAnsi="Times New Roman" w:cs="Times New Roman"/>
          <w:sz w:val="24"/>
          <w:szCs w:val="24"/>
        </w:rPr>
        <w:instrText>ADDIN CSL_CITATION {"citationItems":[{"id":"ITEM-1","itemData":{"DOI":"10.1016/j.fct.2019.111049","ISSN":"18736351","PMID":"31887397","abstract":"This research evaluated the anxiolytic and antidepressant-like effects of a hydroethanolic extract from the leaves of Annona coriacea (EHFAC) and caffeic acid (CA). Mice were intraperitoneally treated with saline, EHFAC (1, 10, 20 mg/kg) or CA (0.15 mg/kg) and subject to the elevated plus-maze, open field, rota-rod, forced swimming and reserpine-induced akinesia tests. Pro-convulsant and anticholinergic effects were also evaluated. EHFAC presented anxiolytic-like effect on the elevated plus-maze, which was partially reversed by flumazenil. A similar effect was observed with CA. In the forced swimming test, EHFAC and CA reduced the immobility time of mice; such effect was potentiated when EHFAC or CA were associated with imipramine, bupropion and fluoxetine. The antidepressant-like effect was reinforced as EHFAC partially reversed the reserpine-induced akinesia. In addition, a pre-treatment with EHFAC and CA did not decrease the latency to 1st seizure of animals that received a sub-convulsive dose of PTZ, nor reduced the intensity of oxotremorine-induced tremors. Taken together, the results indicate that EHFAC and CA have anxiolytic and antidepressant-like effects, which involve important neurotransmitter systems, such as GABAergic and monoaminergic ones, being devoid of side effects, commonly associated with classical psychotropic drugs.","author":[{"dropping-particle":"","family":"Monteiro","given":"Álefe Brito","non-dropping-particle":"","parse-names":false,"suffix":""},{"dropping-particle":"","family":"Kelly de Souza Rodrigues","given":"Cristina","non-dropping-particle":"","parse-names":false,"suffix":""},{"dropping-particle":"","family":"Petícia do Nascimento","given":"Emmily","non-dropping-particle":"","parse-names":false,"suffix":""},{"dropping-particle":"","family":"Sales","given":"Valterlúcio dos Santos","non-dropping-particle":"","parse-names":false,"suffix":""},{"dropping-particle":"","family":"Araújo Delmondes","given":"Gyllyandeson","non-dropping-particle":"de","parse-names":false,"suffix":""},{"dropping-particle":"","family":"Nogueira da Costa","given":"Maria Haiele","non-dropping-particle":"","parse-names":false,"suffix":""},{"dropping-particle":"","family":"Pereira de Oliveira","given":"Victor Afonso","non-dropping-particle":"","parse-names":false,"suffix":""},{"dropping-particle":"","family":"Pereira de Morais","given":"Luis","non-dropping-particle":"","parse-names":false,"suffix":""},{"dropping-particle":"","family":"Boligon","given":"Aline Augusti","non-dropping-particle":"","parse-names":false,"suffix":""},{"dropping-particle":"","family":"Barbosa","given":"Roseli","non-dropping-particle":"","parse-names":false,"suffix":""},{"dropping-particle":"","family":"Martins da Costa","given":"José Galberto","non-dropping-particle":"","parse-names":false,"suffix":""},{"dropping-particle":"","family":"Alencar de Menezes","given":"Irwin Rose","non-dropping-particle":"","parse-names":false,"suffix":""},{"dropping-particle":"","family":"Bezerra Felipe","given":"Cícero Francisco","non-dropping-particle":"","parse-names":false,"suffix":""},{"dropping-particle":"","family":"Kerntopf","given":"Marta Regina","non-dropping-particle":"","parse-names":false,"suffix":""}],"container-title":"Food and Chemical Toxicology","id":"ITEM-1","issued":{"date-parts":[["2020"]]},"page":"111049","publisher":"Elsevier Ltd","title":"Anxiolytic and antidepressant-like effects of Annona coriacea (Mart.) and caffeic acid in mice","type":"article-journal","volume":"136"},"uris":["http://www.mendeley.com/documents/?uuid=54f47848-85a3-4fb3-b99e-3f0d14496937"]}],"mendeley":{"formattedCitation":"(MONTEIRO et al., 2020)","plainTextFormattedCitation":"(MONTEIRO et al., 2020)","previouslyFormattedCitation":"(MONTEIRO et al., 2020)"},"properties":{"noteIndex":0},"schema":"https://github.com/citation-style-language/schema/raw/master/csl-citation.json"}</w:instrText>
      </w:r>
      <w:r w:rsidR="00A128AC">
        <w:rPr>
          <w:rFonts w:ascii="Times New Roman" w:hAnsi="Times New Roman" w:cs="Times New Roman"/>
          <w:sz w:val="24"/>
          <w:szCs w:val="24"/>
        </w:rPr>
        <w:fldChar w:fldCharType="separate"/>
      </w:r>
      <w:r w:rsidR="00A128AC" w:rsidRPr="00A128AC">
        <w:rPr>
          <w:rFonts w:ascii="Times New Roman" w:hAnsi="Times New Roman" w:cs="Times New Roman"/>
          <w:noProof/>
          <w:sz w:val="24"/>
          <w:szCs w:val="24"/>
        </w:rPr>
        <w:t>(MONTEIRO et al., 2020)</w:t>
      </w:r>
      <w:r w:rsidR="00A128AC">
        <w:rPr>
          <w:rFonts w:ascii="Times New Roman" w:hAnsi="Times New Roman" w:cs="Times New Roman"/>
          <w:sz w:val="24"/>
          <w:szCs w:val="24"/>
        </w:rPr>
        <w:fldChar w:fldCharType="end"/>
      </w:r>
      <w:r w:rsidR="00A128AC">
        <w:rPr>
          <w:rFonts w:ascii="Times New Roman" w:hAnsi="Times New Roman" w:cs="Times New Roman"/>
          <w:sz w:val="24"/>
          <w:szCs w:val="24"/>
        </w:rPr>
        <w:fldChar w:fldCharType="begin" w:fldLock="1"/>
      </w:r>
      <w:r w:rsidR="00A128AC">
        <w:rPr>
          <w:rFonts w:ascii="Times New Roman" w:hAnsi="Times New Roman" w:cs="Times New Roman"/>
          <w:sz w:val="24"/>
          <w:szCs w:val="24"/>
        </w:rPr>
        <w:instrText>ADDIN CSL_CITATION {"citationItems":[{"id":"ITEM-1","itemData":{"DOI":"10.1016/j.cbi.2021.109390","ISSN":"18727786","PMID":"33484716","abstract":"Annona coriacea Mart., popularly known as “marolo”, “araticum” and “araticum-liso” is a species distributed in Paraguay and Brazil, and easily found in Caatinga, Cerrado and Pantanal biomes. The araticum has been used in folk medicine for treating of stomatitis, neuralgia, rheumatism, headaches, furuncle, ulcers, and dermatites. The aim of this systematic review was to provide a comprehensive overview of the ethnomedicinal use, phytochemistry and pharmacological activity of A. coriacea. A search for scientific articles of electronic databases (Science Direct, PubMed, Lilacs, Scopus, Google Scholar, Scielo and Web of Science) was performed identifying studies published until may 2020. All papers considering traditional medicinal uses, phytochemistry and pharmacological properties were included. 46 articles (n = 212 subjects) were selected for inclusion in this review. Of the 46 articles reviewed, 32 focused on exposing some biological activity, while 14 limited to phytochemical studies. The studies showed the presence of a diversity of secondary metabolites such as acetogenins, sesquiterpenes, alkaloids, flavonoids and diterpenes. To date, pharmacological studies have demonstrated significant biological activities, most promising are anticancer, antiparasitic and insecticide activities. Utilization of A. coriacea appears promising and describes its possible uses for human health with activities like antioxidant, anxiolytic, antiviral, antitumor, antifungal insecticide, antiparasitic, and others. Furthermore, comprehensive studies involving clinical trials are required to scientifically validate the existing traditional practices in relation to its health benefits.","author":[{"dropping-particle":"","family":"Nogueira da Silva Avelino Oliveira Rocha","given":"Giovanna","non-dropping-particle":"","parse-names":false,"suffix":""},{"dropping-particle":"","family":"Dutra","given":"Lívia Macedo","non-dropping-particle":"","parse-names":false,"suffix":""},{"dropping-particle":"","family":"Lorenzo","given":"Vitor Prates","non-dropping-particle":"","parse-names":false,"suffix":""},{"dropping-particle":"","family":"Guedes da Silva Almeida","given":"Jackson Roberto","non-dropping-particle":"","parse-names":false,"suffix":""}],"container-title":"Chemico-Biological Interactions","id":"ITEM-1","issue":"January","issued":{"date-parts":[["2021"]]},"page":"109390","publisher":"Elsevier B.V.","title":"Phytochemicals and biological properties of Annona coriacea Mart. (Annonaceae): A systematic review from 1971 to 2020","type":"article-journal","volume":"336"},"uris":["http://www.mendeley.com/documents/?uuid=4aa1112b-b26e-400c-acb2-1dc376402b0f"]}],"mendeley":{"formattedCitation":"(NOGUEIRA DA SILVA AVELINO OLIVEIRA ROCHA et al., 2021)","plainTextFormattedCitation":"(NOGUEIRA DA SILVA AVELINO OLIVEIRA ROCHA et al., 2021)","previouslyFormattedCitation":"(NOGUEIRA DA SILVA AVELINO OLIVEIRA ROCHA et al., 2021)"},"properties":{"noteIndex":0},"schema":"https://github.com/citation-style-language/schema/raw/master/csl-citation.json"}</w:instrText>
      </w:r>
      <w:r w:rsidR="00A128AC">
        <w:rPr>
          <w:rFonts w:ascii="Times New Roman" w:hAnsi="Times New Roman" w:cs="Times New Roman"/>
          <w:sz w:val="24"/>
          <w:szCs w:val="24"/>
        </w:rPr>
        <w:fldChar w:fldCharType="separate"/>
      </w:r>
      <w:r w:rsidR="00A128AC" w:rsidRPr="00A128AC">
        <w:rPr>
          <w:rFonts w:ascii="Times New Roman" w:hAnsi="Times New Roman" w:cs="Times New Roman"/>
          <w:noProof/>
          <w:sz w:val="24"/>
          <w:szCs w:val="24"/>
        </w:rPr>
        <w:t>(NOGUEIRA DA SILVA AVELINO OLIVEIRA ROCHA et al., 2021)</w:t>
      </w:r>
      <w:r w:rsidR="00A128AC">
        <w:rPr>
          <w:rFonts w:ascii="Times New Roman" w:hAnsi="Times New Roman" w:cs="Times New Roman"/>
          <w:sz w:val="24"/>
          <w:szCs w:val="24"/>
        </w:rPr>
        <w:fldChar w:fldCharType="end"/>
      </w:r>
      <w:r w:rsidR="00C93E61" w:rsidRPr="008B3DB7">
        <w:rPr>
          <w:rFonts w:ascii="Times New Roman" w:hAnsi="Times New Roman" w:cs="Times New Roman"/>
          <w:sz w:val="24"/>
          <w:szCs w:val="24"/>
        </w:rPr>
        <w:t>.</w:t>
      </w:r>
    </w:p>
    <w:p w14:paraId="7898382F" w14:textId="2A3781C8" w:rsidR="00FA0FEF" w:rsidRPr="008B3DB7" w:rsidRDefault="00BC4B3F" w:rsidP="00B87756">
      <w:pPr>
        <w:spacing w:after="0" w:line="360" w:lineRule="auto"/>
        <w:ind w:firstLine="708"/>
        <w:jc w:val="both"/>
        <w:rPr>
          <w:rFonts w:ascii="Times New Roman" w:hAnsi="Times New Roman" w:cs="Times New Roman"/>
          <w:sz w:val="24"/>
          <w:szCs w:val="24"/>
        </w:rPr>
      </w:pPr>
      <w:r w:rsidRPr="008B3DB7">
        <w:rPr>
          <w:rFonts w:ascii="Times New Roman" w:hAnsi="Times New Roman" w:cs="Times New Roman"/>
          <w:sz w:val="24"/>
          <w:szCs w:val="24"/>
        </w:rPr>
        <w:t xml:space="preserve">Estudos realizados nos últimos 20 anos foram capazes de isolar substâncias que possivelmente são responsáveis pelos efeitos supracitados, entre eles são dignos de nota as acetogeninas, alguns </w:t>
      </w:r>
      <w:r w:rsidR="00A2452C" w:rsidRPr="008B3DB7">
        <w:rPr>
          <w:rFonts w:ascii="Times New Roman" w:hAnsi="Times New Roman" w:cs="Times New Roman"/>
          <w:sz w:val="24"/>
          <w:szCs w:val="24"/>
        </w:rPr>
        <w:t>alcaloides</w:t>
      </w:r>
      <w:r w:rsidRPr="008B3DB7">
        <w:rPr>
          <w:rFonts w:ascii="Times New Roman" w:hAnsi="Times New Roman" w:cs="Times New Roman"/>
          <w:sz w:val="24"/>
          <w:szCs w:val="24"/>
        </w:rPr>
        <w:t xml:space="preserve">, diterpenos e componentes fenólicos e </w:t>
      </w:r>
      <w:r w:rsidR="00A2452C" w:rsidRPr="008B3DB7">
        <w:rPr>
          <w:rFonts w:ascii="Times New Roman" w:hAnsi="Times New Roman" w:cs="Times New Roman"/>
          <w:sz w:val="24"/>
          <w:szCs w:val="24"/>
        </w:rPr>
        <w:t>flavonoides</w:t>
      </w:r>
      <w:r w:rsidRPr="008B3DB7">
        <w:rPr>
          <w:rFonts w:ascii="Times New Roman" w:hAnsi="Times New Roman" w:cs="Times New Roman"/>
          <w:sz w:val="24"/>
          <w:szCs w:val="24"/>
        </w:rPr>
        <w:t xml:space="preserve">. </w:t>
      </w:r>
      <w:r w:rsidR="00A2452C">
        <w:rPr>
          <w:rFonts w:ascii="Times New Roman" w:hAnsi="Times New Roman" w:cs="Times New Roman"/>
          <w:sz w:val="24"/>
          <w:szCs w:val="24"/>
        </w:rPr>
        <w:t>Dentre as duas últimas categorias citadas</w:t>
      </w:r>
      <w:r w:rsidR="003E06B8" w:rsidRPr="008B3DB7">
        <w:rPr>
          <w:rFonts w:ascii="Times New Roman" w:hAnsi="Times New Roman" w:cs="Times New Roman"/>
          <w:sz w:val="24"/>
          <w:szCs w:val="24"/>
        </w:rPr>
        <w:t xml:space="preserve">, </w:t>
      </w:r>
      <w:r w:rsidR="00A2452C">
        <w:rPr>
          <w:rFonts w:ascii="Times New Roman" w:hAnsi="Times New Roman" w:cs="Times New Roman"/>
          <w:sz w:val="24"/>
          <w:szCs w:val="24"/>
        </w:rPr>
        <w:t>temos os compostos:</w:t>
      </w:r>
      <w:r w:rsidR="003E06B8" w:rsidRPr="008B3DB7">
        <w:rPr>
          <w:rFonts w:ascii="Times New Roman" w:hAnsi="Times New Roman" w:cs="Times New Roman"/>
          <w:sz w:val="24"/>
          <w:szCs w:val="24"/>
        </w:rPr>
        <w:t xml:space="preserve"> </w:t>
      </w:r>
      <w:r w:rsidR="00FA0FEF" w:rsidRPr="008B3DB7">
        <w:rPr>
          <w:rFonts w:ascii="Times New Roman" w:hAnsi="Times New Roman" w:cs="Times New Roman"/>
          <w:sz w:val="24"/>
          <w:szCs w:val="24"/>
        </w:rPr>
        <w:t>ácido gálico, cafe</w:t>
      </w:r>
      <w:r w:rsidR="00A2452C">
        <w:rPr>
          <w:rFonts w:ascii="Times New Roman" w:hAnsi="Times New Roman" w:cs="Times New Roman"/>
          <w:sz w:val="24"/>
          <w:szCs w:val="24"/>
        </w:rPr>
        <w:t>i</w:t>
      </w:r>
      <w:r w:rsidR="00FA0FEF" w:rsidRPr="008B3DB7">
        <w:rPr>
          <w:rFonts w:ascii="Times New Roman" w:hAnsi="Times New Roman" w:cs="Times New Roman"/>
          <w:sz w:val="24"/>
          <w:szCs w:val="24"/>
        </w:rPr>
        <w:t>co</w:t>
      </w:r>
      <w:r w:rsidR="00A2452C">
        <w:rPr>
          <w:rFonts w:ascii="Times New Roman" w:hAnsi="Times New Roman" w:cs="Times New Roman"/>
          <w:sz w:val="24"/>
          <w:szCs w:val="24"/>
        </w:rPr>
        <w:t>,</w:t>
      </w:r>
      <w:r w:rsidR="00FA0FEF" w:rsidRPr="008B3DB7">
        <w:rPr>
          <w:rFonts w:ascii="Times New Roman" w:hAnsi="Times New Roman" w:cs="Times New Roman"/>
          <w:sz w:val="24"/>
          <w:szCs w:val="24"/>
        </w:rPr>
        <w:t xml:space="preserve"> p-cumárico, catequina, epicatequina, rutina, quercitrina, quercetina e luteolina, que são de interesse por seus prováveis efeitos antidepressivos e ansiolíticos</w:t>
      </w:r>
      <w:r w:rsidR="00A128AC">
        <w:rPr>
          <w:rFonts w:ascii="Times New Roman" w:hAnsi="Times New Roman" w:cs="Times New Roman"/>
          <w:sz w:val="24"/>
          <w:szCs w:val="24"/>
        </w:rPr>
        <w:t xml:space="preserve"> </w:t>
      </w:r>
      <w:r w:rsidR="00A128AC">
        <w:rPr>
          <w:rFonts w:ascii="Times New Roman" w:hAnsi="Times New Roman" w:cs="Times New Roman"/>
          <w:sz w:val="24"/>
          <w:szCs w:val="24"/>
        </w:rPr>
        <w:fldChar w:fldCharType="begin" w:fldLock="1"/>
      </w:r>
      <w:r w:rsidR="00A128AC">
        <w:rPr>
          <w:rFonts w:ascii="Times New Roman" w:hAnsi="Times New Roman" w:cs="Times New Roman"/>
          <w:sz w:val="24"/>
          <w:szCs w:val="24"/>
        </w:rPr>
        <w:instrText>ADDIN CSL_CITATION {"citationItems":[{"id":"ITEM-1","itemData":{"DOI":"10.1016/j.cbi.2021.109390","ISSN":"18727786","PMID":"33484716","abstract":"Annona coriacea Mart., popularly known as “marolo”, “araticum” and “araticum-liso” is a species distributed in Paraguay and Brazil, and easily found in Caatinga, Cerrado and Pantanal biomes. The araticum has been used in folk medicine for treating of stomatitis, neuralgia, rheumatism, headaches, furuncle, ulcers, and dermatites. The aim of this systematic review was to provide a comprehensive overview of the ethnomedicinal use, phytochemistry and pharmacological activity of A. coriacea. A search for scientific articles of electronic databases (Science Direct, PubMed, Lilacs, Scopus, Google Scholar, Scielo and Web of Science) was performed identifying studies published until may 2020. All papers considering traditional medicinal uses, phytochemistry and pharmacological properties were included. 46 articles (n = 212 subjects) were selected for inclusion in this review. Of the 46 articles reviewed, 32 focused on exposing some biological activity, while 14 limited to phytochemical studies. The studies showed the presence of a diversity of secondary metabolites such as acetogenins, sesquiterpenes, alkaloids, flavonoids and diterpenes. To date, pharmacological studies have demonstrated significant biological activities, most promising are anticancer, antiparasitic and insecticide activities. Utilization of A. coriacea appears promising and describes its possible uses for human health with activities like antioxidant, anxiolytic, antiviral, antitumor, antifungal insecticide, antiparasitic, and others. Furthermore, comprehensive studies involving clinical trials are required to scientifically validate the existing traditional practices in relation to its health benefits.","author":[{"dropping-particle":"","family":"Nogueira da Silva Avelino Oliveira Rocha","given":"Giovanna","non-dropping-particle":"","parse-names":false,"suffix":""},{"dropping-particle":"","family":"Dutra","given":"Lívia Macedo","non-dropping-particle":"","parse-names":false,"suffix":""},{"dropping-particle":"","family":"Lorenzo","given":"Vitor Prates","non-dropping-particle":"","parse-names":false,"suffix":""},{"dropping-particle":"","family":"Guedes da Silva Almeida","given":"Jackson Roberto","non-dropping-particle":"","parse-names":false,"suffix":""}],"container-title":"Chemico-Biological Interactions","id":"ITEM-1","issue":"January","issued":{"date-parts":[["2021"]]},"page":"109390","publisher":"Elsevier B.V.","title":"Phytochemicals and biological properties of Annona coriacea Mart. (Annonaceae): A systematic review from 1971 to 2020","type":"article-journal","volume":"336"},"uris":["http://www.mendeley.com/documents/?uuid=4aa1112b-b26e-400c-acb2-1dc376402b0f"]}],"mendeley":{"formattedCitation":"(NOGUEIRA DA SILVA AVELINO OLIVEIRA ROCHA et al., 2021)","plainTextFormattedCitation":"(NOGUEIRA DA SILVA AVELINO OLIVEIRA ROCHA et al., 2021)","previouslyFormattedCitation":"(NOGUEIRA DA SILVA AVELINO OLIVEIRA ROCHA et al., 2021)"},"properties":{"noteIndex":0},"schema":"https://github.com/citation-style-language/schema/raw/master/csl-citation.json"}</w:instrText>
      </w:r>
      <w:r w:rsidR="00A128AC">
        <w:rPr>
          <w:rFonts w:ascii="Times New Roman" w:hAnsi="Times New Roman" w:cs="Times New Roman"/>
          <w:sz w:val="24"/>
          <w:szCs w:val="24"/>
        </w:rPr>
        <w:fldChar w:fldCharType="separate"/>
      </w:r>
      <w:r w:rsidR="00A128AC" w:rsidRPr="00A128AC">
        <w:rPr>
          <w:rFonts w:ascii="Times New Roman" w:hAnsi="Times New Roman" w:cs="Times New Roman"/>
          <w:noProof/>
          <w:sz w:val="24"/>
          <w:szCs w:val="24"/>
        </w:rPr>
        <w:t>(NOGUEIRA DA SILVA AVELINO OLIVEIRA ROCHA et al., 2021)</w:t>
      </w:r>
      <w:r w:rsidR="00A128AC">
        <w:rPr>
          <w:rFonts w:ascii="Times New Roman" w:hAnsi="Times New Roman" w:cs="Times New Roman"/>
          <w:sz w:val="24"/>
          <w:szCs w:val="24"/>
        </w:rPr>
        <w:fldChar w:fldCharType="end"/>
      </w:r>
      <w:r w:rsidR="00FA0FEF" w:rsidRPr="008B3DB7">
        <w:rPr>
          <w:rFonts w:ascii="Times New Roman" w:hAnsi="Times New Roman" w:cs="Times New Roman"/>
          <w:sz w:val="24"/>
          <w:szCs w:val="24"/>
        </w:rPr>
        <w:t>.</w:t>
      </w:r>
    </w:p>
    <w:p w14:paraId="6D5FC49F" w14:textId="6EDB623F" w:rsidR="00B97708" w:rsidRDefault="00010784" w:rsidP="00B87756">
      <w:pPr>
        <w:spacing w:after="0" w:line="360" w:lineRule="auto"/>
        <w:ind w:firstLine="708"/>
        <w:jc w:val="both"/>
        <w:rPr>
          <w:rFonts w:ascii="Times New Roman" w:hAnsi="Times New Roman" w:cs="Times New Roman"/>
          <w:sz w:val="24"/>
          <w:szCs w:val="24"/>
        </w:rPr>
      </w:pPr>
      <w:r w:rsidRPr="008B3DB7">
        <w:rPr>
          <w:rFonts w:ascii="Times New Roman" w:hAnsi="Times New Roman" w:cs="Times New Roman"/>
          <w:sz w:val="24"/>
          <w:szCs w:val="24"/>
        </w:rPr>
        <w:t xml:space="preserve">Os transtornos psiquiátricos </w:t>
      </w:r>
      <w:r w:rsidR="00A2452C">
        <w:rPr>
          <w:rFonts w:ascii="Times New Roman" w:hAnsi="Times New Roman" w:cs="Times New Roman"/>
          <w:sz w:val="24"/>
          <w:szCs w:val="24"/>
        </w:rPr>
        <w:t xml:space="preserve">(TP) </w:t>
      </w:r>
      <w:r w:rsidRPr="008B3DB7">
        <w:rPr>
          <w:rFonts w:ascii="Times New Roman" w:hAnsi="Times New Roman" w:cs="Times New Roman"/>
          <w:sz w:val="24"/>
          <w:szCs w:val="24"/>
        </w:rPr>
        <w:t xml:space="preserve">são doenças caracterizadas por </w:t>
      </w:r>
      <w:r w:rsidR="00A2452C">
        <w:rPr>
          <w:rFonts w:ascii="Times New Roman" w:hAnsi="Times New Roman" w:cs="Times New Roman"/>
          <w:sz w:val="24"/>
          <w:szCs w:val="24"/>
        </w:rPr>
        <w:t xml:space="preserve">alterações </w:t>
      </w:r>
      <w:r w:rsidRPr="008B3DB7">
        <w:rPr>
          <w:rFonts w:ascii="Times New Roman" w:hAnsi="Times New Roman" w:cs="Times New Roman"/>
          <w:sz w:val="24"/>
          <w:szCs w:val="24"/>
        </w:rPr>
        <w:t>emocionais, cognitiv</w:t>
      </w:r>
      <w:r w:rsidR="00A2452C">
        <w:rPr>
          <w:rFonts w:ascii="Times New Roman" w:hAnsi="Times New Roman" w:cs="Times New Roman"/>
          <w:sz w:val="24"/>
          <w:szCs w:val="24"/>
        </w:rPr>
        <w:t>a</w:t>
      </w:r>
      <w:r w:rsidRPr="008B3DB7">
        <w:rPr>
          <w:rFonts w:ascii="Times New Roman" w:hAnsi="Times New Roman" w:cs="Times New Roman"/>
          <w:sz w:val="24"/>
          <w:szCs w:val="24"/>
        </w:rPr>
        <w:t>s, motivacionais e de socialização. Possu</w:t>
      </w:r>
      <w:r w:rsidR="00A2452C">
        <w:rPr>
          <w:rFonts w:ascii="Times New Roman" w:hAnsi="Times New Roman" w:cs="Times New Roman"/>
          <w:sz w:val="24"/>
          <w:szCs w:val="24"/>
        </w:rPr>
        <w:t>em</w:t>
      </w:r>
      <w:r w:rsidRPr="008B3DB7">
        <w:rPr>
          <w:rFonts w:ascii="Times New Roman" w:hAnsi="Times New Roman" w:cs="Times New Roman"/>
          <w:sz w:val="24"/>
          <w:szCs w:val="24"/>
        </w:rPr>
        <w:t xml:space="preserve"> grande caráter hereditário, sendo</w:t>
      </w:r>
      <w:r w:rsidR="00A2452C">
        <w:rPr>
          <w:rFonts w:ascii="Times New Roman" w:hAnsi="Times New Roman" w:cs="Times New Roman"/>
          <w:sz w:val="24"/>
          <w:szCs w:val="24"/>
        </w:rPr>
        <w:t xml:space="preserve"> fatores</w:t>
      </w:r>
      <w:r w:rsidRPr="008B3DB7">
        <w:rPr>
          <w:rFonts w:ascii="Times New Roman" w:hAnsi="Times New Roman" w:cs="Times New Roman"/>
          <w:sz w:val="24"/>
          <w:szCs w:val="24"/>
        </w:rPr>
        <w:t xml:space="preserve"> genétic</w:t>
      </w:r>
      <w:r w:rsidR="00A2452C">
        <w:rPr>
          <w:rFonts w:ascii="Times New Roman" w:hAnsi="Times New Roman" w:cs="Times New Roman"/>
          <w:sz w:val="24"/>
          <w:szCs w:val="24"/>
        </w:rPr>
        <w:t>os</w:t>
      </w:r>
      <w:r w:rsidRPr="008B3DB7">
        <w:rPr>
          <w:rFonts w:ascii="Times New Roman" w:hAnsi="Times New Roman" w:cs="Times New Roman"/>
          <w:sz w:val="24"/>
          <w:szCs w:val="24"/>
        </w:rPr>
        <w:t xml:space="preserve"> responsáve</w:t>
      </w:r>
      <w:r w:rsidR="00A2452C">
        <w:rPr>
          <w:rFonts w:ascii="Times New Roman" w:hAnsi="Times New Roman" w:cs="Times New Roman"/>
          <w:sz w:val="24"/>
          <w:szCs w:val="24"/>
        </w:rPr>
        <w:t>is</w:t>
      </w:r>
      <w:r w:rsidRPr="008B3DB7">
        <w:rPr>
          <w:rFonts w:ascii="Times New Roman" w:hAnsi="Times New Roman" w:cs="Times New Roman"/>
          <w:sz w:val="24"/>
          <w:szCs w:val="24"/>
        </w:rPr>
        <w:t xml:space="preserve"> por 20 a 90% da vulnerabilidade para </w:t>
      </w:r>
      <w:r w:rsidR="00A2452C">
        <w:rPr>
          <w:rFonts w:ascii="Times New Roman" w:hAnsi="Times New Roman" w:cs="Times New Roman"/>
          <w:sz w:val="24"/>
          <w:szCs w:val="24"/>
        </w:rPr>
        <w:t>essas</w:t>
      </w:r>
      <w:r w:rsidRPr="008B3DB7">
        <w:rPr>
          <w:rFonts w:ascii="Times New Roman" w:hAnsi="Times New Roman" w:cs="Times New Roman"/>
          <w:sz w:val="24"/>
          <w:szCs w:val="24"/>
        </w:rPr>
        <w:t xml:space="preserve"> doença</w:t>
      </w:r>
      <w:r w:rsidR="00A2452C">
        <w:rPr>
          <w:rFonts w:ascii="Times New Roman" w:hAnsi="Times New Roman" w:cs="Times New Roman"/>
          <w:sz w:val="24"/>
          <w:szCs w:val="24"/>
        </w:rPr>
        <w:t>s</w:t>
      </w:r>
      <w:r w:rsidRPr="008B3DB7">
        <w:rPr>
          <w:rFonts w:ascii="Times New Roman" w:hAnsi="Times New Roman" w:cs="Times New Roman"/>
          <w:sz w:val="24"/>
          <w:szCs w:val="24"/>
        </w:rPr>
        <w:t xml:space="preserve">. Em decorrência de sua prevalência, início precoce e persistência, eles contribuem significativamente para </w:t>
      </w:r>
      <w:r w:rsidR="00A2452C">
        <w:rPr>
          <w:rFonts w:ascii="Times New Roman" w:hAnsi="Times New Roman" w:cs="Times New Roman"/>
          <w:sz w:val="24"/>
          <w:szCs w:val="24"/>
        </w:rPr>
        <w:t xml:space="preserve">esses distúrbios </w:t>
      </w:r>
      <w:r w:rsidRPr="008B3DB7">
        <w:rPr>
          <w:rFonts w:ascii="Times New Roman" w:hAnsi="Times New Roman" w:cs="Times New Roman"/>
          <w:sz w:val="24"/>
          <w:szCs w:val="24"/>
        </w:rPr>
        <w:t>em todo o mundo</w:t>
      </w:r>
      <w:r w:rsidR="00A128AC">
        <w:rPr>
          <w:rFonts w:ascii="Times New Roman" w:hAnsi="Times New Roman" w:cs="Times New Roman"/>
          <w:sz w:val="24"/>
          <w:szCs w:val="24"/>
        </w:rPr>
        <w:t xml:space="preserve"> </w:t>
      </w:r>
      <w:r w:rsidR="00A128AC">
        <w:rPr>
          <w:rFonts w:ascii="Times New Roman" w:hAnsi="Times New Roman" w:cs="Times New Roman"/>
          <w:sz w:val="24"/>
          <w:szCs w:val="24"/>
        </w:rPr>
        <w:fldChar w:fldCharType="begin" w:fldLock="1"/>
      </w:r>
      <w:r w:rsidR="00A128AC">
        <w:rPr>
          <w:rFonts w:ascii="Times New Roman" w:hAnsi="Times New Roman" w:cs="Times New Roman"/>
          <w:sz w:val="24"/>
          <w:szCs w:val="24"/>
        </w:rPr>
        <w:instrText>ADDIN CSL_CITATION {"citationItems":[{"id":"ITEM-1","itemData":{"ISSN":"0020-0204","author":[{"dropping-particle":"","family":"Saraceno","given":"Benedetto","non-dropping-particle":"","parse-names":false,"suffix":""}],"container-title":"Information Psychiatrique","id":"ITEM-1","issue":"4","issued":{"date-parts":[["2005"]]},"page":"289-293","title":"Investing in mental health","type":"article-journal","volume":"81"},"uris":["http://www.mendeley.com/documents/?uuid=8fd3a56b-c0e9-4941-bbf6-682249da2774"]}],"mendeley":{"formattedCitation":"(SARACENO, 2005)","plainTextFormattedCitation":"(SARACENO, 2005)","previouslyFormattedCitation":"(SARACENO, 2005)"},"properties":{"noteIndex":0},"schema":"https://github.com/citation-style-language/schema/raw/master/csl-citation.json"}</w:instrText>
      </w:r>
      <w:r w:rsidR="00A128AC">
        <w:rPr>
          <w:rFonts w:ascii="Times New Roman" w:hAnsi="Times New Roman" w:cs="Times New Roman"/>
          <w:sz w:val="24"/>
          <w:szCs w:val="24"/>
        </w:rPr>
        <w:fldChar w:fldCharType="separate"/>
      </w:r>
      <w:r w:rsidR="00A128AC" w:rsidRPr="00A128AC">
        <w:rPr>
          <w:rFonts w:ascii="Times New Roman" w:hAnsi="Times New Roman" w:cs="Times New Roman"/>
          <w:noProof/>
          <w:sz w:val="24"/>
          <w:szCs w:val="24"/>
        </w:rPr>
        <w:t>(SARACENO, 2005)</w:t>
      </w:r>
      <w:r w:rsidR="00A128AC">
        <w:rPr>
          <w:rFonts w:ascii="Times New Roman" w:hAnsi="Times New Roman" w:cs="Times New Roman"/>
          <w:sz w:val="24"/>
          <w:szCs w:val="24"/>
        </w:rPr>
        <w:fldChar w:fldCharType="end"/>
      </w:r>
      <w:r w:rsidRPr="008B3DB7">
        <w:rPr>
          <w:rFonts w:ascii="Times New Roman" w:hAnsi="Times New Roman" w:cs="Times New Roman"/>
          <w:sz w:val="24"/>
          <w:szCs w:val="24"/>
        </w:rPr>
        <w:t>.</w:t>
      </w:r>
      <w:r w:rsidR="009E6BC2" w:rsidRPr="008B3DB7">
        <w:rPr>
          <w:rFonts w:ascii="Times New Roman" w:hAnsi="Times New Roman" w:cs="Times New Roman"/>
          <w:sz w:val="24"/>
          <w:szCs w:val="24"/>
        </w:rPr>
        <w:t xml:space="preserve"> </w:t>
      </w:r>
    </w:p>
    <w:p w14:paraId="1D3A6E8E" w14:textId="0A928739" w:rsidR="00010784" w:rsidRPr="008B3DB7" w:rsidRDefault="00002593" w:rsidP="00B87756">
      <w:pPr>
        <w:spacing w:after="0" w:line="360" w:lineRule="auto"/>
        <w:ind w:firstLine="708"/>
        <w:jc w:val="both"/>
        <w:rPr>
          <w:rFonts w:ascii="Times New Roman" w:hAnsi="Times New Roman" w:cs="Times New Roman"/>
          <w:sz w:val="24"/>
          <w:szCs w:val="24"/>
          <w:shd w:val="clear" w:color="auto" w:fill="FFFFFF"/>
        </w:rPr>
      </w:pPr>
      <w:r w:rsidRPr="008B3DB7">
        <w:rPr>
          <w:rFonts w:ascii="Times New Roman" w:hAnsi="Times New Roman" w:cs="Times New Roman"/>
          <w:sz w:val="24"/>
          <w:szCs w:val="24"/>
        </w:rPr>
        <w:t xml:space="preserve">Segundo o estudo </w:t>
      </w:r>
      <w:r w:rsidRPr="008B3DB7">
        <w:rPr>
          <w:rFonts w:ascii="Times New Roman" w:hAnsi="Times New Roman" w:cs="Times New Roman"/>
          <w:sz w:val="24"/>
          <w:szCs w:val="24"/>
          <w:shd w:val="clear" w:color="auto" w:fill="FFFFFF"/>
        </w:rPr>
        <w:t>de Carga Global de Doença realizado em 2010, os T</w:t>
      </w:r>
      <w:r>
        <w:rPr>
          <w:rFonts w:ascii="Times New Roman" w:hAnsi="Times New Roman" w:cs="Times New Roman"/>
          <w:sz w:val="24"/>
          <w:szCs w:val="24"/>
          <w:shd w:val="clear" w:color="auto" w:fill="FFFFFF"/>
        </w:rPr>
        <w:t>P</w:t>
      </w:r>
      <w:r w:rsidRPr="008B3DB7">
        <w:rPr>
          <w:rFonts w:ascii="Times New Roman" w:hAnsi="Times New Roman" w:cs="Times New Roman"/>
          <w:sz w:val="24"/>
          <w:szCs w:val="24"/>
          <w:shd w:val="clear" w:color="auto" w:fill="FFFFFF"/>
        </w:rPr>
        <w:t xml:space="preserve"> foram responsáveis por 7,4% do total de </w:t>
      </w:r>
      <w:r>
        <w:rPr>
          <w:rFonts w:ascii="Times New Roman" w:hAnsi="Times New Roman" w:cs="Times New Roman"/>
          <w:sz w:val="24"/>
          <w:szCs w:val="24"/>
          <w:shd w:val="clear" w:color="auto" w:fill="FFFFFF"/>
        </w:rPr>
        <w:t>anos de vida ajustados por incapacidade (</w:t>
      </w:r>
      <w:r w:rsidRPr="008B3DB7">
        <w:rPr>
          <w:rFonts w:ascii="Times New Roman" w:hAnsi="Times New Roman" w:cs="Times New Roman"/>
          <w:sz w:val="24"/>
          <w:szCs w:val="24"/>
          <w:shd w:val="clear" w:color="auto" w:fill="FFFFFF"/>
        </w:rPr>
        <w:t>DALY</w:t>
      </w:r>
      <w:r>
        <w:rPr>
          <w:rFonts w:ascii="Times New Roman" w:hAnsi="Times New Roman" w:cs="Times New Roman"/>
          <w:sz w:val="24"/>
          <w:szCs w:val="24"/>
          <w:shd w:val="clear" w:color="auto" w:fill="FFFFFF"/>
        </w:rPr>
        <w:t>-       D</w:t>
      </w:r>
      <w:r w:rsidRPr="00A24E2C">
        <w:rPr>
          <w:rFonts w:ascii="Times New Roman" w:hAnsi="Times New Roman" w:cs="Times New Roman"/>
          <w:sz w:val="24"/>
          <w:szCs w:val="24"/>
          <w:shd w:val="clear" w:color="auto" w:fill="FFFFFF"/>
        </w:rPr>
        <w:t xml:space="preserve">isability-adjusted </w:t>
      </w:r>
      <w:r>
        <w:rPr>
          <w:rFonts w:ascii="Times New Roman" w:hAnsi="Times New Roman" w:cs="Times New Roman"/>
          <w:sz w:val="24"/>
          <w:szCs w:val="24"/>
          <w:shd w:val="clear" w:color="auto" w:fill="FFFFFF"/>
        </w:rPr>
        <w:t>L</w:t>
      </w:r>
      <w:r w:rsidRPr="00A24E2C">
        <w:rPr>
          <w:rFonts w:ascii="Times New Roman" w:hAnsi="Times New Roman" w:cs="Times New Roman"/>
          <w:sz w:val="24"/>
          <w:szCs w:val="24"/>
          <w:shd w:val="clear" w:color="auto" w:fill="FFFFFF"/>
        </w:rPr>
        <w:t xml:space="preserve">ife </w:t>
      </w:r>
      <w:r>
        <w:rPr>
          <w:rFonts w:ascii="Times New Roman" w:hAnsi="Times New Roman" w:cs="Times New Roman"/>
          <w:sz w:val="24"/>
          <w:szCs w:val="24"/>
          <w:shd w:val="clear" w:color="auto" w:fill="FFFFFF"/>
        </w:rPr>
        <w:t>Y</w:t>
      </w:r>
      <w:r w:rsidRPr="00A24E2C">
        <w:rPr>
          <w:rFonts w:ascii="Times New Roman" w:hAnsi="Times New Roman" w:cs="Times New Roman"/>
          <w:sz w:val="24"/>
          <w:szCs w:val="24"/>
          <w:shd w:val="clear" w:color="auto" w:fill="FFFFFF"/>
        </w:rPr>
        <w:t>ear</w:t>
      </w:r>
      <w:r>
        <w:rPr>
          <w:rFonts w:ascii="Times New Roman" w:hAnsi="Times New Roman" w:cs="Times New Roman"/>
          <w:sz w:val="24"/>
          <w:szCs w:val="24"/>
          <w:shd w:val="clear" w:color="auto" w:fill="FFFFFF"/>
        </w:rPr>
        <w:t>)</w:t>
      </w:r>
      <w:r w:rsidRPr="008B3DB7">
        <w:rPr>
          <w:rFonts w:ascii="Times New Roman" w:hAnsi="Times New Roman" w:cs="Times New Roman"/>
          <w:sz w:val="24"/>
          <w:szCs w:val="24"/>
          <w:shd w:val="clear" w:color="auto" w:fill="FFFFFF"/>
        </w:rPr>
        <w:t xml:space="preserve"> e 22,9% do total de </w:t>
      </w:r>
      <w:r>
        <w:rPr>
          <w:rFonts w:ascii="Times New Roman" w:hAnsi="Times New Roman" w:cs="Times New Roman"/>
          <w:sz w:val="24"/>
          <w:szCs w:val="24"/>
          <w:shd w:val="clear" w:color="auto" w:fill="FFFFFF"/>
        </w:rPr>
        <w:t>anos vividos em incapacidade (</w:t>
      </w:r>
      <w:r w:rsidRPr="008B3DB7">
        <w:rPr>
          <w:rFonts w:ascii="Times New Roman" w:hAnsi="Times New Roman" w:cs="Times New Roman"/>
          <w:sz w:val="24"/>
          <w:szCs w:val="24"/>
          <w:shd w:val="clear" w:color="auto" w:fill="FFFFFF"/>
        </w:rPr>
        <w:t>YLD</w:t>
      </w:r>
      <w:r>
        <w:rPr>
          <w:rFonts w:ascii="Times New Roman" w:hAnsi="Times New Roman" w:cs="Times New Roman"/>
          <w:sz w:val="24"/>
          <w:szCs w:val="24"/>
          <w:shd w:val="clear" w:color="auto" w:fill="FFFFFF"/>
        </w:rPr>
        <w:t xml:space="preserve"> – Years Lived with Disability)</w:t>
      </w:r>
      <w:r w:rsidRPr="008B3DB7">
        <w:rPr>
          <w:rFonts w:ascii="Times New Roman" w:hAnsi="Times New Roman" w:cs="Times New Roman"/>
          <w:sz w:val="24"/>
          <w:szCs w:val="24"/>
          <w:shd w:val="clear" w:color="auto" w:fill="FFFFFF"/>
        </w:rPr>
        <w:t>, tornando-se a quinta principal causa de DALY e a primeira causa de YLD no mundo</w:t>
      </w:r>
      <w:r w:rsidR="00A128AC">
        <w:rPr>
          <w:rFonts w:ascii="Times New Roman" w:hAnsi="Times New Roman" w:cs="Times New Roman"/>
          <w:sz w:val="24"/>
          <w:szCs w:val="24"/>
          <w:shd w:val="clear" w:color="auto" w:fill="FFFFFF"/>
        </w:rPr>
        <w:t xml:space="preserve"> </w:t>
      </w:r>
      <w:r w:rsidR="00A128AC">
        <w:rPr>
          <w:rFonts w:ascii="Times New Roman" w:hAnsi="Times New Roman" w:cs="Times New Roman"/>
          <w:sz w:val="24"/>
          <w:szCs w:val="24"/>
          <w:shd w:val="clear" w:color="auto" w:fill="FFFFFF"/>
        </w:rPr>
        <w:fldChar w:fldCharType="begin" w:fldLock="1"/>
      </w:r>
      <w:r w:rsidR="00A128AC">
        <w:rPr>
          <w:rFonts w:ascii="Times New Roman" w:hAnsi="Times New Roman" w:cs="Times New Roman"/>
          <w:sz w:val="24"/>
          <w:szCs w:val="24"/>
          <w:shd w:val="clear" w:color="auto" w:fill="FFFFFF"/>
        </w:rPr>
        <w:instrText>ADDIN CSL_CITATION {"citationItems":[{"id":"ITEM-1","itemData":{"DOI":"10.1590/1980-5497201700050016","ISSN":"1415790X","PMID":"28658383","abstract":"Introduction: Mental and substance use disorders (MD) are highly prevalent and have a high social and economic cost. Objective: To describe the burden of disease attributable to mental and substance use disorders in Brazil and Federated Units in 1990 and 2015. Methods: Descriptive study of the burden of mental and substance use disorders, using age-standardized estimates from the Global Burden of Disease Study 2015: years of life lost due to premature mortality (YLL); years lived with disability (YLD); and disability-adjusted life year (DALY=YLL+YLD). Results: In Brazil, despite low mortality rates, there has been a high burden for mental and substance use disorders since 1990, with high YLD. In 2015, these disorders accounted for 9.5% of all DALY, ranking in the third and first position in DALY and YLD, respectively, with an emphasis on depressive and anxiety disorders. Drug use disorders had their highest increase in DALY rates between 1990 and 2015 (37.1%). The highest proportion of DALY occurred in adulthood and in females. There were no substantial differences in burden of mental and substance use disorders among Federated Units. Conclusion: Despite a low mortality rate, mental and substance use disorders are highly disabling, which indicates the need for preventive and protective actions, especially in primary health care. The generalization of estimates in all the Federated Units obtained from studies conducted mostly in the south and southeast regions probably does not reflect the reality of Brazil, indicating the need for studies in all regions of the country.","author":[{"dropping-particle":"","family":"Bonadiman","given":"Cecília Silva Costa","non-dropping-particle":"","parse-names":false,"suffix":""},{"dropping-particle":"","family":"Azeredo Passos","given":"Valéria Maria","non-dropping-particle":"De","parse-names":false,"suffix":""},{"dropping-particle":"","family":"Mooney","given":"Meghan","non-dropping-particle":"","parse-names":false,"suffix":""},{"dropping-particle":"","family":"Naghavi","given":"Mohsen","non-dropping-particle":"","parse-names":false,"suffix":""},{"dropping-particle":"","family":"Melo","given":"Ana Paula Souto","non-dropping-particle":"","parse-names":false,"suffix":""}],"container-title":"Revista Brasileira de Epidemiologia","id":"ITEM-1","issued":{"date-parts":[["2017"]]},"page":"191-204","title":"A carga dos transtornos mentais e decorrentes do uso de substâncias psicoativas no Brasil: Estudo de Carga Global de Doença, 1990 e 2015","type":"article-journal","volume":"20"},"uris":["http://www.mendeley.com/documents/?uuid=cf2a71b3-c7b6-41c6-ae3e-ef54eeb0eff9"]}],"mendeley":{"formattedCitation":"(BONADIMAN et al., 2017)","plainTextFormattedCitation":"(BONADIMAN et al., 2017)","previouslyFormattedCitation":"(BONADIMAN et al., 2017)"},"properties":{"noteIndex":0},"schema":"https://github.com/citation-style-language/schema/raw/master/csl-citation.json"}</w:instrText>
      </w:r>
      <w:r w:rsidR="00A128AC">
        <w:rPr>
          <w:rFonts w:ascii="Times New Roman" w:hAnsi="Times New Roman" w:cs="Times New Roman"/>
          <w:sz w:val="24"/>
          <w:szCs w:val="24"/>
          <w:shd w:val="clear" w:color="auto" w:fill="FFFFFF"/>
        </w:rPr>
        <w:fldChar w:fldCharType="separate"/>
      </w:r>
      <w:r w:rsidR="00A128AC" w:rsidRPr="00A128AC">
        <w:rPr>
          <w:rFonts w:ascii="Times New Roman" w:hAnsi="Times New Roman" w:cs="Times New Roman"/>
          <w:noProof/>
          <w:sz w:val="24"/>
          <w:szCs w:val="24"/>
          <w:shd w:val="clear" w:color="auto" w:fill="FFFFFF"/>
        </w:rPr>
        <w:t>(BONADIMAN et al., 2017)</w:t>
      </w:r>
      <w:r w:rsidR="00A128AC">
        <w:rPr>
          <w:rFonts w:ascii="Times New Roman" w:hAnsi="Times New Roman" w:cs="Times New Roman"/>
          <w:sz w:val="24"/>
          <w:szCs w:val="24"/>
          <w:shd w:val="clear" w:color="auto" w:fill="FFFFFF"/>
        </w:rPr>
        <w:fldChar w:fldCharType="end"/>
      </w:r>
      <w:r>
        <w:rPr>
          <w:rFonts w:ascii="Times New Roman" w:hAnsi="Times New Roman" w:cs="Times New Roman"/>
          <w:sz w:val="24"/>
          <w:szCs w:val="24"/>
          <w:shd w:val="clear" w:color="auto" w:fill="FFFFFF"/>
        </w:rPr>
        <w:t xml:space="preserve">. </w:t>
      </w:r>
      <w:r w:rsidR="00B97708">
        <w:rPr>
          <w:rFonts w:ascii="Times New Roman" w:hAnsi="Times New Roman" w:cs="Times New Roman"/>
          <w:sz w:val="24"/>
          <w:szCs w:val="24"/>
          <w:shd w:val="clear" w:color="auto" w:fill="FFFFFF"/>
        </w:rPr>
        <w:t>Segundo</w:t>
      </w:r>
      <w:r w:rsidR="00B97708">
        <w:t xml:space="preserve"> </w:t>
      </w:r>
      <w:r w:rsidR="00B97708" w:rsidRPr="00B97708">
        <w:rPr>
          <w:rFonts w:ascii="Times New Roman" w:hAnsi="Times New Roman" w:cs="Times New Roman"/>
          <w:sz w:val="24"/>
          <w:szCs w:val="24"/>
        </w:rPr>
        <w:t xml:space="preserve">pesquisas feitas recentemente pela </w:t>
      </w:r>
      <w:r w:rsidR="00A2452C">
        <w:rPr>
          <w:rFonts w:ascii="Times New Roman" w:hAnsi="Times New Roman" w:cs="Times New Roman"/>
          <w:sz w:val="24"/>
          <w:szCs w:val="24"/>
        </w:rPr>
        <w:t>Organização Mundial de Saúde (</w:t>
      </w:r>
      <w:r w:rsidR="00B97708" w:rsidRPr="00B97708">
        <w:rPr>
          <w:rFonts w:ascii="Times New Roman" w:hAnsi="Times New Roman" w:cs="Times New Roman"/>
          <w:sz w:val="24"/>
          <w:szCs w:val="24"/>
        </w:rPr>
        <w:t>WHO</w:t>
      </w:r>
      <w:r w:rsidR="00A2452C">
        <w:rPr>
          <w:rFonts w:ascii="Times New Roman" w:hAnsi="Times New Roman" w:cs="Times New Roman"/>
          <w:sz w:val="24"/>
          <w:szCs w:val="24"/>
        </w:rPr>
        <w:t>)</w:t>
      </w:r>
      <w:r w:rsidR="00B97708" w:rsidRPr="00B97708">
        <w:rPr>
          <w:rFonts w:ascii="Times New Roman" w:hAnsi="Times New Roman" w:cs="Times New Roman"/>
          <w:sz w:val="24"/>
          <w:szCs w:val="24"/>
        </w:rPr>
        <w:t xml:space="preserve"> indicam que aproximadamente 700 milhões de pessoas no mundo sofrem algum transtorno mental e problemas relacionados com abuso de drogas e álcool e isso vem causando grande sofrimento para o indivíduo na sua vida social, individual e familiar</w:t>
      </w:r>
      <w:r w:rsidR="00A128AC">
        <w:rPr>
          <w:rFonts w:ascii="Times New Roman" w:hAnsi="Times New Roman" w:cs="Times New Roman"/>
          <w:sz w:val="24"/>
          <w:szCs w:val="24"/>
        </w:rPr>
        <w:t xml:space="preserve"> (LEONARDO et al., 2017)</w:t>
      </w:r>
      <w:r w:rsidR="00B97708">
        <w:rPr>
          <w:rFonts w:ascii="Times New Roman" w:hAnsi="Times New Roman" w:cs="Times New Roman"/>
          <w:sz w:val="24"/>
          <w:szCs w:val="24"/>
        </w:rPr>
        <w:t>.</w:t>
      </w:r>
    </w:p>
    <w:p w14:paraId="5D621936" w14:textId="094A43F2" w:rsidR="009E6BC2" w:rsidRDefault="009E6BC2" w:rsidP="00B87756">
      <w:pPr>
        <w:spacing w:after="0" w:line="360" w:lineRule="auto"/>
        <w:ind w:firstLine="708"/>
        <w:jc w:val="both"/>
        <w:rPr>
          <w:rFonts w:ascii="Times New Roman" w:hAnsi="Times New Roman" w:cs="Times New Roman"/>
          <w:sz w:val="24"/>
          <w:szCs w:val="24"/>
        </w:rPr>
      </w:pPr>
      <w:r w:rsidRPr="008B3DB7">
        <w:rPr>
          <w:rFonts w:ascii="Times New Roman" w:hAnsi="Times New Roman" w:cs="Times New Roman"/>
          <w:sz w:val="24"/>
          <w:szCs w:val="24"/>
          <w:shd w:val="clear" w:color="auto" w:fill="FFFFFF"/>
        </w:rPr>
        <w:lastRenderedPageBreak/>
        <w:t xml:space="preserve">Diante disso, torna-se de interesse médico a criação de novos fármacos para que se possa ampliar o leque de opções terapêuticas </w:t>
      </w:r>
      <w:r w:rsidR="00B87329" w:rsidRPr="008B3DB7">
        <w:rPr>
          <w:rFonts w:ascii="Times New Roman" w:hAnsi="Times New Roman" w:cs="Times New Roman"/>
          <w:sz w:val="24"/>
          <w:szCs w:val="24"/>
          <w:shd w:val="clear" w:color="auto" w:fill="FFFFFF"/>
        </w:rPr>
        <w:t xml:space="preserve">que podem ser empregadas no tratamento desses distúrbios. Para a pesquisa de novas </w:t>
      </w:r>
      <w:r w:rsidR="00DD27E0" w:rsidRPr="008B3DB7">
        <w:rPr>
          <w:rFonts w:ascii="Times New Roman" w:hAnsi="Times New Roman" w:cs="Times New Roman"/>
          <w:sz w:val="24"/>
          <w:szCs w:val="24"/>
          <w:shd w:val="clear" w:color="auto" w:fill="FFFFFF"/>
        </w:rPr>
        <w:t>substâncias</w:t>
      </w:r>
      <w:r w:rsidR="00B87329" w:rsidRPr="008B3DB7">
        <w:rPr>
          <w:rFonts w:ascii="Times New Roman" w:hAnsi="Times New Roman" w:cs="Times New Roman"/>
          <w:sz w:val="24"/>
          <w:szCs w:val="24"/>
          <w:shd w:val="clear" w:color="auto" w:fill="FFFFFF"/>
        </w:rPr>
        <w:t xml:space="preserve"> com possível atividade farmacológica, é consagrado o uso de ferramentas </w:t>
      </w:r>
      <w:r w:rsidR="00B87329" w:rsidRPr="008B3DB7">
        <w:rPr>
          <w:rFonts w:ascii="Times New Roman" w:hAnsi="Times New Roman" w:cs="Times New Roman"/>
          <w:i/>
          <w:iCs/>
          <w:sz w:val="24"/>
          <w:szCs w:val="24"/>
          <w:shd w:val="clear" w:color="auto" w:fill="FFFFFF"/>
        </w:rPr>
        <w:t>in s</w:t>
      </w:r>
      <w:r w:rsidR="00A2452C">
        <w:rPr>
          <w:rFonts w:ascii="Times New Roman" w:hAnsi="Times New Roman" w:cs="Times New Roman"/>
          <w:i/>
          <w:iCs/>
          <w:sz w:val="24"/>
          <w:szCs w:val="24"/>
          <w:shd w:val="clear" w:color="auto" w:fill="FFFFFF"/>
        </w:rPr>
        <w:t>i</w:t>
      </w:r>
      <w:r w:rsidR="00B87329" w:rsidRPr="008B3DB7">
        <w:rPr>
          <w:rFonts w:ascii="Times New Roman" w:hAnsi="Times New Roman" w:cs="Times New Roman"/>
          <w:i/>
          <w:iCs/>
          <w:sz w:val="24"/>
          <w:szCs w:val="24"/>
          <w:shd w:val="clear" w:color="auto" w:fill="FFFFFF"/>
        </w:rPr>
        <w:t xml:space="preserve">lico. </w:t>
      </w:r>
      <w:r w:rsidR="00B3084E" w:rsidRPr="008B3DB7">
        <w:rPr>
          <w:rFonts w:ascii="Times New Roman" w:hAnsi="Times New Roman" w:cs="Times New Roman"/>
          <w:sz w:val="24"/>
          <w:szCs w:val="24"/>
        </w:rPr>
        <w:t xml:space="preserve">O desenho de protótipos de fármacos </w:t>
      </w:r>
      <w:r w:rsidR="00B3084E" w:rsidRPr="008B3DB7">
        <w:rPr>
          <w:rFonts w:ascii="Times New Roman" w:hAnsi="Times New Roman" w:cs="Times New Roman"/>
          <w:i/>
          <w:iCs/>
          <w:sz w:val="24"/>
          <w:szCs w:val="24"/>
        </w:rPr>
        <w:t>in silico</w:t>
      </w:r>
      <w:r w:rsidR="00B3084E" w:rsidRPr="008B3DB7">
        <w:rPr>
          <w:rFonts w:ascii="Times New Roman" w:hAnsi="Times New Roman" w:cs="Times New Roman"/>
          <w:sz w:val="24"/>
          <w:szCs w:val="24"/>
        </w:rPr>
        <w:t xml:space="preserve"> envolve desde o estudo da relação estrutura-atividade (SAR), até estudos que consideram a farmacocinética (absorção, distribuição, metabolismo e excreção) dos compostos (ADME).</w:t>
      </w:r>
      <w:r w:rsidR="008B3DB7" w:rsidRPr="008B3DB7">
        <w:rPr>
          <w:rFonts w:ascii="Times New Roman" w:hAnsi="Times New Roman" w:cs="Times New Roman"/>
          <w:sz w:val="24"/>
          <w:szCs w:val="24"/>
        </w:rPr>
        <w:t xml:space="preserve"> A vantagem dos estudos </w:t>
      </w:r>
      <w:r w:rsidR="008B3DB7" w:rsidRPr="008B3DB7">
        <w:rPr>
          <w:rFonts w:ascii="Times New Roman" w:hAnsi="Times New Roman" w:cs="Times New Roman"/>
          <w:i/>
          <w:iCs/>
          <w:sz w:val="24"/>
          <w:szCs w:val="24"/>
        </w:rPr>
        <w:t>in silico</w:t>
      </w:r>
      <w:r w:rsidR="008B3DB7" w:rsidRPr="008B3DB7">
        <w:rPr>
          <w:rFonts w:ascii="Times New Roman" w:hAnsi="Times New Roman" w:cs="Times New Roman"/>
          <w:sz w:val="24"/>
          <w:szCs w:val="24"/>
        </w:rPr>
        <w:t xml:space="preserve"> é a velocidade de execução, o baixo custo e a capacidade de reduzir o uso de animais</w:t>
      </w:r>
      <w:r w:rsidR="00A2452C">
        <w:rPr>
          <w:rFonts w:ascii="Times New Roman" w:hAnsi="Times New Roman" w:cs="Times New Roman"/>
          <w:sz w:val="24"/>
          <w:szCs w:val="24"/>
        </w:rPr>
        <w:t xml:space="preserve"> de laboratório</w:t>
      </w:r>
      <w:r w:rsidR="00A128AC">
        <w:rPr>
          <w:rFonts w:ascii="Times New Roman" w:hAnsi="Times New Roman" w:cs="Times New Roman"/>
          <w:sz w:val="24"/>
          <w:szCs w:val="24"/>
        </w:rPr>
        <w:t xml:space="preserve"> </w:t>
      </w:r>
      <w:r w:rsidR="00A128AC">
        <w:rPr>
          <w:rFonts w:ascii="Times New Roman" w:hAnsi="Times New Roman" w:cs="Times New Roman"/>
          <w:sz w:val="24"/>
          <w:szCs w:val="24"/>
        </w:rPr>
        <w:fldChar w:fldCharType="begin" w:fldLock="1"/>
      </w:r>
      <w:r w:rsidR="00A128AC">
        <w:rPr>
          <w:rFonts w:ascii="Times New Roman" w:hAnsi="Times New Roman" w:cs="Times New Roman"/>
          <w:sz w:val="24"/>
          <w:szCs w:val="24"/>
        </w:rPr>
        <w:instrText>ADDIN CSL_CITATION {"citationItems":[{"id":"ITEM-1","itemData":{"author":[{"dropping-particle":"","family":"Geraldes","given":"Vanessa Sofia Mendes","non-dropping-particle":"","parse-names":false,"suffix":""}],"container-title":"Teses USP","id":"ITEM-1","issued":{"date-parts":[["2019"]]},"page":"262","title":"Universidade De São Universidade De São","type":"article-journal"},"uris":["http://www.mendeley.com/documents/?uuid=9546b570-1578-453e-8a4a-8b8f364bcca4"]}],"mendeley":{"formattedCitation":"(GERALDES, 2019)","plainTextFormattedCitation":"(GERALDES, 2019)","previouslyFormattedCitation":"(GERALDES, 2019)"},"properties":{"noteIndex":0},"schema":"https://github.com/citation-style-language/schema/raw/master/csl-citation.json"}</w:instrText>
      </w:r>
      <w:r w:rsidR="00A128AC">
        <w:rPr>
          <w:rFonts w:ascii="Times New Roman" w:hAnsi="Times New Roman" w:cs="Times New Roman"/>
          <w:sz w:val="24"/>
          <w:szCs w:val="24"/>
        </w:rPr>
        <w:fldChar w:fldCharType="separate"/>
      </w:r>
      <w:r w:rsidR="00A128AC" w:rsidRPr="00A128AC">
        <w:rPr>
          <w:rFonts w:ascii="Times New Roman" w:hAnsi="Times New Roman" w:cs="Times New Roman"/>
          <w:noProof/>
          <w:sz w:val="24"/>
          <w:szCs w:val="24"/>
        </w:rPr>
        <w:t>(GERALDES, 2019)</w:t>
      </w:r>
      <w:r w:rsidR="00A128AC">
        <w:rPr>
          <w:rFonts w:ascii="Times New Roman" w:hAnsi="Times New Roman" w:cs="Times New Roman"/>
          <w:sz w:val="24"/>
          <w:szCs w:val="24"/>
        </w:rPr>
        <w:fldChar w:fldCharType="end"/>
      </w:r>
      <w:r w:rsidR="00A128AC">
        <w:rPr>
          <w:rFonts w:ascii="Times New Roman" w:hAnsi="Times New Roman" w:cs="Times New Roman"/>
          <w:sz w:val="24"/>
          <w:szCs w:val="24"/>
        </w:rPr>
        <w:t xml:space="preserve"> </w:t>
      </w:r>
      <w:r w:rsidR="00A128AC">
        <w:rPr>
          <w:rFonts w:ascii="Times New Roman" w:hAnsi="Times New Roman" w:cs="Times New Roman"/>
          <w:sz w:val="24"/>
          <w:szCs w:val="24"/>
        </w:rPr>
        <w:fldChar w:fldCharType="begin" w:fldLock="1"/>
      </w:r>
      <w:r w:rsidR="00A128AC">
        <w:rPr>
          <w:rFonts w:ascii="Times New Roman" w:hAnsi="Times New Roman" w:cs="Times New Roman"/>
          <w:sz w:val="24"/>
          <w:szCs w:val="24"/>
        </w:rPr>
        <w:instrText>ADDIN CSL_CITATION {"citationItems":[{"id":"ITEM-1","itemData":{"DOI":"10.1016/j.cclet.2020.03.028","ISSN":"10018417","abstract":"Great success has been witnessed in last decades, some new techniques and strategies have been widely used in drug discovery. In this roadmap, several representative techniques and strategies are highlighted to show recent advances in this filed. (A) A DOX protocol has been developed for accurate protein-ligand binding structure prediction, in which first principle method was used to rank the binding poses. Validation against crystal structures have found that DOX prediction achieved an impressive success rate of 99%, indicating significant improvement over molecular docking method. (B) Virtual target profiling is a compound-centric strategy enabling a parallel implementation of interrogating compounds against various targets in a single screen, which has been used in hit/lead identification, drug repositioning, and mechanism-of-action studies. Current and emerging methods for virtual target profiling are briefly summarized herein. (C) Research on targeted autophagy to treat diseases has received encouraging progress. However, due to the complexity of autophagy and disease, experimental and in silico methods should be performed synergistically for the entire process. This part focuses on in silico methods in autophagy research to promote their use in medicinal research. (D) Histone deacetylases (HDACs) play important roles in various biological functions through the deacetylation of lysine residues. Recent studies demonstrated that HDACs, which possess low deacetylase activities, exhibited more efficient defatty-acylase activities. Here, we review the defatty-acylase activity of HDACs and describe examples for the design of isoform selective HDAC inhibitor. (E) The FDA approval of three kinase allosteric inhibitors and some others entering clinical study has spurred considerable interests in this targeted drug discovery area. (F) Recent advances are reviewed in structure-based design of novel antiviral agents to combat drug resistance. (G) Since nitric oxide (NO) exerts anticancer activity depending on its concentration, optimal levels of NO in cancer cells is desirable. In this minireview, we briefly describe recent advances in the research of NO-based anticancer agents by our group and present some opinions on the future development of these agents. (H) The field of photoactivation strategies have been extensively developed for controlling chemical and biological processes with light. This review will summarize and provide insight into recent research…","author":[{"dropping-particle":"","family":"Du","given":"Jintong","non-dropping-particle":"","parse-names":false,"suffix":""},{"dropping-particle":"","family":"Guo","given":"Jing","non-dropping-particle":"","parse-names":false,"suffix":""},{"dropping-particle":"","family":"Kang","given":"Dongwei","non-dropping-particle":"","parse-names":false,"suffix":""},{"dropping-particle":"","family":"Li","given":"Zhihong","non-dropping-particle":"","parse-names":false,"suffix":""},{"dropping-particle":"","family":"Wang","given":"Guan","non-dropping-particle":"","parse-names":false,"suffix":""},{"dropping-particle":"","family":"Wu","given":"Jianbing","non-dropping-particle":"","parse-names":false,"suffix":""},{"dropping-particle":"","family":"Zhang","given":"Zhen","non-dropping-particle":"","parse-names":false,"suffix":""},{"dropping-particle":"","family":"Fang","given":"Hao","non-dropping-particle":"","parse-names":false,"suffix":""},{"dropping-particle":"","family":"Hou","given":"Xuben","non-dropping-particle":"","parse-names":false,"suffix":""},{"dropping-particle":"","family":"Huang","given":"Zhangjian","non-dropping-particle":"","parse-names":false,"suffix":""},{"dropping-particle":"","family":"Li","given":"Guobo","non-dropping-particle":"","parse-names":false,"suffix":""},{"dropping-particle":"","family":"Lu","given":"Xiaoyun","non-dropping-particle":"","parse-names":false,"suffix":""},{"dropping-particle":"","family":"Liu","given":"Xinyong","non-dropping-particle":"","parse-names":false,"suffix":""},{"dropping-particle":"","family":"Ouyang","given":"Liang","non-dropping-particle":"","parse-names":false,"suffix":""},{"dropping-particle":"","family":"Rao","given":"Li","non-dropping-particle":"","parse-names":false,"suffix":""},{"dropping-particle":"","family":"Zhan","given":"Peng","non-dropping-particle":"","parse-names":false,"suffix":""},{"dropping-particle":"","family":"Zhang","given":"Xiaojin","non-dropping-particle":"","parse-names":false,"suffix":""},{"dropping-particle":"","family":"Zhang","given":"Yihua","non-dropping-particle":"","parse-names":false,"suffix":""}],"container-title":"Chinese Chemical Letters","id":"ITEM-1","issue":"7","issued":{"date-parts":[["2020"]]},"page":"1695-1708","publisher":"Chinese Chemical Society","title":"New techniques and strategies in drug discovery","type":"article-journal","volume":"31"},"uris":["http://www.mendeley.com/documents/?uuid=a596f1cf-7048-42a3-8e61-96571b1b0a38"]}],"mendeley":{"formattedCitation":"(DU et al., 2020)","plainTextFormattedCitation":"(DU et al., 2020)","previouslyFormattedCitation":"(DU et al., 2020)"},"properties":{"noteIndex":0},"schema":"https://github.com/citation-style-language/schema/raw/master/csl-citation.json"}</w:instrText>
      </w:r>
      <w:r w:rsidR="00A128AC">
        <w:rPr>
          <w:rFonts w:ascii="Times New Roman" w:hAnsi="Times New Roman" w:cs="Times New Roman"/>
          <w:sz w:val="24"/>
          <w:szCs w:val="24"/>
        </w:rPr>
        <w:fldChar w:fldCharType="separate"/>
      </w:r>
      <w:r w:rsidR="00A128AC" w:rsidRPr="00A128AC">
        <w:rPr>
          <w:rFonts w:ascii="Times New Roman" w:hAnsi="Times New Roman" w:cs="Times New Roman"/>
          <w:noProof/>
          <w:sz w:val="24"/>
          <w:szCs w:val="24"/>
        </w:rPr>
        <w:t>(DU et al., 2020)</w:t>
      </w:r>
      <w:r w:rsidR="00A128AC">
        <w:rPr>
          <w:rFonts w:ascii="Times New Roman" w:hAnsi="Times New Roman" w:cs="Times New Roman"/>
          <w:sz w:val="24"/>
          <w:szCs w:val="24"/>
        </w:rPr>
        <w:fldChar w:fldCharType="end"/>
      </w:r>
      <w:r w:rsidR="00A128AC">
        <w:rPr>
          <w:rFonts w:ascii="Times New Roman" w:hAnsi="Times New Roman" w:cs="Times New Roman"/>
          <w:sz w:val="24"/>
          <w:szCs w:val="24"/>
        </w:rPr>
        <w:t xml:space="preserve"> </w:t>
      </w:r>
      <w:r w:rsidR="00A128AC">
        <w:rPr>
          <w:rFonts w:ascii="Times New Roman" w:hAnsi="Times New Roman" w:cs="Times New Roman"/>
          <w:sz w:val="24"/>
          <w:szCs w:val="24"/>
        </w:rPr>
        <w:fldChar w:fldCharType="begin" w:fldLock="1"/>
      </w:r>
      <w:r w:rsidR="00A128AC">
        <w:rPr>
          <w:rFonts w:ascii="Times New Roman" w:hAnsi="Times New Roman" w:cs="Times New Roman"/>
          <w:sz w:val="24"/>
          <w:szCs w:val="24"/>
        </w:rPr>
        <w:instrText>ADDIN CSL_CITATION {"citationItems":[{"id":"ITEM-1","itemData":{"DOI":"10.3390/ijms20184331","ISSN":"14220067","PMID":"31487867","abstract":"Molecular docking is an established in silico structure-based method widely used in drug discovery. Docking enables the identification of novel compounds of therapeutic interest, predicting ligand-target interactions at a molecular level, or delineating structure-activity relationships (SAR), without knowing a priori the chemical structure of other target modulators. Although it was originally developed to help understanding the mechanisms of molecular recognition between small and large molecules, uses and applications of docking in drug discovery have heavily changed over the last years. In this review, we describe how molecular docking was firstly applied to assist in drug discovery tasks. Then, we illustrate newer and emergent uses and applications of docking, including prediction of adverse effects, polypharmacology, drug repurposing, and target fishing and profiling, discussing also future applications and further potential of this technique when combined with emergent techniques, such as artificial intelligence.","author":[{"dropping-particle":"","family":"Pinzi","given":"Luca","non-dropping-particle":"","parse-names":false,"suffix":""},{"dropping-particle":"","family":"Rastelli","given":"Giulio","non-dropping-particle":"","parse-names":false,"suffix":""}],"container-title":"International Journal of Molecular Sciences","id":"ITEM-1","issue":"18","issued":{"date-parts":[["2019"]]},"title":"Molecular docking: Shifting paradigms in drug discovery","type":"article-journal","volume":"20"},"uris":["http://www.mendeley.com/documents/?uuid=53fb8e3c-5d2a-402a-98de-596df3fcb8e4"]}],"mendeley":{"formattedCitation":"(PINZI; RASTELLI, 2019)","plainTextFormattedCitation":"(PINZI; RASTELLI, 2019)","previouslyFormattedCitation":"(PINZI; RASTELLI, 2019)"},"properties":{"noteIndex":0},"schema":"https://github.com/citation-style-language/schema/raw/master/csl-citation.json"}</w:instrText>
      </w:r>
      <w:r w:rsidR="00A128AC">
        <w:rPr>
          <w:rFonts w:ascii="Times New Roman" w:hAnsi="Times New Roman" w:cs="Times New Roman"/>
          <w:sz w:val="24"/>
          <w:szCs w:val="24"/>
        </w:rPr>
        <w:fldChar w:fldCharType="separate"/>
      </w:r>
      <w:r w:rsidR="00A128AC" w:rsidRPr="00A128AC">
        <w:rPr>
          <w:rFonts w:ascii="Times New Roman" w:hAnsi="Times New Roman" w:cs="Times New Roman"/>
          <w:noProof/>
          <w:sz w:val="24"/>
          <w:szCs w:val="24"/>
        </w:rPr>
        <w:t>(PINZI; RASTELLI, 2019)</w:t>
      </w:r>
      <w:r w:rsidR="00A128AC">
        <w:rPr>
          <w:rFonts w:ascii="Times New Roman" w:hAnsi="Times New Roman" w:cs="Times New Roman"/>
          <w:sz w:val="24"/>
          <w:szCs w:val="24"/>
        </w:rPr>
        <w:fldChar w:fldCharType="end"/>
      </w:r>
      <w:r w:rsidR="008B3DB7" w:rsidRPr="008B3DB7">
        <w:rPr>
          <w:rFonts w:ascii="Times New Roman" w:hAnsi="Times New Roman" w:cs="Times New Roman"/>
          <w:sz w:val="24"/>
          <w:szCs w:val="24"/>
        </w:rPr>
        <w:t>.</w:t>
      </w:r>
    </w:p>
    <w:p w14:paraId="39461D94" w14:textId="4313DF8E" w:rsidR="00B97708" w:rsidRDefault="00A2452C" w:rsidP="00B87756">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Dentro deste contexto, o objetivo deste trabalho foi a investigação de novos candidatos com atividades em TP obtidos da </w:t>
      </w:r>
      <w:r w:rsidR="00B97708" w:rsidRPr="00B97708">
        <w:rPr>
          <w:rFonts w:ascii="Times New Roman" w:hAnsi="Times New Roman" w:cs="Times New Roman"/>
          <w:i/>
          <w:iCs/>
          <w:sz w:val="24"/>
          <w:szCs w:val="24"/>
        </w:rPr>
        <w:t xml:space="preserve">Annona </w:t>
      </w:r>
      <w:r>
        <w:rPr>
          <w:rFonts w:ascii="Times New Roman" w:hAnsi="Times New Roman" w:cs="Times New Roman"/>
          <w:i/>
          <w:iCs/>
          <w:sz w:val="24"/>
          <w:szCs w:val="24"/>
        </w:rPr>
        <w:t xml:space="preserve">coriacea </w:t>
      </w:r>
      <w:r>
        <w:rPr>
          <w:rFonts w:ascii="Times New Roman" w:hAnsi="Times New Roman" w:cs="Times New Roman"/>
          <w:sz w:val="24"/>
          <w:szCs w:val="24"/>
        </w:rPr>
        <w:t xml:space="preserve">empregando ferramentas </w:t>
      </w:r>
      <w:r w:rsidRPr="00A2452C">
        <w:rPr>
          <w:rFonts w:ascii="Times New Roman" w:hAnsi="Times New Roman" w:cs="Times New Roman"/>
          <w:i/>
          <w:iCs/>
          <w:sz w:val="24"/>
          <w:szCs w:val="24"/>
        </w:rPr>
        <w:t>in silico</w:t>
      </w:r>
      <w:r>
        <w:rPr>
          <w:rFonts w:ascii="Times New Roman" w:hAnsi="Times New Roman" w:cs="Times New Roman"/>
          <w:sz w:val="24"/>
          <w:szCs w:val="24"/>
        </w:rPr>
        <w:t>.</w:t>
      </w:r>
    </w:p>
    <w:p w14:paraId="6C741510" w14:textId="3C58F5C8" w:rsidR="001B3127" w:rsidRDefault="001B3127" w:rsidP="00B87756">
      <w:pPr>
        <w:spacing w:after="0" w:line="360" w:lineRule="auto"/>
        <w:ind w:firstLine="708"/>
        <w:jc w:val="both"/>
        <w:rPr>
          <w:rFonts w:ascii="Times New Roman" w:hAnsi="Times New Roman" w:cs="Times New Roman"/>
          <w:sz w:val="24"/>
          <w:szCs w:val="24"/>
        </w:rPr>
      </w:pPr>
    </w:p>
    <w:p w14:paraId="3BD9D3F2" w14:textId="6AB1A5EF" w:rsidR="001B3127" w:rsidRDefault="001B3127" w:rsidP="00B87756">
      <w:pPr>
        <w:spacing w:after="0" w:line="360" w:lineRule="auto"/>
        <w:ind w:firstLine="708"/>
        <w:jc w:val="both"/>
        <w:rPr>
          <w:rFonts w:ascii="Times New Roman" w:hAnsi="Times New Roman" w:cs="Times New Roman"/>
          <w:b/>
          <w:bCs/>
          <w:sz w:val="24"/>
          <w:szCs w:val="24"/>
        </w:rPr>
      </w:pPr>
      <w:r w:rsidRPr="00B87756">
        <w:rPr>
          <w:rFonts w:ascii="Times New Roman" w:hAnsi="Times New Roman" w:cs="Times New Roman"/>
          <w:b/>
          <w:bCs/>
          <w:sz w:val="24"/>
          <w:szCs w:val="24"/>
        </w:rPr>
        <w:t>METODOLOGIA</w:t>
      </w:r>
    </w:p>
    <w:p w14:paraId="3C37AA80" w14:textId="77777777" w:rsidR="00B87756" w:rsidRPr="00B87756" w:rsidRDefault="00B87756" w:rsidP="00B87756">
      <w:pPr>
        <w:spacing w:after="0" w:line="360" w:lineRule="auto"/>
        <w:ind w:firstLine="708"/>
        <w:jc w:val="both"/>
        <w:rPr>
          <w:rFonts w:ascii="Times New Roman" w:hAnsi="Times New Roman" w:cs="Times New Roman"/>
          <w:b/>
          <w:bCs/>
          <w:sz w:val="24"/>
          <w:szCs w:val="24"/>
        </w:rPr>
      </w:pPr>
    </w:p>
    <w:p w14:paraId="35601DE3" w14:textId="784E0663" w:rsidR="001B3127" w:rsidRDefault="001028F5" w:rsidP="00B87756">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F</w:t>
      </w:r>
      <w:r w:rsidR="00556903">
        <w:rPr>
          <w:rFonts w:ascii="Times New Roman" w:hAnsi="Times New Roman" w:cs="Times New Roman"/>
          <w:sz w:val="24"/>
          <w:szCs w:val="24"/>
        </w:rPr>
        <w:t xml:space="preserve">oi realizada uma pesquisa </w:t>
      </w:r>
      <w:r>
        <w:rPr>
          <w:rFonts w:ascii="Times New Roman" w:hAnsi="Times New Roman" w:cs="Times New Roman"/>
          <w:sz w:val="24"/>
          <w:szCs w:val="24"/>
        </w:rPr>
        <w:t>nas bases de dados</w:t>
      </w:r>
      <w:r w:rsidR="00556903">
        <w:rPr>
          <w:rFonts w:ascii="Times New Roman" w:hAnsi="Times New Roman" w:cs="Times New Roman"/>
          <w:sz w:val="24"/>
          <w:szCs w:val="24"/>
        </w:rPr>
        <w:t xml:space="preserve"> PubMed</w:t>
      </w:r>
      <w:r w:rsidR="00824DED">
        <w:rPr>
          <w:rFonts w:ascii="Times New Roman" w:hAnsi="Times New Roman" w:cs="Times New Roman"/>
          <w:sz w:val="24"/>
          <w:szCs w:val="24"/>
        </w:rPr>
        <w:t xml:space="preserve"> (</w:t>
      </w:r>
      <w:r w:rsidR="00824DED" w:rsidRPr="00824DED">
        <w:rPr>
          <w:rFonts w:ascii="Times New Roman" w:hAnsi="Times New Roman" w:cs="Times New Roman"/>
          <w:sz w:val="24"/>
          <w:szCs w:val="24"/>
        </w:rPr>
        <w:t>https://pubmed.ncbi.nlm.nih.gov/</w:t>
      </w:r>
      <w:r w:rsidR="00824DED">
        <w:rPr>
          <w:rFonts w:ascii="Times New Roman" w:hAnsi="Times New Roman" w:cs="Times New Roman"/>
          <w:sz w:val="24"/>
          <w:szCs w:val="24"/>
        </w:rPr>
        <w:t>)</w:t>
      </w:r>
      <w:r w:rsidR="00556903">
        <w:rPr>
          <w:rFonts w:ascii="Times New Roman" w:hAnsi="Times New Roman" w:cs="Times New Roman"/>
          <w:sz w:val="24"/>
          <w:szCs w:val="24"/>
        </w:rPr>
        <w:t>, ScienceDirect</w:t>
      </w:r>
      <w:r w:rsidR="00824DED">
        <w:rPr>
          <w:rFonts w:ascii="Times New Roman" w:hAnsi="Times New Roman" w:cs="Times New Roman"/>
          <w:sz w:val="24"/>
          <w:szCs w:val="24"/>
        </w:rPr>
        <w:t xml:space="preserve"> (</w:t>
      </w:r>
      <w:r w:rsidR="00824DED" w:rsidRPr="00824DED">
        <w:rPr>
          <w:rFonts w:ascii="Times New Roman" w:hAnsi="Times New Roman" w:cs="Times New Roman"/>
          <w:sz w:val="24"/>
          <w:szCs w:val="24"/>
        </w:rPr>
        <w:t>https://www.sciencedirect.com/</w:t>
      </w:r>
      <w:r w:rsidR="00824DED">
        <w:rPr>
          <w:rFonts w:ascii="Times New Roman" w:hAnsi="Times New Roman" w:cs="Times New Roman"/>
          <w:sz w:val="24"/>
          <w:szCs w:val="24"/>
        </w:rPr>
        <w:t>)</w:t>
      </w:r>
      <w:r w:rsidR="00556903">
        <w:rPr>
          <w:rFonts w:ascii="Times New Roman" w:hAnsi="Times New Roman" w:cs="Times New Roman"/>
          <w:sz w:val="24"/>
          <w:szCs w:val="24"/>
        </w:rPr>
        <w:t xml:space="preserve"> e Scielo</w:t>
      </w:r>
      <w:r w:rsidR="00824DED">
        <w:rPr>
          <w:rFonts w:ascii="Times New Roman" w:hAnsi="Times New Roman" w:cs="Times New Roman"/>
          <w:sz w:val="24"/>
          <w:szCs w:val="24"/>
        </w:rPr>
        <w:t xml:space="preserve"> (</w:t>
      </w:r>
      <w:r w:rsidR="00824DED" w:rsidRPr="00824DED">
        <w:rPr>
          <w:rFonts w:ascii="Times New Roman" w:hAnsi="Times New Roman" w:cs="Times New Roman"/>
          <w:sz w:val="24"/>
          <w:szCs w:val="24"/>
        </w:rPr>
        <w:t>https://www.scielo.br/?lng=pt</w:t>
      </w:r>
      <w:r w:rsidR="00824DED">
        <w:rPr>
          <w:rFonts w:ascii="Times New Roman" w:hAnsi="Times New Roman" w:cs="Times New Roman"/>
          <w:sz w:val="24"/>
          <w:szCs w:val="24"/>
        </w:rPr>
        <w:t>)</w:t>
      </w:r>
      <w:r w:rsidR="00556903">
        <w:rPr>
          <w:rFonts w:ascii="Times New Roman" w:hAnsi="Times New Roman" w:cs="Times New Roman"/>
          <w:sz w:val="24"/>
          <w:szCs w:val="24"/>
        </w:rPr>
        <w:t xml:space="preserve">, com </w:t>
      </w:r>
      <w:r w:rsidR="00824DED">
        <w:rPr>
          <w:rFonts w:ascii="Times New Roman" w:hAnsi="Times New Roman" w:cs="Times New Roman"/>
          <w:sz w:val="24"/>
          <w:szCs w:val="24"/>
        </w:rPr>
        <w:t>a finalidade</w:t>
      </w:r>
      <w:r w:rsidR="00556903">
        <w:rPr>
          <w:rFonts w:ascii="Times New Roman" w:hAnsi="Times New Roman" w:cs="Times New Roman"/>
          <w:sz w:val="24"/>
          <w:szCs w:val="24"/>
        </w:rPr>
        <w:t xml:space="preserve"> de encont</w:t>
      </w:r>
      <w:r w:rsidR="00824DED">
        <w:rPr>
          <w:rFonts w:ascii="Times New Roman" w:hAnsi="Times New Roman" w:cs="Times New Roman"/>
          <w:sz w:val="24"/>
          <w:szCs w:val="24"/>
        </w:rPr>
        <w:t>rar</w:t>
      </w:r>
      <w:r w:rsidR="00556903">
        <w:rPr>
          <w:rFonts w:ascii="Times New Roman" w:hAnsi="Times New Roman" w:cs="Times New Roman"/>
          <w:sz w:val="24"/>
          <w:szCs w:val="24"/>
        </w:rPr>
        <w:t xml:space="preserve"> substâncias com possível efeito sobro o sistema nervoso central</w:t>
      </w:r>
      <w:r w:rsidR="00824DED">
        <w:rPr>
          <w:rFonts w:ascii="Times New Roman" w:hAnsi="Times New Roman" w:cs="Times New Roman"/>
          <w:sz w:val="24"/>
          <w:szCs w:val="24"/>
        </w:rPr>
        <w:t xml:space="preserve">, já caracterizadas, provenientes da </w:t>
      </w:r>
      <w:r w:rsidR="00C659DE">
        <w:rPr>
          <w:rFonts w:ascii="Times New Roman" w:hAnsi="Times New Roman" w:cs="Times New Roman"/>
          <w:sz w:val="24"/>
          <w:szCs w:val="24"/>
        </w:rPr>
        <w:t>espécie</w:t>
      </w:r>
      <w:r w:rsidR="00C659DE">
        <w:rPr>
          <w:rStyle w:val="Refdecomentrio"/>
        </w:rPr>
        <w:t xml:space="preserve"> </w:t>
      </w:r>
      <w:r w:rsidR="00C659DE" w:rsidRPr="00824DED">
        <w:rPr>
          <w:rFonts w:ascii="Times New Roman" w:hAnsi="Times New Roman" w:cs="Times New Roman"/>
          <w:i/>
          <w:iCs/>
          <w:sz w:val="24"/>
          <w:szCs w:val="24"/>
        </w:rPr>
        <w:t>Annona</w:t>
      </w:r>
      <w:r w:rsidR="00824DED" w:rsidRPr="00091BB0">
        <w:rPr>
          <w:rFonts w:ascii="Times New Roman" w:hAnsi="Times New Roman" w:cs="Times New Roman"/>
          <w:i/>
          <w:iCs/>
          <w:sz w:val="24"/>
          <w:szCs w:val="24"/>
        </w:rPr>
        <w:t xml:space="preserve"> coriacea</w:t>
      </w:r>
      <w:r w:rsidR="00824DED">
        <w:rPr>
          <w:rFonts w:ascii="Times New Roman" w:hAnsi="Times New Roman" w:cs="Times New Roman"/>
          <w:i/>
          <w:iCs/>
          <w:sz w:val="24"/>
          <w:szCs w:val="24"/>
        </w:rPr>
        <w:t>.</w:t>
      </w:r>
      <w:r w:rsidR="00556903">
        <w:rPr>
          <w:rFonts w:ascii="Times New Roman" w:hAnsi="Times New Roman" w:cs="Times New Roman"/>
          <w:sz w:val="24"/>
          <w:szCs w:val="24"/>
        </w:rPr>
        <w:t xml:space="preserve"> </w:t>
      </w:r>
      <w:r w:rsidR="00824DED">
        <w:rPr>
          <w:rFonts w:ascii="Times New Roman" w:hAnsi="Times New Roman" w:cs="Times New Roman"/>
          <w:sz w:val="24"/>
          <w:szCs w:val="24"/>
        </w:rPr>
        <w:t>Para isso, foram pesquisados artigos publicados entre os anos 2000 e 2021, usando os descritores “</w:t>
      </w:r>
      <w:r w:rsidR="00824DED" w:rsidRPr="00091BB0">
        <w:rPr>
          <w:rFonts w:ascii="Times New Roman" w:hAnsi="Times New Roman" w:cs="Times New Roman"/>
          <w:i/>
          <w:iCs/>
          <w:sz w:val="24"/>
          <w:szCs w:val="24"/>
        </w:rPr>
        <w:t>Annona coriacea</w:t>
      </w:r>
      <w:r w:rsidR="00824DED">
        <w:rPr>
          <w:rFonts w:ascii="Times New Roman" w:hAnsi="Times New Roman" w:cs="Times New Roman"/>
          <w:i/>
          <w:iCs/>
          <w:sz w:val="24"/>
          <w:szCs w:val="24"/>
        </w:rPr>
        <w:t xml:space="preserve">” </w:t>
      </w:r>
      <w:r w:rsidR="00824DED">
        <w:rPr>
          <w:rFonts w:ascii="Times New Roman" w:hAnsi="Times New Roman" w:cs="Times New Roman"/>
          <w:sz w:val="24"/>
          <w:szCs w:val="24"/>
        </w:rPr>
        <w:t>e “compostos</w:t>
      </w:r>
      <w:r w:rsidR="00F55D5D">
        <w:rPr>
          <w:rFonts w:ascii="Times New Roman" w:hAnsi="Times New Roman" w:cs="Times New Roman"/>
          <w:sz w:val="24"/>
          <w:szCs w:val="24"/>
        </w:rPr>
        <w:t xml:space="preserve"> químicos</w:t>
      </w:r>
      <w:r w:rsidR="00824DED">
        <w:rPr>
          <w:rFonts w:ascii="Times New Roman" w:hAnsi="Times New Roman" w:cs="Times New Roman"/>
          <w:sz w:val="24"/>
          <w:szCs w:val="24"/>
        </w:rPr>
        <w:t>”.</w:t>
      </w:r>
    </w:p>
    <w:p w14:paraId="21229F3D" w14:textId="7A9E6571" w:rsidR="00091BB0" w:rsidRDefault="00E95CFE" w:rsidP="00B87756">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Após a </w:t>
      </w:r>
      <w:r w:rsidR="00113961">
        <w:rPr>
          <w:rFonts w:ascii="Times New Roman" w:hAnsi="Times New Roman" w:cs="Times New Roman"/>
          <w:sz w:val="24"/>
          <w:szCs w:val="24"/>
        </w:rPr>
        <w:t>identificação dos compostos já elucidados nesta espécie</w:t>
      </w:r>
      <w:r w:rsidR="00BC0C2B">
        <w:rPr>
          <w:rFonts w:ascii="Times New Roman" w:hAnsi="Times New Roman" w:cs="Times New Roman"/>
          <w:sz w:val="24"/>
          <w:szCs w:val="24"/>
        </w:rPr>
        <w:t xml:space="preserve">, seus dados estruturais foram levantados por meio da base </w:t>
      </w:r>
      <w:r>
        <w:rPr>
          <w:rFonts w:ascii="Times New Roman" w:hAnsi="Times New Roman" w:cs="Times New Roman"/>
          <w:sz w:val="24"/>
          <w:szCs w:val="24"/>
        </w:rPr>
        <w:t>PubChem</w:t>
      </w:r>
      <w:r w:rsidR="00BC0C2B">
        <w:rPr>
          <w:rFonts w:ascii="Times New Roman" w:hAnsi="Times New Roman" w:cs="Times New Roman"/>
          <w:sz w:val="24"/>
          <w:szCs w:val="24"/>
        </w:rPr>
        <w:t xml:space="preserve"> (</w:t>
      </w:r>
      <w:r w:rsidR="00BC0C2B" w:rsidRPr="00BC0C2B">
        <w:rPr>
          <w:rFonts w:ascii="Times New Roman" w:hAnsi="Times New Roman" w:cs="Times New Roman"/>
          <w:sz w:val="24"/>
          <w:szCs w:val="24"/>
        </w:rPr>
        <w:t>https://pubchem.ncbi.nlm.nih.gov/</w:t>
      </w:r>
      <w:r w:rsidR="00BC0C2B">
        <w:rPr>
          <w:rFonts w:ascii="Times New Roman" w:hAnsi="Times New Roman" w:cs="Times New Roman"/>
          <w:sz w:val="24"/>
          <w:szCs w:val="24"/>
        </w:rPr>
        <w:t>)</w:t>
      </w:r>
      <w:r>
        <w:rPr>
          <w:rFonts w:ascii="Times New Roman" w:hAnsi="Times New Roman" w:cs="Times New Roman"/>
          <w:sz w:val="24"/>
          <w:szCs w:val="24"/>
        </w:rPr>
        <w:t xml:space="preserve">. </w:t>
      </w:r>
      <w:r w:rsidR="005B1B54">
        <w:rPr>
          <w:rFonts w:ascii="Times New Roman" w:hAnsi="Times New Roman" w:cs="Times New Roman"/>
          <w:sz w:val="24"/>
          <w:szCs w:val="24"/>
        </w:rPr>
        <w:t>Logo após</w:t>
      </w:r>
      <w:r w:rsidR="00BC0C2B">
        <w:rPr>
          <w:rFonts w:ascii="Times New Roman" w:hAnsi="Times New Roman" w:cs="Times New Roman"/>
          <w:sz w:val="24"/>
          <w:szCs w:val="24"/>
        </w:rPr>
        <w:t xml:space="preserve"> a organização das estruturas</w:t>
      </w:r>
      <w:r w:rsidR="005B1B54">
        <w:rPr>
          <w:rFonts w:ascii="Times New Roman" w:hAnsi="Times New Roman" w:cs="Times New Roman"/>
          <w:sz w:val="24"/>
          <w:szCs w:val="24"/>
        </w:rPr>
        <w:t xml:space="preserve">, </w:t>
      </w:r>
      <w:r w:rsidR="00BC0C2B">
        <w:rPr>
          <w:rFonts w:ascii="Times New Roman" w:hAnsi="Times New Roman" w:cs="Times New Roman"/>
          <w:sz w:val="24"/>
          <w:szCs w:val="24"/>
        </w:rPr>
        <w:t>empregou-se o servidor</w:t>
      </w:r>
      <w:r w:rsidR="005B1B54">
        <w:rPr>
          <w:rFonts w:ascii="Times New Roman" w:hAnsi="Times New Roman" w:cs="Times New Roman"/>
          <w:sz w:val="24"/>
          <w:szCs w:val="24"/>
        </w:rPr>
        <w:t xml:space="preserve"> PASS Prediction</w:t>
      </w:r>
      <w:r w:rsidR="00824DED">
        <w:rPr>
          <w:rFonts w:ascii="Times New Roman" w:hAnsi="Times New Roman" w:cs="Times New Roman"/>
          <w:sz w:val="24"/>
          <w:szCs w:val="24"/>
        </w:rPr>
        <w:t xml:space="preserve"> (</w:t>
      </w:r>
      <w:r w:rsidR="00824DED" w:rsidRPr="00824DED">
        <w:rPr>
          <w:rFonts w:ascii="Times New Roman" w:hAnsi="Times New Roman" w:cs="Times New Roman"/>
          <w:sz w:val="24"/>
          <w:szCs w:val="24"/>
        </w:rPr>
        <w:t>http://www.way2drug.com/passonline/</w:t>
      </w:r>
      <w:r w:rsidR="00824DED">
        <w:rPr>
          <w:rFonts w:ascii="Times New Roman" w:hAnsi="Times New Roman" w:cs="Times New Roman"/>
          <w:sz w:val="24"/>
          <w:szCs w:val="24"/>
        </w:rPr>
        <w:t>)</w:t>
      </w:r>
      <w:r w:rsidR="005B1B54">
        <w:rPr>
          <w:rFonts w:ascii="Times New Roman" w:hAnsi="Times New Roman" w:cs="Times New Roman"/>
          <w:sz w:val="24"/>
          <w:szCs w:val="24"/>
        </w:rPr>
        <w:t xml:space="preserve"> </w:t>
      </w:r>
      <w:r w:rsidR="004B76A9">
        <w:rPr>
          <w:rFonts w:ascii="Times New Roman" w:hAnsi="Times New Roman" w:cs="Times New Roman"/>
          <w:sz w:val="24"/>
          <w:szCs w:val="24"/>
        </w:rPr>
        <w:t xml:space="preserve">para </w:t>
      </w:r>
      <w:r w:rsidR="00BC0C2B">
        <w:rPr>
          <w:rFonts w:ascii="Times New Roman" w:hAnsi="Times New Roman" w:cs="Times New Roman"/>
          <w:sz w:val="24"/>
          <w:szCs w:val="24"/>
        </w:rPr>
        <w:t xml:space="preserve">predizer as prováveis atividades biológicas das </w:t>
      </w:r>
      <w:r w:rsidR="00FA3A82">
        <w:rPr>
          <w:rFonts w:ascii="Times New Roman" w:hAnsi="Times New Roman" w:cs="Times New Roman"/>
          <w:sz w:val="24"/>
          <w:szCs w:val="24"/>
        </w:rPr>
        <w:t xml:space="preserve">estruturas catalogadas </w:t>
      </w:r>
      <w:r w:rsidR="00DE5C9B">
        <w:rPr>
          <w:rFonts w:ascii="Times New Roman" w:hAnsi="Times New Roman" w:cs="Times New Roman"/>
          <w:sz w:val="24"/>
          <w:szCs w:val="24"/>
        </w:rPr>
        <w:fldChar w:fldCharType="begin" w:fldLock="1"/>
      </w:r>
      <w:r w:rsidR="000279A7">
        <w:rPr>
          <w:rFonts w:ascii="Times New Roman" w:hAnsi="Times New Roman" w:cs="Times New Roman"/>
          <w:sz w:val="24"/>
          <w:szCs w:val="24"/>
        </w:rPr>
        <w:instrText>ADDIN CSL_CITATION {"citationItems":[{"id":"ITEM-1","itemData":{"DOI":"10.1007/s10593-014-1496-1","ISSN":"15738353","abstract":"The freely accessible web resource PASS Online is presented. This resource is designed for the prediction of the biological activity spectra of organic compounds based on their structural formulas for more than 4000 types of biological activity with average accuracy above 95% (http://www.way2drug.com/ passonline). The prediction is based on an analysis of the structure-activity relationships in the training set containing information on the structure and biological activity of more than 300000 organic compounds. The possibilities and limitations of this approach are described. Recommendations are given for interpreting the prediction results. Examples are given for the practical use of the PASS Online web resource in order to establish priorities for chemical synthesis and biological testing of substances on the basis of prediction results. The further trends are considered for the using PASS Online as an Internet platform for joint projects of academic researchers for the search and development of new pharmaceutical agents. © 2014 Springer Science+Business Media New York.","author":[{"dropping-particle":"","family":"Filimonov","given":"D. A.","non-dropping-particle":"","parse-names":false,"suffix":""},{"dropping-particle":"","family":"Lagunin","given":"A. A.","non-dropping-particle":"","parse-names":false,"suffix":""},{"dropping-particle":"","family":"Gloriozova","given":"T. A.","non-dropping-particle":"","parse-names":false,"suffix":""},{"dropping-particle":"V.","family":"Rudik","given":"A.","non-dropping-particle":"","parse-names":false,"suffix":""},{"dropping-particle":"","family":"Druzhilovskii","given":"D. S.","non-dropping-particle":"","parse-names":false,"suffix":""},{"dropping-particle":"V.","family":"Pogodin","given":"P.","non-dropping-particle":"","parse-names":false,"suffix":""},{"dropping-particle":"V.","family":"Poroikov","given":"V.","non-dropping-particle":"","parse-names":false,"suffix":""}],"container-title":"Chemistry of Heterocyclic Compounds","id":"ITEM-1","issue":"3","issued":{"date-parts":[["2014"]]},"page":"444-457","title":"Prediction of the biological activity spectra of organic compounds using the pass online web resource","type":"article-journal","volume":"50"},"uris":["http://www.mendeley.com/documents/?uuid=6aff7098-054a-41a4-9831-fff5b089c5e4"]}],"mendeley":{"formattedCitation":"(FILIMONOV et al., 2014)","plainTextFormattedCitation":"(FILIMONOV et al., 2014)","previouslyFormattedCitation":"(FILIMONOV et al., 2014)"},"properties":{"noteIndex":0},"schema":"https://github.com/citation-style-language/schema/raw/master/csl-citation.json"}</w:instrText>
      </w:r>
      <w:r w:rsidR="00DE5C9B">
        <w:rPr>
          <w:rFonts w:ascii="Times New Roman" w:hAnsi="Times New Roman" w:cs="Times New Roman"/>
          <w:sz w:val="24"/>
          <w:szCs w:val="24"/>
        </w:rPr>
        <w:fldChar w:fldCharType="separate"/>
      </w:r>
      <w:r w:rsidR="00DE5C9B" w:rsidRPr="00DE5C9B">
        <w:rPr>
          <w:rFonts w:ascii="Times New Roman" w:hAnsi="Times New Roman" w:cs="Times New Roman"/>
          <w:noProof/>
          <w:sz w:val="24"/>
          <w:szCs w:val="24"/>
        </w:rPr>
        <w:t>(FILIMONOV et al., 2014)</w:t>
      </w:r>
      <w:r w:rsidR="00DE5C9B">
        <w:rPr>
          <w:rFonts w:ascii="Times New Roman" w:hAnsi="Times New Roman" w:cs="Times New Roman"/>
          <w:sz w:val="24"/>
          <w:szCs w:val="24"/>
        </w:rPr>
        <w:fldChar w:fldCharType="end"/>
      </w:r>
      <w:r w:rsidR="00DE5C9B">
        <w:rPr>
          <w:rFonts w:ascii="Times New Roman" w:hAnsi="Times New Roman" w:cs="Times New Roman"/>
          <w:sz w:val="24"/>
          <w:szCs w:val="24"/>
        </w:rPr>
        <w:t>, com o objetivo de encontrar aquelas com maiores probabilidades de possuírem atividades sobre o sistema nervoso central</w:t>
      </w:r>
      <w:r w:rsidR="004B76A9">
        <w:rPr>
          <w:rFonts w:ascii="Times New Roman" w:hAnsi="Times New Roman" w:cs="Times New Roman"/>
          <w:sz w:val="24"/>
          <w:szCs w:val="24"/>
        </w:rPr>
        <w:t xml:space="preserve">. </w:t>
      </w:r>
      <w:r w:rsidR="00002593">
        <w:rPr>
          <w:rFonts w:ascii="Times New Roman" w:hAnsi="Times New Roman" w:cs="Times New Roman"/>
          <w:sz w:val="24"/>
          <w:szCs w:val="24"/>
        </w:rPr>
        <w:t>Por meio do servidor PASS prediction, consideramos os valores de Pa e Pi como &gt; 0,7 e &lt; 0,05 respectivamente</w:t>
      </w:r>
      <w:r w:rsidR="00B87756">
        <w:rPr>
          <w:rFonts w:ascii="Times New Roman" w:hAnsi="Times New Roman" w:cs="Times New Roman"/>
          <w:sz w:val="24"/>
          <w:szCs w:val="24"/>
        </w:rPr>
        <w:t xml:space="preserve">. Estes </w:t>
      </w:r>
      <w:r w:rsidR="00002593">
        <w:rPr>
          <w:rFonts w:ascii="Times New Roman" w:hAnsi="Times New Roman" w:cs="Times New Roman"/>
          <w:sz w:val="24"/>
          <w:szCs w:val="24"/>
        </w:rPr>
        <w:t xml:space="preserve">valores representam a probabilidade de determinada substância ser ativa (Pa) ou inativa (Pi) para uma sugerida propriedade biológico, que foram utilizados como critério para a inclusão de estruturas de interesse. </w:t>
      </w:r>
      <w:r w:rsidR="00A869B2">
        <w:rPr>
          <w:rFonts w:ascii="Times New Roman" w:hAnsi="Times New Roman" w:cs="Times New Roman"/>
          <w:sz w:val="24"/>
          <w:szCs w:val="24"/>
        </w:rPr>
        <w:t>Através dos servidores SwissADME</w:t>
      </w:r>
      <w:r w:rsidR="00824DED">
        <w:rPr>
          <w:rFonts w:ascii="Times New Roman" w:hAnsi="Times New Roman" w:cs="Times New Roman"/>
          <w:sz w:val="24"/>
          <w:szCs w:val="24"/>
        </w:rPr>
        <w:t xml:space="preserve"> (</w:t>
      </w:r>
      <w:r w:rsidR="00824DED" w:rsidRPr="00824DED">
        <w:rPr>
          <w:rFonts w:ascii="Times New Roman" w:hAnsi="Times New Roman" w:cs="Times New Roman"/>
          <w:sz w:val="24"/>
          <w:szCs w:val="24"/>
        </w:rPr>
        <w:t>http://swissadme.ch/</w:t>
      </w:r>
      <w:r w:rsidR="00824DED">
        <w:rPr>
          <w:rFonts w:ascii="Times New Roman" w:hAnsi="Times New Roman" w:cs="Times New Roman"/>
          <w:sz w:val="24"/>
          <w:szCs w:val="24"/>
        </w:rPr>
        <w:t xml:space="preserve">) </w:t>
      </w:r>
      <w:r w:rsidR="000279A7">
        <w:rPr>
          <w:rFonts w:ascii="Times New Roman" w:hAnsi="Times New Roman" w:cs="Times New Roman"/>
          <w:sz w:val="24"/>
          <w:szCs w:val="24"/>
        </w:rPr>
        <w:fldChar w:fldCharType="begin" w:fldLock="1"/>
      </w:r>
      <w:r w:rsidR="000279A7">
        <w:rPr>
          <w:rFonts w:ascii="Times New Roman" w:hAnsi="Times New Roman" w:cs="Times New Roman"/>
          <w:sz w:val="24"/>
          <w:szCs w:val="24"/>
        </w:rPr>
        <w:instrText>ADDIN CSL_CITATION {"citationItems":[{"id":"ITEM-1","itemData":{"DOI":"10.1038/srep42717","ISSN":"20452322","PMID":"28256516","abstract":"To be effective as a drug, a potent molecule must reach its target in the body in sufficient concentration, and stay there in a bioactive form long enough for the expected biologic events to occur. Drug development involves assessment of absorption, distribution, metabolism and excretion (ADME) increasingly earlier in the discovery process, at a stage when considered compounds are numerous but access to the physical samples is limited. In that context, computer models constitute valid alternatives to experiments. Here, we present the new SwissADME web tool that gives free access to a pool of fast yet robust predictive models for physicochemical properties, pharmacokinetics, drug-likeness and medicinal chemistry friendliness, among which in-house proficient methods such as the BOILED-Egg, iLOGP and Bioavailability Radar. Easy efficient input and interpretation are ensured thanks to a user-friendly interface through the login-free website http://www.swissadme.ch. Specialists, but also nonexpert in cheminformatics or computational chemistry can predict rapidly key parameters for a collection of molecules to support their drug discovery endeavours.","author":[{"dropping-particle":"","family":"Daina","given":"Antoine","non-dropping-particle":"","parse-names":false,"suffix":""},{"dropping-particle":"","family":"Michielin","given":"Olivier","non-dropping-particle":"","parse-names":false,"suffix":""},{"dropping-particle":"","family":"Zoete","given":"Vincent","non-dropping-particle":"","parse-names":false,"suffix":""}],"container-title":"Scientific Reports","id":"ITEM-1","issue":"March","issued":{"date-parts":[["2017"]]},"page":"1-13","publisher":"Nature Publishing Group","title":"SwissADME: A free web tool to evaluate pharmacokinetics, drug-likeness and medicinal chemistry friendliness of small molecules","type":"article-journal","volume":"7"},"uris":["http://www.mendeley.com/documents/?uuid=3738719f-80f5-40cc-acff-baa61695f76b"]}],"mendeley":{"formattedCitation":"(DAINA; MICHIELIN; ZOETE, 2017)","plainTextFormattedCitation":"(DAINA; MICHIELIN; ZOETE, 2017)","previouslyFormattedCitation":"(DAINA; MICHIELIN; ZOETE, 2017)"},"properties":{"noteIndex":0},"schema":"https://github.com/citation-style-language/schema/raw/master/csl-citation.json"}</w:instrText>
      </w:r>
      <w:r w:rsidR="000279A7">
        <w:rPr>
          <w:rFonts w:ascii="Times New Roman" w:hAnsi="Times New Roman" w:cs="Times New Roman"/>
          <w:sz w:val="24"/>
          <w:szCs w:val="24"/>
        </w:rPr>
        <w:fldChar w:fldCharType="separate"/>
      </w:r>
      <w:r w:rsidR="000279A7" w:rsidRPr="000279A7">
        <w:rPr>
          <w:rFonts w:ascii="Times New Roman" w:hAnsi="Times New Roman" w:cs="Times New Roman"/>
          <w:noProof/>
          <w:sz w:val="24"/>
          <w:szCs w:val="24"/>
        </w:rPr>
        <w:t>(DAINA; MICHIELIN; ZOETE, 2017)</w:t>
      </w:r>
      <w:r w:rsidR="000279A7">
        <w:rPr>
          <w:rFonts w:ascii="Times New Roman" w:hAnsi="Times New Roman" w:cs="Times New Roman"/>
          <w:sz w:val="24"/>
          <w:szCs w:val="24"/>
        </w:rPr>
        <w:fldChar w:fldCharType="end"/>
      </w:r>
      <w:r w:rsidR="00A869B2">
        <w:rPr>
          <w:rFonts w:ascii="Times New Roman" w:hAnsi="Times New Roman" w:cs="Times New Roman"/>
          <w:sz w:val="24"/>
          <w:szCs w:val="24"/>
        </w:rPr>
        <w:t xml:space="preserve"> e ProtoxII</w:t>
      </w:r>
      <w:r w:rsidR="00824DED">
        <w:rPr>
          <w:rFonts w:ascii="Times New Roman" w:hAnsi="Times New Roman" w:cs="Times New Roman"/>
          <w:sz w:val="24"/>
          <w:szCs w:val="24"/>
        </w:rPr>
        <w:t xml:space="preserve"> (</w:t>
      </w:r>
      <w:r w:rsidR="00824DED" w:rsidRPr="00824DED">
        <w:rPr>
          <w:rFonts w:ascii="Times New Roman" w:hAnsi="Times New Roman" w:cs="Times New Roman"/>
          <w:sz w:val="24"/>
          <w:szCs w:val="24"/>
        </w:rPr>
        <w:t>https://tox-new.charite.de/protox_II/</w:t>
      </w:r>
      <w:r w:rsidR="00824DED">
        <w:rPr>
          <w:rFonts w:ascii="Times New Roman" w:hAnsi="Times New Roman" w:cs="Times New Roman"/>
          <w:sz w:val="24"/>
          <w:szCs w:val="24"/>
        </w:rPr>
        <w:t>)</w:t>
      </w:r>
      <w:r w:rsidR="000279A7">
        <w:rPr>
          <w:rFonts w:ascii="Times New Roman" w:hAnsi="Times New Roman" w:cs="Times New Roman"/>
          <w:sz w:val="24"/>
          <w:szCs w:val="24"/>
        </w:rPr>
        <w:t xml:space="preserve"> </w:t>
      </w:r>
      <w:r w:rsidR="000279A7">
        <w:rPr>
          <w:rFonts w:ascii="Times New Roman" w:hAnsi="Times New Roman" w:cs="Times New Roman"/>
          <w:sz w:val="24"/>
          <w:szCs w:val="24"/>
        </w:rPr>
        <w:fldChar w:fldCharType="begin" w:fldLock="1"/>
      </w:r>
      <w:r w:rsidR="00B965D9">
        <w:rPr>
          <w:rFonts w:ascii="Times New Roman" w:hAnsi="Times New Roman" w:cs="Times New Roman"/>
          <w:sz w:val="24"/>
          <w:szCs w:val="24"/>
        </w:rPr>
        <w:instrText>ADDIN CSL_CITATION {"citationItems":[{"id":"ITEM-1","itemData":{"DOI":"10.1093/nar/gky318","ISSN":"13624962","PMID":"29718510","abstract":"Advancement in the field of computational research has made it possible for the in silico methods to offer significant benefits to both regulatory needs and requirements for risk assessments, and pharmaceutical industry to assess the safety profile of a chemical. Here, we present ProTox-II that incorporates molecular similarity, pharmacophores, fragment propensities and machine-learning models for the prediction of various toxicity endpoints; such as acute toxicity, hepatotoxicity, cytotoxicity, carcinogenicity, mutagenicity, immunotoxicity, adverse outcomes pathways (Tox21) and toxicity targets. The predictive models are built on data from both in vitro assays (e.g. Tox21 assays, Ames bacterialmutation assays, hepG2 cytotoxicity assays, Immunotoxicity assays) and in vivo cases (e.g. carcinogenicity, hepatotoxicity). The models have been validated on independent external sets and have shown strong performance. ProTox-II provides a freely available webserver for in silico toxicity prediction for toxicologists, regulatory agencies, computational and medicinal chemists, and all users without login at http://tox.charite.de/protox II. The webserver takes a two-dimensional chemical structure as an input and reports the possible toxicity profile of the chemical for 33 models with confidence scores, and an overall toxicity radar chart along with three most similar compounds with known acute toxicity.","author":[{"dropping-particle":"","family":"Banerjee","given":"Priyanka","non-dropping-particle":"","parse-names":false,"suffix":""},{"dropping-particle":"","family":"Eckert","given":"Andreas O.","non-dropping-particle":"","parse-names":false,"suffix":""},{"dropping-particle":"","family":"Schrey","given":"Anna K.","non-dropping-particle":"","parse-names":false,"suffix":""},{"dropping-particle":"","family":"Preissner","given":"Robert","non-dropping-particle":"","parse-names":false,"suffix":""}],"container-title":"Nucleic Acids Research","id":"ITEM-1","issue":"W1","issued":{"date-parts":[["2018"]]},"page":"W257-W263","publisher":"Oxford University Press","title":"ProTox-II: A webserver for the prediction of toxicity of chemicals","type":"article-journal","volume":"46"},"uris":["http://www.mendeley.com/documents/?uuid=d508d475-0629-4397-9d65-4726ea1cd091"]}],"mendeley":{"formattedCitation":"(BANERJEE et al., 2018)","plainTextFormattedCitation":"(BANERJEE et al., 2018)","previouslyFormattedCitation":"(BANERJEE et al., 2018)"},"properties":{"noteIndex":0},"schema":"https://github.com/citation-style-language/schema/raw/master/csl-citation.json"}</w:instrText>
      </w:r>
      <w:r w:rsidR="000279A7">
        <w:rPr>
          <w:rFonts w:ascii="Times New Roman" w:hAnsi="Times New Roman" w:cs="Times New Roman"/>
          <w:sz w:val="24"/>
          <w:szCs w:val="24"/>
        </w:rPr>
        <w:fldChar w:fldCharType="separate"/>
      </w:r>
      <w:r w:rsidR="000279A7" w:rsidRPr="000279A7">
        <w:rPr>
          <w:rFonts w:ascii="Times New Roman" w:hAnsi="Times New Roman" w:cs="Times New Roman"/>
          <w:noProof/>
          <w:sz w:val="24"/>
          <w:szCs w:val="24"/>
        </w:rPr>
        <w:t>(BANERJEE et al., 2018)</w:t>
      </w:r>
      <w:r w:rsidR="000279A7">
        <w:rPr>
          <w:rFonts w:ascii="Times New Roman" w:hAnsi="Times New Roman" w:cs="Times New Roman"/>
          <w:sz w:val="24"/>
          <w:szCs w:val="24"/>
        </w:rPr>
        <w:fldChar w:fldCharType="end"/>
      </w:r>
      <w:r w:rsidR="00A869B2">
        <w:rPr>
          <w:rFonts w:ascii="Times New Roman" w:hAnsi="Times New Roman" w:cs="Times New Roman"/>
          <w:sz w:val="24"/>
          <w:szCs w:val="24"/>
        </w:rPr>
        <w:t xml:space="preserve">, foi possível realizar </w:t>
      </w:r>
      <w:r w:rsidR="000279A7">
        <w:rPr>
          <w:rFonts w:ascii="Times New Roman" w:hAnsi="Times New Roman" w:cs="Times New Roman"/>
          <w:sz w:val="24"/>
          <w:szCs w:val="24"/>
        </w:rPr>
        <w:t xml:space="preserve">tanto a </w:t>
      </w:r>
      <w:r w:rsidR="000279A7">
        <w:rPr>
          <w:rFonts w:ascii="Times New Roman" w:hAnsi="Times New Roman" w:cs="Times New Roman"/>
          <w:sz w:val="24"/>
          <w:szCs w:val="24"/>
        </w:rPr>
        <w:lastRenderedPageBreak/>
        <w:t>análise de predição de farmacocinética quanto toxicológica</w:t>
      </w:r>
      <w:r w:rsidR="00BB0D74">
        <w:rPr>
          <w:rFonts w:ascii="Times New Roman" w:hAnsi="Times New Roman" w:cs="Times New Roman"/>
          <w:sz w:val="24"/>
          <w:szCs w:val="24"/>
        </w:rPr>
        <w:t>, respectivamente</w:t>
      </w:r>
      <w:r w:rsidR="000279A7">
        <w:rPr>
          <w:rFonts w:ascii="Times New Roman" w:hAnsi="Times New Roman" w:cs="Times New Roman"/>
          <w:sz w:val="24"/>
          <w:szCs w:val="24"/>
        </w:rPr>
        <w:t>.</w:t>
      </w:r>
      <w:r w:rsidR="00091BB0">
        <w:rPr>
          <w:rFonts w:ascii="Times New Roman" w:hAnsi="Times New Roman" w:cs="Times New Roman"/>
          <w:sz w:val="24"/>
          <w:szCs w:val="24"/>
        </w:rPr>
        <w:t xml:space="preserve"> </w:t>
      </w:r>
      <w:r w:rsidR="00850F23">
        <w:rPr>
          <w:rFonts w:ascii="Times New Roman" w:hAnsi="Times New Roman" w:cs="Times New Roman"/>
          <w:sz w:val="24"/>
          <w:szCs w:val="24"/>
        </w:rPr>
        <w:t xml:space="preserve">Além disso, para se verificar os alvos mais prováveis dos </w:t>
      </w:r>
      <w:r w:rsidR="00B965D9">
        <w:rPr>
          <w:rFonts w:ascii="Times New Roman" w:hAnsi="Times New Roman" w:cs="Times New Roman"/>
          <w:sz w:val="24"/>
          <w:szCs w:val="24"/>
        </w:rPr>
        <w:t xml:space="preserve">compostos ligantes obtidos, foi utilizado o site Swiss Target Prediction </w:t>
      </w:r>
      <w:r w:rsidR="00B965D9">
        <w:rPr>
          <w:rFonts w:ascii="Times New Roman" w:hAnsi="Times New Roman" w:cs="Times New Roman"/>
          <w:sz w:val="24"/>
          <w:szCs w:val="24"/>
        </w:rPr>
        <w:fldChar w:fldCharType="begin" w:fldLock="1"/>
      </w:r>
      <w:r w:rsidR="00824DED">
        <w:rPr>
          <w:rFonts w:ascii="Times New Roman" w:hAnsi="Times New Roman" w:cs="Times New Roman"/>
          <w:sz w:val="24"/>
          <w:szCs w:val="24"/>
        </w:rPr>
        <w:instrText>ADDIN CSL_CITATION {"citationItems":[{"id":"ITEM-1","itemData":{"DOI":"10.1093/nar/gkz382","ISSN":"13624962","PMID":"31106366","abstract":"SwissTargetPrediction is a web tool, on-line since 2014, that aims to predict the most probable protein targets of small molecules. Predictions are based on the similarity principle, through reverse screening. Here, we describe the 2019 version, which represents a major update in terms of underlying data, backend and web interface. The bioactivity data were updated, the model retrained and similarity thresholds redefined. In the new version, the predictions are performed by searching for similar molecules, in 2D and 3D, within a larger collection of 376 342 compounds known to be experimentally active on an extended set of 3068 macromolecular targets. An efficient backend implementation allows to speed up the process that returns results for a druglike molecule on human proteins in 15-20 s. The refreshed web interface enhances user experience with new features for easy input and improved analysis. Interoperability capacity enables straightforward submission of any input or output molecule to other on-line computer-aided drug design tools, developed by the SIB Swiss Institute of Bioinformatics. High levels of predictive performance were maintained despite more extended biological and chemical spaces to be explored, e.g. achieving at least one correct human target in the top 15 predictions for &gt;70% of external compounds. The new SwissTargetPrediction is available free of charge (www.swisstargetprediction.ch).","author":[{"dropping-particle":"","family":"Daina","given":"Antoine","non-dropping-particle":"","parse-names":false,"suffix":""},{"dropping-particle":"","family":"Michielin","given":"Olivier","non-dropping-particle":"","parse-names":false,"suffix":""},{"dropping-particle":"","family":"Zoete","given":"Vincent","non-dropping-particle":"","parse-names":false,"suffix":""}],"container-title":"Nucleic Acids Research","id":"ITEM-1","issue":"W1","issued":{"date-parts":[["2019"]]},"page":"W357-W3664","publisher":"Oxford University Press","title":"SwissTargetPrediction: updated data and new features for efficient prediction of protein targets of small molecules","type":"article-journal","volume":"47"},"uris":["http://www.mendeley.com/documents/?uuid=1f32f26d-fce1-4d11-a1fc-a57af8256d6e"]}],"mendeley":{"formattedCitation":"(DAINA; MICHIELIN; ZOETE, 2019)","plainTextFormattedCitation":"(DAINA; MICHIELIN; ZOETE, 2019)","previouslyFormattedCitation":"(DAINA; MICHIELIN; ZOETE, 2019)"},"properties":{"noteIndex":0},"schema":"https://github.com/citation-style-language/schema/raw/master/csl-citation.json"}</w:instrText>
      </w:r>
      <w:r w:rsidR="00B965D9">
        <w:rPr>
          <w:rFonts w:ascii="Times New Roman" w:hAnsi="Times New Roman" w:cs="Times New Roman"/>
          <w:sz w:val="24"/>
          <w:szCs w:val="24"/>
        </w:rPr>
        <w:fldChar w:fldCharType="separate"/>
      </w:r>
      <w:r w:rsidR="00B965D9" w:rsidRPr="00B965D9">
        <w:rPr>
          <w:rFonts w:ascii="Times New Roman" w:hAnsi="Times New Roman" w:cs="Times New Roman"/>
          <w:noProof/>
          <w:sz w:val="24"/>
          <w:szCs w:val="24"/>
        </w:rPr>
        <w:t>(DAINA; MICHIELIN; ZOETE, 2019)</w:t>
      </w:r>
      <w:r w:rsidR="00B965D9">
        <w:rPr>
          <w:rFonts w:ascii="Times New Roman" w:hAnsi="Times New Roman" w:cs="Times New Roman"/>
          <w:sz w:val="24"/>
          <w:szCs w:val="24"/>
        </w:rPr>
        <w:fldChar w:fldCharType="end"/>
      </w:r>
      <w:r w:rsidR="00091BB0">
        <w:rPr>
          <w:rFonts w:ascii="Times New Roman" w:hAnsi="Times New Roman" w:cs="Times New Roman"/>
          <w:sz w:val="24"/>
          <w:szCs w:val="24"/>
        </w:rPr>
        <w:t>.</w:t>
      </w:r>
    </w:p>
    <w:p w14:paraId="626F8FC0" w14:textId="5F3FD43A" w:rsidR="00141E37" w:rsidRPr="008B3DB7" w:rsidRDefault="000006EB" w:rsidP="00B87756">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A </w:t>
      </w:r>
      <w:r w:rsidR="00243C0F">
        <w:rPr>
          <w:rFonts w:ascii="Times New Roman" w:hAnsi="Times New Roman" w:cs="Times New Roman"/>
          <w:sz w:val="24"/>
          <w:szCs w:val="24"/>
        </w:rPr>
        <w:t>próxima</w:t>
      </w:r>
      <w:r>
        <w:rPr>
          <w:rFonts w:ascii="Times New Roman" w:hAnsi="Times New Roman" w:cs="Times New Roman"/>
          <w:sz w:val="24"/>
          <w:szCs w:val="24"/>
        </w:rPr>
        <w:t xml:space="preserve"> etapa </w:t>
      </w:r>
      <w:r w:rsidR="00243C0F">
        <w:rPr>
          <w:rFonts w:ascii="Times New Roman" w:hAnsi="Times New Roman" w:cs="Times New Roman"/>
          <w:sz w:val="24"/>
          <w:szCs w:val="24"/>
        </w:rPr>
        <w:t xml:space="preserve">foi a </w:t>
      </w:r>
      <w:r>
        <w:rPr>
          <w:rFonts w:ascii="Times New Roman" w:hAnsi="Times New Roman" w:cs="Times New Roman"/>
          <w:sz w:val="24"/>
          <w:szCs w:val="24"/>
        </w:rPr>
        <w:t>realização da docagem molecular</w:t>
      </w:r>
      <w:r w:rsidR="00B83601">
        <w:rPr>
          <w:rFonts w:ascii="Times New Roman" w:hAnsi="Times New Roman" w:cs="Times New Roman"/>
          <w:sz w:val="24"/>
          <w:szCs w:val="24"/>
        </w:rPr>
        <w:t>. A docagem molecular é</w:t>
      </w:r>
      <w:r w:rsidR="00B83601" w:rsidRPr="00B83601">
        <w:rPr>
          <w:rFonts w:ascii="Times New Roman" w:hAnsi="Times New Roman" w:cs="Times New Roman"/>
          <w:sz w:val="24"/>
          <w:szCs w:val="24"/>
        </w:rPr>
        <w:t xml:space="preserve"> um método de design de drogas baseado em estrutura que simula a interação molecular e prevê o modo de ligação e a afinidade entre receptores e ligantes</w:t>
      </w:r>
      <w:r w:rsidR="00B83601">
        <w:rPr>
          <w:rFonts w:ascii="Times New Roman" w:hAnsi="Times New Roman" w:cs="Times New Roman"/>
          <w:sz w:val="24"/>
          <w:szCs w:val="24"/>
        </w:rPr>
        <w:t xml:space="preserve"> obtidos nas fases anteriores do estudo</w:t>
      </w:r>
      <w:r w:rsidR="007E1E90">
        <w:rPr>
          <w:rFonts w:ascii="Times New Roman" w:hAnsi="Times New Roman" w:cs="Times New Roman"/>
          <w:sz w:val="24"/>
          <w:szCs w:val="24"/>
        </w:rPr>
        <w:t xml:space="preserve"> </w:t>
      </w:r>
      <w:r w:rsidR="00970A0B">
        <w:rPr>
          <w:rFonts w:ascii="Times New Roman" w:hAnsi="Times New Roman" w:cs="Times New Roman"/>
          <w:sz w:val="24"/>
          <w:szCs w:val="24"/>
        </w:rPr>
        <w:fldChar w:fldCharType="begin" w:fldLock="1"/>
      </w:r>
      <w:r w:rsidR="00C469F3">
        <w:rPr>
          <w:rFonts w:ascii="Times New Roman" w:hAnsi="Times New Roman" w:cs="Times New Roman"/>
          <w:sz w:val="24"/>
          <w:szCs w:val="24"/>
        </w:rPr>
        <w:instrText>ADDIN CSL_CITATION {"citationItems":[{"id":"ITEM-1","itemData":{"DOI":"10.1007/s40484-019-0172-y","ISSN":"20954697","abstract":"Background: In recent years, since the molecular docking technique can greatly improve the efficiency and reduce the research cost, it has become a key tool in computer-assisted drug design to predict the binding affinity and analyze the interactive mode. Results: This study introduces the key principles, procedures and the widely-used applications for molecular docking. Also, it compares the commonly used docking applications and recommends which research areas are suitable for them. Lastly, it briefly reviews the latest progress in molecular docking such as the integrated method and deep learning. Conclusion: Limited to the incomplete molecular structure and the shortcomings of the scoring function, current docking applications are not accurate enough to predict the binding affinity. However, we could improve the current molecular docking technique by integrating the big biological data into scoring function. [Figure not available: see fulltext.].","author":[{"dropping-particle":"","family":"Fan","given":"Jiyu","non-dropping-particle":"","parse-names":false,"suffix":""},{"dropping-particle":"","family":"Fu","given":"Ailing","non-dropping-particle":"","parse-names":false,"suffix":""},{"dropping-particle":"","family":"Zhang","given":"Le","non-dropping-particle":"","parse-names":false,"suffix":""}],"container-title":"Quantitative Biology","id":"ITEM-1","issue":"2","issued":{"date-parts":[["2019"]]},"page":"83-89","title":"Progress in molecular docking","type":"article-journal","volume":"7"},"uris":["http://www.mendeley.com/documents/?uuid=2f219472-aa1a-4dc2-959c-fd6a56101a64"]}],"mendeley":{"formattedCitation":"(FAN; FU; ZHANG, 2019)","plainTextFormattedCitation":"(FAN; FU; ZHANG, 2019)","previouslyFormattedCitation":"(FAN; FU; ZHANG, 2019)"},"properties":{"noteIndex":0},"schema":"https://github.com/citation-style-language/schema/raw/master/csl-citation.json"}</w:instrText>
      </w:r>
      <w:r w:rsidR="00970A0B">
        <w:rPr>
          <w:rFonts w:ascii="Times New Roman" w:hAnsi="Times New Roman" w:cs="Times New Roman"/>
          <w:sz w:val="24"/>
          <w:szCs w:val="24"/>
        </w:rPr>
        <w:fldChar w:fldCharType="separate"/>
      </w:r>
      <w:r w:rsidR="00970A0B" w:rsidRPr="00970A0B">
        <w:rPr>
          <w:rFonts w:ascii="Times New Roman" w:hAnsi="Times New Roman" w:cs="Times New Roman"/>
          <w:noProof/>
          <w:sz w:val="24"/>
          <w:szCs w:val="24"/>
        </w:rPr>
        <w:t>(FAN; FU; ZHANG, 2019)</w:t>
      </w:r>
      <w:r w:rsidR="00970A0B">
        <w:rPr>
          <w:rFonts w:ascii="Times New Roman" w:hAnsi="Times New Roman" w:cs="Times New Roman"/>
          <w:sz w:val="24"/>
          <w:szCs w:val="24"/>
        </w:rPr>
        <w:fldChar w:fldCharType="end"/>
      </w:r>
      <w:r w:rsidR="00B83601" w:rsidRPr="00B83601">
        <w:rPr>
          <w:rFonts w:ascii="Times New Roman" w:hAnsi="Times New Roman" w:cs="Times New Roman"/>
          <w:sz w:val="24"/>
          <w:szCs w:val="24"/>
        </w:rPr>
        <w:t>.</w:t>
      </w:r>
      <w:r w:rsidR="00970A0B">
        <w:rPr>
          <w:rFonts w:ascii="Times New Roman" w:hAnsi="Times New Roman" w:cs="Times New Roman"/>
          <w:sz w:val="24"/>
          <w:szCs w:val="24"/>
        </w:rPr>
        <w:t xml:space="preserve"> </w:t>
      </w:r>
      <w:r w:rsidR="00970A0B" w:rsidRPr="00970A0B">
        <w:rPr>
          <w:rFonts w:ascii="Times New Roman" w:hAnsi="Times New Roman" w:cs="Times New Roman"/>
          <w:sz w:val="24"/>
          <w:szCs w:val="24"/>
        </w:rPr>
        <w:t xml:space="preserve">Para a </w:t>
      </w:r>
      <w:r w:rsidR="00970A0B">
        <w:rPr>
          <w:rFonts w:ascii="Times New Roman" w:hAnsi="Times New Roman" w:cs="Times New Roman"/>
          <w:sz w:val="24"/>
          <w:szCs w:val="24"/>
        </w:rPr>
        <w:t>criação</w:t>
      </w:r>
      <w:r w:rsidR="00970A0B" w:rsidRPr="00970A0B">
        <w:rPr>
          <w:rFonts w:ascii="Times New Roman" w:hAnsi="Times New Roman" w:cs="Times New Roman"/>
          <w:sz w:val="24"/>
          <w:szCs w:val="24"/>
        </w:rPr>
        <w:t xml:space="preserve"> dos modelos docking, </w:t>
      </w:r>
      <w:r w:rsidR="00970A0B">
        <w:rPr>
          <w:rFonts w:ascii="Times New Roman" w:hAnsi="Times New Roman" w:cs="Times New Roman"/>
          <w:sz w:val="24"/>
          <w:szCs w:val="24"/>
        </w:rPr>
        <w:t xml:space="preserve">o </w:t>
      </w:r>
      <w:r w:rsidR="00970A0B" w:rsidRPr="00970A0B">
        <w:rPr>
          <w:rFonts w:ascii="Times New Roman" w:hAnsi="Times New Roman" w:cs="Times New Roman"/>
          <w:sz w:val="24"/>
          <w:szCs w:val="24"/>
        </w:rPr>
        <w:t xml:space="preserve">programa </w:t>
      </w:r>
      <w:r w:rsidR="00970A0B">
        <w:rPr>
          <w:rFonts w:ascii="Times New Roman" w:hAnsi="Times New Roman" w:cs="Times New Roman"/>
          <w:sz w:val="24"/>
          <w:szCs w:val="24"/>
        </w:rPr>
        <w:t xml:space="preserve">utilizado foi </w:t>
      </w:r>
      <w:r w:rsidR="00970A0B" w:rsidRPr="00970A0B">
        <w:rPr>
          <w:rFonts w:ascii="Times New Roman" w:hAnsi="Times New Roman" w:cs="Times New Roman"/>
          <w:sz w:val="24"/>
          <w:szCs w:val="24"/>
        </w:rPr>
        <w:t xml:space="preserve">GOLD Suite 5.7.0. Os mapas de interação 2D e as figuras de mapeamento farmacofórico foram </w:t>
      </w:r>
      <w:r w:rsidR="00970A0B">
        <w:rPr>
          <w:rFonts w:ascii="Times New Roman" w:hAnsi="Times New Roman" w:cs="Times New Roman"/>
          <w:sz w:val="24"/>
          <w:szCs w:val="24"/>
        </w:rPr>
        <w:t>gerados pel</w:t>
      </w:r>
      <w:r w:rsidR="00970A0B" w:rsidRPr="00970A0B">
        <w:rPr>
          <w:rFonts w:ascii="Times New Roman" w:hAnsi="Times New Roman" w:cs="Times New Roman"/>
          <w:sz w:val="24"/>
          <w:szCs w:val="24"/>
        </w:rPr>
        <w:t xml:space="preserve">o software Discovery Studio 3.5 Visualizer. </w:t>
      </w:r>
      <w:r w:rsidR="006F3762">
        <w:rPr>
          <w:rFonts w:ascii="Times New Roman" w:hAnsi="Times New Roman" w:cs="Times New Roman"/>
          <w:sz w:val="24"/>
          <w:szCs w:val="24"/>
        </w:rPr>
        <w:t>Por fim, a</w:t>
      </w:r>
      <w:r w:rsidR="00970A0B" w:rsidRPr="00970A0B">
        <w:rPr>
          <w:rFonts w:ascii="Times New Roman" w:hAnsi="Times New Roman" w:cs="Times New Roman"/>
          <w:sz w:val="24"/>
          <w:szCs w:val="24"/>
        </w:rPr>
        <w:t>s imagens 3D foram construídas com o software PyMOL Molecular Graphics System, versão 2.0</w:t>
      </w:r>
      <w:r w:rsidR="00DF22D1">
        <w:rPr>
          <w:rFonts w:ascii="Times New Roman" w:hAnsi="Times New Roman" w:cs="Times New Roman"/>
          <w:sz w:val="24"/>
          <w:szCs w:val="24"/>
        </w:rPr>
        <w:t>.</w:t>
      </w:r>
    </w:p>
    <w:p w14:paraId="7F616948" w14:textId="29A68ECC" w:rsidR="00DF22D1" w:rsidRDefault="00243C0F" w:rsidP="00B87756">
      <w:pPr>
        <w:spacing w:after="0" w:line="360" w:lineRule="auto"/>
        <w:ind w:firstLine="708"/>
        <w:jc w:val="both"/>
        <w:rPr>
          <w:rFonts w:ascii="Times New Roman" w:hAnsi="Times New Roman" w:cs="Times New Roman"/>
          <w:color w:val="000000" w:themeColor="text1"/>
          <w:sz w:val="24"/>
          <w:szCs w:val="24"/>
        </w:rPr>
      </w:pPr>
      <w:r w:rsidRPr="00156C8E">
        <w:rPr>
          <w:rFonts w:ascii="Times New Roman" w:hAnsi="Times New Roman" w:cs="Times New Roman"/>
          <w:color w:val="000000" w:themeColor="text1"/>
          <w:sz w:val="24"/>
          <w:szCs w:val="24"/>
        </w:rPr>
        <w:t>Por último, para validar</w:t>
      </w:r>
      <w:r w:rsidR="001D4AE3" w:rsidRPr="00156C8E">
        <w:rPr>
          <w:rFonts w:ascii="Times New Roman" w:hAnsi="Times New Roman" w:cs="Times New Roman"/>
          <w:color w:val="000000" w:themeColor="text1"/>
          <w:sz w:val="24"/>
          <w:szCs w:val="24"/>
        </w:rPr>
        <w:t xml:space="preserve"> os modelos produzidos com as moléculas encontradas nesse estudo, o </w:t>
      </w:r>
      <w:r w:rsidR="001D4AE3" w:rsidRPr="00B87756">
        <w:rPr>
          <w:rFonts w:ascii="Times New Roman" w:hAnsi="Times New Roman" w:cs="Times New Roman"/>
          <w:i/>
          <w:iCs/>
          <w:color w:val="000000" w:themeColor="text1"/>
          <w:sz w:val="24"/>
          <w:szCs w:val="24"/>
        </w:rPr>
        <w:t>redocking</w:t>
      </w:r>
      <w:r w:rsidR="001D4AE3" w:rsidRPr="00156C8E">
        <w:rPr>
          <w:rFonts w:ascii="Times New Roman" w:hAnsi="Times New Roman" w:cs="Times New Roman"/>
          <w:color w:val="000000" w:themeColor="text1"/>
          <w:sz w:val="24"/>
          <w:szCs w:val="24"/>
        </w:rPr>
        <w:t xml:space="preserve"> foi realizado usando uma estrutura na qual a proteína alvo e seu ligante foram co-cristalizados. Para todos os parâmetros utilizados durante o processo, os valores padrão foram empregados, e </w:t>
      </w:r>
      <w:r w:rsidR="00AD0460" w:rsidRPr="00156C8E">
        <w:rPr>
          <w:rFonts w:ascii="Times New Roman" w:hAnsi="Times New Roman" w:cs="Times New Roman"/>
          <w:color w:val="000000" w:themeColor="text1"/>
          <w:sz w:val="24"/>
          <w:szCs w:val="24"/>
        </w:rPr>
        <w:t>as estruturas foram submetidas a 10 execuções de algoritmos genéticos usando a função CHEMPLP.</w:t>
      </w:r>
    </w:p>
    <w:p w14:paraId="75C0ED91" w14:textId="77777777" w:rsidR="00B87756" w:rsidRPr="00156C8E" w:rsidRDefault="00B87756" w:rsidP="00B87756">
      <w:pPr>
        <w:spacing w:after="0" w:line="360" w:lineRule="auto"/>
        <w:ind w:firstLine="708"/>
        <w:jc w:val="both"/>
        <w:rPr>
          <w:rFonts w:ascii="Times New Roman" w:hAnsi="Times New Roman" w:cs="Times New Roman"/>
          <w:color w:val="000000" w:themeColor="text1"/>
          <w:sz w:val="24"/>
          <w:szCs w:val="24"/>
        </w:rPr>
      </w:pPr>
    </w:p>
    <w:p w14:paraId="6D4A4025" w14:textId="0566BC21" w:rsidR="00CC390D" w:rsidRDefault="00CC390D" w:rsidP="00B87756">
      <w:pPr>
        <w:spacing w:after="0" w:line="360" w:lineRule="auto"/>
        <w:jc w:val="both"/>
        <w:rPr>
          <w:rFonts w:ascii="Times New Roman" w:hAnsi="Times New Roman" w:cs="Times New Roman"/>
          <w:b/>
          <w:bCs/>
          <w:color w:val="000000" w:themeColor="text1"/>
          <w:sz w:val="24"/>
          <w:szCs w:val="24"/>
        </w:rPr>
      </w:pPr>
      <w:r w:rsidRPr="00B87756">
        <w:rPr>
          <w:rFonts w:ascii="Times New Roman" w:hAnsi="Times New Roman" w:cs="Times New Roman"/>
          <w:b/>
          <w:bCs/>
          <w:color w:val="000000" w:themeColor="text1"/>
          <w:sz w:val="24"/>
          <w:szCs w:val="24"/>
        </w:rPr>
        <w:t>RESUTADOS</w:t>
      </w:r>
      <w:r w:rsidR="00141E37" w:rsidRPr="00B87756">
        <w:rPr>
          <w:rFonts w:ascii="Times New Roman" w:hAnsi="Times New Roman" w:cs="Times New Roman"/>
          <w:b/>
          <w:bCs/>
          <w:color w:val="000000" w:themeColor="text1"/>
          <w:sz w:val="24"/>
          <w:szCs w:val="24"/>
        </w:rPr>
        <w:t xml:space="preserve"> E DISCUSSÃO</w:t>
      </w:r>
    </w:p>
    <w:p w14:paraId="514BF98E" w14:textId="77777777" w:rsidR="00B87756" w:rsidRPr="00B87756" w:rsidRDefault="00B87756" w:rsidP="00B87756">
      <w:pPr>
        <w:spacing w:after="0" w:line="360" w:lineRule="auto"/>
        <w:jc w:val="both"/>
        <w:rPr>
          <w:b/>
          <w:bCs/>
        </w:rPr>
      </w:pPr>
    </w:p>
    <w:p w14:paraId="4427D97E" w14:textId="3E94C0D3" w:rsidR="00EE7EC5" w:rsidRDefault="00C659DE" w:rsidP="00B87756">
      <w:pPr>
        <w:spacing w:after="0" w:line="360" w:lineRule="auto"/>
        <w:ind w:firstLine="708"/>
        <w:jc w:val="both"/>
        <w:rPr>
          <w:rFonts w:ascii="Times New Roman" w:hAnsi="Times New Roman" w:cs="Times New Roman"/>
          <w:sz w:val="24"/>
          <w:szCs w:val="24"/>
        </w:rPr>
      </w:pPr>
      <w:r w:rsidRPr="00857B05">
        <w:rPr>
          <w:rFonts w:ascii="Times New Roman" w:hAnsi="Times New Roman" w:cs="Times New Roman"/>
          <w:sz w:val="24"/>
          <w:szCs w:val="24"/>
        </w:rPr>
        <w:t xml:space="preserve">Após realização de busca por artigos nas plataformas Pubmed, ScienceDirect e Scielo, foram encontrados um total de 28 substâncias presentes na espécie </w:t>
      </w:r>
      <w:r w:rsidRPr="00B276E2">
        <w:rPr>
          <w:rFonts w:ascii="Times New Roman" w:hAnsi="Times New Roman" w:cs="Times New Roman"/>
          <w:i/>
          <w:iCs/>
          <w:sz w:val="24"/>
          <w:szCs w:val="24"/>
        </w:rPr>
        <w:t>Annona coriacea</w:t>
      </w:r>
      <w:r w:rsidR="003812CA">
        <w:rPr>
          <w:rFonts w:ascii="Times New Roman" w:hAnsi="Times New Roman" w:cs="Times New Roman"/>
          <w:sz w:val="24"/>
          <w:szCs w:val="24"/>
        </w:rPr>
        <w:t>, que ocorre no Cerrado</w:t>
      </w:r>
      <w:r w:rsidRPr="00B276E2">
        <w:rPr>
          <w:rFonts w:ascii="Times New Roman" w:hAnsi="Times New Roman" w:cs="Times New Roman"/>
          <w:i/>
          <w:iCs/>
          <w:sz w:val="24"/>
          <w:szCs w:val="24"/>
        </w:rPr>
        <w:t xml:space="preserve">. </w:t>
      </w:r>
      <w:r w:rsidR="00530280">
        <w:rPr>
          <w:rFonts w:ascii="Times New Roman" w:hAnsi="Times New Roman" w:cs="Times New Roman"/>
          <w:sz w:val="24"/>
          <w:szCs w:val="24"/>
        </w:rPr>
        <w:t xml:space="preserve">Após as análises de predição </w:t>
      </w:r>
      <w:r w:rsidR="002F400E" w:rsidRPr="00B276E2">
        <w:rPr>
          <w:rFonts w:ascii="Times New Roman" w:hAnsi="Times New Roman" w:cs="Times New Roman"/>
          <w:sz w:val="24"/>
          <w:szCs w:val="24"/>
        </w:rPr>
        <w:t xml:space="preserve">farmacocinética </w:t>
      </w:r>
      <w:r w:rsidR="00530280">
        <w:rPr>
          <w:rFonts w:ascii="Times New Roman" w:hAnsi="Times New Roman" w:cs="Times New Roman"/>
          <w:sz w:val="24"/>
          <w:szCs w:val="24"/>
        </w:rPr>
        <w:t>(</w:t>
      </w:r>
      <w:r w:rsidR="00373AA0" w:rsidRPr="00B276E2">
        <w:rPr>
          <w:rFonts w:ascii="Times New Roman" w:hAnsi="Times New Roman" w:cs="Times New Roman"/>
          <w:sz w:val="24"/>
          <w:szCs w:val="24"/>
        </w:rPr>
        <w:t>absor</w:t>
      </w:r>
      <w:r w:rsidR="00530280">
        <w:rPr>
          <w:rFonts w:ascii="Times New Roman" w:hAnsi="Times New Roman" w:cs="Times New Roman"/>
          <w:sz w:val="24"/>
          <w:szCs w:val="24"/>
        </w:rPr>
        <w:t>ção</w:t>
      </w:r>
      <w:r w:rsidR="00373AA0" w:rsidRPr="00B276E2">
        <w:rPr>
          <w:rFonts w:ascii="Times New Roman" w:hAnsi="Times New Roman" w:cs="Times New Roman"/>
          <w:sz w:val="24"/>
          <w:szCs w:val="24"/>
        </w:rPr>
        <w:t xml:space="preserve"> pelo trato gastrointestinal (TGI), </w:t>
      </w:r>
      <w:r w:rsidR="00530280">
        <w:rPr>
          <w:rFonts w:ascii="Times New Roman" w:hAnsi="Times New Roman" w:cs="Times New Roman"/>
          <w:sz w:val="24"/>
          <w:szCs w:val="24"/>
        </w:rPr>
        <w:t>classificação</w:t>
      </w:r>
      <w:r w:rsidR="00373AA0" w:rsidRPr="00B276E2">
        <w:rPr>
          <w:rFonts w:ascii="Times New Roman" w:hAnsi="Times New Roman" w:cs="Times New Roman"/>
          <w:sz w:val="24"/>
          <w:szCs w:val="24"/>
        </w:rPr>
        <w:t xml:space="preserve"> </w:t>
      </w:r>
      <w:r w:rsidR="00B276E2">
        <w:rPr>
          <w:rFonts w:ascii="Times New Roman" w:hAnsi="Times New Roman" w:cs="Times New Roman"/>
          <w:sz w:val="24"/>
          <w:szCs w:val="24"/>
        </w:rPr>
        <w:t>“</w:t>
      </w:r>
      <w:r w:rsidR="00373AA0" w:rsidRPr="00857B05">
        <w:rPr>
          <w:rFonts w:ascii="Times New Roman" w:hAnsi="Times New Roman" w:cs="Times New Roman"/>
          <w:i/>
          <w:iCs/>
          <w:sz w:val="24"/>
          <w:szCs w:val="24"/>
        </w:rPr>
        <w:t>druglike</w:t>
      </w:r>
      <w:r w:rsidR="00B276E2">
        <w:rPr>
          <w:rFonts w:ascii="Times New Roman" w:hAnsi="Times New Roman" w:cs="Times New Roman"/>
          <w:i/>
          <w:iCs/>
          <w:sz w:val="24"/>
          <w:szCs w:val="24"/>
        </w:rPr>
        <w:t>”</w:t>
      </w:r>
      <w:r w:rsidR="003812CA">
        <w:rPr>
          <w:rFonts w:ascii="Times New Roman" w:hAnsi="Times New Roman" w:cs="Times New Roman"/>
          <w:sz w:val="24"/>
          <w:szCs w:val="24"/>
        </w:rPr>
        <w:t xml:space="preserve"> de acordo com Lipinski</w:t>
      </w:r>
      <w:r w:rsidR="00373AA0" w:rsidRPr="00B276E2">
        <w:rPr>
          <w:rFonts w:ascii="Times New Roman" w:hAnsi="Times New Roman" w:cs="Times New Roman"/>
          <w:sz w:val="24"/>
          <w:szCs w:val="24"/>
        </w:rPr>
        <w:t xml:space="preserve">, </w:t>
      </w:r>
      <w:r w:rsidR="003812CA">
        <w:rPr>
          <w:rFonts w:ascii="Times New Roman" w:hAnsi="Times New Roman" w:cs="Times New Roman"/>
          <w:sz w:val="24"/>
          <w:szCs w:val="24"/>
        </w:rPr>
        <w:t>interação</w:t>
      </w:r>
      <w:r w:rsidR="00530280">
        <w:rPr>
          <w:rFonts w:ascii="Times New Roman" w:hAnsi="Times New Roman" w:cs="Times New Roman"/>
          <w:sz w:val="24"/>
          <w:szCs w:val="24"/>
        </w:rPr>
        <w:t xml:space="preserve"> com</w:t>
      </w:r>
      <w:r w:rsidR="00373AA0" w:rsidRPr="00B276E2">
        <w:rPr>
          <w:rFonts w:ascii="Times New Roman" w:hAnsi="Times New Roman" w:cs="Times New Roman"/>
          <w:sz w:val="24"/>
          <w:szCs w:val="24"/>
        </w:rPr>
        <w:t xml:space="preserve"> citocromos, </w:t>
      </w:r>
      <w:r w:rsidR="003812CA">
        <w:rPr>
          <w:rFonts w:ascii="Times New Roman" w:hAnsi="Times New Roman" w:cs="Times New Roman"/>
          <w:sz w:val="24"/>
          <w:szCs w:val="24"/>
        </w:rPr>
        <w:t xml:space="preserve">e </w:t>
      </w:r>
      <w:r w:rsidR="00530280">
        <w:rPr>
          <w:rFonts w:ascii="Times New Roman" w:hAnsi="Times New Roman" w:cs="Times New Roman"/>
          <w:sz w:val="24"/>
          <w:szCs w:val="24"/>
        </w:rPr>
        <w:t>permeabilidade</w:t>
      </w:r>
      <w:r w:rsidR="00373AA0" w:rsidRPr="00B276E2">
        <w:rPr>
          <w:rFonts w:ascii="Times New Roman" w:hAnsi="Times New Roman" w:cs="Times New Roman"/>
          <w:sz w:val="24"/>
          <w:szCs w:val="24"/>
        </w:rPr>
        <w:t xml:space="preserve"> </w:t>
      </w:r>
      <w:r w:rsidR="00530280">
        <w:rPr>
          <w:rFonts w:ascii="Times New Roman" w:hAnsi="Times New Roman" w:cs="Times New Roman"/>
          <w:sz w:val="24"/>
          <w:szCs w:val="24"/>
        </w:rPr>
        <w:t>d</w:t>
      </w:r>
      <w:r w:rsidR="00373AA0" w:rsidRPr="00B276E2">
        <w:rPr>
          <w:rFonts w:ascii="Times New Roman" w:hAnsi="Times New Roman" w:cs="Times New Roman"/>
          <w:sz w:val="24"/>
          <w:szCs w:val="24"/>
        </w:rPr>
        <w:t>a barreira hematoencefálica</w:t>
      </w:r>
      <w:r w:rsidR="00530280">
        <w:rPr>
          <w:rFonts w:ascii="Times New Roman" w:hAnsi="Times New Roman" w:cs="Times New Roman"/>
          <w:sz w:val="24"/>
          <w:szCs w:val="24"/>
        </w:rPr>
        <w:t>)</w:t>
      </w:r>
      <w:r w:rsidR="00373AA0" w:rsidRPr="00B276E2">
        <w:rPr>
          <w:rFonts w:ascii="Times New Roman" w:hAnsi="Times New Roman" w:cs="Times New Roman"/>
          <w:sz w:val="24"/>
          <w:szCs w:val="24"/>
        </w:rPr>
        <w:t xml:space="preserve">, </w:t>
      </w:r>
      <w:r w:rsidR="001B113A" w:rsidRPr="00B276E2">
        <w:rPr>
          <w:rFonts w:ascii="Times New Roman" w:hAnsi="Times New Roman" w:cs="Times New Roman"/>
          <w:sz w:val="24"/>
          <w:szCs w:val="24"/>
        </w:rPr>
        <w:t>11 compostos foram selecionado</w:t>
      </w:r>
      <w:r w:rsidR="00307BF8">
        <w:rPr>
          <w:rFonts w:ascii="Times New Roman" w:hAnsi="Times New Roman" w:cs="Times New Roman"/>
          <w:sz w:val="24"/>
          <w:szCs w:val="24"/>
        </w:rPr>
        <w:t>s</w:t>
      </w:r>
      <w:r w:rsidR="003812CA">
        <w:rPr>
          <w:rFonts w:ascii="Times New Roman" w:hAnsi="Times New Roman" w:cs="Times New Roman"/>
          <w:sz w:val="24"/>
          <w:szCs w:val="24"/>
        </w:rPr>
        <w:t xml:space="preserve"> (Tabela 1)</w:t>
      </w:r>
      <w:r w:rsidR="00307BF8">
        <w:rPr>
          <w:rFonts w:ascii="Times New Roman" w:hAnsi="Times New Roman" w:cs="Times New Roman"/>
          <w:sz w:val="24"/>
          <w:szCs w:val="24"/>
        </w:rPr>
        <w:t>.</w:t>
      </w:r>
    </w:p>
    <w:p w14:paraId="6BB62DB3" w14:textId="77777777" w:rsidR="00B87756" w:rsidRDefault="00B87756" w:rsidP="00B87756">
      <w:pPr>
        <w:spacing w:after="0" w:line="360" w:lineRule="auto"/>
        <w:ind w:firstLine="708"/>
        <w:jc w:val="both"/>
        <w:rPr>
          <w:rFonts w:ascii="Times New Roman" w:hAnsi="Times New Roman" w:cs="Times New Roman"/>
          <w:sz w:val="24"/>
          <w:szCs w:val="24"/>
        </w:rPr>
      </w:pPr>
    </w:p>
    <w:p w14:paraId="336C2F3E" w14:textId="7E4AFE33" w:rsidR="00307BF8" w:rsidRDefault="00307BF8" w:rsidP="00B87756">
      <w:pPr>
        <w:spacing w:after="0" w:line="360" w:lineRule="auto"/>
        <w:jc w:val="both"/>
        <w:rPr>
          <w:rFonts w:ascii="Times New Roman" w:hAnsi="Times New Roman" w:cs="Times New Roman"/>
          <w:sz w:val="24"/>
          <w:szCs w:val="24"/>
        </w:rPr>
      </w:pPr>
      <w:r w:rsidRPr="00DF22D1">
        <w:rPr>
          <w:rFonts w:ascii="Times New Roman" w:hAnsi="Times New Roman" w:cs="Times New Roman"/>
          <w:b/>
          <w:bCs/>
          <w:sz w:val="24"/>
          <w:szCs w:val="24"/>
        </w:rPr>
        <w:t>Tabela 1</w:t>
      </w:r>
      <w:r w:rsidR="00371337">
        <w:rPr>
          <w:rFonts w:ascii="Times New Roman" w:hAnsi="Times New Roman" w:cs="Times New Roman"/>
          <w:sz w:val="24"/>
          <w:szCs w:val="24"/>
        </w:rPr>
        <w:t xml:space="preserve">. </w:t>
      </w:r>
      <w:r>
        <w:rPr>
          <w:rFonts w:ascii="Times New Roman" w:hAnsi="Times New Roman" w:cs="Times New Roman"/>
          <w:sz w:val="24"/>
          <w:szCs w:val="24"/>
        </w:rPr>
        <w:t xml:space="preserve">Compostos </w:t>
      </w:r>
      <w:r w:rsidR="00371337">
        <w:rPr>
          <w:rFonts w:ascii="Times New Roman" w:hAnsi="Times New Roman" w:cs="Times New Roman"/>
          <w:sz w:val="24"/>
          <w:szCs w:val="24"/>
        </w:rPr>
        <w:t xml:space="preserve">presentes na espécie </w:t>
      </w:r>
      <w:r w:rsidR="00371337" w:rsidRPr="00B276E2">
        <w:rPr>
          <w:rFonts w:ascii="Times New Roman" w:hAnsi="Times New Roman" w:cs="Times New Roman"/>
          <w:i/>
          <w:iCs/>
          <w:sz w:val="24"/>
          <w:szCs w:val="24"/>
        </w:rPr>
        <w:t>Annona coriacea</w:t>
      </w:r>
      <w:r w:rsidR="00371337">
        <w:rPr>
          <w:rFonts w:ascii="Times New Roman" w:hAnsi="Times New Roman" w:cs="Times New Roman"/>
          <w:sz w:val="24"/>
          <w:szCs w:val="24"/>
        </w:rPr>
        <w:t xml:space="preserve"> </w:t>
      </w:r>
      <w:r>
        <w:rPr>
          <w:rFonts w:ascii="Times New Roman" w:hAnsi="Times New Roman" w:cs="Times New Roman"/>
          <w:sz w:val="24"/>
          <w:szCs w:val="24"/>
        </w:rPr>
        <w:t>selecionados após avaliação</w:t>
      </w:r>
      <w:r w:rsidR="00371337">
        <w:rPr>
          <w:rFonts w:ascii="Times New Roman" w:hAnsi="Times New Roman" w:cs="Times New Roman"/>
          <w:sz w:val="24"/>
          <w:szCs w:val="24"/>
        </w:rPr>
        <w:t xml:space="preserve"> farmacocinética</w:t>
      </w:r>
      <w:r>
        <w:rPr>
          <w:rFonts w:ascii="Times New Roman" w:hAnsi="Times New Roman" w:cs="Times New Roman"/>
          <w:sz w:val="24"/>
          <w:szCs w:val="24"/>
        </w:rPr>
        <w:t>.</w:t>
      </w:r>
    </w:p>
    <w:tbl>
      <w:tblPr>
        <w:tblW w:w="8591" w:type="dxa"/>
        <w:jc w:val="center"/>
        <w:tblCellMar>
          <w:left w:w="70" w:type="dxa"/>
          <w:right w:w="70" w:type="dxa"/>
        </w:tblCellMar>
        <w:tblLook w:val="04A0" w:firstRow="1" w:lastRow="0" w:firstColumn="1" w:lastColumn="0" w:noHBand="0" w:noVBand="1"/>
      </w:tblPr>
      <w:tblGrid>
        <w:gridCol w:w="1622"/>
        <w:gridCol w:w="1697"/>
        <w:gridCol w:w="1622"/>
        <w:gridCol w:w="1622"/>
        <w:gridCol w:w="2028"/>
      </w:tblGrid>
      <w:tr w:rsidR="00307BF8" w14:paraId="0E62CD0A" w14:textId="77777777" w:rsidTr="00A24E2C">
        <w:trPr>
          <w:trHeight w:val="312"/>
          <w:jc w:val="center"/>
        </w:trPr>
        <w:tc>
          <w:tcPr>
            <w:tcW w:w="1622" w:type="dxa"/>
            <w:tcBorders>
              <w:top w:val="single" w:sz="4" w:space="0" w:color="auto"/>
              <w:left w:val="nil"/>
              <w:bottom w:val="single" w:sz="4" w:space="0" w:color="auto"/>
              <w:right w:val="nil"/>
            </w:tcBorders>
            <w:noWrap/>
            <w:vAlign w:val="bottom"/>
          </w:tcPr>
          <w:p w14:paraId="53BF181C" w14:textId="77777777" w:rsidR="00307BF8" w:rsidRDefault="00307BF8" w:rsidP="00B87756">
            <w:pPr>
              <w:spacing w:after="0" w:line="360" w:lineRule="auto"/>
              <w:jc w:val="center"/>
              <w:rPr>
                <w:rFonts w:ascii="Times New Roman" w:eastAsia="Times New Roman" w:hAnsi="Times New Roman" w:cs="Times New Roman"/>
                <w:color w:val="000000"/>
                <w:lang w:eastAsia="pt-BR"/>
              </w:rPr>
            </w:pPr>
            <w:r>
              <w:rPr>
                <w:rFonts w:ascii="Times New Roman" w:eastAsia="Times New Roman" w:hAnsi="Times New Roman" w:cs="Times New Roman"/>
                <w:color w:val="000000"/>
                <w:lang w:eastAsia="pt-BR"/>
              </w:rPr>
              <w:t>Composto</w:t>
            </w:r>
          </w:p>
          <w:p w14:paraId="650CCB5A" w14:textId="77777777" w:rsidR="00307BF8" w:rsidRDefault="00307BF8" w:rsidP="00B87756">
            <w:pPr>
              <w:spacing w:after="0" w:line="360" w:lineRule="auto"/>
              <w:jc w:val="center"/>
              <w:rPr>
                <w:rFonts w:ascii="Times New Roman" w:eastAsia="Times New Roman" w:hAnsi="Times New Roman" w:cs="Times New Roman"/>
                <w:color w:val="000000"/>
                <w:lang w:eastAsia="pt-BR"/>
              </w:rPr>
            </w:pPr>
          </w:p>
          <w:p w14:paraId="36E22C17" w14:textId="77777777" w:rsidR="00307BF8" w:rsidRDefault="00307BF8" w:rsidP="00B87756">
            <w:pPr>
              <w:spacing w:after="0" w:line="360" w:lineRule="auto"/>
              <w:rPr>
                <w:rFonts w:ascii="Times New Roman" w:eastAsia="Times New Roman" w:hAnsi="Times New Roman" w:cs="Times New Roman"/>
                <w:color w:val="000000"/>
                <w:lang w:eastAsia="pt-BR"/>
              </w:rPr>
            </w:pPr>
          </w:p>
        </w:tc>
        <w:tc>
          <w:tcPr>
            <w:tcW w:w="1697" w:type="dxa"/>
            <w:tcBorders>
              <w:top w:val="single" w:sz="4" w:space="0" w:color="auto"/>
              <w:left w:val="nil"/>
              <w:bottom w:val="single" w:sz="4" w:space="0" w:color="auto"/>
              <w:right w:val="nil"/>
            </w:tcBorders>
            <w:noWrap/>
            <w:vAlign w:val="bottom"/>
            <w:hideMark/>
          </w:tcPr>
          <w:p w14:paraId="1DC23384" w14:textId="77777777" w:rsidR="00307BF8" w:rsidRDefault="00307BF8" w:rsidP="00B87756">
            <w:pPr>
              <w:spacing w:after="0" w:line="360" w:lineRule="auto"/>
              <w:jc w:val="center"/>
              <w:rPr>
                <w:rFonts w:ascii="Times New Roman" w:eastAsia="Times New Roman" w:hAnsi="Times New Roman" w:cs="Times New Roman"/>
                <w:color w:val="000000"/>
                <w:lang w:eastAsia="pt-BR"/>
              </w:rPr>
            </w:pPr>
            <w:r>
              <w:rPr>
                <w:rFonts w:ascii="Times New Roman" w:eastAsia="Times New Roman" w:hAnsi="Times New Roman" w:cs="Times New Roman"/>
                <w:color w:val="000000"/>
                <w:lang w:eastAsia="pt-BR"/>
              </w:rPr>
              <w:t>Absorção pelo trato gastrointestinal</w:t>
            </w:r>
          </w:p>
          <w:p w14:paraId="3E3F1B88" w14:textId="77777777" w:rsidR="00307BF8" w:rsidRDefault="00307BF8" w:rsidP="00B87756">
            <w:pPr>
              <w:spacing w:after="0" w:line="360" w:lineRule="auto"/>
              <w:rPr>
                <w:rFonts w:ascii="Times New Roman" w:eastAsia="Times New Roman" w:hAnsi="Times New Roman" w:cs="Times New Roman"/>
                <w:color w:val="000000"/>
                <w:lang w:eastAsia="pt-BR"/>
              </w:rPr>
            </w:pPr>
          </w:p>
          <w:p w14:paraId="160FFC50" w14:textId="77777777" w:rsidR="00307BF8" w:rsidRDefault="00307BF8" w:rsidP="00B87756">
            <w:pPr>
              <w:spacing w:after="0" w:line="360" w:lineRule="auto"/>
              <w:rPr>
                <w:rFonts w:ascii="Times New Roman" w:eastAsia="Times New Roman" w:hAnsi="Times New Roman" w:cs="Times New Roman"/>
                <w:color w:val="000000"/>
                <w:lang w:eastAsia="pt-BR"/>
              </w:rPr>
            </w:pPr>
          </w:p>
        </w:tc>
        <w:tc>
          <w:tcPr>
            <w:tcW w:w="1622" w:type="dxa"/>
            <w:tcBorders>
              <w:top w:val="single" w:sz="4" w:space="0" w:color="auto"/>
              <w:left w:val="nil"/>
              <w:bottom w:val="single" w:sz="4" w:space="0" w:color="auto"/>
              <w:right w:val="nil"/>
            </w:tcBorders>
            <w:noWrap/>
            <w:vAlign w:val="bottom"/>
            <w:hideMark/>
          </w:tcPr>
          <w:p w14:paraId="7E4F3C9C" w14:textId="77777777" w:rsidR="00307BF8" w:rsidRDefault="00307BF8" w:rsidP="00B87756">
            <w:pPr>
              <w:spacing w:after="0" w:line="360" w:lineRule="auto"/>
              <w:jc w:val="center"/>
              <w:rPr>
                <w:rFonts w:ascii="Times New Roman" w:eastAsia="Times New Roman" w:hAnsi="Times New Roman" w:cs="Times New Roman"/>
                <w:color w:val="000000"/>
                <w:lang w:eastAsia="pt-BR"/>
              </w:rPr>
            </w:pPr>
          </w:p>
          <w:p w14:paraId="40D52BAD" w14:textId="77777777" w:rsidR="00307BF8" w:rsidRDefault="00307BF8" w:rsidP="00B87756">
            <w:pPr>
              <w:spacing w:after="0" w:line="360" w:lineRule="auto"/>
              <w:jc w:val="center"/>
              <w:rPr>
                <w:rFonts w:ascii="Times New Roman" w:eastAsia="Times New Roman" w:hAnsi="Times New Roman" w:cs="Times New Roman"/>
                <w:i/>
                <w:iCs/>
                <w:color w:val="000000"/>
                <w:lang w:eastAsia="pt-BR"/>
              </w:rPr>
            </w:pPr>
            <w:r>
              <w:rPr>
                <w:rFonts w:ascii="Times New Roman" w:eastAsia="Times New Roman" w:hAnsi="Times New Roman" w:cs="Times New Roman"/>
                <w:color w:val="000000"/>
                <w:lang w:eastAsia="pt-BR"/>
              </w:rPr>
              <w:t>Classificação "</w:t>
            </w:r>
            <w:r>
              <w:rPr>
                <w:rFonts w:ascii="Times New Roman" w:eastAsia="Times New Roman" w:hAnsi="Times New Roman" w:cs="Times New Roman"/>
                <w:i/>
                <w:iCs/>
                <w:color w:val="000000"/>
                <w:lang w:eastAsia="pt-BR"/>
              </w:rPr>
              <w:t>druglike"</w:t>
            </w:r>
          </w:p>
          <w:p w14:paraId="4CF96131" w14:textId="77777777" w:rsidR="00307BF8" w:rsidRDefault="00307BF8" w:rsidP="00B87756">
            <w:pPr>
              <w:spacing w:after="0" w:line="360" w:lineRule="auto"/>
              <w:jc w:val="center"/>
              <w:rPr>
                <w:rFonts w:ascii="Times New Roman" w:eastAsia="Times New Roman" w:hAnsi="Times New Roman" w:cs="Times New Roman"/>
                <w:i/>
                <w:iCs/>
                <w:color w:val="000000"/>
                <w:lang w:eastAsia="pt-BR"/>
              </w:rPr>
            </w:pPr>
          </w:p>
          <w:p w14:paraId="16126A5F" w14:textId="77777777" w:rsidR="00307BF8" w:rsidRDefault="00307BF8" w:rsidP="00B87756">
            <w:pPr>
              <w:spacing w:after="0" w:line="360" w:lineRule="auto"/>
              <w:jc w:val="center"/>
              <w:rPr>
                <w:rFonts w:ascii="Times New Roman" w:eastAsia="Times New Roman" w:hAnsi="Times New Roman" w:cs="Times New Roman"/>
                <w:color w:val="000000"/>
                <w:lang w:eastAsia="pt-BR"/>
              </w:rPr>
            </w:pPr>
          </w:p>
        </w:tc>
        <w:tc>
          <w:tcPr>
            <w:tcW w:w="1622" w:type="dxa"/>
            <w:tcBorders>
              <w:top w:val="single" w:sz="4" w:space="0" w:color="auto"/>
              <w:left w:val="nil"/>
              <w:bottom w:val="single" w:sz="4" w:space="0" w:color="auto"/>
              <w:right w:val="nil"/>
            </w:tcBorders>
            <w:noWrap/>
            <w:vAlign w:val="bottom"/>
            <w:hideMark/>
          </w:tcPr>
          <w:p w14:paraId="5B87829F" w14:textId="77777777" w:rsidR="00307BF8" w:rsidRDefault="00307BF8" w:rsidP="00B87756">
            <w:pPr>
              <w:spacing w:after="0" w:line="360" w:lineRule="auto"/>
              <w:jc w:val="center"/>
              <w:rPr>
                <w:rFonts w:ascii="Times New Roman" w:eastAsia="Times New Roman" w:hAnsi="Times New Roman" w:cs="Times New Roman"/>
                <w:color w:val="000000"/>
                <w:lang w:eastAsia="pt-BR"/>
              </w:rPr>
            </w:pPr>
            <w:r>
              <w:rPr>
                <w:rFonts w:ascii="Times New Roman" w:eastAsia="Times New Roman" w:hAnsi="Times New Roman" w:cs="Times New Roman"/>
                <w:color w:val="000000"/>
                <w:lang w:eastAsia="pt-BR"/>
              </w:rPr>
              <w:t>Interação com citocromos</w:t>
            </w:r>
          </w:p>
          <w:p w14:paraId="78AAEBDE" w14:textId="77777777" w:rsidR="00307BF8" w:rsidRDefault="00307BF8" w:rsidP="00B87756">
            <w:pPr>
              <w:spacing w:after="0" w:line="360" w:lineRule="auto"/>
              <w:jc w:val="center"/>
              <w:rPr>
                <w:rFonts w:ascii="Times New Roman" w:eastAsia="Times New Roman" w:hAnsi="Times New Roman" w:cs="Times New Roman"/>
                <w:color w:val="000000"/>
                <w:lang w:eastAsia="pt-BR"/>
              </w:rPr>
            </w:pPr>
          </w:p>
          <w:p w14:paraId="5027A93F" w14:textId="77777777" w:rsidR="00307BF8" w:rsidRDefault="00307BF8" w:rsidP="00B87756">
            <w:pPr>
              <w:spacing w:after="0" w:line="360" w:lineRule="auto"/>
              <w:jc w:val="center"/>
              <w:rPr>
                <w:rFonts w:ascii="Times New Roman" w:eastAsia="Times New Roman" w:hAnsi="Times New Roman" w:cs="Times New Roman"/>
                <w:color w:val="000000"/>
                <w:lang w:eastAsia="pt-BR"/>
              </w:rPr>
            </w:pPr>
          </w:p>
        </w:tc>
        <w:tc>
          <w:tcPr>
            <w:tcW w:w="2028" w:type="dxa"/>
            <w:tcBorders>
              <w:top w:val="single" w:sz="4" w:space="0" w:color="auto"/>
              <w:left w:val="nil"/>
              <w:bottom w:val="single" w:sz="4" w:space="0" w:color="auto"/>
              <w:right w:val="nil"/>
            </w:tcBorders>
            <w:noWrap/>
            <w:vAlign w:val="bottom"/>
            <w:hideMark/>
          </w:tcPr>
          <w:p w14:paraId="68EB1FBE" w14:textId="3138DEC4" w:rsidR="00307BF8" w:rsidRDefault="00245E42" w:rsidP="00B87756">
            <w:pPr>
              <w:spacing w:after="0" w:line="360" w:lineRule="auto"/>
              <w:jc w:val="center"/>
              <w:rPr>
                <w:rFonts w:ascii="Times New Roman" w:eastAsia="Times New Roman" w:hAnsi="Times New Roman" w:cs="Times New Roman"/>
                <w:color w:val="000000"/>
                <w:lang w:eastAsia="pt-BR"/>
              </w:rPr>
            </w:pPr>
            <w:r>
              <w:rPr>
                <w:rFonts w:ascii="Times New Roman" w:eastAsia="Times New Roman" w:hAnsi="Times New Roman" w:cs="Times New Roman"/>
                <w:color w:val="000000"/>
                <w:lang w:eastAsia="pt-BR"/>
              </w:rPr>
              <w:t>Permeabilidade</w:t>
            </w:r>
            <w:r w:rsidR="00307BF8">
              <w:rPr>
                <w:rFonts w:ascii="Times New Roman" w:eastAsia="Times New Roman" w:hAnsi="Times New Roman" w:cs="Times New Roman"/>
                <w:color w:val="000000"/>
                <w:lang w:eastAsia="pt-BR"/>
              </w:rPr>
              <w:t xml:space="preserve"> da barreira hematoencefálica</w:t>
            </w:r>
          </w:p>
          <w:p w14:paraId="1C94AAA2" w14:textId="426CF476" w:rsidR="00245E42" w:rsidRDefault="00245E42" w:rsidP="00B87756">
            <w:pPr>
              <w:spacing w:after="0" w:line="360" w:lineRule="auto"/>
              <w:jc w:val="center"/>
              <w:rPr>
                <w:rFonts w:ascii="Times New Roman" w:eastAsia="Times New Roman" w:hAnsi="Times New Roman" w:cs="Times New Roman"/>
                <w:color w:val="000000"/>
                <w:lang w:eastAsia="pt-BR"/>
              </w:rPr>
            </w:pPr>
          </w:p>
        </w:tc>
      </w:tr>
      <w:tr w:rsidR="00307BF8" w14:paraId="64B34698" w14:textId="77777777" w:rsidTr="00A24E2C">
        <w:trPr>
          <w:trHeight w:val="312"/>
          <w:jc w:val="center"/>
        </w:trPr>
        <w:tc>
          <w:tcPr>
            <w:tcW w:w="1622" w:type="dxa"/>
            <w:noWrap/>
            <w:vAlign w:val="bottom"/>
          </w:tcPr>
          <w:p w14:paraId="7F60B758" w14:textId="77777777" w:rsidR="00307BF8" w:rsidRDefault="00307BF8" w:rsidP="00B87756">
            <w:pPr>
              <w:spacing w:after="0" w:line="360" w:lineRule="auto"/>
              <w:jc w:val="center"/>
              <w:rPr>
                <w:rFonts w:ascii="Times New Roman" w:eastAsia="Times New Roman" w:hAnsi="Times New Roman" w:cs="Times New Roman"/>
                <w:color w:val="000000"/>
                <w:lang w:eastAsia="pt-BR"/>
              </w:rPr>
            </w:pPr>
          </w:p>
          <w:p w14:paraId="3C66AC72" w14:textId="77777777" w:rsidR="00307BF8" w:rsidRDefault="00307BF8" w:rsidP="00B87756">
            <w:pPr>
              <w:spacing w:after="0" w:line="360" w:lineRule="auto"/>
              <w:jc w:val="center"/>
              <w:rPr>
                <w:rFonts w:ascii="Times New Roman" w:eastAsia="Times New Roman" w:hAnsi="Times New Roman" w:cs="Times New Roman"/>
                <w:color w:val="000000"/>
                <w:lang w:eastAsia="pt-BR"/>
              </w:rPr>
            </w:pPr>
            <w:r>
              <w:rPr>
                <w:rFonts w:ascii="Times New Roman" w:eastAsia="Times New Roman" w:hAnsi="Times New Roman" w:cs="Times New Roman"/>
                <w:color w:val="000000"/>
                <w:lang w:eastAsia="pt-BR"/>
              </w:rPr>
              <w:lastRenderedPageBreak/>
              <w:t xml:space="preserve">Ácido cafeíco </w:t>
            </w:r>
          </w:p>
          <w:p w14:paraId="49F26675" w14:textId="77777777" w:rsidR="00307BF8" w:rsidRDefault="00307BF8" w:rsidP="00B87756">
            <w:pPr>
              <w:spacing w:after="0" w:line="360" w:lineRule="auto"/>
              <w:rPr>
                <w:rFonts w:ascii="Times New Roman" w:eastAsia="Times New Roman" w:hAnsi="Times New Roman" w:cs="Times New Roman"/>
                <w:color w:val="000000"/>
                <w:lang w:eastAsia="pt-BR"/>
              </w:rPr>
            </w:pPr>
          </w:p>
        </w:tc>
        <w:tc>
          <w:tcPr>
            <w:tcW w:w="1697" w:type="dxa"/>
            <w:noWrap/>
            <w:vAlign w:val="bottom"/>
            <w:hideMark/>
          </w:tcPr>
          <w:p w14:paraId="7351768F" w14:textId="77777777" w:rsidR="00307BF8" w:rsidRDefault="00307BF8" w:rsidP="00B87756">
            <w:pPr>
              <w:spacing w:after="0" w:line="360" w:lineRule="auto"/>
              <w:jc w:val="center"/>
              <w:rPr>
                <w:rFonts w:ascii="Times New Roman" w:eastAsia="Times New Roman" w:hAnsi="Times New Roman" w:cs="Times New Roman"/>
                <w:color w:val="000000"/>
                <w:lang w:eastAsia="pt-BR"/>
              </w:rPr>
            </w:pPr>
            <w:r>
              <w:rPr>
                <w:rFonts w:ascii="Times New Roman" w:eastAsia="Times New Roman" w:hAnsi="Times New Roman" w:cs="Times New Roman"/>
                <w:color w:val="000000"/>
                <w:lang w:eastAsia="pt-BR"/>
              </w:rPr>
              <w:lastRenderedPageBreak/>
              <w:t>Alta</w:t>
            </w:r>
          </w:p>
          <w:p w14:paraId="173E46E9" w14:textId="77777777" w:rsidR="00307BF8" w:rsidRDefault="00307BF8" w:rsidP="00B87756">
            <w:pPr>
              <w:spacing w:after="0" w:line="360" w:lineRule="auto"/>
              <w:jc w:val="center"/>
              <w:rPr>
                <w:rFonts w:ascii="Times New Roman" w:eastAsia="Times New Roman" w:hAnsi="Times New Roman" w:cs="Times New Roman"/>
                <w:color w:val="000000"/>
                <w:lang w:eastAsia="pt-BR"/>
              </w:rPr>
            </w:pPr>
          </w:p>
          <w:p w14:paraId="4B330EF8" w14:textId="77777777" w:rsidR="00307BF8" w:rsidRDefault="00307BF8" w:rsidP="00B87756">
            <w:pPr>
              <w:spacing w:after="0" w:line="360" w:lineRule="auto"/>
              <w:jc w:val="center"/>
              <w:rPr>
                <w:rFonts w:ascii="Times New Roman" w:eastAsia="Times New Roman" w:hAnsi="Times New Roman" w:cs="Times New Roman"/>
                <w:color w:val="000000"/>
                <w:lang w:eastAsia="pt-BR"/>
              </w:rPr>
            </w:pPr>
          </w:p>
        </w:tc>
        <w:tc>
          <w:tcPr>
            <w:tcW w:w="1622" w:type="dxa"/>
            <w:noWrap/>
            <w:vAlign w:val="bottom"/>
            <w:hideMark/>
          </w:tcPr>
          <w:p w14:paraId="00D20E06" w14:textId="77777777" w:rsidR="00307BF8" w:rsidRDefault="00307BF8" w:rsidP="00B87756">
            <w:pPr>
              <w:spacing w:after="0" w:line="360" w:lineRule="auto"/>
              <w:jc w:val="center"/>
              <w:rPr>
                <w:rFonts w:ascii="Times New Roman" w:eastAsia="Times New Roman" w:hAnsi="Times New Roman" w:cs="Times New Roman"/>
                <w:color w:val="000000"/>
                <w:lang w:eastAsia="pt-BR"/>
              </w:rPr>
            </w:pPr>
            <w:r>
              <w:rPr>
                <w:rFonts w:ascii="Times New Roman" w:eastAsia="Times New Roman" w:hAnsi="Times New Roman" w:cs="Times New Roman"/>
                <w:color w:val="000000"/>
                <w:lang w:eastAsia="pt-BR"/>
              </w:rPr>
              <w:lastRenderedPageBreak/>
              <w:t>Sim; 0 violações</w:t>
            </w:r>
          </w:p>
          <w:p w14:paraId="1570AC10" w14:textId="77777777" w:rsidR="00307BF8" w:rsidRDefault="00307BF8" w:rsidP="00B87756">
            <w:pPr>
              <w:spacing w:after="0" w:line="360" w:lineRule="auto"/>
              <w:jc w:val="center"/>
              <w:rPr>
                <w:rFonts w:ascii="Times New Roman" w:eastAsia="Times New Roman" w:hAnsi="Times New Roman" w:cs="Times New Roman"/>
                <w:color w:val="000000"/>
                <w:lang w:eastAsia="pt-BR"/>
              </w:rPr>
            </w:pPr>
          </w:p>
          <w:p w14:paraId="1E8597EA" w14:textId="77777777" w:rsidR="00307BF8" w:rsidRDefault="00307BF8" w:rsidP="00B87756">
            <w:pPr>
              <w:spacing w:after="0" w:line="360" w:lineRule="auto"/>
              <w:jc w:val="center"/>
              <w:rPr>
                <w:rFonts w:ascii="Times New Roman" w:eastAsia="Times New Roman" w:hAnsi="Times New Roman" w:cs="Times New Roman"/>
                <w:color w:val="000000"/>
                <w:lang w:eastAsia="pt-BR"/>
              </w:rPr>
            </w:pPr>
          </w:p>
        </w:tc>
        <w:tc>
          <w:tcPr>
            <w:tcW w:w="1622" w:type="dxa"/>
            <w:noWrap/>
            <w:vAlign w:val="bottom"/>
            <w:hideMark/>
          </w:tcPr>
          <w:p w14:paraId="0621B089" w14:textId="77777777" w:rsidR="00307BF8" w:rsidRDefault="00307BF8" w:rsidP="00B87756">
            <w:pPr>
              <w:spacing w:after="0" w:line="360" w:lineRule="auto"/>
              <w:jc w:val="center"/>
              <w:rPr>
                <w:rFonts w:ascii="Times New Roman" w:eastAsia="Times New Roman" w:hAnsi="Times New Roman" w:cs="Times New Roman"/>
                <w:color w:val="000000"/>
                <w:lang w:eastAsia="pt-BR"/>
              </w:rPr>
            </w:pPr>
            <w:r>
              <w:rPr>
                <w:rFonts w:ascii="Times New Roman" w:eastAsia="Times New Roman" w:hAnsi="Times New Roman" w:cs="Times New Roman"/>
                <w:color w:val="000000"/>
                <w:lang w:eastAsia="pt-BR"/>
              </w:rPr>
              <w:lastRenderedPageBreak/>
              <w:t>Nenhum</w:t>
            </w:r>
          </w:p>
          <w:p w14:paraId="557E1C4C" w14:textId="77777777" w:rsidR="00307BF8" w:rsidRDefault="00307BF8" w:rsidP="00B87756">
            <w:pPr>
              <w:spacing w:after="0" w:line="360" w:lineRule="auto"/>
              <w:jc w:val="center"/>
              <w:rPr>
                <w:rFonts w:ascii="Times New Roman" w:eastAsia="Times New Roman" w:hAnsi="Times New Roman" w:cs="Times New Roman"/>
                <w:color w:val="000000"/>
                <w:lang w:eastAsia="pt-BR"/>
              </w:rPr>
            </w:pPr>
          </w:p>
          <w:p w14:paraId="62106B5B" w14:textId="77777777" w:rsidR="00307BF8" w:rsidRDefault="00307BF8" w:rsidP="00B87756">
            <w:pPr>
              <w:spacing w:after="0" w:line="360" w:lineRule="auto"/>
              <w:jc w:val="center"/>
              <w:rPr>
                <w:rFonts w:ascii="Times New Roman" w:eastAsia="Times New Roman" w:hAnsi="Times New Roman" w:cs="Times New Roman"/>
                <w:color w:val="000000"/>
                <w:lang w:eastAsia="pt-BR"/>
              </w:rPr>
            </w:pPr>
          </w:p>
        </w:tc>
        <w:tc>
          <w:tcPr>
            <w:tcW w:w="2028" w:type="dxa"/>
            <w:noWrap/>
            <w:vAlign w:val="bottom"/>
            <w:hideMark/>
          </w:tcPr>
          <w:p w14:paraId="2AF37F31" w14:textId="77777777" w:rsidR="00307BF8" w:rsidRDefault="00307BF8" w:rsidP="00B87756">
            <w:pPr>
              <w:spacing w:after="0" w:line="360" w:lineRule="auto"/>
              <w:jc w:val="center"/>
              <w:rPr>
                <w:rFonts w:ascii="Times New Roman" w:eastAsia="Times New Roman" w:hAnsi="Times New Roman" w:cs="Times New Roman"/>
                <w:color w:val="000000"/>
                <w:lang w:eastAsia="pt-BR"/>
              </w:rPr>
            </w:pPr>
            <w:r>
              <w:rPr>
                <w:rFonts w:ascii="Times New Roman" w:eastAsia="Times New Roman" w:hAnsi="Times New Roman" w:cs="Times New Roman"/>
                <w:color w:val="000000"/>
                <w:lang w:eastAsia="pt-BR"/>
              </w:rPr>
              <w:lastRenderedPageBreak/>
              <w:t>Não</w:t>
            </w:r>
          </w:p>
          <w:p w14:paraId="5A633B50" w14:textId="77777777" w:rsidR="00307BF8" w:rsidRDefault="00307BF8" w:rsidP="00B87756">
            <w:pPr>
              <w:spacing w:after="0" w:line="360" w:lineRule="auto"/>
              <w:jc w:val="center"/>
              <w:rPr>
                <w:rFonts w:ascii="Times New Roman" w:eastAsia="Times New Roman" w:hAnsi="Times New Roman" w:cs="Times New Roman"/>
                <w:color w:val="000000"/>
                <w:lang w:eastAsia="pt-BR"/>
              </w:rPr>
            </w:pPr>
          </w:p>
          <w:p w14:paraId="2BE754F7" w14:textId="77777777" w:rsidR="00307BF8" w:rsidRDefault="00307BF8" w:rsidP="00B87756">
            <w:pPr>
              <w:spacing w:after="0" w:line="360" w:lineRule="auto"/>
              <w:rPr>
                <w:rFonts w:ascii="Times New Roman" w:eastAsia="Times New Roman" w:hAnsi="Times New Roman" w:cs="Times New Roman"/>
                <w:color w:val="000000"/>
                <w:lang w:eastAsia="pt-BR"/>
              </w:rPr>
            </w:pPr>
          </w:p>
        </w:tc>
      </w:tr>
      <w:tr w:rsidR="00307BF8" w14:paraId="14B81011" w14:textId="77777777" w:rsidTr="00A24E2C">
        <w:trPr>
          <w:trHeight w:val="312"/>
          <w:jc w:val="center"/>
        </w:trPr>
        <w:tc>
          <w:tcPr>
            <w:tcW w:w="1622" w:type="dxa"/>
            <w:noWrap/>
            <w:vAlign w:val="bottom"/>
          </w:tcPr>
          <w:p w14:paraId="4CA81E45" w14:textId="77777777" w:rsidR="00307BF8" w:rsidRDefault="00307BF8" w:rsidP="00B87756">
            <w:pPr>
              <w:spacing w:after="0" w:line="360" w:lineRule="auto"/>
              <w:jc w:val="center"/>
              <w:rPr>
                <w:rFonts w:ascii="Times New Roman" w:eastAsia="Times New Roman" w:hAnsi="Times New Roman" w:cs="Times New Roman"/>
                <w:color w:val="000000"/>
                <w:lang w:eastAsia="pt-BR"/>
              </w:rPr>
            </w:pPr>
          </w:p>
          <w:p w14:paraId="689E09DE" w14:textId="77777777" w:rsidR="00307BF8" w:rsidRDefault="00307BF8" w:rsidP="00B87756">
            <w:pPr>
              <w:spacing w:after="0" w:line="360" w:lineRule="auto"/>
              <w:jc w:val="center"/>
              <w:rPr>
                <w:rFonts w:ascii="Times New Roman" w:eastAsia="Times New Roman" w:hAnsi="Times New Roman" w:cs="Times New Roman"/>
                <w:color w:val="000000"/>
                <w:lang w:eastAsia="pt-BR"/>
              </w:rPr>
            </w:pPr>
            <w:r>
              <w:rPr>
                <w:rFonts w:ascii="Times New Roman" w:eastAsia="Times New Roman" w:hAnsi="Times New Roman" w:cs="Times New Roman"/>
                <w:color w:val="000000"/>
                <w:lang w:eastAsia="pt-BR"/>
              </w:rPr>
              <w:t>Ácido crolecínico</w:t>
            </w:r>
          </w:p>
        </w:tc>
        <w:tc>
          <w:tcPr>
            <w:tcW w:w="1697" w:type="dxa"/>
            <w:noWrap/>
            <w:vAlign w:val="bottom"/>
            <w:hideMark/>
          </w:tcPr>
          <w:p w14:paraId="11ED6A75" w14:textId="77777777" w:rsidR="00307BF8" w:rsidRDefault="00307BF8" w:rsidP="00B87756">
            <w:pPr>
              <w:spacing w:after="0" w:line="360" w:lineRule="auto"/>
              <w:jc w:val="center"/>
              <w:rPr>
                <w:rFonts w:ascii="Times New Roman" w:eastAsia="Times New Roman" w:hAnsi="Times New Roman" w:cs="Times New Roman"/>
                <w:color w:val="000000"/>
                <w:lang w:eastAsia="pt-BR"/>
              </w:rPr>
            </w:pPr>
            <w:r>
              <w:rPr>
                <w:rFonts w:ascii="Times New Roman" w:eastAsia="Times New Roman" w:hAnsi="Times New Roman" w:cs="Times New Roman"/>
                <w:color w:val="000000"/>
                <w:lang w:eastAsia="pt-BR"/>
              </w:rPr>
              <w:t>Alta</w:t>
            </w:r>
          </w:p>
        </w:tc>
        <w:tc>
          <w:tcPr>
            <w:tcW w:w="1622" w:type="dxa"/>
            <w:noWrap/>
            <w:vAlign w:val="bottom"/>
            <w:hideMark/>
          </w:tcPr>
          <w:p w14:paraId="5C19D80E" w14:textId="77777777" w:rsidR="00307BF8" w:rsidRDefault="00307BF8" w:rsidP="00B87756">
            <w:pPr>
              <w:spacing w:after="0" w:line="360" w:lineRule="auto"/>
              <w:jc w:val="center"/>
              <w:rPr>
                <w:rFonts w:ascii="Times New Roman" w:eastAsia="Times New Roman" w:hAnsi="Times New Roman" w:cs="Times New Roman"/>
                <w:color w:val="000000"/>
                <w:lang w:eastAsia="pt-BR"/>
              </w:rPr>
            </w:pPr>
            <w:r>
              <w:rPr>
                <w:rFonts w:ascii="Times New Roman" w:eastAsia="Times New Roman" w:hAnsi="Times New Roman" w:cs="Times New Roman"/>
                <w:color w:val="000000"/>
                <w:lang w:eastAsia="pt-BR"/>
              </w:rPr>
              <w:t>Sim; 0 violações</w:t>
            </w:r>
          </w:p>
        </w:tc>
        <w:tc>
          <w:tcPr>
            <w:tcW w:w="1622" w:type="dxa"/>
            <w:noWrap/>
            <w:vAlign w:val="bottom"/>
            <w:hideMark/>
          </w:tcPr>
          <w:p w14:paraId="66826AD9" w14:textId="77777777" w:rsidR="00307BF8" w:rsidRDefault="00307BF8" w:rsidP="00B87756">
            <w:pPr>
              <w:spacing w:after="0" w:line="360" w:lineRule="auto"/>
              <w:jc w:val="center"/>
              <w:rPr>
                <w:rFonts w:ascii="Times New Roman" w:eastAsia="Times New Roman" w:hAnsi="Times New Roman" w:cs="Times New Roman"/>
                <w:color w:val="000000"/>
                <w:lang w:eastAsia="pt-BR"/>
              </w:rPr>
            </w:pPr>
            <w:r>
              <w:rPr>
                <w:rFonts w:ascii="Times New Roman" w:eastAsia="Times New Roman" w:hAnsi="Times New Roman" w:cs="Times New Roman"/>
                <w:color w:val="000000"/>
                <w:lang w:eastAsia="pt-BR"/>
              </w:rPr>
              <w:t>CYP2C9</w:t>
            </w:r>
          </w:p>
        </w:tc>
        <w:tc>
          <w:tcPr>
            <w:tcW w:w="2028" w:type="dxa"/>
            <w:noWrap/>
            <w:vAlign w:val="bottom"/>
            <w:hideMark/>
          </w:tcPr>
          <w:p w14:paraId="3449F7E6" w14:textId="77777777" w:rsidR="00307BF8" w:rsidRDefault="00307BF8" w:rsidP="00B87756">
            <w:pPr>
              <w:spacing w:after="0" w:line="360" w:lineRule="auto"/>
              <w:jc w:val="center"/>
              <w:rPr>
                <w:rFonts w:ascii="Times New Roman" w:eastAsia="Times New Roman" w:hAnsi="Times New Roman" w:cs="Times New Roman"/>
                <w:color w:val="000000"/>
                <w:lang w:eastAsia="pt-BR"/>
              </w:rPr>
            </w:pPr>
            <w:r>
              <w:rPr>
                <w:rFonts w:ascii="Times New Roman" w:eastAsia="Times New Roman" w:hAnsi="Times New Roman" w:cs="Times New Roman"/>
                <w:color w:val="000000"/>
                <w:lang w:eastAsia="pt-BR"/>
              </w:rPr>
              <w:t>Sim</w:t>
            </w:r>
          </w:p>
        </w:tc>
      </w:tr>
      <w:tr w:rsidR="00307BF8" w14:paraId="04F149DB" w14:textId="77777777" w:rsidTr="00A24E2C">
        <w:trPr>
          <w:trHeight w:val="312"/>
          <w:jc w:val="center"/>
        </w:trPr>
        <w:tc>
          <w:tcPr>
            <w:tcW w:w="1622" w:type="dxa"/>
            <w:noWrap/>
            <w:vAlign w:val="bottom"/>
          </w:tcPr>
          <w:p w14:paraId="744D2A06" w14:textId="77777777" w:rsidR="00307BF8" w:rsidRDefault="00307BF8" w:rsidP="00B87756">
            <w:pPr>
              <w:spacing w:after="0" w:line="360" w:lineRule="auto"/>
              <w:jc w:val="center"/>
              <w:rPr>
                <w:rFonts w:ascii="Times New Roman" w:eastAsia="Times New Roman" w:hAnsi="Times New Roman" w:cs="Times New Roman"/>
                <w:color w:val="000000"/>
                <w:lang w:eastAsia="pt-BR"/>
              </w:rPr>
            </w:pPr>
          </w:p>
          <w:p w14:paraId="4F521DD1" w14:textId="77777777" w:rsidR="00307BF8" w:rsidRDefault="00307BF8" w:rsidP="00B87756">
            <w:pPr>
              <w:spacing w:after="0" w:line="360" w:lineRule="auto"/>
              <w:jc w:val="center"/>
              <w:rPr>
                <w:rFonts w:ascii="Times New Roman" w:eastAsia="Times New Roman" w:hAnsi="Times New Roman" w:cs="Times New Roman"/>
                <w:color w:val="000000"/>
                <w:lang w:eastAsia="pt-BR"/>
              </w:rPr>
            </w:pPr>
          </w:p>
          <w:p w14:paraId="1C4EBBA9" w14:textId="77777777" w:rsidR="00307BF8" w:rsidRDefault="00307BF8" w:rsidP="00B87756">
            <w:pPr>
              <w:spacing w:after="0" w:line="360" w:lineRule="auto"/>
              <w:jc w:val="center"/>
              <w:rPr>
                <w:rFonts w:ascii="Times New Roman" w:eastAsia="Times New Roman" w:hAnsi="Times New Roman" w:cs="Times New Roman"/>
                <w:color w:val="000000"/>
                <w:lang w:eastAsia="pt-BR"/>
              </w:rPr>
            </w:pPr>
            <w:r>
              <w:rPr>
                <w:rFonts w:ascii="Times New Roman" w:eastAsia="Times New Roman" w:hAnsi="Times New Roman" w:cs="Times New Roman"/>
                <w:color w:val="000000"/>
                <w:lang w:eastAsia="pt-BR"/>
              </w:rPr>
              <w:t>Ácido elágico</w:t>
            </w:r>
          </w:p>
        </w:tc>
        <w:tc>
          <w:tcPr>
            <w:tcW w:w="1697" w:type="dxa"/>
            <w:noWrap/>
            <w:vAlign w:val="bottom"/>
            <w:hideMark/>
          </w:tcPr>
          <w:p w14:paraId="138208FB" w14:textId="77777777" w:rsidR="00307BF8" w:rsidRDefault="00307BF8" w:rsidP="00B87756">
            <w:pPr>
              <w:spacing w:after="0" w:line="360" w:lineRule="auto"/>
              <w:jc w:val="center"/>
              <w:rPr>
                <w:rFonts w:ascii="Times New Roman" w:eastAsia="Times New Roman" w:hAnsi="Times New Roman" w:cs="Times New Roman"/>
                <w:color w:val="000000"/>
                <w:lang w:eastAsia="pt-BR"/>
              </w:rPr>
            </w:pPr>
            <w:r>
              <w:rPr>
                <w:rFonts w:ascii="Times New Roman" w:eastAsia="Times New Roman" w:hAnsi="Times New Roman" w:cs="Times New Roman"/>
                <w:color w:val="000000"/>
                <w:lang w:eastAsia="pt-BR"/>
              </w:rPr>
              <w:t>Alta</w:t>
            </w:r>
          </w:p>
        </w:tc>
        <w:tc>
          <w:tcPr>
            <w:tcW w:w="1622" w:type="dxa"/>
            <w:noWrap/>
            <w:vAlign w:val="bottom"/>
            <w:hideMark/>
          </w:tcPr>
          <w:p w14:paraId="7E9F3CB4" w14:textId="77777777" w:rsidR="00307BF8" w:rsidRDefault="00307BF8" w:rsidP="00B87756">
            <w:pPr>
              <w:spacing w:after="0" w:line="360" w:lineRule="auto"/>
              <w:jc w:val="center"/>
              <w:rPr>
                <w:rFonts w:ascii="Times New Roman" w:eastAsia="Times New Roman" w:hAnsi="Times New Roman" w:cs="Times New Roman"/>
                <w:color w:val="000000"/>
                <w:lang w:eastAsia="pt-BR"/>
              </w:rPr>
            </w:pPr>
            <w:r>
              <w:rPr>
                <w:rFonts w:ascii="Times New Roman" w:eastAsia="Times New Roman" w:hAnsi="Times New Roman" w:cs="Times New Roman"/>
                <w:color w:val="000000"/>
                <w:lang w:eastAsia="pt-BR"/>
              </w:rPr>
              <w:t>Sim; 0 violações</w:t>
            </w:r>
          </w:p>
        </w:tc>
        <w:tc>
          <w:tcPr>
            <w:tcW w:w="1622" w:type="dxa"/>
            <w:noWrap/>
            <w:vAlign w:val="bottom"/>
            <w:hideMark/>
          </w:tcPr>
          <w:p w14:paraId="3DE8B615" w14:textId="77777777" w:rsidR="00307BF8" w:rsidRDefault="00307BF8" w:rsidP="00B87756">
            <w:pPr>
              <w:spacing w:after="0" w:line="360" w:lineRule="auto"/>
              <w:jc w:val="center"/>
              <w:rPr>
                <w:rFonts w:ascii="Times New Roman" w:eastAsia="Times New Roman" w:hAnsi="Times New Roman" w:cs="Times New Roman"/>
                <w:color w:val="000000"/>
                <w:lang w:eastAsia="pt-BR"/>
              </w:rPr>
            </w:pPr>
            <w:r>
              <w:rPr>
                <w:rFonts w:ascii="Times New Roman" w:eastAsia="Times New Roman" w:hAnsi="Times New Roman" w:cs="Times New Roman"/>
                <w:color w:val="000000"/>
                <w:lang w:eastAsia="pt-BR"/>
              </w:rPr>
              <w:t>CYP1A2</w:t>
            </w:r>
          </w:p>
        </w:tc>
        <w:tc>
          <w:tcPr>
            <w:tcW w:w="2028" w:type="dxa"/>
            <w:noWrap/>
            <w:vAlign w:val="bottom"/>
            <w:hideMark/>
          </w:tcPr>
          <w:p w14:paraId="239E24AA" w14:textId="77777777" w:rsidR="00307BF8" w:rsidRDefault="00307BF8" w:rsidP="00B87756">
            <w:pPr>
              <w:spacing w:after="0" w:line="360" w:lineRule="auto"/>
              <w:jc w:val="center"/>
              <w:rPr>
                <w:rFonts w:ascii="Times New Roman" w:eastAsia="Times New Roman" w:hAnsi="Times New Roman" w:cs="Times New Roman"/>
                <w:color w:val="000000"/>
                <w:lang w:eastAsia="pt-BR"/>
              </w:rPr>
            </w:pPr>
            <w:r>
              <w:rPr>
                <w:rFonts w:ascii="Times New Roman" w:eastAsia="Times New Roman" w:hAnsi="Times New Roman" w:cs="Times New Roman"/>
                <w:color w:val="000000"/>
                <w:lang w:eastAsia="pt-BR"/>
              </w:rPr>
              <w:t>Não</w:t>
            </w:r>
          </w:p>
        </w:tc>
      </w:tr>
      <w:tr w:rsidR="00307BF8" w14:paraId="02FF4652" w14:textId="77777777" w:rsidTr="00A24E2C">
        <w:trPr>
          <w:trHeight w:val="312"/>
          <w:jc w:val="center"/>
        </w:trPr>
        <w:tc>
          <w:tcPr>
            <w:tcW w:w="1622" w:type="dxa"/>
            <w:noWrap/>
            <w:vAlign w:val="bottom"/>
          </w:tcPr>
          <w:p w14:paraId="37AAFD99" w14:textId="77777777" w:rsidR="00307BF8" w:rsidRDefault="00307BF8" w:rsidP="00B87756">
            <w:pPr>
              <w:spacing w:after="0" w:line="360" w:lineRule="auto"/>
              <w:jc w:val="center"/>
              <w:rPr>
                <w:rFonts w:ascii="Times New Roman" w:eastAsia="Times New Roman" w:hAnsi="Times New Roman" w:cs="Times New Roman"/>
                <w:color w:val="000000"/>
                <w:lang w:eastAsia="pt-BR"/>
              </w:rPr>
            </w:pPr>
          </w:p>
          <w:p w14:paraId="35CFA269" w14:textId="77777777" w:rsidR="00307BF8" w:rsidRDefault="00307BF8" w:rsidP="00B87756">
            <w:pPr>
              <w:spacing w:after="0" w:line="360" w:lineRule="auto"/>
              <w:jc w:val="center"/>
              <w:rPr>
                <w:rFonts w:ascii="Times New Roman" w:eastAsia="Times New Roman" w:hAnsi="Times New Roman" w:cs="Times New Roman"/>
                <w:color w:val="000000"/>
                <w:lang w:eastAsia="pt-BR"/>
              </w:rPr>
            </w:pPr>
          </w:p>
          <w:p w14:paraId="79966916" w14:textId="77777777" w:rsidR="00307BF8" w:rsidRDefault="00307BF8" w:rsidP="00B87756">
            <w:pPr>
              <w:spacing w:after="0" w:line="360" w:lineRule="auto"/>
              <w:jc w:val="center"/>
              <w:rPr>
                <w:rFonts w:ascii="Times New Roman" w:eastAsia="Times New Roman" w:hAnsi="Times New Roman" w:cs="Times New Roman"/>
                <w:color w:val="000000"/>
                <w:lang w:eastAsia="pt-BR"/>
              </w:rPr>
            </w:pPr>
            <w:r>
              <w:rPr>
                <w:rFonts w:ascii="Times New Roman" w:eastAsia="Times New Roman" w:hAnsi="Times New Roman" w:cs="Times New Roman"/>
                <w:color w:val="000000"/>
                <w:lang w:eastAsia="pt-BR"/>
              </w:rPr>
              <w:t>Ácido gálico</w:t>
            </w:r>
          </w:p>
        </w:tc>
        <w:tc>
          <w:tcPr>
            <w:tcW w:w="1697" w:type="dxa"/>
            <w:noWrap/>
            <w:vAlign w:val="bottom"/>
            <w:hideMark/>
          </w:tcPr>
          <w:p w14:paraId="1A4A741F" w14:textId="77777777" w:rsidR="00307BF8" w:rsidRDefault="00307BF8" w:rsidP="00B87756">
            <w:pPr>
              <w:spacing w:after="0" w:line="360" w:lineRule="auto"/>
              <w:jc w:val="center"/>
              <w:rPr>
                <w:rFonts w:ascii="Times New Roman" w:eastAsia="Times New Roman" w:hAnsi="Times New Roman" w:cs="Times New Roman"/>
                <w:color w:val="000000"/>
                <w:lang w:eastAsia="pt-BR"/>
              </w:rPr>
            </w:pPr>
            <w:r>
              <w:rPr>
                <w:rFonts w:ascii="Times New Roman" w:eastAsia="Times New Roman" w:hAnsi="Times New Roman" w:cs="Times New Roman"/>
                <w:color w:val="000000"/>
                <w:lang w:eastAsia="pt-BR"/>
              </w:rPr>
              <w:t>Alta</w:t>
            </w:r>
          </w:p>
        </w:tc>
        <w:tc>
          <w:tcPr>
            <w:tcW w:w="1622" w:type="dxa"/>
            <w:noWrap/>
            <w:vAlign w:val="bottom"/>
            <w:hideMark/>
          </w:tcPr>
          <w:p w14:paraId="355577F1" w14:textId="77777777" w:rsidR="00307BF8" w:rsidRDefault="00307BF8" w:rsidP="00B87756">
            <w:pPr>
              <w:spacing w:after="0" w:line="360" w:lineRule="auto"/>
              <w:jc w:val="center"/>
              <w:rPr>
                <w:rFonts w:ascii="Times New Roman" w:eastAsia="Times New Roman" w:hAnsi="Times New Roman" w:cs="Times New Roman"/>
                <w:color w:val="000000"/>
                <w:lang w:eastAsia="pt-BR"/>
              </w:rPr>
            </w:pPr>
            <w:r>
              <w:rPr>
                <w:rFonts w:ascii="Times New Roman" w:eastAsia="Times New Roman" w:hAnsi="Times New Roman" w:cs="Times New Roman"/>
                <w:color w:val="000000"/>
                <w:lang w:eastAsia="pt-BR"/>
              </w:rPr>
              <w:t>Sim; 0 violações</w:t>
            </w:r>
          </w:p>
        </w:tc>
        <w:tc>
          <w:tcPr>
            <w:tcW w:w="1622" w:type="dxa"/>
            <w:noWrap/>
            <w:vAlign w:val="bottom"/>
            <w:hideMark/>
          </w:tcPr>
          <w:p w14:paraId="2AE7389C" w14:textId="77777777" w:rsidR="00307BF8" w:rsidRDefault="00307BF8" w:rsidP="00B87756">
            <w:pPr>
              <w:spacing w:after="0" w:line="360" w:lineRule="auto"/>
              <w:jc w:val="center"/>
              <w:rPr>
                <w:rFonts w:ascii="Times New Roman" w:eastAsia="Times New Roman" w:hAnsi="Times New Roman" w:cs="Times New Roman"/>
                <w:color w:val="000000"/>
                <w:lang w:eastAsia="pt-BR"/>
              </w:rPr>
            </w:pPr>
            <w:r>
              <w:rPr>
                <w:rFonts w:ascii="Times New Roman" w:eastAsia="Times New Roman" w:hAnsi="Times New Roman" w:cs="Times New Roman"/>
                <w:color w:val="000000"/>
                <w:lang w:eastAsia="pt-BR"/>
              </w:rPr>
              <w:t>CYP3A4</w:t>
            </w:r>
          </w:p>
        </w:tc>
        <w:tc>
          <w:tcPr>
            <w:tcW w:w="2028" w:type="dxa"/>
            <w:noWrap/>
            <w:vAlign w:val="bottom"/>
            <w:hideMark/>
          </w:tcPr>
          <w:p w14:paraId="03738D45" w14:textId="77777777" w:rsidR="00307BF8" w:rsidRDefault="00307BF8" w:rsidP="00B87756">
            <w:pPr>
              <w:spacing w:after="0" w:line="360" w:lineRule="auto"/>
              <w:jc w:val="center"/>
              <w:rPr>
                <w:rFonts w:ascii="Times New Roman" w:eastAsia="Times New Roman" w:hAnsi="Times New Roman" w:cs="Times New Roman"/>
                <w:color w:val="000000"/>
                <w:lang w:eastAsia="pt-BR"/>
              </w:rPr>
            </w:pPr>
            <w:r>
              <w:rPr>
                <w:rFonts w:ascii="Times New Roman" w:eastAsia="Times New Roman" w:hAnsi="Times New Roman" w:cs="Times New Roman"/>
                <w:color w:val="000000"/>
                <w:lang w:eastAsia="pt-BR"/>
              </w:rPr>
              <w:t>Não</w:t>
            </w:r>
          </w:p>
        </w:tc>
      </w:tr>
      <w:tr w:rsidR="00307BF8" w14:paraId="0C4F3278" w14:textId="77777777" w:rsidTr="00A24E2C">
        <w:trPr>
          <w:trHeight w:val="312"/>
          <w:jc w:val="center"/>
        </w:trPr>
        <w:tc>
          <w:tcPr>
            <w:tcW w:w="1622" w:type="dxa"/>
            <w:noWrap/>
            <w:vAlign w:val="bottom"/>
          </w:tcPr>
          <w:p w14:paraId="16395863" w14:textId="77777777" w:rsidR="00307BF8" w:rsidRDefault="00307BF8" w:rsidP="00B87756">
            <w:pPr>
              <w:spacing w:after="0" w:line="360" w:lineRule="auto"/>
              <w:jc w:val="center"/>
              <w:rPr>
                <w:rFonts w:ascii="Times New Roman" w:eastAsia="Times New Roman" w:hAnsi="Times New Roman" w:cs="Times New Roman"/>
                <w:color w:val="000000"/>
                <w:lang w:eastAsia="pt-BR"/>
              </w:rPr>
            </w:pPr>
          </w:p>
          <w:p w14:paraId="310081F8" w14:textId="77777777" w:rsidR="00307BF8" w:rsidRDefault="00307BF8" w:rsidP="00B87756">
            <w:pPr>
              <w:spacing w:after="0" w:line="360" w:lineRule="auto"/>
              <w:jc w:val="center"/>
              <w:rPr>
                <w:rFonts w:ascii="Times New Roman" w:eastAsia="Times New Roman" w:hAnsi="Times New Roman" w:cs="Times New Roman"/>
                <w:color w:val="000000"/>
                <w:lang w:eastAsia="pt-BR"/>
              </w:rPr>
            </w:pPr>
          </w:p>
          <w:p w14:paraId="7B86D3D1" w14:textId="77777777" w:rsidR="00307BF8" w:rsidRDefault="00307BF8" w:rsidP="00B87756">
            <w:pPr>
              <w:spacing w:after="0" w:line="360" w:lineRule="auto"/>
              <w:jc w:val="center"/>
              <w:rPr>
                <w:rFonts w:ascii="Times New Roman" w:eastAsia="Times New Roman" w:hAnsi="Times New Roman" w:cs="Times New Roman"/>
                <w:color w:val="000000"/>
                <w:lang w:eastAsia="pt-BR"/>
              </w:rPr>
            </w:pPr>
            <w:r>
              <w:rPr>
                <w:rFonts w:ascii="Times New Roman" w:eastAsia="Times New Roman" w:hAnsi="Times New Roman" w:cs="Times New Roman"/>
                <w:color w:val="000000"/>
                <w:lang w:eastAsia="pt-BR"/>
              </w:rPr>
              <w:t>Annonalide</w:t>
            </w:r>
          </w:p>
        </w:tc>
        <w:tc>
          <w:tcPr>
            <w:tcW w:w="1697" w:type="dxa"/>
            <w:noWrap/>
            <w:vAlign w:val="bottom"/>
            <w:hideMark/>
          </w:tcPr>
          <w:p w14:paraId="7E78F920" w14:textId="77777777" w:rsidR="00307BF8" w:rsidRDefault="00307BF8" w:rsidP="00B87756">
            <w:pPr>
              <w:spacing w:after="0" w:line="360" w:lineRule="auto"/>
              <w:jc w:val="center"/>
              <w:rPr>
                <w:rFonts w:ascii="Times New Roman" w:eastAsia="Times New Roman" w:hAnsi="Times New Roman" w:cs="Times New Roman"/>
                <w:color w:val="000000"/>
                <w:lang w:eastAsia="pt-BR"/>
              </w:rPr>
            </w:pPr>
          </w:p>
          <w:p w14:paraId="01FA38BD" w14:textId="77777777" w:rsidR="00307BF8" w:rsidRDefault="00307BF8" w:rsidP="00B87756">
            <w:pPr>
              <w:spacing w:after="0" w:line="360" w:lineRule="auto"/>
              <w:jc w:val="center"/>
              <w:rPr>
                <w:rFonts w:ascii="Times New Roman" w:eastAsia="Times New Roman" w:hAnsi="Times New Roman" w:cs="Times New Roman"/>
                <w:color w:val="000000"/>
                <w:lang w:eastAsia="pt-BR"/>
              </w:rPr>
            </w:pPr>
          </w:p>
          <w:p w14:paraId="775F64BA" w14:textId="77777777" w:rsidR="00307BF8" w:rsidRDefault="00307BF8" w:rsidP="00B87756">
            <w:pPr>
              <w:spacing w:after="0" w:line="360" w:lineRule="auto"/>
              <w:jc w:val="center"/>
              <w:rPr>
                <w:rFonts w:ascii="Times New Roman" w:eastAsia="Times New Roman" w:hAnsi="Times New Roman" w:cs="Times New Roman"/>
                <w:color w:val="000000"/>
                <w:lang w:eastAsia="pt-BR"/>
              </w:rPr>
            </w:pPr>
            <w:r>
              <w:rPr>
                <w:rFonts w:ascii="Times New Roman" w:eastAsia="Times New Roman" w:hAnsi="Times New Roman" w:cs="Times New Roman"/>
                <w:color w:val="000000"/>
                <w:lang w:eastAsia="pt-BR"/>
              </w:rPr>
              <w:t>Alta</w:t>
            </w:r>
          </w:p>
        </w:tc>
        <w:tc>
          <w:tcPr>
            <w:tcW w:w="1622" w:type="dxa"/>
            <w:noWrap/>
            <w:vAlign w:val="bottom"/>
            <w:hideMark/>
          </w:tcPr>
          <w:p w14:paraId="21A82B03" w14:textId="77777777" w:rsidR="00307BF8" w:rsidRDefault="00307BF8" w:rsidP="00B87756">
            <w:pPr>
              <w:spacing w:after="0" w:line="360" w:lineRule="auto"/>
              <w:jc w:val="center"/>
              <w:rPr>
                <w:rFonts w:ascii="Times New Roman" w:eastAsia="Times New Roman" w:hAnsi="Times New Roman" w:cs="Times New Roman"/>
                <w:color w:val="000000"/>
                <w:lang w:eastAsia="pt-BR"/>
              </w:rPr>
            </w:pPr>
          </w:p>
          <w:p w14:paraId="4B86CACF" w14:textId="77777777" w:rsidR="00307BF8" w:rsidRDefault="00307BF8" w:rsidP="00B87756">
            <w:pPr>
              <w:spacing w:after="0" w:line="360" w:lineRule="auto"/>
              <w:jc w:val="center"/>
              <w:rPr>
                <w:rFonts w:ascii="Times New Roman" w:eastAsia="Times New Roman" w:hAnsi="Times New Roman" w:cs="Times New Roman"/>
                <w:color w:val="000000"/>
                <w:lang w:eastAsia="pt-BR"/>
              </w:rPr>
            </w:pPr>
          </w:p>
          <w:p w14:paraId="0D1F544C" w14:textId="77777777" w:rsidR="00307BF8" w:rsidRDefault="00307BF8" w:rsidP="00B87756">
            <w:pPr>
              <w:spacing w:after="0" w:line="360" w:lineRule="auto"/>
              <w:jc w:val="center"/>
              <w:rPr>
                <w:rFonts w:ascii="Times New Roman" w:eastAsia="Times New Roman" w:hAnsi="Times New Roman" w:cs="Times New Roman"/>
                <w:color w:val="000000"/>
                <w:lang w:eastAsia="pt-BR"/>
              </w:rPr>
            </w:pPr>
            <w:r>
              <w:rPr>
                <w:rFonts w:ascii="Times New Roman" w:eastAsia="Times New Roman" w:hAnsi="Times New Roman" w:cs="Times New Roman"/>
                <w:color w:val="000000"/>
                <w:lang w:eastAsia="pt-BR"/>
              </w:rPr>
              <w:t>Sim; 0 violações</w:t>
            </w:r>
          </w:p>
        </w:tc>
        <w:tc>
          <w:tcPr>
            <w:tcW w:w="1622" w:type="dxa"/>
            <w:noWrap/>
            <w:vAlign w:val="bottom"/>
            <w:hideMark/>
          </w:tcPr>
          <w:p w14:paraId="05F1AD12" w14:textId="77777777" w:rsidR="00307BF8" w:rsidRDefault="00307BF8" w:rsidP="00B87756">
            <w:pPr>
              <w:spacing w:after="0" w:line="360" w:lineRule="auto"/>
              <w:jc w:val="center"/>
              <w:rPr>
                <w:rFonts w:ascii="Times New Roman" w:eastAsia="Times New Roman" w:hAnsi="Times New Roman" w:cs="Times New Roman"/>
                <w:color w:val="000000"/>
                <w:lang w:eastAsia="pt-BR"/>
              </w:rPr>
            </w:pPr>
          </w:p>
          <w:p w14:paraId="23894DA1" w14:textId="77777777" w:rsidR="00307BF8" w:rsidRDefault="00307BF8" w:rsidP="00B87756">
            <w:pPr>
              <w:spacing w:after="0" w:line="360" w:lineRule="auto"/>
              <w:jc w:val="center"/>
              <w:rPr>
                <w:rFonts w:ascii="Times New Roman" w:eastAsia="Times New Roman" w:hAnsi="Times New Roman" w:cs="Times New Roman"/>
                <w:color w:val="000000"/>
                <w:lang w:eastAsia="pt-BR"/>
              </w:rPr>
            </w:pPr>
          </w:p>
          <w:p w14:paraId="6573D4E8" w14:textId="77777777" w:rsidR="00307BF8" w:rsidRDefault="00307BF8" w:rsidP="00B87756">
            <w:pPr>
              <w:spacing w:after="0" w:line="360" w:lineRule="auto"/>
              <w:jc w:val="center"/>
              <w:rPr>
                <w:rFonts w:ascii="Times New Roman" w:eastAsia="Times New Roman" w:hAnsi="Times New Roman" w:cs="Times New Roman"/>
                <w:color w:val="000000"/>
                <w:lang w:eastAsia="pt-BR"/>
              </w:rPr>
            </w:pPr>
            <w:r>
              <w:rPr>
                <w:rFonts w:ascii="Times New Roman" w:eastAsia="Times New Roman" w:hAnsi="Times New Roman" w:cs="Times New Roman"/>
                <w:color w:val="000000"/>
                <w:lang w:eastAsia="pt-BR"/>
              </w:rPr>
              <w:t>Nenhum</w:t>
            </w:r>
          </w:p>
        </w:tc>
        <w:tc>
          <w:tcPr>
            <w:tcW w:w="2028" w:type="dxa"/>
            <w:noWrap/>
            <w:vAlign w:val="bottom"/>
            <w:hideMark/>
          </w:tcPr>
          <w:p w14:paraId="27BBA3B2" w14:textId="77777777" w:rsidR="00307BF8" w:rsidRDefault="00307BF8" w:rsidP="00B87756">
            <w:pPr>
              <w:spacing w:after="0" w:line="360" w:lineRule="auto"/>
              <w:jc w:val="center"/>
              <w:rPr>
                <w:rFonts w:ascii="Times New Roman" w:eastAsia="Times New Roman" w:hAnsi="Times New Roman" w:cs="Times New Roman"/>
                <w:color w:val="000000"/>
                <w:lang w:eastAsia="pt-BR"/>
              </w:rPr>
            </w:pPr>
          </w:p>
          <w:p w14:paraId="6483AE37" w14:textId="77777777" w:rsidR="00307BF8" w:rsidRDefault="00307BF8" w:rsidP="00B87756">
            <w:pPr>
              <w:spacing w:after="0" w:line="360" w:lineRule="auto"/>
              <w:jc w:val="center"/>
              <w:rPr>
                <w:rFonts w:ascii="Times New Roman" w:eastAsia="Times New Roman" w:hAnsi="Times New Roman" w:cs="Times New Roman"/>
                <w:color w:val="000000"/>
                <w:lang w:eastAsia="pt-BR"/>
              </w:rPr>
            </w:pPr>
          </w:p>
          <w:p w14:paraId="2ABF69EB" w14:textId="77777777" w:rsidR="00307BF8" w:rsidRDefault="00307BF8" w:rsidP="00B87756">
            <w:pPr>
              <w:spacing w:after="0" w:line="360" w:lineRule="auto"/>
              <w:jc w:val="center"/>
              <w:rPr>
                <w:rFonts w:ascii="Times New Roman" w:eastAsia="Times New Roman" w:hAnsi="Times New Roman" w:cs="Times New Roman"/>
                <w:color w:val="000000"/>
                <w:lang w:eastAsia="pt-BR"/>
              </w:rPr>
            </w:pPr>
            <w:r>
              <w:rPr>
                <w:rFonts w:ascii="Times New Roman" w:eastAsia="Times New Roman" w:hAnsi="Times New Roman" w:cs="Times New Roman"/>
                <w:color w:val="000000"/>
                <w:lang w:eastAsia="pt-BR"/>
              </w:rPr>
              <w:t>Não</w:t>
            </w:r>
          </w:p>
        </w:tc>
      </w:tr>
      <w:tr w:rsidR="00307BF8" w14:paraId="2F7C393C" w14:textId="77777777" w:rsidTr="00A24E2C">
        <w:trPr>
          <w:trHeight w:val="312"/>
          <w:jc w:val="center"/>
        </w:trPr>
        <w:tc>
          <w:tcPr>
            <w:tcW w:w="1622" w:type="dxa"/>
            <w:noWrap/>
            <w:vAlign w:val="bottom"/>
          </w:tcPr>
          <w:p w14:paraId="554FCDC1" w14:textId="77777777" w:rsidR="00307BF8" w:rsidRDefault="00307BF8" w:rsidP="00B87756">
            <w:pPr>
              <w:spacing w:after="0" w:line="360" w:lineRule="auto"/>
              <w:jc w:val="center"/>
              <w:rPr>
                <w:rFonts w:ascii="Times New Roman" w:eastAsia="Times New Roman" w:hAnsi="Times New Roman" w:cs="Times New Roman"/>
                <w:color w:val="000000"/>
                <w:lang w:eastAsia="pt-BR"/>
              </w:rPr>
            </w:pPr>
          </w:p>
          <w:p w14:paraId="71954CBD" w14:textId="77777777" w:rsidR="00307BF8" w:rsidRDefault="00307BF8" w:rsidP="00B87756">
            <w:pPr>
              <w:spacing w:after="0" w:line="360" w:lineRule="auto"/>
              <w:jc w:val="center"/>
              <w:rPr>
                <w:rFonts w:ascii="Times New Roman" w:eastAsia="Times New Roman" w:hAnsi="Times New Roman" w:cs="Times New Roman"/>
                <w:color w:val="000000"/>
                <w:lang w:eastAsia="pt-BR"/>
              </w:rPr>
            </w:pPr>
          </w:p>
          <w:p w14:paraId="07ADD085" w14:textId="77777777" w:rsidR="00307BF8" w:rsidRDefault="00307BF8" w:rsidP="00B87756">
            <w:pPr>
              <w:spacing w:after="0" w:line="360" w:lineRule="auto"/>
              <w:jc w:val="center"/>
              <w:rPr>
                <w:rFonts w:ascii="Times New Roman" w:eastAsia="Times New Roman" w:hAnsi="Times New Roman" w:cs="Times New Roman"/>
                <w:color w:val="000000"/>
                <w:lang w:eastAsia="pt-BR"/>
              </w:rPr>
            </w:pPr>
            <w:r>
              <w:rPr>
                <w:rFonts w:ascii="Times New Roman" w:eastAsia="Times New Roman" w:hAnsi="Times New Roman" w:cs="Times New Roman"/>
                <w:color w:val="000000"/>
                <w:lang w:eastAsia="pt-BR"/>
              </w:rPr>
              <w:t>Catequina</w:t>
            </w:r>
          </w:p>
        </w:tc>
        <w:tc>
          <w:tcPr>
            <w:tcW w:w="1697" w:type="dxa"/>
            <w:noWrap/>
            <w:vAlign w:val="bottom"/>
            <w:hideMark/>
          </w:tcPr>
          <w:p w14:paraId="32253A7C" w14:textId="77777777" w:rsidR="00307BF8" w:rsidRDefault="00307BF8" w:rsidP="00B87756">
            <w:pPr>
              <w:spacing w:after="0" w:line="360" w:lineRule="auto"/>
              <w:jc w:val="center"/>
              <w:rPr>
                <w:rFonts w:ascii="Times New Roman" w:eastAsia="Times New Roman" w:hAnsi="Times New Roman" w:cs="Times New Roman"/>
                <w:color w:val="000000"/>
                <w:lang w:eastAsia="pt-BR"/>
              </w:rPr>
            </w:pPr>
            <w:r>
              <w:rPr>
                <w:rFonts w:ascii="Times New Roman" w:eastAsia="Times New Roman" w:hAnsi="Times New Roman" w:cs="Times New Roman"/>
                <w:color w:val="000000"/>
                <w:lang w:eastAsia="pt-BR"/>
              </w:rPr>
              <w:t>Alta</w:t>
            </w:r>
          </w:p>
        </w:tc>
        <w:tc>
          <w:tcPr>
            <w:tcW w:w="1622" w:type="dxa"/>
            <w:noWrap/>
            <w:vAlign w:val="bottom"/>
            <w:hideMark/>
          </w:tcPr>
          <w:p w14:paraId="59417B6A" w14:textId="77777777" w:rsidR="00307BF8" w:rsidRDefault="00307BF8" w:rsidP="00B87756">
            <w:pPr>
              <w:spacing w:after="0" w:line="360" w:lineRule="auto"/>
              <w:jc w:val="center"/>
              <w:rPr>
                <w:rFonts w:ascii="Times New Roman" w:eastAsia="Times New Roman" w:hAnsi="Times New Roman" w:cs="Times New Roman"/>
                <w:color w:val="000000"/>
                <w:lang w:eastAsia="pt-BR"/>
              </w:rPr>
            </w:pPr>
            <w:r>
              <w:rPr>
                <w:rFonts w:ascii="Times New Roman" w:eastAsia="Times New Roman" w:hAnsi="Times New Roman" w:cs="Times New Roman"/>
                <w:color w:val="000000"/>
                <w:lang w:eastAsia="pt-BR"/>
              </w:rPr>
              <w:t>Sim; 0 violações</w:t>
            </w:r>
          </w:p>
        </w:tc>
        <w:tc>
          <w:tcPr>
            <w:tcW w:w="1622" w:type="dxa"/>
            <w:noWrap/>
            <w:vAlign w:val="bottom"/>
            <w:hideMark/>
          </w:tcPr>
          <w:p w14:paraId="40287F94" w14:textId="77777777" w:rsidR="00307BF8" w:rsidRDefault="00307BF8" w:rsidP="00B87756">
            <w:pPr>
              <w:spacing w:after="0" w:line="360" w:lineRule="auto"/>
              <w:jc w:val="center"/>
              <w:rPr>
                <w:rFonts w:ascii="Times New Roman" w:eastAsia="Times New Roman" w:hAnsi="Times New Roman" w:cs="Times New Roman"/>
                <w:color w:val="000000"/>
                <w:lang w:eastAsia="pt-BR"/>
              </w:rPr>
            </w:pPr>
            <w:r>
              <w:rPr>
                <w:rFonts w:ascii="Times New Roman" w:eastAsia="Times New Roman" w:hAnsi="Times New Roman" w:cs="Times New Roman"/>
                <w:color w:val="000000"/>
                <w:lang w:eastAsia="pt-BR"/>
              </w:rPr>
              <w:t>Nenhum</w:t>
            </w:r>
          </w:p>
        </w:tc>
        <w:tc>
          <w:tcPr>
            <w:tcW w:w="2028" w:type="dxa"/>
            <w:noWrap/>
            <w:vAlign w:val="bottom"/>
            <w:hideMark/>
          </w:tcPr>
          <w:p w14:paraId="6CB32415" w14:textId="77777777" w:rsidR="00307BF8" w:rsidRDefault="00307BF8" w:rsidP="00B87756">
            <w:pPr>
              <w:spacing w:after="0" w:line="360" w:lineRule="auto"/>
              <w:jc w:val="center"/>
              <w:rPr>
                <w:rFonts w:ascii="Times New Roman" w:eastAsia="Times New Roman" w:hAnsi="Times New Roman" w:cs="Times New Roman"/>
                <w:color w:val="000000"/>
                <w:lang w:eastAsia="pt-BR"/>
              </w:rPr>
            </w:pPr>
            <w:r>
              <w:rPr>
                <w:rFonts w:ascii="Times New Roman" w:eastAsia="Times New Roman" w:hAnsi="Times New Roman" w:cs="Times New Roman"/>
                <w:color w:val="000000"/>
                <w:lang w:eastAsia="pt-BR"/>
              </w:rPr>
              <w:t>Não</w:t>
            </w:r>
          </w:p>
        </w:tc>
      </w:tr>
      <w:tr w:rsidR="00307BF8" w14:paraId="0A2C5A00" w14:textId="77777777" w:rsidTr="00A24E2C">
        <w:trPr>
          <w:trHeight w:val="312"/>
          <w:jc w:val="center"/>
        </w:trPr>
        <w:tc>
          <w:tcPr>
            <w:tcW w:w="1622" w:type="dxa"/>
            <w:noWrap/>
            <w:vAlign w:val="bottom"/>
          </w:tcPr>
          <w:p w14:paraId="4BAC7329" w14:textId="77777777" w:rsidR="00307BF8" w:rsidRDefault="00307BF8" w:rsidP="00B87756">
            <w:pPr>
              <w:spacing w:after="0" w:line="360" w:lineRule="auto"/>
              <w:jc w:val="center"/>
              <w:rPr>
                <w:rFonts w:ascii="Times New Roman" w:eastAsia="Times New Roman" w:hAnsi="Times New Roman" w:cs="Times New Roman"/>
                <w:color w:val="000000"/>
                <w:lang w:eastAsia="pt-BR"/>
              </w:rPr>
            </w:pPr>
          </w:p>
          <w:p w14:paraId="31CAC6DC" w14:textId="77777777" w:rsidR="00307BF8" w:rsidRDefault="00307BF8" w:rsidP="00B87756">
            <w:pPr>
              <w:spacing w:after="0" w:line="360" w:lineRule="auto"/>
              <w:jc w:val="center"/>
              <w:rPr>
                <w:rFonts w:ascii="Times New Roman" w:eastAsia="Times New Roman" w:hAnsi="Times New Roman" w:cs="Times New Roman"/>
                <w:color w:val="000000"/>
                <w:lang w:eastAsia="pt-BR"/>
              </w:rPr>
            </w:pPr>
          </w:p>
          <w:p w14:paraId="4B3BAD07" w14:textId="77777777" w:rsidR="00307BF8" w:rsidRDefault="00307BF8" w:rsidP="00B87756">
            <w:pPr>
              <w:spacing w:after="0" w:line="360" w:lineRule="auto"/>
              <w:jc w:val="center"/>
              <w:rPr>
                <w:rFonts w:ascii="Times New Roman" w:eastAsia="Times New Roman" w:hAnsi="Times New Roman" w:cs="Times New Roman"/>
                <w:color w:val="000000"/>
                <w:lang w:eastAsia="pt-BR"/>
              </w:rPr>
            </w:pPr>
            <w:r>
              <w:rPr>
                <w:rFonts w:ascii="Times New Roman" w:eastAsia="Times New Roman" w:hAnsi="Times New Roman" w:cs="Times New Roman"/>
                <w:color w:val="000000"/>
                <w:lang w:eastAsia="pt-BR"/>
              </w:rPr>
              <w:t>Epicatequina</w:t>
            </w:r>
          </w:p>
        </w:tc>
        <w:tc>
          <w:tcPr>
            <w:tcW w:w="1697" w:type="dxa"/>
            <w:noWrap/>
            <w:vAlign w:val="bottom"/>
            <w:hideMark/>
          </w:tcPr>
          <w:p w14:paraId="4B69CDD8" w14:textId="77777777" w:rsidR="00307BF8" w:rsidRDefault="00307BF8" w:rsidP="00B87756">
            <w:pPr>
              <w:spacing w:after="0" w:line="360" w:lineRule="auto"/>
              <w:jc w:val="center"/>
              <w:rPr>
                <w:rFonts w:ascii="Times New Roman" w:eastAsia="Times New Roman" w:hAnsi="Times New Roman" w:cs="Times New Roman"/>
                <w:color w:val="000000"/>
                <w:lang w:eastAsia="pt-BR"/>
              </w:rPr>
            </w:pPr>
            <w:r>
              <w:rPr>
                <w:rFonts w:ascii="Times New Roman" w:eastAsia="Times New Roman" w:hAnsi="Times New Roman" w:cs="Times New Roman"/>
                <w:color w:val="000000"/>
                <w:lang w:eastAsia="pt-BR"/>
              </w:rPr>
              <w:t>Alta</w:t>
            </w:r>
          </w:p>
        </w:tc>
        <w:tc>
          <w:tcPr>
            <w:tcW w:w="1622" w:type="dxa"/>
            <w:noWrap/>
            <w:vAlign w:val="bottom"/>
            <w:hideMark/>
          </w:tcPr>
          <w:p w14:paraId="350AAB51" w14:textId="77777777" w:rsidR="00307BF8" w:rsidRDefault="00307BF8" w:rsidP="00B87756">
            <w:pPr>
              <w:spacing w:after="0" w:line="360" w:lineRule="auto"/>
              <w:jc w:val="center"/>
              <w:rPr>
                <w:rFonts w:ascii="Times New Roman" w:eastAsia="Times New Roman" w:hAnsi="Times New Roman" w:cs="Times New Roman"/>
                <w:color w:val="000000"/>
                <w:lang w:eastAsia="pt-BR"/>
              </w:rPr>
            </w:pPr>
            <w:r>
              <w:rPr>
                <w:rFonts w:ascii="Times New Roman" w:eastAsia="Times New Roman" w:hAnsi="Times New Roman" w:cs="Times New Roman"/>
                <w:color w:val="000000"/>
                <w:lang w:eastAsia="pt-BR"/>
              </w:rPr>
              <w:t>Sim; 0 violações</w:t>
            </w:r>
          </w:p>
        </w:tc>
        <w:tc>
          <w:tcPr>
            <w:tcW w:w="1622" w:type="dxa"/>
            <w:noWrap/>
            <w:vAlign w:val="bottom"/>
            <w:hideMark/>
          </w:tcPr>
          <w:p w14:paraId="755AFFB7" w14:textId="77777777" w:rsidR="00307BF8" w:rsidRDefault="00307BF8" w:rsidP="00B87756">
            <w:pPr>
              <w:spacing w:after="0" w:line="360" w:lineRule="auto"/>
              <w:jc w:val="center"/>
              <w:rPr>
                <w:rFonts w:ascii="Times New Roman" w:eastAsia="Times New Roman" w:hAnsi="Times New Roman" w:cs="Times New Roman"/>
                <w:color w:val="000000"/>
                <w:lang w:eastAsia="pt-BR"/>
              </w:rPr>
            </w:pPr>
            <w:r>
              <w:rPr>
                <w:rFonts w:ascii="Times New Roman" w:eastAsia="Times New Roman" w:hAnsi="Times New Roman" w:cs="Times New Roman"/>
                <w:color w:val="000000"/>
                <w:lang w:eastAsia="pt-BR"/>
              </w:rPr>
              <w:t>Nenhum</w:t>
            </w:r>
          </w:p>
        </w:tc>
        <w:tc>
          <w:tcPr>
            <w:tcW w:w="2028" w:type="dxa"/>
            <w:noWrap/>
            <w:vAlign w:val="bottom"/>
            <w:hideMark/>
          </w:tcPr>
          <w:p w14:paraId="3F10FFA6" w14:textId="77777777" w:rsidR="00307BF8" w:rsidRDefault="00307BF8" w:rsidP="00B87756">
            <w:pPr>
              <w:spacing w:after="0" w:line="360" w:lineRule="auto"/>
              <w:jc w:val="center"/>
              <w:rPr>
                <w:rFonts w:ascii="Times New Roman" w:eastAsia="Times New Roman" w:hAnsi="Times New Roman" w:cs="Times New Roman"/>
                <w:color w:val="000000"/>
                <w:lang w:eastAsia="pt-BR"/>
              </w:rPr>
            </w:pPr>
            <w:r>
              <w:rPr>
                <w:rFonts w:ascii="Times New Roman" w:eastAsia="Times New Roman" w:hAnsi="Times New Roman" w:cs="Times New Roman"/>
                <w:color w:val="000000"/>
                <w:lang w:eastAsia="pt-BR"/>
              </w:rPr>
              <w:t>Não</w:t>
            </w:r>
          </w:p>
        </w:tc>
      </w:tr>
      <w:tr w:rsidR="00307BF8" w14:paraId="2B0411DF" w14:textId="77777777" w:rsidTr="00A24E2C">
        <w:trPr>
          <w:trHeight w:val="312"/>
          <w:jc w:val="center"/>
        </w:trPr>
        <w:tc>
          <w:tcPr>
            <w:tcW w:w="1622" w:type="dxa"/>
            <w:noWrap/>
            <w:vAlign w:val="bottom"/>
          </w:tcPr>
          <w:p w14:paraId="62856B8B" w14:textId="77777777" w:rsidR="00307BF8" w:rsidRDefault="00307BF8" w:rsidP="00B87756">
            <w:pPr>
              <w:spacing w:after="0" w:line="360" w:lineRule="auto"/>
              <w:jc w:val="center"/>
              <w:rPr>
                <w:rFonts w:ascii="Times New Roman" w:eastAsia="Times New Roman" w:hAnsi="Times New Roman" w:cs="Times New Roman"/>
                <w:color w:val="000000"/>
                <w:lang w:eastAsia="pt-BR"/>
              </w:rPr>
            </w:pPr>
          </w:p>
          <w:p w14:paraId="337BA085" w14:textId="77777777" w:rsidR="00307BF8" w:rsidRDefault="00307BF8" w:rsidP="00B87756">
            <w:pPr>
              <w:spacing w:after="0" w:line="360" w:lineRule="auto"/>
              <w:jc w:val="center"/>
              <w:rPr>
                <w:rFonts w:ascii="Times New Roman" w:eastAsia="Times New Roman" w:hAnsi="Times New Roman" w:cs="Times New Roman"/>
                <w:color w:val="000000"/>
                <w:lang w:eastAsia="pt-BR"/>
              </w:rPr>
            </w:pPr>
          </w:p>
          <w:p w14:paraId="28C9CCCF" w14:textId="77777777" w:rsidR="00307BF8" w:rsidRDefault="00307BF8" w:rsidP="00B87756">
            <w:pPr>
              <w:spacing w:after="0" w:line="360" w:lineRule="auto"/>
              <w:jc w:val="center"/>
              <w:rPr>
                <w:rFonts w:ascii="Times New Roman" w:eastAsia="Times New Roman" w:hAnsi="Times New Roman" w:cs="Times New Roman"/>
                <w:color w:val="000000"/>
                <w:lang w:eastAsia="pt-BR"/>
              </w:rPr>
            </w:pPr>
            <w:r>
              <w:rPr>
                <w:rFonts w:ascii="Times New Roman" w:eastAsia="Times New Roman" w:hAnsi="Times New Roman" w:cs="Times New Roman"/>
                <w:color w:val="000000"/>
                <w:lang w:eastAsia="pt-BR"/>
              </w:rPr>
              <w:t>Kaempferol</w:t>
            </w:r>
          </w:p>
          <w:p w14:paraId="60C2E768" w14:textId="77777777" w:rsidR="00307BF8" w:rsidRDefault="00307BF8" w:rsidP="00B87756">
            <w:pPr>
              <w:spacing w:after="0" w:line="360" w:lineRule="auto"/>
              <w:jc w:val="center"/>
              <w:rPr>
                <w:rFonts w:ascii="Times New Roman" w:eastAsia="Times New Roman" w:hAnsi="Times New Roman" w:cs="Times New Roman"/>
                <w:color w:val="000000"/>
                <w:lang w:eastAsia="pt-BR"/>
              </w:rPr>
            </w:pPr>
          </w:p>
          <w:p w14:paraId="30346230" w14:textId="77777777" w:rsidR="00307BF8" w:rsidRDefault="00307BF8" w:rsidP="00B87756">
            <w:pPr>
              <w:spacing w:after="0" w:line="360" w:lineRule="auto"/>
              <w:jc w:val="center"/>
              <w:rPr>
                <w:rFonts w:ascii="Times New Roman" w:eastAsia="Times New Roman" w:hAnsi="Times New Roman" w:cs="Times New Roman"/>
                <w:color w:val="000000"/>
                <w:lang w:eastAsia="pt-BR"/>
              </w:rPr>
            </w:pPr>
          </w:p>
        </w:tc>
        <w:tc>
          <w:tcPr>
            <w:tcW w:w="1697" w:type="dxa"/>
            <w:noWrap/>
            <w:vAlign w:val="bottom"/>
            <w:hideMark/>
          </w:tcPr>
          <w:p w14:paraId="64A7AA5F" w14:textId="77777777" w:rsidR="00307BF8" w:rsidRDefault="00307BF8" w:rsidP="00B87756">
            <w:pPr>
              <w:spacing w:after="0" w:line="360" w:lineRule="auto"/>
              <w:jc w:val="center"/>
              <w:rPr>
                <w:rFonts w:ascii="Times New Roman" w:eastAsia="Times New Roman" w:hAnsi="Times New Roman" w:cs="Times New Roman"/>
                <w:color w:val="000000"/>
                <w:lang w:eastAsia="pt-BR"/>
              </w:rPr>
            </w:pPr>
            <w:r>
              <w:rPr>
                <w:rFonts w:ascii="Times New Roman" w:eastAsia="Times New Roman" w:hAnsi="Times New Roman" w:cs="Times New Roman"/>
                <w:color w:val="000000"/>
                <w:lang w:eastAsia="pt-BR"/>
              </w:rPr>
              <w:t>Alta</w:t>
            </w:r>
          </w:p>
          <w:p w14:paraId="0F3FDDAD" w14:textId="77777777" w:rsidR="00307BF8" w:rsidRDefault="00307BF8" w:rsidP="00B87756">
            <w:pPr>
              <w:spacing w:after="0" w:line="360" w:lineRule="auto"/>
              <w:jc w:val="center"/>
              <w:rPr>
                <w:rFonts w:ascii="Times New Roman" w:eastAsia="Times New Roman" w:hAnsi="Times New Roman" w:cs="Times New Roman"/>
                <w:color w:val="000000"/>
                <w:lang w:eastAsia="pt-BR"/>
              </w:rPr>
            </w:pPr>
          </w:p>
          <w:p w14:paraId="2027DD30" w14:textId="77777777" w:rsidR="00307BF8" w:rsidRDefault="00307BF8" w:rsidP="00B87756">
            <w:pPr>
              <w:spacing w:after="0" w:line="360" w:lineRule="auto"/>
              <w:jc w:val="center"/>
              <w:rPr>
                <w:rFonts w:ascii="Times New Roman" w:eastAsia="Times New Roman" w:hAnsi="Times New Roman" w:cs="Times New Roman"/>
                <w:color w:val="000000"/>
                <w:lang w:eastAsia="pt-BR"/>
              </w:rPr>
            </w:pPr>
          </w:p>
          <w:p w14:paraId="345D3BC7" w14:textId="77777777" w:rsidR="00307BF8" w:rsidRDefault="00307BF8" w:rsidP="00B87756">
            <w:pPr>
              <w:spacing w:after="0" w:line="360" w:lineRule="auto"/>
              <w:jc w:val="center"/>
              <w:rPr>
                <w:rFonts w:ascii="Times New Roman" w:eastAsia="Times New Roman" w:hAnsi="Times New Roman" w:cs="Times New Roman"/>
                <w:color w:val="000000"/>
                <w:lang w:eastAsia="pt-BR"/>
              </w:rPr>
            </w:pPr>
          </w:p>
        </w:tc>
        <w:tc>
          <w:tcPr>
            <w:tcW w:w="1622" w:type="dxa"/>
            <w:noWrap/>
            <w:vAlign w:val="bottom"/>
            <w:hideMark/>
          </w:tcPr>
          <w:p w14:paraId="77CB03C0" w14:textId="77777777" w:rsidR="00307BF8" w:rsidRDefault="00307BF8" w:rsidP="00B87756">
            <w:pPr>
              <w:spacing w:after="0" w:line="360" w:lineRule="auto"/>
              <w:rPr>
                <w:rFonts w:ascii="Times New Roman" w:eastAsia="Times New Roman" w:hAnsi="Times New Roman" w:cs="Times New Roman"/>
                <w:color w:val="000000"/>
                <w:lang w:eastAsia="pt-BR"/>
              </w:rPr>
            </w:pPr>
          </w:p>
          <w:p w14:paraId="425BE160" w14:textId="77777777" w:rsidR="00307BF8" w:rsidRDefault="00307BF8" w:rsidP="00B87756">
            <w:pPr>
              <w:spacing w:after="0" w:line="360" w:lineRule="auto"/>
              <w:rPr>
                <w:rFonts w:ascii="Times New Roman" w:eastAsia="Times New Roman" w:hAnsi="Times New Roman" w:cs="Times New Roman"/>
                <w:color w:val="000000"/>
                <w:lang w:eastAsia="pt-BR"/>
              </w:rPr>
            </w:pPr>
          </w:p>
          <w:p w14:paraId="59E1E6D5" w14:textId="77777777" w:rsidR="00307BF8" w:rsidRDefault="00307BF8" w:rsidP="00B87756">
            <w:pPr>
              <w:spacing w:after="0" w:line="360" w:lineRule="auto"/>
              <w:rPr>
                <w:rFonts w:ascii="Times New Roman" w:eastAsia="Times New Roman" w:hAnsi="Times New Roman" w:cs="Times New Roman"/>
                <w:color w:val="000000"/>
                <w:lang w:eastAsia="pt-BR"/>
              </w:rPr>
            </w:pPr>
          </w:p>
          <w:p w14:paraId="4A6153BE" w14:textId="77777777" w:rsidR="00307BF8" w:rsidRDefault="00307BF8" w:rsidP="00B87756">
            <w:pPr>
              <w:spacing w:after="0" w:line="360" w:lineRule="auto"/>
              <w:jc w:val="center"/>
              <w:rPr>
                <w:rFonts w:ascii="Times New Roman" w:eastAsia="Times New Roman" w:hAnsi="Times New Roman" w:cs="Times New Roman"/>
                <w:color w:val="000000"/>
                <w:lang w:eastAsia="pt-BR"/>
              </w:rPr>
            </w:pPr>
            <w:r>
              <w:rPr>
                <w:rFonts w:ascii="Times New Roman" w:eastAsia="Times New Roman" w:hAnsi="Times New Roman" w:cs="Times New Roman"/>
                <w:color w:val="000000"/>
                <w:lang w:eastAsia="pt-BR"/>
              </w:rPr>
              <w:t>Sim; 0 violações</w:t>
            </w:r>
          </w:p>
          <w:p w14:paraId="12D67C1D" w14:textId="77777777" w:rsidR="00307BF8" w:rsidRDefault="00307BF8" w:rsidP="00B87756">
            <w:pPr>
              <w:spacing w:after="0" w:line="360" w:lineRule="auto"/>
              <w:jc w:val="center"/>
              <w:rPr>
                <w:rFonts w:ascii="Times New Roman" w:eastAsia="Times New Roman" w:hAnsi="Times New Roman" w:cs="Times New Roman"/>
                <w:color w:val="000000"/>
                <w:lang w:eastAsia="pt-BR"/>
              </w:rPr>
            </w:pPr>
          </w:p>
          <w:p w14:paraId="49642114" w14:textId="77777777" w:rsidR="00307BF8" w:rsidRDefault="00307BF8" w:rsidP="00B87756">
            <w:pPr>
              <w:spacing w:after="0" w:line="360" w:lineRule="auto"/>
              <w:rPr>
                <w:rFonts w:ascii="Times New Roman" w:eastAsia="Times New Roman" w:hAnsi="Times New Roman" w:cs="Times New Roman"/>
                <w:color w:val="000000"/>
                <w:lang w:eastAsia="pt-BR"/>
              </w:rPr>
            </w:pPr>
          </w:p>
          <w:p w14:paraId="2155CD1E" w14:textId="77777777" w:rsidR="00307BF8" w:rsidRDefault="00307BF8" w:rsidP="00B87756">
            <w:pPr>
              <w:spacing w:after="0" w:line="360" w:lineRule="auto"/>
              <w:rPr>
                <w:rFonts w:ascii="Times New Roman" w:eastAsia="Times New Roman" w:hAnsi="Times New Roman" w:cs="Times New Roman"/>
                <w:color w:val="000000"/>
                <w:lang w:eastAsia="pt-BR"/>
              </w:rPr>
            </w:pPr>
          </w:p>
        </w:tc>
        <w:tc>
          <w:tcPr>
            <w:tcW w:w="1622" w:type="dxa"/>
            <w:noWrap/>
            <w:vAlign w:val="bottom"/>
          </w:tcPr>
          <w:p w14:paraId="73AAAAFF" w14:textId="77777777" w:rsidR="00307BF8" w:rsidRDefault="00307BF8" w:rsidP="00B87756">
            <w:pPr>
              <w:spacing w:after="0" w:line="360" w:lineRule="auto"/>
              <w:jc w:val="center"/>
              <w:rPr>
                <w:rFonts w:ascii="Times New Roman" w:eastAsia="Times New Roman" w:hAnsi="Times New Roman" w:cs="Times New Roman"/>
                <w:color w:val="000000"/>
                <w:lang w:eastAsia="pt-BR"/>
              </w:rPr>
            </w:pPr>
          </w:p>
          <w:p w14:paraId="756EF431" w14:textId="77777777" w:rsidR="00307BF8" w:rsidRDefault="00307BF8" w:rsidP="00B87756">
            <w:pPr>
              <w:spacing w:after="0" w:line="360" w:lineRule="auto"/>
              <w:jc w:val="center"/>
              <w:rPr>
                <w:rFonts w:ascii="Times New Roman" w:eastAsia="Times New Roman" w:hAnsi="Times New Roman" w:cs="Times New Roman"/>
                <w:color w:val="000000"/>
                <w:lang w:eastAsia="pt-BR"/>
              </w:rPr>
            </w:pPr>
          </w:p>
          <w:p w14:paraId="3C9AE9DF" w14:textId="77777777" w:rsidR="00307BF8" w:rsidRDefault="00307BF8" w:rsidP="00B87756">
            <w:pPr>
              <w:spacing w:after="0" w:line="360" w:lineRule="auto"/>
              <w:jc w:val="center"/>
              <w:rPr>
                <w:rFonts w:ascii="Times New Roman" w:eastAsia="Times New Roman" w:hAnsi="Times New Roman" w:cs="Times New Roman"/>
                <w:color w:val="000000"/>
                <w:lang w:eastAsia="pt-BR"/>
              </w:rPr>
            </w:pPr>
            <w:r>
              <w:rPr>
                <w:rFonts w:ascii="Times New Roman" w:eastAsia="Times New Roman" w:hAnsi="Times New Roman" w:cs="Times New Roman"/>
                <w:color w:val="000000"/>
                <w:lang w:eastAsia="pt-BR"/>
              </w:rPr>
              <w:t>CYP1A2, CYP2D6 e CYP3A4</w:t>
            </w:r>
          </w:p>
          <w:p w14:paraId="1E0AE369" w14:textId="77777777" w:rsidR="00307BF8" w:rsidRDefault="00307BF8" w:rsidP="00B87756">
            <w:pPr>
              <w:spacing w:after="0" w:line="360" w:lineRule="auto"/>
              <w:jc w:val="center"/>
              <w:rPr>
                <w:rFonts w:ascii="Times New Roman" w:eastAsia="Times New Roman" w:hAnsi="Times New Roman" w:cs="Times New Roman"/>
                <w:color w:val="000000"/>
                <w:lang w:eastAsia="pt-BR"/>
              </w:rPr>
            </w:pPr>
          </w:p>
        </w:tc>
        <w:tc>
          <w:tcPr>
            <w:tcW w:w="2028" w:type="dxa"/>
            <w:noWrap/>
            <w:vAlign w:val="bottom"/>
            <w:hideMark/>
          </w:tcPr>
          <w:p w14:paraId="22C2ECFE" w14:textId="77777777" w:rsidR="00307BF8" w:rsidRDefault="00307BF8" w:rsidP="00B87756">
            <w:pPr>
              <w:spacing w:after="0" w:line="360" w:lineRule="auto"/>
              <w:jc w:val="center"/>
              <w:rPr>
                <w:rFonts w:ascii="Times New Roman" w:eastAsia="Times New Roman" w:hAnsi="Times New Roman" w:cs="Times New Roman"/>
                <w:color w:val="000000"/>
                <w:lang w:eastAsia="pt-BR"/>
              </w:rPr>
            </w:pPr>
            <w:r>
              <w:rPr>
                <w:rFonts w:ascii="Times New Roman" w:eastAsia="Times New Roman" w:hAnsi="Times New Roman" w:cs="Times New Roman"/>
                <w:color w:val="000000"/>
                <w:lang w:eastAsia="pt-BR"/>
              </w:rPr>
              <w:t>Não</w:t>
            </w:r>
          </w:p>
          <w:p w14:paraId="2B0A8871" w14:textId="77777777" w:rsidR="00307BF8" w:rsidRDefault="00307BF8" w:rsidP="00B87756">
            <w:pPr>
              <w:spacing w:after="0" w:line="360" w:lineRule="auto"/>
              <w:jc w:val="center"/>
              <w:rPr>
                <w:rFonts w:ascii="Times New Roman" w:eastAsia="Times New Roman" w:hAnsi="Times New Roman" w:cs="Times New Roman"/>
                <w:color w:val="000000"/>
                <w:lang w:eastAsia="pt-BR"/>
              </w:rPr>
            </w:pPr>
          </w:p>
          <w:p w14:paraId="4E212B6B" w14:textId="77777777" w:rsidR="00307BF8" w:rsidRDefault="00307BF8" w:rsidP="00B87756">
            <w:pPr>
              <w:spacing w:after="0" w:line="360" w:lineRule="auto"/>
              <w:jc w:val="center"/>
              <w:rPr>
                <w:rFonts w:ascii="Times New Roman" w:eastAsia="Times New Roman" w:hAnsi="Times New Roman" w:cs="Times New Roman"/>
                <w:color w:val="000000"/>
                <w:lang w:eastAsia="pt-BR"/>
              </w:rPr>
            </w:pPr>
          </w:p>
          <w:p w14:paraId="698B95F0" w14:textId="77777777" w:rsidR="00307BF8" w:rsidRDefault="00307BF8" w:rsidP="00B87756">
            <w:pPr>
              <w:spacing w:after="0" w:line="360" w:lineRule="auto"/>
              <w:jc w:val="center"/>
              <w:rPr>
                <w:rFonts w:ascii="Times New Roman" w:eastAsia="Times New Roman" w:hAnsi="Times New Roman" w:cs="Times New Roman"/>
                <w:color w:val="000000"/>
                <w:lang w:eastAsia="pt-BR"/>
              </w:rPr>
            </w:pPr>
          </w:p>
        </w:tc>
      </w:tr>
      <w:tr w:rsidR="00307BF8" w14:paraId="3350BE09" w14:textId="77777777" w:rsidTr="00A24E2C">
        <w:trPr>
          <w:trHeight w:val="312"/>
          <w:jc w:val="center"/>
        </w:trPr>
        <w:tc>
          <w:tcPr>
            <w:tcW w:w="1622" w:type="dxa"/>
            <w:noWrap/>
            <w:vAlign w:val="bottom"/>
          </w:tcPr>
          <w:p w14:paraId="562E7140" w14:textId="77777777" w:rsidR="00307BF8" w:rsidRDefault="00307BF8" w:rsidP="00B87756">
            <w:pPr>
              <w:spacing w:after="0" w:line="360" w:lineRule="auto"/>
              <w:jc w:val="center"/>
              <w:rPr>
                <w:rFonts w:ascii="Times New Roman" w:eastAsia="Times New Roman" w:hAnsi="Times New Roman" w:cs="Times New Roman"/>
                <w:color w:val="000000"/>
                <w:lang w:eastAsia="pt-BR"/>
              </w:rPr>
            </w:pPr>
          </w:p>
          <w:p w14:paraId="4EBB8AE7" w14:textId="77777777" w:rsidR="00307BF8" w:rsidRDefault="00307BF8" w:rsidP="00B87756">
            <w:pPr>
              <w:spacing w:after="0" w:line="360" w:lineRule="auto"/>
              <w:jc w:val="center"/>
              <w:rPr>
                <w:rFonts w:ascii="Times New Roman" w:eastAsia="Times New Roman" w:hAnsi="Times New Roman" w:cs="Times New Roman"/>
                <w:color w:val="000000"/>
                <w:lang w:eastAsia="pt-BR"/>
              </w:rPr>
            </w:pPr>
          </w:p>
          <w:p w14:paraId="0BCC93EB" w14:textId="77777777" w:rsidR="00307BF8" w:rsidRDefault="00307BF8" w:rsidP="00B87756">
            <w:pPr>
              <w:spacing w:after="0" w:line="360" w:lineRule="auto"/>
              <w:jc w:val="center"/>
              <w:rPr>
                <w:rFonts w:ascii="Times New Roman" w:eastAsia="Times New Roman" w:hAnsi="Times New Roman" w:cs="Times New Roman"/>
                <w:color w:val="000000"/>
                <w:lang w:eastAsia="pt-BR"/>
              </w:rPr>
            </w:pPr>
            <w:r>
              <w:rPr>
                <w:rFonts w:ascii="Times New Roman" w:eastAsia="Times New Roman" w:hAnsi="Times New Roman" w:cs="Times New Roman"/>
                <w:color w:val="000000"/>
                <w:lang w:eastAsia="pt-BR"/>
              </w:rPr>
              <w:t>Quercetina</w:t>
            </w:r>
          </w:p>
          <w:p w14:paraId="4253433C" w14:textId="77777777" w:rsidR="00307BF8" w:rsidRDefault="00307BF8" w:rsidP="00B87756">
            <w:pPr>
              <w:spacing w:after="0" w:line="360" w:lineRule="auto"/>
              <w:rPr>
                <w:rFonts w:ascii="Times New Roman" w:eastAsia="Times New Roman" w:hAnsi="Times New Roman" w:cs="Times New Roman"/>
                <w:color w:val="000000"/>
                <w:lang w:eastAsia="pt-BR"/>
              </w:rPr>
            </w:pPr>
          </w:p>
        </w:tc>
        <w:tc>
          <w:tcPr>
            <w:tcW w:w="1697" w:type="dxa"/>
            <w:noWrap/>
            <w:vAlign w:val="bottom"/>
            <w:hideMark/>
          </w:tcPr>
          <w:p w14:paraId="0F473CBA" w14:textId="77777777" w:rsidR="00307BF8" w:rsidRDefault="00307BF8" w:rsidP="00B87756">
            <w:pPr>
              <w:spacing w:after="0" w:line="360" w:lineRule="auto"/>
              <w:jc w:val="center"/>
              <w:rPr>
                <w:rFonts w:ascii="Times New Roman" w:eastAsia="Times New Roman" w:hAnsi="Times New Roman" w:cs="Times New Roman"/>
                <w:color w:val="000000"/>
                <w:lang w:eastAsia="pt-BR"/>
              </w:rPr>
            </w:pPr>
            <w:r>
              <w:rPr>
                <w:rFonts w:ascii="Times New Roman" w:eastAsia="Times New Roman" w:hAnsi="Times New Roman" w:cs="Times New Roman"/>
                <w:color w:val="000000"/>
                <w:lang w:eastAsia="pt-BR"/>
              </w:rPr>
              <w:t>Alta</w:t>
            </w:r>
          </w:p>
          <w:p w14:paraId="3AF15C93" w14:textId="77777777" w:rsidR="00307BF8" w:rsidRDefault="00307BF8" w:rsidP="00B87756">
            <w:pPr>
              <w:spacing w:after="0" w:line="360" w:lineRule="auto"/>
              <w:jc w:val="center"/>
              <w:rPr>
                <w:rFonts w:ascii="Times New Roman" w:eastAsia="Times New Roman" w:hAnsi="Times New Roman" w:cs="Times New Roman"/>
                <w:color w:val="000000"/>
                <w:lang w:eastAsia="pt-BR"/>
              </w:rPr>
            </w:pPr>
          </w:p>
          <w:p w14:paraId="5879454C" w14:textId="77777777" w:rsidR="00307BF8" w:rsidRDefault="00307BF8" w:rsidP="00B87756">
            <w:pPr>
              <w:spacing w:after="0" w:line="360" w:lineRule="auto"/>
              <w:jc w:val="center"/>
              <w:rPr>
                <w:rFonts w:ascii="Times New Roman" w:eastAsia="Times New Roman" w:hAnsi="Times New Roman" w:cs="Times New Roman"/>
                <w:color w:val="000000"/>
                <w:lang w:eastAsia="pt-BR"/>
              </w:rPr>
            </w:pPr>
          </w:p>
        </w:tc>
        <w:tc>
          <w:tcPr>
            <w:tcW w:w="1622" w:type="dxa"/>
            <w:noWrap/>
            <w:vAlign w:val="bottom"/>
            <w:hideMark/>
          </w:tcPr>
          <w:p w14:paraId="3F6462E7" w14:textId="77777777" w:rsidR="00307BF8" w:rsidRDefault="00307BF8" w:rsidP="00B87756">
            <w:pPr>
              <w:spacing w:after="0" w:line="360" w:lineRule="auto"/>
              <w:jc w:val="center"/>
              <w:rPr>
                <w:rFonts w:ascii="Times New Roman" w:eastAsia="Times New Roman" w:hAnsi="Times New Roman" w:cs="Times New Roman"/>
                <w:color w:val="000000"/>
                <w:lang w:eastAsia="pt-BR"/>
              </w:rPr>
            </w:pPr>
            <w:r>
              <w:rPr>
                <w:rFonts w:ascii="Times New Roman" w:eastAsia="Times New Roman" w:hAnsi="Times New Roman" w:cs="Times New Roman"/>
                <w:color w:val="000000"/>
                <w:lang w:eastAsia="pt-BR"/>
              </w:rPr>
              <w:t>Sim; 0 violações</w:t>
            </w:r>
          </w:p>
          <w:p w14:paraId="09332026" w14:textId="77777777" w:rsidR="00307BF8" w:rsidRDefault="00307BF8" w:rsidP="00B87756">
            <w:pPr>
              <w:spacing w:after="0" w:line="360" w:lineRule="auto"/>
              <w:jc w:val="center"/>
              <w:rPr>
                <w:rFonts w:ascii="Times New Roman" w:eastAsia="Times New Roman" w:hAnsi="Times New Roman" w:cs="Times New Roman"/>
                <w:color w:val="000000"/>
                <w:lang w:eastAsia="pt-BR"/>
              </w:rPr>
            </w:pPr>
          </w:p>
          <w:p w14:paraId="0964F852" w14:textId="77777777" w:rsidR="00307BF8" w:rsidRDefault="00307BF8" w:rsidP="00B87756">
            <w:pPr>
              <w:spacing w:after="0" w:line="360" w:lineRule="auto"/>
              <w:jc w:val="center"/>
              <w:rPr>
                <w:rFonts w:ascii="Times New Roman" w:eastAsia="Times New Roman" w:hAnsi="Times New Roman" w:cs="Times New Roman"/>
                <w:color w:val="000000"/>
                <w:lang w:eastAsia="pt-BR"/>
              </w:rPr>
            </w:pPr>
          </w:p>
        </w:tc>
        <w:tc>
          <w:tcPr>
            <w:tcW w:w="1622" w:type="dxa"/>
            <w:noWrap/>
            <w:vAlign w:val="bottom"/>
            <w:hideMark/>
          </w:tcPr>
          <w:p w14:paraId="01972335" w14:textId="77777777" w:rsidR="00307BF8" w:rsidRDefault="00307BF8" w:rsidP="00B87756">
            <w:pPr>
              <w:spacing w:after="0" w:line="360" w:lineRule="auto"/>
              <w:jc w:val="center"/>
              <w:rPr>
                <w:rFonts w:ascii="Times New Roman" w:eastAsia="Times New Roman" w:hAnsi="Times New Roman" w:cs="Times New Roman"/>
                <w:color w:val="000000"/>
                <w:lang w:eastAsia="pt-BR"/>
              </w:rPr>
            </w:pPr>
            <w:r>
              <w:rPr>
                <w:rFonts w:ascii="Times New Roman" w:eastAsia="Times New Roman" w:hAnsi="Times New Roman" w:cs="Times New Roman"/>
                <w:color w:val="000000"/>
                <w:lang w:eastAsia="pt-BR"/>
              </w:rPr>
              <w:t>CYP1A2, CYP2D6 e CYP3A4</w:t>
            </w:r>
          </w:p>
        </w:tc>
        <w:tc>
          <w:tcPr>
            <w:tcW w:w="2028" w:type="dxa"/>
            <w:noWrap/>
            <w:vAlign w:val="bottom"/>
            <w:hideMark/>
          </w:tcPr>
          <w:p w14:paraId="1E2E4B53" w14:textId="77777777" w:rsidR="00307BF8" w:rsidRDefault="00307BF8" w:rsidP="00B87756">
            <w:pPr>
              <w:spacing w:after="0" w:line="360" w:lineRule="auto"/>
              <w:jc w:val="center"/>
              <w:rPr>
                <w:rFonts w:ascii="Times New Roman" w:eastAsia="Times New Roman" w:hAnsi="Times New Roman" w:cs="Times New Roman"/>
                <w:color w:val="000000"/>
                <w:lang w:eastAsia="pt-BR"/>
              </w:rPr>
            </w:pPr>
            <w:r>
              <w:rPr>
                <w:rFonts w:ascii="Times New Roman" w:eastAsia="Times New Roman" w:hAnsi="Times New Roman" w:cs="Times New Roman"/>
                <w:color w:val="000000"/>
                <w:lang w:eastAsia="pt-BR"/>
              </w:rPr>
              <w:t>Não</w:t>
            </w:r>
          </w:p>
          <w:p w14:paraId="710C62ED" w14:textId="77777777" w:rsidR="00307BF8" w:rsidRDefault="00307BF8" w:rsidP="00B87756">
            <w:pPr>
              <w:spacing w:after="0" w:line="360" w:lineRule="auto"/>
              <w:jc w:val="center"/>
              <w:rPr>
                <w:rFonts w:ascii="Times New Roman" w:eastAsia="Times New Roman" w:hAnsi="Times New Roman" w:cs="Times New Roman"/>
                <w:color w:val="000000"/>
                <w:lang w:eastAsia="pt-BR"/>
              </w:rPr>
            </w:pPr>
          </w:p>
          <w:p w14:paraId="033C1726" w14:textId="77777777" w:rsidR="00307BF8" w:rsidRDefault="00307BF8" w:rsidP="00B87756">
            <w:pPr>
              <w:spacing w:after="0" w:line="360" w:lineRule="auto"/>
              <w:jc w:val="center"/>
              <w:rPr>
                <w:rFonts w:ascii="Times New Roman" w:eastAsia="Times New Roman" w:hAnsi="Times New Roman" w:cs="Times New Roman"/>
                <w:color w:val="000000"/>
                <w:lang w:eastAsia="pt-BR"/>
              </w:rPr>
            </w:pPr>
          </w:p>
        </w:tc>
      </w:tr>
      <w:tr w:rsidR="00307BF8" w14:paraId="600DD0E2" w14:textId="77777777" w:rsidTr="00A24E2C">
        <w:trPr>
          <w:trHeight w:val="312"/>
          <w:jc w:val="center"/>
        </w:trPr>
        <w:tc>
          <w:tcPr>
            <w:tcW w:w="1622" w:type="dxa"/>
            <w:tcBorders>
              <w:top w:val="nil"/>
              <w:left w:val="nil"/>
              <w:bottom w:val="single" w:sz="4" w:space="0" w:color="auto"/>
              <w:right w:val="nil"/>
            </w:tcBorders>
            <w:noWrap/>
            <w:vAlign w:val="bottom"/>
          </w:tcPr>
          <w:p w14:paraId="3B971FB6" w14:textId="77777777" w:rsidR="00307BF8" w:rsidRDefault="00307BF8" w:rsidP="00B87756">
            <w:pPr>
              <w:spacing w:after="0" w:line="360" w:lineRule="auto"/>
              <w:jc w:val="center"/>
              <w:rPr>
                <w:rFonts w:ascii="Times New Roman" w:eastAsia="Times New Roman" w:hAnsi="Times New Roman" w:cs="Times New Roman"/>
                <w:color w:val="000000"/>
                <w:lang w:eastAsia="pt-BR"/>
              </w:rPr>
            </w:pPr>
          </w:p>
          <w:p w14:paraId="2FA85BB1" w14:textId="77777777" w:rsidR="00307BF8" w:rsidRDefault="00307BF8" w:rsidP="00B87756">
            <w:pPr>
              <w:spacing w:after="0" w:line="360" w:lineRule="auto"/>
              <w:jc w:val="center"/>
              <w:rPr>
                <w:rFonts w:ascii="Times New Roman" w:eastAsia="Times New Roman" w:hAnsi="Times New Roman" w:cs="Times New Roman"/>
                <w:color w:val="000000"/>
                <w:lang w:eastAsia="pt-BR"/>
              </w:rPr>
            </w:pPr>
          </w:p>
          <w:p w14:paraId="68D24F38" w14:textId="77777777" w:rsidR="00307BF8" w:rsidRDefault="00307BF8" w:rsidP="00B87756">
            <w:pPr>
              <w:spacing w:after="0" w:line="360" w:lineRule="auto"/>
              <w:jc w:val="center"/>
              <w:rPr>
                <w:rFonts w:ascii="Times New Roman" w:eastAsia="Times New Roman" w:hAnsi="Times New Roman" w:cs="Times New Roman"/>
                <w:color w:val="000000"/>
                <w:lang w:eastAsia="pt-BR"/>
              </w:rPr>
            </w:pPr>
            <w:r>
              <w:rPr>
                <w:rFonts w:ascii="Times New Roman" w:eastAsia="Times New Roman" w:hAnsi="Times New Roman" w:cs="Times New Roman"/>
                <w:color w:val="000000"/>
                <w:lang w:eastAsia="pt-BR"/>
              </w:rPr>
              <w:t>Trigonelina</w:t>
            </w:r>
          </w:p>
          <w:p w14:paraId="673600D7" w14:textId="77777777" w:rsidR="00307BF8" w:rsidRDefault="00307BF8" w:rsidP="00B87756">
            <w:pPr>
              <w:spacing w:after="0" w:line="360" w:lineRule="auto"/>
              <w:jc w:val="center"/>
              <w:rPr>
                <w:rFonts w:ascii="Times New Roman" w:eastAsia="Times New Roman" w:hAnsi="Times New Roman" w:cs="Times New Roman"/>
                <w:color w:val="000000"/>
                <w:lang w:eastAsia="pt-BR"/>
              </w:rPr>
            </w:pPr>
          </w:p>
          <w:p w14:paraId="1DCB2EB8" w14:textId="77777777" w:rsidR="00307BF8" w:rsidRDefault="00307BF8" w:rsidP="00B87756">
            <w:pPr>
              <w:spacing w:after="0" w:line="360" w:lineRule="auto"/>
              <w:jc w:val="center"/>
              <w:rPr>
                <w:rFonts w:ascii="Times New Roman" w:eastAsia="Times New Roman" w:hAnsi="Times New Roman" w:cs="Times New Roman"/>
                <w:color w:val="000000"/>
                <w:lang w:eastAsia="pt-BR"/>
              </w:rPr>
            </w:pPr>
          </w:p>
        </w:tc>
        <w:tc>
          <w:tcPr>
            <w:tcW w:w="1697" w:type="dxa"/>
            <w:tcBorders>
              <w:top w:val="nil"/>
              <w:left w:val="nil"/>
              <w:bottom w:val="single" w:sz="4" w:space="0" w:color="auto"/>
              <w:right w:val="nil"/>
            </w:tcBorders>
            <w:noWrap/>
            <w:vAlign w:val="bottom"/>
            <w:hideMark/>
          </w:tcPr>
          <w:p w14:paraId="16CC10ED" w14:textId="77777777" w:rsidR="00307BF8" w:rsidRDefault="00307BF8" w:rsidP="00B87756">
            <w:pPr>
              <w:spacing w:after="0" w:line="360" w:lineRule="auto"/>
              <w:jc w:val="center"/>
              <w:rPr>
                <w:rFonts w:ascii="Times New Roman" w:eastAsia="Times New Roman" w:hAnsi="Times New Roman" w:cs="Times New Roman"/>
                <w:color w:val="000000"/>
                <w:lang w:eastAsia="pt-BR"/>
              </w:rPr>
            </w:pPr>
            <w:r>
              <w:rPr>
                <w:rFonts w:ascii="Times New Roman" w:eastAsia="Times New Roman" w:hAnsi="Times New Roman" w:cs="Times New Roman"/>
                <w:color w:val="000000"/>
                <w:lang w:eastAsia="pt-BR"/>
              </w:rPr>
              <w:t>Alta</w:t>
            </w:r>
          </w:p>
          <w:p w14:paraId="2DB223E6" w14:textId="77777777" w:rsidR="00307BF8" w:rsidRDefault="00307BF8" w:rsidP="00B87756">
            <w:pPr>
              <w:spacing w:after="0" w:line="360" w:lineRule="auto"/>
              <w:jc w:val="center"/>
              <w:rPr>
                <w:rFonts w:ascii="Times New Roman" w:eastAsia="Times New Roman" w:hAnsi="Times New Roman" w:cs="Times New Roman"/>
                <w:color w:val="000000"/>
                <w:lang w:eastAsia="pt-BR"/>
              </w:rPr>
            </w:pPr>
          </w:p>
          <w:p w14:paraId="2617F331" w14:textId="77777777" w:rsidR="00307BF8" w:rsidRDefault="00307BF8" w:rsidP="00B87756">
            <w:pPr>
              <w:spacing w:after="0" w:line="360" w:lineRule="auto"/>
              <w:jc w:val="center"/>
              <w:rPr>
                <w:rFonts w:ascii="Times New Roman" w:eastAsia="Times New Roman" w:hAnsi="Times New Roman" w:cs="Times New Roman"/>
                <w:color w:val="000000"/>
                <w:lang w:eastAsia="pt-BR"/>
              </w:rPr>
            </w:pPr>
          </w:p>
          <w:p w14:paraId="7FD960F5" w14:textId="77777777" w:rsidR="00307BF8" w:rsidRDefault="00307BF8" w:rsidP="00B87756">
            <w:pPr>
              <w:spacing w:after="0" w:line="360" w:lineRule="auto"/>
              <w:jc w:val="center"/>
              <w:rPr>
                <w:rFonts w:ascii="Times New Roman" w:eastAsia="Times New Roman" w:hAnsi="Times New Roman" w:cs="Times New Roman"/>
                <w:color w:val="000000"/>
                <w:lang w:eastAsia="pt-BR"/>
              </w:rPr>
            </w:pPr>
          </w:p>
        </w:tc>
        <w:tc>
          <w:tcPr>
            <w:tcW w:w="1622" w:type="dxa"/>
            <w:tcBorders>
              <w:top w:val="nil"/>
              <w:left w:val="nil"/>
              <w:bottom w:val="single" w:sz="4" w:space="0" w:color="auto"/>
              <w:right w:val="nil"/>
            </w:tcBorders>
            <w:noWrap/>
            <w:vAlign w:val="bottom"/>
            <w:hideMark/>
          </w:tcPr>
          <w:p w14:paraId="5169A61E" w14:textId="77777777" w:rsidR="00307BF8" w:rsidRDefault="00307BF8" w:rsidP="00B87756">
            <w:pPr>
              <w:spacing w:after="0" w:line="360" w:lineRule="auto"/>
              <w:jc w:val="center"/>
              <w:rPr>
                <w:rFonts w:ascii="Times New Roman" w:eastAsia="Times New Roman" w:hAnsi="Times New Roman" w:cs="Times New Roman"/>
                <w:color w:val="000000"/>
                <w:lang w:eastAsia="pt-BR"/>
              </w:rPr>
            </w:pPr>
            <w:r>
              <w:rPr>
                <w:rFonts w:ascii="Times New Roman" w:eastAsia="Times New Roman" w:hAnsi="Times New Roman" w:cs="Times New Roman"/>
                <w:color w:val="000000"/>
                <w:lang w:eastAsia="pt-BR"/>
              </w:rPr>
              <w:t>Sim; 0 violações</w:t>
            </w:r>
          </w:p>
          <w:p w14:paraId="5D16A457" w14:textId="77777777" w:rsidR="00307BF8" w:rsidRDefault="00307BF8" w:rsidP="00B87756">
            <w:pPr>
              <w:spacing w:after="0" w:line="360" w:lineRule="auto"/>
              <w:jc w:val="center"/>
              <w:rPr>
                <w:rFonts w:ascii="Times New Roman" w:eastAsia="Times New Roman" w:hAnsi="Times New Roman" w:cs="Times New Roman"/>
                <w:color w:val="000000"/>
                <w:lang w:eastAsia="pt-BR"/>
              </w:rPr>
            </w:pPr>
          </w:p>
          <w:p w14:paraId="48AB7678" w14:textId="77777777" w:rsidR="00307BF8" w:rsidRDefault="00307BF8" w:rsidP="00B87756">
            <w:pPr>
              <w:spacing w:after="0" w:line="360" w:lineRule="auto"/>
              <w:jc w:val="center"/>
              <w:rPr>
                <w:rFonts w:ascii="Times New Roman" w:eastAsia="Times New Roman" w:hAnsi="Times New Roman" w:cs="Times New Roman"/>
                <w:color w:val="000000"/>
                <w:lang w:eastAsia="pt-BR"/>
              </w:rPr>
            </w:pPr>
          </w:p>
          <w:p w14:paraId="74ECC3C4" w14:textId="77777777" w:rsidR="00307BF8" w:rsidRDefault="00307BF8" w:rsidP="00B87756">
            <w:pPr>
              <w:spacing w:after="0" w:line="360" w:lineRule="auto"/>
              <w:jc w:val="center"/>
              <w:rPr>
                <w:rFonts w:ascii="Times New Roman" w:eastAsia="Times New Roman" w:hAnsi="Times New Roman" w:cs="Times New Roman"/>
                <w:color w:val="000000"/>
                <w:lang w:eastAsia="pt-BR"/>
              </w:rPr>
            </w:pPr>
          </w:p>
        </w:tc>
        <w:tc>
          <w:tcPr>
            <w:tcW w:w="1622" w:type="dxa"/>
            <w:tcBorders>
              <w:top w:val="nil"/>
              <w:left w:val="nil"/>
              <w:bottom w:val="single" w:sz="4" w:space="0" w:color="auto"/>
              <w:right w:val="nil"/>
            </w:tcBorders>
            <w:noWrap/>
            <w:vAlign w:val="bottom"/>
            <w:hideMark/>
          </w:tcPr>
          <w:p w14:paraId="3A1F1ECE" w14:textId="77777777" w:rsidR="00307BF8" w:rsidRDefault="00307BF8" w:rsidP="00B87756">
            <w:pPr>
              <w:spacing w:after="0" w:line="360" w:lineRule="auto"/>
              <w:jc w:val="center"/>
              <w:rPr>
                <w:rFonts w:ascii="Times New Roman" w:eastAsia="Times New Roman" w:hAnsi="Times New Roman" w:cs="Times New Roman"/>
                <w:color w:val="000000"/>
                <w:lang w:eastAsia="pt-BR"/>
              </w:rPr>
            </w:pPr>
            <w:r>
              <w:rPr>
                <w:rFonts w:ascii="Times New Roman" w:eastAsia="Times New Roman" w:hAnsi="Times New Roman" w:cs="Times New Roman"/>
                <w:color w:val="000000"/>
                <w:lang w:eastAsia="pt-BR"/>
              </w:rPr>
              <w:t>Nenhum</w:t>
            </w:r>
          </w:p>
          <w:p w14:paraId="56ED8E31" w14:textId="77777777" w:rsidR="00307BF8" w:rsidRDefault="00307BF8" w:rsidP="00B87756">
            <w:pPr>
              <w:spacing w:after="0" w:line="360" w:lineRule="auto"/>
              <w:jc w:val="center"/>
              <w:rPr>
                <w:rFonts w:ascii="Times New Roman" w:eastAsia="Times New Roman" w:hAnsi="Times New Roman" w:cs="Times New Roman"/>
                <w:color w:val="000000"/>
                <w:lang w:eastAsia="pt-BR"/>
              </w:rPr>
            </w:pPr>
          </w:p>
          <w:p w14:paraId="7274C0F8" w14:textId="77777777" w:rsidR="00307BF8" w:rsidRDefault="00307BF8" w:rsidP="00B87756">
            <w:pPr>
              <w:spacing w:after="0" w:line="360" w:lineRule="auto"/>
              <w:jc w:val="center"/>
              <w:rPr>
                <w:rFonts w:ascii="Times New Roman" w:eastAsia="Times New Roman" w:hAnsi="Times New Roman" w:cs="Times New Roman"/>
                <w:color w:val="000000"/>
                <w:lang w:eastAsia="pt-BR"/>
              </w:rPr>
            </w:pPr>
          </w:p>
          <w:p w14:paraId="041BDBC4" w14:textId="77777777" w:rsidR="00307BF8" w:rsidRDefault="00307BF8" w:rsidP="00B87756">
            <w:pPr>
              <w:spacing w:after="0" w:line="360" w:lineRule="auto"/>
              <w:jc w:val="center"/>
              <w:rPr>
                <w:rFonts w:ascii="Times New Roman" w:eastAsia="Times New Roman" w:hAnsi="Times New Roman" w:cs="Times New Roman"/>
                <w:color w:val="000000"/>
                <w:lang w:eastAsia="pt-BR"/>
              </w:rPr>
            </w:pPr>
          </w:p>
        </w:tc>
        <w:tc>
          <w:tcPr>
            <w:tcW w:w="2028" w:type="dxa"/>
            <w:tcBorders>
              <w:top w:val="nil"/>
              <w:left w:val="nil"/>
              <w:bottom w:val="single" w:sz="4" w:space="0" w:color="auto"/>
              <w:right w:val="nil"/>
            </w:tcBorders>
            <w:noWrap/>
            <w:vAlign w:val="bottom"/>
            <w:hideMark/>
          </w:tcPr>
          <w:p w14:paraId="3BCA9072" w14:textId="77777777" w:rsidR="00307BF8" w:rsidRDefault="00307BF8" w:rsidP="00B87756">
            <w:pPr>
              <w:spacing w:after="0" w:line="360" w:lineRule="auto"/>
              <w:jc w:val="center"/>
              <w:rPr>
                <w:rFonts w:ascii="Times New Roman" w:eastAsia="Times New Roman" w:hAnsi="Times New Roman" w:cs="Times New Roman"/>
                <w:color w:val="000000"/>
                <w:lang w:eastAsia="pt-BR"/>
              </w:rPr>
            </w:pPr>
            <w:r>
              <w:rPr>
                <w:rFonts w:ascii="Times New Roman" w:eastAsia="Times New Roman" w:hAnsi="Times New Roman" w:cs="Times New Roman"/>
                <w:color w:val="000000"/>
                <w:lang w:eastAsia="pt-BR"/>
              </w:rPr>
              <w:t>Não</w:t>
            </w:r>
          </w:p>
          <w:p w14:paraId="65143FA0" w14:textId="77777777" w:rsidR="00307BF8" w:rsidRDefault="00307BF8" w:rsidP="00B87756">
            <w:pPr>
              <w:spacing w:after="0" w:line="360" w:lineRule="auto"/>
              <w:jc w:val="center"/>
              <w:rPr>
                <w:rFonts w:ascii="Times New Roman" w:eastAsia="Times New Roman" w:hAnsi="Times New Roman" w:cs="Times New Roman"/>
                <w:color w:val="000000"/>
                <w:lang w:eastAsia="pt-BR"/>
              </w:rPr>
            </w:pPr>
          </w:p>
          <w:p w14:paraId="54D9D1A3" w14:textId="77777777" w:rsidR="00307BF8" w:rsidRDefault="00307BF8" w:rsidP="00B87756">
            <w:pPr>
              <w:spacing w:after="0" w:line="360" w:lineRule="auto"/>
              <w:jc w:val="center"/>
              <w:rPr>
                <w:rFonts w:ascii="Times New Roman" w:eastAsia="Times New Roman" w:hAnsi="Times New Roman" w:cs="Times New Roman"/>
                <w:color w:val="000000"/>
                <w:lang w:eastAsia="pt-BR"/>
              </w:rPr>
            </w:pPr>
          </w:p>
          <w:p w14:paraId="434C455D" w14:textId="77777777" w:rsidR="00307BF8" w:rsidRDefault="00307BF8" w:rsidP="00B87756">
            <w:pPr>
              <w:spacing w:after="0" w:line="360" w:lineRule="auto"/>
              <w:jc w:val="center"/>
              <w:rPr>
                <w:rFonts w:ascii="Times New Roman" w:eastAsia="Times New Roman" w:hAnsi="Times New Roman" w:cs="Times New Roman"/>
                <w:color w:val="000000"/>
                <w:lang w:eastAsia="pt-BR"/>
              </w:rPr>
            </w:pPr>
          </w:p>
        </w:tc>
      </w:tr>
    </w:tbl>
    <w:p w14:paraId="7B6EE10F" w14:textId="60A1ACF9" w:rsidR="00307BF8" w:rsidRPr="00B276E2" w:rsidRDefault="00307BF8" w:rsidP="00B87756">
      <w:pPr>
        <w:spacing w:after="0" w:line="360" w:lineRule="auto"/>
        <w:jc w:val="both"/>
        <w:rPr>
          <w:rFonts w:ascii="Times New Roman" w:hAnsi="Times New Roman" w:cs="Times New Roman"/>
          <w:sz w:val="24"/>
          <w:szCs w:val="24"/>
        </w:rPr>
      </w:pPr>
      <w:bookmarkStart w:id="0" w:name="_Hlk100399173"/>
      <w:r>
        <w:rPr>
          <w:rFonts w:ascii="Times New Roman" w:hAnsi="Times New Roman" w:cs="Times New Roman"/>
          <w:sz w:val="24"/>
          <w:szCs w:val="24"/>
        </w:rPr>
        <w:t>Fonte:</w:t>
      </w:r>
      <w:r w:rsidR="00A128AC">
        <w:rPr>
          <w:rFonts w:ascii="Times New Roman" w:hAnsi="Times New Roman" w:cs="Times New Roman"/>
          <w:sz w:val="24"/>
          <w:szCs w:val="24"/>
        </w:rPr>
        <w:t xml:space="preserve"> PINTO, T. N. (2022)</w:t>
      </w:r>
    </w:p>
    <w:p w14:paraId="4FC47281" w14:textId="47041E11" w:rsidR="00307BF8" w:rsidRDefault="001B113A" w:rsidP="00B87756">
      <w:pPr>
        <w:spacing w:after="0" w:line="360" w:lineRule="auto"/>
        <w:ind w:firstLine="708"/>
        <w:jc w:val="both"/>
        <w:rPr>
          <w:rFonts w:ascii="Times New Roman" w:hAnsi="Times New Roman" w:cs="Times New Roman"/>
          <w:sz w:val="24"/>
          <w:szCs w:val="24"/>
        </w:rPr>
      </w:pPr>
      <w:bookmarkStart w:id="1" w:name="_Hlk100399106"/>
      <w:bookmarkEnd w:id="0"/>
      <w:r w:rsidRPr="00B276E2">
        <w:rPr>
          <w:rFonts w:ascii="Times New Roman" w:hAnsi="Times New Roman" w:cs="Times New Roman"/>
          <w:sz w:val="24"/>
          <w:szCs w:val="24"/>
        </w:rPr>
        <w:lastRenderedPageBreak/>
        <w:t xml:space="preserve">Além disso, como </w:t>
      </w:r>
      <w:r w:rsidR="003A2BA4" w:rsidRPr="00B276E2">
        <w:rPr>
          <w:rFonts w:ascii="Times New Roman" w:hAnsi="Times New Roman" w:cs="Times New Roman"/>
          <w:sz w:val="24"/>
          <w:szCs w:val="24"/>
        </w:rPr>
        <w:t>último</w:t>
      </w:r>
      <w:r w:rsidRPr="00B276E2">
        <w:rPr>
          <w:rFonts w:ascii="Times New Roman" w:hAnsi="Times New Roman" w:cs="Times New Roman"/>
          <w:sz w:val="24"/>
          <w:szCs w:val="24"/>
        </w:rPr>
        <w:t xml:space="preserve"> filtro de seleção, foram apurados os seus níveis de toxicidade</w:t>
      </w:r>
      <w:r w:rsidR="003A2BA4" w:rsidRPr="00B276E2">
        <w:rPr>
          <w:rFonts w:ascii="Times New Roman" w:hAnsi="Times New Roman" w:cs="Times New Roman"/>
          <w:sz w:val="24"/>
          <w:szCs w:val="24"/>
        </w:rPr>
        <w:t xml:space="preserve">, prováveis efeitos tóxicos e, finalmente, alvos de interesse para o estudo. Levando em consideração </w:t>
      </w:r>
      <w:r w:rsidR="00696228" w:rsidRPr="00B276E2">
        <w:rPr>
          <w:rFonts w:ascii="Times New Roman" w:hAnsi="Times New Roman" w:cs="Times New Roman"/>
          <w:sz w:val="24"/>
          <w:szCs w:val="24"/>
        </w:rPr>
        <w:t xml:space="preserve">os efeitos tóxicos possíveis e </w:t>
      </w:r>
      <w:r w:rsidR="003A2BA4" w:rsidRPr="00B276E2">
        <w:rPr>
          <w:rFonts w:ascii="Times New Roman" w:hAnsi="Times New Roman" w:cs="Times New Roman"/>
          <w:sz w:val="24"/>
          <w:szCs w:val="24"/>
        </w:rPr>
        <w:t>a prova DL</w:t>
      </w:r>
      <w:r w:rsidR="003A2BA4" w:rsidRPr="00857B05">
        <w:rPr>
          <w:rFonts w:ascii="Times New Roman" w:hAnsi="Times New Roman" w:cs="Times New Roman"/>
          <w:sz w:val="24"/>
          <w:szCs w:val="24"/>
          <w:vertAlign w:val="subscript"/>
        </w:rPr>
        <w:t>50</w:t>
      </w:r>
      <w:r w:rsidR="003A2BA4" w:rsidRPr="00B276E2">
        <w:rPr>
          <w:rFonts w:ascii="Times New Roman" w:hAnsi="Times New Roman" w:cs="Times New Roman"/>
          <w:sz w:val="24"/>
          <w:szCs w:val="24"/>
        </w:rPr>
        <w:t>,</w:t>
      </w:r>
      <w:r w:rsidR="00696228" w:rsidRPr="00B276E2">
        <w:rPr>
          <w:rFonts w:ascii="Times New Roman" w:hAnsi="Times New Roman" w:cs="Times New Roman"/>
          <w:sz w:val="24"/>
          <w:szCs w:val="24"/>
        </w:rPr>
        <w:t xml:space="preserve"> reduziu-se o número de compostos para 7</w:t>
      </w:r>
      <w:r w:rsidR="00371337">
        <w:rPr>
          <w:rFonts w:ascii="Times New Roman" w:hAnsi="Times New Roman" w:cs="Times New Roman"/>
          <w:sz w:val="24"/>
          <w:szCs w:val="24"/>
        </w:rPr>
        <w:t xml:space="preserve"> (Tabela 2)</w:t>
      </w:r>
      <w:r w:rsidR="00696228" w:rsidRPr="00B276E2">
        <w:rPr>
          <w:rFonts w:ascii="Times New Roman" w:hAnsi="Times New Roman" w:cs="Times New Roman"/>
          <w:sz w:val="24"/>
          <w:szCs w:val="24"/>
        </w:rPr>
        <w:t xml:space="preserve">. </w:t>
      </w:r>
    </w:p>
    <w:p w14:paraId="04025DB4" w14:textId="77777777" w:rsidR="00B87756" w:rsidRDefault="00B87756" w:rsidP="00B87756">
      <w:pPr>
        <w:spacing w:after="0" w:line="360" w:lineRule="auto"/>
        <w:ind w:firstLine="708"/>
        <w:jc w:val="both"/>
        <w:rPr>
          <w:rFonts w:ascii="Times New Roman" w:hAnsi="Times New Roman" w:cs="Times New Roman"/>
          <w:sz w:val="24"/>
          <w:szCs w:val="24"/>
        </w:rPr>
      </w:pPr>
    </w:p>
    <w:p w14:paraId="23BB771F" w14:textId="4BFFCC9A" w:rsidR="00307BF8" w:rsidRDefault="00307BF8" w:rsidP="00B87756">
      <w:pPr>
        <w:spacing w:after="0" w:line="360" w:lineRule="auto"/>
        <w:jc w:val="both"/>
        <w:rPr>
          <w:rFonts w:ascii="Times New Roman" w:hAnsi="Times New Roman" w:cs="Times New Roman"/>
          <w:sz w:val="24"/>
          <w:szCs w:val="24"/>
        </w:rPr>
      </w:pPr>
      <w:r w:rsidRPr="00DF22D1">
        <w:rPr>
          <w:rFonts w:ascii="Times New Roman" w:hAnsi="Times New Roman" w:cs="Times New Roman"/>
          <w:b/>
          <w:bCs/>
          <w:sz w:val="24"/>
          <w:szCs w:val="24"/>
        </w:rPr>
        <w:t>Tabela 2:</w:t>
      </w:r>
      <w:r>
        <w:rPr>
          <w:rFonts w:ascii="Times New Roman" w:hAnsi="Times New Roman" w:cs="Times New Roman"/>
          <w:sz w:val="24"/>
          <w:szCs w:val="24"/>
        </w:rPr>
        <w:t xml:space="preserve"> Compostos </w:t>
      </w:r>
      <w:r w:rsidR="009C45C1">
        <w:rPr>
          <w:rFonts w:ascii="Times New Roman" w:hAnsi="Times New Roman" w:cs="Times New Roman"/>
          <w:sz w:val="24"/>
          <w:szCs w:val="24"/>
        </w:rPr>
        <w:t xml:space="preserve">presentes na espécie </w:t>
      </w:r>
      <w:r w:rsidR="009C45C1">
        <w:rPr>
          <w:rFonts w:ascii="Times New Roman" w:hAnsi="Times New Roman" w:cs="Times New Roman"/>
          <w:i/>
          <w:iCs/>
          <w:sz w:val="24"/>
          <w:szCs w:val="24"/>
        </w:rPr>
        <w:t xml:space="preserve">Annona coriacea </w:t>
      </w:r>
      <w:r>
        <w:rPr>
          <w:rFonts w:ascii="Times New Roman" w:hAnsi="Times New Roman" w:cs="Times New Roman"/>
          <w:sz w:val="24"/>
          <w:szCs w:val="24"/>
        </w:rPr>
        <w:t xml:space="preserve">selecionados </w:t>
      </w:r>
      <w:r w:rsidR="00F40206">
        <w:rPr>
          <w:rFonts w:ascii="Times New Roman" w:hAnsi="Times New Roman" w:cs="Times New Roman"/>
          <w:sz w:val="24"/>
          <w:szCs w:val="24"/>
        </w:rPr>
        <w:t>após avaliação</w:t>
      </w:r>
      <w:r w:rsidR="009C45C1">
        <w:rPr>
          <w:rFonts w:ascii="Times New Roman" w:hAnsi="Times New Roman" w:cs="Times New Roman"/>
          <w:sz w:val="24"/>
          <w:szCs w:val="24"/>
        </w:rPr>
        <w:t xml:space="preserve"> de potencial tóxico</w:t>
      </w:r>
      <w:bookmarkEnd w:id="1"/>
      <w:r w:rsidR="009C45C1">
        <w:rPr>
          <w:rFonts w:ascii="Times New Roman" w:hAnsi="Times New Roman" w:cs="Times New Roman"/>
          <w:sz w:val="24"/>
          <w:szCs w:val="24"/>
        </w:rPr>
        <w:t>.</w:t>
      </w:r>
    </w:p>
    <w:tbl>
      <w:tblPr>
        <w:tblW w:w="9196" w:type="dxa"/>
        <w:tblCellMar>
          <w:left w:w="70" w:type="dxa"/>
          <w:right w:w="70" w:type="dxa"/>
        </w:tblCellMar>
        <w:tblLook w:val="04A0" w:firstRow="1" w:lastRow="0" w:firstColumn="1" w:lastColumn="0" w:noHBand="0" w:noVBand="1"/>
      </w:tblPr>
      <w:tblGrid>
        <w:gridCol w:w="1488"/>
        <w:gridCol w:w="1559"/>
        <w:gridCol w:w="6149"/>
      </w:tblGrid>
      <w:tr w:rsidR="00307BF8" w14:paraId="25BDF1B1" w14:textId="77777777" w:rsidTr="00A24E2C">
        <w:trPr>
          <w:trHeight w:val="408"/>
        </w:trPr>
        <w:tc>
          <w:tcPr>
            <w:tcW w:w="1488" w:type="dxa"/>
            <w:tcBorders>
              <w:top w:val="single" w:sz="4" w:space="0" w:color="auto"/>
              <w:left w:val="nil"/>
              <w:bottom w:val="single" w:sz="4" w:space="0" w:color="auto"/>
              <w:right w:val="nil"/>
            </w:tcBorders>
            <w:noWrap/>
            <w:vAlign w:val="bottom"/>
            <w:hideMark/>
          </w:tcPr>
          <w:p w14:paraId="7FDB3A1C" w14:textId="77777777" w:rsidR="00307BF8" w:rsidRDefault="00307BF8" w:rsidP="00B87756">
            <w:pPr>
              <w:spacing w:after="0" w:line="360" w:lineRule="auto"/>
              <w:rPr>
                <w:rFonts w:ascii="Times New Roman" w:eastAsia="Times New Roman" w:hAnsi="Times New Roman" w:cs="Times New Roman"/>
                <w:color w:val="000000"/>
                <w:lang w:eastAsia="pt-BR"/>
              </w:rPr>
            </w:pPr>
            <w:bookmarkStart w:id="2" w:name="_Hlk100399144"/>
            <w:r>
              <w:rPr>
                <w:rFonts w:ascii="Times New Roman" w:eastAsia="Times New Roman" w:hAnsi="Times New Roman" w:cs="Times New Roman"/>
                <w:color w:val="000000"/>
                <w:lang w:eastAsia="pt-BR"/>
              </w:rPr>
              <w:t>Composto</w:t>
            </w:r>
          </w:p>
          <w:p w14:paraId="1851414E" w14:textId="77777777" w:rsidR="00307BF8" w:rsidRDefault="00307BF8" w:rsidP="00B87756">
            <w:pPr>
              <w:spacing w:after="0" w:line="360" w:lineRule="auto"/>
              <w:rPr>
                <w:rFonts w:ascii="Times New Roman" w:eastAsia="Times New Roman" w:hAnsi="Times New Roman" w:cs="Times New Roman"/>
                <w:color w:val="000000"/>
                <w:lang w:eastAsia="pt-BR"/>
              </w:rPr>
            </w:pPr>
          </w:p>
          <w:p w14:paraId="00430E01" w14:textId="77777777" w:rsidR="00307BF8" w:rsidRDefault="00307BF8" w:rsidP="00B87756">
            <w:pPr>
              <w:spacing w:after="0" w:line="360" w:lineRule="auto"/>
              <w:jc w:val="center"/>
              <w:rPr>
                <w:rFonts w:ascii="Times New Roman" w:eastAsia="Times New Roman" w:hAnsi="Times New Roman" w:cs="Times New Roman"/>
                <w:color w:val="000000"/>
                <w:lang w:eastAsia="pt-BR"/>
              </w:rPr>
            </w:pPr>
          </w:p>
        </w:tc>
        <w:tc>
          <w:tcPr>
            <w:tcW w:w="1559" w:type="dxa"/>
            <w:tcBorders>
              <w:top w:val="single" w:sz="4" w:space="0" w:color="auto"/>
              <w:left w:val="nil"/>
              <w:bottom w:val="single" w:sz="4" w:space="0" w:color="auto"/>
              <w:right w:val="nil"/>
            </w:tcBorders>
            <w:noWrap/>
            <w:vAlign w:val="bottom"/>
            <w:hideMark/>
          </w:tcPr>
          <w:p w14:paraId="277CE67A" w14:textId="77777777" w:rsidR="00307BF8" w:rsidRDefault="00307BF8" w:rsidP="00B87756">
            <w:pPr>
              <w:spacing w:after="0" w:line="360" w:lineRule="auto"/>
              <w:jc w:val="center"/>
              <w:rPr>
                <w:rFonts w:ascii="Times New Roman" w:eastAsia="Times New Roman" w:hAnsi="Times New Roman" w:cs="Times New Roman"/>
                <w:color w:val="000000"/>
                <w:lang w:eastAsia="pt-BR"/>
              </w:rPr>
            </w:pPr>
          </w:p>
          <w:p w14:paraId="7DA28CF1" w14:textId="77777777" w:rsidR="00307BF8" w:rsidRDefault="00307BF8" w:rsidP="00B87756">
            <w:pPr>
              <w:spacing w:after="0" w:line="360" w:lineRule="auto"/>
              <w:jc w:val="center"/>
              <w:rPr>
                <w:rFonts w:ascii="Times New Roman" w:eastAsia="Times New Roman" w:hAnsi="Times New Roman" w:cs="Times New Roman"/>
                <w:color w:val="000000"/>
                <w:lang w:eastAsia="pt-BR"/>
              </w:rPr>
            </w:pPr>
            <w:r>
              <w:rPr>
                <w:rFonts w:ascii="Times New Roman" w:eastAsia="Times New Roman" w:hAnsi="Times New Roman" w:cs="Times New Roman"/>
                <w:color w:val="000000"/>
                <w:lang w:eastAsia="pt-BR"/>
              </w:rPr>
              <w:t>DL50</w:t>
            </w:r>
          </w:p>
          <w:p w14:paraId="6005F1BC" w14:textId="77777777" w:rsidR="00307BF8" w:rsidRDefault="00307BF8" w:rsidP="00B87756">
            <w:pPr>
              <w:spacing w:after="0" w:line="360" w:lineRule="auto"/>
              <w:jc w:val="center"/>
              <w:rPr>
                <w:rFonts w:ascii="Times New Roman" w:eastAsia="Times New Roman" w:hAnsi="Times New Roman" w:cs="Times New Roman"/>
                <w:color w:val="000000"/>
                <w:lang w:eastAsia="pt-BR"/>
              </w:rPr>
            </w:pPr>
          </w:p>
          <w:p w14:paraId="5F17A09F" w14:textId="77777777" w:rsidR="00307BF8" w:rsidRDefault="00307BF8" w:rsidP="00B87756">
            <w:pPr>
              <w:spacing w:after="0" w:line="360" w:lineRule="auto"/>
              <w:jc w:val="center"/>
              <w:rPr>
                <w:rFonts w:ascii="Times New Roman" w:eastAsia="Times New Roman" w:hAnsi="Times New Roman" w:cs="Times New Roman"/>
                <w:color w:val="000000"/>
                <w:lang w:eastAsia="pt-BR"/>
              </w:rPr>
            </w:pPr>
          </w:p>
        </w:tc>
        <w:tc>
          <w:tcPr>
            <w:tcW w:w="6149" w:type="dxa"/>
            <w:tcBorders>
              <w:top w:val="single" w:sz="4" w:space="0" w:color="auto"/>
              <w:left w:val="nil"/>
              <w:bottom w:val="single" w:sz="4" w:space="0" w:color="auto"/>
              <w:right w:val="nil"/>
            </w:tcBorders>
            <w:noWrap/>
            <w:vAlign w:val="bottom"/>
            <w:hideMark/>
          </w:tcPr>
          <w:p w14:paraId="2879E01C" w14:textId="77777777" w:rsidR="00307BF8" w:rsidRDefault="00307BF8" w:rsidP="00B87756">
            <w:pPr>
              <w:spacing w:after="0" w:line="360" w:lineRule="auto"/>
              <w:jc w:val="center"/>
              <w:rPr>
                <w:rFonts w:ascii="Times New Roman" w:eastAsia="Times New Roman" w:hAnsi="Times New Roman" w:cs="Times New Roman"/>
                <w:color w:val="000000"/>
                <w:lang w:eastAsia="pt-BR"/>
              </w:rPr>
            </w:pPr>
            <w:r>
              <w:rPr>
                <w:rFonts w:ascii="Times New Roman" w:eastAsia="Times New Roman" w:hAnsi="Times New Roman" w:cs="Times New Roman"/>
                <w:color w:val="000000"/>
                <w:lang w:eastAsia="pt-BR"/>
              </w:rPr>
              <w:t>Prováveis efeitos tóxicos</w:t>
            </w:r>
          </w:p>
          <w:p w14:paraId="66975EAC" w14:textId="77777777" w:rsidR="00307BF8" w:rsidRDefault="00307BF8" w:rsidP="00B87756">
            <w:pPr>
              <w:spacing w:after="0" w:line="360" w:lineRule="auto"/>
              <w:jc w:val="center"/>
              <w:rPr>
                <w:rFonts w:ascii="Times New Roman" w:eastAsia="Times New Roman" w:hAnsi="Times New Roman" w:cs="Times New Roman"/>
                <w:color w:val="000000"/>
                <w:lang w:eastAsia="pt-BR"/>
              </w:rPr>
            </w:pPr>
          </w:p>
          <w:p w14:paraId="5817D7C8" w14:textId="77777777" w:rsidR="00307BF8" w:rsidRDefault="00307BF8" w:rsidP="00B87756">
            <w:pPr>
              <w:spacing w:after="0" w:line="360" w:lineRule="auto"/>
              <w:jc w:val="center"/>
              <w:rPr>
                <w:rFonts w:ascii="Times New Roman" w:eastAsia="Times New Roman" w:hAnsi="Times New Roman" w:cs="Times New Roman"/>
                <w:color w:val="000000"/>
                <w:lang w:eastAsia="pt-BR"/>
              </w:rPr>
            </w:pPr>
          </w:p>
        </w:tc>
      </w:tr>
      <w:tr w:rsidR="00307BF8" w14:paraId="029F83B6" w14:textId="77777777" w:rsidTr="00A24E2C">
        <w:trPr>
          <w:trHeight w:val="408"/>
        </w:trPr>
        <w:tc>
          <w:tcPr>
            <w:tcW w:w="1488" w:type="dxa"/>
            <w:noWrap/>
            <w:vAlign w:val="bottom"/>
            <w:hideMark/>
          </w:tcPr>
          <w:p w14:paraId="02EDEB92" w14:textId="77777777" w:rsidR="00307BF8" w:rsidRDefault="00307BF8" w:rsidP="00B87756">
            <w:pPr>
              <w:spacing w:after="0" w:line="360" w:lineRule="auto"/>
              <w:jc w:val="center"/>
              <w:rPr>
                <w:rFonts w:ascii="Times New Roman" w:eastAsia="Times New Roman" w:hAnsi="Times New Roman" w:cs="Times New Roman"/>
                <w:color w:val="000000"/>
                <w:lang w:eastAsia="pt-BR"/>
              </w:rPr>
            </w:pPr>
          </w:p>
          <w:p w14:paraId="7C72F276" w14:textId="77777777" w:rsidR="00307BF8" w:rsidRDefault="00307BF8" w:rsidP="00B87756">
            <w:pPr>
              <w:spacing w:after="0" w:line="360" w:lineRule="auto"/>
              <w:jc w:val="center"/>
              <w:rPr>
                <w:rFonts w:ascii="Times New Roman" w:eastAsia="Times New Roman" w:hAnsi="Times New Roman" w:cs="Times New Roman"/>
                <w:color w:val="000000"/>
                <w:lang w:eastAsia="pt-BR"/>
              </w:rPr>
            </w:pPr>
            <w:r>
              <w:rPr>
                <w:rFonts w:ascii="Times New Roman" w:eastAsia="Times New Roman" w:hAnsi="Times New Roman" w:cs="Times New Roman"/>
                <w:color w:val="000000"/>
                <w:lang w:eastAsia="pt-BR"/>
              </w:rPr>
              <w:t>Ácido cafeíco</w:t>
            </w:r>
          </w:p>
          <w:p w14:paraId="60CCA270" w14:textId="77777777" w:rsidR="00307BF8" w:rsidRDefault="00307BF8" w:rsidP="00B87756">
            <w:pPr>
              <w:spacing w:after="0" w:line="360" w:lineRule="auto"/>
              <w:jc w:val="center"/>
              <w:rPr>
                <w:rFonts w:ascii="Times New Roman" w:eastAsia="Times New Roman" w:hAnsi="Times New Roman" w:cs="Times New Roman"/>
                <w:color w:val="000000"/>
                <w:lang w:eastAsia="pt-BR"/>
              </w:rPr>
            </w:pPr>
            <w:r>
              <w:rPr>
                <w:rFonts w:ascii="Times New Roman" w:eastAsia="Times New Roman" w:hAnsi="Times New Roman" w:cs="Times New Roman"/>
                <w:color w:val="000000"/>
                <w:lang w:eastAsia="pt-BR"/>
              </w:rPr>
              <w:t xml:space="preserve"> </w:t>
            </w:r>
          </w:p>
          <w:p w14:paraId="25808020" w14:textId="77777777" w:rsidR="00307BF8" w:rsidRDefault="00307BF8" w:rsidP="00B87756">
            <w:pPr>
              <w:spacing w:after="0" w:line="360" w:lineRule="auto"/>
              <w:jc w:val="center"/>
              <w:rPr>
                <w:rFonts w:ascii="Times New Roman" w:eastAsia="Times New Roman" w:hAnsi="Times New Roman" w:cs="Times New Roman"/>
                <w:color w:val="000000"/>
                <w:lang w:eastAsia="pt-BR"/>
              </w:rPr>
            </w:pPr>
          </w:p>
          <w:p w14:paraId="4DC01282" w14:textId="77777777" w:rsidR="00307BF8" w:rsidRDefault="00307BF8" w:rsidP="00B87756">
            <w:pPr>
              <w:spacing w:after="0" w:line="360" w:lineRule="auto"/>
              <w:jc w:val="center"/>
              <w:rPr>
                <w:rFonts w:ascii="Times New Roman" w:eastAsia="Times New Roman" w:hAnsi="Times New Roman" w:cs="Times New Roman"/>
                <w:color w:val="000000"/>
                <w:lang w:eastAsia="pt-BR"/>
              </w:rPr>
            </w:pPr>
          </w:p>
          <w:p w14:paraId="5C92D89F" w14:textId="77777777" w:rsidR="00307BF8" w:rsidRDefault="00307BF8" w:rsidP="00B87756">
            <w:pPr>
              <w:spacing w:after="0" w:line="360" w:lineRule="auto"/>
              <w:jc w:val="center"/>
              <w:rPr>
                <w:rFonts w:ascii="Times New Roman" w:eastAsia="Times New Roman" w:hAnsi="Times New Roman" w:cs="Times New Roman"/>
                <w:color w:val="000000"/>
                <w:lang w:eastAsia="pt-BR"/>
              </w:rPr>
            </w:pPr>
          </w:p>
        </w:tc>
        <w:tc>
          <w:tcPr>
            <w:tcW w:w="1559" w:type="dxa"/>
            <w:noWrap/>
            <w:vAlign w:val="bottom"/>
            <w:hideMark/>
          </w:tcPr>
          <w:p w14:paraId="088D2BF9" w14:textId="77777777" w:rsidR="00307BF8" w:rsidRDefault="00307BF8" w:rsidP="00B87756">
            <w:pPr>
              <w:spacing w:after="0" w:line="360" w:lineRule="auto"/>
              <w:jc w:val="center"/>
              <w:rPr>
                <w:rFonts w:ascii="Times New Roman" w:eastAsia="Times New Roman" w:hAnsi="Times New Roman" w:cs="Times New Roman"/>
                <w:color w:val="000000"/>
                <w:lang w:eastAsia="pt-BR"/>
              </w:rPr>
            </w:pPr>
            <w:r>
              <w:rPr>
                <w:rFonts w:ascii="Times New Roman" w:eastAsia="Times New Roman" w:hAnsi="Times New Roman" w:cs="Times New Roman"/>
                <w:color w:val="000000"/>
                <w:lang w:eastAsia="pt-BR"/>
              </w:rPr>
              <w:t>2980mg/kg - classe 5 de toxicidade</w:t>
            </w:r>
          </w:p>
          <w:p w14:paraId="2ADCABA0" w14:textId="77777777" w:rsidR="00307BF8" w:rsidRDefault="00307BF8" w:rsidP="00B87756">
            <w:pPr>
              <w:spacing w:after="0" w:line="360" w:lineRule="auto"/>
              <w:jc w:val="center"/>
              <w:rPr>
                <w:rFonts w:ascii="Times New Roman" w:eastAsia="Times New Roman" w:hAnsi="Times New Roman" w:cs="Times New Roman"/>
                <w:color w:val="000000"/>
                <w:lang w:eastAsia="pt-BR"/>
              </w:rPr>
            </w:pPr>
          </w:p>
          <w:p w14:paraId="6EB0ED7E" w14:textId="77777777" w:rsidR="00307BF8" w:rsidRDefault="00307BF8" w:rsidP="00B87756">
            <w:pPr>
              <w:spacing w:after="0" w:line="360" w:lineRule="auto"/>
              <w:jc w:val="center"/>
              <w:rPr>
                <w:rFonts w:ascii="Times New Roman" w:eastAsia="Times New Roman" w:hAnsi="Times New Roman" w:cs="Times New Roman"/>
                <w:color w:val="000000"/>
                <w:lang w:eastAsia="pt-BR"/>
              </w:rPr>
            </w:pPr>
          </w:p>
        </w:tc>
        <w:tc>
          <w:tcPr>
            <w:tcW w:w="6149" w:type="dxa"/>
            <w:noWrap/>
            <w:vAlign w:val="bottom"/>
            <w:hideMark/>
          </w:tcPr>
          <w:p w14:paraId="1493E8D9" w14:textId="77777777" w:rsidR="00307BF8" w:rsidRDefault="00307BF8" w:rsidP="00B87756">
            <w:pPr>
              <w:spacing w:after="0" w:line="360" w:lineRule="auto"/>
              <w:jc w:val="center"/>
              <w:rPr>
                <w:rFonts w:ascii="Times New Roman" w:eastAsia="Times New Roman" w:hAnsi="Times New Roman" w:cs="Times New Roman"/>
                <w:color w:val="000000"/>
                <w:lang w:eastAsia="pt-BR"/>
              </w:rPr>
            </w:pPr>
            <w:r>
              <w:rPr>
                <w:rFonts w:ascii="Times New Roman" w:eastAsia="Times New Roman" w:hAnsi="Times New Roman" w:cs="Times New Roman"/>
                <w:color w:val="000000"/>
                <w:lang w:eastAsia="pt-BR"/>
              </w:rPr>
              <w:t>Hepatotoxicidade, carcinogenicidade, imunotoxicidade e inibição do receptor de andrógeno (AR)</w:t>
            </w:r>
          </w:p>
          <w:p w14:paraId="095879DE" w14:textId="77777777" w:rsidR="00307BF8" w:rsidRDefault="00307BF8" w:rsidP="00B87756">
            <w:pPr>
              <w:spacing w:after="0" w:line="360" w:lineRule="auto"/>
              <w:jc w:val="center"/>
              <w:rPr>
                <w:rFonts w:ascii="Times New Roman" w:eastAsia="Times New Roman" w:hAnsi="Times New Roman" w:cs="Times New Roman"/>
                <w:color w:val="000000"/>
                <w:lang w:eastAsia="pt-BR"/>
              </w:rPr>
            </w:pPr>
          </w:p>
          <w:p w14:paraId="2247F37F" w14:textId="77777777" w:rsidR="00307BF8" w:rsidRDefault="00307BF8" w:rsidP="00B87756">
            <w:pPr>
              <w:spacing w:after="0" w:line="360" w:lineRule="auto"/>
              <w:jc w:val="center"/>
              <w:rPr>
                <w:rFonts w:ascii="Times New Roman" w:eastAsia="Times New Roman" w:hAnsi="Times New Roman" w:cs="Times New Roman"/>
                <w:color w:val="000000"/>
                <w:lang w:eastAsia="pt-BR"/>
              </w:rPr>
            </w:pPr>
          </w:p>
          <w:p w14:paraId="3D550B4E" w14:textId="77777777" w:rsidR="00307BF8" w:rsidRDefault="00307BF8" w:rsidP="00B87756">
            <w:pPr>
              <w:spacing w:after="0" w:line="360" w:lineRule="auto"/>
              <w:jc w:val="center"/>
              <w:rPr>
                <w:rFonts w:ascii="Times New Roman" w:eastAsia="Times New Roman" w:hAnsi="Times New Roman" w:cs="Times New Roman"/>
                <w:color w:val="000000"/>
                <w:lang w:eastAsia="pt-BR"/>
              </w:rPr>
            </w:pPr>
          </w:p>
        </w:tc>
      </w:tr>
      <w:tr w:rsidR="00307BF8" w14:paraId="1A27CDB1" w14:textId="77777777" w:rsidTr="00A24E2C">
        <w:trPr>
          <w:trHeight w:val="408"/>
        </w:trPr>
        <w:tc>
          <w:tcPr>
            <w:tcW w:w="1488" w:type="dxa"/>
            <w:noWrap/>
            <w:vAlign w:val="bottom"/>
            <w:hideMark/>
          </w:tcPr>
          <w:p w14:paraId="3C8C7E76" w14:textId="77777777" w:rsidR="00307BF8" w:rsidRDefault="00307BF8" w:rsidP="00B87756">
            <w:pPr>
              <w:spacing w:after="0" w:line="360" w:lineRule="auto"/>
              <w:jc w:val="center"/>
              <w:rPr>
                <w:rFonts w:ascii="Times New Roman" w:eastAsia="Times New Roman" w:hAnsi="Times New Roman" w:cs="Times New Roman"/>
                <w:color w:val="000000"/>
                <w:lang w:eastAsia="pt-BR"/>
              </w:rPr>
            </w:pPr>
            <w:r>
              <w:rPr>
                <w:rFonts w:ascii="Times New Roman" w:eastAsia="Times New Roman" w:hAnsi="Times New Roman" w:cs="Times New Roman"/>
                <w:color w:val="000000"/>
                <w:lang w:eastAsia="pt-BR"/>
              </w:rPr>
              <w:t>Ácido elágico</w:t>
            </w:r>
          </w:p>
          <w:p w14:paraId="74DC4830" w14:textId="77777777" w:rsidR="00307BF8" w:rsidRDefault="00307BF8" w:rsidP="00B87756">
            <w:pPr>
              <w:spacing w:after="0" w:line="360" w:lineRule="auto"/>
              <w:jc w:val="center"/>
              <w:rPr>
                <w:rFonts w:ascii="Times New Roman" w:eastAsia="Times New Roman" w:hAnsi="Times New Roman" w:cs="Times New Roman"/>
                <w:color w:val="000000"/>
                <w:lang w:eastAsia="pt-BR"/>
              </w:rPr>
            </w:pPr>
          </w:p>
          <w:p w14:paraId="41CA49AE" w14:textId="77777777" w:rsidR="00307BF8" w:rsidRDefault="00307BF8" w:rsidP="00B87756">
            <w:pPr>
              <w:spacing w:after="0" w:line="360" w:lineRule="auto"/>
              <w:jc w:val="center"/>
              <w:rPr>
                <w:rFonts w:ascii="Times New Roman" w:eastAsia="Times New Roman" w:hAnsi="Times New Roman" w:cs="Times New Roman"/>
                <w:color w:val="000000"/>
                <w:lang w:eastAsia="pt-BR"/>
              </w:rPr>
            </w:pPr>
          </w:p>
          <w:p w14:paraId="087975F3" w14:textId="77777777" w:rsidR="00307BF8" w:rsidRDefault="00307BF8" w:rsidP="00B87756">
            <w:pPr>
              <w:spacing w:after="0" w:line="360" w:lineRule="auto"/>
              <w:jc w:val="center"/>
              <w:rPr>
                <w:rFonts w:ascii="Times New Roman" w:eastAsia="Times New Roman" w:hAnsi="Times New Roman" w:cs="Times New Roman"/>
                <w:color w:val="000000"/>
                <w:lang w:eastAsia="pt-BR"/>
              </w:rPr>
            </w:pPr>
          </w:p>
          <w:p w14:paraId="36AEA7AC" w14:textId="77777777" w:rsidR="00307BF8" w:rsidRDefault="00307BF8" w:rsidP="00B87756">
            <w:pPr>
              <w:spacing w:after="0" w:line="360" w:lineRule="auto"/>
              <w:jc w:val="center"/>
              <w:rPr>
                <w:rFonts w:ascii="Times New Roman" w:eastAsia="Times New Roman" w:hAnsi="Times New Roman" w:cs="Times New Roman"/>
                <w:color w:val="000000"/>
                <w:lang w:eastAsia="pt-BR"/>
              </w:rPr>
            </w:pPr>
          </w:p>
        </w:tc>
        <w:tc>
          <w:tcPr>
            <w:tcW w:w="1559" w:type="dxa"/>
            <w:noWrap/>
            <w:vAlign w:val="bottom"/>
            <w:hideMark/>
          </w:tcPr>
          <w:p w14:paraId="65633465" w14:textId="77777777" w:rsidR="00307BF8" w:rsidRDefault="00307BF8" w:rsidP="00B87756">
            <w:pPr>
              <w:spacing w:after="0" w:line="360" w:lineRule="auto"/>
              <w:jc w:val="center"/>
              <w:rPr>
                <w:rFonts w:ascii="Times New Roman" w:eastAsia="Times New Roman" w:hAnsi="Times New Roman" w:cs="Times New Roman"/>
                <w:color w:val="000000"/>
                <w:lang w:eastAsia="pt-BR"/>
              </w:rPr>
            </w:pPr>
            <w:r>
              <w:rPr>
                <w:rFonts w:ascii="Times New Roman" w:eastAsia="Times New Roman" w:hAnsi="Times New Roman" w:cs="Times New Roman"/>
                <w:color w:val="000000"/>
                <w:lang w:eastAsia="pt-BR"/>
              </w:rPr>
              <w:t>2991mg/kg - classe 4 de toxicidade</w:t>
            </w:r>
          </w:p>
          <w:p w14:paraId="29DDE866" w14:textId="77777777" w:rsidR="00307BF8" w:rsidRDefault="00307BF8" w:rsidP="00B87756">
            <w:pPr>
              <w:spacing w:after="0" w:line="360" w:lineRule="auto"/>
              <w:jc w:val="center"/>
              <w:rPr>
                <w:rFonts w:ascii="Times New Roman" w:eastAsia="Times New Roman" w:hAnsi="Times New Roman" w:cs="Times New Roman"/>
                <w:color w:val="000000"/>
                <w:lang w:eastAsia="pt-BR"/>
              </w:rPr>
            </w:pPr>
          </w:p>
          <w:p w14:paraId="41296580" w14:textId="77777777" w:rsidR="00307BF8" w:rsidRDefault="00307BF8" w:rsidP="00B87756">
            <w:pPr>
              <w:spacing w:after="0" w:line="360" w:lineRule="auto"/>
              <w:jc w:val="center"/>
              <w:rPr>
                <w:rFonts w:ascii="Times New Roman" w:eastAsia="Times New Roman" w:hAnsi="Times New Roman" w:cs="Times New Roman"/>
                <w:color w:val="000000"/>
                <w:lang w:eastAsia="pt-BR"/>
              </w:rPr>
            </w:pPr>
          </w:p>
        </w:tc>
        <w:tc>
          <w:tcPr>
            <w:tcW w:w="6149" w:type="dxa"/>
            <w:noWrap/>
            <w:vAlign w:val="bottom"/>
            <w:hideMark/>
          </w:tcPr>
          <w:p w14:paraId="6C27AE2C" w14:textId="77777777" w:rsidR="00307BF8" w:rsidRDefault="00307BF8" w:rsidP="00B87756">
            <w:pPr>
              <w:spacing w:after="0" w:line="360" w:lineRule="auto"/>
              <w:jc w:val="center"/>
              <w:rPr>
                <w:rFonts w:ascii="Times New Roman" w:eastAsia="Times New Roman" w:hAnsi="Times New Roman" w:cs="Times New Roman"/>
                <w:color w:val="000000"/>
                <w:lang w:eastAsia="pt-BR"/>
              </w:rPr>
            </w:pPr>
            <w:r>
              <w:rPr>
                <w:rFonts w:ascii="Times New Roman" w:eastAsia="Times New Roman" w:hAnsi="Times New Roman" w:cs="Times New Roman"/>
                <w:color w:val="000000"/>
                <w:lang w:eastAsia="pt-BR"/>
              </w:rPr>
              <w:t>Carcinogenicidade</w:t>
            </w:r>
          </w:p>
          <w:p w14:paraId="4951C38C" w14:textId="77777777" w:rsidR="00307BF8" w:rsidRDefault="00307BF8" w:rsidP="00B87756">
            <w:pPr>
              <w:spacing w:after="0" w:line="360" w:lineRule="auto"/>
              <w:jc w:val="center"/>
              <w:rPr>
                <w:rFonts w:ascii="Times New Roman" w:eastAsia="Times New Roman" w:hAnsi="Times New Roman" w:cs="Times New Roman"/>
                <w:color w:val="000000"/>
                <w:lang w:eastAsia="pt-BR"/>
              </w:rPr>
            </w:pPr>
          </w:p>
          <w:p w14:paraId="60C7AB8C" w14:textId="77777777" w:rsidR="00307BF8" w:rsidRDefault="00307BF8" w:rsidP="00B87756">
            <w:pPr>
              <w:spacing w:after="0" w:line="360" w:lineRule="auto"/>
              <w:jc w:val="center"/>
              <w:rPr>
                <w:rFonts w:ascii="Times New Roman" w:eastAsia="Times New Roman" w:hAnsi="Times New Roman" w:cs="Times New Roman"/>
                <w:color w:val="000000"/>
                <w:lang w:eastAsia="pt-BR"/>
              </w:rPr>
            </w:pPr>
          </w:p>
          <w:p w14:paraId="670D03F5" w14:textId="77777777" w:rsidR="00307BF8" w:rsidRDefault="00307BF8" w:rsidP="00B87756">
            <w:pPr>
              <w:spacing w:after="0" w:line="360" w:lineRule="auto"/>
              <w:jc w:val="center"/>
              <w:rPr>
                <w:rFonts w:ascii="Times New Roman" w:eastAsia="Times New Roman" w:hAnsi="Times New Roman" w:cs="Times New Roman"/>
                <w:color w:val="000000"/>
                <w:lang w:eastAsia="pt-BR"/>
              </w:rPr>
            </w:pPr>
          </w:p>
          <w:p w14:paraId="795DAFA2" w14:textId="77777777" w:rsidR="00307BF8" w:rsidRDefault="00307BF8" w:rsidP="00B87756">
            <w:pPr>
              <w:spacing w:after="0" w:line="360" w:lineRule="auto"/>
              <w:jc w:val="center"/>
              <w:rPr>
                <w:rFonts w:ascii="Times New Roman" w:eastAsia="Times New Roman" w:hAnsi="Times New Roman" w:cs="Times New Roman"/>
                <w:color w:val="000000"/>
                <w:lang w:eastAsia="pt-BR"/>
              </w:rPr>
            </w:pPr>
          </w:p>
        </w:tc>
      </w:tr>
      <w:tr w:rsidR="00307BF8" w14:paraId="4D20FD5E" w14:textId="77777777" w:rsidTr="00A24E2C">
        <w:trPr>
          <w:trHeight w:val="408"/>
        </w:trPr>
        <w:tc>
          <w:tcPr>
            <w:tcW w:w="1488" w:type="dxa"/>
            <w:noWrap/>
            <w:vAlign w:val="bottom"/>
            <w:hideMark/>
          </w:tcPr>
          <w:p w14:paraId="040AD240" w14:textId="77777777" w:rsidR="00307BF8" w:rsidRDefault="00307BF8" w:rsidP="00B87756">
            <w:pPr>
              <w:spacing w:after="0" w:line="360" w:lineRule="auto"/>
              <w:jc w:val="center"/>
              <w:rPr>
                <w:rFonts w:ascii="Times New Roman" w:eastAsia="Times New Roman" w:hAnsi="Times New Roman" w:cs="Times New Roman"/>
                <w:color w:val="000000"/>
                <w:lang w:eastAsia="pt-BR"/>
              </w:rPr>
            </w:pPr>
            <w:r>
              <w:rPr>
                <w:rFonts w:ascii="Times New Roman" w:eastAsia="Times New Roman" w:hAnsi="Times New Roman" w:cs="Times New Roman"/>
                <w:color w:val="000000"/>
                <w:lang w:eastAsia="pt-BR"/>
              </w:rPr>
              <w:t>Ácido gálico</w:t>
            </w:r>
          </w:p>
          <w:p w14:paraId="2E3097A6" w14:textId="77777777" w:rsidR="00307BF8" w:rsidRDefault="00307BF8" w:rsidP="00B87756">
            <w:pPr>
              <w:spacing w:after="0" w:line="360" w:lineRule="auto"/>
              <w:jc w:val="center"/>
              <w:rPr>
                <w:rFonts w:ascii="Times New Roman" w:eastAsia="Times New Roman" w:hAnsi="Times New Roman" w:cs="Times New Roman"/>
                <w:color w:val="000000"/>
                <w:lang w:eastAsia="pt-BR"/>
              </w:rPr>
            </w:pPr>
          </w:p>
          <w:p w14:paraId="19369033" w14:textId="77777777" w:rsidR="00307BF8" w:rsidRDefault="00307BF8" w:rsidP="00B87756">
            <w:pPr>
              <w:spacing w:after="0" w:line="360" w:lineRule="auto"/>
              <w:jc w:val="center"/>
              <w:rPr>
                <w:rFonts w:ascii="Times New Roman" w:eastAsia="Times New Roman" w:hAnsi="Times New Roman" w:cs="Times New Roman"/>
                <w:color w:val="000000"/>
                <w:lang w:eastAsia="pt-BR"/>
              </w:rPr>
            </w:pPr>
          </w:p>
          <w:p w14:paraId="5D46C6A6" w14:textId="77777777" w:rsidR="00307BF8" w:rsidRDefault="00307BF8" w:rsidP="00B87756">
            <w:pPr>
              <w:spacing w:after="0" w:line="360" w:lineRule="auto"/>
              <w:jc w:val="center"/>
              <w:rPr>
                <w:rFonts w:ascii="Times New Roman" w:eastAsia="Times New Roman" w:hAnsi="Times New Roman" w:cs="Times New Roman"/>
                <w:color w:val="000000"/>
                <w:lang w:eastAsia="pt-BR"/>
              </w:rPr>
            </w:pPr>
          </w:p>
          <w:p w14:paraId="7F3FAB23" w14:textId="77777777" w:rsidR="00307BF8" w:rsidRDefault="00307BF8" w:rsidP="00B87756">
            <w:pPr>
              <w:spacing w:after="0" w:line="360" w:lineRule="auto"/>
              <w:jc w:val="center"/>
              <w:rPr>
                <w:rFonts w:ascii="Times New Roman" w:eastAsia="Times New Roman" w:hAnsi="Times New Roman" w:cs="Times New Roman"/>
                <w:color w:val="000000"/>
                <w:lang w:eastAsia="pt-BR"/>
              </w:rPr>
            </w:pPr>
          </w:p>
        </w:tc>
        <w:tc>
          <w:tcPr>
            <w:tcW w:w="1559" w:type="dxa"/>
            <w:noWrap/>
            <w:vAlign w:val="bottom"/>
            <w:hideMark/>
          </w:tcPr>
          <w:p w14:paraId="48955FF1" w14:textId="77777777" w:rsidR="00307BF8" w:rsidRDefault="00307BF8" w:rsidP="00B87756">
            <w:pPr>
              <w:spacing w:after="0" w:line="360" w:lineRule="auto"/>
              <w:jc w:val="center"/>
              <w:rPr>
                <w:rFonts w:ascii="Times New Roman" w:eastAsia="Times New Roman" w:hAnsi="Times New Roman" w:cs="Times New Roman"/>
                <w:color w:val="000000"/>
                <w:lang w:eastAsia="pt-BR"/>
              </w:rPr>
            </w:pPr>
            <w:r>
              <w:rPr>
                <w:rFonts w:ascii="Times New Roman" w:eastAsia="Times New Roman" w:hAnsi="Times New Roman" w:cs="Times New Roman"/>
                <w:color w:val="000000"/>
                <w:lang w:eastAsia="pt-BR"/>
              </w:rPr>
              <w:t>2000mg/kg - classe 4 de toxicidade</w:t>
            </w:r>
          </w:p>
          <w:p w14:paraId="258E6EB4" w14:textId="77777777" w:rsidR="00307BF8" w:rsidRDefault="00307BF8" w:rsidP="00B87756">
            <w:pPr>
              <w:spacing w:after="0" w:line="360" w:lineRule="auto"/>
              <w:jc w:val="center"/>
              <w:rPr>
                <w:rFonts w:ascii="Times New Roman" w:eastAsia="Times New Roman" w:hAnsi="Times New Roman" w:cs="Times New Roman"/>
                <w:color w:val="000000"/>
                <w:lang w:eastAsia="pt-BR"/>
              </w:rPr>
            </w:pPr>
          </w:p>
          <w:p w14:paraId="6439B42C" w14:textId="77777777" w:rsidR="00307BF8" w:rsidRDefault="00307BF8" w:rsidP="00B87756">
            <w:pPr>
              <w:spacing w:after="0" w:line="360" w:lineRule="auto"/>
              <w:jc w:val="center"/>
              <w:rPr>
                <w:rFonts w:ascii="Times New Roman" w:eastAsia="Times New Roman" w:hAnsi="Times New Roman" w:cs="Times New Roman"/>
                <w:color w:val="000000"/>
                <w:lang w:eastAsia="pt-BR"/>
              </w:rPr>
            </w:pPr>
          </w:p>
        </w:tc>
        <w:tc>
          <w:tcPr>
            <w:tcW w:w="6149" w:type="dxa"/>
            <w:noWrap/>
            <w:vAlign w:val="bottom"/>
            <w:hideMark/>
          </w:tcPr>
          <w:p w14:paraId="14C1F273" w14:textId="77777777" w:rsidR="00307BF8" w:rsidRDefault="00307BF8" w:rsidP="00B87756">
            <w:pPr>
              <w:spacing w:after="0" w:line="360" w:lineRule="auto"/>
              <w:jc w:val="center"/>
              <w:rPr>
                <w:rFonts w:ascii="Times New Roman" w:eastAsia="Times New Roman" w:hAnsi="Times New Roman" w:cs="Times New Roman"/>
                <w:color w:val="000000"/>
                <w:lang w:eastAsia="pt-BR"/>
              </w:rPr>
            </w:pPr>
            <w:r>
              <w:rPr>
                <w:rFonts w:ascii="Times New Roman" w:eastAsia="Times New Roman" w:hAnsi="Times New Roman" w:cs="Times New Roman"/>
                <w:color w:val="000000"/>
                <w:lang w:eastAsia="pt-BR"/>
              </w:rPr>
              <w:t>Hepatotoxicidade e carcinogenicidade</w:t>
            </w:r>
          </w:p>
          <w:p w14:paraId="6F7EDFEB" w14:textId="77777777" w:rsidR="00307BF8" w:rsidRDefault="00307BF8" w:rsidP="00B87756">
            <w:pPr>
              <w:spacing w:after="0" w:line="360" w:lineRule="auto"/>
              <w:jc w:val="center"/>
              <w:rPr>
                <w:rFonts w:ascii="Times New Roman" w:eastAsia="Times New Roman" w:hAnsi="Times New Roman" w:cs="Times New Roman"/>
                <w:color w:val="000000"/>
                <w:lang w:eastAsia="pt-BR"/>
              </w:rPr>
            </w:pPr>
          </w:p>
          <w:p w14:paraId="716138C6" w14:textId="77777777" w:rsidR="00307BF8" w:rsidRDefault="00307BF8" w:rsidP="00B87756">
            <w:pPr>
              <w:spacing w:after="0" w:line="360" w:lineRule="auto"/>
              <w:jc w:val="center"/>
              <w:rPr>
                <w:rFonts w:ascii="Times New Roman" w:eastAsia="Times New Roman" w:hAnsi="Times New Roman" w:cs="Times New Roman"/>
                <w:color w:val="000000"/>
                <w:lang w:eastAsia="pt-BR"/>
              </w:rPr>
            </w:pPr>
          </w:p>
          <w:p w14:paraId="39CBEE41" w14:textId="77777777" w:rsidR="00307BF8" w:rsidRDefault="00307BF8" w:rsidP="00B87756">
            <w:pPr>
              <w:spacing w:after="0" w:line="360" w:lineRule="auto"/>
              <w:jc w:val="center"/>
              <w:rPr>
                <w:rFonts w:ascii="Times New Roman" w:eastAsia="Times New Roman" w:hAnsi="Times New Roman" w:cs="Times New Roman"/>
                <w:color w:val="000000"/>
                <w:lang w:eastAsia="pt-BR"/>
              </w:rPr>
            </w:pPr>
          </w:p>
          <w:p w14:paraId="5F8003DC" w14:textId="77777777" w:rsidR="00307BF8" w:rsidRDefault="00307BF8" w:rsidP="00B87756">
            <w:pPr>
              <w:spacing w:after="0" w:line="360" w:lineRule="auto"/>
              <w:jc w:val="center"/>
              <w:rPr>
                <w:rFonts w:ascii="Times New Roman" w:eastAsia="Times New Roman" w:hAnsi="Times New Roman" w:cs="Times New Roman"/>
                <w:color w:val="000000"/>
                <w:lang w:eastAsia="pt-BR"/>
              </w:rPr>
            </w:pPr>
          </w:p>
        </w:tc>
      </w:tr>
      <w:tr w:rsidR="00307BF8" w14:paraId="19C5DD1D" w14:textId="77777777" w:rsidTr="00A24E2C">
        <w:trPr>
          <w:trHeight w:val="1921"/>
        </w:trPr>
        <w:tc>
          <w:tcPr>
            <w:tcW w:w="1488" w:type="dxa"/>
            <w:noWrap/>
            <w:vAlign w:val="bottom"/>
            <w:hideMark/>
          </w:tcPr>
          <w:p w14:paraId="05A4CEF3" w14:textId="77777777" w:rsidR="00307BF8" w:rsidRDefault="00307BF8" w:rsidP="00B87756">
            <w:pPr>
              <w:spacing w:after="0" w:line="360" w:lineRule="auto"/>
              <w:rPr>
                <w:rFonts w:ascii="Times New Roman" w:eastAsia="Times New Roman" w:hAnsi="Times New Roman" w:cs="Times New Roman"/>
                <w:color w:val="000000"/>
                <w:lang w:eastAsia="pt-BR"/>
              </w:rPr>
            </w:pPr>
            <w:r>
              <w:rPr>
                <w:rFonts w:ascii="Times New Roman" w:eastAsia="Times New Roman" w:hAnsi="Times New Roman" w:cs="Times New Roman"/>
                <w:color w:val="000000"/>
                <w:lang w:eastAsia="pt-BR"/>
              </w:rPr>
              <w:t>Catequina</w:t>
            </w:r>
          </w:p>
          <w:p w14:paraId="1EA404EA" w14:textId="77777777" w:rsidR="00307BF8" w:rsidRDefault="00307BF8" w:rsidP="00B87756">
            <w:pPr>
              <w:spacing w:after="0" w:line="360" w:lineRule="auto"/>
              <w:rPr>
                <w:rFonts w:ascii="Times New Roman" w:eastAsia="Times New Roman" w:hAnsi="Times New Roman" w:cs="Times New Roman"/>
                <w:color w:val="000000"/>
                <w:lang w:eastAsia="pt-BR"/>
              </w:rPr>
            </w:pPr>
          </w:p>
          <w:p w14:paraId="155D472C" w14:textId="77777777" w:rsidR="00307BF8" w:rsidRDefault="00307BF8" w:rsidP="00B87756">
            <w:pPr>
              <w:spacing w:after="0" w:line="360" w:lineRule="auto"/>
              <w:rPr>
                <w:rFonts w:ascii="Times New Roman" w:eastAsia="Times New Roman" w:hAnsi="Times New Roman" w:cs="Times New Roman"/>
                <w:color w:val="000000"/>
                <w:lang w:eastAsia="pt-BR"/>
              </w:rPr>
            </w:pPr>
          </w:p>
          <w:p w14:paraId="3680255F" w14:textId="77777777" w:rsidR="00307BF8" w:rsidRDefault="00307BF8" w:rsidP="00B87756">
            <w:pPr>
              <w:spacing w:after="0" w:line="360" w:lineRule="auto"/>
              <w:rPr>
                <w:rFonts w:ascii="Times New Roman" w:eastAsia="Times New Roman" w:hAnsi="Times New Roman" w:cs="Times New Roman"/>
                <w:color w:val="000000"/>
                <w:lang w:eastAsia="pt-BR"/>
              </w:rPr>
            </w:pPr>
          </w:p>
          <w:p w14:paraId="6D2684CD" w14:textId="77777777" w:rsidR="00307BF8" w:rsidRDefault="00307BF8" w:rsidP="00B87756">
            <w:pPr>
              <w:spacing w:after="0" w:line="360" w:lineRule="auto"/>
              <w:rPr>
                <w:rFonts w:ascii="Times New Roman" w:eastAsia="Times New Roman" w:hAnsi="Times New Roman" w:cs="Times New Roman"/>
                <w:color w:val="000000"/>
                <w:lang w:eastAsia="pt-BR"/>
              </w:rPr>
            </w:pPr>
          </w:p>
          <w:p w14:paraId="79C19DC3" w14:textId="77777777" w:rsidR="00307BF8" w:rsidRDefault="00307BF8" w:rsidP="00B87756">
            <w:pPr>
              <w:spacing w:after="0" w:line="360" w:lineRule="auto"/>
              <w:rPr>
                <w:rFonts w:ascii="Times New Roman" w:eastAsia="Times New Roman" w:hAnsi="Times New Roman" w:cs="Times New Roman"/>
                <w:color w:val="000000"/>
                <w:lang w:eastAsia="pt-BR"/>
              </w:rPr>
            </w:pPr>
          </w:p>
          <w:p w14:paraId="13CE3442" w14:textId="77777777" w:rsidR="00307BF8" w:rsidRDefault="00307BF8" w:rsidP="00B87756">
            <w:pPr>
              <w:spacing w:after="0" w:line="360" w:lineRule="auto"/>
              <w:jc w:val="center"/>
              <w:rPr>
                <w:rFonts w:ascii="Times New Roman" w:eastAsia="Times New Roman" w:hAnsi="Times New Roman" w:cs="Times New Roman"/>
                <w:color w:val="000000"/>
                <w:lang w:eastAsia="pt-BR"/>
              </w:rPr>
            </w:pPr>
          </w:p>
        </w:tc>
        <w:tc>
          <w:tcPr>
            <w:tcW w:w="1559" w:type="dxa"/>
            <w:noWrap/>
            <w:vAlign w:val="bottom"/>
            <w:hideMark/>
          </w:tcPr>
          <w:p w14:paraId="68B78989" w14:textId="77777777" w:rsidR="00307BF8" w:rsidRDefault="00307BF8" w:rsidP="00B87756">
            <w:pPr>
              <w:spacing w:after="0" w:line="360" w:lineRule="auto"/>
              <w:jc w:val="center"/>
              <w:rPr>
                <w:rFonts w:ascii="Times New Roman" w:eastAsia="Times New Roman" w:hAnsi="Times New Roman" w:cs="Times New Roman"/>
                <w:color w:val="000000"/>
                <w:lang w:eastAsia="pt-BR"/>
              </w:rPr>
            </w:pPr>
            <w:r>
              <w:rPr>
                <w:rFonts w:ascii="Times New Roman" w:eastAsia="Times New Roman" w:hAnsi="Times New Roman" w:cs="Times New Roman"/>
                <w:color w:val="000000"/>
                <w:lang w:eastAsia="pt-BR"/>
              </w:rPr>
              <w:t>10000mg/kg - classe 6 de toxicidade</w:t>
            </w:r>
          </w:p>
          <w:p w14:paraId="64244A7F" w14:textId="77777777" w:rsidR="00307BF8" w:rsidRDefault="00307BF8" w:rsidP="00B87756">
            <w:pPr>
              <w:spacing w:after="0" w:line="360" w:lineRule="auto"/>
              <w:jc w:val="center"/>
              <w:rPr>
                <w:rFonts w:ascii="Times New Roman" w:eastAsia="Times New Roman" w:hAnsi="Times New Roman" w:cs="Times New Roman"/>
                <w:color w:val="000000"/>
                <w:lang w:eastAsia="pt-BR"/>
              </w:rPr>
            </w:pPr>
          </w:p>
          <w:p w14:paraId="5F4AE265" w14:textId="77777777" w:rsidR="00307BF8" w:rsidRDefault="00307BF8" w:rsidP="00B87756">
            <w:pPr>
              <w:spacing w:after="0" w:line="360" w:lineRule="auto"/>
              <w:rPr>
                <w:rFonts w:ascii="Times New Roman" w:eastAsia="Times New Roman" w:hAnsi="Times New Roman" w:cs="Times New Roman"/>
                <w:color w:val="000000"/>
                <w:lang w:eastAsia="pt-BR"/>
              </w:rPr>
            </w:pPr>
          </w:p>
          <w:p w14:paraId="56DC2AFC" w14:textId="77777777" w:rsidR="00307BF8" w:rsidRDefault="00307BF8" w:rsidP="00B87756">
            <w:pPr>
              <w:spacing w:after="0" w:line="360" w:lineRule="auto"/>
              <w:rPr>
                <w:rFonts w:ascii="Times New Roman" w:eastAsia="Times New Roman" w:hAnsi="Times New Roman" w:cs="Times New Roman"/>
                <w:color w:val="000000"/>
                <w:lang w:eastAsia="pt-BR"/>
              </w:rPr>
            </w:pPr>
          </w:p>
          <w:p w14:paraId="5769EDC5" w14:textId="77777777" w:rsidR="00307BF8" w:rsidRDefault="00307BF8" w:rsidP="00B87756">
            <w:pPr>
              <w:spacing w:after="0" w:line="360" w:lineRule="auto"/>
              <w:jc w:val="center"/>
              <w:rPr>
                <w:rFonts w:ascii="Times New Roman" w:eastAsia="Times New Roman" w:hAnsi="Times New Roman" w:cs="Times New Roman"/>
                <w:color w:val="000000"/>
                <w:lang w:eastAsia="pt-BR"/>
              </w:rPr>
            </w:pPr>
          </w:p>
        </w:tc>
        <w:tc>
          <w:tcPr>
            <w:tcW w:w="6149" w:type="dxa"/>
            <w:noWrap/>
            <w:vAlign w:val="bottom"/>
            <w:hideMark/>
          </w:tcPr>
          <w:p w14:paraId="15D391CF" w14:textId="77777777" w:rsidR="00307BF8" w:rsidRDefault="00307BF8" w:rsidP="00B87756">
            <w:pPr>
              <w:spacing w:after="0" w:line="360" w:lineRule="auto"/>
              <w:jc w:val="center"/>
              <w:rPr>
                <w:rFonts w:ascii="Times New Roman" w:eastAsia="Times New Roman" w:hAnsi="Times New Roman" w:cs="Times New Roman"/>
                <w:color w:val="000000"/>
                <w:lang w:eastAsia="pt-BR"/>
              </w:rPr>
            </w:pPr>
          </w:p>
          <w:p w14:paraId="708D739C" w14:textId="77777777" w:rsidR="00307BF8" w:rsidRDefault="00307BF8" w:rsidP="00B87756">
            <w:pPr>
              <w:spacing w:after="0" w:line="360" w:lineRule="auto"/>
              <w:jc w:val="center"/>
              <w:rPr>
                <w:rFonts w:ascii="Times New Roman" w:eastAsia="Times New Roman" w:hAnsi="Times New Roman" w:cs="Times New Roman"/>
                <w:color w:val="000000"/>
                <w:lang w:eastAsia="pt-BR"/>
              </w:rPr>
            </w:pPr>
            <w:r>
              <w:rPr>
                <w:rFonts w:ascii="Times New Roman" w:eastAsia="Times New Roman" w:hAnsi="Times New Roman" w:cs="Times New Roman"/>
                <w:color w:val="000000"/>
                <w:lang w:eastAsia="pt-BR"/>
              </w:rPr>
              <w:t>Carcinogenicidade, mutagenicidade e inibição do Potencial de Membrana Mitocondrial (MMP)</w:t>
            </w:r>
          </w:p>
          <w:p w14:paraId="7D991776" w14:textId="77777777" w:rsidR="00307BF8" w:rsidRDefault="00307BF8" w:rsidP="00B87756">
            <w:pPr>
              <w:spacing w:after="0" w:line="360" w:lineRule="auto"/>
              <w:rPr>
                <w:rFonts w:ascii="Times New Roman" w:eastAsia="Times New Roman" w:hAnsi="Times New Roman" w:cs="Times New Roman"/>
                <w:color w:val="000000"/>
                <w:lang w:eastAsia="pt-BR"/>
              </w:rPr>
            </w:pPr>
          </w:p>
          <w:p w14:paraId="75260A5E" w14:textId="77777777" w:rsidR="00307BF8" w:rsidRDefault="00307BF8" w:rsidP="00B87756">
            <w:pPr>
              <w:spacing w:after="0" w:line="360" w:lineRule="auto"/>
              <w:rPr>
                <w:rFonts w:ascii="Times New Roman" w:eastAsia="Times New Roman" w:hAnsi="Times New Roman" w:cs="Times New Roman"/>
                <w:color w:val="000000"/>
                <w:lang w:eastAsia="pt-BR"/>
              </w:rPr>
            </w:pPr>
          </w:p>
          <w:p w14:paraId="4F68A5C5" w14:textId="77777777" w:rsidR="00307BF8" w:rsidRDefault="00307BF8" w:rsidP="00B87756">
            <w:pPr>
              <w:spacing w:after="0" w:line="360" w:lineRule="auto"/>
              <w:rPr>
                <w:rFonts w:ascii="Times New Roman" w:eastAsia="Times New Roman" w:hAnsi="Times New Roman" w:cs="Times New Roman"/>
                <w:color w:val="000000"/>
                <w:lang w:eastAsia="pt-BR"/>
              </w:rPr>
            </w:pPr>
          </w:p>
          <w:p w14:paraId="7CAC4683" w14:textId="77777777" w:rsidR="00307BF8" w:rsidRDefault="00307BF8" w:rsidP="00B87756">
            <w:pPr>
              <w:spacing w:after="0" w:line="360" w:lineRule="auto"/>
              <w:rPr>
                <w:rFonts w:ascii="Times New Roman" w:eastAsia="Times New Roman" w:hAnsi="Times New Roman" w:cs="Times New Roman"/>
                <w:color w:val="000000"/>
                <w:lang w:eastAsia="pt-BR"/>
              </w:rPr>
            </w:pPr>
          </w:p>
          <w:p w14:paraId="781A0885" w14:textId="77777777" w:rsidR="00307BF8" w:rsidRDefault="00307BF8" w:rsidP="00B87756">
            <w:pPr>
              <w:spacing w:after="0" w:line="360" w:lineRule="auto"/>
              <w:jc w:val="center"/>
              <w:rPr>
                <w:rFonts w:ascii="Times New Roman" w:eastAsia="Times New Roman" w:hAnsi="Times New Roman" w:cs="Times New Roman"/>
                <w:color w:val="000000"/>
                <w:lang w:eastAsia="pt-BR"/>
              </w:rPr>
            </w:pPr>
          </w:p>
        </w:tc>
      </w:tr>
      <w:tr w:rsidR="00307BF8" w14:paraId="417E07E2" w14:textId="77777777" w:rsidTr="00A24E2C">
        <w:trPr>
          <w:trHeight w:val="408"/>
        </w:trPr>
        <w:tc>
          <w:tcPr>
            <w:tcW w:w="1488" w:type="dxa"/>
            <w:noWrap/>
            <w:vAlign w:val="bottom"/>
            <w:hideMark/>
          </w:tcPr>
          <w:p w14:paraId="56C072AE" w14:textId="77777777" w:rsidR="00307BF8" w:rsidRDefault="00307BF8" w:rsidP="00B87756">
            <w:pPr>
              <w:spacing w:after="0" w:line="360" w:lineRule="auto"/>
              <w:rPr>
                <w:rFonts w:ascii="Times New Roman" w:eastAsia="Times New Roman" w:hAnsi="Times New Roman" w:cs="Times New Roman"/>
                <w:color w:val="000000"/>
                <w:lang w:eastAsia="pt-BR"/>
              </w:rPr>
            </w:pPr>
            <w:r>
              <w:rPr>
                <w:rFonts w:ascii="Times New Roman" w:eastAsia="Times New Roman" w:hAnsi="Times New Roman" w:cs="Times New Roman"/>
                <w:color w:val="000000"/>
                <w:lang w:eastAsia="pt-BR"/>
              </w:rPr>
              <w:t>Epicatequina</w:t>
            </w:r>
          </w:p>
          <w:p w14:paraId="2FFC728D" w14:textId="77777777" w:rsidR="00307BF8" w:rsidRDefault="00307BF8" w:rsidP="00B87756">
            <w:pPr>
              <w:spacing w:after="0" w:line="360" w:lineRule="auto"/>
              <w:jc w:val="center"/>
              <w:rPr>
                <w:rFonts w:ascii="Times New Roman" w:eastAsia="Times New Roman" w:hAnsi="Times New Roman" w:cs="Times New Roman"/>
                <w:color w:val="000000"/>
                <w:lang w:eastAsia="pt-BR"/>
              </w:rPr>
            </w:pPr>
          </w:p>
          <w:p w14:paraId="02C34FF0" w14:textId="77777777" w:rsidR="00307BF8" w:rsidRDefault="00307BF8" w:rsidP="00B87756">
            <w:pPr>
              <w:spacing w:after="0" w:line="360" w:lineRule="auto"/>
              <w:jc w:val="center"/>
              <w:rPr>
                <w:rFonts w:ascii="Times New Roman" w:eastAsia="Times New Roman" w:hAnsi="Times New Roman" w:cs="Times New Roman"/>
                <w:color w:val="000000"/>
                <w:lang w:eastAsia="pt-BR"/>
              </w:rPr>
            </w:pPr>
          </w:p>
          <w:p w14:paraId="19DE4CF5" w14:textId="77777777" w:rsidR="00307BF8" w:rsidRDefault="00307BF8" w:rsidP="00B87756">
            <w:pPr>
              <w:spacing w:after="0" w:line="360" w:lineRule="auto"/>
              <w:jc w:val="center"/>
              <w:rPr>
                <w:rFonts w:ascii="Times New Roman" w:eastAsia="Times New Roman" w:hAnsi="Times New Roman" w:cs="Times New Roman"/>
                <w:color w:val="000000"/>
                <w:lang w:eastAsia="pt-BR"/>
              </w:rPr>
            </w:pPr>
          </w:p>
          <w:p w14:paraId="003B1147" w14:textId="77777777" w:rsidR="00307BF8" w:rsidRDefault="00307BF8" w:rsidP="00B87756">
            <w:pPr>
              <w:spacing w:after="0" w:line="360" w:lineRule="auto"/>
              <w:jc w:val="center"/>
              <w:rPr>
                <w:rFonts w:ascii="Times New Roman" w:eastAsia="Times New Roman" w:hAnsi="Times New Roman" w:cs="Times New Roman"/>
                <w:color w:val="000000"/>
                <w:lang w:eastAsia="pt-BR"/>
              </w:rPr>
            </w:pPr>
          </w:p>
          <w:p w14:paraId="751272BC" w14:textId="77777777" w:rsidR="00307BF8" w:rsidRDefault="00307BF8" w:rsidP="00B87756">
            <w:pPr>
              <w:spacing w:after="0" w:line="360" w:lineRule="auto"/>
              <w:jc w:val="center"/>
              <w:rPr>
                <w:rFonts w:ascii="Times New Roman" w:eastAsia="Times New Roman" w:hAnsi="Times New Roman" w:cs="Times New Roman"/>
                <w:color w:val="000000"/>
                <w:lang w:eastAsia="pt-BR"/>
              </w:rPr>
            </w:pPr>
          </w:p>
        </w:tc>
        <w:tc>
          <w:tcPr>
            <w:tcW w:w="1559" w:type="dxa"/>
            <w:noWrap/>
            <w:vAlign w:val="bottom"/>
            <w:hideMark/>
          </w:tcPr>
          <w:p w14:paraId="5FC87B00" w14:textId="77777777" w:rsidR="00307BF8" w:rsidRDefault="00307BF8" w:rsidP="00B87756">
            <w:pPr>
              <w:spacing w:after="0" w:line="360" w:lineRule="auto"/>
              <w:jc w:val="center"/>
              <w:rPr>
                <w:rFonts w:ascii="Times New Roman" w:eastAsia="Times New Roman" w:hAnsi="Times New Roman" w:cs="Times New Roman"/>
                <w:color w:val="000000"/>
                <w:lang w:eastAsia="pt-BR"/>
              </w:rPr>
            </w:pPr>
            <w:r>
              <w:rPr>
                <w:rFonts w:ascii="Times New Roman" w:eastAsia="Times New Roman" w:hAnsi="Times New Roman" w:cs="Times New Roman"/>
                <w:color w:val="000000"/>
                <w:lang w:eastAsia="pt-BR"/>
              </w:rPr>
              <w:lastRenderedPageBreak/>
              <w:t xml:space="preserve">10000mg/kg - </w:t>
            </w:r>
            <w:r>
              <w:rPr>
                <w:rFonts w:ascii="Times New Roman" w:eastAsia="Times New Roman" w:hAnsi="Times New Roman" w:cs="Times New Roman"/>
                <w:color w:val="000000"/>
                <w:lang w:eastAsia="pt-BR"/>
              </w:rPr>
              <w:lastRenderedPageBreak/>
              <w:t>classe 6 de toxicidade</w:t>
            </w:r>
          </w:p>
          <w:p w14:paraId="29239C06" w14:textId="77777777" w:rsidR="00307BF8" w:rsidRDefault="00307BF8" w:rsidP="00B87756">
            <w:pPr>
              <w:spacing w:after="0" w:line="360" w:lineRule="auto"/>
              <w:jc w:val="center"/>
              <w:rPr>
                <w:rFonts w:ascii="Times New Roman" w:eastAsia="Times New Roman" w:hAnsi="Times New Roman" w:cs="Times New Roman"/>
                <w:color w:val="000000"/>
                <w:lang w:eastAsia="pt-BR"/>
              </w:rPr>
            </w:pPr>
          </w:p>
          <w:p w14:paraId="562550AB" w14:textId="77777777" w:rsidR="00307BF8" w:rsidRDefault="00307BF8" w:rsidP="00B87756">
            <w:pPr>
              <w:spacing w:after="0" w:line="360" w:lineRule="auto"/>
              <w:jc w:val="center"/>
              <w:rPr>
                <w:rFonts w:ascii="Times New Roman" w:eastAsia="Times New Roman" w:hAnsi="Times New Roman" w:cs="Times New Roman"/>
                <w:color w:val="000000"/>
                <w:lang w:eastAsia="pt-BR"/>
              </w:rPr>
            </w:pPr>
          </w:p>
          <w:p w14:paraId="70949CB1" w14:textId="77777777" w:rsidR="00307BF8" w:rsidRDefault="00307BF8" w:rsidP="00B87756">
            <w:pPr>
              <w:spacing w:after="0" w:line="360" w:lineRule="auto"/>
              <w:jc w:val="center"/>
              <w:rPr>
                <w:rFonts w:ascii="Times New Roman" w:eastAsia="Times New Roman" w:hAnsi="Times New Roman" w:cs="Times New Roman"/>
                <w:color w:val="000000"/>
                <w:lang w:eastAsia="pt-BR"/>
              </w:rPr>
            </w:pPr>
          </w:p>
        </w:tc>
        <w:tc>
          <w:tcPr>
            <w:tcW w:w="6149" w:type="dxa"/>
            <w:noWrap/>
            <w:vAlign w:val="bottom"/>
            <w:hideMark/>
          </w:tcPr>
          <w:p w14:paraId="104C13B6" w14:textId="77777777" w:rsidR="00307BF8" w:rsidRDefault="00307BF8" w:rsidP="00B87756">
            <w:pPr>
              <w:spacing w:after="0" w:line="360" w:lineRule="auto"/>
              <w:jc w:val="center"/>
              <w:rPr>
                <w:rFonts w:ascii="Times New Roman" w:eastAsia="Times New Roman" w:hAnsi="Times New Roman" w:cs="Times New Roman"/>
                <w:color w:val="000000"/>
                <w:lang w:eastAsia="pt-BR"/>
              </w:rPr>
            </w:pPr>
            <w:r>
              <w:rPr>
                <w:rFonts w:ascii="Times New Roman" w:eastAsia="Times New Roman" w:hAnsi="Times New Roman" w:cs="Times New Roman"/>
                <w:color w:val="000000"/>
                <w:lang w:eastAsia="pt-BR"/>
              </w:rPr>
              <w:lastRenderedPageBreak/>
              <w:t xml:space="preserve">Carcinogenicidade, mutagenicidade e inibição do Potencial de </w:t>
            </w:r>
            <w:r>
              <w:rPr>
                <w:rFonts w:ascii="Times New Roman" w:eastAsia="Times New Roman" w:hAnsi="Times New Roman" w:cs="Times New Roman"/>
                <w:color w:val="000000"/>
                <w:lang w:eastAsia="pt-BR"/>
              </w:rPr>
              <w:lastRenderedPageBreak/>
              <w:t>Membrana Mitocondrial (MMP)</w:t>
            </w:r>
          </w:p>
          <w:p w14:paraId="519CE5B0" w14:textId="77777777" w:rsidR="00307BF8" w:rsidRDefault="00307BF8" w:rsidP="00B87756">
            <w:pPr>
              <w:spacing w:after="0" w:line="360" w:lineRule="auto"/>
              <w:jc w:val="center"/>
              <w:rPr>
                <w:rFonts w:ascii="Times New Roman" w:eastAsia="Times New Roman" w:hAnsi="Times New Roman" w:cs="Times New Roman"/>
                <w:color w:val="000000"/>
                <w:lang w:eastAsia="pt-BR"/>
              </w:rPr>
            </w:pPr>
          </w:p>
          <w:p w14:paraId="0B24701A" w14:textId="77777777" w:rsidR="00307BF8" w:rsidRDefault="00307BF8" w:rsidP="00B87756">
            <w:pPr>
              <w:spacing w:after="0" w:line="360" w:lineRule="auto"/>
              <w:jc w:val="center"/>
              <w:rPr>
                <w:rFonts w:ascii="Times New Roman" w:eastAsia="Times New Roman" w:hAnsi="Times New Roman" w:cs="Times New Roman"/>
                <w:color w:val="000000"/>
                <w:lang w:eastAsia="pt-BR"/>
              </w:rPr>
            </w:pPr>
          </w:p>
          <w:p w14:paraId="0FED3CC9" w14:textId="77777777" w:rsidR="00307BF8" w:rsidRDefault="00307BF8" w:rsidP="00B87756">
            <w:pPr>
              <w:spacing w:after="0" w:line="360" w:lineRule="auto"/>
              <w:jc w:val="center"/>
              <w:rPr>
                <w:rFonts w:ascii="Times New Roman" w:eastAsia="Times New Roman" w:hAnsi="Times New Roman" w:cs="Times New Roman"/>
                <w:color w:val="000000"/>
                <w:lang w:eastAsia="pt-BR"/>
              </w:rPr>
            </w:pPr>
          </w:p>
          <w:p w14:paraId="1B41AC5C" w14:textId="77777777" w:rsidR="00307BF8" w:rsidRDefault="00307BF8" w:rsidP="00B87756">
            <w:pPr>
              <w:spacing w:after="0" w:line="360" w:lineRule="auto"/>
              <w:jc w:val="center"/>
              <w:rPr>
                <w:rFonts w:ascii="Times New Roman" w:eastAsia="Times New Roman" w:hAnsi="Times New Roman" w:cs="Times New Roman"/>
                <w:color w:val="000000"/>
                <w:lang w:eastAsia="pt-BR"/>
              </w:rPr>
            </w:pPr>
          </w:p>
        </w:tc>
      </w:tr>
      <w:tr w:rsidR="00307BF8" w14:paraId="1F3E3C67" w14:textId="77777777" w:rsidTr="00A24E2C">
        <w:trPr>
          <w:trHeight w:val="408"/>
        </w:trPr>
        <w:tc>
          <w:tcPr>
            <w:tcW w:w="1488" w:type="dxa"/>
            <w:noWrap/>
            <w:vAlign w:val="bottom"/>
            <w:hideMark/>
          </w:tcPr>
          <w:p w14:paraId="1B01475D" w14:textId="77777777" w:rsidR="00307BF8" w:rsidRDefault="00307BF8" w:rsidP="00B87756">
            <w:pPr>
              <w:spacing w:after="0" w:line="360" w:lineRule="auto"/>
              <w:jc w:val="center"/>
              <w:rPr>
                <w:rFonts w:ascii="Times New Roman" w:eastAsia="Times New Roman" w:hAnsi="Times New Roman" w:cs="Times New Roman"/>
                <w:color w:val="000000"/>
                <w:lang w:eastAsia="pt-BR"/>
              </w:rPr>
            </w:pPr>
            <w:r>
              <w:rPr>
                <w:rFonts w:ascii="Times New Roman" w:eastAsia="Times New Roman" w:hAnsi="Times New Roman" w:cs="Times New Roman"/>
                <w:color w:val="000000"/>
                <w:lang w:eastAsia="pt-BR"/>
              </w:rPr>
              <w:lastRenderedPageBreak/>
              <w:t>Kaempferol</w:t>
            </w:r>
          </w:p>
          <w:p w14:paraId="1B1B8198" w14:textId="77777777" w:rsidR="00307BF8" w:rsidRDefault="00307BF8" w:rsidP="00B87756">
            <w:pPr>
              <w:spacing w:after="0" w:line="360" w:lineRule="auto"/>
              <w:jc w:val="center"/>
              <w:rPr>
                <w:rFonts w:ascii="Times New Roman" w:eastAsia="Times New Roman" w:hAnsi="Times New Roman" w:cs="Times New Roman"/>
                <w:color w:val="000000"/>
                <w:lang w:eastAsia="pt-BR"/>
              </w:rPr>
            </w:pPr>
          </w:p>
          <w:p w14:paraId="094770A6" w14:textId="77777777" w:rsidR="00307BF8" w:rsidRDefault="00307BF8" w:rsidP="00B87756">
            <w:pPr>
              <w:spacing w:after="0" w:line="360" w:lineRule="auto"/>
              <w:jc w:val="center"/>
              <w:rPr>
                <w:rFonts w:ascii="Times New Roman" w:eastAsia="Times New Roman" w:hAnsi="Times New Roman" w:cs="Times New Roman"/>
                <w:color w:val="000000"/>
                <w:lang w:eastAsia="pt-BR"/>
              </w:rPr>
            </w:pPr>
          </w:p>
          <w:p w14:paraId="14B94E46" w14:textId="77777777" w:rsidR="00307BF8" w:rsidRDefault="00307BF8" w:rsidP="00B87756">
            <w:pPr>
              <w:spacing w:after="0" w:line="360" w:lineRule="auto"/>
              <w:jc w:val="center"/>
              <w:rPr>
                <w:rFonts w:ascii="Times New Roman" w:eastAsia="Times New Roman" w:hAnsi="Times New Roman" w:cs="Times New Roman"/>
                <w:color w:val="000000"/>
                <w:lang w:eastAsia="pt-BR"/>
              </w:rPr>
            </w:pPr>
          </w:p>
          <w:p w14:paraId="23FC8F39" w14:textId="77777777" w:rsidR="00307BF8" w:rsidRDefault="00307BF8" w:rsidP="00B87756">
            <w:pPr>
              <w:spacing w:after="0" w:line="360" w:lineRule="auto"/>
              <w:jc w:val="center"/>
              <w:rPr>
                <w:rFonts w:ascii="Times New Roman" w:eastAsia="Times New Roman" w:hAnsi="Times New Roman" w:cs="Times New Roman"/>
                <w:color w:val="000000"/>
                <w:lang w:eastAsia="pt-BR"/>
              </w:rPr>
            </w:pPr>
          </w:p>
        </w:tc>
        <w:tc>
          <w:tcPr>
            <w:tcW w:w="1559" w:type="dxa"/>
            <w:noWrap/>
            <w:vAlign w:val="bottom"/>
            <w:hideMark/>
          </w:tcPr>
          <w:p w14:paraId="2B0F5599" w14:textId="77777777" w:rsidR="00307BF8" w:rsidRDefault="00307BF8" w:rsidP="00B87756">
            <w:pPr>
              <w:spacing w:after="0" w:line="360" w:lineRule="auto"/>
              <w:jc w:val="center"/>
              <w:rPr>
                <w:rFonts w:ascii="Times New Roman" w:eastAsia="Times New Roman" w:hAnsi="Times New Roman" w:cs="Times New Roman"/>
                <w:color w:val="000000"/>
                <w:lang w:eastAsia="pt-BR"/>
              </w:rPr>
            </w:pPr>
            <w:r>
              <w:rPr>
                <w:rFonts w:ascii="Times New Roman" w:eastAsia="Times New Roman" w:hAnsi="Times New Roman" w:cs="Times New Roman"/>
                <w:color w:val="000000"/>
                <w:lang w:eastAsia="pt-BR"/>
              </w:rPr>
              <w:t>3919mg/kg - classe 5 de toxicidade</w:t>
            </w:r>
          </w:p>
          <w:p w14:paraId="0653AAE6" w14:textId="77777777" w:rsidR="00307BF8" w:rsidRDefault="00307BF8" w:rsidP="00B87756">
            <w:pPr>
              <w:spacing w:after="0" w:line="360" w:lineRule="auto"/>
              <w:jc w:val="center"/>
              <w:rPr>
                <w:rFonts w:ascii="Times New Roman" w:eastAsia="Times New Roman" w:hAnsi="Times New Roman" w:cs="Times New Roman"/>
                <w:color w:val="000000"/>
                <w:lang w:eastAsia="pt-BR"/>
              </w:rPr>
            </w:pPr>
          </w:p>
          <w:p w14:paraId="52CFE4A3" w14:textId="77777777" w:rsidR="00307BF8" w:rsidRDefault="00307BF8" w:rsidP="00B87756">
            <w:pPr>
              <w:spacing w:after="0" w:line="360" w:lineRule="auto"/>
              <w:jc w:val="center"/>
              <w:rPr>
                <w:rFonts w:ascii="Times New Roman" w:eastAsia="Times New Roman" w:hAnsi="Times New Roman" w:cs="Times New Roman"/>
                <w:color w:val="000000"/>
                <w:lang w:eastAsia="pt-BR"/>
              </w:rPr>
            </w:pPr>
          </w:p>
        </w:tc>
        <w:tc>
          <w:tcPr>
            <w:tcW w:w="6149" w:type="dxa"/>
            <w:noWrap/>
            <w:vAlign w:val="bottom"/>
            <w:hideMark/>
          </w:tcPr>
          <w:p w14:paraId="0C832C11" w14:textId="77777777" w:rsidR="00307BF8" w:rsidRDefault="00307BF8" w:rsidP="00B87756">
            <w:pPr>
              <w:spacing w:after="0" w:line="360" w:lineRule="auto"/>
              <w:jc w:val="center"/>
              <w:rPr>
                <w:rFonts w:ascii="Times New Roman" w:eastAsia="Times New Roman" w:hAnsi="Times New Roman" w:cs="Times New Roman"/>
                <w:color w:val="000000"/>
                <w:lang w:eastAsia="pt-BR"/>
              </w:rPr>
            </w:pPr>
            <w:r>
              <w:rPr>
                <w:rFonts w:ascii="Times New Roman" w:eastAsia="Times New Roman" w:hAnsi="Times New Roman" w:cs="Times New Roman"/>
                <w:color w:val="000000"/>
                <w:lang w:eastAsia="pt-BR"/>
              </w:rPr>
              <w:t>Hepatotoxicidade, Mutagenicidade, inibidor de Receptor de hidrocarboneto aril (AhR), Aromatase, Receptor Alfa de Estrogênio (ER), Domínio de Ligação de Ligante de Receptor de Estrogênio (ER-LBD) e Potencial de Membrana Mitocondrial (MMP)</w:t>
            </w:r>
          </w:p>
        </w:tc>
      </w:tr>
      <w:tr w:rsidR="00307BF8" w14:paraId="7E3757A6" w14:textId="77777777" w:rsidTr="00A24E2C">
        <w:trPr>
          <w:trHeight w:val="408"/>
        </w:trPr>
        <w:tc>
          <w:tcPr>
            <w:tcW w:w="1488" w:type="dxa"/>
            <w:tcBorders>
              <w:top w:val="nil"/>
              <w:left w:val="nil"/>
              <w:bottom w:val="single" w:sz="4" w:space="0" w:color="auto"/>
              <w:right w:val="nil"/>
            </w:tcBorders>
            <w:noWrap/>
            <w:vAlign w:val="bottom"/>
            <w:hideMark/>
          </w:tcPr>
          <w:p w14:paraId="31A0060C" w14:textId="77777777" w:rsidR="00307BF8" w:rsidRDefault="00307BF8" w:rsidP="00B87756">
            <w:pPr>
              <w:spacing w:after="0" w:line="360" w:lineRule="auto"/>
              <w:jc w:val="center"/>
              <w:rPr>
                <w:rFonts w:ascii="Times New Roman" w:eastAsia="Times New Roman" w:hAnsi="Times New Roman" w:cs="Times New Roman"/>
                <w:color w:val="000000"/>
                <w:lang w:eastAsia="pt-BR"/>
              </w:rPr>
            </w:pPr>
            <w:r>
              <w:rPr>
                <w:rFonts w:ascii="Times New Roman" w:eastAsia="Times New Roman" w:hAnsi="Times New Roman" w:cs="Times New Roman"/>
                <w:color w:val="000000"/>
                <w:lang w:eastAsia="pt-BR"/>
              </w:rPr>
              <w:t>Trigonelina</w:t>
            </w:r>
          </w:p>
          <w:p w14:paraId="6314D0E6" w14:textId="77777777" w:rsidR="00307BF8" w:rsidRDefault="00307BF8" w:rsidP="00B87756">
            <w:pPr>
              <w:spacing w:after="0" w:line="360" w:lineRule="auto"/>
              <w:jc w:val="center"/>
              <w:rPr>
                <w:rFonts w:ascii="Times New Roman" w:eastAsia="Times New Roman" w:hAnsi="Times New Roman" w:cs="Times New Roman"/>
                <w:color w:val="000000"/>
                <w:lang w:eastAsia="pt-BR"/>
              </w:rPr>
            </w:pPr>
          </w:p>
          <w:p w14:paraId="309EFFE4" w14:textId="77777777" w:rsidR="00307BF8" w:rsidRDefault="00307BF8" w:rsidP="00B87756">
            <w:pPr>
              <w:spacing w:after="0" w:line="360" w:lineRule="auto"/>
              <w:jc w:val="center"/>
              <w:rPr>
                <w:rFonts w:ascii="Times New Roman" w:eastAsia="Times New Roman" w:hAnsi="Times New Roman" w:cs="Times New Roman"/>
                <w:color w:val="000000"/>
                <w:lang w:eastAsia="pt-BR"/>
              </w:rPr>
            </w:pPr>
          </w:p>
          <w:p w14:paraId="5ECB9CBA" w14:textId="77777777" w:rsidR="00307BF8" w:rsidRDefault="00307BF8" w:rsidP="00B87756">
            <w:pPr>
              <w:spacing w:after="0" w:line="360" w:lineRule="auto"/>
              <w:jc w:val="center"/>
              <w:rPr>
                <w:rFonts w:ascii="Times New Roman" w:eastAsia="Times New Roman" w:hAnsi="Times New Roman" w:cs="Times New Roman"/>
                <w:color w:val="000000"/>
                <w:lang w:eastAsia="pt-BR"/>
              </w:rPr>
            </w:pPr>
          </w:p>
        </w:tc>
        <w:tc>
          <w:tcPr>
            <w:tcW w:w="1559" w:type="dxa"/>
            <w:tcBorders>
              <w:top w:val="nil"/>
              <w:left w:val="nil"/>
              <w:bottom w:val="single" w:sz="4" w:space="0" w:color="auto"/>
              <w:right w:val="nil"/>
            </w:tcBorders>
            <w:noWrap/>
            <w:vAlign w:val="bottom"/>
            <w:hideMark/>
          </w:tcPr>
          <w:p w14:paraId="44486FAD" w14:textId="77777777" w:rsidR="00307BF8" w:rsidRDefault="00307BF8" w:rsidP="00B87756">
            <w:pPr>
              <w:spacing w:after="0" w:line="360" w:lineRule="auto"/>
              <w:jc w:val="center"/>
              <w:rPr>
                <w:rFonts w:ascii="Times New Roman" w:eastAsia="Times New Roman" w:hAnsi="Times New Roman" w:cs="Times New Roman"/>
                <w:color w:val="000000"/>
                <w:lang w:eastAsia="pt-BR"/>
              </w:rPr>
            </w:pPr>
          </w:p>
          <w:p w14:paraId="29F10D1A" w14:textId="77777777" w:rsidR="00307BF8" w:rsidRDefault="00307BF8" w:rsidP="00B87756">
            <w:pPr>
              <w:spacing w:after="0" w:line="360" w:lineRule="auto"/>
              <w:jc w:val="center"/>
              <w:rPr>
                <w:rFonts w:ascii="Times New Roman" w:eastAsia="Times New Roman" w:hAnsi="Times New Roman" w:cs="Times New Roman"/>
                <w:color w:val="000000"/>
                <w:lang w:eastAsia="pt-BR"/>
              </w:rPr>
            </w:pPr>
            <w:r>
              <w:rPr>
                <w:rFonts w:ascii="Times New Roman" w:eastAsia="Times New Roman" w:hAnsi="Times New Roman" w:cs="Times New Roman"/>
                <w:color w:val="000000"/>
                <w:lang w:eastAsia="pt-BR"/>
              </w:rPr>
              <w:t xml:space="preserve">3720mg/kg - classe 5 de toxicidade </w:t>
            </w:r>
          </w:p>
          <w:p w14:paraId="1F905C57" w14:textId="77777777" w:rsidR="00307BF8" w:rsidRDefault="00307BF8" w:rsidP="00B87756">
            <w:pPr>
              <w:spacing w:after="0" w:line="360" w:lineRule="auto"/>
              <w:jc w:val="center"/>
              <w:rPr>
                <w:rFonts w:ascii="Times New Roman" w:eastAsia="Times New Roman" w:hAnsi="Times New Roman" w:cs="Times New Roman"/>
                <w:color w:val="000000"/>
                <w:lang w:eastAsia="pt-BR"/>
              </w:rPr>
            </w:pPr>
          </w:p>
        </w:tc>
        <w:tc>
          <w:tcPr>
            <w:tcW w:w="6149" w:type="dxa"/>
            <w:tcBorders>
              <w:top w:val="nil"/>
              <w:left w:val="nil"/>
              <w:bottom w:val="single" w:sz="4" w:space="0" w:color="auto"/>
              <w:right w:val="nil"/>
            </w:tcBorders>
            <w:noWrap/>
            <w:vAlign w:val="bottom"/>
            <w:hideMark/>
          </w:tcPr>
          <w:p w14:paraId="00332A6F" w14:textId="77777777" w:rsidR="00307BF8" w:rsidRDefault="00307BF8" w:rsidP="00B87756">
            <w:pPr>
              <w:spacing w:after="0" w:line="360" w:lineRule="auto"/>
              <w:jc w:val="center"/>
              <w:rPr>
                <w:rFonts w:ascii="Times New Roman" w:eastAsia="Times New Roman" w:hAnsi="Times New Roman" w:cs="Times New Roman"/>
                <w:color w:val="000000"/>
                <w:lang w:eastAsia="pt-BR"/>
              </w:rPr>
            </w:pPr>
            <w:r>
              <w:rPr>
                <w:rFonts w:ascii="Times New Roman" w:eastAsia="Times New Roman" w:hAnsi="Times New Roman" w:cs="Times New Roman"/>
                <w:color w:val="000000"/>
                <w:lang w:eastAsia="pt-BR"/>
              </w:rPr>
              <w:t>Hepatoxicidade e carcinogenicidade</w:t>
            </w:r>
          </w:p>
          <w:p w14:paraId="45EF99F9" w14:textId="77777777" w:rsidR="00307BF8" w:rsidRDefault="00307BF8" w:rsidP="00B87756">
            <w:pPr>
              <w:spacing w:after="0" w:line="360" w:lineRule="auto"/>
              <w:jc w:val="center"/>
              <w:rPr>
                <w:rFonts w:ascii="Times New Roman" w:eastAsia="Times New Roman" w:hAnsi="Times New Roman" w:cs="Times New Roman"/>
                <w:color w:val="000000"/>
                <w:lang w:eastAsia="pt-BR"/>
              </w:rPr>
            </w:pPr>
          </w:p>
          <w:p w14:paraId="13F2C166" w14:textId="77777777" w:rsidR="00307BF8" w:rsidRDefault="00307BF8" w:rsidP="00B87756">
            <w:pPr>
              <w:spacing w:after="0" w:line="360" w:lineRule="auto"/>
              <w:jc w:val="center"/>
              <w:rPr>
                <w:rFonts w:ascii="Times New Roman" w:eastAsia="Times New Roman" w:hAnsi="Times New Roman" w:cs="Times New Roman"/>
                <w:color w:val="000000"/>
                <w:lang w:eastAsia="pt-BR"/>
              </w:rPr>
            </w:pPr>
          </w:p>
          <w:p w14:paraId="62F2230B" w14:textId="77777777" w:rsidR="00307BF8" w:rsidRDefault="00307BF8" w:rsidP="00B87756">
            <w:pPr>
              <w:spacing w:after="0" w:line="360" w:lineRule="auto"/>
              <w:jc w:val="center"/>
              <w:rPr>
                <w:rFonts w:ascii="Times New Roman" w:eastAsia="Times New Roman" w:hAnsi="Times New Roman" w:cs="Times New Roman"/>
                <w:color w:val="000000"/>
                <w:lang w:eastAsia="pt-BR"/>
              </w:rPr>
            </w:pPr>
          </w:p>
        </w:tc>
      </w:tr>
    </w:tbl>
    <w:bookmarkEnd w:id="2"/>
    <w:p w14:paraId="6778B99F" w14:textId="586C51FD" w:rsidR="00307BF8" w:rsidRDefault="00307BF8" w:rsidP="00B8775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Fonte: </w:t>
      </w:r>
      <w:r w:rsidR="00A128AC">
        <w:rPr>
          <w:rFonts w:ascii="Times New Roman" w:hAnsi="Times New Roman" w:cs="Times New Roman"/>
          <w:sz w:val="24"/>
          <w:szCs w:val="24"/>
        </w:rPr>
        <w:t>PINTO, T. N. (2022)</w:t>
      </w:r>
    </w:p>
    <w:p w14:paraId="1741C789" w14:textId="77777777" w:rsidR="00B87756" w:rsidRDefault="00B87756" w:rsidP="00B87756">
      <w:pPr>
        <w:spacing w:after="0" w:line="360" w:lineRule="auto"/>
        <w:ind w:firstLine="709"/>
        <w:jc w:val="both"/>
        <w:rPr>
          <w:rFonts w:ascii="Times New Roman" w:hAnsi="Times New Roman" w:cs="Times New Roman"/>
          <w:sz w:val="24"/>
          <w:szCs w:val="24"/>
        </w:rPr>
      </w:pPr>
      <w:bookmarkStart w:id="3" w:name="_Hlk100399274"/>
    </w:p>
    <w:p w14:paraId="14C6EAFC" w14:textId="21A6CE37" w:rsidR="00307BF8" w:rsidRDefault="00307BF8" w:rsidP="00B87756">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Como critério de exclusão, a</w:t>
      </w:r>
      <w:r w:rsidRPr="00B276E2">
        <w:rPr>
          <w:rFonts w:ascii="Times New Roman" w:hAnsi="Times New Roman" w:cs="Times New Roman"/>
          <w:sz w:val="24"/>
          <w:szCs w:val="24"/>
        </w:rPr>
        <w:t>verig</w:t>
      </w:r>
      <w:r>
        <w:rPr>
          <w:rFonts w:ascii="Times New Roman" w:hAnsi="Times New Roman" w:cs="Times New Roman"/>
          <w:sz w:val="24"/>
          <w:szCs w:val="24"/>
        </w:rPr>
        <w:t>uou-se</w:t>
      </w:r>
      <w:r w:rsidRPr="00B276E2">
        <w:rPr>
          <w:rFonts w:ascii="Times New Roman" w:hAnsi="Times New Roman" w:cs="Times New Roman"/>
          <w:sz w:val="24"/>
          <w:szCs w:val="24"/>
        </w:rPr>
        <w:t xml:space="preserve"> os possíveis alvos</w:t>
      </w:r>
      <w:r>
        <w:rPr>
          <w:rFonts w:ascii="Times New Roman" w:hAnsi="Times New Roman" w:cs="Times New Roman"/>
          <w:sz w:val="24"/>
          <w:szCs w:val="24"/>
        </w:rPr>
        <w:t xml:space="preserve"> de cada substância </w:t>
      </w:r>
      <w:bookmarkStart w:id="4" w:name="_Hlk100399916"/>
      <w:r>
        <w:rPr>
          <w:rFonts w:ascii="Times New Roman" w:hAnsi="Times New Roman" w:cs="Times New Roman"/>
          <w:sz w:val="24"/>
          <w:szCs w:val="24"/>
        </w:rPr>
        <w:t>através da plataforma SwissTargetPrediction</w:t>
      </w:r>
      <w:bookmarkEnd w:id="4"/>
      <w:r w:rsidRPr="00B276E2">
        <w:rPr>
          <w:rFonts w:ascii="Times New Roman" w:hAnsi="Times New Roman" w:cs="Times New Roman"/>
          <w:sz w:val="24"/>
          <w:szCs w:val="24"/>
        </w:rPr>
        <w:t>,</w:t>
      </w:r>
      <w:r>
        <w:rPr>
          <w:rFonts w:ascii="Times New Roman" w:hAnsi="Times New Roman" w:cs="Times New Roman"/>
          <w:sz w:val="24"/>
          <w:szCs w:val="24"/>
        </w:rPr>
        <w:t xml:space="preserve"> excluindo aquelas que não apresentavam alvos que possuíssem relação com possível efeito sobre o SNC.</w:t>
      </w:r>
      <w:r w:rsidRPr="00B276E2">
        <w:rPr>
          <w:rFonts w:ascii="Times New Roman" w:hAnsi="Times New Roman" w:cs="Times New Roman"/>
          <w:sz w:val="24"/>
          <w:szCs w:val="24"/>
        </w:rPr>
        <w:t xml:space="preserve"> </w:t>
      </w:r>
      <w:r w:rsidR="00D062A5">
        <w:rPr>
          <w:rFonts w:ascii="Times New Roman" w:hAnsi="Times New Roman" w:cs="Times New Roman"/>
          <w:sz w:val="24"/>
          <w:szCs w:val="24"/>
        </w:rPr>
        <w:t>Assim, o</w:t>
      </w:r>
      <w:r>
        <w:rPr>
          <w:rFonts w:ascii="Times New Roman" w:hAnsi="Times New Roman" w:cs="Times New Roman"/>
          <w:sz w:val="24"/>
          <w:szCs w:val="24"/>
        </w:rPr>
        <w:t xml:space="preserve">s </w:t>
      </w:r>
      <w:r w:rsidR="00A128AC">
        <w:rPr>
          <w:rFonts w:ascii="Times New Roman" w:hAnsi="Times New Roman" w:cs="Times New Roman"/>
          <w:sz w:val="24"/>
          <w:szCs w:val="24"/>
        </w:rPr>
        <w:t>2</w:t>
      </w:r>
      <w:r w:rsidRPr="00B276E2">
        <w:rPr>
          <w:rFonts w:ascii="Times New Roman" w:hAnsi="Times New Roman" w:cs="Times New Roman"/>
          <w:sz w:val="24"/>
          <w:szCs w:val="24"/>
        </w:rPr>
        <w:t xml:space="preserve"> </w:t>
      </w:r>
      <w:r>
        <w:rPr>
          <w:rFonts w:ascii="Times New Roman" w:hAnsi="Times New Roman" w:cs="Times New Roman"/>
          <w:sz w:val="24"/>
          <w:szCs w:val="24"/>
        </w:rPr>
        <w:t xml:space="preserve">compostos </w:t>
      </w:r>
      <w:r w:rsidRPr="00B276E2">
        <w:rPr>
          <w:rFonts w:ascii="Times New Roman" w:hAnsi="Times New Roman" w:cs="Times New Roman"/>
          <w:sz w:val="24"/>
          <w:szCs w:val="24"/>
        </w:rPr>
        <w:t>selecionad</w:t>
      </w:r>
      <w:r>
        <w:rPr>
          <w:rFonts w:ascii="Times New Roman" w:hAnsi="Times New Roman" w:cs="Times New Roman"/>
          <w:sz w:val="24"/>
          <w:szCs w:val="24"/>
        </w:rPr>
        <w:t>o</w:t>
      </w:r>
      <w:r w:rsidRPr="00B276E2">
        <w:rPr>
          <w:rFonts w:ascii="Times New Roman" w:hAnsi="Times New Roman" w:cs="Times New Roman"/>
          <w:sz w:val="24"/>
          <w:szCs w:val="24"/>
        </w:rPr>
        <w:t>s</w:t>
      </w:r>
      <w:r>
        <w:rPr>
          <w:rFonts w:ascii="Times New Roman" w:hAnsi="Times New Roman" w:cs="Times New Roman"/>
          <w:sz w:val="24"/>
          <w:szCs w:val="24"/>
        </w:rPr>
        <w:t xml:space="preserve"> foram: trigonelina</w:t>
      </w:r>
      <w:r w:rsidR="00A128AC">
        <w:rPr>
          <w:rFonts w:ascii="Times New Roman" w:hAnsi="Times New Roman" w:cs="Times New Roman"/>
          <w:sz w:val="24"/>
          <w:szCs w:val="24"/>
        </w:rPr>
        <w:t xml:space="preserve"> e</w:t>
      </w:r>
      <w:r>
        <w:rPr>
          <w:rFonts w:ascii="Times New Roman" w:hAnsi="Times New Roman" w:cs="Times New Roman"/>
          <w:sz w:val="24"/>
          <w:szCs w:val="24"/>
        </w:rPr>
        <w:t xml:space="preserve"> ácido gálico.</w:t>
      </w:r>
    </w:p>
    <w:bookmarkEnd w:id="3"/>
    <w:p w14:paraId="6209C16C" w14:textId="6C80A845" w:rsidR="00307BF8" w:rsidRDefault="00307BF8" w:rsidP="00B87756">
      <w:pPr>
        <w:spacing w:after="0" w:line="360" w:lineRule="auto"/>
        <w:jc w:val="both"/>
        <w:rPr>
          <w:rFonts w:ascii="Times New Roman" w:hAnsi="Times New Roman" w:cs="Times New Roman"/>
          <w:sz w:val="24"/>
          <w:szCs w:val="24"/>
        </w:rPr>
      </w:pPr>
      <w:r w:rsidRPr="00DF22D1">
        <w:rPr>
          <w:rFonts w:ascii="Times New Roman" w:hAnsi="Times New Roman" w:cs="Times New Roman"/>
          <w:b/>
          <w:bCs/>
          <w:sz w:val="24"/>
          <w:szCs w:val="24"/>
        </w:rPr>
        <w:t>Tabela 3</w:t>
      </w:r>
      <w:r>
        <w:rPr>
          <w:rFonts w:ascii="Times New Roman" w:hAnsi="Times New Roman" w:cs="Times New Roman"/>
          <w:sz w:val="24"/>
          <w:szCs w:val="24"/>
        </w:rPr>
        <w:t xml:space="preserve">: Substâncias </w:t>
      </w:r>
      <w:r w:rsidR="00F40206">
        <w:rPr>
          <w:rFonts w:ascii="Times New Roman" w:hAnsi="Times New Roman" w:cs="Times New Roman"/>
          <w:sz w:val="24"/>
          <w:szCs w:val="24"/>
        </w:rPr>
        <w:t xml:space="preserve">encontradas na espécie </w:t>
      </w:r>
      <w:r w:rsidR="00DF22D1">
        <w:rPr>
          <w:rFonts w:ascii="Times New Roman" w:hAnsi="Times New Roman" w:cs="Times New Roman"/>
          <w:i/>
          <w:iCs/>
          <w:sz w:val="24"/>
          <w:szCs w:val="24"/>
        </w:rPr>
        <w:t>Annona</w:t>
      </w:r>
      <w:r w:rsidR="00F40206">
        <w:rPr>
          <w:rFonts w:ascii="Times New Roman" w:hAnsi="Times New Roman" w:cs="Times New Roman"/>
          <w:i/>
          <w:iCs/>
          <w:sz w:val="24"/>
          <w:szCs w:val="24"/>
        </w:rPr>
        <w:t xml:space="preserve"> coriacea </w:t>
      </w:r>
      <w:r>
        <w:rPr>
          <w:rFonts w:ascii="Times New Roman" w:hAnsi="Times New Roman" w:cs="Times New Roman"/>
          <w:sz w:val="24"/>
          <w:szCs w:val="24"/>
        </w:rPr>
        <w:t>selecionadas para o estudo</w:t>
      </w:r>
      <w:r w:rsidR="00F40206">
        <w:rPr>
          <w:rFonts w:ascii="Times New Roman" w:hAnsi="Times New Roman" w:cs="Times New Roman"/>
          <w:sz w:val="24"/>
          <w:szCs w:val="24"/>
        </w:rPr>
        <w:t xml:space="preserve"> após análise</w:t>
      </w:r>
      <w:r>
        <w:rPr>
          <w:rFonts w:ascii="Times New Roman" w:hAnsi="Times New Roman" w:cs="Times New Roman"/>
          <w:sz w:val="24"/>
          <w:szCs w:val="24"/>
        </w:rPr>
        <w:t xml:space="preserve"> </w:t>
      </w:r>
      <w:r w:rsidR="00F40206">
        <w:rPr>
          <w:rFonts w:ascii="Times New Roman" w:hAnsi="Times New Roman" w:cs="Times New Roman"/>
          <w:sz w:val="24"/>
          <w:szCs w:val="24"/>
        </w:rPr>
        <w:t xml:space="preserve">de </w:t>
      </w:r>
      <w:r>
        <w:rPr>
          <w:rFonts w:ascii="Times New Roman" w:hAnsi="Times New Roman" w:cs="Times New Roman"/>
          <w:sz w:val="24"/>
          <w:szCs w:val="24"/>
        </w:rPr>
        <w:t xml:space="preserve">seus potenciais alvos e doenças </w:t>
      </w:r>
      <w:r w:rsidR="00C45EE5">
        <w:rPr>
          <w:rFonts w:ascii="Times New Roman" w:hAnsi="Times New Roman" w:cs="Times New Roman"/>
          <w:sz w:val="24"/>
          <w:szCs w:val="24"/>
        </w:rPr>
        <w:t xml:space="preserve">psiquiátricas </w:t>
      </w:r>
      <w:r>
        <w:rPr>
          <w:rFonts w:ascii="Times New Roman" w:hAnsi="Times New Roman" w:cs="Times New Roman"/>
          <w:sz w:val="24"/>
          <w:szCs w:val="24"/>
        </w:rPr>
        <w:t>relacionadas.</w:t>
      </w:r>
    </w:p>
    <w:tbl>
      <w:tblPr>
        <w:tblW w:w="9893" w:type="dxa"/>
        <w:tblCellMar>
          <w:left w:w="70" w:type="dxa"/>
          <w:right w:w="70" w:type="dxa"/>
        </w:tblCellMar>
        <w:tblLook w:val="04A0" w:firstRow="1" w:lastRow="0" w:firstColumn="1" w:lastColumn="0" w:noHBand="0" w:noVBand="1"/>
      </w:tblPr>
      <w:tblGrid>
        <w:gridCol w:w="2196"/>
        <w:gridCol w:w="2207"/>
        <w:gridCol w:w="5490"/>
      </w:tblGrid>
      <w:tr w:rsidR="00307BF8" w14:paraId="0AED7F32" w14:textId="77777777" w:rsidTr="00A24E2C">
        <w:trPr>
          <w:trHeight w:val="319"/>
        </w:trPr>
        <w:tc>
          <w:tcPr>
            <w:tcW w:w="2196" w:type="dxa"/>
            <w:tcBorders>
              <w:top w:val="single" w:sz="4" w:space="0" w:color="auto"/>
              <w:left w:val="nil"/>
              <w:bottom w:val="single" w:sz="4" w:space="0" w:color="auto"/>
              <w:right w:val="nil"/>
            </w:tcBorders>
            <w:noWrap/>
            <w:vAlign w:val="bottom"/>
            <w:hideMark/>
          </w:tcPr>
          <w:p w14:paraId="164731B4" w14:textId="77777777" w:rsidR="00307BF8" w:rsidRDefault="00307BF8" w:rsidP="00B87756">
            <w:pPr>
              <w:spacing w:after="0" w:line="360" w:lineRule="auto"/>
              <w:jc w:val="center"/>
              <w:rPr>
                <w:rFonts w:ascii="Times New Roman" w:eastAsia="Times New Roman" w:hAnsi="Times New Roman" w:cs="Times New Roman"/>
                <w:color w:val="000000"/>
                <w:lang w:eastAsia="pt-BR"/>
              </w:rPr>
            </w:pPr>
            <w:r>
              <w:rPr>
                <w:rFonts w:ascii="Times New Roman" w:eastAsia="Times New Roman" w:hAnsi="Times New Roman" w:cs="Times New Roman"/>
                <w:color w:val="000000"/>
                <w:lang w:eastAsia="pt-BR"/>
              </w:rPr>
              <w:t>Composto</w:t>
            </w:r>
          </w:p>
        </w:tc>
        <w:tc>
          <w:tcPr>
            <w:tcW w:w="2207" w:type="dxa"/>
            <w:tcBorders>
              <w:top w:val="single" w:sz="4" w:space="0" w:color="auto"/>
              <w:left w:val="nil"/>
              <w:bottom w:val="single" w:sz="4" w:space="0" w:color="auto"/>
              <w:right w:val="nil"/>
            </w:tcBorders>
            <w:noWrap/>
            <w:vAlign w:val="bottom"/>
            <w:hideMark/>
          </w:tcPr>
          <w:p w14:paraId="444A91D8" w14:textId="77777777" w:rsidR="00307BF8" w:rsidRDefault="00307BF8" w:rsidP="00B87756">
            <w:pPr>
              <w:spacing w:after="0" w:line="360" w:lineRule="auto"/>
              <w:jc w:val="center"/>
              <w:rPr>
                <w:rFonts w:ascii="Times New Roman" w:eastAsia="Times New Roman" w:hAnsi="Times New Roman" w:cs="Times New Roman"/>
                <w:color w:val="000000"/>
                <w:lang w:eastAsia="pt-BR"/>
              </w:rPr>
            </w:pPr>
            <w:r>
              <w:rPr>
                <w:rFonts w:ascii="Times New Roman" w:eastAsia="Times New Roman" w:hAnsi="Times New Roman" w:cs="Times New Roman"/>
                <w:color w:val="000000"/>
                <w:lang w:eastAsia="pt-BR"/>
              </w:rPr>
              <w:t>Alvos de interesse</w:t>
            </w:r>
          </w:p>
        </w:tc>
        <w:tc>
          <w:tcPr>
            <w:tcW w:w="5490" w:type="dxa"/>
            <w:tcBorders>
              <w:top w:val="single" w:sz="4" w:space="0" w:color="auto"/>
              <w:left w:val="nil"/>
              <w:bottom w:val="single" w:sz="4" w:space="0" w:color="auto"/>
              <w:right w:val="nil"/>
            </w:tcBorders>
            <w:noWrap/>
            <w:vAlign w:val="bottom"/>
            <w:hideMark/>
          </w:tcPr>
          <w:p w14:paraId="7BC9E1EF" w14:textId="77777777" w:rsidR="00307BF8" w:rsidRDefault="00307BF8" w:rsidP="00B87756">
            <w:pPr>
              <w:spacing w:after="0" w:line="360" w:lineRule="auto"/>
              <w:jc w:val="center"/>
              <w:rPr>
                <w:rFonts w:ascii="Times New Roman" w:eastAsia="Times New Roman" w:hAnsi="Times New Roman" w:cs="Times New Roman"/>
                <w:color w:val="000000"/>
                <w:lang w:eastAsia="pt-BR"/>
              </w:rPr>
            </w:pPr>
            <w:r>
              <w:rPr>
                <w:rFonts w:ascii="Times New Roman" w:eastAsia="Times New Roman" w:hAnsi="Times New Roman" w:cs="Times New Roman"/>
                <w:color w:val="000000"/>
                <w:lang w:eastAsia="pt-BR"/>
              </w:rPr>
              <w:t>Doenças provavelmente relacionadas</w:t>
            </w:r>
          </w:p>
        </w:tc>
      </w:tr>
      <w:tr w:rsidR="00307BF8" w14:paraId="734CA34F" w14:textId="77777777" w:rsidTr="00A24E2C">
        <w:trPr>
          <w:trHeight w:val="319"/>
        </w:trPr>
        <w:tc>
          <w:tcPr>
            <w:tcW w:w="2196" w:type="dxa"/>
            <w:noWrap/>
            <w:vAlign w:val="bottom"/>
            <w:hideMark/>
          </w:tcPr>
          <w:p w14:paraId="53AE492F" w14:textId="77777777" w:rsidR="00A128AC" w:rsidRDefault="00A128AC" w:rsidP="00B87756">
            <w:pPr>
              <w:spacing w:after="0" w:line="360" w:lineRule="auto"/>
              <w:jc w:val="center"/>
              <w:rPr>
                <w:rFonts w:ascii="Times New Roman" w:eastAsia="Times New Roman" w:hAnsi="Times New Roman" w:cs="Times New Roman"/>
                <w:color w:val="000000"/>
                <w:lang w:eastAsia="pt-BR"/>
              </w:rPr>
            </w:pPr>
          </w:p>
          <w:p w14:paraId="4A68CF3D" w14:textId="1CBB2CB1" w:rsidR="00307BF8" w:rsidRDefault="00307BF8" w:rsidP="00B87756">
            <w:pPr>
              <w:spacing w:after="0" w:line="360" w:lineRule="auto"/>
              <w:jc w:val="center"/>
              <w:rPr>
                <w:rFonts w:ascii="Times New Roman" w:eastAsia="Times New Roman" w:hAnsi="Times New Roman" w:cs="Times New Roman"/>
                <w:color w:val="000000"/>
                <w:lang w:eastAsia="pt-BR"/>
              </w:rPr>
            </w:pPr>
            <w:r>
              <w:rPr>
                <w:rFonts w:ascii="Times New Roman" w:eastAsia="Times New Roman" w:hAnsi="Times New Roman" w:cs="Times New Roman"/>
                <w:color w:val="000000"/>
                <w:lang w:eastAsia="pt-BR"/>
              </w:rPr>
              <w:t>Ácido gálico</w:t>
            </w:r>
          </w:p>
          <w:p w14:paraId="31E3442F" w14:textId="77777777" w:rsidR="00307BF8" w:rsidRDefault="00307BF8" w:rsidP="00B87756">
            <w:pPr>
              <w:spacing w:after="0" w:line="360" w:lineRule="auto"/>
              <w:jc w:val="center"/>
              <w:rPr>
                <w:rFonts w:ascii="Times New Roman" w:eastAsia="Times New Roman" w:hAnsi="Times New Roman" w:cs="Times New Roman"/>
                <w:color w:val="000000"/>
                <w:lang w:eastAsia="pt-BR"/>
              </w:rPr>
            </w:pPr>
          </w:p>
          <w:p w14:paraId="76BB7D90" w14:textId="77777777" w:rsidR="00307BF8" w:rsidRDefault="00307BF8" w:rsidP="00B87756">
            <w:pPr>
              <w:spacing w:after="0" w:line="360" w:lineRule="auto"/>
              <w:jc w:val="center"/>
              <w:rPr>
                <w:rFonts w:ascii="Times New Roman" w:eastAsia="Times New Roman" w:hAnsi="Times New Roman" w:cs="Times New Roman"/>
                <w:color w:val="000000"/>
                <w:lang w:eastAsia="pt-BR"/>
              </w:rPr>
            </w:pPr>
          </w:p>
          <w:p w14:paraId="11CCE9E3" w14:textId="77777777" w:rsidR="00307BF8" w:rsidRDefault="00307BF8" w:rsidP="00B87756">
            <w:pPr>
              <w:spacing w:after="0" w:line="360" w:lineRule="auto"/>
              <w:jc w:val="center"/>
              <w:rPr>
                <w:rFonts w:ascii="Times New Roman" w:eastAsia="Times New Roman" w:hAnsi="Times New Roman" w:cs="Times New Roman"/>
                <w:color w:val="000000"/>
                <w:lang w:eastAsia="pt-BR"/>
              </w:rPr>
            </w:pPr>
          </w:p>
          <w:p w14:paraId="7D356494" w14:textId="77777777" w:rsidR="00307BF8" w:rsidRDefault="00307BF8" w:rsidP="00B87756">
            <w:pPr>
              <w:spacing w:after="0" w:line="360" w:lineRule="auto"/>
              <w:jc w:val="center"/>
              <w:rPr>
                <w:rFonts w:ascii="Times New Roman" w:eastAsia="Times New Roman" w:hAnsi="Times New Roman" w:cs="Times New Roman"/>
                <w:color w:val="000000"/>
                <w:lang w:eastAsia="pt-BR"/>
              </w:rPr>
            </w:pPr>
          </w:p>
          <w:p w14:paraId="04608E09" w14:textId="77777777" w:rsidR="00307BF8" w:rsidRDefault="00307BF8" w:rsidP="00B87756">
            <w:pPr>
              <w:spacing w:after="0" w:line="360" w:lineRule="auto"/>
              <w:jc w:val="center"/>
              <w:rPr>
                <w:rFonts w:ascii="Times New Roman" w:eastAsia="Times New Roman" w:hAnsi="Times New Roman" w:cs="Times New Roman"/>
                <w:color w:val="000000"/>
                <w:lang w:eastAsia="pt-BR"/>
              </w:rPr>
            </w:pPr>
          </w:p>
        </w:tc>
        <w:tc>
          <w:tcPr>
            <w:tcW w:w="2207" w:type="dxa"/>
            <w:noWrap/>
            <w:vAlign w:val="bottom"/>
            <w:hideMark/>
          </w:tcPr>
          <w:p w14:paraId="0735A3F3" w14:textId="77777777" w:rsidR="00307BF8" w:rsidRDefault="00307BF8" w:rsidP="00B87756">
            <w:pPr>
              <w:spacing w:after="0" w:line="360" w:lineRule="auto"/>
              <w:jc w:val="center"/>
              <w:rPr>
                <w:rFonts w:ascii="Times New Roman" w:eastAsia="Times New Roman" w:hAnsi="Times New Roman" w:cs="Times New Roman"/>
                <w:color w:val="000000"/>
                <w:lang w:eastAsia="pt-BR"/>
              </w:rPr>
            </w:pPr>
            <w:r>
              <w:rPr>
                <w:rFonts w:ascii="Times New Roman" w:eastAsia="Times New Roman" w:hAnsi="Times New Roman" w:cs="Times New Roman"/>
                <w:color w:val="000000"/>
                <w:lang w:eastAsia="pt-BR"/>
              </w:rPr>
              <w:t>Catecol O-metiltransferase / COMT</w:t>
            </w:r>
          </w:p>
          <w:p w14:paraId="2FDF48FE" w14:textId="77777777" w:rsidR="00307BF8" w:rsidRDefault="00307BF8" w:rsidP="00B87756">
            <w:pPr>
              <w:spacing w:after="0" w:line="360" w:lineRule="auto"/>
              <w:jc w:val="center"/>
              <w:rPr>
                <w:rFonts w:ascii="Times New Roman" w:eastAsia="Times New Roman" w:hAnsi="Times New Roman" w:cs="Times New Roman"/>
                <w:color w:val="000000"/>
                <w:lang w:eastAsia="pt-BR"/>
              </w:rPr>
            </w:pPr>
          </w:p>
          <w:p w14:paraId="23FFF617" w14:textId="77777777" w:rsidR="00307BF8" w:rsidRDefault="00307BF8" w:rsidP="00B87756">
            <w:pPr>
              <w:spacing w:after="0" w:line="360" w:lineRule="auto"/>
              <w:jc w:val="center"/>
              <w:rPr>
                <w:rFonts w:ascii="Times New Roman" w:eastAsia="Times New Roman" w:hAnsi="Times New Roman" w:cs="Times New Roman"/>
                <w:color w:val="000000"/>
                <w:lang w:eastAsia="pt-BR"/>
              </w:rPr>
            </w:pPr>
          </w:p>
          <w:p w14:paraId="2D90A494" w14:textId="77777777" w:rsidR="00307BF8" w:rsidRDefault="00307BF8" w:rsidP="00B87756">
            <w:pPr>
              <w:spacing w:after="0" w:line="360" w:lineRule="auto"/>
              <w:jc w:val="center"/>
              <w:rPr>
                <w:rFonts w:ascii="Times New Roman" w:eastAsia="Times New Roman" w:hAnsi="Times New Roman" w:cs="Times New Roman"/>
                <w:color w:val="000000"/>
                <w:lang w:eastAsia="pt-BR"/>
              </w:rPr>
            </w:pPr>
          </w:p>
        </w:tc>
        <w:tc>
          <w:tcPr>
            <w:tcW w:w="5490" w:type="dxa"/>
            <w:noWrap/>
            <w:vAlign w:val="bottom"/>
            <w:hideMark/>
          </w:tcPr>
          <w:p w14:paraId="21067B8A" w14:textId="77777777" w:rsidR="00307BF8" w:rsidRDefault="00307BF8" w:rsidP="00B87756">
            <w:pPr>
              <w:spacing w:after="0" w:line="360" w:lineRule="auto"/>
              <w:jc w:val="center"/>
              <w:rPr>
                <w:rFonts w:ascii="Times New Roman" w:eastAsia="Times New Roman" w:hAnsi="Times New Roman" w:cs="Times New Roman"/>
                <w:color w:val="000000"/>
                <w:lang w:eastAsia="pt-BR"/>
              </w:rPr>
            </w:pPr>
            <w:r>
              <w:rPr>
                <w:rFonts w:ascii="Times New Roman" w:eastAsia="Times New Roman" w:hAnsi="Times New Roman" w:cs="Times New Roman"/>
                <w:color w:val="000000"/>
                <w:lang w:eastAsia="pt-BR"/>
              </w:rPr>
              <w:t>Esquizofrenia, Transtorno de Pânico, psicose, personalidade esquizotípica e esquizofrenia paranoica</w:t>
            </w:r>
          </w:p>
          <w:p w14:paraId="10BE1256" w14:textId="77777777" w:rsidR="00307BF8" w:rsidRDefault="00307BF8" w:rsidP="00B87756">
            <w:pPr>
              <w:spacing w:after="0" w:line="360" w:lineRule="auto"/>
              <w:jc w:val="center"/>
              <w:rPr>
                <w:rFonts w:ascii="Times New Roman" w:eastAsia="Times New Roman" w:hAnsi="Times New Roman" w:cs="Times New Roman"/>
                <w:color w:val="000000"/>
                <w:lang w:eastAsia="pt-BR"/>
              </w:rPr>
            </w:pPr>
          </w:p>
          <w:p w14:paraId="66D21F5E" w14:textId="77777777" w:rsidR="00307BF8" w:rsidRDefault="00307BF8" w:rsidP="00B87756">
            <w:pPr>
              <w:spacing w:after="0" w:line="360" w:lineRule="auto"/>
              <w:jc w:val="center"/>
              <w:rPr>
                <w:rFonts w:ascii="Times New Roman" w:eastAsia="Times New Roman" w:hAnsi="Times New Roman" w:cs="Times New Roman"/>
                <w:color w:val="000000"/>
                <w:lang w:eastAsia="pt-BR"/>
              </w:rPr>
            </w:pPr>
          </w:p>
          <w:p w14:paraId="260A46D8" w14:textId="77777777" w:rsidR="00307BF8" w:rsidRDefault="00307BF8" w:rsidP="00B87756">
            <w:pPr>
              <w:spacing w:after="0" w:line="360" w:lineRule="auto"/>
              <w:jc w:val="center"/>
              <w:rPr>
                <w:rFonts w:ascii="Times New Roman" w:eastAsia="Times New Roman" w:hAnsi="Times New Roman" w:cs="Times New Roman"/>
                <w:color w:val="000000"/>
                <w:lang w:eastAsia="pt-BR"/>
              </w:rPr>
            </w:pPr>
            <w:r>
              <w:rPr>
                <w:rFonts w:ascii="Times New Roman" w:eastAsia="Times New Roman" w:hAnsi="Times New Roman" w:cs="Times New Roman"/>
                <w:color w:val="000000"/>
                <w:lang w:eastAsia="pt-BR"/>
              </w:rPr>
              <w:t xml:space="preserve"> </w:t>
            </w:r>
          </w:p>
        </w:tc>
      </w:tr>
      <w:tr w:rsidR="00A128AC" w14:paraId="5BC820A8" w14:textId="77777777" w:rsidTr="00A24E2C">
        <w:trPr>
          <w:trHeight w:val="319"/>
        </w:trPr>
        <w:tc>
          <w:tcPr>
            <w:tcW w:w="2196" w:type="dxa"/>
            <w:noWrap/>
            <w:vAlign w:val="bottom"/>
          </w:tcPr>
          <w:p w14:paraId="71606AF3" w14:textId="77777777" w:rsidR="00A128AC" w:rsidRDefault="00A128AC" w:rsidP="00B87756">
            <w:pPr>
              <w:spacing w:after="0" w:line="360" w:lineRule="auto"/>
              <w:jc w:val="center"/>
              <w:rPr>
                <w:rFonts w:ascii="Times New Roman" w:eastAsia="Times New Roman" w:hAnsi="Times New Roman" w:cs="Times New Roman"/>
                <w:color w:val="000000"/>
                <w:lang w:eastAsia="pt-BR"/>
              </w:rPr>
            </w:pPr>
          </w:p>
        </w:tc>
        <w:tc>
          <w:tcPr>
            <w:tcW w:w="2207" w:type="dxa"/>
            <w:noWrap/>
            <w:vAlign w:val="bottom"/>
          </w:tcPr>
          <w:p w14:paraId="1AF3E01F" w14:textId="3C842E7B" w:rsidR="00A128AC" w:rsidRDefault="00A128AC" w:rsidP="00B87756">
            <w:pPr>
              <w:spacing w:after="0" w:line="360" w:lineRule="auto"/>
              <w:jc w:val="center"/>
              <w:rPr>
                <w:rFonts w:ascii="Times New Roman" w:eastAsia="Times New Roman" w:hAnsi="Times New Roman" w:cs="Times New Roman"/>
                <w:color w:val="000000"/>
                <w:lang w:eastAsia="pt-BR"/>
              </w:rPr>
            </w:pPr>
            <w:r>
              <w:rPr>
                <w:rFonts w:ascii="Times New Roman" w:eastAsia="Times New Roman" w:hAnsi="Times New Roman" w:cs="Times New Roman"/>
                <w:color w:val="000000"/>
                <w:lang w:eastAsia="pt-BR"/>
              </w:rPr>
              <w:t>AC1</w:t>
            </w:r>
          </w:p>
        </w:tc>
        <w:tc>
          <w:tcPr>
            <w:tcW w:w="5490" w:type="dxa"/>
            <w:noWrap/>
            <w:vAlign w:val="bottom"/>
          </w:tcPr>
          <w:p w14:paraId="18E9C8C6" w14:textId="421542FC" w:rsidR="00A128AC" w:rsidRDefault="00A128AC" w:rsidP="00B87756">
            <w:pPr>
              <w:spacing w:after="0" w:line="360" w:lineRule="auto"/>
              <w:jc w:val="center"/>
              <w:rPr>
                <w:rFonts w:ascii="Times New Roman" w:eastAsia="Times New Roman" w:hAnsi="Times New Roman" w:cs="Times New Roman"/>
                <w:color w:val="000000"/>
                <w:lang w:eastAsia="pt-BR"/>
              </w:rPr>
            </w:pPr>
            <w:r>
              <w:rPr>
                <w:rFonts w:ascii="Times New Roman" w:eastAsia="Times New Roman" w:hAnsi="Times New Roman" w:cs="Times New Roman"/>
                <w:color w:val="000000"/>
                <w:lang w:eastAsia="pt-BR"/>
              </w:rPr>
              <w:t>Amnésia global transitória</w:t>
            </w:r>
          </w:p>
        </w:tc>
      </w:tr>
      <w:tr w:rsidR="00A128AC" w14:paraId="613A0686" w14:textId="77777777" w:rsidTr="00A24E2C">
        <w:trPr>
          <w:trHeight w:val="319"/>
        </w:trPr>
        <w:tc>
          <w:tcPr>
            <w:tcW w:w="2196" w:type="dxa"/>
            <w:noWrap/>
            <w:vAlign w:val="bottom"/>
          </w:tcPr>
          <w:p w14:paraId="777F1464" w14:textId="77777777" w:rsidR="00A128AC" w:rsidRDefault="00A128AC" w:rsidP="00B87756">
            <w:pPr>
              <w:spacing w:after="0" w:line="360" w:lineRule="auto"/>
              <w:jc w:val="center"/>
              <w:rPr>
                <w:rFonts w:ascii="Times New Roman" w:eastAsia="Times New Roman" w:hAnsi="Times New Roman" w:cs="Times New Roman"/>
                <w:color w:val="000000"/>
                <w:lang w:eastAsia="pt-BR"/>
              </w:rPr>
            </w:pPr>
          </w:p>
        </w:tc>
        <w:tc>
          <w:tcPr>
            <w:tcW w:w="2207" w:type="dxa"/>
            <w:noWrap/>
            <w:vAlign w:val="bottom"/>
          </w:tcPr>
          <w:p w14:paraId="613E3BBC" w14:textId="77777777" w:rsidR="00A128AC" w:rsidRDefault="00A128AC" w:rsidP="00B87756">
            <w:pPr>
              <w:spacing w:after="0" w:line="360" w:lineRule="auto"/>
              <w:jc w:val="center"/>
              <w:rPr>
                <w:rFonts w:ascii="Times New Roman" w:eastAsia="Times New Roman" w:hAnsi="Times New Roman" w:cs="Times New Roman"/>
                <w:color w:val="000000"/>
                <w:lang w:eastAsia="pt-BR"/>
              </w:rPr>
            </w:pPr>
          </w:p>
        </w:tc>
        <w:tc>
          <w:tcPr>
            <w:tcW w:w="5490" w:type="dxa"/>
            <w:noWrap/>
            <w:vAlign w:val="bottom"/>
          </w:tcPr>
          <w:p w14:paraId="2B867B6E" w14:textId="77777777" w:rsidR="00A128AC" w:rsidRDefault="00A128AC" w:rsidP="00B87756">
            <w:pPr>
              <w:spacing w:after="0" w:line="360" w:lineRule="auto"/>
              <w:jc w:val="center"/>
              <w:rPr>
                <w:rFonts w:ascii="Times New Roman" w:eastAsia="Times New Roman" w:hAnsi="Times New Roman" w:cs="Times New Roman"/>
                <w:color w:val="000000"/>
                <w:lang w:eastAsia="pt-BR"/>
              </w:rPr>
            </w:pPr>
          </w:p>
        </w:tc>
      </w:tr>
      <w:tr w:rsidR="00307BF8" w14:paraId="70B6D814" w14:textId="77777777" w:rsidTr="00A24E2C">
        <w:trPr>
          <w:trHeight w:val="319"/>
        </w:trPr>
        <w:tc>
          <w:tcPr>
            <w:tcW w:w="2196" w:type="dxa"/>
            <w:vMerge w:val="restart"/>
            <w:tcBorders>
              <w:top w:val="nil"/>
              <w:left w:val="nil"/>
              <w:bottom w:val="single" w:sz="4" w:space="0" w:color="000000"/>
              <w:right w:val="nil"/>
            </w:tcBorders>
            <w:noWrap/>
            <w:vAlign w:val="center"/>
            <w:hideMark/>
          </w:tcPr>
          <w:p w14:paraId="5E21FB8B" w14:textId="77777777" w:rsidR="00307BF8" w:rsidRDefault="00307BF8" w:rsidP="00B87756">
            <w:pPr>
              <w:spacing w:after="0" w:line="360" w:lineRule="auto"/>
              <w:jc w:val="center"/>
              <w:rPr>
                <w:rFonts w:ascii="Times New Roman" w:eastAsia="Times New Roman" w:hAnsi="Times New Roman" w:cs="Times New Roman"/>
                <w:color w:val="000000"/>
                <w:lang w:eastAsia="pt-BR"/>
              </w:rPr>
            </w:pPr>
            <w:r>
              <w:rPr>
                <w:rFonts w:ascii="Times New Roman" w:eastAsia="Times New Roman" w:hAnsi="Times New Roman" w:cs="Times New Roman"/>
                <w:color w:val="000000"/>
                <w:lang w:eastAsia="pt-BR"/>
              </w:rPr>
              <w:t>Trigonelina</w:t>
            </w:r>
          </w:p>
          <w:p w14:paraId="58BBE86C" w14:textId="77777777" w:rsidR="00307BF8" w:rsidRDefault="00307BF8" w:rsidP="00B87756">
            <w:pPr>
              <w:spacing w:after="0" w:line="360" w:lineRule="auto"/>
              <w:jc w:val="center"/>
              <w:rPr>
                <w:rFonts w:ascii="Times New Roman" w:eastAsia="Times New Roman" w:hAnsi="Times New Roman" w:cs="Times New Roman"/>
                <w:color w:val="000000"/>
                <w:lang w:eastAsia="pt-BR"/>
              </w:rPr>
            </w:pPr>
          </w:p>
          <w:p w14:paraId="3BD06AC6" w14:textId="77777777" w:rsidR="00307BF8" w:rsidRDefault="00307BF8" w:rsidP="00B87756">
            <w:pPr>
              <w:spacing w:after="0" w:line="360" w:lineRule="auto"/>
              <w:jc w:val="center"/>
              <w:rPr>
                <w:rFonts w:ascii="Times New Roman" w:eastAsia="Times New Roman" w:hAnsi="Times New Roman" w:cs="Times New Roman"/>
                <w:color w:val="000000"/>
                <w:lang w:eastAsia="pt-BR"/>
              </w:rPr>
            </w:pPr>
          </w:p>
          <w:p w14:paraId="459D0B37" w14:textId="77777777" w:rsidR="00307BF8" w:rsidRDefault="00307BF8" w:rsidP="00B87756">
            <w:pPr>
              <w:spacing w:after="0" w:line="360" w:lineRule="auto"/>
              <w:jc w:val="center"/>
              <w:rPr>
                <w:rFonts w:ascii="Times New Roman" w:eastAsia="Times New Roman" w:hAnsi="Times New Roman" w:cs="Times New Roman"/>
                <w:color w:val="000000"/>
                <w:lang w:eastAsia="pt-BR"/>
              </w:rPr>
            </w:pPr>
          </w:p>
          <w:p w14:paraId="34C41C4A" w14:textId="77777777" w:rsidR="00307BF8" w:rsidRDefault="00307BF8" w:rsidP="00B87756">
            <w:pPr>
              <w:spacing w:after="0" w:line="360" w:lineRule="auto"/>
              <w:jc w:val="center"/>
              <w:rPr>
                <w:rFonts w:ascii="Times New Roman" w:eastAsia="Times New Roman" w:hAnsi="Times New Roman" w:cs="Times New Roman"/>
                <w:color w:val="000000"/>
                <w:lang w:eastAsia="pt-BR"/>
              </w:rPr>
            </w:pPr>
          </w:p>
        </w:tc>
        <w:tc>
          <w:tcPr>
            <w:tcW w:w="2207" w:type="dxa"/>
            <w:noWrap/>
            <w:vAlign w:val="bottom"/>
            <w:hideMark/>
          </w:tcPr>
          <w:p w14:paraId="627E1E85" w14:textId="77777777" w:rsidR="00307BF8" w:rsidRDefault="00307BF8" w:rsidP="00B87756">
            <w:pPr>
              <w:spacing w:after="0" w:line="360" w:lineRule="auto"/>
              <w:jc w:val="center"/>
              <w:rPr>
                <w:rFonts w:ascii="Times New Roman" w:eastAsia="Times New Roman" w:hAnsi="Times New Roman" w:cs="Times New Roman"/>
                <w:color w:val="000000"/>
                <w:lang w:eastAsia="pt-BR"/>
              </w:rPr>
            </w:pPr>
            <w:r>
              <w:rPr>
                <w:rFonts w:ascii="Times New Roman" w:eastAsia="Times New Roman" w:hAnsi="Times New Roman" w:cs="Times New Roman"/>
                <w:color w:val="000000"/>
                <w:lang w:eastAsia="pt-BR"/>
              </w:rPr>
              <w:lastRenderedPageBreak/>
              <w:t>SIRT2</w:t>
            </w:r>
          </w:p>
          <w:p w14:paraId="1B65B3C7" w14:textId="77777777" w:rsidR="00307BF8" w:rsidRDefault="00307BF8" w:rsidP="00B87756">
            <w:pPr>
              <w:spacing w:after="0" w:line="360" w:lineRule="auto"/>
              <w:jc w:val="center"/>
              <w:rPr>
                <w:rFonts w:ascii="Times New Roman" w:eastAsia="Times New Roman" w:hAnsi="Times New Roman" w:cs="Times New Roman"/>
                <w:color w:val="000000"/>
                <w:lang w:eastAsia="pt-BR"/>
              </w:rPr>
            </w:pPr>
          </w:p>
        </w:tc>
        <w:tc>
          <w:tcPr>
            <w:tcW w:w="5490" w:type="dxa"/>
            <w:noWrap/>
            <w:vAlign w:val="bottom"/>
            <w:hideMark/>
          </w:tcPr>
          <w:p w14:paraId="27AE9C81" w14:textId="77777777" w:rsidR="00307BF8" w:rsidRDefault="00307BF8" w:rsidP="00B87756">
            <w:pPr>
              <w:spacing w:after="0" w:line="360" w:lineRule="auto"/>
              <w:jc w:val="center"/>
              <w:rPr>
                <w:rFonts w:ascii="Times New Roman" w:eastAsia="Times New Roman" w:hAnsi="Times New Roman" w:cs="Times New Roman"/>
                <w:color w:val="000000"/>
                <w:lang w:eastAsia="pt-BR"/>
              </w:rPr>
            </w:pPr>
            <w:r>
              <w:rPr>
                <w:rFonts w:ascii="Times New Roman" w:eastAsia="Times New Roman" w:hAnsi="Times New Roman" w:cs="Times New Roman"/>
                <w:color w:val="000000"/>
                <w:lang w:eastAsia="pt-BR"/>
              </w:rPr>
              <w:t>Transtornos de humor</w:t>
            </w:r>
          </w:p>
        </w:tc>
      </w:tr>
      <w:tr w:rsidR="00307BF8" w14:paraId="5E3C0991" w14:textId="77777777" w:rsidTr="00A24E2C">
        <w:trPr>
          <w:trHeight w:val="319"/>
        </w:trPr>
        <w:tc>
          <w:tcPr>
            <w:tcW w:w="0" w:type="auto"/>
            <w:vMerge/>
            <w:tcBorders>
              <w:top w:val="nil"/>
              <w:left w:val="nil"/>
              <w:bottom w:val="single" w:sz="4" w:space="0" w:color="000000"/>
              <w:right w:val="nil"/>
            </w:tcBorders>
            <w:vAlign w:val="center"/>
            <w:hideMark/>
          </w:tcPr>
          <w:p w14:paraId="318C6197" w14:textId="77777777" w:rsidR="00307BF8" w:rsidRDefault="00307BF8" w:rsidP="00B87756">
            <w:pPr>
              <w:spacing w:after="0" w:line="360" w:lineRule="auto"/>
              <w:rPr>
                <w:rFonts w:ascii="Times New Roman" w:eastAsia="Times New Roman" w:hAnsi="Times New Roman" w:cs="Times New Roman"/>
                <w:color w:val="000000"/>
                <w:lang w:eastAsia="pt-BR"/>
              </w:rPr>
            </w:pPr>
          </w:p>
        </w:tc>
        <w:tc>
          <w:tcPr>
            <w:tcW w:w="2207" w:type="dxa"/>
            <w:tcBorders>
              <w:top w:val="nil"/>
              <w:left w:val="nil"/>
              <w:bottom w:val="single" w:sz="4" w:space="0" w:color="auto"/>
              <w:right w:val="nil"/>
            </w:tcBorders>
            <w:noWrap/>
            <w:vAlign w:val="bottom"/>
            <w:hideMark/>
          </w:tcPr>
          <w:p w14:paraId="7188AE1A" w14:textId="77777777" w:rsidR="00307BF8" w:rsidRDefault="00307BF8" w:rsidP="00B87756">
            <w:pPr>
              <w:spacing w:after="0" w:line="360" w:lineRule="auto"/>
              <w:jc w:val="center"/>
              <w:rPr>
                <w:rFonts w:ascii="Times New Roman" w:eastAsia="Times New Roman" w:hAnsi="Times New Roman" w:cs="Times New Roman"/>
                <w:color w:val="000000"/>
                <w:lang w:eastAsia="pt-BR"/>
              </w:rPr>
            </w:pPr>
            <w:r>
              <w:rPr>
                <w:rFonts w:ascii="Times New Roman" w:eastAsia="Times New Roman" w:hAnsi="Times New Roman" w:cs="Times New Roman"/>
                <w:color w:val="000000"/>
                <w:lang w:eastAsia="pt-BR"/>
              </w:rPr>
              <w:t>CHRM1</w:t>
            </w:r>
          </w:p>
          <w:p w14:paraId="238C09E4" w14:textId="77777777" w:rsidR="00307BF8" w:rsidRDefault="00307BF8" w:rsidP="00B87756">
            <w:pPr>
              <w:spacing w:after="0" w:line="360" w:lineRule="auto"/>
              <w:jc w:val="center"/>
              <w:rPr>
                <w:rFonts w:ascii="Times New Roman" w:eastAsia="Times New Roman" w:hAnsi="Times New Roman" w:cs="Times New Roman"/>
                <w:color w:val="000000"/>
                <w:lang w:eastAsia="pt-BR"/>
              </w:rPr>
            </w:pPr>
          </w:p>
        </w:tc>
        <w:tc>
          <w:tcPr>
            <w:tcW w:w="5490" w:type="dxa"/>
            <w:tcBorders>
              <w:top w:val="nil"/>
              <w:left w:val="nil"/>
              <w:bottom w:val="single" w:sz="4" w:space="0" w:color="auto"/>
              <w:right w:val="nil"/>
            </w:tcBorders>
            <w:noWrap/>
            <w:vAlign w:val="bottom"/>
            <w:hideMark/>
          </w:tcPr>
          <w:p w14:paraId="4E643FC7" w14:textId="77777777" w:rsidR="00307BF8" w:rsidRDefault="00307BF8" w:rsidP="00B87756">
            <w:pPr>
              <w:spacing w:after="0" w:line="360" w:lineRule="auto"/>
              <w:jc w:val="center"/>
              <w:rPr>
                <w:rFonts w:ascii="Times New Roman" w:eastAsia="Times New Roman" w:hAnsi="Times New Roman" w:cs="Times New Roman"/>
                <w:color w:val="000000"/>
                <w:lang w:eastAsia="pt-BR"/>
              </w:rPr>
            </w:pPr>
          </w:p>
          <w:p w14:paraId="76EF87DC" w14:textId="77777777" w:rsidR="00307BF8" w:rsidRDefault="00307BF8" w:rsidP="00B87756">
            <w:pPr>
              <w:spacing w:after="0" w:line="360" w:lineRule="auto"/>
              <w:jc w:val="center"/>
              <w:rPr>
                <w:rFonts w:ascii="Times New Roman" w:eastAsia="Times New Roman" w:hAnsi="Times New Roman" w:cs="Times New Roman"/>
                <w:color w:val="000000"/>
                <w:lang w:eastAsia="pt-BR"/>
              </w:rPr>
            </w:pPr>
            <w:r>
              <w:rPr>
                <w:rFonts w:ascii="Times New Roman" w:eastAsia="Times New Roman" w:hAnsi="Times New Roman" w:cs="Times New Roman"/>
                <w:color w:val="000000"/>
                <w:lang w:eastAsia="pt-BR"/>
              </w:rPr>
              <w:lastRenderedPageBreak/>
              <w:t>Esquizofrenia e Transtorno de déficit de atenção e hiperatividade</w:t>
            </w:r>
          </w:p>
        </w:tc>
      </w:tr>
    </w:tbl>
    <w:p w14:paraId="0DC84E49" w14:textId="5416337F" w:rsidR="00307BF8" w:rsidRDefault="00307BF8" w:rsidP="00B87756">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Fonte: </w:t>
      </w:r>
      <w:r w:rsidR="00A128AC">
        <w:rPr>
          <w:rFonts w:ascii="Times New Roman" w:hAnsi="Times New Roman" w:cs="Times New Roman"/>
          <w:sz w:val="24"/>
          <w:szCs w:val="24"/>
        </w:rPr>
        <w:t>PINTO, T. N. (2022)</w:t>
      </w:r>
    </w:p>
    <w:p w14:paraId="304CF2A1" w14:textId="77777777" w:rsidR="00B87756" w:rsidRDefault="00B87756" w:rsidP="00B87756">
      <w:pPr>
        <w:spacing w:after="0" w:line="360" w:lineRule="auto"/>
        <w:ind w:firstLine="708"/>
        <w:jc w:val="both"/>
        <w:rPr>
          <w:rFonts w:ascii="Times New Roman" w:hAnsi="Times New Roman" w:cs="Times New Roman"/>
          <w:sz w:val="24"/>
          <w:szCs w:val="24"/>
        </w:rPr>
      </w:pPr>
    </w:p>
    <w:p w14:paraId="79B20706" w14:textId="5190850C" w:rsidR="00966EFE" w:rsidRDefault="00A8511A" w:rsidP="00B87756">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A </w:t>
      </w:r>
      <w:proofErr w:type="spellStart"/>
      <w:r>
        <w:rPr>
          <w:rFonts w:ascii="Times New Roman" w:hAnsi="Times New Roman" w:cs="Times New Roman"/>
          <w:sz w:val="24"/>
          <w:szCs w:val="24"/>
        </w:rPr>
        <w:t>trigonelina</w:t>
      </w:r>
      <w:proofErr w:type="spellEnd"/>
      <w:r>
        <w:rPr>
          <w:rFonts w:ascii="Times New Roman" w:hAnsi="Times New Roman" w:cs="Times New Roman"/>
          <w:sz w:val="24"/>
          <w:szCs w:val="24"/>
        </w:rPr>
        <w:t xml:space="preserve">, ou ácido N-metil nicotínico, é um alcaloide derivado de nucleotídeos de piridina amplamente distribuído no reino vegetal. Segundo estudos realizados </w:t>
      </w:r>
      <w:r>
        <w:rPr>
          <w:rFonts w:ascii="Times New Roman" w:hAnsi="Times New Roman" w:cs="Times New Roman"/>
          <w:i/>
          <w:iCs/>
          <w:sz w:val="24"/>
          <w:szCs w:val="24"/>
        </w:rPr>
        <w:t>in vitro</w:t>
      </w:r>
      <w:r>
        <w:rPr>
          <w:rFonts w:ascii="Times New Roman" w:hAnsi="Times New Roman" w:cs="Times New Roman"/>
          <w:sz w:val="24"/>
          <w:szCs w:val="24"/>
        </w:rPr>
        <w:t xml:space="preserve">, a trigonelina possui várias atividades biológicas, incluindo </w:t>
      </w:r>
      <w:r w:rsidR="00E12942">
        <w:rPr>
          <w:rFonts w:ascii="Times New Roman" w:hAnsi="Times New Roman" w:cs="Times New Roman"/>
          <w:sz w:val="24"/>
          <w:szCs w:val="24"/>
        </w:rPr>
        <w:t xml:space="preserve">função antibacteriana contra </w:t>
      </w:r>
      <w:r w:rsidR="00E12942">
        <w:rPr>
          <w:rFonts w:ascii="Times New Roman" w:hAnsi="Times New Roman" w:cs="Times New Roman"/>
          <w:i/>
          <w:iCs/>
          <w:sz w:val="24"/>
          <w:szCs w:val="24"/>
        </w:rPr>
        <w:t>S. mutans</w:t>
      </w:r>
      <w:r w:rsidR="00E12942">
        <w:rPr>
          <w:rFonts w:ascii="Times New Roman" w:hAnsi="Times New Roman" w:cs="Times New Roman"/>
          <w:sz w:val="24"/>
          <w:szCs w:val="24"/>
        </w:rPr>
        <w:t xml:space="preserve"> </w:t>
      </w:r>
      <w:r w:rsidR="00966EFE">
        <w:rPr>
          <w:rFonts w:ascii="Times New Roman" w:hAnsi="Times New Roman" w:cs="Times New Roman"/>
          <w:sz w:val="24"/>
          <w:szCs w:val="24"/>
        </w:rPr>
        <w:t>(</w:t>
      </w:r>
      <w:r w:rsidR="00E12942">
        <w:rPr>
          <w:rFonts w:ascii="Times New Roman" w:hAnsi="Times New Roman" w:cs="Times New Roman"/>
          <w:sz w:val="24"/>
          <w:szCs w:val="24"/>
        </w:rPr>
        <w:t>bactéria relacionada ao desenvolvimento de cárie em humanos</w:t>
      </w:r>
      <w:r w:rsidR="00966EFE">
        <w:rPr>
          <w:rFonts w:ascii="Times New Roman" w:hAnsi="Times New Roman" w:cs="Times New Roman"/>
          <w:sz w:val="24"/>
          <w:szCs w:val="24"/>
        </w:rPr>
        <w:t>)</w:t>
      </w:r>
      <w:r w:rsidR="00E12942">
        <w:rPr>
          <w:rFonts w:ascii="Times New Roman" w:hAnsi="Times New Roman" w:cs="Times New Roman"/>
          <w:sz w:val="24"/>
          <w:szCs w:val="24"/>
        </w:rPr>
        <w:t xml:space="preserve">, regeneração de dendritos e axônios de neurônios corticais, levando a melhora da memória espacial em ratos, e inibição da invasão de células cancerígenas no fígado </w:t>
      </w:r>
      <w:r w:rsidR="00E12942">
        <w:rPr>
          <w:rFonts w:ascii="Times New Roman" w:hAnsi="Times New Roman" w:cs="Times New Roman"/>
          <w:sz w:val="24"/>
          <w:szCs w:val="24"/>
        </w:rPr>
        <w:fldChar w:fldCharType="begin" w:fldLock="1"/>
      </w:r>
      <w:r w:rsidR="00595BA2">
        <w:rPr>
          <w:rFonts w:ascii="Times New Roman" w:hAnsi="Times New Roman" w:cs="Times New Roman"/>
          <w:sz w:val="24"/>
          <w:szCs w:val="24"/>
        </w:rPr>
        <w:instrText>ADDIN CSL_CITATION {"citationItems":[{"id":"ITEM-1","itemData":{"DOI":"10.1016/B978-0-12-409517-5.00003-6","ISBN":"9780124167162","abstract":"Trigonelline (. N-methylnicotinic acid) is a major alkaloid in coffee seeds. During roasting, it is converted to nicotinic acid (niacin) and other metabolites that are related to the taste and aroma of coffee beverage. Trigonelline is present in all parts of coffee plants. Its content in coffee seeds is 1-3% dry weight. In contrast to caffeine, there has been little study of the biosynthesis and degradation of trigonelline in Coffea arabica and Coffea canephora. This study reveals the outline of trigonelline metabolism in Coffea plants. The major biosynthetic pathway is NAD. →. nicotinamide mononucleotide. →. nicotinamide riboside. →. nicotinamide. →. nicotinic acid. →. trigonelline. High trigonelline biosynthesis activity was found in young fruits and in the pericarp of developing fruits. Trigonelline synthase activity was detected in Coffea plants, but the gene encoding this enzyme has not yet been cloned. A useful biotechnology for creating trigonelline-rich coffee beans is set out.","author":[{"dropping-particle":"","family":"Ashihara","given":"Hiroshi","non-dropping-particle":"","parse-names":false,"suffix":""}],"container-title":"Coffee in Health and Disease Prevention","id":"ITEM-1","issued":{"date-parts":[["2015"]]},"number-of-pages":"19-28","publisher":"Elsevier Inc.","title":"Plant Biochemistry: Trigonelline Biosynthesis in Coffea arabica and Coffea canephora","type":"book"},"uris":["http://www.mendeley.com/documents/?uuid=f0f77665-f332-4b44-bd47-db5f5d3ce482"]}],"mendeley":{"formattedCitation":"(ASHIHARA, 2015)","plainTextFormattedCitation":"(ASHIHARA, 2015)","previouslyFormattedCitation":"(ASHIHARA, 2015)"},"properties":{"noteIndex":0},"schema":"https://github.com/citation-style-language/schema/raw/master/csl-citation.json"}</w:instrText>
      </w:r>
      <w:r w:rsidR="00E12942">
        <w:rPr>
          <w:rFonts w:ascii="Times New Roman" w:hAnsi="Times New Roman" w:cs="Times New Roman"/>
          <w:sz w:val="24"/>
          <w:szCs w:val="24"/>
        </w:rPr>
        <w:fldChar w:fldCharType="separate"/>
      </w:r>
      <w:r w:rsidR="00E12942" w:rsidRPr="00E12942">
        <w:rPr>
          <w:rFonts w:ascii="Times New Roman" w:hAnsi="Times New Roman" w:cs="Times New Roman"/>
          <w:noProof/>
          <w:sz w:val="24"/>
          <w:szCs w:val="24"/>
        </w:rPr>
        <w:t>(ASHIHARA, 2015)</w:t>
      </w:r>
      <w:r w:rsidR="00E12942">
        <w:rPr>
          <w:rFonts w:ascii="Times New Roman" w:hAnsi="Times New Roman" w:cs="Times New Roman"/>
          <w:sz w:val="24"/>
          <w:szCs w:val="24"/>
        </w:rPr>
        <w:fldChar w:fldCharType="end"/>
      </w:r>
      <w:r w:rsidR="00292E98">
        <w:rPr>
          <w:rFonts w:ascii="Times New Roman" w:hAnsi="Times New Roman" w:cs="Times New Roman"/>
          <w:sz w:val="24"/>
          <w:szCs w:val="24"/>
        </w:rPr>
        <w:t xml:space="preserve">. </w:t>
      </w:r>
    </w:p>
    <w:p w14:paraId="27E1D7CB" w14:textId="6F8EBABF" w:rsidR="007A41ED" w:rsidRDefault="008B76D1" w:rsidP="00B87756">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A disfunção cognitiva é tida por muitos como o principal sintoma da psicopatologia dos transtornos de humor, e atinge múltiplas áreas como atenção, velocidade de processamento, memória e atividades executivas</w:t>
      </w:r>
      <w:r w:rsidR="00C469F3">
        <w:rPr>
          <w:rFonts w:ascii="Times New Roman" w:hAnsi="Times New Roman" w:cs="Times New Roman"/>
          <w:sz w:val="24"/>
          <w:szCs w:val="24"/>
        </w:rPr>
        <w:t xml:space="preserve"> </w:t>
      </w:r>
      <w:r w:rsidR="00C469F3">
        <w:rPr>
          <w:rFonts w:ascii="Times New Roman" w:hAnsi="Times New Roman" w:cs="Times New Roman"/>
          <w:sz w:val="24"/>
          <w:szCs w:val="24"/>
        </w:rPr>
        <w:fldChar w:fldCharType="begin" w:fldLock="1"/>
      </w:r>
      <w:r w:rsidR="00091567">
        <w:rPr>
          <w:rFonts w:ascii="Times New Roman" w:hAnsi="Times New Roman" w:cs="Times New Roman"/>
          <w:sz w:val="24"/>
          <w:szCs w:val="24"/>
        </w:rPr>
        <w:instrText>ADDIN CSL_CITATION {"citationItems":[{"id":"ITEM-1","itemData":{"DOI":"10.1111/bdi.12844","ISSN":"13995618","PMID":"31604366","abstract":"Objectives: Dysfunction of cognitive control is a feature of both bipolar disorder (BP) and major depression (MDD) and persists through to remission. However, it is unknown whether these disorders are characterized by common or distinct disruptions of cognitive control function and its neural basis. We investigated this gap in knowledge in asymptomatic BP and MDD participants, interpreted within a framework of normative function. Methods: Participants underwent fMRI scans engaging cognitive control through a working memory task and completed a cognitive battery evaluating performance across multiple subdomains of cognitive control, including attention, impulsivity, processing speed, executive function, and memory. Analysis was performed in two stages: (i) cognitive control-related brain activation and deactivation were correlated with cognitive control performance in 115 healthy controls (HCs), then, (ii) significantly correlated regions from (i) were compared between 25 asymptomatic BP, 25 remitted MDD, and with 25 different HCs, matched for age and gender. Results: Impulsivity and executive function performance were significantly worse in BP compared to both MDD and HCs. Both BP and MDD had significantly poorer memory performance compared to HCs. Greater deactivation of the medial prefrontal cortex (MPFC) during the fMRI task was associated with better executive function in healthy controls. Significantly less deactivation in this region was present in both BP and MDD compared to HCs. Conclusions: Failure to deactivate the MPFC, a key region of the default mode network, during working memory processing is a shared neural feature present in both bipolar and major depression and could be a source of common cognitive dysfunction.","author":[{"dropping-particle":"","family":"Breukelaar","given":"Isabella A.","non-dropping-particle":"","parse-names":false,"suffix":""},{"dropping-particle":"","family":"Erlinger","given":"May","non-dropping-particle":"","parse-names":false,"suffix":""},{"dropping-particle":"","family":"Harris","given":"Anthony","non-dropping-particle":"","parse-names":false,"suffix":""},{"dropping-particle":"","family":"Boyce","given":"Philip","non-dropping-particle":"","parse-names":false,"suffix":""},{"dropping-particle":"","family":"Hazell","given":"Philip","non-dropping-particle":"","parse-names":false,"suffix":""},{"dropping-particle":"","family":"Grieve","given":"Stuart M.","non-dropping-particle":"","parse-names":false,"suffix":""},{"dropping-particle":"","family":"Antees","given":"Cassandra","non-dropping-particle":"","parse-names":false,"suffix":""},{"dropping-particle":"","family":"Foster","given":"Sheryl","non-dropping-particle":"","parse-names":false,"suffix":""},{"dropping-particle":"","family":"Gomes","given":"Lavier","non-dropping-particle":"","parse-names":false,"suffix":""},{"dropping-particle":"","family":"Williams","given":"Leanne M.","non-dropping-particle":"","parse-names":false,"suffix":""},{"dropping-particle":"","family":"Malhi","given":"Gin S.","non-dropping-particle":"","parse-names":false,"suffix":""},{"dropping-particle":"","family":"Korgaonkar","given":"Mayuresh S.","non-dropping-particle":"","parse-names":false,"suffix":""}],"container-title":"Bipolar Disorders","id":"ITEM-1","issue":"3","issued":{"date-parts":[["2020"]]},"page":"286-295","title":"Investigating the neural basis of cognitive control dysfunction in mood disorders","type":"article-journal","volume":"22"},"uris":["http://www.mendeley.com/documents/?uuid=b1b7602a-0aa4-45e9-a893-5795be7cf495"]}],"mendeley":{"formattedCitation":"(BREUKELAAR et al., 2020)","plainTextFormattedCitation":"(BREUKELAAR et al., 2020)","previouslyFormattedCitation":"(BREUKELAAR et al., 2020)"},"properties":{"noteIndex":0},"schema":"https://github.com/citation-style-language/schema/raw/master/csl-citation.json"}</w:instrText>
      </w:r>
      <w:r w:rsidR="00C469F3">
        <w:rPr>
          <w:rFonts w:ascii="Times New Roman" w:hAnsi="Times New Roman" w:cs="Times New Roman"/>
          <w:sz w:val="24"/>
          <w:szCs w:val="24"/>
        </w:rPr>
        <w:fldChar w:fldCharType="separate"/>
      </w:r>
      <w:r w:rsidR="00C469F3" w:rsidRPr="00C469F3">
        <w:rPr>
          <w:rFonts w:ascii="Times New Roman" w:hAnsi="Times New Roman" w:cs="Times New Roman"/>
          <w:noProof/>
          <w:sz w:val="24"/>
          <w:szCs w:val="24"/>
        </w:rPr>
        <w:t>(BREUKELAAR et al., 2020)</w:t>
      </w:r>
      <w:r w:rsidR="00C469F3">
        <w:rPr>
          <w:rFonts w:ascii="Times New Roman" w:hAnsi="Times New Roman" w:cs="Times New Roman"/>
          <w:sz w:val="24"/>
          <w:szCs w:val="24"/>
        </w:rPr>
        <w:fldChar w:fldCharType="end"/>
      </w:r>
      <w:r>
        <w:rPr>
          <w:rFonts w:ascii="Times New Roman" w:hAnsi="Times New Roman" w:cs="Times New Roman"/>
          <w:sz w:val="24"/>
          <w:szCs w:val="24"/>
        </w:rPr>
        <w:t>.</w:t>
      </w:r>
      <w:r w:rsidR="00C47638">
        <w:rPr>
          <w:rFonts w:ascii="Times New Roman" w:hAnsi="Times New Roman" w:cs="Times New Roman"/>
          <w:sz w:val="24"/>
          <w:szCs w:val="24"/>
        </w:rPr>
        <w:t xml:space="preserve"> Estudos mostram que produção a contínua de mediadores pró-inflamatórios está relacionada com a gênese </w:t>
      </w:r>
      <w:r w:rsidR="0058561B">
        <w:rPr>
          <w:rFonts w:ascii="Times New Roman" w:hAnsi="Times New Roman" w:cs="Times New Roman"/>
          <w:sz w:val="24"/>
          <w:szCs w:val="24"/>
        </w:rPr>
        <w:t>de dano neuronal e, consequentemente, alteração estrutural e funcional de áreas vitais para o processamento afetivo e cognitivo, incluindo o córtex pré-frontal e o hipocampo</w:t>
      </w:r>
      <w:r w:rsidR="00091567">
        <w:rPr>
          <w:rFonts w:ascii="Times New Roman" w:hAnsi="Times New Roman" w:cs="Times New Roman"/>
          <w:sz w:val="24"/>
          <w:szCs w:val="24"/>
        </w:rPr>
        <w:t xml:space="preserve"> </w:t>
      </w:r>
      <w:r w:rsidR="00091567">
        <w:rPr>
          <w:rFonts w:ascii="Times New Roman" w:hAnsi="Times New Roman" w:cs="Times New Roman"/>
          <w:sz w:val="24"/>
          <w:szCs w:val="24"/>
        </w:rPr>
        <w:fldChar w:fldCharType="begin" w:fldLock="1"/>
      </w:r>
      <w:r w:rsidR="00A73E00">
        <w:rPr>
          <w:rFonts w:ascii="Times New Roman" w:hAnsi="Times New Roman" w:cs="Times New Roman"/>
          <w:sz w:val="24"/>
          <w:szCs w:val="24"/>
        </w:rPr>
        <w:instrText>ADDIN CSL_CITATION {"citationItems":[{"id":"ITEM-1","itemData":{"DOI":"10.3389/fncel.2018.00306","ISSN":"16625102","abstract":"Major depressive disorder (MDD) is a common emotional cognitive disorder that seriously affects people’s physical and mental health and their quality of life. Due to its clinical and etiological heterogeneity, the molecular mechanisms underpinning MDD are complex and they are not fully understood. In addition, the effects of traditional drug therapy are not ideal. However, postmortem and animal studies have shown that overactivated microglia can inhibit neurogenesis in the hippocampus and induce depressive-like behaviors. Nonetheless, the molecular mechanisms by which microglia regulate nerve regeneration and determine depressive-like behaviors remain unclear. As the immune cells of the central nervous system (CNS), microglia could influence neurogenesis through the M1 and M2 subtypes, and these may promote depressive-like behaviors. Microglia may be divided into four main states or phenotypes. Under stress, microglial cells are induced into the M1 type, releasing inflammatory factors and causing neuroinflammatory responses. After the inflammation fades away, microglia shift into the alternative activated M2 phenotypes that play a role in neuroprotection. These activated M2 subtypes consist of M2a, M2b and M2c and their functions are different in the CNS. In this article, we mainly introduce the relationship between microglia and MDD. Importantly, this article elucidates a plausible mechanism by which microglia regulate inflammation and neurogenesis in ameliorating MDD. This could provide a reliable basis for the treatment of MDD in the future.","author":[{"dropping-particle":"","family":"Zhang","given":"Lijuan","non-dropping-particle":"","parse-names":false,"suffix":""},{"dropping-particle":"","family":"Zhang","given":"Jinqiang","non-dropping-particle":"","parse-names":false,"suffix":""},{"dropping-particle":"","family":"You","given":"Zili","non-dropping-particle":"","parse-names":false,"suffix":""}],"container-title":"Frontiers in Cellular Neuroscience","id":"ITEM-1","issue":"October","issued":{"date-parts":[["2018"]]},"page":"1-13","title":"Switching of the microglial activation phenotype is a possible treatment for depression disorder","type":"article-journal","volume":"12"},"uris":["http://www.mendeley.com/documents/?uuid=5a327d1a-dff2-4a02-8fda-8a20e96c0b14"]}],"mendeley":{"formattedCitation":"(ZHANG; ZHANG; YOU, 2018)","plainTextFormattedCitation":"(ZHANG; ZHANG; YOU, 2018)","previouslyFormattedCitation":"(ZHANG; ZHANG; YOU, 2018)"},"properties":{"noteIndex":0},"schema":"https://github.com/citation-style-language/schema/raw/master/csl-citation.json"}</w:instrText>
      </w:r>
      <w:r w:rsidR="00091567">
        <w:rPr>
          <w:rFonts w:ascii="Times New Roman" w:hAnsi="Times New Roman" w:cs="Times New Roman"/>
          <w:sz w:val="24"/>
          <w:szCs w:val="24"/>
        </w:rPr>
        <w:fldChar w:fldCharType="separate"/>
      </w:r>
      <w:r w:rsidR="00091567" w:rsidRPr="00091567">
        <w:rPr>
          <w:rFonts w:ascii="Times New Roman" w:hAnsi="Times New Roman" w:cs="Times New Roman"/>
          <w:noProof/>
          <w:sz w:val="24"/>
          <w:szCs w:val="24"/>
        </w:rPr>
        <w:t>(ZHANG; ZHANG; YOU, 2018)</w:t>
      </w:r>
      <w:r w:rsidR="00091567">
        <w:rPr>
          <w:rFonts w:ascii="Times New Roman" w:hAnsi="Times New Roman" w:cs="Times New Roman"/>
          <w:sz w:val="24"/>
          <w:szCs w:val="24"/>
        </w:rPr>
        <w:fldChar w:fldCharType="end"/>
      </w:r>
      <w:r w:rsidR="00091567">
        <w:rPr>
          <w:rFonts w:ascii="Times New Roman" w:hAnsi="Times New Roman" w:cs="Times New Roman"/>
          <w:sz w:val="24"/>
          <w:szCs w:val="24"/>
        </w:rPr>
        <w:t>.</w:t>
      </w:r>
    </w:p>
    <w:p w14:paraId="519F3675" w14:textId="112CD3E9" w:rsidR="00A128AC" w:rsidRDefault="00A128AC" w:rsidP="00B87756">
      <w:pPr>
        <w:spacing w:after="0" w:line="360" w:lineRule="auto"/>
        <w:ind w:firstLine="708"/>
        <w:jc w:val="both"/>
        <w:rPr>
          <w:rFonts w:ascii="Times New Roman" w:hAnsi="Times New Roman" w:cs="Times New Roman"/>
          <w:sz w:val="24"/>
          <w:szCs w:val="24"/>
          <w:shd w:val="clear" w:color="auto" w:fill="FFFFFF"/>
        </w:rPr>
      </w:pPr>
      <w:r w:rsidRPr="0032299F">
        <w:rPr>
          <w:rFonts w:ascii="Times New Roman" w:hAnsi="Times New Roman" w:cs="Times New Roman"/>
          <w:sz w:val="24"/>
          <w:szCs w:val="24"/>
        </w:rPr>
        <w:t xml:space="preserve">Segundo análises feitas através da plataforma SwissTargetPrediction, um dos </w:t>
      </w:r>
      <w:r>
        <w:rPr>
          <w:rFonts w:ascii="Times New Roman" w:hAnsi="Times New Roman" w:cs="Times New Roman"/>
          <w:sz w:val="24"/>
          <w:szCs w:val="24"/>
        </w:rPr>
        <w:t>alvos</w:t>
      </w:r>
      <w:r w:rsidRPr="0032299F">
        <w:rPr>
          <w:rFonts w:ascii="Times New Roman" w:hAnsi="Times New Roman" w:cs="Times New Roman"/>
          <w:sz w:val="24"/>
          <w:szCs w:val="24"/>
        </w:rPr>
        <w:t xml:space="preserve"> que podem sofrer influência d</w:t>
      </w:r>
      <w:r>
        <w:rPr>
          <w:rFonts w:ascii="Times New Roman" w:hAnsi="Times New Roman" w:cs="Times New Roman"/>
          <w:sz w:val="24"/>
          <w:szCs w:val="24"/>
        </w:rPr>
        <w:t>a Trigonelina</w:t>
      </w:r>
      <w:r w:rsidRPr="0032299F">
        <w:rPr>
          <w:rFonts w:ascii="Times New Roman" w:hAnsi="Times New Roman" w:cs="Times New Roman"/>
          <w:sz w:val="24"/>
          <w:szCs w:val="24"/>
        </w:rPr>
        <w:t xml:space="preserve"> é a </w:t>
      </w:r>
      <w:r>
        <w:rPr>
          <w:rFonts w:ascii="Times New Roman" w:hAnsi="Times New Roman" w:cs="Times New Roman"/>
          <w:sz w:val="24"/>
          <w:szCs w:val="24"/>
        </w:rPr>
        <w:t xml:space="preserve">Anidrase Carbônica 1 (CA1) (Figura 1A). </w:t>
      </w:r>
      <w:r w:rsidRPr="00A128AC">
        <w:rPr>
          <w:rFonts w:ascii="Times New Roman" w:hAnsi="Times New Roman" w:cs="Times New Roman"/>
          <w:sz w:val="24"/>
          <w:szCs w:val="24"/>
          <w:shd w:val="clear" w:color="auto" w:fill="FFFFFF"/>
        </w:rPr>
        <w:t>As anidrases carbônicas (CAs) são uma grande família de metaloenzimas de zinco que catalisam a hidratação reversível do dióxido de carbono.</w:t>
      </w:r>
    </w:p>
    <w:p w14:paraId="6EE00CD1" w14:textId="42A7CB3A" w:rsidR="00A128AC" w:rsidRDefault="00A128AC" w:rsidP="00B87756">
      <w:pPr>
        <w:spacing w:after="0" w:line="360" w:lineRule="auto"/>
        <w:ind w:firstLine="70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O redocking do ligante co-cristalizado com a CA1 foi realizado com sucesso, resultando em valores RMSD inferiores a 0.5 para as 10 poses geradas (Figura 1B).</w:t>
      </w:r>
    </w:p>
    <w:p w14:paraId="3A2C52D4" w14:textId="517251ED" w:rsidR="00B87756" w:rsidRDefault="00B87756" w:rsidP="00B87756">
      <w:pPr>
        <w:spacing w:after="0" w:line="360" w:lineRule="auto"/>
        <w:ind w:firstLine="708"/>
        <w:jc w:val="both"/>
        <w:rPr>
          <w:rFonts w:ascii="Times New Roman" w:hAnsi="Times New Roman" w:cs="Times New Roman"/>
          <w:color w:val="000000" w:themeColor="text1"/>
          <w:sz w:val="24"/>
          <w:szCs w:val="24"/>
        </w:rPr>
      </w:pPr>
    </w:p>
    <w:p w14:paraId="29BDD2CE" w14:textId="724CFD47" w:rsidR="00B87756" w:rsidRDefault="00B87756" w:rsidP="00B87756">
      <w:pPr>
        <w:spacing w:after="0" w:line="360" w:lineRule="auto"/>
        <w:ind w:firstLine="708"/>
        <w:jc w:val="both"/>
        <w:rPr>
          <w:rFonts w:ascii="Times New Roman" w:hAnsi="Times New Roman" w:cs="Times New Roman"/>
          <w:color w:val="000000" w:themeColor="text1"/>
          <w:sz w:val="24"/>
          <w:szCs w:val="24"/>
        </w:rPr>
      </w:pPr>
    </w:p>
    <w:p w14:paraId="0E9D81D6" w14:textId="4B8A97BA" w:rsidR="00B87756" w:rsidRDefault="00B87756" w:rsidP="00B87756">
      <w:pPr>
        <w:spacing w:after="0" w:line="360" w:lineRule="auto"/>
        <w:ind w:firstLine="708"/>
        <w:jc w:val="both"/>
        <w:rPr>
          <w:rFonts w:ascii="Times New Roman" w:hAnsi="Times New Roman" w:cs="Times New Roman"/>
          <w:color w:val="000000" w:themeColor="text1"/>
          <w:sz w:val="24"/>
          <w:szCs w:val="24"/>
        </w:rPr>
      </w:pPr>
    </w:p>
    <w:p w14:paraId="1EEBA220" w14:textId="50B75A26" w:rsidR="00B87756" w:rsidRDefault="00B87756" w:rsidP="00B87756">
      <w:pPr>
        <w:spacing w:after="0" w:line="360" w:lineRule="auto"/>
        <w:ind w:firstLine="708"/>
        <w:jc w:val="both"/>
        <w:rPr>
          <w:rFonts w:ascii="Times New Roman" w:hAnsi="Times New Roman" w:cs="Times New Roman"/>
          <w:color w:val="000000" w:themeColor="text1"/>
          <w:sz w:val="24"/>
          <w:szCs w:val="24"/>
        </w:rPr>
      </w:pPr>
    </w:p>
    <w:p w14:paraId="250A4A4F" w14:textId="16D17EC3" w:rsidR="00B87756" w:rsidRDefault="00B87756" w:rsidP="00B87756">
      <w:pPr>
        <w:spacing w:after="0" w:line="360" w:lineRule="auto"/>
        <w:ind w:firstLine="708"/>
        <w:jc w:val="both"/>
        <w:rPr>
          <w:rFonts w:ascii="Times New Roman" w:hAnsi="Times New Roman" w:cs="Times New Roman"/>
          <w:color w:val="000000" w:themeColor="text1"/>
          <w:sz w:val="24"/>
          <w:szCs w:val="24"/>
        </w:rPr>
      </w:pPr>
    </w:p>
    <w:p w14:paraId="7DF8ABF1" w14:textId="47E94A17" w:rsidR="00B87756" w:rsidRDefault="00B87756" w:rsidP="00B87756">
      <w:pPr>
        <w:spacing w:after="0" w:line="360" w:lineRule="auto"/>
        <w:ind w:firstLine="708"/>
        <w:jc w:val="both"/>
        <w:rPr>
          <w:rFonts w:ascii="Times New Roman" w:hAnsi="Times New Roman" w:cs="Times New Roman"/>
          <w:color w:val="000000" w:themeColor="text1"/>
          <w:sz w:val="24"/>
          <w:szCs w:val="24"/>
        </w:rPr>
      </w:pPr>
    </w:p>
    <w:p w14:paraId="5BCC32D7" w14:textId="43C73DD1" w:rsidR="00B87756" w:rsidRDefault="00B87756" w:rsidP="00B87756">
      <w:pPr>
        <w:spacing w:after="0" w:line="360" w:lineRule="auto"/>
        <w:ind w:firstLine="708"/>
        <w:jc w:val="both"/>
        <w:rPr>
          <w:rFonts w:ascii="Times New Roman" w:hAnsi="Times New Roman" w:cs="Times New Roman"/>
          <w:color w:val="000000" w:themeColor="text1"/>
          <w:sz w:val="24"/>
          <w:szCs w:val="24"/>
        </w:rPr>
      </w:pPr>
    </w:p>
    <w:p w14:paraId="4D9B615A" w14:textId="5CF29F26" w:rsidR="00B87756" w:rsidRDefault="00B87756" w:rsidP="00B87756">
      <w:pPr>
        <w:spacing w:after="0" w:line="360" w:lineRule="auto"/>
        <w:ind w:firstLine="708"/>
        <w:jc w:val="both"/>
        <w:rPr>
          <w:rFonts w:ascii="Times New Roman" w:hAnsi="Times New Roman" w:cs="Times New Roman"/>
          <w:color w:val="000000" w:themeColor="text1"/>
          <w:sz w:val="24"/>
          <w:szCs w:val="24"/>
        </w:rPr>
      </w:pPr>
    </w:p>
    <w:p w14:paraId="62D04C65" w14:textId="6C0FA57E" w:rsidR="00B87756" w:rsidRDefault="00B87756" w:rsidP="00B87756">
      <w:pPr>
        <w:spacing w:after="0" w:line="360" w:lineRule="auto"/>
        <w:ind w:firstLine="708"/>
        <w:jc w:val="both"/>
        <w:rPr>
          <w:rFonts w:ascii="Times New Roman" w:hAnsi="Times New Roman" w:cs="Times New Roman"/>
          <w:color w:val="000000" w:themeColor="text1"/>
          <w:sz w:val="24"/>
          <w:szCs w:val="24"/>
        </w:rPr>
      </w:pPr>
    </w:p>
    <w:p w14:paraId="2F4CB4B5" w14:textId="77777777" w:rsidR="00B87756" w:rsidRDefault="00B87756" w:rsidP="00B87756">
      <w:pPr>
        <w:spacing w:after="0" w:line="360" w:lineRule="auto"/>
        <w:ind w:firstLine="708"/>
        <w:jc w:val="both"/>
        <w:rPr>
          <w:rFonts w:ascii="Times New Roman" w:hAnsi="Times New Roman" w:cs="Times New Roman"/>
          <w:sz w:val="24"/>
          <w:szCs w:val="24"/>
          <w:shd w:val="clear" w:color="auto" w:fill="FFFFFF"/>
        </w:rPr>
      </w:pPr>
    </w:p>
    <w:p w14:paraId="2A2D19C1" w14:textId="2CBD46D1" w:rsidR="00A128AC" w:rsidRPr="00A128AC" w:rsidRDefault="00A128AC" w:rsidP="00B87756">
      <w:pPr>
        <w:spacing w:after="0" w:line="360" w:lineRule="auto"/>
        <w:ind w:firstLine="708"/>
        <w:jc w:val="both"/>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lastRenderedPageBreak/>
        <w:t>A</w:t>
      </w:r>
    </w:p>
    <w:p w14:paraId="519DBEAD" w14:textId="771A0725" w:rsidR="00A128AC" w:rsidRDefault="00A128AC" w:rsidP="00B87756">
      <w:pPr>
        <w:spacing w:after="0" w:line="360" w:lineRule="auto"/>
        <w:ind w:firstLine="708"/>
        <w:jc w:val="center"/>
        <w:rPr>
          <w:rFonts w:ascii="Times New Roman" w:hAnsi="Times New Roman" w:cs="Times New Roman"/>
          <w:sz w:val="24"/>
          <w:szCs w:val="24"/>
          <w:shd w:val="clear" w:color="auto" w:fill="FFFFFF"/>
        </w:rPr>
      </w:pPr>
      <w:r>
        <w:rPr>
          <w:noProof/>
        </w:rPr>
        <w:drawing>
          <wp:inline distT="0" distB="0" distL="0" distR="0" wp14:anchorId="3C893827" wp14:editId="49EA3BE9">
            <wp:extent cx="2860158" cy="3080720"/>
            <wp:effectExtent l="0" t="0" r="0" b="0"/>
            <wp:docPr id="5" name="Imagem 5" descr="Interface gráfica do usuário, Aplicativ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2" descr="Interface gráfica do usuário, Aplicativo&#10;&#10;Descrição gerada automaticamente"/>
                    <pic:cNvPicPr>
                      <a:picLocks noChangeAspect="1"/>
                    </pic:cNvPicPr>
                  </pic:nvPicPr>
                  <pic:blipFill rotWithShape="1">
                    <a:blip r:embed="rId6"/>
                    <a:srcRect l="58938" t="18004" r="3340" b="9733"/>
                    <a:stretch/>
                  </pic:blipFill>
                  <pic:spPr bwMode="auto">
                    <a:xfrm>
                      <a:off x="0" y="0"/>
                      <a:ext cx="2906954" cy="3131124"/>
                    </a:xfrm>
                    <a:prstGeom prst="rect">
                      <a:avLst/>
                    </a:prstGeom>
                    <a:ln>
                      <a:noFill/>
                    </a:ln>
                    <a:extLst>
                      <a:ext uri="{53640926-AAD7-44D8-BBD7-CCE9431645EC}">
                        <a14:shadowObscured xmlns:a14="http://schemas.microsoft.com/office/drawing/2010/main"/>
                      </a:ext>
                    </a:extLst>
                  </pic:spPr>
                </pic:pic>
              </a:graphicData>
            </a:graphic>
          </wp:inline>
        </w:drawing>
      </w:r>
    </w:p>
    <w:p w14:paraId="3C910676" w14:textId="74528934" w:rsidR="00A128AC" w:rsidRPr="00A128AC" w:rsidRDefault="00A128AC" w:rsidP="00B87756">
      <w:pPr>
        <w:spacing w:after="0" w:line="360" w:lineRule="auto"/>
        <w:ind w:firstLine="708"/>
        <w:jc w:val="both"/>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B</w:t>
      </w:r>
    </w:p>
    <w:p w14:paraId="5AF9EDD6" w14:textId="3DA9AAE0" w:rsidR="00A128AC" w:rsidRDefault="00A128AC" w:rsidP="00B87756">
      <w:pPr>
        <w:spacing w:after="0" w:line="360" w:lineRule="auto"/>
        <w:ind w:firstLine="708"/>
        <w:jc w:val="center"/>
        <w:rPr>
          <w:rFonts w:ascii="Times New Roman" w:hAnsi="Times New Roman" w:cs="Times New Roman"/>
          <w:sz w:val="24"/>
          <w:szCs w:val="24"/>
          <w:shd w:val="clear" w:color="auto" w:fill="FFFFFF"/>
        </w:rPr>
      </w:pPr>
      <w:r>
        <w:rPr>
          <w:noProof/>
        </w:rPr>
        <w:drawing>
          <wp:inline distT="0" distB="0" distL="0" distR="0" wp14:anchorId="310D3349" wp14:editId="46C767D5">
            <wp:extent cx="3021790" cy="2020186"/>
            <wp:effectExtent l="0" t="0" r="0" b="0"/>
            <wp:docPr id="8" name="Imagem 8" descr="Uma imagem contendo Interface gráfica do usuári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descr="Uma imagem contendo Interface gráfica do usuário&#10;&#10;Descrição gerada automaticamente"/>
                    <pic:cNvPicPr/>
                  </pic:nvPicPr>
                  <pic:blipFill rotWithShape="1">
                    <a:blip r:embed="rId7"/>
                    <a:srcRect l="20108" t="10668" r="17098" b="14662"/>
                    <a:stretch/>
                  </pic:blipFill>
                  <pic:spPr bwMode="auto">
                    <a:xfrm>
                      <a:off x="0" y="0"/>
                      <a:ext cx="3039473" cy="2032008"/>
                    </a:xfrm>
                    <a:prstGeom prst="rect">
                      <a:avLst/>
                    </a:prstGeom>
                    <a:ln>
                      <a:noFill/>
                    </a:ln>
                    <a:extLst>
                      <a:ext uri="{53640926-AAD7-44D8-BBD7-CCE9431645EC}">
                        <a14:shadowObscured xmlns:a14="http://schemas.microsoft.com/office/drawing/2010/main"/>
                      </a:ext>
                    </a:extLst>
                  </pic:spPr>
                </pic:pic>
              </a:graphicData>
            </a:graphic>
          </wp:inline>
        </w:drawing>
      </w:r>
    </w:p>
    <w:p w14:paraId="1912809E" w14:textId="5CD0B4A2" w:rsidR="00A128AC" w:rsidRDefault="00A128AC" w:rsidP="00B87756">
      <w:pPr>
        <w:spacing w:after="0" w:line="360" w:lineRule="auto"/>
        <w:jc w:val="both"/>
        <w:rPr>
          <w:rFonts w:ascii="Times New Roman" w:hAnsi="Times New Roman" w:cs="Times New Roman"/>
          <w:sz w:val="24"/>
          <w:szCs w:val="24"/>
        </w:rPr>
      </w:pPr>
      <w:r w:rsidRPr="00BC548B">
        <w:rPr>
          <w:rFonts w:ascii="Times New Roman" w:hAnsi="Times New Roman" w:cs="Times New Roman"/>
          <w:b/>
          <w:bCs/>
          <w:sz w:val="24"/>
          <w:szCs w:val="24"/>
        </w:rPr>
        <w:t>Figura 1</w:t>
      </w:r>
      <w:r>
        <w:rPr>
          <w:rFonts w:ascii="Times New Roman" w:hAnsi="Times New Roman" w:cs="Times New Roman"/>
          <w:sz w:val="24"/>
          <w:szCs w:val="24"/>
        </w:rPr>
        <w:t>.</w:t>
      </w:r>
      <w:r>
        <w:rPr>
          <w:rFonts w:ascii="Times New Roman" w:hAnsi="Times New Roman" w:cs="Times New Roman"/>
          <w:b/>
          <w:bCs/>
          <w:sz w:val="24"/>
          <w:szCs w:val="24"/>
        </w:rPr>
        <w:t>A</w:t>
      </w:r>
      <w:r w:rsidR="000E5856">
        <w:rPr>
          <w:rFonts w:ascii="Times New Roman" w:hAnsi="Times New Roman" w:cs="Times New Roman"/>
          <w:b/>
          <w:bCs/>
          <w:sz w:val="24"/>
          <w:szCs w:val="24"/>
        </w:rPr>
        <w:t xml:space="preserve"> - </w:t>
      </w:r>
      <w:r>
        <w:rPr>
          <w:rFonts w:ascii="Times New Roman" w:hAnsi="Times New Roman" w:cs="Times New Roman"/>
          <w:sz w:val="24"/>
          <w:szCs w:val="24"/>
        </w:rPr>
        <w:t xml:space="preserve">Representação gráfica 2D da molécula da pose 1 da trigonelina encontrada na espécie </w:t>
      </w:r>
      <w:r>
        <w:rPr>
          <w:rFonts w:ascii="Times New Roman" w:hAnsi="Times New Roman" w:cs="Times New Roman"/>
          <w:i/>
          <w:iCs/>
          <w:sz w:val="24"/>
          <w:szCs w:val="24"/>
        </w:rPr>
        <w:t xml:space="preserve">Annona coriacea </w:t>
      </w:r>
      <w:r>
        <w:rPr>
          <w:rFonts w:ascii="Times New Roman" w:hAnsi="Times New Roman" w:cs="Times New Roman"/>
          <w:sz w:val="24"/>
          <w:szCs w:val="24"/>
        </w:rPr>
        <w:t>interagindo com o alvo anidrase carbônica I (9PDB ID: 2NMX).</w:t>
      </w:r>
      <w:r>
        <w:rPr>
          <w:rFonts w:ascii="Times New Roman" w:hAnsi="Times New Roman" w:cs="Times New Roman"/>
          <w:b/>
          <w:bCs/>
          <w:sz w:val="24"/>
          <w:szCs w:val="24"/>
        </w:rPr>
        <w:t xml:space="preserve"> B</w:t>
      </w:r>
      <w:r w:rsidR="000E5856">
        <w:rPr>
          <w:rFonts w:ascii="Times New Roman" w:hAnsi="Times New Roman" w:cs="Times New Roman"/>
          <w:b/>
          <w:bCs/>
          <w:sz w:val="24"/>
          <w:szCs w:val="24"/>
        </w:rPr>
        <w:t xml:space="preserve"> -</w:t>
      </w:r>
      <w:r>
        <w:rPr>
          <w:rFonts w:ascii="Times New Roman" w:hAnsi="Times New Roman" w:cs="Times New Roman"/>
          <w:b/>
          <w:bCs/>
          <w:sz w:val="24"/>
          <w:szCs w:val="24"/>
        </w:rPr>
        <w:t xml:space="preserve"> </w:t>
      </w:r>
      <w:r>
        <w:rPr>
          <w:rFonts w:ascii="Times New Roman" w:hAnsi="Times New Roman" w:cs="Times New Roman"/>
          <w:sz w:val="24"/>
          <w:szCs w:val="24"/>
        </w:rPr>
        <w:t>Imagem com representação em 3D da trigonelina com a anidrase carbônica I e a distância intermolecular da ligação de hidrogênio com o resíduo de ASN69.</w:t>
      </w:r>
    </w:p>
    <w:p w14:paraId="00A79202" w14:textId="77777777" w:rsidR="00B87756" w:rsidRPr="00F532AA" w:rsidRDefault="00B87756" w:rsidP="00B87756">
      <w:pPr>
        <w:spacing w:after="0" w:line="360" w:lineRule="auto"/>
        <w:jc w:val="both"/>
        <w:rPr>
          <w:rFonts w:ascii="Times New Roman" w:hAnsi="Times New Roman" w:cs="Times New Roman"/>
          <w:sz w:val="24"/>
          <w:szCs w:val="24"/>
        </w:rPr>
      </w:pPr>
    </w:p>
    <w:p w14:paraId="2BCA15E2" w14:textId="3798FF7D" w:rsidR="00156C8E" w:rsidRDefault="00A128AC" w:rsidP="00B87756">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O á</w:t>
      </w:r>
      <w:r w:rsidR="001D6AA9" w:rsidRPr="001D6AA9">
        <w:rPr>
          <w:rFonts w:ascii="Times New Roman" w:hAnsi="Times New Roman" w:cs="Times New Roman"/>
          <w:sz w:val="24"/>
          <w:szCs w:val="24"/>
        </w:rPr>
        <w:t xml:space="preserve">cido gálico </w:t>
      </w:r>
      <w:r w:rsidR="003A5D29">
        <w:rPr>
          <w:rFonts w:ascii="Times New Roman" w:hAnsi="Times New Roman" w:cs="Times New Roman"/>
          <w:sz w:val="24"/>
          <w:szCs w:val="24"/>
        </w:rPr>
        <w:t>(F</w:t>
      </w:r>
      <w:r w:rsidR="00156C8E">
        <w:rPr>
          <w:rFonts w:ascii="Times New Roman" w:hAnsi="Times New Roman" w:cs="Times New Roman"/>
          <w:sz w:val="24"/>
          <w:szCs w:val="24"/>
        </w:rPr>
        <w:t>igura</w:t>
      </w:r>
      <w:r w:rsidR="003A5D29">
        <w:rPr>
          <w:rFonts w:ascii="Times New Roman" w:hAnsi="Times New Roman" w:cs="Times New Roman"/>
          <w:sz w:val="24"/>
          <w:szCs w:val="24"/>
        </w:rPr>
        <w:t xml:space="preserve"> 2</w:t>
      </w:r>
      <w:r w:rsidR="000E3159">
        <w:rPr>
          <w:rFonts w:ascii="Times New Roman" w:hAnsi="Times New Roman" w:cs="Times New Roman"/>
          <w:sz w:val="24"/>
          <w:szCs w:val="24"/>
        </w:rPr>
        <w:t>A</w:t>
      </w:r>
      <w:r w:rsidR="009D7CB4">
        <w:rPr>
          <w:rFonts w:ascii="Times New Roman" w:hAnsi="Times New Roman" w:cs="Times New Roman"/>
          <w:sz w:val="24"/>
          <w:szCs w:val="24"/>
        </w:rPr>
        <w:t>)</w:t>
      </w:r>
      <w:r w:rsidR="003A5D29">
        <w:rPr>
          <w:rFonts w:ascii="Times New Roman" w:hAnsi="Times New Roman" w:cs="Times New Roman"/>
          <w:sz w:val="24"/>
          <w:szCs w:val="24"/>
        </w:rPr>
        <w:t xml:space="preserve"> </w:t>
      </w:r>
      <w:r w:rsidR="001D6AA9" w:rsidRPr="001D6AA9">
        <w:rPr>
          <w:rFonts w:ascii="Times New Roman" w:hAnsi="Times New Roman" w:cs="Times New Roman"/>
          <w:sz w:val="24"/>
          <w:szCs w:val="24"/>
        </w:rPr>
        <w:t>é um composto fenólico também conhecido como ácido 3,4,5-trihidroxibenzóico</w:t>
      </w:r>
      <w:r w:rsidR="001D6AA9">
        <w:rPr>
          <w:rFonts w:ascii="Times New Roman" w:hAnsi="Times New Roman" w:cs="Times New Roman"/>
          <w:sz w:val="24"/>
          <w:szCs w:val="24"/>
        </w:rPr>
        <w:t xml:space="preserve"> </w:t>
      </w:r>
      <w:r w:rsidR="001D6AA9">
        <w:rPr>
          <w:rFonts w:ascii="Times New Roman" w:hAnsi="Times New Roman" w:cs="Times New Roman"/>
          <w:sz w:val="24"/>
          <w:szCs w:val="24"/>
        </w:rPr>
        <w:fldChar w:fldCharType="begin" w:fldLock="1"/>
      </w:r>
      <w:r w:rsidR="001D6AA9">
        <w:rPr>
          <w:rFonts w:ascii="Times New Roman" w:hAnsi="Times New Roman" w:cs="Times New Roman"/>
          <w:sz w:val="24"/>
          <w:szCs w:val="24"/>
        </w:rPr>
        <w:instrText>ADDIN CSL_CITATION {"citationItems":[{"id":"ITEM-1","itemData":{"DOI":"10.1016/B978-0-12-409547-2.12404-7","ISBN":"9780128032008","abstract":"This article addresses recent small-molecule approaches, which resulted in drugs that have entered clinical trials for Crohn's disease and/or ulcerative colitis. We also discuss certain novel small-molecule approaches in well-characterized animal models of inflammatory bowel disease (IBD). Finally, we summarize some natural product-derived small molecules, which could have future utility for the treatment of IBD. Small-molecule drugs currently in clinical trials for IBD include S1P receptor modulators. Drugs that have shown efficacy in various animal models of IBD include ROR-γT inhibitors. Natural product-derived small molecules with potential utility for IBD include curcumin and silibinin.","author":[{"dropping-particle":"","family":"Fitzpatrick","given":"L. R.","non-dropping-particle":"","parse-names":false,"suffix":""},{"dropping-particle":"","family":"Woldemariam","given":"T.","non-dropping-particle":"","parse-names":false,"suffix":""}],"container-title":"Comprehensive Medicinal Chemistry III","id":"ITEM-1","issued":{"date-parts":[["2017"]]},"number-of-pages":"495-510","publisher":"Elsevier","title":"Small-Molecule Drugs for the Treatment of Inflammatory Bowel Disease","type":"book","volume":"5-8"},"uris":["http://www.mendeley.com/documents/?uuid=3f0b8298-fcaa-4025-a2e3-8db4126192b4"]}],"mendeley":{"formattedCitation":"(FITZPATRICK; WOLDEMARIAM, 2017)","plainTextFormattedCitation":"(FITZPATRICK; WOLDEMARIAM, 2017)","previouslyFormattedCitation":"(FITZPATRICK; WOLDEMARIAM, 2017)"},"properties":{"noteIndex":0},"schema":"https://github.com/citation-style-language/schema/raw/master/csl-citation.json"}</w:instrText>
      </w:r>
      <w:r w:rsidR="001D6AA9">
        <w:rPr>
          <w:rFonts w:ascii="Times New Roman" w:hAnsi="Times New Roman" w:cs="Times New Roman"/>
          <w:sz w:val="24"/>
          <w:szCs w:val="24"/>
        </w:rPr>
        <w:fldChar w:fldCharType="separate"/>
      </w:r>
      <w:r w:rsidR="001D6AA9" w:rsidRPr="001D6AA9">
        <w:rPr>
          <w:rFonts w:ascii="Times New Roman" w:hAnsi="Times New Roman" w:cs="Times New Roman"/>
          <w:noProof/>
          <w:sz w:val="24"/>
          <w:szCs w:val="24"/>
        </w:rPr>
        <w:t>(FITZPATRICK; WOLDEMARIAM, 2017)</w:t>
      </w:r>
      <w:r w:rsidR="001D6AA9">
        <w:rPr>
          <w:rFonts w:ascii="Times New Roman" w:hAnsi="Times New Roman" w:cs="Times New Roman"/>
          <w:sz w:val="24"/>
          <w:szCs w:val="24"/>
        </w:rPr>
        <w:fldChar w:fldCharType="end"/>
      </w:r>
      <w:r w:rsidR="001D6AA9" w:rsidRPr="001D6AA9">
        <w:rPr>
          <w:rFonts w:ascii="Times New Roman" w:hAnsi="Times New Roman" w:cs="Times New Roman"/>
          <w:sz w:val="24"/>
          <w:szCs w:val="24"/>
        </w:rPr>
        <w:t>.</w:t>
      </w:r>
      <w:r w:rsidR="0089246A">
        <w:rPr>
          <w:rFonts w:ascii="Times New Roman" w:hAnsi="Times New Roman" w:cs="Times New Roman"/>
          <w:sz w:val="24"/>
          <w:szCs w:val="24"/>
        </w:rPr>
        <w:t xml:space="preserve"> Até o momento, essa substância tem demonstrado uma grande quantidade de efeitos, dentre os quais podemos citar: efeito anti-inflamatório, antinociceptivo</w:t>
      </w:r>
      <w:r w:rsidR="009F4137">
        <w:rPr>
          <w:rFonts w:ascii="Times New Roman" w:hAnsi="Times New Roman" w:cs="Times New Roman"/>
          <w:sz w:val="24"/>
          <w:szCs w:val="24"/>
        </w:rPr>
        <w:t>, antineoplásico, antioxidante</w:t>
      </w:r>
      <w:r w:rsidR="0075206A">
        <w:rPr>
          <w:rFonts w:ascii="Times New Roman" w:hAnsi="Times New Roman" w:cs="Times New Roman"/>
          <w:sz w:val="24"/>
          <w:szCs w:val="24"/>
        </w:rPr>
        <w:t xml:space="preserve"> e</w:t>
      </w:r>
      <w:r w:rsidR="009F4137">
        <w:rPr>
          <w:rFonts w:ascii="Times New Roman" w:hAnsi="Times New Roman" w:cs="Times New Roman"/>
          <w:sz w:val="24"/>
          <w:szCs w:val="24"/>
        </w:rPr>
        <w:t xml:space="preserve"> antibacteriano. </w:t>
      </w:r>
    </w:p>
    <w:p w14:paraId="4C9B43D3" w14:textId="197BCD1C" w:rsidR="000E3159" w:rsidRPr="000E3159" w:rsidRDefault="000E3159" w:rsidP="00B87756">
      <w:pPr>
        <w:spacing w:after="0" w:line="360" w:lineRule="auto"/>
        <w:ind w:firstLine="709"/>
        <w:rPr>
          <w:rFonts w:ascii="Times New Roman" w:hAnsi="Times New Roman" w:cs="Times New Roman"/>
          <w:b/>
          <w:bCs/>
          <w:sz w:val="24"/>
          <w:szCs w:val="24"/>
        </w:rPr>
      </w:pPr>
      <w:r>
        <w:rPr>
          <w:rFonts w:ascii="Times New Roman" w:hAnsi="Times New Roman" w:cs="Times New Roman"/>
          <w:b/>
          <w:bCs/>
          <w:sz w:val="24"/>
          <w:szCs w:val="24"/>
        </w:rPr>
        <w:t xml:space="preserve"> A: </w:t>
      </w:r>
    </w:p>
    <w:p w14:paraId="29FBC0B8" w14:textId="14A5D844" w:rsidR="009D7CB4" w:rsidRDefault="003A5D29" w:rsidP="00B87756">
      <w:pPr>
        <w:spacing w:after="0" w:line="360" w:lineRule="auto"/>
        <w:ind w:firstLine="708"/>
        <w:jc w:val="center"/>
        <w:rPr>
          <w:rFonts w:ascii="Times New Roman" w:hAnsi="Times New Roman" w:cs="Times New Roman"/>
          <w:sz w:val="24"/>
          <w:szCs w:val="24"/>
        </w:rPr>
      </w:pPr>
      <w:r>
        <w:rPr>
          <w:noProof/>
        </w:rPr>
        <w:lastRenderedPageBreak/>
        <w:drawing>
          <wp:inline distT="0" distB="0" distL="0" distR="0" wp14:anchorId="12044593" wp14:editId="7A98F548">
            <wp:extent cx="2775831" cy="2849526"/>
            <wp:effectExtent l="0" t="0" r="0" b="0"/>
            <wp:docPr id="3" name="Imagem 3" descr="Interface gráfica do usuário, Aplicativ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3" descr="Interface gráfica do usuário, Aplicativo&#10;&#10;Descrição gerada automaticamente"/>
                    <pic:cNvPicPr>
                      <a:picLocks noChangeAspect="1"/>
                    </pic:cNvPicPr>
                  </pic:nvPicPr>
                  <pic:blipFill rotWithShape="1">
                    <a:blip r:embed="rId8"/>
                    <a:srcRect l="58561" t="16942" r="1576" b="10270"/>
                    <a:stretch/>
                  </pic:blipFill>
                  <pic:spPr bwMode="auto">
                    <a:xfrm>
                      <a:off x="0" y="0"/>
                      <a:ext cx="2803793" cy="2878231"/>
                    </a:xfrm>
                    <a:prstGeom prst="rect">
                      <a:avLst/>
                    </a:prstGeom>
                    <a:ln>
                      <a:noFill/>
                    </a:ln>
                    <a:extLst>
                      <a:ext uri="{53640926-AAD7-44D8-BBD7-CCE9431645EC}">
                        <a14:shadowObscured xmlns:a14="http://schemas.microsoft.com/office/drawing/2010/main"/>
                      </a:ext>
                    </a:extLst>
                  </pic:spPr>
                </pic:pic>
              </a:graphicData>
            </a:graphic>
          </wp:inline>
        </w:drawing>
      </w:r>
    </w:p>
    <w:p w14:paraId="48E887D0" w14:textId="395A6686" w:rsidR="002A510E" w:rsidRPr="000E3159" w:rsidRDefault="002E1634" w:rsidP="00B87756">
      <w:pPr>
        <w:spacing w:after="0" w:line="360" w:lineRule="auto"/>
        <w:ind w:firstLine="708"/>
        <w:rPr>
          <w:rFonts w:ascii="Times New Roman" w:hAnsi="Times New Roman" w:cs="Times New Roman"/>
          <w:b/>
          <w:bCs/>
          <w:sz w:val="24"/>
          <w:szCs w:val="24"/>
        </w:rPr>
      </w:pPr>
      <w:r>
        <w:rPr>
          <w:rFonts w:ascii="Times New Roman" w:hAnsi="Times New Roman" w:cs="Times New Roman"/>
          <w:b/>
          <w:bCs/>
          <w:sz w:val="24"/>
          <w:szCs w:val="24"/>
        </w:rPr>
        <w:t xml:space="preserve"> </w:t>
      </w:r>
      <w:r w:rsidR="000E3159">
        <w:rPr>
          <w:rFonts w:ascii="Times New Roman" w:hAnsi="Times New Roman" w:cs="Times New Roman"/>
          <w:b/>
          <w:bCs/>
          <w:sz w:val="24"/>
          <w:szCs w:val="24"/>
        </w:rPr>
        <w:t>B:</w:t>
      </w:r>
    </w:p>
    <w:p w14:paraId="358E6710" w14:textId="2890EE57" w:rsidR="002A510E" w:rsidRDefault="002A510E" w:rsidP="00B87756">
      <w:pPr>
        <w:spacing w:after="0" w:line="360" w:lineRule="auto"/>
        <w:ind w:firstLine="708"/>
        <w:jc w:val="center"/>
        <w:rPr>
          <w:rFonts w:ascii="Times New Roman" w:hAnsi="Times New Roman" w:cs="Times New Roman"/>
          <w:sz w:val="24"/>
          <w:szCs w:val="24"/>
        </w:rPr>
      </w:pPr>
      <w:r>
        <w:rPr>
          <w:noProof/>
        </w:rPr>
        <w:drawing>
          <wp:inline distT="0" distB="0" distL="0" distR="0" wp14:anchorId="4C7009BF" wp14:editId="49E5823D">
            <wp:extent cx="3163187" cy="1626782"/>
            <wp:effectExtent l="0" t="0" r="0" b="0"/>
            <wp:docPr id="6" name="Imagem 6" descr="Tela de computador com jog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6" descr="Tela de computador com jogo&#10;&#10;Descrição gerada automaticamente"/>
                    <pic:cNvPicPr/>
                  </pic:nvPicPr>
                  <pic:blipFill rotWithShape="1">
                    <a:blip r:embed="rId9"/>
                    <a:srcRect l="17639" t="31374" r="20626" b="12152"/>
                    <a:stretch/>
                  </pic:blipFill>
                  <pic:spPr bwMode="auto">
                    <a:xfrm>
                      <a:off x="0" y="0"/>
                      <a:ext cx="3185460" cy="1638237"/>
                    </a:xfrm>
                    <a:prstGeom prst="rect">
                      <a:avLst/>
                    </a:prstGeom>
                    <a:ln>
                      <a:noFill/>
                    </a:ln>
                    <a:extLst>
                      <a:ext uri="{53640926-AAD7-44D8-BBD7-CCE9431645EC}">
                        <a14:shadowObscured xmlns:a14="http://schemas.microsoft.com/office/drawing/2010/main"/>
                      </a:ext>
                    </a:extLst>
                  </pic:spPr>
                </pic:pic>
              </a:graphicData>
            </a:graphic>
          </wp:inline>
        </w:drawing>
      </w:r>
    </w:p>
    <w:p w14:paraId="635B6E00" w14:textId="7F160DD4" w:rsidR="003A5D29" w:rsidRDefault="003A5D29" w:rsidP="00B87756">
      <w:pPr>
        <w:spacing w:after="0" w:line="360" w:lineRule="auto"/>
        <w:jc w:val="both"/>
        <w:rPr>
          <w:rFonts w:ascii="Times New Roman" w:hAnsi="Times New Roman" w:cs="Times New Roman"/>
          <w:sz w:val="24"/>
          <w:szCs w:val="24"/>
        </w:rPr>
      </w:pPr>
      <w:r w:rsidRPr="00691251">
        <w:rPr>
          <w:rFonts w:ascii="Times New Roman" w:hAnsi="Times New Roman" w:cs="Times New Roman"/>
          <w:b/>
          <w:bCs/>
          <w:sz w:val="24"/>
          <w:szCs w:val="24"/>
        </w:rPr>
        <w:t>Figura</w:t>
      </w:r>
      <w:r w:rsidR="004E5B75">
        <w:rPr>
          <w:rFonts w:ascii="Times New Roman" w:hAnsi="Times New Roman" w:cs="Times New Roman"/>
          <w:b/>
          <w:bCs/>
          <w:sz w:val="24"/>
          <w:szCs w:val="24"/>
        </w:rPr>
        <w:t xml:space="preserve"> </w:t>
      </w:r>
      <w:r w:rsidR="000E3159">
        <w:rPr>
          <w:rFonts w:ascii="Times New Roman" w:hAnsi="Times New Roman" w:cs="Times New Roman"/>
          <w:b/>
          <w:bCs/>
          <w:sz w:val="24"/>
          <w:szCs w:val="24"/>
        </w:rPr>
        <w:t>2</w:t>
      </w:r>
      <w:r w:rsidR="002E1634">
        <w:rPr>
          <w:rFonts w:ascii="Times New Roman" w:hAnsi="Times New Roman" w:cs="Times New Roman"/>
          <w:b/>
          <w:bCs/>
          <w:sz w:val="24"/>
          <w:szCs w:val="24"/>
        </w:rPr>
        <w:t>A -</w:t>
      </w:r>
      <w:r w:rsidR="004E5B75">
        <w:rPr>
          <w:rFonts w:ascii="Times New Roman" w:hAnsi="Times New Roman" w:cs="Times New Roman"/>
          <w:sz w:val="24"/>
          <w:szCs w:val="24"/>
        </w:rPr>
        <w:t xml:space="preserve"> </w:t>
      </w:r>
      <w:r>
        <w:rPr>
          <w:rFonts w:ascii="Times New Roman" w:hAnsi="Times New Roman" w:cs="Times New Roman"/>
          <w:sz w:val="24"/>
          <w:szCs w:val="24"/>
        </w:rPr>
        <w:t xml:space="preserve">Representação gráfica </w:t>
      </w:r>
      <w:r w:rsidR="004E5B75">
        <w:rPr>
          <w:rFonts w:ascii="Times New Roman" w:hAnsi="Times New Roman" w:cs="Times New Roman"/>
          <w:sz w:val="24"/>
          <w:szCs w:val="24"/>
        </w:rPr>
        <w:t xml:space="preserve">2D </w:t>
      </w:r>
      <w:r>
        <w:rPr>
          <w:rFonts w:ascii="Times New Roman" w:hAnsi="Times New Roman" w:cs="Times New Roman"/>
          <w:sz w:val="24"/>
          <w:szCs w:val="24"/>
        </w:rPr>
        <w:t xml:space="preserve">da molécula </w:t>
      </w:r>
      <w:r w:rsidR="00A735C6">
        <w:rPr>
          <w:rFonts w:ascii="Times New Roman" w:hAnsi="Times New Roman" w:cs="Times New Roman"/>
          <w:sz w:val="24"/>
          <w:szCs w:val="24"/>
        </w:rPr>
        <w:t>do ácido gálico</w:t>
      </w:r>
      <w:r>
        <w:rPr>
          <w:rFonts w:ascii="Times New Roman" w:hAnsi="Times New Roman" w:cs="Times New Roman"/>
          <w:sz w:val="24"/>
          <w:szCs w:val="24"/>
        </w:rPr>
        <w:t xml:space="preserve"> encontrada na espécie </w:t>
      </w:r>
      <w:r w:rsidR="000E3159">
        <w:rPr>
          <w:rFonts w:ascii="Times New Roman" w:hAnsi="Times New Roman" w:cs="Times New Roman"/>
          <w:i/>
          <w:iCs/>
          <w:sz w:val="24"/>
          <w:szCs w:val="24"/>
        </w:rPr>
        <w:t>Annona</w:t>
      </w:r>
      <w:r>
        <w:rPr>
          <w:rFonts w:ascii="Times New Roman" w:hAnsi="Times New Roman" w:cs="Times New Roman"/>
          <w:i/>
          <w:iCs/>
          <w:sz w:val="24"/>
          <w:szCs w:val="24"/>
        </w:rPr>
        <w:t xml:space="preserve"> coriacea</w:t>
      </w:r>
      <w:r w:rsidR="004E5B75">
        <w:rPr>
          <w:rFonts w:ascii="Times New Roman" w:hAnsi="Times New Roman" w:cs="Times New Roman"/>
          <w:sz w:val="24"/>
          <w:szCs w:val="24"/>
        </w:rPr>
        <w:t>, interagindo com o alvo COMT</w:t>
      </w:r>
      <w:r w:rsidR="001346F6">
        <w:rPr>
          <w:rFonts w:ascii="Times New Roman" w:hAnsi="Times New Roman" w:cs="Times New Roman"/>
          <w:sz w:val="24"/>
          <w:szCs w:val="24"/>
        </w:rPr>
        <w:t xml:space="preserve"> (catecol O-metil transferase)</w:t>
      </w:r>
      <w:r w:rsidR="004E5B75">
        <w:rPr>
          <w:rFonts w:ascii="Times New Roman" w:hAnsi="Times New Roman" w:cs="Times New Roman"/>
          <w:sz w:val="24"/>
          <w:szCs w:val="24"/>
        </w:rPr>
        <w:t xml:space="preserve"> (PDB ID:</w:t>
      </w:r>
      <w:r w:rsidR="004E5B75" w:rsidRPr="000E3159">
        <w:rPr>
          <w:rFonts w:ascii="Times New Roman" w:hAnsi="Times New Roman" w:cs="Times New Roman"/>
          <w:sz w:val="28"/>
          <w:szCs w:val="28"/>
        </w:rPr>
        <w:t xml:space="preserve"> </w:t>
      </w:r>
      <w:r w:rsidR="004E5B75" w:rsidRPr="000E3159">
        <w:rPr>
          <w:rFonts w:ascii="Times New Roman" w:hAnsi="Times New Roman" w:cs="Times New Roman"/>
          <w:sz w:val="24"/>
          <w:szCs w:val="24"/>
        </w:rPr>
        <w:t>4XUE</w:t>
      </w:r>
      <w:r w:rsidR="000E3159">
        <w:rPr>
          <w:rFonts w:ascii="Times New Roman" w:hAnsi="Times New Roman" w:cs="Times New Roman"/>
          <w:sz w:val="24"/>
          <w:szCs w:val="24"/>
        </w:rPr>
        <w:t xml:space="preserve">). </w:t>
      </w:r>
      <w:r w:rsidR="000E3159">
        <w:rPr>
          <w:rFonts w:ascii="Times New Roman" w:hAnsi="Times New Roman" w:cs="Times New Roman"/>
          <w:b/>
          <w:bCs/>
          <w:sz w:val="24"/>
          <w:szCs w:val="24"/>
        </w:rPr>
        <w:t>B</w:t>
      </w:r>
      <w:r w:rsidR="002E1634">
        <w:rPr>
          <w:rFonts w:ascii="Times New Roman" w:hAnsi="Times New Roman" w:cs="Times New Roman"/>
          <w:b/>
          <w:bCs/>
          <w:sz w:val="24"/>
          <w:szCs w:val="24"/>
        </w:rPr>
        <w:t xml:space="preserve"> - </w:t>
      </w:r>
      <w:r w:rsidR="000E3159">
        <w:rPr>
          <w:rFonts w:ascii="Times New Roman" w:hAnsi="Times New Roman" w:cs="Times New Roman"/>
          <w:sz w:val="24"/>
          <w:szCs w:val="24"/>
        </w:rPr>
        <w:t>Imagem com representação 3D do ácido gálico com a COMT.</w:t>
      </w:r>
    </w:p>
    <w:p w14:paraId="0C1D8AA9" w14:textId="77777777" w:rsidR="00B87756" w:rsidRDefault="00B87756" w:rsidP="00B87756">
      <w:pPr>
        <w:spacing w:after="0" w:line="360" w:lineRule="auto"/>
        <w:jc w:val="both"/>
        <w:rPr>
          <w:rFonts w:ascii="Times New Roman" w:hAnsi="Times New Roman" w:cs="Times New Roman"/>
          <w:sz w:val="24"/>
          <w:szCs w:val="24"/>
        </w:rPr>
      </w:pPr>
    </w:p>
    <w:p w14:paraId="4AA13724" w14:textId="3A126E70" w:rsidR="007B4FA8" w:rsidRDefault="007B4FA8" w:rsidP="00B87756">
      <w:pPr>
        <w:spacing w:after="0" w:line="360" w:lineRule="auto"/>
        <w:ind w:firstLine="709"/>
        <w:jc w:val="both"/>
        <w:rPr>
          <w:rFonts w:ascii="Times New Roman" w:hAnsi="Times New Roman" w:cs="Times New Roman"/>
          <w:sz w:val="24"/>
          <w:szCs w:val="24"/>
        </w:rPr>
      </w:pPr>
      <w:r w:rsidRPr="00D82C4A">
        <w:rPr>
          <w:rFonts w:ascii="Times New Roman" w:hAnsi="Times New Roman" w:cs="Times New Roman"/>
          <w:sz w:val="24"/>
          <w:szCs w:val="24"/>
        </w:rPr>
        <w:t>Pesquisas indicam que o ácido gálico possui um mecanismo dual de ação, no qual não apenas a serotonina tem seus níveis elevados nas fendas sinápticas, mas também as catecolaminas</w:t>
      </w:r>
      <w:r>
        <w:rPr>
          <w:rFonts w:ascii="Times New Roman" w:hAnsi="Times New Roman" w:cs="Times New Roman"/>
          <w:sz w:val="24"/>
          <w:szCs w:val="24"/>
        </w:rPr>
        <w:t>. Esses resultados foram obtidos através da realização do teste de suspensão da cauda e do teste de nado forçado modificado com camundongos machos adultos</w:t>
      </w:r>
      <w:r w:rsidRPr="00D82C4A">
        <w:rPr>
          <w:rFonts w:ascii="Times New Roman" w:hAnsi="Times New Roman" w:cs="Times New Roman"/>
          <w:sz w:val="24"/>
          <w:szCs w:val="24"/>
        </w:rPr>
        <w:t xml:space="preserve"> </w:t>
      </w:r>
      <w:r w:rsidRPr="00D82C4A">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{"citationItems":[{"id":"ITEM-1","itemData":{"DOI":"10.1016/j.lfs.2017.09.023","ISSN":"18790631","PMID":"28942286","abstract":"Aims This study was planned to examine the antidepressant potency of gallic acid (30 and 60 mg/kg), a phenolic acid widely distributed in nature, together with its possible underlying monoaminergic mechanisms. Main methods Antidepressant-like activity was assessed using the tail suspension (TST) and the modified forced swimming tests (MFST). Locomotor activity was evaluated in an activity cage. Key findings Administration of gallic acid at 60 mg/kg reduced the immobility duration of mice in both the TST and MFST without any changes in the locomotor activity. The anti-immobility effect observed in the TST was abolished with pre-treatment of p-chlorophenylalanine methyl ester (an inhibitor of serotonin synthesis; 100 mg/kg i.p. administered for 4-consecutive days), ketanserin (a 5-HT2A/2C antagonist; 1 mg/kg i.p.), ondansetron (a 5-HT3 antagonist; 0.3 mg/kg i.p.), α-methyl-para-tyrosine methyl ester (an inhibitor of catecholamine synthesis; 100 mg/kg i.p.), phentolamine (non-selective alpha-adrenoceptor antagonist; 5 mg/kg i.p.), SCH 23390 (a dopamine D1 antagonist; 0.05 mg/kg s.c.), and sulpiride (a dopamine D2/D3 antagonist; 50 mg/kg i.p.). However, NAN 190 (a 5-HT1A antagonist; 0.5 mg/kg i.p.) and propranolol (a non-selective β-adrenoceptor antagonist; 5 mg/kg i.p.) pre-treatments were ineffective at reversing the antidepressant-like effects of gallic acid. Significance The results of the present study indicate that gallic acid seems to have a dual mechanism of action by increasing not only serotonin but also catecholamine levels in synaptic clefts of the central nervous system. Further alpha adrenergic, 5-HT2A/2C and 5-HT3 serotonergic, and D1, D2, and D3 dopaminergic receptors also seem to be involved in this antidepressant-like activity.","author":[{"dropping-particle":"","family":"Can","given":"Özgür Devrim","non-dropping-particle":"","parse-names":false,"suffix":""},{"dropping-particle":"","family":"Turan","given":"Nazlı","non-dropping-particle":"","parse-names":false,"suffix":""},{"dropping-particle":"","family":"Demir Özkay","given":"Ümide","non-dropping-particle":"","parse-names":false,"suffix":""},{"dropping-particle":"","family":"Öztürk","given":"Yusuf","non-dropping-particle":"","parse-names":false,"suffix":""}],"container-title":"Life Sciences","id":"ITEM-1","issued":{"date-parts":[["2017"]]},"page":"110-117","publisher":"Elsevier Inc","title":"Antidepressant-like effect of gallic acid in mice: Dual involvement of serotonergic and catecholaminergic systems","type":"article-journal","volume":"190"},"uris":["http://www.mendeley.com/documents/?uuid=204f18af-7e46-436f-93cd-a4a6cd043a16"]}],"mendeley":{"formattedCitation":"(CAN et al., 2017)","plainTextFormattedCitation":"(CAN et al., 2017)","previouslyFormattedCitation":"(CAN et al., 2017)"},"properties":{"noteIndex":0},"schema":"https://github.com/citation-style-language/schema/raw/master/csl-citation.json"}</w:instrText>
      </w:r>
      <w:r w:rsidRPr="00D82C4A">
        <w:rPr>
          <w:rFonts w:ascii="Times New Roman" w:hAnsi="Times New Roman" w:cs="Times New Roman"/>
          <w:sz w:val="24"/>
          <w:szCs w:val="24"/>
        </w:rPr>
        <w:fldChar w:fldCharType="separate"/>
      </w:r>
      <w:r w:rsidRPr="00D82C4A">
        <w:rPr>
          <w:rFonts w:ascii="Times New Roman" w:hAnsi="Times New Roman" w:cs="Times New Roman"/>
          <w:noProof/>
          <w:sz w:val="24"/>
          <w:szCs w:val="24"/>
        </w:rPr>
        <w:t>(CAN et al., 2017)</w:t>
      </w:r>
      <w:r w:rsidRPr="00D82C4A">
        <w:rPr>
          <w:rFonts w:ascii="Times New Roman" w:hAnsi="Times New Roman" w:cs="Times New Roman"/>
          <w:sz w:val="24"/>
          <w:szCs w:val="24"/>
        </w:rPr>
        <w:fldChar w:fldCharType="end"/>
      </w:r>
      <w:r>
        <w:rPr>
          <w:rFonts w:ascii="Times New Roman" w:hAnsi="Times New Roman" w:cs="Times New Roman"/>
          <w:sz w:val="24"/>
          <w:szCs w:val="24"/>
        </w:rPr>
        <w:t>.</w:t>
      </w:r>
    </w:p>
    <w:p w14:paraId="70238711" w14:textId="50B11919" w:rsidR="007B4FA8" w:rsidRDefault="007B4FA8" w:rsidP="00B87756">
      <w:pPr>
        <w:spacing w:after="0" w:line="360" w:lineRule="auto"/>
        <w:ind w:firstLine="709"/>
        <w:jc w:val="both"/>
        <w:rPr>
          <w:rFonts w:ascii="Times New Roman" w:hAnsi="Times New Roman" w:cs="Times New Roman"/>
          <w:color w:val="000000" w:themeColor="text1"/>
          <w:sz w:val="24"/>
          <w:szCs w:val="24"/>
        </w:rPr>
      </w:pPr>
      <w:r w:rsidRPr="0032299F">
        <w:rPr>
          <w:rFonts w:ascii="Times New Roman" w:hAnsi="Times New Roman" w:cs="Times New Roman"/>
          <w:sz w:val="24"/>
          <w:szCs w:val="24"/>
        </w:rPr>
        <w:t xml:space="preserve">Segundo análises feitas através da plataforma SwissTargetPrediction, um dos </w:t>
      </w:r>
      <w:r>
        <w:rPr>
          <w:rFonts w:ascii="Times New Roman" w:hAnsi="Times New Roman" w:cs="Times New Roman"/>
          <w:sz w:val="24"/>
          <w:szCs w:val="24"/>
        </w:rPr>
        <w:t>alvos</w:t>
      </w:r>
      <w:r w:rsidRPr="0032299F">
        <w:rPr>
          <w:rFonts w:ascii="Times New Roman" w:hAnsi="Times New Roman" w:cs="Times New Roman"/>
          <w:sz w:val="24"/>
          <w:szCs w:val="24"/>
        </w:rPr>
        <w:t xml:space="preserve"> que podem sofrer influência do ácido gálico é a COMT, responsável pela </w:t>
      </w:r>
      <w:r w:rsidRPr="00FF0885">
        <w:rPr>
          <w:rFonts w:ascii="Times New Roman" w:hAnsi="Times New Roman" w:cs="Times New Roman"/>
          <w:color w:val="000000" w:themeColor="text1"/>
          <w:sz w:val="24"/>
          <w:szCs w:val="24"/>
        </w:rPr>
        <w:t>codificação a enzima catecol-O-metiltransferase que catalisa a degradação de catecolaminas , incluindo a dopamina, neurotransmissor relevante na função cognitiva</w:t>
      </w:r>
      <w:r>
        <w:rPr>
          <w:rFonts w:ascii="Times New Roman" w:hAnsi="Times New Roman" w:cs="Times New Roman"/>
          <w:color w:val="000000" w:themeColor="text1"/>
          <w:sz w:val="24"/>
          <w:szCs w:val="24"/>
        </w:rPr>
        <w:t xml:space="preserve"> </w:t>
      </w:r>
      <w:r w:rsidR="009D7CB4">
        <w:rPr>
          <w:rFonts w:ascii="Times New Roman" w:hAnsi="Times New Roman" w:cs="Times New Roman"/>
          <w:color w:val="000000" w:themeColor="text1"/>
          <w:sz w:val="24"/>
          <w:szCs w:val="24"/>
        </w:rPr>
        <w:t xml:space="preserve">(Figura 2B) </w:t>
      </w:r>
      <w:r>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DOI":"10.1016/j.arcmed.2022.03.004","ISSN":"01884409","author":[{"dropping-particle":"","family":"Fricke-Galindo","given":"Ingrid","non-dropping-particle":"","parse-names":false,"suffix":""},{"dropping-particle":"","family":"Pérez-Aldana","given":"Blanca E.","non-dropping-particle":"","parse-names":false,"suffix":""},{"dropping-particle":"","family":"Macías-Kauffer","given":"Luis R.","non-dropping-particle":"","parse-names":false,"suffix":""},{"dropping-particle":"","family":"González-Arredondo","given":"Susana","non-dropping-particle":"","parse-names":false,"suffix":""},{"dropping-particle":"","family":"Dávila-Ortiz de Montellano","given":"David","non-dropping-particle":"","parse-names":false,"suffix":""},{"dropping-particle":"","family":"Aviña-Cervantes","given":"Carlos L.","non-dropping-particle":"","parse-names":false,"suffix":""},{"dropping-particle":"","family":"López-López","given":"Marisol","non-dropping-particle":"","parse-names":false,"suffix":""},{"dropping-particle":"","family":"Rodríguez-Agudelo","given":"Yaneth","non-dropping-particle":"","parse-names":false,"suffix":""},{"dropping-particle":"","family":"Monroy-Jaramillo","given":"Nancy","non-dropping-particle":"","parse-names":false,"suffix":""}],"container-title":"Archives of Medical Research","id":"ITEM-1","issue":"xxxx","issued":{"date-parts":[["2022"]]},"page":"1-11","publisher":"Elsevier Inc.","title":"Impact of COMT, PRODH and DISC1 Genetic Variants on Cognitive Performance of Patients with Schizophrenia","type":"article-journal"},"uris":["http://www.mendeley.com/documents/?uuid=e13036aa-ab15-489d-8c9c-4a14ab2becb5"]}],"mendeley":{"formattedCitation":"(FRICKE-GALINDO et al., 2022)","plainTextFormattedCitation":"(FRICKE-GALINDO et al., 2022)","previouslyFormattedCitation":"(FRICKE-GALINDO et al., 2022)"},"properties":{"noteIndex":0},"schema":"https://github.com/citation-style-language/schema/raw/master/csl-citation.json"}</w:instrText>
      </w:r>
      <w:r>
        <w:rPr>
          <w:rFonts w:ascii="Times New Roman" w:hAnsi="Times New Roman" w:cs="Times New Roman"/>
          <w:color w:val="000000" w:themeColor="text1"/>
          <w:sz w:val="24"/>
          <w:szCs w:val="24"/>
        </w:rPr>
        <w:fldChar w:fldCharType="separate"/>
      </w:r>
      <w:r w:rsidRPr="008B6CA8">
        <w:rPr>
          <w:rFonts w:ascii="Times New Roman" w:hAnsi="Times New Roman" w:cs="Times New Roman"/>
          <w:noProof/>
          <w:color w:val="000000" w:themeColor="text1"/>
          <w:sz w:val="24"/>
          <w:szCs w:val="24"/>
        </w:rPr>
        <w:t>(FRICKE-GALINDO et al., 2022)</w:t>
      </w:r>
      <w:r>
        <w:rPr>
          <w:rFonts w:ascii="Times New Roman" w:hAnsi="Times New Roman" w:cs="Times New Roman"/>
          <w:color w:val="000000" w:themeColor="text1"/>
          <w:sz w:val="24"/>
          <w:szCs w:val="24"/>
        </w:rPr>
        <w:fldChar w:fldCharType="end"/>
      </w:r>
      <w:r>
        <w:rPr>
          <w:rFonts w:ascii="Times New Roman" w:hAnsi="Times New Roman" w:cs="Times New Roman"/>
          <w:color w:val="000000" w:themeColor="text1"/>
          <w:sz w:val="24"/>
          <w:szCs w:val="24"/>
        </w:rPr>
        <w:t xml:space="preserve">. O efeito é de caráter inibitório, agindo diretamente na ação da COMT, como foi mostrado por KADOWAKI et al. Seu estudo </w:t>
      </w:r>
      <w:r>
        <w:rPr>
          <w:rFonts w:ascii="Times New Roman" w:hAnsi="Times New Roman" w:cs="Times New Roman"/>
          <w:color w:val="000000" w:themeColor="text1"/>
          <w:sz w:val="24"/>
          <w:szCs w:val="24"/>
        </w:rPr>
        <w:lastRenderedPageBreak/>
        <w:t xml:space="preserve">chegou através de experimentação com preparações citosólicas de fígado de rato e hepatócitos cultivados </w:t>
      </w:r>
      <w:r>
        <w:rPr>
          <w:rFonts w:ascii="Times New Roman" w:hAnsi="Times New Roman" w:cs="Times New Roman"/>
          <w:color w:val="000000" w:themeColor="text1"/>
          <w:sz w:val="24"/>
          <w:szCs w:val="24"/>
        </w:rPr>
        <w:fldChar w:fldCharType="begin" w:fldLock="1"/>
      </w:r>
      <w:r w:rsidR="00A128AC">
        <w:rPr>
          <w:rFonts w:ascii="Times New Roman" w:hAnsi="Times New Roman" w:cs="Times New Roman"/>
          <w:color w:val="000000" w:themeColor="text1"/>
          <w:sz w:val="24"/>
          <w:szCs w:val="24"/>
        </w:rPr>
        <w:instrText>ADDIN CSL_CITATION {"citationItems":[{"id":"ITEM-1","itemData":{"DOI":"10.1248/bpb.28.1509","ISSN":"09186158","PMID":"16079503","abstract":"Flavonoids including tea catechins and gallic acid esters were characterized for their ability to inhibit o-methyltranslation of protocatechuic acid (PCA) to form vanillic acid (VA) in rat liver cytosolic preparations and cultured hepatocytes. Flavonols and flavones exhibited different behaviors in inhibiting the formation of VA between the cell-free enzymatic preparations and the intact cells. The underlying mechanism of the inhibitory effects of flavonols and flavones on PCA o-methylation in cultured hepatocytes may not be due to the inhibition of the enzyme activity of catechol o-methyl transferase (COMT). Catechin gallates inhibited PCA o-methylation in liver cytosolic preparations with markedly higher potency than other flavonoids. As compared with catechin gallates, ungallated catechins had two to three orders of magnitude lower efficiency in inhibiting cytosolic PCA o-methylation. Gallic acid esters inhibited cytosolic PCA o-methylation with strong potency almost equal to that of catechin gallates. These results suggest that the COMT-inhibitory activity of catechin gallates is derived from the presence of the galloyl moiety at the C3 position in the C-ring. Catechin gallates and gallic acid esters inhibited PCA o-methylation in cultured hepatocytes with two orders of magnitude lower efficacy than that in cytosolic preparations. The inhibitory effects of catechin gallates and gallic acid esters on cellular PCA o-methylation appear to be due to the direct inhibition of COMT activity. © 2005 Pharmaceutical Society of Japan.","author":[{"dropping-particle":"","family":"Kadowaki","given":"Masaaki","non-dropping-particle":"","parse-names":false,"suffix":""},{"dropping-particle":"","family":"Ootani","given":"Emi","non-dropping-particle":"","parse-names":false,"suffix":""},{"dropping-particle":"","family":"Sugihara","given":"Narumi","non-dropping-particle":"","parse-names":false,"suffix":""},{"dropping-particle":"","family":"Furuno","given":"Koji","non-dropping-particle":"","parse-names":false,"suffix":""}],"container-title":"Biological and Pharmaceutical Bulletin","id":"ITEM-1","issue":"8","issued":{"date-parts":[["2005"]]},"page":"1509-1513","title":"Inhibitory effects of catechin gallates on o-methyltranslation of protocatechuic acid in rat liver cytosolic preparations and cultured hepatocytes","type":"article-journal","volume":"28"},"uris":["http://www.mendeley.com/documents/?uuid=2fd9c640-41b8-496f-9d79-27ffab76bb0b"]}],"mendeley":{"formattedCitation":"(KADOWAKI et al., 2005)","plainTextFormattedCitation":"(KADOWAKI et al., 2005)","previouslyFormattedCitation":"(KADOWAKI et al., 2005)"},"properties":{"noteIndex":0},"schema":"https://github.com/citation-style-language/schema/raw/master/csl-citation.json"}</w:instrText>
      </w:r>
      <w:r>
        <w:rPr>
          <w:rFonts w:ascii="Times New Roman" w:hAnsi="Times New Roman" w:cs="Times New Roman"/>
          <w:color w:val="000000" w:themeColor="text1"/>
          <w:sz w:val="24"/>
          <w:szCs w:val="24"/>
        </w:rPr>
        <w:fldChar w:fldCharType="separate"/>
      </w:r>
      <w:r w:rsidRPr="00363CAC">
        <w:rPr>
          <w:rFonts w:ascii="Times New Roman" w:hAnsi="Times New Roman" w:cs="Times New Roman"/>
          <w:noProof/>
          <w:color w:val="000000" w:themeColor="text1"/>
          <w:sz w:val="24"/>
          <w:szCs w:val="24"/>
        </w:rPr>
        <w:t>(KADOWAKI et al., 2005)</w:t>
      </w:r>
      <w:r>
        <w:rPr>
          <w:rFonts w:ascii="Times New Roman" w:hAnsi="Times New Roman" w:cs="Times New Roman"/>
          <w:color w:val="000000" w:themeColor="text1"/>
          <w:sz w:val="24"/>
          <w:szCs w:val="24"/>
        </w:rPr>
        <w:fldChar w:fldCharType="end"/>
      </w:r>
      <w:r>
        <w:rPr>
          <w:rFonts w:ascii="Times New Roman" w:hAnsi="Times New Roman" w:cs="Times New Roman"/>
          <w:color w:val="000000" w:themeColor="text1"/>
          <w:sz w:val="24"/>
          <w:szCs w:val="24"/>
        </w:rPr>
        <w:t>.</w:t>
      </w:r>
    </w:p>
    <w:p w14:paraId="351CB783" w14:textId="77777777" w:rsidR="00B87756" w:rsidRPr="009D7CB4" w:rsidRDefault="00B87756" w:rsidP="00B87756">
      <w:pPr>
        <w:spacing w:after="0" w:line="360" w:lineRule="auto"/>
        <w:ind w:firstLine="709"/>
        <w:jc w:val="both"/>
        <w:rPr>
          <w:rFonts w:ascii="Times New Roman" w:hAnsi="Times New Roman" w:cs="Times New Roman"/>
          <w:color w:val="000000" w:themeColor="text1"/>
          <w:sz w:val="24"/>
          <w:szCs w:val="24"/>
        </w:rPr>
      </w:pPr>
    </w:p>
    <w:p w14:paraId="0C16C60F" w14:textId="29B8F7DB" w:rsidR="008E02DA" w:rsidRPr="009D7CB4" w:rsidRDefault="007B4FA8" w:rsidP="00B87756">
      <w:pPr>
        <w:spacing w:after="0" w:line="360" w:lineRule="auto"/>
        <w:ind w:firstLine="709"/>
        <w:jc w:val="both"/>
        <w:rPr>
          <w:rFonts w:ascii="Times New Roman" w:hAnsi="Times New Roman" w:cs="Times New Roman"/>
          <w:b/>
          <w:bCs/>
          <w:sz w:val="24"/>
          <w:szCs w:val="24"/>
        </w:rPr>
      </w:pPr>
      <w:r>
        <w:rPr>
          <w:rFonts w:ascii="Times New Roman" w:hAnsi="Times New Roman" w:cs="Times New Roman"/>
          <w:b/>
          <w:bCs/>
          <w:sz w:val="24"/>
          <w:szCs w:val="24"/>
        </w:rPr>
        <w:t>A</w:t>
      </w:r>
    </w:p>
    <w:p w14:paraId="2E39ADCA" w14:textId="13DD30E9" w:rsidR="000E3159" w:rsidRDefault="008E02DA" w:rsidP="00B87756">
      <w:pPr>
        <w:spacing w:after="0" w:line="360" w:lineRule="auto"/>
        <w:jc w:val="center"/>
        <w:rPr>
          <w:rFonts w:ascii="Times New Roman" w:hAnsi="Times New Roman" w:cs="Times New Roman"/>
          <w:sz w:val="24"/>
          <w:szCs w:val="24"/>
        </w:rPr>
      </w:pPr>
      <w:r>
        <w:rPr>
          <w:noProof/>
        </w:rPr>
        <w:drawing>
          <wp:inline distT="0" distB="0" distL="0" distR="0" wp14:anchorId="3ED5E2D1" wp14:editId="2E6B47AD">
            <wp:extent cx="2828925" cy="1905000"/>
            <wp:effectExtent l="0" t="0" r="9525" b="0"/>
            <wp:docPr id="4" name="Imagem 4" descr="Interface gráfica do usuári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4" descr="Interface gráfica do usuário&#10;&#10;Descrição gerada automaticamente com confiança média"/>
                    <pic:cNvPicPr/>
                  </pic:nvPicPr>
                  <pic:blipFill rotWithShape="1">
                    <a:blip r:embed="rId10"/>
                    <a:srcRect l="39333" t="21334" r="8279" b="15917"/>
                    <a:stretch/>
                  </pic:blipFill>
                  <pic:spPr bwMode="auto">
                    <a:xfrm>
                      <a:off x="0" y="0"/>
                      <a:ext cx="2828925" cy="1905000"/>
                    </a:xfrm>
                    <a:prstGeom prst="rect">
                      <a:avLst/>
                    </a:prstGeom>
                    <a:ln>
                      <a:noFill/>
                    </a:ln>
                    <a:extLst>
                      <a:ext uri="{53640926-AAD7-44D8-BBD7-CCE9431645EC}">
                        <a14:shadowObscured xmlns:a14="http://schemas.microsoft.com/office/drawing/2010/main"/>
                      </a:ext>
                    </a:extLst>
                  </pic:spPr>
                </pic:pic>
              </a:graphicData>
            </a:graphic>
          </wp:inline>
        </w:drawing>
      </w:r>
    </w:p>
    <w:p w14:paraId="27AA1324" w14:textId="3809492D" w:rsidR="007B4FA8" w:rsidRPr="009D7CB4" w:rsidRDefault="007B4FA8" w:rsidP="00B87756">
      <w:pPr>
        <w:spacing w:after="0" w:line="360" w:lineRule="auto"/>
        <w:ind w:firstLine="709"/>
        <w:jc w:val="both"/>
        <w:rPr>
          <w:rFonts w:ascii="Times New Roman" w:hAnsi="Times New Roman" w:cs="Times New Roman"/>
          <w:b/>
          <w:bCs/>
          <w:sz w:val="24"/>
          <w:szCs w:val="24"/>
        </w:rPr>
      </w:pPr>
      <w:r>
        <w:rPr>
          <w:rFonts w:ascii="Times New Roman" w:hAnsi="Times New Roman" w:cs="Times New Roman"/>
          <w:b/>
          <w:bCs/>
          <w:sz w:val="24"/>
          <w:szCs w:val="24"/>
        </w:rPr>
        <w:t>B</w:t>
      </w:r>
    </w:p>
    <w:p w14:paraId="5731D238" w14:textId="61F92628" w:rsidR="008E02DA" w:rsidRDefault="008E02DA" w:rsidP="00B87756">
      <w:pPr>
        <w:spacing w:after="0" w:line="360" w:lineRule="auto"/>
        <w:jc w:val="center"/>
        <w:rPr>
          <w:rFonts w:ascii="Times New Roman" w:hAnsi="Times New Roman" w:cs="Times New Roman"/>
          <w:sz w:val="24"/>
          <w:szCs w:val="24"/>
        </w:rPr>
      </w:pPr>
      <w:r>
        <w:rPr>
          <w:noProof/>
        </w:rPr>
        <w:drawing>
          <wp:inline distT="0" distB="0" distL="0" distR="0" wp14:anchorId="1668B8B2" wp14:editId="0FC94EB3">
            <wp:extent cx="2828925" cy="1888906"/>
            <wp:effectExtent l="0" t="0" r="0" b="0"/>
            <wp:docPr id="7" name="Imagem 7" descr="Interface gráfica do usuári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7" descr="Interface gráfica do usuário&#10;&#10;Descrição gerada automaticamente com confiança média"/>
                    <pic:cNvPicPr/>
                  </pic:nvPicPr>
                  <pic:blipFill rotWithShape="1">
                    <a:blip r:embed="rId11"/>
                    <a:srcRect l="34219" t="22903" r="9514" b="10270"/>
                    <a:stretch/>
                  </pic:blipFill>
                  <pic:spPr bwMode="auto">
                    <a:xfrm>
                      <a:off x="0" y="0"/>
                      <a:ext cx="2835166" cy="1893073"/>
                    </a:xfrm>
                    <a:prstGeom prst="rect">
                      <a:avLst/>
                    </a:prstGeom>
                    <a:ln>
                      <a:noFill/>
                    </a:ln>
                    <a:extLst>
                      <a:ext uri="{53640926-AAD7-44D8-BBD7-CCE9431645EC}">
                        <a14:shadowObscured xmlns:a14="http://schemas.microsoft.com/office/drawing/2010/main"/>
                      </a:ext>
                    </a:extLst>
                  </pic:spPr>
                </pic:pic>
              </a:graphicData>
            </a:graphic>
          </wp:inline>
        </w:drawing>
      </w:r>
    </w:p>
    <w:p w14:paraId="69255234" w14:textId="6E2BBC83" w:rsidR="0075206A" w:rsidRDefault="008E02DA" w:rsidP="00B87756">
      <w:pPr>
        <w:spacing w:after="0" w:line="360" w:lineRule="auto"/>
        <w:jc w:val="both"/>
        <w:rPr>
          <w:rFonts w:ascii="Times New Roman" w:hAnsi="Times New Roman" w:cs="Times New Roman"/>
          <w:sz w:val="24"/>
          <w:szCs w:val="24"/>
        </w:rPr>
      </w:pPr>
      <w:r w:rsidRPr="009D7CB4">
        <w:rPr>
          <w:rFonts w:ascii="Times New Roman" w:hAnsi="Times New Roman" w:cs="Times New Roman"/>
          <w:b/>
          <w:bCs/>
          <w:sz w:val="24"/>
          <w:szCs w:val="24"/>
        </w:rPr>
        <w:t>Figura 3A</w:t>
      </w:r>
      <w:r w:rsidR="0077708F" w:rsidRPr="009D7CB4">
        <w:rPr>
          <w:rFonts w:ascii="Times New Roman" w:hAnsi="Times New Roman" w:cs="Times New Roman"/>
          <w:b/>
          <w:bCs/>
          <w:sz w:val="24"/>
          <w:szCs w:val="24"/>
        </w:rPr>
        <w:t xml:space="preserve"> </w:t>
      </w:r>
      <w:r w:rsidRPr="009D7CB4">
        <w:rPr>
          <w:rFonts w:ascii="Times New Roman" w:hAnsi="Times New Roman" w:cs="Times New Roman"/>
          <w:b/>
          <w:bCs/>
          <w:sz w:val="24"/>
          <w:szCs w:val="24"/>
        </w:rPr>
        <w:t>-</w:t>
      </w:r>
      <w:r w:rsidR="0077708F">
        <w:rPr>
          <w:rFonts w:ascii="Times New Roman" w:hAnsi="Times New Roman" w:cs="Times New Roman"/>
          <w:sz w:val="24"/>
          <w:szCs w:val="24"/>
        </w:rPr>
        <w:t xml:space="preserve"> </w:t>
      </w:r>
      <w:r>
        <w:rPr>
          <w:rFonts w:ascii="Times New Roman" w:hAnsi="Times New Roman" w:cs="Times New Roman"/>
          <w:sz w:val="24"/>
          <w:szCs w:val="24"/>
        </w:rPr>
        <w:t xml:space="preserve">Mapa de interações entre ácido gálico e o receptor COMT com as distâncias intermoleculares. </w:t>
      </w:r>
      <w:r w:rsidRPr="009D7CB4">
        <w:rPr>
          <w:rFonts w:ascii="Times New Roman" w:hAnsi="Times New Roman" w:cs="Times New Roman"/>
          <w:b/>
          <w:bCs/>
          <w:sz w:val="24"/>
          <w:szCs w:val="24"/>
        </w:rPr>
        <w:t>B</w:t>
      </w:r>
      <w:r w:rsidR="0077708F" w:rsidRPr="009D7CB4">
        <w:rPr>
          <w:rFonts w:ascii="Times New Roman" w:hAnsi="Times New Roman" w:cs="Times New Roman"/>
          <w:b/>
          <w:bCs/>
          <w:sz w:val="24"/>
          <w:szCs w:val="24"/>
        </w:rPr>
        <w:t xml:space="preserve"> </w:t>
      </w:r>
      <w:r w:rsidRPr="009D7CB4">
        <w:rPr>
          <w:rFonts w:ascii="Times New Roman" w:hAnsi="Times New Roman" w:cs="Times New Roman"/>
          <w:b/>
          <w:bCs/>
          <w:sz w:val="24"/>
          <w:szCs w:val="24"/>
        </w:rPr>
        <w:t>-</w:t>
      </w:r>
      <w:r w:rsidR="0077708F" w:rsidRPr="009D7CB4">
        <w:rPr>
          <w:rFonts w:ascii="Times New Roman" w:hAnsi="Times New Roman" w:cs="Times New Roman"/>
          <w:b/>
          <w:bCs/>
          <w:sz w:val="24"/>
          <w:szCs w:val="24"/>
        </w:rPr>
        <w:t xml:space="preserve"> </w:t>
      </w:r>
      <w:r>
        <w:rPr>
          <w:rFonts w:ascii="Times New Roman" w:hAnsi="Times New Roman" w:cs="Times New Roman"/>
          <w:sz w:val="24"/>
          <w:szCs w:val="24"/>
        </w:rPr>
        <w:t>Mapa de interações de hidrogênio, revelando a sítios de interação dentro da cavidade ativa da enzima COMT.</w:t>
      </w:r>
    </w:p>
    <w:p w14:paraId="1EEBD811" w14:textId="77777777" w:rsidR="00B87756" w:rsidRDefault="00B87756" w:rsidP="00B87756">
      <w:pPr>
        <w:spacing w:after="0" w:line="360" w:lineRule="auto"/>
        <w:jc w:val="both"/>
        <w:rPr>
          <w:rFonts w:ascii="Times New Roman" w:hAnsi="Times New Roman" w:cs="Times New Roman"/>
          <w:sz w:val="24"/>
          <w:szCs w:val="24"/>
        </w:rPr>
      </w:pPr>
    </w:p>
    <w:p w14:paraId="53CF7CA3" w14:textId="76B407A6" w:rsidR="004C5C14" w:rsidRPr="0032299F" w:rsidRDefault="004C5C14" w:rsidP="00B87756">
      <w:pPr>
        <w:spacing w:after="0" w:line="360" w:lineRule="auto"/>
        <w:ind w:firstLine="709"/>
        <w:jc w:val="both"/>
        <w:rPr>
          <w:rFonts w:ascii="Times New Roman" w:hAnsi="Times New Roman" w:cs="Times New Roman"/>
          <w:sz w:val="24"/>
          <w:szCs w:val="24"/>
        </w:rPr>
      </w:pPr>
      <w:bookmarkStart w:id="5" w:name="bbib0007"/>
      <w:bookmarkEnd w:id="5"/>
      <w:r>
        <w:rPr>
          <w:rFonts w:ascii="Times New Roman" w:hAnsi="Times New Roman" w:cs="Times New Roman"/>
          <w:color w:val="000000" w:themeColor="text1"/>
          <w:sz w:val="24"/>
          <w:szCs w:val="24"/>
        </w:rPr>
        <w:t xml:space="preserve">O </w:t>
      </w:r>
      <w:r w:rsidRPr="00B87756">
        <w:rPr>
          <w:rFonts w:ascii="Times New Roman" w:hAnsi="Times New Roman" w:cs="Times New Roman"/>
          <w:i/>
          <w:iCs/>
          <w:color w:val="000000" w:themeColor="text1"/>
          <w:sz w:val="24"/>
          <w:szCs w:val="24"/>
        </w:rPr>
        <w:t>redocking</w:t>
      </w:r>
      <w:r>
        <w:rPr>
          <w:rFonts w:ascii="Times New Roman" w:hAnsi="Times New Roman" w:cs="Times New Roman"/>
          <w:color w:val="000000" w:themeColor="text1"/>
          <w:sz w:val="24"/>
          <w:szCs w:val="24"/>
        </w:rPr>
        <w:t xml:space="preserve"> do </w:t>
      </w:r>
      <w:r w:rsidR="002A510E">
        <w:rPr>
          <w:rFonts w:ascii="Times New Roman" w:hAnsi="Times New Roman" w:cs="Times New Roman"/>
          <w:color w:val="000000" w:themeColor="text1"/>
          <w:sz w:val="24"/>
          <w:szCs w:val="24"/>
        </w:rPr>
        <w:t>ligante co-cristalizado</w:t>
      </w:r>
      <w:r>
        <w:rPr>
          <w:rFonts w:ascii="Times New Roman" w:hAnsi="Times New Roman" w:cs="Times New Roman"/>
          <w:color w:val="000000" w:themeColor="text1"/>
          <w:sz w:val="24"/>
          <w:szCs w:val="24"/>
        </w:rPr>
        <w:t xml:space="preserve"> com a COMT foi </w:t>
      </w:r>
      <w:r w:rsidR="002A510E">
        <w:rPr>
          <w:rFonts w:ascii="Times New Roman" w:hAnsi="Times New Roman" w:cs="Times New Roman"/>
          <w:color w:val="000000" w:themeColor="text1"/>
          <w:sz w:val="24"/>
          <w:szCs w:val="24"/>
        </w:rPr>
        <w:t>realizado</w:t>
      </w:r>
      <w:r>
        <w:rPr>
          <w:rFonts w:ascii="Times New Roman" w:hAnsi="Times New Roman" w:cs="Times New Roman"/>
          <w:color w:val="000000" w:themeColor="text1"/>
          <w:sz w:val="24"/>
          <w:szCs w:val="24"/>
        </w:rPr>
        <w:t xml:space="preserve"> com sucesso</w:t>
      </w:r>
      <w:r w:rsidR="00763013">
        <w:rPr>
          <w:rFonts w:ascii="Times New Roman" w:hAnsi="Times New Roman" w:cs="Times New Roman"/>
          <w:color w:val="000000" w:themeColor="text1"/>
          <w:sz w:val="24"/>
          <w:szCs w:val="24"/>
        </w:rPr>
        <w:t xml:space="preserve">, </w:t>
      </w:r>
      <w:r w:rsidR="002A510E">
        <w:rPr>
          <w:rFonts w:ascii="Times New Roman" w:hAnsi="Times New Roman" w:cs="Times New Roman"/>
          <w:color w:val="000000" w:themeColor="text1"/>
          <w:sz w:val="24"/>
          <w:szCs w:val="24"/>
        </w:rPr>
        <w:t>resultando em valores</w:t>
      </w:r>
      <w:r w:rsidR="00763013">
        <w:rPr>
          <w:rFonts w:ascii="Times New Roman" w:hAnsi="Times New Roman" w:cs="Times New Roman"/>
          <w:color w:val="000000" w:themeColor="text1"/>
          <w:sz w:val="24"/>
          <w:szCs w:val="24"/>
        </w:rPr>
        <w:t xml:space="preserve"> RMSD inferiores a 0.5</w:t>
      </w:r>
      <w:r w:rsidR="002A510E">
        <w:rPr>
          <w:rFonts w:ascii="Times New Roman" w:hAnsi="Times New Roman" w:cs="Times New Roman"/>
          <w:color w:val="000000" w:themeColor="text1"/>
          <w:sz w:val="24"/>
          <w:szCs w:val="24"/>
        </w:rPr>
        <w:t xml:space="preserve"> para as 10 poses geradas</w:t>
      </w:r>
      <w:r w:rsidR="00763013">
        <w:rPr>
          <w:rFonts w:ascii="Times New Roman" w:hAnsi="Times New Roman" w:cs="Times New Roman"/>
          <w:color w:val="000000" w:themeColor="text1"/>
          <w:sz w:val="24"/>
          <w:szCs w:val="24"/>
        </w:rPr>
        <w:t>.</w:t>
      </w:r>
      <w:r w:rsidR="00953901">
        <w:rPr>
          <w:rFonts w:ascii="Times New Roman" w:hAnsi="Times New Roman" w:cs="Times New Roman"/>
          <w:color w:val="000000" w:themeColor="text1"/>
          <w:sz w:val="24"/>
          <w:szCs w:val="24"/>
        </w:rPr>
        <w:t xml:space="preserve"> As dist</w:t>
      </w:r>
      <w:r w:rsidR="00374BBF">
        <w:rPr>
          <w:rFonts w:ascii="Times New Roman" w:hAnsi="Times New Roman" w:cs="Times New Roman"/>
          <w:color w:val="000000" w:themeColor="text1"/>
          <w:sz w:val="24"/>
          <w:szCs w:val="24"/>
        </w:rPr>
        <w:t xml:space="preserve">âncias intermoleculares entre o ácido gálico e o receptor COMT ficaram entre 2A e 4A, </w:t>
      </w:r>
      <w:r w:rsidR="00BB4478">
        <w:rPr>
          <w:rFonts w:ascii="Times New Roman" w:hAnsi="Times New Roman" w:cs="Times New Roman"/>
          <w:color w:val="000000" w:themeColor="text1"/>
          <w:sz w:val="24"/>
          <w:szCs w:val="24"/>
        </w:rPr>
        <w:t>o que corresponde a uma docagem precisa</w:t>
      </w:r>
      <w:r w:rsidR="009D7CB4">
        <w:rPr>
          <w:rFonts w:ascii="Times New Roman" w:hAnsi="Times New Roman" w:cs="Times New Roman"/>
          <w:color w:val="000000" w:themeColor="text1"/>
          <w:sz w:val="24"/>
          <w:szCs w:val="24"/>
        </w:rPr>
        <w:t xml:space="preserve"> (Figura 3A)</w:t>
      </w:r>
      <w:r w:rsidR="00BB4478">
        <w:rPr>
          <w:rFonts w:ascii="Times New Roman" w:hAnsi="Times New Roman" w:cs="Times New Roman"/>
          <w:color w:val="000000" w:themeColor="text1"/>
          <w:sz w:val="24"/>
          <w:szCs w:val="24"/>
        </w:rPr>
        <w:t>. Ademais, 5 ligações de hidrogênio</w:t>
      </w:r>
      <w:r w:rsidR="009D7CB4">
        <w:rPr>
          <w:rFonts w:ascii="Times New Roman" w:hAnsi="Times New Roman" w:cs="Times New Roman"/>
          <w:color w:val="000000" w:themeColor="text1"/>
          <w:sz w:val="24"/>
          <w:szCs w:val="24"/>
        </w:rPr>
        <w:t xml:space="preserve"> parecem contribuir para a interação entre ácido gálico com o site de interação do ligante (Figura 3B).</w:t>
      </w:r>
    </w:p>
    <w:p w14:paraId="547B9794" w14:textId="34AF61D9" w:rsidR="00A128AC" w:rsidRDefault="00A128AC" w:rsidP="00B87756">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Os achados encontrados através da empregabilidade das ferramentas </w:t>
      </w:r>
      <w:r>
        <w:rPr>
          <w:rFonts w:ascii="Times New Roman" w:hAnsi="Times New Roman" w:cs="Times New Roman"/>
          <w:i/>
          <w:iCs/>
          <w:sz w:val="24"/>
          <w:szCs w:val="24"/>
        </w:rPr>
        <w:t xml:space="preserve">in silico </w:t>
      </w:r>
      <w:r>
        <w:rPr>
          <w:rFonts w:ascii="Times New Roman" w:hAnsi="Times New Roman" w:cs="Times New Roman"/>
          <w:sz w:val="24"/>
          <w:szCs w:val="24"/>
        </w:rPr>
        <w:t xml:space="preserve">no estudo da relação entre a trigonelina e a CA1 suportam os resultados de outras pesquisas. Dentre eles, KHALILI et al que nos traz, através de estudos com </w:t>
      </w:r>
      <w:r>
        <w:rPr>
          <w:rFonts w:ascii="Times New Roman" w:hAnsi="Times New Roman" w:cs="Times New Roman"/>
          <w:i/>
          <w:iCs/>
          <w:sz w:val="24"/>
          <w:szCs w:val="24"/>
        </w:rPr>
        <w:t>in vivo</w:t>
      </w:r>
      <w:r>
        <w:rPr>
          <w:rFonts w:ascii="Times New Roman" w:hAnsi="Times New Roman" w:cs="Times New Roman"/>
          <w:sz w:val="24"/>
          <w:szCs w:val="24"/>
        </w:rPr>
        <w:t xml:space="preserve">, que a trigonelina possui a capacidade de atenuar os sintomas de disfunção cognitiva através </w:t>
      </w:r>
      <w:r>
        <w:rPr>
          <w:rFonts w:ascii="Times New Roman" w:hAnsi="Times New Roman" w:cs="Times New Roman"/>
          <w:sz w:val="24"/>
          <w:szCs w:val="24"/>
        </w:rPr>
        <w:lastRenderedPageBreak/>
        <w:t xml:space="preserve">da supressão do estresse oxidativo e neuro inflamatório causado por lipopolissacarídeo (LPS), uma endotoxina produzida por bactérias gram-negativas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{"citationItems":[{"id":"ITEM-1","itemData":{"DOI":"10.1016/j.intimp.2018.06.019","ISSN":"18781705","PMID":"29935483","abstract":"Brain inflammation is associated with cognitive dysfunction, especially in elderly. Trigonelline is a plant alkaloid and a major component of coffee and fenugreek with anti-diabetic, antioxidant, anti-inflammatory, and neuroprotective effects. In this study, the beneficial effect of trigonelline against lipopolysaccharide (LPS)-induced cognitive decline was assessed in the rat. LPS was injected i.p. at a dose of 500 μg/kg to induce neuroinflammation and trigonelline was administered p.o. at doses of 20, 40, or 80 mg/kg/day 1 h after LPS that continued for one week. Trigonelline-treated LPS-challenged rats showed improved spatial recognition memory in Y maze, discrimination ratio in novel object discrimination test, and retention and recall in passive avoidance paradigm. Additionally, trigonelline lowered hippocampal malondialdehyde (MDA) and acetylcholinesterase (AChE) activity and improved superoxide dismutase (SOD), catalase, and glutathione (GSH). Furthermore, trigonelline depressed hippocampal nuclear factor-kappaB (NF-κB), toll-like receptor 4 (TLR4), and tumor necrosis factor α (TNF α) in LPS-challenged rats. All of the effects of trigonelline followed a dose-dependent pattern and in some aspects, it acted even better than the routinely-used anti-inflammatory drug dexamethasone. Collectively, trigonelline is capable to diminish LPS-induced cognitive decline via suppression of hippocampal oxidative stress and inflammation and appropriate modulation of NF-κB/TLR4 and AChE activity.","author":[{"dropping-particle":"","family":"Khalili","given":"Mohsen","non-dropping-particle":"","parse-names":false,"suffix":""},{"dropping-particle":"","family":"Alavi","given":"Mitra","non-dropping-particle":"","parse-names":false,"suffix":""},{"dropping-particle":"","family":"Esmaeil-Jamaat","given":"Elham","non-dropping-particle":"","parse-names":false,"suffix":""},{"dropping-particle":"","family":"Baluchnejadmojarad","given":"Tourandokht","non-dropping-particle":"","parse-names":false,"suffix":""},{"dropping-particle":"","family":"Roghani","given":"Mehrdad","non-dropping-particle":"","parse-names":false,"suffix":""}],"container-title":"International Immunopharmacology","id":"ITEM-1","issue":"September 2017","issued":{"date-parts":[["2018"]]},"page":"355-362","publisher":"Elsevier","title":"Trigonelline mitigates lipopolysaccharide-induced learning and memory impairment in the rat due to its anti-oxidative and anti-inflammatory effect","type":"article-journal","volume":"61"},"uris":["http://www.mendeley.com/documents/?uuid=a1ae620b-c1f7-4fb8-8432-933b6b809e87"]}],"mendeley":{"formattedCitation":"(KHALILI et al., 2018)","plainTextFormattedCitation":"(KHALILI et al., 2018)","previouslyFormattedCitation":"(KHALILI et al., 2018)"},"properties":{"noteIndex":0},"schema":"https://github.com/citation-style-language/schema/raw/master/csl-citation.json"}</w:instrText>
      </w:r>
      <w:r>
        <w:rPr>
          <w:rFonts w:ascii="Times New Roman" w:hAnsi="Times New Roman" w:cs="Times New Roman"/>
          <w:sz w:val="24"/>
          <w:szCs w:val="24"/>
        </w:rPr>
        <w:fldChar w:fldCharType="separate"/>
      </w:r>
      <w:r w:rsidRPr="00A73E00">
        <w:rPr>
          <w:rFonts w:ascii="Times New Roman" w:hAnsi="Times New Roman" w:cs="Times New Roman"/>
          <w:noProof/>
          <w:sz w:val="24"/>
          <w:szCs w:val="24"/>
        </w:rPr>
        <w:t>(KHALILI et al., 2018)</w:t>
      </w:r>
      <w:r>
        <w:rPr>
          <w:rFonts w:ascii="Times New Roman" w:hAnsi="Times New Roman" w:cs="Times New Roman"/>
          <w:sz w:val="24"/>
          <w:szCs w:val="24"/>
        </w:rPr>
        <w:fldChar w:fldCharType="end"/>
      </w:r>
      <w:r>
        <w:rPr>
          <w:rFonts w:ascii="Times New Roman" w:hAnsi="Times New Roman" w:cs="Times New Roman"/>
          <w:sz w:val="24"/>
          <w:szCs w:val="24"/>
        </w:rPr>
        <w:t>.</w:t>
      </w:r>
    </w:p>
    <w:p w14:paraId="4749929B" w14:textId="5C790E56" w:rsidR="00A128AC" w:rsidRDefault="00A128AC" w:rsidP="00B87756">
      <w:pPr>
        <w:spacing w:after="0" w:line="360" w:lineRule="auto"/>
        <w:ind w:firstLine="708"/>
        <w:jc w:val="both"/>
        <w:rPr>
          <w:rFonts w:ascii="Times New Roman" w:hAnsi="Times New Roman" w:cs="Times New Roman"/>
          <w:color w:val="000000" w:themeColor="text1"/>
          <w:sz w:val="24"/>
          <w:szCs w:val="24"/>
        </w:rPr>
      </w:pPr>
      <w:r>
        <w:rPr>
          <w:rFonts w:ascii="Times New Roman" w:hAnsi="Times New Roman" w:cs="Times New Roman"/>
          <w:sz w:val="24"/>
          <w:szCs w:val="24"/>
        </w:rPr>
        <w:t xml:space="preserve">O mesmo ocorreu em relação ao ácido gálico e a COMT. </w:t>
      </w:r>
      <w:r>
        <w:rPr>
          <w:rFonts w:ascii="Times New Roman" w:hAnsi="Times New Roman" w:cs="Times New Roman"/>
          <w:color w:val="000000" w:themeColor="text1"/>
          <w:sz w:val="24"/>
          <w:szCs w:val="24"/>
        </w:rPr>
        <w:t xml:space="preserve">KADOWAKI et al, através de experimentação com preparações citosólicas de fígado de rato e hepatócitos cultivados, mostrou que o ácido gálico inibe fortemente o papel de catalização da COMT </w:t>
      </w:r>
      <w:r>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{"citationItems":[{"id":"ITEM-1","itemData":{"DOI":"10.1248/bpb.28.1509","ISSN":"09186158","PMID":"16079503","abstract":"Flavonoids including tea catechins and gallic acid esters were characterized for their ability to inhibit o-methyltranslation of protocatechuic acid (PCA) to form vanillic acid (VA) in rat liver cytosolic preparations and cultured hepatocytes. Flavonols and flavones exhibited different behaviors in inhibiting the formation of VA between the cell-free enzymatic preparations and the intact cells. The underlying mechanism of the inhibitory effects of flavonols and flavones on PCA o-methylation in cultured hepatocytes may not be due to the inhibition of the enzyme activity of catechol o-methyl transferase (COMT). Catechin gallates inhibited PCA o-methylation in liver cytosolic preparations with markedly higher potency than other flavonoids. As compared with catechin gallates, ungallated catechins had two to three orders of magnitude lower efficiency in inhibiting cytosolic PCA o-methylation. Gallic acid esters inhibited cytosolic PCA o-methylation with strong potency almost equal to that of catechin gallates. These results suggest that the COMT-inhibitory activity of catechin gallates is derived from the presence of the galloyl moiety at the C3 position in the C-ring. Catechin gallates and gallic acid esters inhibited PCA o-methylation in cultured hepatocytes with two orders of magnitude lower efficacy than that in cytosolic preparations. The inhibitory effects of catechin gallates and gallic acid esters on cellular PCA o-methylation appear to be due to the direct inhibition of COMT activity. © 2005 Pharmaceutical Society of Japan.","author":[{"dropping-particle":"","family":"Kadowaki","given":"Masaaki","non-dropping-particle":"","parse-names":false,"suffix":""},{"dropping-particle":"","family":"Ootani","given":"Emi","non-dropping-particle":"","parse-names":false,"suffix":""},{"dropping-particle":"","family":"Sugihara","given":"Narumi","non-dropping-particle":"","parse-names":false,"suffix":""},{"dropping-particle":"","family":"Furuno","given":"Koji","non-dropping-particle":"","parse-names":false,"suffix":""}],"container-title":"Biological and Pharmaceutical Bulletin","id":"ITEM-1","issue":"8","issued":{"date-parts":[["2005"]]},"page":"1509-1513","title":"Inhibitory effects of catechin gallates on o-methyltranslation of protocatechuic acid in rat liver cytosolic preparations and cultured hepatocytes","type":"article-journal","volume":"28"},"uris":["http://www.mendeley.com/documents/?uuid=2fd9c640-41b8-496f-9d79-27ffab76bb0b"]}],"mendeley":{"formattedCitation":"(KADOWAKI et al., 2005)","plainTextFormattedCitation":"(KADOWAKI et al., 2005)","previouslyFormattedCitation":"(KADOWAKI et al., 2005)"},"properties":{"noteIndex":0},"schema":"https://github.com/citation-style-language/schema/raw/master/csl-citation.json"}</w:instrText>
      </w:r>
      <w:r>
        <w:rPr>
          <w:rFonts w:ascii="Times New Roman" w:hAnsi="Times New Roman" w:cs="Times New Roman"/>
          <w:color w:val="000000" w:themeColor="text1"/>
          <w:sz w:val="24"/>
          <w:szCs w:val="24"/>
        </w:rPr>
        <w:fldChar w:fldCharType="separate"/>
      </w:r>
      <w:r w:rsidRPr="00363CAC">
        <w:rPr>
          <w:rFonts w:ascii="Times New Roman" w:hAnsi="Times New Roman" w:cs="Times New Roman"/>
          <w:noProof/>
          <w:color w:val="000000" w:themeColor="text1"/>
          <w:sz w:val="24"/>
          <w:szCs w:val="24"/>
        </w:rPr>
        <w:t>(KADOWAKI et al., 2005)</w:t>
      </w:r>
      <w:r>
        <w:rPr>
          <w:rFonts w:ascii="Times New Roman" w:hAnsi="Times New Roman" w:cs="Times New Roman"/>
          <w:color w:val="000000" w:themeColor="text1"/>
          <w:sz w:val="24"/>
          <w:szCs w:val="24"/>
        </w:rPr>
        <w:fldChar w:fldCharType="end"/>
      </w:r>
      <w:r>
        <w:rPr>
          <w:rFonts w:ascii="Times New Roman" w:hAnsi="Times New Roman" w:cs="Times New Roman"/>
          <w:color w:val="000000" w:themeColor="text1"/>
          <w:sz w:val="24"/>
          <w:szCs w:val="24"/>
        </w:rPr>
        <w:t>.</w:t>
      </w:r>
    </w:p>
    <w:p w14:paraId="2B27E3B8" w14:textId="77777777" w:rsidR="000E5856" w:rsidRPr="00F532AA" w:rsidRDefault="000E5856" w:rsidP="00B87756">
      <w:pPr>
        <w:spacing w:after="0" w:line="360" w:lineRule="auto"/>
        <w:ind w:firstLine="708"/>
        <w:jc w:val="both"/>
        <w:rPr>
          <w:rFonts w:ascii="Times New Roman" w:hAnsi="Times New Roman" w:cs="Times New Roman"/>
          <w:sz w:val="24"/>
          <w:szCs w:val="24"/>
        </w:rPr>
      </w:pPr>
    </w:p>
    <w:p w14:paraId="076DF9FC" w14:textId="3457C197" w:rsidR="003A5D29" w:rsidRPr="000E5856" w:rsidRDefault="00A128AC" w:rsidP="00B87756">
      <w:pPr>
        <w:spacing w:after="0" w:line="360" w:lineRule="auto"/>
        <w:jc w:val="both"/>
        <w:rPr>
          <w:rFonts w:ascii="Times New Roman" w:hAnsi="Times New Roman" w:cs="Times New Roman"/>
          <w:b/>
          <w:bCs/>
          <w:sz w:val="24"/>
          <w:szCs w:val="24"/>
        </w:rPr>
      </w:pPr>
      <w:r w:rsidRPr="000E5856">
        <w:rPr>
          <w:rFonts w:ascii="Times New Roman" w:hAnsi="Times New Roman" w:cs="Times New Roman"/>
          <w:b/>
          <w:bCs/>
          <w:sz w:val="24"/>
          <w:szCs w:val="24"/>
        </w:rPr>
        <w:t>CONCLUSÃO</w:t>
      </w:r>
    </w:p>
    <w:p w14:paraId="25AA9D17" w14:textId="77777777" w:rsidR="000E5856" w:rsidRPr="000E5856" w:rsidRDefault="000E5856" w:rsidP="00B87756">
      <w:pPr>
        <w:spacing w:after="0" w:line="360" w:lineRule="auto"/>
        <w:jc w:val="both"/>
        <w:rPr>
          <w:rFonts w:ascii="Times New Roman" w:hAnsi="Times New Roman" w:cs="Times New Roman"/>
          <w:b/>
          <w:bCs/>
          <w:sz w:val="24"/>
          <w:szCs w:val="24"/>
        </w:rPr>
      </w:pPr>
    </w:p>
    <w:p w14:paraId="19B26DB0" w14:textId="401539D6" w:rsidR="00A128AC" w:rsidRPr="000E5856" w:rsidRDefault="00A128AC" w:rsidP="00B87756">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Levando em consideração a alta </w:t>
      </w:r>
      <w:r w:rsidRPr="008B3DB7">
        <w:rPr>
          <w:rFonts w:ascii="Times New Roman" w:hAnsi="Times New Roman" w:cs="Times New Roman"/>
          <w:sz w:val="24"/>
          <w:szCs w:val="24"/>
        </w:rPr>
        <w:t>prevalência, início precoce e persistência</w:t>
      </w:r>
      <w:r>
        <w:rPr>
          <w:rFonts w:ascii="Times New Roman" w:hAnsi="Times New Roman" w:cs="Times New Roman"/>
          <w:sz w:val="24"/>
          <w:szCs w:val="24"/>
        </w:rPr>
        <w:t xml:space="preserve"> dos TP</w:t>
      </w:r>
      <w:r w:rsidRPr="008B3DB7">
        <w:rPr>
          <w:rFonts w:ascii="Times New Roman" w:hAnsi="Times New Roman" w:cs="Times New Roman"/>
          <w:sz w:val="24"/>
          <w:szCs w:val="24"/>
        </w:rPr>
        <w:t xml:space="preserve">, eles contribuem significativamente para </w:t>
      </w:r>
      <w:r>
        <w:rPr>
          <w:rFonts w:ascii="Times New Roman" w:hAnsi="Times New Roman" w:cs="Times New Roman"/>
          <w:sz w:val="24"/>
          <w:szCs w:val="24"/>
        </w:rPr>
        <w:t xml:space="preserve">o sofrimento de milhões de indivíduos, direta ou indiretamente, </w:t>
      </w:r>
      <w:r w:rsidRPr="008B3DB7">
        <w:rPr>
          <w:rFonts w:ascii="Times New Roman" w:hAnsi="Times New Roman" w:cs="Times New Roman"/>
          <w:sz w:val="24"/>
          <w:szCs w:val="24"/>
        </w:rPr>
        <w:t>em todo o mundo.</w:t>
      </w:r>
      <w:r>
        <w:rPr>
          <w:rFonts w:ascii="Times New Roman" w:hAnsi="Times New Roman" w:cs="Times New Roman"/>
          <w:sz w:val="24"/>
          <w:szCs w:val="24"/>
        </w:rPr>
        <w:t xml:space="preserve"> Diante desses dados, o interesse nos efeitos preventivos e curativos de plantas medicinais vem aumentando. A abordagem </w:t>
      </w:r>
      <w:r>
        <w:rPr>
          <w:rFonts w:ascii="Times New Roman" w:hAnsi="Times New Roman" w:cs="Times New Roman"/>
          <w:i/>
          <w:iCs/>
          <w:sz w:val="24"/>
          <w:szCs w:val="24"/>
        </w:rPr>
        <w:t xml:space="preserve">in silico </w:t>
      </w:r>
      <w:r>
        <w:rPr>
          <w:rFonts w:ascii="Times New Roman" w:hAnsi="Times New Roman" w:cs="Times New Roman"/>
          <w:sz w:val="24"/>
          <w:szCs w:val="24"/>
        </w:rPr>
        <w:t xml:space="preserve">utilizada nesse estudo demonstrou que a trigonelina e o ácido gálico são compostos promissores com atividade protetora sobre a perspectiva neuropsiquiátrica do homem. Os resultados aqui expostos podem ajudar a elucidar os efeitos de extratos da </w:t>
      </w:r>
      <w:r>
        <w:rPr>
          <w:rFonts w:ascii="Times New Roman" w:hAnsi="Times New Roman" w:cs="Times New Roman"/>
          <w:i/>
          <w:iCs/>
          <w:sz w:val="24"/>
          <w:szCs w:val="24"/>
        </w:rPr>
        <w:t>Annona coriacea</w:t>
      </w:r>
      <w:r>
        <w:rPr>
          <w:rFonts w:ascii="Times New Roman" w:hAnsi="Times New Roman" w:cs="Times New Roman"/>
          <w:sz w:val="24"/>
          <w:szCs w:val="24"/>
        </w:rPr>
        <w:t xml:space="preserve">, assim como encorajar pesquisas com outras plantas portadoras de substâncias similares. Finalmente, esse estudo disponibiliza informações que possibilitam futuras pesquisas </w:t>
      </w:r>
      <w:r>
        <w:rPr>
          <w:rFonts w:ascii="Times New Roman" w:hAnsi="Times New Roman" w:cs="Times New Roman"/>
          <w:i/>
          <w:iCs/>
          <w:sz w:val="24"/>
          <w:szCs w:val="24"/>
        </w:rPr>
        <w:t xml:space="preserve">in vitro </w:t>
      </w:r>
      <w:r>
        <w:rPr>
          <w:rFonts w:ascii="Times New Roman" w:hAnsi="Times New Roman" w:cs="Times New Roman"/>
          <w:sz w:val="24"/>
          <w:szCs w:val="24"/>
        </w:rPr>
        <w:t xml:space="preserve">e </w:t>
      </w:r>
      <w:r>
        <w:rPr>
          <w:rFonts w:ascii="Times New Roman" w:hAnsi="Times New Roman" w:cs="Times New Roman"/>
          <w:i/>
          <w:iCs/>
          <w:sz w:val="24"/>
          <w:szCs w:val="24"/>
        </w:rPr>
        <w:t>in vivo</w:t>
      </w:r>
      <w:r w:rsidR="000E5856">
        <w:rPr>
          <w:rFonts w:ascii="Times New Roman" w:hAnsi="Times New Roman" w:cs="Times New Roman"/>
          <w:i/>
          <w:iCs/>
          <w:sz w:val="24"/>
          <w:szCs w:val="24"/>
        </w:rPr>
        <w:t xml:space="preserve"> </w:t>
      </w:r>
      <w:r w:rsidR="000E5856">
        <w:rPr>
          <w:rFonts w:ascii="Times New Roman" w:hAnsi="Times New Roman" w:cs="Times New Roman"/>
          <w:sz w:val="24"/>
          <w:szCs w:val="24"/>
        </w:rPr>
        <w:t>com essas estruturas isoladas.</w:t>
      </w:r>
    </w:p>
    <w:p w14:paraId="065FD9C3" w14:textId="77777777" w:rsidR="000E5856" w:rsidRPr="00A128AC" w:rsidRDefault="000E5856" w:rsidP="00B87756">
      <w:pPr>
        <w:spacing w:after="0" w:line="360" w:lineRule="auto"/>
        <w:ind w:firstLine="709"/>
        <w:jc w:val="both"/>
        <w:rPr>
          <w:rFonts w:ascii="Times New Roman" w:hAnsi="Times New Roman" w:cs="Times New Roman"/>
          <w:sz w:val="24"/>
          <w:szCs w:val="24"/>
        </w:rPr>
      </w:pPr>
    </w:p>
    <w:p w14:paraId="079DE032" w14:textId="2631D0AE" w:rsidR="003A5D29" w:rsidRPr="000E5856" w:rsidRDefault="00A128AC" w:rsidP="00B87756">
      <w:pPr>
        <w:spacing w:after="0" w:line="360" w:lineRule="auto"/>
        <w:jc w:val="both"/>
        <w:rPr>
          <w:rFonts w:ascii="Times New Roman" w:hAnsi="Times New Roman" w:cs="Times New Roman"/>
          <w:b/>
          <w:bCs/>
          <w:sz w:val="24"/>
          <w:szCs w:val="24"/>
        </w:rPr>
      </w:pPr>
      <w:r w:rsidRPr="000E5856">
        <w:rPr>
          <w:rFonts w:ascii="Times New Roman" w:hAnsi="Times New Roman" w:cs="Times New Roman"/>
          <w:b/>
          <w:bCs/>
          <w:sz w:val="24"/>
          <w:szCs w:val="24"/>
        </w:rPr>
        <w:t>REFERÊNCIAS</w:t>
      </w:r>
    </w:p>
    <w:p w14:paraId="601F5796" w14:textId="77777777" w:rsidR="000E5856" w:rsidRDefault="000E5856" w:rsidP="00B87756">
      <w:pPr>
        <w:spacing w:after="0" w:line="360" w:lineRule="auto"/>
        <w:jc w:val="both"/>
        <w:rPr>
          <w:rFonts w:ascii="Times New Roman" w:hAnsi="Times New Roman" w:cs="Times New Roman"/>
          <w:sz w:val="24"/>
          <w:szCs w:val="24"/>
        </w:rPr>
      </w:pPr>
    </w:p>
    <w:p w14:paraId="3D24FD50" w14:textId="3418CD6D" w:rsidR="00A128AC" w:rsidRPr="00A128AC" w:rsidRDefault="00A128AC" w:rsidP="000E5856">
      <w:pPr>
        <w:widowControl w:val="0"/>
        <w:autoSpaceDE w:val="0"/>
        <w:autoSpaceDN w:val="0"/>
        <w:adjustRightInd w:val="0"/>
        <w:spacing w:after="0" w:line="360" w:lineRule="auto"/>
        <w:jc w:val="both"/>
        <w:rPr>
          <w:rFonts w:ascii="Times New Roman" w:hAnsi="Times New Roman" w:cs="Times New Roman"/>
          <w:noProof/>
          <w:sz w:val="24"/>
          <w:szCs w:val="24"/>
        </w:rPr>
      </w:pPr>
      <w:r>
        <w:rPr>
          <w:rFonts w:ascii="Times New Roman" w:hAnsi="Times New Roman" w:cs="Times New Roman"/>
          <w:sz w:val="24"/>
          <w:szCs w:val="24"/>
        </w:rPr>
        <w:fldChar w:fldCharType="begin" w:fldLock="1"/>
      </w:r>
      <w:r>
        <w:rPr>
          <w:rFonts w:ascii="Times New Roman" w:hAnsi="Times New Roman" w:cs="Times New Roman"/>
          <w:sz w:val="24"/>
          <w:szCs w:val="24"/>
        </w:rPr>
        <w:instrText xml:space="preserve">ADDIN Mendeley Bibliography CSL_BIBLIOGRAPHY </w:instrText>
      </w:r>
      <w:r>
        <w:rPr>
          <w:rFonts w:ascii="Times New Roman" w:hAnsi="Times New Roman" w:cs="Times New Roman"/>
          <w:sz w:val="24"/>
          <w:szCs w:val="24"/>
        </w:rPr>
        <w:fldChar w:fldCharType="separate"/>
      </w:r>
      <w:r w:rsidRPr="00A128AC">
        <w:rPr>
          <w:rFonts w:ascii="Times New Roman" w:hAnsi="Times New Roman" w:cs="Times New Roman"/>
          <w:noProof/>
          <w:sz w:val="24"/>
          <w:szCs w:val="24"/>
        </w:rPr>
        <w:t xml:space="preserve">ASHIHARA, H. </w:t>
      </w:r>
      <w:r w:rsidRPr="00A128AC">
        <w:rPr>
          <w:rFonts w:ascii="Times New Roman" w:hAnsi="Times New Roman" w:cs="Times New Roman"/>
          <w:b/>
          <w:bCs/>
          <w:noProof/>
          <w:sz w:val="24"/>
          <w:szCs w:val="24"/>
        </w:rPr>
        <w:t>Plant Biochemistry: Trigonelline Biosynthesis in Coffea arabica and Coffea canephora</w:t>
      </w:r>
      <w:r w:rsidRPr="00A128AC">
        <w:rPr>
          <w:rFonts w:ascii="Times New Roman" w:hAnsi="Times New Roman" w:cs="Times New Roman"/>
          <w:noProof/>
          <w:sz w:val="24"/>
          <w:szCs w:val="24"/>
        </w:rPr>
        <w:t xml:space="preserve">. [s.l.] Elsevier Inc., 2015. </w:t>
      </w:r>
    </w:p>
    <w:p w14:paraId="4F16B51C" w14:textId="77777777" w:rsidR="00A128AC" w:rsidRPr="00A128AC" w:rsidRDefault="00A128AC" w:rsidP="000E5856">
      <w:pPr>
        <w:widowControl w:val="0"/>
        <w:autoSpaceDE w:val="0"/>
        <w:autoSpaceDN w:val="0"/>
        <w:adjustRightInd w:val="0"/>
        <w:spacing w:after="0" w:line="360" w:lineRule="auto"/>
        <w:jc w:val="both"/>
        <w:rPr>
          <w:rFonts w:ascii="Times New Roman" w:hAnsi="Times New Roman" w:cs="Times New Roman"/>
          <w:noProof/>
          <w:sz w:val="24"/>
          <w:szCs w:val="24"/>
        </w:rPr>
      </w:pPr>
      <w:r w:rsidRPr="00A128AC">
        <w:rPr>
          <w:rFonts w:ascii="Times New Roman" w:hAnsi="Times New Roman" w:cs="Times New Roman"/>
          <w:noProof/>
          <w:sz w:val="24"/>
          <w:szCs w:val="24"/>
        </w:rPr>
        <w:t xml:space="preserve">BANERJEE, P. et al. ProTox-II: A webserver for the prediction of toxicity of chemicals. </w:t>
      </w:r>
      <w:r w:rsidRPr="00A128AC">
        <w:rPr>
          <w:rFonts w:ascii="Times New Roman" w:hAnsi="Times New Roman" w:cs="Times New Roman"/>
          <w:b/>
          <w:bCs/>
          <w:noProof/>
          <w:sz w:val="24"/>
          <w:szCs w:val="24"/>
        </w:rPr>
        <w:t>Nucleic Acids Research</w:t>
      </w:r>
      <w:r w:rsidRPr="00A128AC">
        <w:rPr>
          <w:rFonts w:ascii="Times New Roman" w:hAnsi="Times New Roman" w:cs="Times New Roman"/>
          <w:noProof/>
          <w:sz w:val="24"/>
          <w:szCs w:val="24"/>
        </w:rPr>
        <w:t xml:space="preserve">, v. 46, n. W1, p. W257–W263, 2018. </w:t>
      </w:r>
    </w:p>
    <w:p w14:paraId="352EE537" w14:textId="77777777" w:rsidR="00A128AC" w:rsidRPr="00A128AC" w:rsidRDefault="00A128AC" w:rsidP="000E5856">
      <w:pPr>
        <w:widowControl w:val="0"/>
        <w:autoSpaceDE w:val="0"/>
        <w:autoSpaceDN w:val="0"/>
        <w:adjustRightInd w:val="0"/>
        <w:spacing w:after="0" w:line="360" w:lineRule="auto"/>
        <w:jc w:val="both"/>
        <w:rPr>
          <w:rFonts w:ascii="Times New Roman" w:hAnsi="Times New Roman" w:cs="Times New Roman"/>
          <w:noProof/>
          <w:sz w:val="24"/>
          <w:szCs w:val="24"/>
        </w:rPr>
      </w:pPr>
      <w:r w:rsidRPr="00A128AC">
        <w:rPr>
          <w:rFonts w:ascii="Times New Roman" w:hAnsi="Times New Roman" w:cs="Times New Roman"/>
          <w:noProof/>
          <w:sz w:val="24"/>
          <w:szCs w:val="24"/>
        </w:rPr>
        <w:t xml:space="preserve">BONADIMAN, C. S. C. et al. A carga dos transtornos mentais e decorrentes do uso de substâncias psicoativas no Brasil: Estudo de Carga Global de Doença, 1990 e 2015. </w:t>
      </w:r>
      <w:r w:rsidRPr="00A128AC">
        <w:rPr>
          <w:rFonts w:ascii="Times New Roman" w:hAnsi="Times New Roman" w:cs="Times New Roman"/>
          <w:b/>
          <w:bCs/>
          <w:noProof/>
          <w:sz w:val="24"/>
          <w:szCs w:val="24"/>
        </w:rPr>
        <w:t>Revista Brasileira de Epidemiologia</w:t>
      </w:r>
      <w:r w:rsidRPr="00A128AC">
        <w:rPr>
          <w:rFonts w:ascii="Times New Roman" w:hAnsi="Times New Roman" w:cs="Times New Roman"/>
          <w:noProof/>
          <w:sz w:val="24"/>
          <w:szCs w:val="24"/>
        </w:rPr>
        <w:t xml:space="preserve">, v. 20, p. 191–204, 2017. </w:t>
      </w:r>
    </w:p>
    <w:p w14:paraId="631C33FD" w14:textId="77777777" w:rsidR="00A128AC" w:rsidRPr="00A128AC" w:rsidRDefault="00A128AC" w:rsidP="000E5856">
      <w:pPr>
        <w:widowControl w:val="0"/>
        <w:autoSpaceDE w:val="0"/>
        <w:autoSpaceDN w:val="0"/>
        <w:adjustRightInd w:val="0"/>
        <w:spacing w:after="0" w:line="360" w:lineRule="auto"/>
        <w:jc w:val="both"/>
        <w:rPr>
          <w:rFonts w:ascii="Times New Roman" w:hAnsi="Times New Roman" w:cs="Times New Roman"/>
          <w:noProof/>
          <w:sz w:val="24"/>
          <w:szCs w:val="24"/>
        </w:rPr>
      </w:pPr>
      <w:r w:rsidRPr="00A128AC">
        <w:rPr>
          <w:rFonts w:ascii="Times New Roman" w:hAnsi="Times New Roman" w:cs="Times New Roman"/>
          <w:noProof/>
          <w:sz w:val="24"/>
          <w:szCs w:val="24"/>
        </w:rPr>
        <w:t xml:space="preserve">BREUKELAAR, I. A. et al. Investigating the neural basis of cognitive control dysfunction in mood disorders. </w:t>
      </w:r>
      <w:r w:rsidRPr="00A128AC">
        <w:rPr>
          <w:rFonts w:ascii="Times New Roman" w:hAnsi="Times New Roman" w:cs="Times New Roman"/>
          <w:b/>
          <w:bCs/>
          <w:noProof/>
          <w:sz w:val="24"/>
          <w:szCs w:val="24"/>
        </w:rPr>
        <w:t>Bipolar Disorders</w:t>
      </w:r>
      <w:r w:rsidRPr="00A128AC">
        <w:rPr>
          <w:rFonts w:ascii="Times New Roman" w:hAnsi="Times New Roman" w:cs="Times New Roman"/>
          <w:noProof/>
          <w:sz w:val="24"/>
          <w:szCs w:val="24"/>
        </w:rPr>
        <w:t xml:space="preserve">, v. 22, n. 3, p. 286–295, 2020. </w:t>
      </w:r>
    </w:p>
    <w:p w14:paraId="4C0355EA" w14:textId="77777777" w:rsidR="00A128AC" w:rsidRPr="00A128AC" w:rsidRDefault="00A128AC" w:rsidP="000E5856">
      <w:pPr>
        <w:widowControl w:val="0"/>
        <w:autoSpaceDE w:val="0"/>
        <w:autoSpaceDN w:val="0"/>
        <w:adjustRightInd w:val="0"/>
        <w:spacing w:after="0" w:line="360" w:lineRule="auto"/>
        <w:jc w:val="both"/>
        <w:rPr>
          <w:rFonts w:ascii="Times New Roman" w:hAnsi="Times New Roman" w:cs="Times New Roman"/>
          <w:noProof/>
          <w:sz w:val="24"/>
          <w:szCs w:val="24"/>
        </w:rPr>
      </w:pPr>
      <w:r w:rsidRPr="00A128AC">
        <w:rPr>
          <w:rFonts w:ascii="Times New Roman" w:hAnsi="Times New Roman" w:cs="Times New Roman"/>
          <w:noProof/>
          <w:sz w:val="24"/>
          <w:szCs w:val="24"/>
        </w:rPr>
        <w:t xml:space="preserve">CAN, Ö. D. et al. Antidepressant-like effect of gallic acid in mice: Dual involvement of serotonergic and catecholaminergic systems. </w:t>
      </w:r>
      <w:r w:rsidRPr="00A128AC">
        <w:rPr>
          <w:rFonts w:ascii="Times New Roman" w:hAnsi="Times New Roman" w:cs="Times New Roman"/>
          <w:b/>
          <w:bCs/>
          <w:noProof/>
          <w:sz w:val="24"/>
          <w:szCs w:val="24"/>
        </w:rPr>
        <w:t>Life Sciences</w:t>
      </w:r>
      <w:r w:rsidRPr="00A128AC">
        <w:rPr>
          <w:rFonts w:ascii="Times New Roman" w:hAnsi="Times New Roman" w:cs="Times New Roman"/>
          <w:noProof/>
          <w:sz w:val="24"/>
          <w:szCs w:val="24"/>
        </w:rPr>
        <w:t xml:space="preserve">, v. 190, p. 110–117, 2017. </w:t>
      </w:r>
    </w:p>
    <w:p w14:paraId="3703C627" w14:textId="77777777" w:rsidR="00A128AC" w:rsidRPr="00A128AC" w:rsidRDefault="00A128AC" w:rsidP="000E5856">
      <w:pPr>
        <w:widowControl w:val="0"/>
        <w:autoSpaceDE w:val="0"/>
        <w:autoSpaceDN w:val="0"/>
        <w:adjustRightInd w:val="0"/>
        <w:spacing w:after="0" w:line="360" w:lineRule="auto"/>
        <w:jc w:val="both"/>
        <w:rPr>
          <w:rFonts w:ascii="Times New Roman" w:hAnsi="Times New Roman" w:cs="Times New Roman"/>
          <w:noProof/>
          <w:sz w:val="24"/>
          <w:szCs w:val="24"/>
        </w:rPr>
      </w:pPr>
      <w:r w:rsidRPr="00A128AC">
        <w:rPr>
          <w:rFonts w:ascii="Times New Roman" w:hAnsi="Times New Roman" w:cs="Times New Roman"/>
          <w:noProof/>
          <w:sz w:val="24"/>
          <w:szCs w:val="24"/>
        </w:rPr>
        <w:t xml:space="preserve">DAINA, A.; MICHIELIN, O.; ZOETE, V. SwissADME: A free web tool to evaluate </w:t>
      </w:r>
      <w:r w:rsidRPr="00A128AC">
        <w:rPr>
          <w:rFonts w:ascii="Times New Roman" w:hAnsi="Times New Roman" w:cs="Times New Roman"/>
          <w:noProof/>
          <w:sz w:val="24"/>
          <w:szCs w:val="24"/>
        </w:rPr>
        <w:lastRenderedPageBreak/>
        <w:t xml:space="preserve">pharmacokinetics, drug-likeness and medicinal chemistry friendliness of small molecules. </w:t>
      </w:r>
      <w:r w:rsidRPr="00A128AC">
        <w:rPr>
          <w:rFonts w:ascii="Times New Roman" w:hAnsi="Times New Roman" w:cs="Times New Roman"/>
          <w:b/>
          <w:bCs/>
          <w:noProof/>
          <w:sz w:val="24"/>
          <w:szCs w:val="24"/>
        </w:rPr>
        <w:t>Scientific Reports</w:t>
      </w:r>
      <w:r w:rsidRPr="00A128AC">
        <w:rPr>
          <w:rFonts w:ascii="Times New Roman" w:hAnsi="Times New Roman" w:cs="Times New Roman"/>
          <w:noProof/>
          <w:sz w:val="24"/>
          <w:szCs w:val="24"/>
        </w:rPr>
        <w:t xml:space="preserve">, v. 7, n. March, p. 1–13, 2017. </w:t>
      </w:r>
    </w:p>
    <w:p w14:paraId="26D59F56" w14:textId="77777777" w:rsidR="00A128AC" w:rsidRPr="00A128AC" w:rsidRDefault="00A128AC" w:rsidP="000E5856">
      <w:pPr>
        <w:widowControl w:val="0"/>
        <w:autoSpaceDE w:val="0"/>
        <w:autoSpaceDN w:val="0"/>
        <w:adjustRightInd w:val="0"/>
        <w:spacing w:after="0" w:line="360" w:lineRule="auto"/>
        <w:jc w:val="both"/>
        <w:rPr>
          <w:rFonts w:ascii="Times New Roman" w:hAnsi="Times New Roman" w:cs="Times New Roman"/>
          <w:noProof/>
          <w:sz w:val="24"/>
          <w:szCs w:val="24"/>
        </w:rPr>
      </w:pPr>
      <w:r w:rsidRPr="00A128AC">
        <w:rPr>
          <w:rFonts w:ascii="Times New Roman" w:hAnsi="Times New Roman" w:cs="Times New Roman"/>
          <w:noProof/>
          <w:sz w:val="24"/>
          <w:szCs w:val="24"/>
        </w:rPr>
        <w:t xml:space="preserve">DAINA, A.; MICHIELIN, O.; ZOETE, V. SwissTargetPrediction: updated data and new features for efficient prediction of protein targets of small molecules. </w:t>
      </w:r>
      <w:r w:rsidRPr="00A128AC">
        <w:rPr>
          <w:rFonts w:ascii="Times New Roman" w:hAnsi="Times New Roman" w:cs="Times New Roman"/>
          <w:b/>
          <w:bCs/>
          <w:noProof/>
          <w:sz w:val="24"/>
          <w:szCs w:val="24"/>
        </w:rPr>
        <w:t>Nucleic Acids Research</w:t>
      </w:r>
      <w:r w:rsidRPr="00A128AC">
        <w:rPr>
          <w:rFonts w:ascii="Times New Roman" w:hAnsi="Times New Roman" w:cs="Times New Roman"/>
          <w:noProof/>
          <w:sz w:val="24"/>
          <w:szCs w:val="24"/>
        </w:rPr>
        <w:t xml:space="preserve">, v. 47, n. W1, p. W357–W3664, 2019. </w:t>
      </w:r>
    </w:p>
    <w:p w14:paraId="6C4E5F8F" w14:textId="77777777" w:rsidR="00A128AC" w:rsidRPr="00A128AC" w:rsidRDefault="00A128AC" w:rsidP="000E5856">
      <w:pPr>
        <w:widowControl w:val="0"/>
        <w:autoSpaceDE w:val="0"/>
        <w:autoSpaceDN w:val="0"/>
        <w:adjustRightInd w:val="0"/>
        <w:spacing w:after="0" w:line="360" w:lineRule="auto"/>
        <w:jc w:val="both"/>
        <w:rPr>
          <w:rFonts w:ascii="Times New Roman" w:hAnsi="Times New Roman" w:cs="Times New Roman"/>
          <w:noProof/>
          <w:sz w:val="24"/>
          <w:szCs w:val="24"/>
        </w:rPr>
      </w:pPr>
      <w:r w:rsidRPr="00A128AC">
        <w:rPr>
          <w:rFonts w:ascii="Times New Roman" w:hAnsi="Times New Roman" w:cs="Times New Roman"/>
          <w:noProof/>
          <w:sz w:val="24"/>
          <w:szCs w:val="24"/>
        </w:rPr>
        <w:t xml:space="preserve">DU, J. et al. New techniques and strategies in drug discovery. </w:t>
      </w:r>
      <w:r w:rsidRPr="00A128AC">
        <w:rPr>
          <w:rFonts w:ascii="Times New Roman" w:hAnsi="Times New Roman" w:cs="Times New Roman"/>
          <w:b/>
          <w:bCs/>
          <w:noProof/>
          <w:sz w:val="24"/>
          <w:szCs w:val="24"/>
        </w:rPr>
        <w:t>Chinese Chemical Letters</w:t>
      </w:r>
      <w:r w:rsidRPr="00A128AC">
        <w:rPr>
          <w:rFonts w:ascii="Times New Roman" w:hAnsi="Times New Roman" w:cs="Times New Roman"/>
          <w:noProof/>
          <w:sz w:val="24"/>
          <w:szCs w:val="24"/>
        </w:rPr>
        <w:t xml:space="preserve">, v. 31, n. 7, p. 1695–1708, 2020. </w:t>
      </w:r>
    </w:p>
    <w:p w14:paraId="15B4EF6E" w14:textId="77777777" w:rsidR="00A128AC" w:rsidRPr="00A128AC" w:rsidRDefault="00A128AC" w:rsidP="000E5856">
      <w:pPr>
        <w:widowControl w:val="0"/>
        <w:autoSpaceDE w:val="0"/>
        <w:autoSpaceDN w:val="0"/>
        <w:adjustRightInd w:val="0"/>
        <w:spacing w:after="0" w:line="360" w:lineRule="auto"/>
        <w:jc w:val="both"/>
        <w:rPr>
          <w:rFonts w:ascii="Times New Roman" w:hAnsi="Times New Roman" w:cs="Times New Roman"/>
          <w:noProof/>
          <w:sz w:val="24"/>
          <w:szCs w:val="24"/>
        </w:rPr>
      </w:pPr>
      <w:r w:rsidRPr="00A128AC">
        <w:rPr>
          <w:rFonts w:ascii="Times New Roman" w:hAnsi="Times New Roman" w:cs="Times New Roman"/>
          <w:noProof/>
          <w:sz w:val="24"/>
          <w:szCs w:val="24"/>
        </w:rPr>
        <w:t xml:space="preserve">FAN, J.; FU, A.; ZHANG, L. Progress in molecular docking. </w:t>
      </w:r>
      <w:r w:rsidRPr="00A128AC">
        <w:rPr>
          <w:rFonts w:ascii="Times New Roman" w:hAnsi="Times New Roman" w:cs="Times New Roman"/>
          <w:b/>
          <w:bCs/>
          <w:noProof/>
          <w:sz w:val="24"/>
          <w:szCs w:val="24"/>
        </w:rPr>
        <w:t>Quantitative Biology</w:t>
      </w:r>
      <w:r w:rsidRPr="00A128AC">
        <w:rPr>
          <w:rFonts w:ascii="Times New Roman" w:hAnsi="Times New Roman" w:cs="Times New Roman"/>
          <w:noProof/>
          <w:sz w:val="24"/>
          <w:szCs w:val="24"/>
        </w:rPr>
        <w:t xml:space="preserve">, v. 7, n. 2, p. 83–89, 2019. </w:t>
      </w:r>
    </w:p>
    <w:p w14:paraId="595219D0" w14:textId="77777777" w:rsidR="00A128AC" w:rsidRPr="00A128AC" w:rsidRDefault="00A128AC" w:rsidP="000E5856">
      <w:pPr>
        <w:widowControl w:val="0"/>
        <w:autoSpaceDE w:val="0"/>
        <w:autoSpaceDN w:val="0"/>
        <w:adjustRightInd w:val="0"/>
        <w:spacing w:after="0" w:line="360" w:lineRule="auto"/>
        <w:jc w:val="both"/>
        <w:rPr>
          <w:rFonts w:ascii="Times New Roman" w:hAnsi="Times New Roman" w:cs="Times New Roman"/>
          <w:noProof/>
          <w:sz w:val="24"/>
          <w:szCs w:val="24"/>
        </w:rPr>
      </w:pPr>
      <w:r w:rsidRPr="00A128AC">
        <w:rPr>
          <w:rFonts w:ascii="Times New Roman" w:hAnsi="Times New Roman" w:cs="Times New Roman"/>
          <w:noProof/>
          <w:sz w:val="24"/>
          <w:szCs w:val="24"/>
        </w:rPr>
        <w:t xml:space="preserve">FILIMONOV, D. A. et al. Prediction of the biological activity spectra of organic compounds using the pass online web resource. </w:t>
      </w:r>
      <w:r w:rsidRPr="00A128AC">
        <w:rPr>
          <w:rFonts w:ascii="Times New Roman" w:hAnsi="Times New Roman" w:cs="Times New Roman"/>
          <w:b/>
          <w:bCs/>
          <w:noProof/>
          <w:sz w:val="24"/>
          <w:szCs w:val="24"/>
        </w:rPr>
        <w:t>Chemistry of Heterocyclic Compounds</w:t>
      </w:r>
      <w:r w:rsidRPr="00A128AC">
        <w:rPr>
          <w:rFonts w:ascii="Times New Roman" w:hAnsi="Times New Roman" w:cs="Times New Roman"/>
          <w:noProof/>
          <w:sz w:val="24"/>
          <w:szCs w:val="24"/>
        </w:rPr>
        <w:t xml:space="preserve">, v. 50, n. 3, p. 444–457, 2014. </w:t>
      </w:r>
    </w:p>
    <w:p w14:paraId="3DB52C03" w14:textId="77777777" w:rsidR="00A128AC" w:rsidRPr="00A128AC" w:rsidRDefault="00A128AC" w:rsidP="000E5856">
      <w:pPr>
        <w:widowControl w:val="0"/>
        <w:autoSpaceDE w:val="0"/>
        <w:autoSpaceDN w:val="0"/>
        <w:adjustRightInd w:val="0"/>
        <w:spacing w:after="0" w:line="360" w:lineRule="auto"/>
        <w:jc w:val="both"/>
        <w:rPr>
          <w:rFonts w:ascii="Times New Roman" w:hAnsi="Times New Roman" w:cs="Times New Roman"/>
          <w:noProof/>
          <w:sz w:val="24"/>
          <w:szCs w:val="24"/>
        </w:rPr>
      </w:pPr>
      <w:r w:rsidRPr="00A128AC">
        <w:rPr>
          <w:rFonts w:ascii="Times New Roman" w:hAnsi="Times New Roman" w:cs="Times New Roman"/>
          <w:noProof/>
          <w:sz w:val="24"/>
          <w:szCs w:val="24"/>
        </w:rPr>
        <w:t xml:space="preserve">FITZPATRICK, L. R.; WOLDEMARIAM, T. </w:t>
      </w:r>
      <w:r w:rsidRPr="00A128AC">
        <w:rPr>
          <w:rFonts w:ascii="Times New Roman" w:hAnsi="Times New Roman" w:cs="Times New Roman"/>
          <w:b/>
          <w:bCs/>
          <w:noProof/>
          <w:sz w:val="24"/>
          <w:szCs w:val="24"/>
        </w:rPr>
        <w:t>Small-Molecule Drugs for the Treatment of Inflammatory Bowel Disease</w:t>
      </w:r>
      <w:r w:rsidRPr="00A128AC">
        <w:rPr>
          <w:rFonts w:ascii="Times New Roman" w:hAnsi="Times New Roman" w:cs="Times New Roman"/>
          <w:noProof/>
          <w:sz w:val="24"/>
          <w:szCs w:val="24"/>
        </w:rPr>
        <w:t>. [s.l.] Elsevier, 2017. v. 5–8</w:t>
      </w:r>
    </w:p>
    <w:p w14:paraId="6A6634B2" w14:textId="77777777" w:rsidR="00A128AC" w:rsidRPr="00A128AC" w:rsidRDefault="00A128AC" w:rsidP="000E5856">
      <w:pPr>
        <w:widowControl w:val="0"/>
        <w:autoSpaceDE w:val="0"/>
        <w:autoSpaceDN w:val="0"/>
        <w:adjustRightInd w:val="0"/>
        <w:spacing w:after="0" w:line="360" w:lineRule="auto"/>
        <w:jc w:val="both"/>
        <w:rPr>
          <w:rFonts w:ascii="Times New Roman" w:hAnsi="Times New Roman" w:cs="Times New Roman"/>
          <w:noProof/>
          <w:sz w:val="24"/>
          <w:szCs w:val="24"/>
        </w:rPr>
      </w:pPr>
      <w:r w:rsidRPr="00A128AC">
        <w:rPr>
          <w:rFonts w:ascii="Times New Roman" w:hAnsi="Times New Roman" w:cs="Times New Roman"/>
          <w:noProof/>
          <w:sz w:val="24"/>
          <w:szCs w:val="24"/>
        </w:rPr>
        <w:t xml:space="preserve">FRICKE-GALINDO, I. et al. Impact of COMT, PRODH and DISC1 Genetic Variants on Cognitive Performance of Patients with Schizophrenia. </w:t>
      </w:r>
      <w:r w:rsidRPr="00A128AC">
        <w:rPr>
          <w:rFonts w:ascii="Times New Roman" w:hAnsi="Times New Roman" w:cs="Times New Roman"/>
          <w:b/>
          <w:bCs/>
          <w:noProof/>
          <w:sz w:val="24"/>
          <w:szCs w:val="24"/>
        </w:rPr>
        <w:t>Archives of Medical Research</w:t>
      </w:r>
      <w:r w:rsidRPr="00A128AC">
        <w:rPr>
          <w:rFonts w:ascii="Times New Roman" w:hAnsi="Times New Roman" w:cs="Times New Roman"/>
          <w:noProof/>
          <w:sz w:val="24"/>
          <w:szCs w:val="24"/>
        </w:rPr>
        <w:t xml:space="preserve">, n. xxxx, p. 1–11, 2022. </w:t>
      </w:r>
    </w:p>
    <w:p w14:paraId="6E00870C" w14:textId="77777777" w:rsidR="00A128AC" w:rsidRPr="00A128AC" w:rsidRDefault="00A128AC" w:rsidP="000E5856">
      <w:pPr>
        <w:widowControl w:val="0"/>
        <w:autoSpaceDE w:val="0"/>
        <w:autoSpaceDN w:val="0"/>
        <w:adjustRightInd w:val="0"/>
        <w:spacing w:after="0" w:line="360" w:lineRule="auto"/>
        <w:jc w:val="both"/>
        <w:rPr>
          <w:rFonts w:ascii="Times New Roman" w:hAnsi="Times New Roman" w:cs="Times New Roman"/>
          <w:noProof/>
          <w:sz w:val="24"/>
          <w:szCs w:val="24"/>
        </w:rPr>
      </w:pPr>
      <w:r w:rsidRPr="00A128AC">
        <w:rPr>
          <w:rFonts w:ascii="Times New Roman" w:hAnsi="Times New Roman" w:cs="Times New Roman"/>
          <w:noProof/>
          <w:sz w:val="24"/>
          <w:szCs w:val="24"/>
        </w:rPr>
        <w:t xml:space="preserve">GERALDES, V. S. M. Universidade De São Universidade De São. </w:t>
      </w:r>
      <w:r w:rsidRPr="00A128AC">
        <w:rPr>
          <w:rFonts w:ascii="Times New Roman" w:hAnsi="Times New Roman" w:cs="Times New Roman"/>
          <w:b/>
          <w:bCs/>
          <w:noProof/>
          <w:sz w:val="24"/>
          <w:szCs w:val="24"/>
        </w:rPr>
        <w:t>Teses USP</w:t>
      </w:r>
      <w:r w:rsidRPr="00A128AC">
        <w:rPr>
          <w:rFonts w:ascii="Times New Roman" w:hAnsi="Times New Roman" w:cs="Times New Roman"/>
          <w:noProof/>
          <w:sz w:val="24"/>
          <w:szCs w:val="24"/>
        </w:rPr>
        <w:t xml:space="preserve">, p. 262, 2019. </w:t>
      </w:r>
    </w:p>
    <w:p w14:paraId="2549D744" w14:textId="77777777" w:rsidR="00A128AC" w:rsidRPr="00A128AC" w:rsidRDefault="00A128AC" w:rsidP="000E5856">
      <w:pPr>
        <w:widowControl w:val="0"/>
        <w:autoSpaceDE w:val="0"/>
        <w:autoSpaceDN w:val="0"/>
        <w:adjustRightInd w:val="0"/>
        <w:spacing w:after="0" w:line="360" w:lineRule="auto"/>
        <w:jc w:val="both"/>
        <w:rPr>
          <w:rFonts w:ascii="Times New Roman" w:hAnsi="Times New Roman" w:cs="Times New Roman"/>
          <w:noProof/>
          <w:sz w:val="24"/>
          <w:szCs w:val="24"/>
        </w:rPr>
      </w:pPr>
      <w:r w:rsidRPr="00A128AC">
        <w:rPr>
          <w:rFonts w:ascii="Times New Roman" w:hAnsi="Times New Roman" w:cs="Times New Roman"/>
          <w:noProof/>
          <w:sz w:val="24"/>
          <w:szCs w:val="24"/>
        </w:rPr>
        <w:t xml:space="preserve">KADOWAKI, M. et al. Inhibitory effects of catechin gallates on o-methyltranslation of protocatechuic acid in rat liver cytosolic preparations and cultured hepatocytes. </w:t>
      </w:r>
      <w:r w:rsidRPr="00A128AC">
        <w:rPr>
          <w:rFonts w:ascii="Times New Roman" w:hAnsi="Times New Roman" w:cs="Times New Roman"/>
          <w:b/>
          <w:bCs/>
          <w:noProof/>
          <w:sz w:val="24"/>
          <w:szCs w:val="24"/>
        </w:rPr>
        <w:t>Biological and Pharmaceutical Bulletin</w:t>
      </w:r>
      <w:r w:rsidRPr="00A128AC">
        <w:rPr>
          <w:rFonts w:ascii="Times New Roman" w:hAnsi="Times New Roman" w:cs="Times New Roman"/>
          <w:noProof/>
          <w:sz w:val="24"/>
          <w:szCs w:val="24"/>
        </w:rPr>
        <w:t xml:space="preserve">, v. 28, n. 8, p. 1509–1513, 2005. </w:t>
      </w:r>
    </w:p>
    <w:p w14:paraId="1CD40194" w14:textId="77777777" w:rsidR="00A128AC" w:rsidRPr="00A128AC" w:rsidRDefault="00A128AC" w:rsidP="000E5856">
      <w:pPr>
        <w:widowControl w:val="0"/>
        <w:autoSpaceDE w:val="0"/>
        <w:autoSpaceDN w:val="0"/>
        <w:adjustRightInd w:val="0"/>
        <w:spacing w:after="0" w:line="360" w:lineRule="auto"/>
        <w:jc w:val="both"/>
        <w:rPr>
          <w:rFonts w:ascii="Times New Roman" w:hAnsi="Times New Roman" w:cs="Times New Roman"/>
          <w:noProof/>
          <w:sz w:val="24"/>
          <w:szCs w:val="24"/>
        </w:rPr>
      </w:pPr>
      <w:r w:rsidRPr="00A128AC">
        <w:rPr>
          <w:rFonts w:ascii="Times New Roman" w:hAnsi="Times New Roman" w:cs="Times New Roman"/>
          <w:noProof/>
          <w:sz w:val="24"/>
          <w:szCs w:val="24"/>
        </w:rPr>
        <w:t xml:space="preserve">KHALILI, M. et al. Trigonelline mitigates lipopolysaccharide-induced learning and memory impairment in the rat due to its anti-oxidative and anti-inflammatory effect. </w:t>
      </w:r>
      <w:r w:rsidRPr="00A128AC">
        <w:rPr>
          <w:rFonts w:ascii="Times New Roman" w:hAnsi="Times New Roman" w:cs="Times New Roman"/>
          <w:b/>
          <w:bCs/>
          <w:noProof/>
          <w:sz w:val="24"/>
          <w:szCs w:val="24"/>
        </w:rPr>
        <w:t>International Immunopharmacology</w:t>
      </w:r>
      <w:r w:rsidRPr="00A128AC">
        <w:rPr>
          <w:rFonts w:ascii="Times New Roman" w:hAnsi="Times New Roman" w:cs="Times New Roman"/>
          <w:noProof/>
          <w:sz w:val="24"/>
          <w:szCs w:val="24"/>
        </w:rPr>
        <w:t xml:space="preserve">, v. 61, n. September 2017, p. 355–362, 2018. </w:t>
      </w:r>
    </w:p>
    <w:p w14:paraId="6BC2B7C6" w14:textId="130850C4" w:rsidR="00A128AC" w:rsidRPr="00A128AC" w:rsidRDefault="00A128AC" w:rsidP="000E5856">
      <w:pPr>
        <w:widowControl w:val="0"/>
        <w:autoSpaceDE w:val="0"/>
        <w:autoSpaceDN w:val="0"/>
        <w:adjustRightInd w:val="0"/>
        <w:spacing w:after="0" w:line="360" w:lineRule="auto"/>
        <w:jc w:val="both"/>
        <w:rPr>
          <w:rFonts w:ascii="Times New Roman" w:hAnsi="Times New Roman" w:cs="Times New Roman"/>
          <w:noProof/>
          <w:sz w:val="24"/>
          <w:szCs w:val="24"/>
        </w:rPr>
      </w:pPr>
      <w:r w:rsidRPr="00A128AC">
        <w:rPr>
          <w:rFonts w:ascii="Times New Roman" w:hAnsi="Times New Roman" w:cs="Times New Roman"/>
          <w:sz w:val="24"/>
          <w:szCs w:val="24"/>
        </w:rPr>
        <w:t xml:space="preserve">LEONARDO, B. C.; CUNHA, D. F.; SAKAE, T. M.; REMOR, K. V. T. </w:t>
      </w:r>
      <w:r>
        <w:rPr>
          <w:rFonts w:ascii="Times New Roman" w:hAnsi="Times New Roman" w:cs="Times New Roman"/>
          <w:sz w:val="24"/>
          <w:szCs w:val="24"/>
        </w:rPr>
        <w:t>P</w:t>
      </w:r>
      <w:r w:rsidRPr="00A128AC">
        <w:rPr>
          <w:rFonts w:ascii="Times New Roman" w:hAnsi="Times New Roman" w:cs="Times New Roman"/>
          <w:sz w:val="24"/>
          <w:szCs w:val="24"/>
        </w:rPr>
        <w:t>revalência de transtornos mentais e utilização de psicofármacos em pacientes atendidos em um ambulatório médico de especialidades. </w:t>
      </w:r>
      <w:r w:rsidRPr="00A128AC">
        <w:rPr>
          <w:rFonts w:ascii="Times New Roman" w:hAnsi="Times New Roman" w:cs="Times New Roman"/>
          <w:b/>
          <w:bCs/>
          <w:sz w:val="24"/>
          <w:szCs w:val="24"/>
        </w:rPr>
        <w:t>Arquivos Catarinenses de Medicina</w:t>
      </w:r>
      <w:r w:rsidRPr="00A128AC">
        <w:rPr>
          <w:rFonts w:ascii="Times New Roman" w:hAnsi="Times New Roman" w:cs="Times New Roman"/>
          <w:sz w:val="24"/>
          <w:szCs w:val="24"/>
        </w:rPr>
        <w:t>, </w:t>
      </w:r>
      <w:r w:rsidRPr="00A128AC">
        <w:rPr>
          <w:rFonts w:ascii="Times New Roman" w:hAnsi="Times New Roman" w:cs="Times New Roman"/>
          <w:i/>
          <w:iCs/>
          <w:sz w:val="24"/>
          <w:szCs w:val="24"/>
        </w:rPr>
        <w:t>[S. l.]</w:t>
      </w:r>
      <w:r w:rsidRPr="00A128AC">
        <w:rPr>
          <w:rFonts w:ascii="Times New Roman" w:hAnsi="Times New Roman" w:cs="Times New Roman"/>
          <w:sz w:val="24"/>
          <w:szCs w:val="24"/>
        </w:rPr>
        <w:t>, v. 46, n. 2, p. 39–52, 2017.</w:t>
      </w:r>
    </w:p>
    <w:p w14:paraId="0C4D553F" w14:textId="28B6114E" w:rsidR="00A128AC" w:rsidRPr="00A128AC" w:rsidRDefault="00A128AC" w:rsidP="000E5856">
      <w:pPr>
        <w:widowControl w:val="0"/>
        <w:autoSpaceDE w:val="0"/>
        <w:autoSpaceDN w:val="0"/>
        <w:adjustRightInd w:val="0"/>
        <w:spacing w:after="0" w:line="360" w:lineRule="auto"/>
        <w:jc w:val="both"/>
        <w:rPr>
          <w:rFonts w:ascii="Times New Roman" w:hAnsi="Times New Roman" w:cs="Times New Roman"/>
          <w:noProof/>
          <w:sz w:val="24"/>
          <w:szCs w:val="24"/>
        </w:rPr>
      </w:pPr>
      <w:r w:rsidRPr="00A128AC">
        <w:rPr>
          <w:rFonts w:ascii="Times New Roman" w:hAnsi="Times New Roman" w:cs="Times New Roman"/>
          <w:noProof/>
          <w:sz w:val="24"/>
          <w:szCs w:val="24"/>
        </w:rPr>
        <w:t xml:space="preserve">MONTEIRO, Á. B. et al. Anxiolytic and antidepressant-like effects of Annona coriacea (Mart.) and caffeic acid in mice. </w:t>
      </w:r>
      <w:r w:rsidRPr="00A128AC">
        <w:rPr>
          <w:rFonts w:ascii="Times New Roman" w:hAnsi="Times New Roman" w:cs="Times New Roman"/>
          <w:b/>
          <w:bCs/>
          <w:noProof/>
          <w:sz w:val="24"/>
          <w:szCs w:val="24"/>
        </w:rPr>
        <w:t>Food and Chemical Toxicology</w:t>
      </w:r>
      <w:r w:rsidRPr="00A128AC">
        <w:rPr>
          <w:rFonts w:ascii="Times New Roman" w:hAnsi="Times New Roman" w:cs="Times New Roman"/>
          <w:noProof/>
          <w:sz w:val="24"/>
          <w:szCs w:val="24"/>
        </w:rPr>
        <w:t xml:space="preserve">, v. 136, p. 111049, 2020. </w:t>
      </w:r>
    </w:p>
    <w:p w14:paraId="0DCC1A7F" w14:textId="77777777" w:rsidR="00A128AC" w:rsidRPr="00A128AC" w:rsidRDefault="00A128AC" w:rsidP="000E5856">
      <w:pPr>
        <w:widowControl w:val="0"/>
        <w:autoSpaceDE w:val="0"/>
        <w:autoSpaceDN w:val="0"/>
        <w:adjustRightInd w:val="0"/>
        <w:spacing w:after="0" w:line="360" w:lineRule="auto"/>
        <w:jc w:val="both"/>
        <w:rPr>
          <w:rFonts w:ascii="Times New Roman" w:hAnsi="Times New Roman" w:cs="Times New Roman"/>
          <w:noProof/>
          <w:sz w:val="24"/>
          <w:szCs w:val="24"/>
        </w:rPr>
      </w:pPr>
      <w:r w:rsidRPr="00A128AC">
        <w:rPr>
          <w:rFonts w:ascii="Times New Roman" w:hAnsi="Times New Roman" w:cs="Times New Roman"/>
          <w:noProof/>
          <w:sz w:val="24"/>
          <w:szCs w:val="24"/>
        </w:rPr>
        <w:t xml:space="preserve">NOGUEIRA DA SILVA AVELINO OLIVEIRA ROCHA, G. et al. Phytochemicals and biological properties of Annona coriacea Mart. (Annonaceae): A systematic review </w:t>
      </w:r>
      <w:r w:rsidRPr="00A128AC">
        <w:rPr>
          <w:rFonts w:ascii="Times New Roman" w:hAnsi="Times New Roman" w:cs="Times New Roman"/>
          <w:noProof/>
          <w:sz w:val="24"/>
          <w:szCs w:val="24"/>
        </w:rPr>
        <w:lastRenderedPageBreak/>
        <w:t xml:space="preserve">from 1971 to 2020. </w:t>
      </w:r>
      <w:r w:rsidRPr="00A128AC">
        <w:rPr>
          <w:rFonts w:ascii="Times New Roman" w:hAnsi="Times New Roman" w:cs="Times New Roman"/>
          <w:b/>
          <w:bCs/>
          <w:noProof/>
          <w:sz w:val="24"/>
          <w:szCs w:val="24"/>
        </w:rPr>
        <w:t>Chemico-Biological Interactions</w:t>
      </w:r>
      <w:r w:rsidRPr="00A128AC">
        <w:rPr>
          <w:rFonts w:ascii="Times New Roman" w:hAnsi="Times New Roman" w:cs="Times New Roman"/>
          <w:noProof/>
          <w:sz w:val="24"/>
          <w:szCs w:val="24"/>
        </w:rPr>
        <w:t xml:space="preserve">, v. 336, n. January, p. 109390, 2021. </w:t>
      </w:r>
    </w:p>
    <w:p w14:paraId="6A212DFC" w14:textId="77777777" w:rsidR="00A128AC" w:rsidRPr="00A128AC" w:rsidRDefault="00A128AC" w:rsidP="000E5856">
      <w:pPr>
        <w:widowControl w:val="0"/>
        <w:autoSpaceDE w:val="0"/>
        <w:autoSpaceDN w:val="0"/>
        <w:adjustRightInd w:val="0"/>
        <w:spacing w:after="0" w:line="360" w:lineRule="auto"/>
        <w:jc w:val="both"/>
        <w:rPr>
          <w:rFonts w:ascii="Times New Roman" w:hAnsi="Times New Roman" w:cs="Times New Roman"/>
          <w:noProof/>
          <w:sz w:val="24"/>
          <w:szCs w:val="24"/>
        </w:rPr>
      </w:pPr>
      <w:r w:rsidRPr="00A128AC">
        <w:rPr>
          <w:rFonts w:ascii="Times New Roman" w:hAnsi="Times New Roman" w:cs="Times New Roman"/>
          <w:noProof/>
          <w:sz w:val="24"/>
          <w:szCs w:val="24"/>
        </w:rPr>
        <w:t xml:space="preserve">PINZI, L.; RASTELLI, G. Molecular docking: Shifting paradigms in drug discovery. </w:t>
      </w:r>
      <w:r w:rsidRPr="00A128AC">
        <w:rPr>
          <w:rFonts w:ascii="Times New Roman" w:hAnsi="Times New Roman" w:cs="Times New Roman"/>
          <w:b/>
          <w:bCs/>
          <w:noProof/>
          <w:sz w:val="24"/>
          <w:szCs w:val="24"/>
        </w:rPr>
        <w:t>International Journal of Molecular Sciences</w:t>
      </w:r>
      <w:r w:rsidRPr="00A128AC">
        <w:rPr>
          <w:rFonts w:ascii="Times New Roman" w:hAnsi="Times New Roman" w:cs="Times New Roman"/>
          <w:noProof/>
          <w:sz w:val="24"/>
          <w:szCs w:val="24"/>
        </w:rPr>
        <w:t xml:space="preserve">, v. 20, n. 18, 2019. </w:t>
      </w:r>
    </w:p>
    <w:p w14:paraId="15EE1110" w14:textId="77777777" w:rsidR="00A128AC" w:rsidRPr="00A128AC" w:rsidRDefault="00A128AC" w:rsidP="000E5856">
      <w:pPr>
        <w:widowControl w:val="0"/>
        <w:autoSpaceDE w:val="0"/>
        <w:autoSpaceDN w:val="0"/>
        <w:adjustRightInd w:val="0"/>
        <w:spacing w:after="0" w:line="360" w:lineRule="auto"/>
        <w:jc w:val="both"/>
        <w:rPr>
          <w:rFonts w:ascii="Times New Roman" w:hAnsi="Times New Roman" w:cs="Times New Roman"/>
          <w:noProof/>
          <w:sz w:val="24"/>
          <w:szCs w:val="24"/>
        </w:rPr>
      </w:pPr>
      <w:r w:rsidRPr="00A128AC">
        <w:rPr>
          <w:rFonts w:ascii="Times New Roman" w:hAnsi="Times New Roman" w:cs="Times New Roman"/>
          <w:noProof/>
          <w:sz w:val="24"/>
          <w:szCs w:val="24"/>
        </w:rPr>
        <w:t xml:space="preserve">SARACENO, B. Investing in mental health. </w:t>
      </w:r>
      <w:r w:rsidRPr="00A128AC">
        <w:rPr>
          <w:rFonts w:ascii="Times New Roman" w:hAnsi="Times New Roman" w:cs="Times New Roman"/>
          <w:b/>
          <w:bCs/>
          <w:noProof/>
          <w:sz w:val="24"/>
          <w:szCs w:val="24"/>
        </w:rPr>
        <w:t>Information Psychiatrique</w:t>
      </w:r>
      <w:r w:rsidRPr="00A128AC">
        <w:rPr>
          <w:rFonts w:ascii="Times New Roman" w:hAnsi="Times New Roman" w:cs="Times New Roman"/>
          <w:noProof/>
          <w:sz w:val="24"/>
          <w:szCs w:val="24"/>
        </w:rPr>
        <w:t xml:space="preserve">, v. 81, n. 4, p. 289–293, 2005. </w:t>
      </w:r>
    </w:p>
    <w:p w14:paraId="69115798" w14:textId="77777777" w:rsidR="00A128AC" w:rsidRPr="00A128AC" w:rsidRDefault="00A128AC" w:rsidP="000E5856">
      <w:pPr>
        <w:widowControl w:val="0"/>
        <w:autoSpaceDE w:val="0"/>
        <w:autoSpaceDN w:val="0"/>
        <w:adjustRightInd w:val="0"/>
        <w:spacing w:after="0" w:line="360" w:lineRule="auto"/>
        <w:jc w:val="both"/>
        <w:rPr>
          <w:rFonts w:ascii="Times New Roman" w:hAnsi="Times New Roman" w:cs="Times New Roman"/>
          <w:noProof/>
          <w:sz w:val="24"/>
        </w:rPr>
      </w:pPr>
      <w:r w:rsidRPr="00A128AC">
        <w:rPr>
          <w:rFonts w:ascii="Times New Roman" w:hAnsi="Times New Roman" w:cs="Times New Roman"/>
          <w:noProof/>
          <w:sz w:val="24"/>
          <w:szCs w:val="24"/>
        </w:rPr>
        <w:t xml:space="preserve">ZHANG, L.; ZHANG, J.; YOU, Z. Switching of the microglial activation phenotype is a possible treatment for depression disorder. </w:t>
      </w:r>
      <w:r w:rsidRPr="00A128AC">
        <w:rPr>
          <w:rFonts w:ascii="Times New Roman" w:hAnsi="Times New Roman" w:cs="Times New Roman"/>
          <w:b/>
          <w:bCs/>
          <w:noProof/>
          <w:sz w:val="24"/>
          <w:szCs w:val="24"/>
        </w:rPr>
        <w:t>Frontiers in Cellular Neuroscience</w:t>
      </w:r>
      <w:r w:rsidRPr="00A128AC">
        <w:rPr>
          <w:rFonts w:ascii="Times New Roman" w:hAnsi="Times New Roman" w:cs="Times New Roman"/>
          <w:noProof/>
          <w:sz w:val="24"/>
          <w:szCs w:val="24"/>
        </w:rPr>
        <w:t xml:space="preserve">, v. 12, n. October, p. 1–13, 2018. </w:t>
      </w:r>
    </w:p>
    <w:p w14:paraId="3295BDB7" w14:textId="4347C9E2" w:rsidR="00A128AC" w:rsidRPr="009D7CB4" w:rsidRDefault="00A128AC" w:rsidP="000E5856">
      <w:pPr>
        <w:spacing w:after="0" w:line="360" w:lineRule="auto"/>
        <w:jc w:val="both"/>
        <w:rPr>
          <w:rFonts w:ascii="Times New Roman" w:hAnsi="Times New Roman" w:cs="Times New Roman"/>
          <w:sz w:val="24"/>
          <w:szCs w:val="24"/>
        </w:rPr>
      </w:pPr>
      <w:r>
        <w:rPr>
          <w:rFonts w:ascii="Times New Roman" w:hAnsi="Times New Roman" w:cs="Times New Roman"/>
          <w:sz w:val="24"/>
          <w:szCs w:val="24"/>
        </w:rPr>
        <w:fldChar w:fldCharType="end"/>
      </w:r>
    </w:p>
    <w:p w14:paraId="7E7BE4C4" w14:textId="77777777" w:rsidR="00EE7EC5" w:rsidRPr="00344686" w:rsidRDefault="00EE7EC5" w:rsidP="000E5856">
      <w:pPr>
        <w:spacing w:after="0" w:line="360" w:lineRule="auto"/>
        <w:jc w:val="both"/>
      </w:pPr>
    </w:p>
    <w:sectPr w:rsidR="00EE7EC5" w:rsidRPr="00344686">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ayMLAwMbM0NjIxt7Q0sTRV0lEKTi0uzszPAykwNKwFABlkKy8tAAAA"/>
  </w:docVars>
  <w:rsids>
    <w:rsidRoot w:val="00344686"/>
    <w:rsid w:val="000006EB"/>
    <w:rsid w:val="00002593"/>
    <w:rsid w:val="00010784"/>
    <w:rsid w:val="000279A7"/>
    <w:rsid w:val="00056245"/>
    <w:rsid w:val="00091567"/>
    <w:rsid w:val="00091BB0"/>
    <w:rsid w:val="000D173D"/>
    <w:rsid w:val="000E3159"/>
    <w:rsid w:val="000E5856"/>
    <w:rsid w:val="001028F5"/>
    <w:rsid w:val="00113961"/>
    <w:rsid w:val="001346F6"/>
    <w:rsid w:val="00137E06"/>
    <w:rsid w:val="00141E37"/>
    <w:rsid w:val="00156C8E"/>
    <w:rsid w:val="00173DC9"/>
    <w:rsid w:val="001905DB"/>
    <w:rsid w:val="0019226D"/>
    <w:rsid w:val="001B113A"/>
    <w:rsid w:val="001B3127"/>
    <w:rsid w:val="001D4AE3"/>
    <w:rsid w:val="001D6AA9"/>
    <w:rsid w:val="002025EE"/>
    <w:rsid w:val="00243C0F"/>
    <w:rsid w:val="00245E42"/>
    <w:rsid w:val="0026608C"/>
    <w:rsid w:val="0029032F"/>
    <w:rsid w:val="00291CA8"/>
    <w:rsid w:val="00292E98"/>
    <w:rsid w:val="002A510E"/>
    <w:rsid w:val="002A6186"/>
    <w:rsid w:val="002A78DC"/>
    <w:rsid w:val="002E1634"/>
    <w:rsid w:val="002F400E"/>
    <w:rsid w:val="00307BF8"/>
    <w:rsid w:val="00311F0F"/>
    <w:rsid w:val="0032299F"/>
    <w:rsid w:val="00344686"/>
    <w:rsid w:val="003450DA"/>
    <w:rsid w:val="00351F9A"/>
    <w:rsid w:val="00363CAC"/>
    <w:rsid w:val="00371337"/>
    <w:rsid w:val="00373AA0"/>
    <w:rsid w:val="00374BBF"/>
    <w:rsid w:val="003812CA"/>
    <w:rsid w:val="00383947"/>
    <w:rsid w:val="003A2BA4"/>
    <w:rsid w:val="003A5D29"/>
    <w:rsid w:val="003C0CAF"/>
    <w:rsid w:val="003D29CE"/>
    <w:rsid w:val="003E06B8"/>
    <w:rsid w:val="003E18B2"/>
    <w:rsid w:val="003F4354"/>
    <w:rsid w:val="003F79E1"/>
    <w:rsid w:val="00443DA9"/>
    <w:rsid w:val="00472F97"/>
    <w:rsid w:val="00480206"/>
    <w:rsid w:val="004878E6"/>
    <w:rsid w:val="004B76A9"/>
    <w:rsid w:val="004C5C14"/>
    <w:rsid w:val="004E5B75"/>
    <w:rsid w:val="0050090D"/>
    <w:rsid w:val="005070A5"/>
    <w:rsid w:val="00530280"/>
    <w:rsid w:val="00542377"/>
    <w:rsid w:val="00556903"/>
    <w:rsid w:val="005819EC"/>
    <w:rsid w:val="0058561B"/>
    <w:rsid w:val="00595BA2"/>
    <w:rsid w:val="005B1B54"/>
    <w:rsid w:val="00607E42"/>
    <w:rsid w:val="00696228"/>
    <w:rsid w:val="006979D2"/>
    <w:rsid w:val="006A603E"/>
    <w:rsid w:val="006F3762"/>
    <w:rsid w:val="00710FD4"/>
    <w:rsid w:val="00717691"/>
    <w:rsid w:val="0072099A"/>
    <w:rsid w:val="0075206A"/>
    <w:rsid w:val="00763013"/>
    <w:rsid w:val="0077708F"/>
    <w:rsid w:val="007A41ED"/>
    <w:rsid w:val="007A7F70"/>
    <w:rsid w:val="007B4FA8"/>
    <w:rsid w:val="007E1E90"/>
    <w:rsid w:val="00824DED"/>
    <w:rsid w:val="008260B6"/>
    <w:rsid w:val="00850F23"/>
    <w:rsid w:val="00857B05"/>
    <w:rsid w:val="0089246A"/>
    <w:rsid w:val="008B3DB7"/>
    <w:rsid w:val="008B6CA8"/>
    <w:rsid w:val="008B76D1"/>
    <w:rsid w:val="008E02DA"/>
    <w:rsid w:val="008E10A5"/>
    <w:rsid w:val="00953901"/>
    <w:rsid w:val="00966EFE"/>
    <w:rsid w:val="00970A0B"/>
    <w:rsid w:val="00982CD5"/>
    <w:rsid w:val="009B7D8D"/>
    <w:rsid w:val="009C45C1"/>
    <w:rsid w:val="009D7CB4"/>
    <w:rsid w:val="009E6BC2"/>
    <w:rsid w:val="009F4137"/>
    <w:rsid w:val="00A00859"/>
    <w:rsid w:val="00A128AC"/>
    <w:rsid w:val="00A156D7"/>
    <w:rsid w:val="00A2314C"/>
    <w:rsid w:val="00A2452C"/>
    <w:rsid w:val="00A477F9"/>
    <w:rsid w:val="00A735C6"/>
    <w:rsid w:val="00A73E00"/>
    <w:rsid w:val="00A8511A"/>
    <w:rsid w:val="00A869B2"/>
    <w:rsid w:val="00AD0460"/>
    <w:rsid w:val="00AD18E0"/>
    <w:rsid w:val="00AF483E"/>
    <w:rsid w:val="00B276E2"/>
    <w:rsid w:val="00B3084E"/>
    <w:rsid w:val="00B83601"/>
    <w:rsid w:val="00B87329"/>
    <w:rsid w:val="00B87756"/>
    <w:rsid w:val="00B94830"/>
    <w:rsid w:val="00B965D9"/>
    <w:rsid w:val="00B97708"/>
    <w:rsid w:val="00B97E16"/>
    <w:rsid w:val="00BB0D74"/>
    <w:rsid w:val="00BB4478"/>
    <w:rsid w:val="00BC0C2B"/>
    <w:rsid w:val="00BC4B3F"/>
    <w:rsid w:val="00BC548B"/>
    <w:rsid w:val="00C02F64"/>
    <w:rsid w:val="00C11E89"/>
    <w:rsid w:val="00C14870"/>
    <w:rsid w:val="00C45EE5"/>
    <w:rsid w:val="00C469F3"/>
    <w:rsid w:val="00C47638"/>
    <w:rsid w:val="00C531AE"/>
    <w:rsid w:val="00C659DE"/>
    <w:rsid w:val="00C93E61"/>
    <w:rsid w:val="00C959FB"/>
    <w:rsid w:val="00CC390D"/>
    <w:rsid w:val="00CF3C97"/>
    <w:rsid w:val="00D062A5"/>
    <w:rsid w:val="00D06FB2"/>
    <w:rsid w:val="00D53BCE"/>
    <w:rsid w:val="00D82C4A"/>
    <w:rsid w:val="00DD27E0"/>
    <w:rsid w:val="00DE5C9B"/>
    <w:rsid w:val="00DF22D1"/>
    <w:rsid w:val="00E12942"/>
    <w:rsid w:val="00E26678"/>
    <w:rsid w:val="00E351D3"/>
    <w:rsid w:val="00E42830"/>
    <w:rsid w:val="00E95CFE"/>
    <w:rsid w:val="00EE7EC5"/>
    <w:rsid w:val="00F40206"/>
    <w:rsid w:val="00F532AA"/>
    <w:rsid w:val="00F55D5D"/>
    <w:rsid w:val="00FA0FEF"/>
    <w:rsid w:val="00FA3A8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BF0D8D"/>
  <w15:docId w15:val="{7F53EBE3-E1C7-490A-8EEE-E6190CB3C1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Refdecomentrio">
    <w:name w:val="annotation reference"/>
    <w:basedOn w:val="Fontepargpadro"/>
    <w:uiPriority w:val="99"/>
    <w:semiHidden/>
    <w:unhideWhenUsed/>
    <w:rsid w:val="00A2452C"/>
    <w:rPr>
      <w:sz w:val="16"/>
      <w:szCs w:val="16"/>
    </w:rPr>
  </w:style>
  <w:style w:type="paragraph" w:styleId="Textodecomentrio">
    <w:name w:val="annotation text"/>
    <w:basedOn w:val="Normal"/>
    <w:link w:val="TextodecomentrioChar"/>
    <w:uiPriority w:val="99"/>
    <w:unhideWhenUsed/>
    <w:rsid w:val="00A2452C"/>
    <w:pPr>
      <w:spacing w:line="240" w:lineRule="auto"/>
    </w:pPr>
    <w:rPr>
      <w:sz w:val="20"/>
      <w:szCs w:val="20"/>
    </w:rPr>
  </w:style>
  <w:style w:type="character" w:customStyle="1" w:styleId="TextodecomentrioChar">
    <w:name w:val="Texto de comentário Char"/>
    <w:basedOn w:val="Fontepargpadro"/>
    <w:link w:val="Textodecomentrio"/>
    <w:uiPriority w:val="99"/>
    <w:rsid w:val="00A2452C"/>
    <w:rPr>
      <w:sz w:val="20"/>
      <w:szCs w:val="20"/>
    </w:rPr>
  </w:style>
  <w:style w:type="paragraph" w:styleId="Assuntodocomentrio">
    <w:name w:val="annotation subject"/>
    <w:basedOn w:val="Textodecomentrio"/>
    <w:next w:val="Textodecomentrio"/>
    <w:link w:val="AssuntodocomentrioChar"/>
    <w:uiPriority w:val="99"/>
    <w:semiHidden/>
    <w:unhideWhenUsed/>
    <w:rsid w:val="00A2452C"/>
    <w:rPr>
      <w:b/>
      <w:bCs/>
    </w:rPr>
  </w:style>
  <w:style w:type="character" w:customStyle="1" w:styleId="AssuntodocomentrioChar">
    <w:name w:val="Assunto do comentário Char"/>
    <w:basedOn w:val="TextodecomentrioChar"/>
    <w:link w:val="Assuntodocomentrio"/>
    <w:uiPriority w:val="99"/>
    <w:semiHidden/>
    <w:rsid w:val="00A2452C"/>
    <w:rPr>
      <w:b/>
      <w:bCs/>
      <w:sz w:val="20"/>
      <w:szCs w:val="20"/>
    </w:rPr>
  </w:style>
  <w:style w:type="paragraph" w:styleId="Reviso">
    <w:name w:val="Revision"/>
    <w:hidden/>
    <w:uiPriority w:val="99"/>
    <w:semiHidden/>
    <w:rsid w:val="003F4354"/>
    <w:pPr>
      <w:spacing w:after="0" w:line="240" w:lineRule="auto"/>
    </w:pPr>
  </w:style>
  <w:style w:type="character" w:styleId="Hyperlink">
    <w:name w:val="Hyperlink"/>
    <w:basedOn w:val="Fontepargpadro"/>
    <w:uiPriority w:val="99"/>
    <w:unhideWhenUsed/>
    <w:rsid w:val="00824DED"/>
    <w:rPr>
      <w:color w:val="0563C1" w:themeColor="hyperlink"/>
      <w:u w:val="single"/>
    </w:rPr>
  </w:style>
  <w:style w:type="character" w:styleId="MenoPendente">
    <w:name w:val="Unresolved Mention"/>
    <w:basedOn w:val="Fontepargpadro"/>
    <w:uiPriority w:val="99"/>
    <w:semiHidden/>
    <w:unhideWhenUsed/>
    <w:rsid w:val="00824DED"/>
    <w:rPr>
      <w:color w:val="605E5C"/>
      <w:shd w:val="clear" w:color="auto" w:fill="E1DFDD"/>
    </w:rPr>
  </w:style>
  <w:style w:type="character" w:styleId="HiperlinkVisitado">
    <w:name w:val="FollowedHyperlink"/>
    <w:basedOn w:val="Fontepargpadro"/>
    <w:uiPriority w:val="99"/>
    <w:semiHidden/>
    <w:unhideWhenUsed/>
    <w:rsid w:val="0032299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77971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hyperlink" Target="mailto:leonardo.cbb@pucgoias.edu.br" TargetMode="Externa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FA682B-28B3-4030-B418-2148599FAA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14</Pages>
  <Words>12602</Words>
  <Characters>68057</Characters>
  <Application>Microsoft Office Word</Application>
  <DocSecurity>0</DocSecurity>
  <Lines>567</Lines>
  <Paragraphs>160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80499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tulio nunes</dc:creator>
  <cp:keywords/>
  <dc:description/>
  <cp:lastModifiedBy>LEONARDO LUIZ BORGES</cp:lastModifiedBy>
  <cp:revision>10</cp:revision>
  <dcterms:created xsi:type="dcterms:W3CDTF">2022-05-21T19:28:00Z</dcterms:created>
  <dcterms:modified xsi:type="dcterms:W3CDTF">2022-07-01T13:53:00Z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http://www.zotero.org/styles/associacao-brasileira-de-normas-tecnicas</vt:lpwstr>
  </property>
  <property fmtid="{D5CDD505-2E9C-101B-9397-08002B2CF9AE}" pid="11" name="Mendeley Recent Style Name 4_1">
    <vt:lpwstr>Associação Brasileira de Normas Técnicas (Portuguese - Brazil)</vt:lpwstr>
  </property>
  <property fmtid="{D5CDD505-2E9C-101B-9397-08002B2CF9AE}" pid="12" name="Mendeley Recent Style Id 5_1">
    <vt:lpwstr>http://www.zotero.org/styles/chicago-author-date</vt:lpwstr>
  </property>
  <property fmtid="{D5CDD505-2E9C-101B-9397-08002B2CF9AE}" pid="13" name="Mendeley Recent Style Name 5_1">
    <vt:lpwstr>Chicago Manual of Style 17th edition (author-date)</vt:lpwstr>
  </property>
  <property fmtid="{D5CDD505-2E9C-101B-9397-08002B2CF9AE}" pid="14" name="Mendeley Recent Style Id 6_1">
    <vt:lpwstr>http://www.zotero.org/styles/harvard-cite-them-right</vt:lpwstr>
  </property>
  <property fmtid="{D5CDD505-2E9C-101B-9397-08002B2CF9AE}" pid="15" name="Mendeley Recent Style Name 6_1">
    <vt:lpwstr>Cite Them Right 10th edition - Harvard</vt:lpwstr>
  </property>
  <property fmtid="{D5CDD505-2E9C-101B-9397-08002B2CF9AE}" pid="16" name="Mendeley Recent Style Id 7_1">
    <vt:lpwstr>http://www.zotero.org/styles/ieee</vt:lpwstr>
  </property>
  <property fmtid="{D5CDD505-2E9C-101B-9397-08002B2CF9AE}" pid="17" name="Mendeley Recent Style Name 7_1">
    <vt:lpwstr>IEEE</vt:lpwstr>
  </property>
  <property fmtid="{D5CDD505-2E9C-101B-9397-08002B2CF9AE}" pid="18" name="Mendeley Recent Style Id 8_1">
    <vt:lpwstr>http://www.zotero.org/styles/associacao-brasileira-de-normas-tecnicas-ufmg-face-initials</vt:lpwstr>
  </property>
  <property fmtid="{D5CDD505-2E9C-101B-9397-08002B2CF9AE}" pid="19" name="Mendeley Recent Style Name 8_1">
    <vt:lpwstr>Universidade Federal de Minas Gerais - Faculdade de Ciências Econômicas - ABNT (autoria abreviada) (Portuguese - Brazil)</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Document_1">
    <vt:lpwstr>True</vt:lpwstr>
  </property>
  <property fmtid="{D5CDD505-2E9C-101B-9397-08002B2CF9AE}" pid="23" name="Mendeley Unique User Id_1">
    <vt:lpwstr>c8e00278-2c68-3a99-9db1-ea865a3c1c7c</vt:lpwstr>
  </property>
  <property fmtid="{D5CDD505-2E9C-101B-9397-08002B2CF9AE}" pid="24" name="Mendeley Citation Style_1">
    <vt:lpwstr>http://www.zotero.org/styles/associacao-brasileira-de-normas-tecnicas</vt:lpwstr>
  </property>
</Properties>
</file>