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EC96" w14:textId="63899FBE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50F61">
        <w:rPr>
          <w:rFonts w:ascii="Arial" w:hAnsi="Arial" w:cs="Arial"/>
          <w:b/>
          <w:color w:val="000000" w:themeColor="text1"/>
        </w:rPr>
        <w:t>Pontifícia Universidade Católica de Goiás</w:t>
      </w:r>
    </w:p>
    <w:p w14:paraId="17F3FE52" w14:textId="31C22466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50F61">
        <w:rPr>
          <w:rFonts w:ascii="Arial" w:hAnsi="Arial" w:cs="Arial"/>
          <w:b/>
          <w:color w:val="000000" w:themeColor="text1"/>
        </w:rPr>
        <w:t>Escola de Ciências Médicas e da Vida</w:t>
      </w:r>
    </w:p>
    <w:p w14:paraId="7FFB37DD" w14:textId="2646EB0A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50F61">
        <w:rPr>
          <w:rFonts w:ascii="Arial" w:hAnsi="Arial" w:cs="Arial"/>
          <w:b/>
          <w:color w:val="000000" w:themeColor="text1"/>
        </w:rPr>
        <w:t>Curso de Medicina</w:t>
      </w:r>
    </w:p>
    <w:p w14:paraId="09B3A0CC" w14:textId="4B2C747F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037E036F" w14:textId="77777777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2F760D96" w14:textId="14565DE4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505CBFE1" w14:textId="4DAEE329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50F61">
        <w:rPr>
          <w:rFonts w:ascii="Arial" w:hAnsi="Arial" w:cs="Arial"/>
          <w:b/>
          <w:color w:val="000000" w:themeColor="text1"/>
        </w:rPr>
        <w:t>Discentes: Tiago de Almeida Laranjeira e Vinícius Araújo Barbosa</w:t>
      </w:r>
    </w:p>
    <w:p w14:paraId="494D6EB1" w14:textId="0D930824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50F61">
        <w:rPr>
          <w:rFonts w:ascii="Arial" w:hAnsi="Arial" w:cs="Arial"/>
          <w:b/>
          <w:color w:val="000000" w:themeColor="text1"/>
        </w:rPr>
        <w:t>Orientador: Prof. Dr. Antônio da Silva Menezes Júnior</w:t>
      </w:r>
    </w:p>
    <w:p w14:paraId="5CAC087F" w14:textId="000FEEFB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50F61">
        <w:rPr>
          <w:rFonts w:ascii="Arial" w:hAnsi="Arial" w:cs="Arial"/>
          <w:b/>
          <w:color w:val="000000" w:themeColor="text1"/>
        </w:rPr>
        <w:t>Coorientador: Dr. Marcos Pinto Perillo Filho</w:t>
      </w:r>
    </w:p>
    <w:p w14:paraId="7E4FBC3E" w14:textId="53F5850B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0CFDDB7A" w14:textId="01D9A10E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5043F60" w14:textId="5EFFFC93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D8974D0" w14:textId="3D530822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356BDF83" w14:textId="591B7EB9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0ED97213" w14:textId="46FA07D6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3CAF6896" w14:textId="304C04F4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6F66E2E6" w14:textId="77777777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1251655" w14:textId="5EC284F6" w:rsidR="006072CE" w:rsidRPr="00650F61" w:rsidRDefault="000D51FE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50F61">
        <w:rPr>
          <w:rFonts w:ascii="Arial" w:hAnsi="Arial" w:cs="Arial"/>
          <w:b/>
          <w:color w:val="000000" w:themeColor="text1"/>
        </w:rPr>
        <w:t xml:space="preserve">Importância </w:t>
      </w:r>
      <w:r>
        <w:rPr>
          <w:rFonts w:ascii="Arial" w:hAnsi="Arial" w:cs="Arial"/>
          <w:b/>
          <w:color w:val="000000" w:themeColor="text1"/>
        </w:rPr>
        <w:t>d</w:t>
      </w:r>
      <w:r w:rsidRPr="00650F61">
        <w:rPr>
          <w:rFonts w:ascii="Arial" w:hAnsi="Arial" w:cs="Arial"/>
          <w:b/>
          <w:color w:val="000000" w:themeColor="text1"/>
        </w:rPr>
        <w:t xml:space="preserve">a Avaliação Cardiovascular </w:t>
      </w:r>
      <w:r>
        <w:rPr>
          <w:rFonts w:ascii="Arial" w:hAnsi="Arial" w:cs="Arial"/>
          <w:b/>
          <w:color w:val="000000" w:themeColor="text1"/>
        </w:rPr>
        <w:t>e</w:t>
      </w:r>
      <w:r w:rsidRPr="00650F61">
        <w:rPr>
          <w:rFonts w:ascii="Arial" w:hAnsi="Arial" w:cs="Arial"/>
          <w:b/>
          <w:color w:val="000000" w:themeColor="text1"/>
        </w:rPr>
        <w:t xml:space="preserve">m Futebolistas </w:t>
      </w:r>
      <w:r>
        <w:rPr>
          <w:rFonts w:ascii="Arial" w:hAnsi="Arial" w:cs="Arial"/>
          <w:b/>
          <w:color w:val="000000" w:themeColor="text1"/>
        </w:rPr>
        <w:t>n</w:t>
      </w:r>
      <w:r w:rsidRPr="00650F61">
        <w:rPr>
          <w:rFonts w:ascii="Arial" w:hAnsi="Arial" w:cs="Arial"/>
          <w:b/>
          <w:color w:val="000000" w:themeColor="text1"/>
        </w:rPr>
        <w:t xml:space="preserve">o Pós-Covid: Um Estudo </w:t>
      </w:r>
      <w:r>
        <w:rPr>
          <w:rFonts w:ascii="Arial" w:hAnsi="Arial" w:cs="Arial"/>
          <w:b/>
          <w:color w:val="000000" w:themeColor="text1"/>
        </w:rPr>
        <w:t>d</w:t>
      </w:r>
      <w:r w:rsidRPr="00650F61">
        <w:rPr>
          <w:rFonts w:ascii="Arial" w:hAnsi="Arial" w:cs="Arial"/>
          <w:b/>
          <w:color w:val="000000" w:themeColor="text1"/>
        </w:rPr>
        <w:t>e Casos</w:t>
      </w:r>
    </w:p>
    <w:p w14:paraId="14813C82" w14:textId="3CFB0E69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06649B0E" w14:textId="5C9D1172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0B32672" w14:textId="43D6A9B2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D38FA0B" w14:textId="35D9A674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79D38D59" w14:textId="43E28E09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0FF8371D" w14:textId="77777777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8FEF0F3" w14:textId="4067195E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4E451014" w14:textId="4A869C71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292C7857" w14:textId="77777777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3110AF9A" w14:textId="682D6B47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317975CF" w14:textId="1BA95913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4ACADD55" w14:textId="6399DEE4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2108C8F1" w14:textId="69117F8B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5F56E7F6" w14:textId="6260B614" w:rsidR="005800D4" w:rsidRPr="00650F61" w:rsidRDefault="005800D4" w:rsidP="006072CE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650F61">
        <w:rPr>
          <w:rFonts w:ascii="Arial" w:hAnsi="Arial" w:cs="Arial"/>
          <w:bCs/>
          <w:color w:val="000000" w:themeColor="text1"/>
        </w:rPr>
        <w:t>GOIÂNIA</w:t>
      </w:r>
    </w:p>
    <w:p w14:paraId="55CF8A9F" w14:textId="214D231A" w:rsidR="006072CE" w:rsidRPr="00650F61" w:rsidRDefault="005800D4" w:rsidP="005800D4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650F61">
        <w:rPr>
          <w:rFonts w:ascii="Arial" w:hAnsi="Arial" w:cs="Arial"/>
          <w:bCs/>
          <w:color w:val="000000" w:themeColor="text1"/>
        </w:rPr>
        <w:t>2021</w:t>
      </w:r>
    </w:p>
    <w:p w14:paraId="5287013D" w14:textId="7A8D2846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  <w:r w:rsidRPr="00650F61">
        <w:rPr>
          <w:rFonts w:ascii="Arial" w:hAnsi="Arial" w:cs="Arial"/>
          <w:b/>
        </w:rPr>
        <w:lastRenderedPageBreak/>
        <w:t>Tiago de Almeida Laranjeira</w:t>
      </w:r>
    </w:p>
    <w:p w14:paraId="20475F0C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  <w:r w:rsidRPr="00650F61">
        <w:rPr>
          <w:rFonts w:ascii="Arial" w:hAnsi="Arial" w:cs="Arial"/>
          <w:b/>
        </w:rPr>
        <w:t>Vinícius Araújo Barbosa</w:t>
      </w:r>
    </w:p>
    <w:p w14:paraId="6D1619B0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03E455F9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69C2ED9F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7622E77E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3417BAD8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0D67C3DE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60D1D57E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6CF8254D" w14:textId="77777777" w:rsidR="005800D4" w:rsidRPr="00650F61" w:rsidRDefault="005800D4" w:rsidP="005800D4">
      <w:pPr>
        <w:spacing w:line="360" w:lineRule="auto"/>
        <w:rPr>
          <w:rFonts w:ascii="Arial" w:hAnsi="Arial" w:cs="Arial"/>
          <w:b/>
        </w:rPr>
      </w:pPr>
    </w:p>
    <w:p w14:paraId="06BBF5B6" w14:textId="77777777" w:rsidR="005800D4" w:rsidRPr="00650F61" w:rsidRDefault="005800D4" w:rsidP="005800D4">
      <w:pPr>
        <w:spacing w:line="360" w:lineRule="auto"/>
        <w:rPr>
          <w:rFonts w:ascii="Arial" w:hAnsi="Arial" w:cs="Arial"/>
          <w:b/>
        </w:rPr>
      </w:pPr>
    </w:p>
    <w:p w14:paraId="73CDE89B" w14:textId="77777777" w:rsidR="005800D4" w:rsidRPr="00650F61" w:rsidRDefault="005800D4" w:rsidP="005800D4">
      <w:pPr>
        <w:spacing w:line="360" w:lineRule="auto"/>
        <w:rPr>
          <w:rFonts w:ascii="Arial" w:hAnsi="Arial" w:cs="Arial"/>
          <w:b/>
        </w:rPr>
      </w:pPr>
    </w:p>
    <w:p w14:paraId="3D6189EE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61F5409B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50F61">
        <w:rPr>
          <w:rFonts w:ascii="Arial" w:hAnsi="Arial" w:cs="Arial"/>
          <w:b/>
          <w:color w:val="000000" w:themeColor="text1"/>
        </w:rPr>
        <w:t>IMPORTÂNCIA DA AVALIAÇÃO CARDIOVASCULAR EM FUTEBOLISTAS NO PÓS-COVID: UM ESTUDO DE CASOS</w:t>
      </w:r>
    </w:p>
    <w:p w14:paraId="18BC6FA6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1013F804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691E7A95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51518AC2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40450C25" w14:textId="7C503334" w:rsidR="005800D4" w:rsidRPr="00650F61" w:rsidRDefault="0032203F" w:rsidP="005800D4">
      <w:pPr>
        <w:spacing w:line="360" w:lineRule="auto"/>
        <w:jc w:val="center"/>
        <w:rPr>
          <w:rFonts w:ascii="Arial" w:hAnsi="Arial" w:cs="Arial"/>
          <w:b/>
        </w:rPr>
      </w:pPr>
      <w:r w:rsidRPr="00650F6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69BF5" wp14:editId="30A4376E">
                <wp:simplePos x="0" y="0"/>
                <wp:positionH relativeFrom="column">
                  <wp:posOffset>3357880</wp:posOffset>
                </wp:positionH>
                <wp:positionV relativeFrom="paragraph">
                  <wp:posOffset>120629</wp:posOffset>
                </wp:positionV>
                <wp:extent cx="2320925" cy="2105660"/>
                <wp:effectExtent l="0" t="0" r="0" b="0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210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3AC06" w14:textId="77777777" w:rsidR="005800D4" w:rsidRPr="00AF79C9" w:rsidRDefault="005800D4" w:rsidP="005800D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F79C9">
                              <w:rPr>
                                <w:rFonts w:ascii="Arial" w:hAnsi="Arial" w:cs="Arial"/>
                              </w:rPr>
                              <w:t>Trabalho de Conclusão de Curso apresentado à Pontifícia Universidade Católica de Goiás, sob orientação do Prof. Dr. Antônio da Silva Menezes Júnior, como requisito para graduação no Curso de Medicina.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69BF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64.4pt;margin-top:9.5pt;width:182.75pt;height:16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" filled="f" stroked="f">
                <v:textbox>
                  <w:txbxContent>
                    <w:p w14:paraId="60F3AC06" w14:textId="77777777" w:rsidR="005800D4" w:rsidRPr="00AF79C9" w:rsidRDefault="005800D4" w:rsidP="005800D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AF79C9">
                        <w:rPr>
                          <w:rFonts w:ascii="Arial" w:hAnsi="Arial" w:cs="Arial"/>
                        </w:rPr>
                        <w:t>Trabalho de Conclusão de Curso apresentado à Pontifícia Universidade Católica de Goiás, sob orientação do Prof. Dr. Antônio da Silva Menezes Júnior, como requisito para graduação no Curso de Medicina.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EFAED9" w14:textId="6940F6FD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0D1398A5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43D3B54D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2BDF3021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2C461DB5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18EE79AE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0FBEC249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2430153B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63AB4070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3BD3F7E2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4DD961DB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278BF6B6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/>
        </w:rPr>
      </w:pPr>
    </w:p>
    <w:p w14:paraId="3F846A07" w14:textId="6A50A885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Cs/>
        </w:rPr>
      </w:pPr>
      <w:r w:rsidRPr="00650F61">
        <w:rPr>
          <w:rFonts w:ascii="Arial" w:hAnsi="Arial" w:cs="Arial"/>
          <w:bCs/>
        </w:rPr>
        <w:t>GOIÂNIA</w:t>
      </w:r>
    </w:p>
    <w:p w14:paraId="46A862F7" w14:textId="77777777" w:rsidR="005800D4" w:rsidRPr="00650F61" w:rsidRDefault="005800D4" w:rsidP="005800D4">
      <w:pPr>
        <w:spacing w:line="360" w:lineRule="auto"/>
        <w:jc w:val="center"/>
        <w:rPr>
          <w:rFonts w:ascii="Arial" w:hAnsi="Arial" w:cs="Arial"/>
          <w:bCs/>
        </w:rPr>
      </w:pPr>
      <w:r w:rsidRPr="00650F61">
        <w:rPr>
          <w:rFonts w:ascii="Arial" w:hAnsi="Arial" w:cs="Arial"/>
          <w:bCs/>
        </w:rPr>
        <w:t>2021</w:t>
      </w:r>
    </w:p>
    <w:p w14:paraId="7A93C8B5" w14:textId="30D9CBF0" w:rsidR="006072CE" w:rsidRPr="00BC5F9F" w:rsidRDefault="006072CE" w:rsidP="006072CE">
      <w:pPr>
        <w:spacing w:line="360" w:lineRule="auto"/>
        <w:jc w:val="both"/>
        <w:rPr>
          <w:rFonts w:ascii="Arial" w:hAnsi="Arial" w:cs="Arial"/>
          <w:bCs/>
        </w:rPr>
      </w:pPr>
      <w:r w:rsidRPr="00650F61">
        <w:rPr>
          <w:rFonts w:ascii="Arial" w:hAnsi="Arial" w:cs="Arial"/>
          <w:b/>
        </w:rPr>
        <w:lastRenderedPageBreak/>
        <w:t>RESUMO</w:t>
      </w:r>
    </w:p>
    <w:p w14:paraId="1287D213" w14:textId="5B04E68F" w:rsidR="006072CE" w:rsidRPr="00650F61" w:rsidRDefault="005800D4" w:rsidP="006072CE">
      <w:pPr>
        <w:spacing w:after="240" w:line="360" w:lineRule="auto"/>
        <w:jc w:val="both"/>
        <w:rPr>
          <w:rFonts w:ascii="Arial" w:hAnsi="Arial" w:cs="Arial"/>
          <w:color w:val="000000" w:themeColor="text1"/>
        </w:rPr>
      </w:pPr>
      <w:r w:rsidRPr="00650F61">
        <w:rPr>
          <w:rFonts w:ascii="Arial" w:hAnsi="Arial" w:cs="Arial"/>
          <w:b/>
          <w:bCs/>
        </w:rPr>
        <w:t>Introdução</w:t>
      </w:r>
      <w:r w:rsidR="006072CE" w:rsidRPr="00650F61">
        <w:rPr>
          <w:rFonts w:ascii="Arial" w:hAnsi="Arial" w:cs="Arial"/>
          <w:b/>
          <w:bCs/>
        </w:rPr>
        <w:t xml:space="preserve">: </w:t>
      </w:r>
      <w:r w:rsidR="006072CE" w:rsidRPr="00650F61">
        <w:rPr>
          <w:rFonts w:ascii="Arial" w:hAnsi="Arial" w:cs="Arial"/>
          <w:color w:val="000000" w:themeColor="text1"/>
        </w:rPr>
        <w:t>Em se tratando de atletas de alta performance</w:t>
      </w:r>
      <w:r w:rsidR="006072CE" w:rsidRPr="00650F61">
        <w:rPr>
          <w:rFonts w:ascii="Arial" w:hAnsi="Arial" w:cs="Arial"/>
        </w:rPr>
        <w:t xml:space="preserve">, a pandemia da COVID-19 trouxe questionamentos acerca do risco de doenças cardiovasculares naqueles previamente infectados pelo SARS-CoV-2. A miocardite surge como uma possível sequela após uma infecção viral nessa população, a qual deve passar por uma avaliação com o intuito de pesquisar as evidências cardiovasculares e quais caminhos permitem um retorno seguro ao esporte.  </w:t>
      </w:r>
      <w:r w:rsidR="006072CE" w:rsidRPr="00650F61">
        <w:rPr>
          <w:rFonts w:ascii="Arial" w:hAnsi="Arial" w:cs="Arial"/>
          <w:b/>
          <w:bCs/>
        </w:rPr>
        <w:t>Métodos</w:t>
      </w:r>
      <w:r w:rsidR="006072CE" w:rsidRPr="00650F61">
        <w:rPr>
          <w:rFonts w:ascii="Arial" w:hAnsi="Arial" w:cs="Arial"/>
        </w:rPr>
        <w:t>: Estudo observacional descritivo de série de casos, que reuniu atletas profissionais de futebol no pós-COVID. Estes foram submetidos a exame físico detalhado, avaliação com eletrocardiograma (ECG) de repouso, teste ergométrico (</w:t>
      </w:r>
      <w:proofErr w:type="spellStart"/>
      <w:r w:rsidR="006072CE" w:rsidRPr="00650F61">
        <w:rPr>
          <w:rFonts w:ascii="Arial" w:hAnsi="Arial" w:cs="Arial"/>
        </w:rPr>
        <w:t>TErg</w:t>
      </w:r>
      <w:proofErr w:type="spellEnd"/>
      <w:r w:rsidR="006072CE" w:rsidRPr="00650F61">
        <w:rPr>
          <w:rFonts w:ascii="Arial" w:hAnsi="Arial" w:cs="Arial"/>
        </w:rPr>
        <w:t xml:space="preserve">) e responderam um questionário acerca dos sintomas apresentados na época em que tiveram COVID-19.  Definiram-se critérios para a seleção de atletas para realização de ressonância magnética cardíaca (RMC) na busca de sinais sugestivos de miocardite. </w:t>
      </w:r>
      <w:r w:rsidR="006072CE" w:rsidRPr="00650F61">
        <w:rPr>
          <w:rFonts w:ascii="Arial" w:hAnsi="Arial" w:cs="Arial"/>
          <w:b/>
          <w:bCs/>
        </w:rPr>
        <w:t>Resultados</w:t>
      </w:r>
      <w:r w:rsidR="006072CE" w:rsidRPr="00650F61">
        <w:rPr>
          <w:rFonts w:ascii="Arial" w:hAnsi="Arial" w:cs="Arial"/>
        </w:rPr>
        <w:t xml:space="preserve">: O estudo avaliou 17 futebolistas profissionais do sexo masculino no pós-COVID, todos classificados com quadros assintomáticos (29,4%) e sintomáticos leves (70,6%). A partir do exame clínico, ECG de repouso e </w:t>
      </w:r>
      <w:proofErr w:type="spellStart"/>
      <w:r w:rsidR="006072CE" w:rsidRPr="00650F61">
        <w:rPr>
          <w:rFonts w:ascii="Arial" w:hAnsi="Arial" w:cs="Arial"/>
        </w:rPr>
        <w:t>TErg</w:t>
      </w:r>
      <w:proofErr w:type="spellEnd"/>
      <w:r w:rsidR="006072CE" w:rsidRPr="00650F61">
        <w:rPr>
          <w:rFonts w:ascii="Arial" w:hAnsi="Arial" w:cs="Arial"/>
        </w:rPr>
        <w:t xml:space="preserve">, cinco atletas (29,4%) foram considerados elegíveis para a realização da RMC, sendo detectado derrame pericárdico em 40,0% (n=2) e áreas de realce tardio em 20,0% (n=1), compatíveis com fibrose miocárdica e com aspecto sugestivo de cicatriz de insulto inflamatório prévio (miocardite). </w:t>
      </w:r>
      <w:r w:rsidR="006072CE" w:rsidRPr="00650F61">
        <w:rPr>
          <w:rFonts w:ascii="Arial" w:hAnsi="Arial" w:cs="Arial"/>
          <w:b/>
          <w:bCs/>
        </w:rPr>
        <w:t>Conclusões</w:t>
      </w:r>
      <w:r w:rsidR="006072CE" w:rsidRPr="00650F61">
        <w:rPr>
          <w:rFonts w:ascii="Arial" w:hAnsi="Arial" w:cs="Arial"/>
        </w:rPr>
        <w:t xml:space="preserve">: Observa-se a importância de um exame cardíaco antes do retorno à prática esportiva após a resolução do quadro agudo de COVID-19, mesmo em casos </w:t>
      </w:r>
      <w:r w:rsidR="006072CE" w:rsidRPr="00650F61">
        <w:rPr>
          <w:rFonts w:ascii="Arial" w:hAnsi="Arial" w:cs="Arial"/>
          <w:color w:val="000000" w:themeColor="text1"/>
        </w:rPr>
        <w:t>assintomáticos e leves.</w:t>
      </w:r>
    </w:p>
    <w:p w14:paraId="4EC2D7E8" w14:textId="77777777" w:rsidR="00BC5F9F" w:rsidRDefault="005800D4" w:rsidP="00644CB4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077FC5">
        <w:rPr>
          <w:rFonts w:ascii="Arial" w:hAnsi="Arial" w:cs="Arial"/>
          <w:b/>
          <w:bCs/>
          <w:color w:val="000000" w:themeColor="text1"/>
          <w:lang w:val="en-US"/>
        </w:rPr>
        <w:t>ABSTRACT</w:t>
      </w:r>
    </w:p>
    <w:p w14:paraId="7B4E83E3" w14:textId="345C682A" w:rsidR="00650F61" w:rsidRPr="00FA56B7" w:rsidRDefault="00650F61" w:rsidP="00FA56B7">
      <w:pPr>
        <w:spacing w:after="240" w:line="360" w:lineRule="auto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650F61">
        <w:rPr>
          <w:rFonts w:ascii="Arial" w:hAnsi="Arial" w:cs="Arial"/>
          <w:b/>
          <w:bCs/>
          <w:color w:val="000000"/>
          <w:lang w:val="en-US"/>
        </w:rPr>
        <w:t>Introduction:</w:t>
      </w:r>
      <w:r w:rsidRPr="00650F61">
        <w:rPr>
          <w:rFonts w:ascii="Arial" w:hAnsi="Arial" w:cs="Arial"/>
          <w:color w:val="000000"/>
          <w:lang w:val="en-US"/>
        </w:rPr>
        <w:t xml:space="preserve"> In the case of high-performance athletes, the COVID-19 pandemic raised questions about the risk of cardiovascular diseases in those previously infected with SARS-CoV-2. Myocarditis appears as a possible sequela after a viral infection in this population, which must undergo an evaluation in order to research cardiovascular evidence and which pathways allow a safe return to the sport. </w:t>
      </w:r>
      <w:r w:rsidRPr="00650F61">
        <w:rPr>
          <w:rFonts w:ascii="Arial" w:hAnsi="Arial" w:cs="Arial"/>
          <w:b/>
          <w:bCs/>
          <w:color w:val="000000"/>
          <w:lang w:val="en-US"/>
        </w:rPr>
        <w:t>Methods:</w:t>
      </w:r>
      <w:r w:rsidRPr="00650F61">
        <w:rPr>
          <w:rFonts w:ascii="Arial" w:hAnsi="Arial" w:cs="Arial"/>
          <w:color w:val="000000"/>
          <w:lang w:val="en-US"/>
        </w:rPr>
        <w:t xml:space="preserve"> Descriptive observational study of case series, which brought together professional soccer athletes in the post-COVID. These were submitted to detailed physical examination, evaluation with electrocardiogram (ECG) at rest, exercise test and answered a questionnaire about the symptoms presented at the time they had COVID-19. Criteria were defined for the selection of athletes for cardiac magnetic resonance imaging (CMR) in the </w:t>
      </w:r>
      <w:r w:rsidRPr="00650F61">
        <w:rPr>
          <w:rFonts w:ascii="Arial" w:hAnsi="Arial" w:cs="Arial"/>
          <w:color w:val="000000"/>
          <w:lang w:val="en-US"/>
        </w:rPr>
        <w:lastRenderedPageBreak/>
        <w:t xml:space="preserve">search for signs suggestive of myocarditis. </w:t>
      </w:r>
      <w:r w:rsidRPr="00650F61">
        <w:rPr>
          <w:rFonts w:ascii="Arial" w:hAnsi="Arial" w:cs="Arial"/>
          <w:b/>
          <w:bCs/>
          <w:color w:val="000000"/>
          <w:lang w:val="en-US"/>
        </w:rPr>
        <w:t>Results:</w:t>
      </w:r>
      <w:r w:rsidRPr="00650F61">
        <w:rPr>
          <w:rFonts w:ascii="Arial" w:hAnsi="Arial" w:cs="Arial"/>
          <w:color w:val="000000"/>
          <w:lang w:val="en-US"/>
        </w:rPr>
        <w:t xml:space="preserve"> The study evaluated 17 male professional soccer players in the post-COVID period, all classified as asymptomatic (29.4%) and mild symptomatic (70.6%). From the clinical examination, resting ECG and Erg, five athletes (29.4%) were considered eligible for CMR, and pericardial effusion was detected in 40.0% (n=2) and late enhancement areas in 20.0% (n=1), compatible with myocardial fibrosis and with an aspect suggestive of previous inflammatory insult scar (myocarditis). </w:t>
      </w:r>
      <w:r w:rsidRPr="00650F61">
        <w:rPr>
          <w:rFonts w:ascii="Arial" w:hAnsi="Arial" w:cs="Arial"/>
          <w:b/>
          <w:bCs/>
          <w:color w:val="000000"/>
          <w:lang w:val="en-US"/>
        </w:rPr>
        <w:t>Conclusions:</w:t>
      </w:r>
      <w:r w:rsidRPr="00650F61">
        <w:rPr>
          <w:rFonts w:ascii="Arial" w:hAnsi="Arial" w:cs="Arial"/>
          <w:color w:val="000000"/>
          <w:lang w:val="en-US"/>
        </w:rPr>
        <w:t xml:space="preserve"> The importance of a cardiac examination before returning to sports practice after resolution of the acute picture of COVID-19 is observed, even in asymptomatic and mild cases.</w:t>
      </w:r>
    </w:p>
    <w:p w14:paraId="7F92E25D" w14:textId="77777777" w:rsidR="006072CE" w:rsidRPr="00650F61" w:rsidRDefault="006072CE" w:rsidP="006072CE">
      <w:pPr>
        <w:pStyle w:val="Ttulo1"/>
        <w:rPr>
          <w:rFonts w:ascii="Arial" w:hAnsi="Arial" w:cs="Arial"/>
          <w:b w:val="0"/>
          <w:bCs/>
          <w:szCs w:val="24"/>
        </w:rPr>
      </w:pPr>
      <w:bookmarkStart w:id="0" w:name="_Toc84949202"/>
      <w:r w:rsidRPr="00650F61">
        <w:rPr>
          <w:rFonts w:ascii="Arial" w:hAnsi="Arial" w:cs="Arial"/>
        </w:rPr>
        <w:t>INTRODUÇÃO</w:t>
      </w:r>
      <w:bookmarkEnd w:id="0"/>
    </w:p>
    <w:p w14:paraId="41030438" w14:textId="77777777" w:rsidR="006072CE" w:rsidRPr="00650F61" w:rsidRDefault="006072CE" w:rsidP="006072CE">
      <w:pPr>
        <w:spacing w:line="360" w:lineRule="auto"/>
        <w:jc w:val="both"/>
        <w:rPr>
          <w:rFonts w:ascii="Arial" w:hAnsi="Arial" w:cs="Arial"/>
          <w:b/>
        </w:rPr>
      </w:pPr>
    </w:p>
    <w:p w14:paraId="2BC5AAB1" w14:textId="77777777" w:rsidR="006072CE" w:rsidRPr="00650F61" w:rsidRDefault="006072CE" w:rsidP="00644CB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50F61">
        <w:rPr>
          <w:rFonts w:ascii="Arial" w:hAnsi="Arial" w:cs="Arial"/>
          <w:color w:val="000000" w:themeColor="text1"/>
        </w:rPr>
        <w:t>No dia 11 de março de 2020, a Organização Mundial da Saúde (OMS) declarou o estado de pandemia pela COVID-19, doença causada pelo SARS-CoV-2. (1) O novo vírus infecta o organismo humano a partir da ligação aos receptores da enzima conversora de angiotensina 2 (ECA2) que estão presentes principalmente no sistema cardiovascular e respiratório. (2) A apresentação clínica da COVID-19 é variada, com aproximadamente 81% dos casos sendo leves, 14% moderados e cerca de 5% graves (3,4).</w:t>
      </w:r>
    </w:p>
    <w:p w14:paraId="593213AD" w14:textId="77777777" w:rsidR="006072CE" w:rsidRPr="00650F61" w:rsidRDefault="006072CE" w:rsidP="00644CB4">
      <w:pPr>
        <w:spacing w:line="360" w:lineRule="auto"/>
        <w:ind w:firstLine="708"/>
        <w:jc w:val="both"/>
        <w:rPr>
          <w:rFonts w:ascii="Arial" w:hAnsi="Arial" w:cs="Arial"/>
          <w:color w:val="7030A0"/>
        </w:rPr>
      </w:pPr>
      <w:r w:rsidRPr="00650F61">
        <w:rPr>
          <w:rFonts w:ascii="Arial" w:hAnsi="Arial" w:cs="Arial"/>
          <w:color w:val="000000" w:themeColor="text1"/>
        </w:rPr>
        <w:t>A miocardite deve ser considerada como uma possível sequela tardia da COVID-19 pelo seu grau arritmogênico. Na avaliação, além de sintomas cardiovasculares e queda da capacidade funcional, podem ser encontradas alterações eletrocardiográficas e de RMC, podendo evidenciar disfunção ventricular, edema miocárdico e realce tardio. (5)</w:t>
      </w:r>
      <w:r w:rsidRPr="00650F61">
        <w:rPr>
          <w:rFonts w:ascii="Arial" w:hAnsi="Arial" w:cs="Arial"/>
          <w:color w:val="7030A0"/>
        </w:rPr>
        <w:t xml:space="preserve"> </w:t>
      </w:r>
      <w:r w:rsidRPr="00650F61">
        <w:rPr>
          <w:rFonts w:ascii="Arial" w:hAnsi="Arial" w:cs="Arial"/>
          <w:color w:val="000000" w:themeColor="text1"/>
        </w:rPr>
        <w:t>Especificamente sobre a população atlética, sobre a qual existe uma preocupação acerca da interação entre o estímulo adrenérgico e hemodinâmico da prática do exercício intenso e uma eventual cardiopatia não diagnosticada, o risco de uma possível miocardite secundária a uma infecção viral é algo alarmante. (6) Alterações adaptativas ao esforço podem ser confundidas com achados patológicos, portanto a correta interpretação deve ser feita por profissional familiarizado com tais achados, evitando erro diagnóstico. (7,8)</w:t>
      </w:r>
    </w:p>
    <w:p w14:paraId="7129C9B5" w14:textId="77777777" w:rsidR="006072CE" w:rsidRPr="00650F61" w:rsidRDefault="006072CE" w:rsidP="00644CB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50F61">
        <w:rPr>
          <w:rFonts w:ascii="Arial" w:hAnsi="Arial" w:cs="Arial"/>
          <w:color w:val="000000" w:themeColor="text1"/>
        </w:rPr>
        <w:t xml:space="preserve">Estudos com RMC em indivíduos recuperados da COVID-19 sugerem importante incidência de achados sugestivos de miocardite. Em um desses, 60% dos indivíduos demonstraram sinais sugestivos de miocardite. Em outro, realizado exclusivamente em atletas competitivos, foi detectado acometimento indicativo de </w:t>
      </w:r>
      <w:r w:rsidRPr="00650F61">
        <w:rPr>
          <w:rFonts w:ascii="Arial" w:hAnsi="Arial" w:cs="Arial"/>
          <w:color w:val="000000" w:themeColor="text1"/>
        </w:rPr>
        <w:lastRenderedPageBreak/>
        <w:t xml:space="preserve">inflamação miocárdica em 15%. (5,9,10) Em um coorte feito com 1597 atletas competitivos nos EUA, encontrou-se 37 pacientes (2,3%) com evidências de miocardite. (11) Mais recentemente, foi feita uma </w:t>
      </w:r>
      <w:proofErr w:type="spellStart"/>
      <w:r w:rsidRPr="00650F61">
        <w:rPr>
          <w:rFonts w:ascii="Arial" w:hAnsi="Arial" w:cs="Arial"/>
          <w:color w:val="000000" w:themeColor="text1"/>
        </w:rPr>
        <w:t>metanálise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com 890 jovens, com resultados de alguma anormalidade na RMC em 46,4% da amostra e sinais de miocardite em 14% dos participantes. (12)</w:t>
      </w:r>
    </w:p>
    <w:p w14:paraId="6B2C1A3D" w14:textId="77777777" w:rsidR="006072CE" w:rsidRPr="00650F61" w:rsidRDefault="006072CE" w:rsidP="006072CE">
      <w:pPr>
        <w:spacing w:after="24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50F61">
        <w:rPr>
          <w:rFonts w:ascii="Arial" w:hAnsi="Arial" w:cs="Arial"/>
          <w:color w:val="000000" w:themeColor="text1"/>
        </w:rPr>
        <w:t>A Avaliação Pré-Participação é crucial para avaliar os atletas, e deve ser feita de acordo com a Atualização da Diretriz Brasileira em Cardiologia Do Esporte. (7) No atual contexto de retorno do esporte em meio a pandemia, essa avaliação é ainda mais importante, principalmente entre os jogadores que tiveram COVID-19, pela condição clínica que merece uma atenção especial, a “pós-COVID”. Esta foi descrita pela OMS como uma condição confirmada ou provável de infecção pelo SARS-CoV-2, com pelo menos três meses de início da sintomatologia e durante pelo menos dois meses, sendo que causas primárias já tenham sido excluídas. O quadro clínico se assemelha com o da infecção ativa pelo vírus e impacta diariamente a vida dos pacientes que são acometidos, podendo ser intermitente ou persistente. (13) O objetivo deste estudo, portanto, é avaliar a ocorrência de sinais, sintomas e alterações em exames complementares sugestivos de miocardite em futebolistas no pós-COVID.</w:t>
      </w:r>
    </w:p>
    <w:p w14:paraId="15F78F2C" w14:textId="77777777" w:rsidR="006072CE" w:rsidRPr="00650F61" w:rsidRDefault="006072CE" w:rsidP="006072CE">
      <w:pPr>
        <w:pStyle w:val="Ttulo1"/>
        <w:rPr>
          <w:rFonts w:ascii="Arial" w:hAnsi="Arial" w:cs="Arial"/>
          <w:b w:val="0"/>
          <w:bCs/>
          <w:szCs w:val="24"/>
        </w:rPr>
      </w:pPr>
      <w:bookmarkStart w:id="1" w:name="_Toc84949203"/>
      <w:r w:rsidRPr="00650F61">
        <w:rPr>
          <w:rFonts w:ascii="Arial" w:hAnsi="Arial" w:cs="Arial"/>
        </w:rPr>
        <w:t>MÉTODOS</w:t>
      </w:r>
      <w:bookmarkEnd w:id="1"/>
    </w:p>
    <w:p w14:paraId="553C4BF2" w14:textId="77777777" w:rsidR="006072CE" w:rsidRPr="00650F61" w:rsidRDefault="006072CE" w:rsidP="006072CE">
      <w:pPr>
        <w:rPr>
          <w:rFonts w:ascii="Arial" w:hAnsi="Arial" w:cs="Arial"/>
        </w:rPr>
      </w:pPr>
    </w:p>
    <w:p w14:paraId="053A6F44" w14:textId="77777777" w:rsidR="006072CE" w:rsidRPr="00650F61" w:rsidRDefault="006072CE" w:rsidP="00644CB4">
      <w:pPr>
        <w:spacing w:line="360" w:lineRule="auto"/>
        <w:ind w:firstLine="708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>O presente estudo recebeu aprovação do Comitê de Ética em Pesquisa da Pontifícia Universidade Católica de Goiás, de acordo com a Resolução CNS 466/2012, para a análise de dados e submissão dos atletas à avaliação cardíaca completa.</w:t>
      </w:r>
    </w:p>
    <w:p w14:paraId="2DCB29D8" w14:textId="77777777" w:rsidR="006072CE" w:rsidRPr="00650F61" w:rsidRDefault="006072CE" w:rsidP="00644CB4">
      <w:pPr>
        <w:spacing w:line="360" w:lineRule="auto"/>
        <w:ind w:firstLine="708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>Trata-se de um estudo observacional descritivo de série de casos que reuniu atletas profissionais de um clube do futebol goiano que testaram positivo para COVID-19 entre 28 de fevereiro de 2020 e 15 de junho de 2021 por meio de teste molecular RT-PCR detectável e/ou sorologia IgG reagente anti-SARS-CoV-2. Durante o período de 1º de julho de 2021 a 30 de agosto de 2021, todos os atletas foram submetidos a exame físico detalhado, avaliação com eletrocardiograma (ECG) de repouso e teste ergométrico (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 xml:space="preserve">). Além disso, foi aplicado um questionário específico para obtenção de dados referentes à sintomatologia apresentada na época em que os jogadores tiveram COVID-19, com o intuito de categorizar o quadro de infecção prévia pelo SARS-CoV-2 em assintomático, sintomático leve, sintomático moderado e sintomático grave. A partir dessa análise, foram definidos critérios para a seleção de atletas para </w:t>
      </w:r>
      <w:r w:rsidRPr="00650F61">
        <w:rPr>
          <w:rFonts w:ascii="Arial" w:hAnsi="Arial" w:cs="Arial"/>
        </w:rPr>
        <w:lastRenderedPageBreak/>
        <w:t>a realização de uma RMC para identificação de sinais sugestivos de miocardite nesses indivíduos, sendo esse exame performado entre 29 e 30 de setembro de 2021.</w:t>
      </w:r>
    </w:p>
    <w:p w14:paraId="66110867" w14:textId="77777777" w:rsidR="006072CE" w:rsidRPr="00650F61" w:rsidRDefault="006072CE" w:rsidP="00644CB4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A definição de quadro assintomático, sintomático leve, sintomático moderado e sintomático grave da infecção prévia pelo SARS-CoV-2 seguiu os conceitos estabelecidos pelo protocolo de manejo </w:t>
      </w:r>
      <w:proofErr w:type="spellStart"/>
      <w:r w:rsidRPr="00650F61">
        <w:rPr>
          <w:rFonts w:ascii="Arial" w:hAnsi="Arial" w:cs="Arial"/>
        </w:rPr>
        <w:t>clínco</w:t>
      </w:r>
      <w:proofErr w:type="spellEnd"/>
      <w:r w:rsidRPr="00650F61">
        <w:rPr>
          <w:rFonts w:ascii="Arial" w:hAnsi="Arial" w:cs="Arial"/>
        </w:rPr>
        <w:t xml:space="preserve"> de COVID-19 publicado pela OMS. (4)</w:t>
      </w:r>
    </w:p>
    <w:p w14:paraId="367C3574" w14:textId="77777777" w:rsidR="006072CE" w:rsidRPr="00650F61" w:rsidRDefault="006072CE" w:rsidP="00644CB4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>As etapas do exame físico incluíram a realização de ausculta cardíaca para avaliação do ritmo cardíaco e das bulhas e para identificação de sopros, além da aferição da pressão arterial (PA). Além disso, foram coletados dados referentes à idade e à raça dos atletas.</w:t>
      </w:r>
    </w:p>
    <w:p w14:paraId="561B7B68" w14:textId="77777777" w:rsidR="006072CE" w:rsidRPr="00650F61" w:rsidRDefault="006072CE" w:rsidP="00644CB4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A avaliação eletrocardiográfica foi realizada por meio de ECG de repouso de 12 derivações e os resultados foram avaliados de acordo com os Critérios Internacionais para interpretação do ECG do atleta, que categoriza os achados do exame em normais, limítrofes e anormais. (14) </w:t>
      </w:r>
    </w:p>
    <w:p w14:paraId="775A1D91" w14:textId="77777777" w:rsidR="006072CE" w:rsidRPr="00650F61" w:rsidRDefault="006072CE" w:rsidP="00644CB4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As variáveis avaliadas no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 xml:space="preserve"> seguiram as recomendações propostas pelas Diretrizes da Sociedade Brasileira de Cardiologia sobre Teste Ergométrico, incluindo a avaliação da capacidade funcional expressa pelos equivalentes metabólicos (MET) e consumo de oxigênio (VO</w:t>
      </w:r>
      <w:r w:rsidRPr="00650F61">
        <w:rPr>
          <w:rFonts w:ascii="Arial" w:hAnsi="Arial" w:cs="Arial"/>
          <w:vertAlign w:val="subscript"/>
        </w:rPr>
        <w:t>2</w:t>
      </w:r>
      <w:r w:rsidRPr="00650F61">
        <w:rPr>
          <w:rFonts w:ascii="Arial" w:hAnsi="Arial" w:cs="Arial"/>
        </w:rPr>
        <w:t xml:space="preserve">), variáveis clínicas representadas por sintomas manifestados durante a realização do exame e pela aplicação da Escala Modificada de </w:t>
      </w:r>
      <w:proofErr w:type="spellStart"/>
      <w:r w:rsidRPr="00650F61">
        <w:rPr>
          <w:rFonts w:ascii="Arial" w:hAnsi="Arial" w:cs="Arial"/>
        </w:rPr>
        <w:t>Borg</w:t>
      </w:r>
      <w:proofErr w:type="spellEnd"/>
      <w:r w:rsidRPr="00650F61">
        <w:rPr>
          <w:rFonts w:ascii="Arial" w:hAnsi="Arial" w:cs="Arial"/>
        </w:rPr>
        <w:t xml:space="preserve"> e resposta eletrocardiográfica por meio da identificação de alterações no segmento ST e arritmias cardíacas. (15) Além disso, foram avaliadas as </w:t>
      </w:r>
      <w:proofErr w:type="gramStart"/>
      <w:r w:rsidRPr="00650F61">
        <w:rPr>
          <w:rFonts w:ascii="Arial" w:hAnsi="Arial" w:cs="Arial"/>
        </w:rPr>
        <w:t>respostas cronotrópica</w:t>
      </w:r>
      <w:proofErr w:type="gramEnd"/>
      <w:r w:rsidRPr="00650F61">
        <w:rPr>
          <w:rFonts w:ascii="Arial" w:hAnsi="Arial" w:cs="Arial"/>
        </w:rPr>
        <w:t xml:space="preserve">, através da frequência cardíaca (FC), e hemodinâmica, por intermédio da variação da PA. Os achados considerados anormais para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 xml:space="preserve"> corresponderam à presença de alterações eletrocardiográficas e/ou capacidade física alterada. </w:t>
      </w:r>
    </w:p>
    <w:p w14:paraId="572D4D3E" w14:textId="77777777" w:rsidR="006072CE" w:rsidRPr="00650F61" w:rsidRDefault="006072CE" w:rsidP="006072CE">
      <w:pPr>
        <w:spacing w:after="240"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Após a análise inicial constituída pelo questionário, exame físico, ECG e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 xml:space="preserve">, foram definidos os critérios para seleção e exclusão de atletas para realização de uma RMC para identificar sinais sugestivos de miocardite. Quadro assintomático de COVID-19 no período da infecção foi definido como critério de exclusão para realização da RMC. Os critérios de inclusão adotados foram: atletas sintomáticos durante a infecção pelo SARS-CoV-2 com dois ou mais achados de ECG limítrofes ou qualquer achado anormal de ECG e/ou achados anormais durante o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>. A estratégia de seleção de atletas para a RMC está exposta na Figura 1.</w:t>
      </w:r>
    </w:p>
    <w:p w14:paraId="7FF9303E" w14:textId="77777777" w:rsidR="006072CE" w:rsidRPr="00650F61" w:rsidRDefault="006072CE" w:rsidP="006072CE">
      <w:pPr>
        <w:spacing w:after="240"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  <w:b/>
        </w:rPr>
        <w:t xml:space="preserve">Figura 1. </w:t>
      </w:r>
      <w:r w:rsidRPr="00650F61">
        <w:rPr>
          <w:rFonts w:ascii="Arial" w:hAnsi="Arial" w:cs="Arial"/>
        </w:rPr>
        <w:t>Estratégia de seleção de atletas para a RMC.</w:t>
      </w:r>
    </w:p>
    <w:p w14:paraId="15BCA9DF" w14:textId="77777777" w:rsidR="006072CE" w:rsidRPr="00650F61" w:rsidRDefault="006072CE" w:rsidP="006072CE">
      <w:pPr>
        <w:spacing w:after="240" w:line="360" w:lineRule="auto"/>
        <w:jc w:val="center"/>
        <w:rPr>
          <w:rFonts w:ascii="Arial" w:hAnsi="Arial" w:cs="Arial"/>
        </w:rPr>
      </w:pPr>
      <w:r w:rsidRPr="00650F61">
        <w:rPr>
          <w:rFonts w:ascii="Arial" w:hAnsi="Arial" w:cs="Arial"/>
          <w:noProof/>
        </w:rPr>
        <w:lastRenderedPageBreak/>
        <w:drawing>
          <wp:inline distT="0" distB="0" distL="0" distR="0" wp14:anchorId="2D287E61" wp14:editId="058526C2">
            <wp:extent cx="3280229" cy="2719742"/>
            <wp:effectExtent l="0" t="0" r="0" b="0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915" cy="272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72941" w14:textId="77777777" w:rsidR="006072CE" w:rsidRPr="00650F61" w:rsidRDefault="006072CE" w:rsidP="00644CB4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>As técnicas utilizadas durante a realização da RMC incluíram cine-ressonância para avaliação da função ventricular global e segmentar, perfusão de primeira passagem com gadolínio, sequência com tripla inversão-recuperação para caracterização tecidual e realce tardio para avaliação de fibrose/infarto e viabilidade miocárdica.</w:t>
      </w:r>
    </w:p>
    <w:p w14:paraId="4A868765" w14:textId="77777777" w:rsidR="006072CE" w:rsidRPr="00650F61" w:rsidRDefault="006072CE" w:rsidP="006072CE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 xml:space="preserve">Os dados obtidos por meio do questionário sintomatológico, exame físico, ECG,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 xml:space="preserve"> e RMC foram analisados e tabulados via Microsoft Excel 2016 para análises descritivas.</w:t>
      </w:r>
    </w:p>
    <w:p w14:paraId="260503F0" w14:textId="77777777" w:rsidR="006072CE" w:rsidRPr="00650F61" w:rsidRDefault="006072CE" w:rsidP="006072CE">
      <w:pPr>
        <w:pStyle w:val="Ttulo1"/>
        <w:rPr>
          <w:rFonts w:ascii="Arial" w:hAnsi="Arial" w:cs="Arial"/>
          <w:b w:val="0"/>
          <w:bCs/>
          <w:szCs w:val="24"/>
        </w:rPr>
      </w:pPr>
      <w:bookmarkStart w:id="2" w:name="_Toc84949204"/>
      <w:r w:rsidRPr="00650F61">
        <w:rPr>
          <w:rFonts w:ascii="Arial" w:hAnsi="Arial" w:cs="Arial"/>
        </w:rPr>
        <w:t>RESULTADOS</w:t>
      </w:r>
      <w:bookmarkEnd w:id="2"/>
    </w:p>
    <w:p w14:paraId="2974C44A" w14:textId="77777777" w:rsidR="006072CE" w:rsidRPr="00650F61" w:rsidRDefault="006072CE" w:rsidP="006072CE">
      <w:pPr>
        <w:rPr>
          <w:rFonts w:ascii="Arial" w:hAnsi="Arial" w:cs="Arial"/>
        </w:rPr>
      </w:pPr>
    </w:p>
    <w:p w14:paraId="7F9B03E6" w14:textId="77777777" w:rsidR="006072CE" w:rsidRPr="00650F61" w:rsidRDefault="006072CE" w:rsidP="00644CB4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  <w:b/>
        </w:rPr>
        <w:tab/>
      </w:r>
      <w:r w:rsidRPr="00650F61">
        <w:rPr>
          <w:rFonts w:ascii="Arial" w:hAnsi="Arial" w:cs="Arial"/>
        </w:rPr>
        <w:t xml:space="preserve">O estudo avaliou 17 futebolistas profissionais do sexo masculino no pós-COVID. Tal amostra equivale a 68,0% dos 25 atletas pertencentes ao elenco do clube de futebol avaliado. A média de idade foi de 25,7 anos (DP = ± 5,9 anos). A maioria dos atletas eram caucasianos (64,7%) e os demais eram afrodescendentes (35,3%). A respeito da infecção prévia pelo SARS-CoV-2, 82,4% obtiveram o diagnóstico por meio de teste molecular RT-PCR detectável e 17,6% por sorologia IgG reagente anti-SARS-CoV-2. O perfil da COVID-19 manifestado pelos atletas </w:t>
      </w:r>
      <w:proofErr w:type="spellStart"/>
      <w:r w:rsidRPr="00650F61">
        <w:rPr>
          <w:rFonts w:ascii="Arial" w:hAnsi="Arial" w:cs="Arial"/>
        </w:rPr>
        <w:t>foi</w:t>
      </w:r>
      <w:proofErr w:type="spellEnd"/>
      <w:r w:rsidRPr="00650F61">
        <w:rPr>
          <w:rFonts w:ascii="Arial" w:hAnsi="Arial" w:cs="Arial"/>
        </w:rPr>
        <w:t xml:space="preserve"> predominantemente sintomático leve (70,6%), além do perfil assintomático (29,4%), e 11,8% apresentaram reinfecção. </w:t>
      </w:r>
    </w:p>
    <w:p w14:paraId="78F19785" w14:textId="77777777" w:rsidR="006072CE" w:rsidRPr="00650F61" w:rsidRDefault="006072CE" w:rsidP="006072CE">
      <w:pPr>
        <w:spacing w:after="240"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A média de duração de sintomas durante a infecção pelo vírus da COVID-19 foi de 3,9 dias (DP = ± 4,3 dias). Anosmia foi o sintoma mais frequentemente relatado (41,2%) e, em sequência, febre ou calafrios e ageusia (29,4% cada) e fadiga não </w:t>
      </w:r>
      <w:r w:rsidRPr="00650F61">
        <w:rPr>
          <w:rFonts w:ascii="Arial" w:hAnsi="Arial" w:cs="Arial"/>
        </w:rPr>
        <w:lastRenderedPageBreak/>
        <w:t>específica autolimitada (23,5%). Não houve relatos de pneumonia, dor torácica ou necessidade de hospitalização durante a infecção pelo SARS-CoV-2. Nenhum atleta referiu sintomas persistentes até a data da consulta. (Figura 2).</w:t>
      </w:r>
    </w:p>
    <w:p w14:paraId="674ECB04" w14:textId="77777777" w:rsidR="006072CE" w:rsidRPr="00650F61" w:rsidRDefault="006072CE" w:rsidP="006072CE">
      <w:pPr>
        <w:spacing w:after="240"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  <w:b/>
        </w:rPr>
        <w:t>Figura 2.</w:t>
      </w:r>
      <w:r w:rsidRPr="00650F61">
        <w:rPr>
          <w:rFonts w:ascii="Arial" w:hAnsi="Arial" w:cs="Arial"/>
        </w:rPr>
        <w:t xml:space="preserve"> Frequência dos sintomas durante a infecção pelo SARS-CoV-2.</w:t>
      </w:r>
    </w:p>
    <w:p w14:paraId="54CF427A" w14:textId="77777777" w:rsidR="006072CE" w:rsidRPr="00650F61" w:rsidRDefault="006072CE" w:rsidP="006072CE">
      <w:pPr>
        <w:spacing w:after="240" w:line="360" w:lineRule="auto"/>
        <w:jc w:val="center"/>
        <w:rPr>
          <w:rFonts w:ascii="Arial" w:hAnsi="Arial" w:cs="Arial"/>
        </w:rPr>
      </w:pPr>
      <w:r w:rsidRPr="00650F61">
        <w:rPr>
          <w:rFonts w:ascii="Arial" w:hAnsi="Arial" w:cs="Arial"/>
          <w:noProof/>
        </w:rPr>
        <w:drawing>
          <wp:inline distT="0" distB="0" distL="0" distR="0" wp14:anchorId="602C99F2" wp14:editId="2A1ABEF8">
            <wp:extent cx="4499429" cy="2796084"/>
            <wp:effectExtent l="0" t="0" r="0" b="0"/>
            <wp:docPr id="2" name="Imagem 2" descr="Gráfico, Gráfico de casca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, Gráfico de cascat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595" cy="280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C124" w14:textId="77777777" w:rsidR="006072CE" w:rsidRPr="00650F61" w:rsidRDefault="006072CE" w:rsidP="006F17A9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O exame físico evidenciou ritmo cardíaco regular para todos os atletas, com a maioria apresentando bulhas normofonéticas (94,1%), com exceção de um atleta (5,9%) que manifestou hiperfonese de segunda bulha em foco pulmonar. Sopros cardíacos foram predominantemente ausentes (82,4%), sendo identificado sopro sistólico em foco aórtico de intensidade 1+/6+ em 17,6% (n=3) dos casos. A média da pressão arterial sistólica (PAS) foi de 117,1 mmHg (DP = ± 5,9 mmHg) e da pressão arterial diastólica (PAD) de 76,5 mmHg (DP = ± 6,1 mmHg). </w:t>
      </w:r>
    </w:p>
    <w:p w14:paraId="1DB87ADD" w14:textId="77777777" w:rsidR="006072CE" w:rsidRPr="00650F61" w:rsidRDefault="006072CE" w:rsidP="006072CE">
      <w:pPr>
        <w:spacing w:after="240"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A avaliação pelo ECG revelou ritmo cardíaco sinusal para todos os atletas, com média da FC de 56,2 bpm (DP = ± 7,3 bpm). A principal alteração eletrocardiográfica (41,2%) encontrada foi o critério isolado de voltagem do QRS para hipertrofia do ventrículo esquerdo (HVE), que é um achado normal para atletas, seguida pela inversão de onda T &gt; 1,0 mm em duas ou mais derivações (exceto em DIII, </w:t>
      </w:r>
      <w:proofErr w:type="spellStart"/>
      <w:r w:rsidRPr="00650F61">
        <w:rPr>
          <w:rFonts w:ascii="Arial" w:hAnsi="Arial" w:cs="Arial"/>
        </w:rPr>
        <w:t>aVR</w:t>
      </w:r>
      <w:proofErr w:type="spellEnd"/>
      <w:r w:rsidRPr="00650F61">
        <w:rPr>
          <w:rFonts w:ascii="Arial" w:hAnsi="Arial" w:cs="Arial"/>
        </w:rPr>
        <w:t xml:space="preserve"> e V1), sendo manifestada em 35,3% da amostra. Em atletas, a inversão de onda T pode ser um achado considerado fisiológico se ocorrer de V1 a V4 em afrodescendentes ou de V1 a V3 em menores de 16 anos. Entre os futebolistas com essa alteração, havia um atleta afrodescendente com inversão da onda T de V1 a V4, além de dois outros atletas com perfil assintomático de COVID, e, assim, estes não foram </w:t>
      </w:r>
      <w:r w:rsidRPr="00650F61">
        <w:rPr>
          <w:rFonts w:ascii="Arial" w:hAnsi="Arial" w:cs="Arial"/>
        </w:rPr>
        <w:lastRenderedPageBreak/>
        <w:t xml:space="preserve">selecionados para a RMC. Ademais, foi encontrado um achado limítrofe de ECG em um atleta (5,9%), representado pela sobrecarga atrial direita (SAD) expressa pelo aumento de voltagem da onda P ≥ 2,5 em II, III ou </w:t>
      </w:r>
      <w:proofErr w:type="spellStart"/>
      <w:r w:rsidRPr="00650F61">
        <w:rPr>
          <w:rFonts w:ascii="Arial" w:hAnsi="Arial" w:cs="Arial"/>
        </w:rPr>
        <w:t>aVF</w:t>
      </w:r>
      <w:proofErr w:type="spellEnd"/>
      <w:r w:rsidRPr="00650F61">
        <w:rPr>
          <w:rFonts w:ascii="Arial" w:hAnsi="Arial" w:cs="Arial"/>
        </w:rPr>
        <w:t>. Os demais achados constituem alterações fisiológicas em ECG de atletas e incluíram, além do critério isolado de voltagem do QRS para HVE, bloqueio do ramo direito incompleto e repolarização precoce (RP). (Figura 3)</w:t>
      </w:r>
    </w:p>
    <w:p w14:paraId="494E42A2" w14:textId="77777777" w:rsidR="006072CE" w:rsidRPr="00650F61" w:rsidRDefault="006072CE" w:rsidP="006072CE">
      <w:pPr>
        <w:spacing w:after="240" w:line="360" w:lineRule="auto"/>
        <w:rPr>
          <w:rFonts w:ascii="Arial" w:hAnsi="Arial" w:cs="Arial"/>
        </w:rPr>
      </w:pPr>
      <w:r w:rsidRPr="00650F61">
        <w:rPr>
          <w:rFonts w:ascii="Arial" w:hAnsi="Arial" w:cs="Arial"/>
          <w:b/>
        </w:rPr>
        <w:t xml:space="preserve">Figura 3. </w:t>
      </w:r>
      <w:r w:rsidRPr="00650F61">
        <w:rPr>
          <w:rFonts w:ascii="Arial" w:hAnsi="Arial" w:cs="Arial"/>
        </w:rPr>
        <w:t>Frequência das alterações eletrocardiográficas encontradas nos atletas.</w:t>
      </w:r>
    </w:p>
    <w:p w14:paraId="5A5F0C3A" w14:textId="77777777" w:rsidR="006072CE" w:rsidRPr="00650F61" w:rsidRDefault="006072CE" w:rsidP="006072CE">
      <w:pPr>
        <w:spacing w:after="240" w:line="360" w:lineRule="auto"/>
        <w:jc w:val="center"/>
        <w:rPr>
          <w:rFonts w:ascii="Arial" w:hAnsi="Arial" w:cs="Arial"/>
          <w:b/>
        </w:rPr>
      </w:pPr>
      <w:r w:rsidRPr="00650F61">
        <w:rPr>
          <w:rFonts w:ascii="Arial" w:hAnsi="Arial" w:cs="Arial"/>
          <w:b/>
          <w:noProof/>
        </w:rPr>
        <w:drawing>
          <wp:inline distT="0" distB="0" distL="0" distR="0" wp14:anchorId="5F1CF2B4" wp14:editId="7497CF96">
            <wp:extent cx="4107543" cy="2743644"/>
            <wp:effectExtent l="0" t="0" r="0" b="0"/>
            <wp:docPr id="3" name="Imagem 3" descr="Gráfico, Gráfico de casca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Gráfico, Gráfico de cascat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358" cy="276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E59F3" w14:textId="77777777" w:rsidR="006072CE" w:rsidRPr="00650F61" w:rsidRDefault="006072CE" w:rsidP="006072CE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 xml:space="preserve">A duração média do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 xml:space="preserve"> foi de 8,5 minutos (DP = ± 1,0 minuto). Foi avaliada a competência cronotrópica dos atletas por meio da capacidade de alcançar 85,0% da FC máxima predita (FC máxima predita = 220 – idade). Todos os atletas atingiram pelo menos 85,0% da FC máxima, com percentual médio de 90,4% (DP = ± 4,6%), e apresentaram redução normal da FC no primeiro minuto da recuperação. A resposta hemodinâmica de todos os atletas ao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 xml:space="preserve"> foi normal, apresentando elevação da PAS ≥ 35 mmHg, sem ultrapassar 220 mmHg, e da PAD ≤ 15 mmHg, excluindo resposta hiper-reativa ou deprimida ao esforço. Não foram relatados e constatados sinais e sintomas durante o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 xml:space="preserve">. A exaustão configurou-se como o motivo predominante de interrupção do exame (70,6%). A respeito da resposta eletrocardiográfica, não foram identificadas alterações do segmento ST, mas constatou-se a presença de arritmias cardíacas em 29,4% (n=5) dos atletas. Entre os atletas com alterações arrítmicas, 80,0% (n=4) apresentaram arritmias não complexas, representadas por extrassístoles ventriculares raras, que não implicam a coexistência obrigatória da cardiopatia, e </w:t>
      </w:r>
      <w:r w:rsidRPr="00650F61">
        <w:rPr>
          <w:rFonts w:ascii="Arial" w:hAnsi="Arial" w:cs="Arial"/>
        </w:rPr>
        <w:lastRenderedPageBreak/>
        <w:t xml:space="preserve">20,0% (n=1) manifestaram taquicardia supraventricular não sustentada ao pico do esforço, sugerindo avaliação subsequente. </w:t>
      </w:r>
      <w:r w:rsidRPr="00650F61">
        <w:rPr>
          <w:rFonts w:ascii="Arial" w:hAnsi="Arial" w:cs="Arial"/>
          <w:color w:val="000000" w:themeColor="text1"/>
        </w:rPr>
        <w:t xml:space="preserve">A média de equivalentes metabólicos atingidos foi de 12,4 </w:t>
      </w:r>
      <w:proofErr w:type="spellStart"/>
      <w:r w:rsidRPr="00650F61">
        <w:rPr>
          <w:rFonts w:ascii="Arial" w:hAnsi="Arial" w:cs="Arial"/>
          <w:color w:val="000000" w:themeColor="text1"/>
        </w:rPr>
        <w:t>METs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(DP = ± 1,2 MET) e o percentual médio do MET máximo previsto foi de 84,0% (DP = ± 7,8%). O VO</w:t>
      </w:r>
      <w:r w:rsidRPr="00650F61">
        <w:rPr>
          <w:rFonts w:ascii="Arial" w:hAnsi="Arial" w:cs="Arial"/>
          <w:color w:val="000000" w:themeColor="text1"/>
          <w:vertAlign w:val="subscript"/>
        </w:rPr>
        <w:t>2</w:t>
      </w:r>
      <w:r w:rsidRPr="00650F61">
        <w:rPr>
          <w:rFonts w:ascii="Arial" w:hAnsi="Arial" w:cs="Arial"/>
          <w:color w:val="000000" w:themeColor="text1"/>
        </w:rPr>
        <w:t xml:space="preserve"> médio foi de 43,3 </w:t>
      </w:r>
      <w:proofErr w:type="spellStart"/>
      <w:r w:rsidRPr="00650F61">
        <w:rPr>
          <w:rFonts w:ascii="Arial" w:hAnsi="Arial" w:cs="Arial"/>
          <w:color w:val="000000" w:themeColor="text1"/>
        </w:rPr>
        <w:t>mL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/kg/min (DP = ± 4,1 </w:t>
      </w:r>
      <w:proofErr w:type="spellStart"/>
      <w:r w:rsidRPr="00650F61">
        <w:rPr>
          <w:rFonts w:ascii="Arial" w:hAnsi="Arial" w:cs="Arial"/>
          <w:color w:val="000000" w:themeColor="text1"/>
        </w:rPr>
        <w:t>mL</w:t>
      </w:r>
      <w:proofErr w:type="spellEnd"/>
      <w:r w:rsidRPr="00650F61">
        <w:rPr>
          <w:rFonts w:ascii="Arial" w:hAnsi="Arial" w:cs="Arial"/>
          <w:color w:val="000000" w:themeColor="text1"/>
        </w:rPr>
        <w:t>/kg/min)</w:t>
      </w:r>
      <w:r w:rsidRPr="00650F61">
        <w:rPr>
          <w:rFonts w:ascii="Arial" w:hAnsi="Arial" w:cs="Arial"/>
        </w:rPr>
        <w:t xml:space="preserve"> e, com base no VO</w:t>
      </w:r>
      <w:r w:rsidRPr="00650F61">
        <w:rPr>
          <w:rFonts w:ascii="Arial" w:hAnsi="Arial" w:cs="Arial"/>
          <w:vertAlign w:val="subscript"/>
        </w:rPr>
        <w:t>2</w:t>
      </w:r>
      <w:r w:rsidRPr="00650F61">
        <w:rPr>
          <w:rFonts w:ascii="Arial" w:hAnsi="Arial" w:cs="Arial"/>
        </w:rPr>
        <w:t xml:space="preserve">, constatou-se que a maioria dos atletas (58,9%) apresentaram aptidão cardiorrespiratória regular de acordo com a Classificação Nacional de Aptidão Cardiorrespiratória, além de três atletas (17,6%) com aptidão cardiorrespiratória fraca. (16) A sensação subjetiva de cansaço foi avaliada pela Escala Modificada de </w:t>
      </w:r>
      <w:proofErr w:type="spellStart"/>
      <w:r w:rsidRPr="00650F61">
        <w:rPr>
          <w:rFonts w:ascii="Arial" w:hAnsi="Arial" w:cs="Arial"/>
        </w:rPr>
        <w:t>Borg</w:t>
      </w:r>
      <w:proofErr w:type="spellEnd"/>
      <w:r w:rsidRPr="00650F61">
        <w:rPr>
          <w:rFonts w:ascii="Arial" w:hAnsi="Arial" w:cs="Arial"/>
        </w:rPr>
        <w:t>, variando de 0 a 10, sendo o nível 10 (exaustivo) predominante (70,6%). (Tabela 1)</w:t>
      </w:r>
    </w:p>
    <w:p w14:paraId="363D91ED" w14:textId="77777777" w:rsidR="006072CE" w:rsidRPr="00650F61" w:rsidRDefault="006072CE" w:rsidP="006072CE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  <w:b/>
        </w:rPr>
        <w:t>Tabela 1.</w:t>
      </w:r>
      <w:r w:rsidRPr="00650F61">
        <w:rPr>
          <w:rFonts w:ascii="Arial" w:hAnsi="Arial" w:cs="Arial"/>
        </w:rPr>
        <w:t xml:space="preserve"> Variáveis do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 xml:space="preserve"> dos atletas.</w:t>
      </w:r>
    </w:p>
    <w:tbl>
      <w:tblPr>
        <w:tblW w:w="6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7"/>
        <w:gridCol w:w="1180"/>
        <w:gridCol w:w="1180"/>
      </w:tblGrid>
      <w:tr w:rsidR="006072CE" w:rsidRPr="00650F61" w14:paraId="37AB7EA3" w14:textId="77777777" w:rsidTr="002113CC">
        <w:trPr>
          <w:trHeight w:val="270"/>
          <w:jc w:val="center"/>
        </w:trPr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13F1FC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3735EC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1C95CB" w14:textId="77777777" w:rsidR="006072CE" w:rsidRPr="00650F61" w:rsidRDefault="006072CE" w:rsidP="002113CC">
            <w:pPr>
              <w:rPr>
                <w:rFonts w:ascii="Arial" w:hAnsi="Arial" w:cs="Arial"/>
              </w:rPr>
            </w:pPr>
          </w:p>
        </w:tc>
      </w:tr>
      <w:tr w:rsidR="006072CE" w:rsidRPr="00650F61" w14:paraId="06F7769C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2610A6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  <w:r w:rsidRPr="00650F61">
              <w:rPr>
                <w:rFonts w:ascii="Arial" w:hAnsi="Arial" w:cs="Arial"/>
                <w:b/>
                <w:color w:val="000000"/>
              </w:rPr>
              <w:t>Variáveis (N=17)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599D8D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650F61">
              <w:rPr>
                <w:rFonts w:ascii="Arial" w:hAnsi="Arial" w:cs="Arial"/>
                <w:b/>
                <w:i/>
                <w:color w:val="00000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FDFD9F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gramStart"/>
            <w:r w:rsidRPr="00650F61">
              <w:rPr>
                <w:rFonts w:ascii="Arial" w:hAnsi="Arial" w:cs="Arial"/>
                <w:b/>
                <w:i/>
                <w:color w:val="000000"/>
              </w:rPr>
              <w:t>f(</w:t>
            </w:r>
            <w:proofErr w:type="gramEnd"/>
            <w:r w:rsidRPr="00650F61">
              <w:rPr>
                <w:rFonts w:ascii="Arial" w:hAnsi="Arial" w:cs="Arial"/>
                <w:b/>
                <w:i/>
                <w:color w:val="000000"/>
              </w:rPr>
              <w:t>%)</w:t>
            </w:r>
          </w:p>
        </w:tc>
      </w:tr>
      <w:tr w:rsidR="006072CE" w:rsidRPr="00650F61" w14:paraId="7006FDDC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DFAD6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  <w:r w:rsidRPr="00650F61">
              <w:rPr>
                <w:rFonts w:ascii="Arial" w:hAnsi="Arial" w:cs="Arial"/>
                <w:b/>
                <w:color w:val="000000"/>
              </w:rPr>
              <w:t>Sintomas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CDE7A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FB607" w14:textId="77777777" w:rsidR="006072CE" w:rsidRPr="00650F61" w:rsidRDefault="006072CE" w:rsidP="002113CC">
            <w:pPr>
              <w:rPr>
                <w:rFonts w:ascii="Arial" w:hAnsi="Arial" w:cs="Arial"/>
              </w:rPr>
            </w:pPr>
          </w:p>
        </w:tc>
      </w:tr>
      <w:tr w:rsidR="006072CE" w:rsidRPr="00650F61" w14:paraId="03AF897F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5E086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35B68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67FBF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072CE" w:rsidRPr="00650F61" w14:paraId="65BBEC2F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3A8F14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Não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F9FBF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0460B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072CE" w:rsidRPr="00650F61" w14:paraId="6F62F229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0BF42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  <w:r w:rsidRPr="00650F61">
              <w:rPr>
                <w:rFonts w:ascii="Arial" w:hAnsi="Arial" w:cs="Arial"/>
                <w:b/>
                <w:color w:val="000000"/>
              </w:rPr>
              <w:t>Motivo da interrupção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62E4E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B2C64" w14:textId="77777777" w:rsidR="006072CE" w:rsidRPr="00650F61" w:rsidRDefault="006072CE" w:rsidP="002113CC">
            <w:pPr>
              <w:rPr>
                <w:rFonts w:ascii="Arial" w:hAnsi="Arial" w:cs="Arial"/>
              </w:rPr>
            </w:pPr>
          </w:p>
        </w:tc>
      </w:tr>
      <w:tr w:rsidR="006072CE" w:rsidRPr="00650F61" w14:paraId="389775A9" w14:textId="77777777" w:rsidTr="002113CC">
        <w:trPr>
          <w:trHeight w:val="270"/>
          <w:jc w:val="center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0F639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Exaustão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2AEC4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768AC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70,6</w:t>
            </w:r>
          </w:p>
        </w:tc>
      </w:tr>
      <w:tr w:rsidR="006072CE" w:rsidRPr="00650F61" w14:paraId="569F9F24" w14:textId="77777777" w:rsidTr="002113CC">
        <w:trPr>
          <w:trHeight w:val="270"/>
          <w:jc w:val="center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9B2CE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Esgotamento de membros inferiores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D5D95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BE15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29,4</w:t>
            </w:r>
          </w:p>
        </w:tc>
      </w:tr>
      <w:tr w:rsidR="006072CE" w:rsidRPr="00650F61" w14:paraId="07BC30A4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90331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  <w:r w:rsidRPr="00650F61">
              <w:rPr>
                <w:rFonts w:ascii="Arial" w:hAnsi="Arial" w:cs="Arial"/>
                <w:b/>
                <w:color w:val="000000"/>
              </w:rPr>
              <w:t>Alteração do segmento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C43D9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39586" w14:textId="77777777" w:rsidR="006072CE" w:rsidRPr="00650F61" w:rsidRDefault="006072CE" w:rsidP="002113CC">
            <w:pPr>
              <w:rPr>
                <w:rFonts w:ascii="Arial" w:hAnsi="Arial" w:cs="Arial"/>
              </w:rPr>
            </w:pPr>
          </w:p>
        </w:tc>
      </w:tr>
      <w:tr w:rsidR="006072CE" w:rsidRPr="00650F61" w14:paraId="37EF5660" w14:textId="77777777" w:rsidTr="002113CC">
        <w:trPr>
          <w:trHeight w:val="270"/>
          <w:jc w:val="center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2B9D3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FC0F9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AEAD3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072CE" w:rsidRPr="00650F61" w14:paraId="090D6195" w14:textId="77777777" w:rsidTr="002113CC">
        <w:trPr>
          <w:trHeight w:val="270"/>
          <w:jc w:val="center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183C7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Com Alteração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9608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80E67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072CE" w:rsidRPr="00650F61" w14:paraId="6C4CB604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554A3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  <w:r w:rsidRPr="00650F61">
              <w:rPr>
                <w:rFonts w:ascii="Arial" w:hAnsi="Arial" w:cs="Arial"/>
                <w:b/>
                <w:color w:val="000000"/>
              </w:rPr>
              <w:t>Arritmias cardíacas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CE44F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F5E2C" w14:textId="77777777" w:rsidR="006072CE" w:rsidRPr="00650F61" w:rsidRDefault="006072CE" w:rsidP="002113CC">
            <w:pPr>
              <w:rPr>
                <w:rFonts w:ascii="Arial" w:hAnsi="Arial" w:cs="Arial"/>
              </w:rPr>
            </w:pPr>
          </w:p>
        </w:tc>
      </w:tr>
      <w:tr w:rsidR="006072CE" w:rsidRPr="00650F61" w14:paraId="6BE43AF5" w14:textId="77777777" w:rsidTr="002113CC">
        <w:trPr>
          <w:trHeight w:val="270"/>
          <w:jc w:val="center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FB75B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9FA4B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40016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70,6</w:t>
            </w:r>
          </w:p>
        </w:tc>
      </w:tr>
      <w:tr w:rsidR="006072CE" w:rsidRPr="00650F61" w14:paraId="6B1D22A6" w14:textId="77777777" w:rsidTr="002113CC">
        <w:trPr>
          <w:trHeight w:val="270"/>
          <w:jc w:val="center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6C995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Com Alteração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02747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CFB9F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29,4</w:t>
            </w:r>
          </w:p>
        </w:tc>
      </w:tr>
      <w:tr w:rsidR="006072CE" w:rsidRPr="00650F61" w14:paraId="02672477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71AE3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  <w:vertAlign w:val="subscript"/>
              </w:rPr>
            </w:pPr>
            <w:r w:rsidRPr="00650F61">
              <w:rPr>
                <w:rFonts w:ascii="Arial" w:hAnsi="Arial" w:cs="Arial"/>
                <w:b/>
                <w:color w:val="000000"/>
              </w:rPr>
              <w:t>Aptidão cardiorrespiratória pelo VO</w:t>
            </w:r>
            <w:r w:rsidRPr="00650F61">
              <w:rPr>
                <w:rFonts w:ascii="Arial" w:hAnsi="Arial" w:cs="Arial"/>
                <w:b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F558D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1C8F5" w14:textId="77777777" w:rsidR="006072CE" w:rsidRPr="00650F61" w:rsidRDefault="006072CE" w:rsidP="002113CC">
            <w:pPr>
              <w:rPr>
                <w:rFonts w:ascii="Arial" w:hAnsi="Arial" w:cs="Arial"/>
              </w:rPr>
            </w:pPr>
          </w:p>
        </w:tc>
      </w:tr>
      <w:tr w:rsidR="006072CE" w:rsidRPr="00650F61" w14:paraId="5E0642F8" w14:textId="77777777" w:rsidTr="002113CC">
        <w:trPr>
          <w:trHeight w:val="270"/>
          <w:jc w:val="center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EAB51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Boa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F2435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CF7AA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23,5</w:t>
            </w:r>
          </w:p>
        </w:tc>
      </w:tr>
      <w:tr w:rsidR="006072CE" w:rsidRPr="00650F61" w14:paraId="6A8A77F0" w14:textId="77777777" w:rsidTr="002113CC">
        <w:trPr>
          <w:trHeight w:val="270"/>
          <w:jc w:val="center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41B02" w14:textId="77777777" w:rsidR="006072CE" w:rsidRPr="00650F61" w:rsidRDefault="006072CE" w:rsidP="002113CC">
            <w:pPr>
              <w:rPr>
                <w:rFonts w:ascii="Arial" w:hAnsi="Arial" w:cs="Arial"/>
                <w:color w:val="000000" w:themeColor="text1"/>
              </w:rPr>
            </w:pPr>
            <w:r w:rsidRPr="00650F61">
              <w:rPr>
                <w:rFonts w:ascii="Arial" w:hAnsi="Arial" w:cs="Arial"/>
                <w:color w:val="000000" w:themeColor="text1"/>
              </w:rPr>
              <w:t>Regular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CD952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0F6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9DE1A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0F61">
              <w:rPr>
                <w:rFonts w:ascii="Arial" w:hAnsi="Arial" w:cs="Arial"/>
                <w:color w:val="000000" w:themeColor="text1"/>
              </w:rPr>
              <w:t>58,9</w:t>
            </w:r>
          </w:p>
        </w:tc>
      </w:tr>
      <w:tr w:rsidR="006072CE" w:rsidRPr="00650F61" w14:paraId="6222D92C" w14:textId="77777777" w:rsidTr="002113CC">
        <w:trPr>
          <w:trHeight w:val="270"/>
          <w:jc w:val="center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832FD" w14:textId="77777777" w:rsidR="006072CE" w:rsidRPr="00650F61" w:rsidRDefault="006072CE" w:rsidP="002113CC">
            <w:pPr>
              <w:rPr>
                <w:rFonts w:ascii="Arial" w:hAnsi="Arial" w:cs="Arial"/>
                <w:color w:val="000000" w:themeColor="text1"/>
              </w:rPr>
            </w:pPr>
            <w:r w:rsidRPr="00650F61">
              <w:rPr>
                <w:rFonts w:ascii="Arial" w:hAnsi="Arial" w:cs="Arial"/>
                <w:color w:val="000000" w:themeColor="text1"/>
              </w:rPr>
              <w:t>Fraca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8F6F7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0F6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74084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0F61">
              <w:rPr>
                <w:rFonts w:ascii="Arial" w:hAnsi="Arial" w:cs="Arial"/>
                <w:color w:val="000000" w:themeColor="text1"/>
              </w:rPr>
              <w:t>17,6</w:t>
            </w:r>
          </w:p>
        </w:tc>
      </w:tr>
      <w:tr w:rsidR="006072CE" w:rsidRPr="00650F61" w14:paraId="744C52BB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2694A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  <w:r w:rsidRPr="00650F61">
              <w:rPr>
                <w:rFonts w:ascii="Arial" w:hAnsi="Arial" w:cs="Arial"/>
                <w:b/>
                <w:color w:val="000000"/>
              </w:rPr>
              <w:t xml:space="preserve">Escala Modificada de </w:t>
            </w:r>
            <w:proofErr w:type="spellStart"/>
            <w:r w:rsidRPr="00650F61">
              <w:rPr>
                <w:rFonts w:ascii="Arial" w:hAnsi="Arial" w:cs="Arial"/>
                <w:b/>
                <w:color w:val="000000"/>
              </w:rPr>
              <w:t>Borg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E22D7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B3566" w14:textId="77777777" w:rsidR="006072CE" w:rsidRPr="00650F61" w:rsidRDefault="006072CE" w:rsidP="002113CC">
            <w:pPr>
              <w:rPr>
                <w:rFonts w:ascii="Arial" w:hAnsi="Arial" w:cs="Arial"/>
              </w:rPr>
            </w:pPr>
          </w:p>
        </w:tc>
      </w:tr>
      <w:tr w:rsidR="006072CE" w:rsidRPr="00650F61" w14:paraId="3668C20C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ED77B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7 (Moderado-intenso)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D53C9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43882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5,9</w:t>
            </w:r>
          </w:p>
        </w:tc>
      </w:tr>
      <w:tr w:rsidR="006072CE" w:rsidRPr="00650F61" w14:paraId="2BF9DFC5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912A2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9 (Muito intenso)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CCD9B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89DC8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23,5</w:t>
            </w:r>
          </w:p>
        </w:tc>
      </w:tr>
      <w:tr w:rsidR="006072CE" w:rsidRPr="00650F61" w14:paraId="1FD08E6B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0A4170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10 (Exaustivo)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7D3A5C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3498A2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70,6</w:t>
            </w:r>
          </w:p>
        </w:tc>
      </w:tr>
    </w:tbl>
    <w:p w14:paraId="1EF45340" w14:textId="77777777" w:rsidR="006072CE" w:rsidRPr="00650F61" w:rsidRDefault="006072CE" w:rsidP="006072CE">
      <w:pPr>
        <w:spacing w:after="240"/>
        <w:jc w:val="both"/>
        <w:rPr>
          <w:rFonts w:ascii="Arial" w:hAnsi="Arial" w:cs="Arial"/>
        </w:rPr>
      </w:pPr>
    </w:p>
    <w:p w14:paraId="5D28E070" w14:textId="77777777" w:rsidR="006072CE" w:rsidRPr="00650F61" w:rsidRDefault="006072CE" w:rsidP="006072CE">
      <w:pPr>
        <w:spacing w:after="240"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A partir dos exames descritos, cinco atletas (29,4%) foram considerados elegíveis para a realização da RMC. Todos os atletas selecionados apresentaram quadro sintomático leve no período em que estiveram infectados pelo SARS-CoV-2. Três destes (60,0%) apresentaram inversão de onda T &gt; 1,0 mm em duas ou mais derivações. Um dos atletas com inversão de onda T ao ECG manifestou também </w:t>
      </w:r>
      <w:r w:rsidRPr="00650F61">
        <w:rPr>
          <w:rFonts w:ascii="Arial" w:hAnsi="Arial" w:cs="Arial"/>
        </w:rPr>
        <w:lastRenderedPageBreak/>
        <w:t xml:space="preserve">taquicardia ventricular não sustentada ao pico do esforço durante o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 xml:space="preserve">, enquanto outro apresentou fraca aptidão cardiorrespiratória ao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 xml:space="preserve">. Além deste, outros dois, sem alteração no ECG, também manifestaram fraca aptidão cardiorrespiratória. Outros três atletas, não selecionados para a RMC, também apresentaram inversão de onda T &gt; 1,0 mm em duas ou mais derivações (exceto em DIII, </w:t>
      </w:r>
      <w:proofErr w:type="spellStart"/>
      <w:r w:rsidRPr="00650F61">
        <w:rPr>
          <w:rFonts w:ascii="Arial" w:hAnsi="Arial" w:cs="Arial"/>
        </w:rPr>
        <w:t>aVR</w:t>
      </w:r>
      <w:proofErr w:type="spellEnd"/>
      <w:r w:rsidRPr="00650F61">
        <w:rPr>
          <w:rFonts w:ascii="Arial" w:hAnsi="Arial" w:cs="Arial"/>
        </w:rPr>
        <w:t xml:space="preserve"> e V1), porém tiveram quadro assintomático de COVID-19, e por isso não foram incluídos na avaliação por RMC. O intervalo médio entre a data de diagnóstico de COVID-19 e a data de realização da RMC foi de 56,8 semanas (DP = ±17,7 semanas). A disposição dos achados da avaliação de cada atleta está exposta na tabela 2.</w:t>
      </w:r>
    </w:p>
    <w:p w14:paraId="043721C7" w14:textId="77777777" w:rsidR="006072CE" w:rsidRPr="00650F61" w:rsidRDefault="006072CE" w:rsidP="006072CE">
      <w:pPr>
        <w:spacing w:after="240"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  <w:b/>
          <w:bCs/>
        </w:rPr>
        <w:t>Tabela 2.</w:t>
      </w:r>
      <w:r w:rsidRPr="00650F61">
        <w:rPr>
          <w:rFonts w:ascii="Arial" w:hAnsi="Arial" w:cs="Arial"/>
        </w:rPr>
        <w:t xml:space="preserve"> Relação de atletas e achados da avaliação cardiovascular.</w:t>
      </w:r>
    </w:p>
    <w:tbl>
      <w:tblPr>
        <w:tblW w:w="9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867"/>
        <w:gridCol w:w="2054"/>
        <w:gridCol w:w="2240"/>
        <w:gridCol w:w="2158"/>
      </w:tblGrid>
      <w:tr w:rsidR="006072CE" w:rsidRPr="00650F61" w14:paraId="282FF7D7" w14:textId="77777777" w:rsidTr="002113CC">
        <w:trPr>
          <w:trHeight w:val="300"/>
        </w:trPr>
        <w:tc>
          <w:tcPr>
            <w:tcW w:w="787" w:type="dxa"/>
            <w:tcBorders>
              <w:top w:val="single" w:sz="4" w:space="0" w:color="505050"/>
              <w:left w:val="nil"/>
              <w:bottom w:val="single" w:sz="4" w:space="0" w:color="505050"/>
              <w:right w:val="nil"/>
            </w:tcBorders>
            <w:vAlign w:val="center"/>
            <w:hideMark/>
          </w:tcPr>
          <w:p w14:paraId="521770C9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F61">
              <w:rPr>
                <w:rFonts w:ascii="Arial" w:hAnsi="Arial" w:cs="Arial"/>
                <w:b/>
                <w:bCs/>
                <w:color w:val="000000"/>
              </w:rPr>
              <w:t>Atleta</w:t>
            </w:r>
          </w:p>
        </w:tc>
        <w:tc>
          <w:tcPr>
            <w:tcW w:w="1867" w:type="dxa"/>
            <w:tcBorders>
              <w:top w:val="single" w:sz="4" w:space="0" w:color="505050"/>
              <w:left w:val="nil"/>
              <w:bottom w:val="single" w:sz="4" w:space="0" w:color="505050"/>
              <w:right w:val="nil"/>
            </w:tcBorders>
            <w:vAlign w:val="center"/>
            <w:hideMark/>
          </w:tcPr>
          <w:p w14:paraId="684EB046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50F61">
              <w:rPr>
                <w:rFonts w:ascii="Arial" w:hAnsi="Arial" w:cs="Arial"/>
                <w:b/>
                <w:bCs/>
                <w:i/>
                <w:iCs/>
                <w:color w:val="000000"/>
              </w:rPr>
              <w:t>Perfil COVID-19</w:t>
            </w:r>
          </w:p>
        </w:tc>
        <w:tc>
          <w:tcPr>
            <w:tcW w:w="2054" w:type="dxa"/>
            <w:tcBorders>
              <w:top w:val="single" w:sz="4" w:space="0" w:color="505050"/>
              <w:left w:val="nil"/>
              <w:bottom w:val="single" w:sz="4" w:space="0" w:color="505050"/>
              <w:right w:val="nil"/>
            </w:tcBorders>
            <w:vAlign w:val="center"/>
            <w:hideMark/>
          </w:tcPr>
          <w:p w14:paraId="2DCD64CB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50F61">
              <w:rPr>
                <w:rFonts w:ascii="Arial" w:hAnsi="Arial" w:cs="Arial"/>
                <w:b/>
                <w:bCs/>
                <w:i/>
                <w:iCs/>
                <w:color w:val="000000"/>
              </w:rPr>
              <w:t>ECG</w:t>
            </w:r>
          </w:p>
        </w:tc>
        <w:tc>
          <w:tcPr>
            <w:tcW w:w="2240" w:type="dxa"/>
            <w:tcBorders>
              <w:top w:val="single" w:sz="4" w:space="0" w:color="505050"/>
              <w:left w:val="nil"/>
              <w:bottom w:val="single" w:sz="4" w:space="0" w:color="505050"/>
              <w:right w:val="nil"/>
            </w:tcBorders>
            <w:vAlign w:val="center"/>
            <w:hideMark/>
          </w:tcPr>
          <w:p w14:paraId="3BA080C9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650F61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TErg</w:t>
            </w:r>
            <w:proofErr w:type="spellEnd"/>
          </w:p>
        </w:tc>
        <w:tc>
          <w:tcPr>
            <w:tcW w:w="2158" w:type="dxa"/>
            <w:tcBorders>
              <w:top w:val="single" w:sz="4" w:space="0" w:color="505050"/>
              <w:left w:val="nil"/>
              <w:bottom w:val="single" w:sz="4" w:space="0" w:color="505050"/>
              <w:right w:val="nil"/>
            </w:tcBorders>
            <w:vAlign w:val="center"/>
            <w:hideMark/>
          </w:tcPr>
          <w:p w14:paraId="17796BF9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50F61">
              <w:rPr>
                <w:rFonts w:ascii="Arial" w:hAnsi="Arial" w:cs="Arial"/>
                <w:b/>
                <w:bCs/>
                <w:i/>
                <w:iCs/>
                <w:color w:val="000000"/>
              </w:rPr>
              <w:t>RMC</w:t>
            </w:r>
          </w:p>
        </w:tc>
      </w:tr>
      <w:tr w:rsidR="006072CE" w:rsidRPr="00650F61" w14:paraId="7EAACCAD" w14:textId="77777777" w:rsidTr="002113CC">
        <w:trPr>
          <w:trHeight w:val="54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3B86A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69505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Assintomático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FCAD7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Inversão de onda T de V3 a V6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574C5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D7B2B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Não realizada</w:t>
            </w:r>
          </w:p>
        </w:tc>
      </w:tr>
      <w:tr w:rsidR="006072CE" w:rsidRPr="00650F61" w14:paraId="530330BA" w14:textId="77777777" w:rsidTr="002113CC">
        <w:trPr>
          <w:trHeight w:val="54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B018E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79666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Assintomático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1C3F5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Inversão de onda T de V1 aV3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7866B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C6674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Não realizada</w:t>
            </w:r>
          </w:p>
        </w:tc>
      </w:tr>
      <w:tr w:rsidR="006072CE" w:rsidRPr="00650F61" w14:paraId="605CFD72" w14:textId="77777777" w:rsidTr="002113CC">
        <w:trPr>
          <w:trHeight w:val="30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13F7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B8CCB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Sintomático leve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5312B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C2E44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7B30E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Não realizada</w:t>
            </w:r>
          </w:p>
        </w:tc>
      </w:tr>
      <w:tr w:rsidR="006072CE" w:rsidRPr="00650F61" w14:paraId="5B2EB18A" w14:textId="77777777" w:rsidTr="002113CC">
        <w:trPr>
          <w:trHeight w:val="54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3E4B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931D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Assintomático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8FEC3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Inversão de onda T de V1 a V4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23E9A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Raras extrassístoles ventriculares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889E4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Não realizada</w:t>
            </w:r>
          </w:p>
        </w:tc>
      </w:tr>
      <w:tr w:rsidR="006072CE" w:rsidRPr="00650F61" w14:paraId="50FCF835" w14:textId="77777777" w:rsidTr="002113CC">
        <w:trPr>
          <w:trHeight w:val="54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DE07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7F258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Sintomático leve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8E2A6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BDB7D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Raras extrassístoles ventriculares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0147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Não realizada</w:t>
            </w:r>
          </w:p>
        </w:tc>
      </w:tr>
      <w:tr w:rsidR="006072CE" w:rsidRPr="00650F61" w14:paraId="5F175FE1" w14:textId="77777777" w:rsidTr="002113CC">
        <w:trPr>
          <w:trHeight w:val="30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AFC32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9D61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Sintomático leve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62417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35EFF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031E8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Não realizada</w:t>
            </w:r>
          </w:p>
        </w:tc>
      </w:tr>
      <w:tr w:rsidR="006072CE" w:rsidRPr="00650F61" w14:paraId="3918171B" w14:textId="77777777" w:rsidTr="002113CC">
        <w:trPr>
          <w:trHeight w:val="30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62956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C7F9E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Sintomático leve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88CCA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E0AA9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BB0BD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Não realizada</w:t>
            </w:r>
          </w:p>
        </w:tc>
      </w:tr>
      <w:tr w:rsidR="006072CE" w:rsidRPr="00650F61" w14:paraId="0A4C15D5" w14:textId="77777777" w:rsidTr="002113CC">
        <w:trPr>
          <w:trHeight w:val="30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B357B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FA53F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Assintomático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33B93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1608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FF02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Não realizada</w:t>
            </w:r>
          </w:p>
        </w:tc>
      </w:tr>
      <w:tr w:rsidR="006072CE" w:rsidRPr="00650F61" w14:paraId="041F558D" w14:textId="77777777" w:rsidTr="002113CC">
        <w:trPr>
          <w:trHeight w:val="555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E38D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65264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Sintomático leve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37D19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Inversão de onda T de V1 a V6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31FD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878CE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 xml:space="preserve">Área de realce tardio </w:t>
            </w:r>
            <w:proofErr w:type="spellStart"/>
            <w:r w:rsidRPr="00650F61">
              <w:rPr>
                <w:rFonts w:ascii="Arial" w:hAnsi="Arial" w:cs="Arial"/>
                <w:color w:val="000000"/>
              </w:rPr>
              <w:t>mesoepicárdico</w:t>
            </w:r>
            <w:proofErr w:type="spellEnd"/>
          </w:p>
        </w:tc>
      </w:tr>
      <w:tr w:rsidR="006072CE" w:rsidRPr="00650F61" w14:paraId="0A94432F" w14:textId="77777777" w:rsidTr="002113CC">
        <w:trPr>
          <w:trHeight w:val="795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1A61D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E8099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Sintomático leve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85428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Inversão de onda T de V1 a V5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175EB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Aptidão cardiorrespiratória fraca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5AE15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</w:tr>
      <w:tr w:rsidR="006072CE" w:rsidRPr="00650F61" w14:paraId="02EB1D3C" w14:textId="77777777" w:rsidTr="002113CC">
        <w:trPr>
          <w:trHeight w:val="30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21699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9D216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Assintomático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D5C0C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1323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F68FB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Não realizada</w:t>
            </w:r>
          </w:p>
        </w:tc>
      </w:tr>
      <w:tr w:rsidR="006072CE" w:rsidRPr="00650F61" w14:paraId="3D14B892" w14:textId="77777777" w:rsidTr="002113CC">
        <w:trPr>
          <w:trHeight w:val="54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D352E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DE9E6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Sintomático leve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2F246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53979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Raras extrassístoles ventriculares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AD33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Não realizada</w:t>
            </w:r>
          </w:p>
        </w:tc>
      </w:tr>
      <w:tr w:rsidR="006072CE" w:rsidRPr="00650F61" w14:paraId="09642E28" w14:textId="77777777" w:rsidTr="002113CC">
        <w:trPr>
          <w:trHeight w:val="30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9949A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6B07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Sintomático leve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B8006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SAD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B16A9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118E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Não realizada</w:t>
            </w:r>
          </w:p>
        </w:tc>
      </w:tr>
      <w:tr w:rsidR="006072CE" w:rsidRPr="00650F61" w14:paraId="449FBF2B" w14:textId="77777777" w:rsidTr="002113CC">
        <w:trPr>
          <w:trHeight w:val="555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B73C5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53218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Sintomático leve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FA147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B037A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11B43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Não realizada</w:t>
            </w:r>
          </w:p>
        </w:tc>
      </w:tr>
      <w:tr w:rsidR="006072CE" w:rsidRPr="00650F61" w14:paraId="4CDF0073" w14:textId="77777777" w:rsidTr="002113CC">
        <w:trPr>
          <w:trHeight w:val="795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5A8B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5608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Sintomático leve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3CBF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Inversão de onda T de V3 a V4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3B44A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Taquicardia supraventricular não sustentada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86F9F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Derrame pericárdico</w:t>
            </w:r>
          </w:p>
        </w:tc>
      </w:tr>
      <w:tr w:rsidR="006072CE" w:rsidRPr="00650F61" w14:paraId="4C7C8AC2" w14:textId="77777777" w:rsidTr="002113CC">
        <w:trPr>
          <w:trHeight w:val="129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125E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6E40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Sintomático leve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5EE34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013D6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Aptidão cardiorrespiratória fraca e raras extrassístoles ventriculares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5D58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</w:tr>
      <w:tr w:rsidR="006072CE" w:rsidRPr="00650F61" w14:paraId="35E9C6A1" w14:textId="77777777" w:rsidTr="002113CC">
        <w:trPr>
          <w:trHeight w:val="795"/>
        </w:trPr>
        <w:tc>
          <w:tcPr>
            <w:tcW w:w="787" w:type="dxa"/>
            <w:tcBorders>
              <w:top w:val="nil"/>
              <w:left w:val="nil"/>
              <w:bottom w:val="single" w:sz="4" w:space="0" w:color="505050"/>
              <w:right w:val="nil"/>
            </w:tcBorders>
            <w:vAlign w:val="center"/>
            <w:hideMark/>
          </w:tcPr>
          <w:p w14:paraId="60E40699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505050"/>
              <w:right w:val="nil"/>
            </w:tcBorders>
            <w:vAlign w:val="center"/>
            <w:hideMark/>
          </w:tcPr>
          <w:p w14:paraId="26DDF86C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Sintomático leve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505050"/>
              <w:right w:val="nil"/>
            </w:tcBorders>
            <w:vAlign w:val="center"/>
            <w:hideMark/>
          </w:tcPr>
          <w:p w14:paraId="2C8FFCBC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Sem alterações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505050"/>
              <w:right w:val="nil"/>
            </w:tcBorders>
            <w:vAlign w:val="center"/>
            <w:hideMark/>
          </w:tcPr>
          <w:p w14:paraId="2ADF864D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Aptidão cardiorrespiratória fraca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505050"/>
              <w:right w:val="nil"/>
            </w:tcBorders>
            <w:vAlign w:val="center"/>
            <w:hideMark/>
          </w:tcPr>
          <w:p w14:paraId="5C2FEED2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Derrame pericárdico</w:t>
            </w:r>
          </w:p>
        </w:tc>
      </w:tr>
    </w:tbl>
    <w:p w14:paraId="71BD61AA" w14:textId="77777777" w:rsidR="00650F61" w:rsidRPr="00650F61" w:rsidRDefault="00650F61" w:rsidP="006072CE">
      <w:pPr>
        <w:spacing w:after="240" w:line="360" w:lineRule="auto"/>
        <w:jc w:val="both"/>
        <w:rPr>
          <w:rFonts w:ascii="Arial" w:hAnsi="Arial" w:cs="Arial"/>
        </w:rPr>
      </w:pPr>
    </w:p>
    <w:p w14:paraId="4554A830" w14:textId="00665AFE" w:rsidR="006072CE" w:rsidRPr="00650F61" w:rsidRDefault="006072CE" w:rsidP="006072CE">
      <w:pPr>
        <w:spacing w:after="240"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A partir dos critérios estabelecidos, os atletas “9”, “10”, “15”, “16” e “17” foram selecionados para a RMC. </w:t>
      </w:r>
      <w:r w:rsidRPr="00650F61">
        <w:rPr>
          <w:rFonts w:ascii="Arial" w:hAnsi="Arial" w:cs="Arial"/>
          <w:color w:val="000000" w:themeColor="text1"/>
        </w:rPr>
        <w:t>Não</w:t>
      </w:r>
      <w:r w:rsidRPr="00650F61">
        <w:rPr>
          <w:rFonts w:ascii="Arial" w:hAnsi="Arial" w:cs="Arial"/>
        </w:rPr>
        <w:t xml:space="preserve"> foram identificadas alterações </w:t>
      </w:r>
      <w:proofErr w:type="spellStart"/>
      <w:r w:rsidRPr="00650F61">
        <w:rPr>
          <w:rFonts w:ascii="Arial" w:hAnsi="Arial" w:cs="Arial"/>
        </w:rPr>
        <w:t>na</w:t>
      </w:r>
      <w:proofErr w:type="spellEnd"/>
      <w:r w:rsidRPr="00650F61">
        <w:rPr>
          <w:rFonts w:ascii="Arial" w:hAnsi="Arial" w:cs="Arial"/>
        </w:rPr>
        <w:t xml:space="preserve"> cine-ressonância dos atletas selecionados, sendo descritas na tabela 3 as suas variáveis. Derrame pericárdico foi detectado em dois futebolistas (40,0%), sendo mínimo em um dos atletas e discreto em outro, com lâmina de 10 mm adjacente à porção basal da parede inferior do ventrículo esquerdo. Edema miocárdico não foi detectado em nenhum atleta. Áreas de realce tardio foram constatadas em 20,0% (n=1), sendo descritas como área de realce tardio </w:t>
      </w:r>
      <w:proofErr w:type="spellStart"/>
      <w:r w:rsidRPr="00650F61">
        <w:rPr>
          <w:rFonts w:ascii="Arial" w:hAnsi="Arial" w:cs="Arial"/>
        </w:rPr>
        <w:t>mesoepicárdico</w:t>
      </w:r>
      <w:proofErr w:type="spellEnd"/>
      <w:r w:rsidRPr="00650F61">
        <w:rPr>
          <w:rFonts w:ascii="Arial" w:hAnsi="Arial" w:cs="Arial"/>
        </w:rPr>
        <w:t xml:space="preserve">, de padrão não-isquêmico, distribuição linear, localizado nos </w:t>
      </w:r>
      <w:bookmarkStart w:id="3" w:name="OLE_LINK1"/>
      <w:bookmarkStart w:id="4" w:name="OLE_LINK2"/>
      <w:r w:rsidRPr="00650F61">
        <w:rPr>
          <w:rFonts w:ascii="Arial" w:hAnsi="Arial" w:cs="Arial"/>
        </w:rPr>
        <w:t>segmentos ínfero-lateral e inferior medial do ventrículo esquerdo, compatível com fibrose miocárdica e com aspecto sugestivo de cicatriz de insulto inflamatório prévio (miocardite)</w:t>
      </w:r>
      <w:bookmarkEnd w:id="3"/>
      <w:bookmarkEnd w:id="4"/>
      <w:r w:rsidRPr="00650F61">
        <w:rPr>
          <w:rFonts w:ascii="Arial" w:hAnsi="Arial" w:cs="Arial"/>
        </w:rPr>
        <w:t>, sendo demonstrada na Figura 4. O futebolista que manifestou área de realce tardio na RMC apresentou também uma alteração eletrocardiográfica expressa por inversão de onda T &gt; 1,0 mm de V1 a V6. Este atleta não apresentou derrame pericárdico à RMC.</w:t>
      </w:r>
    </w:p>
    <w:p w14:paraId="5BC52542" w14:textId="77777777" w:rsidR="006072CE" w:rsidRPr="00650F61" w:rsidRDefault="006072CE" w:rsidP="006072CE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  <w:b/>
        </w:rPr>
        <w:t xml:space="preserve">Tabela 3. </w:t>
      </w:r>
      <w:r w:rsidRPr="00650F61">
        <w:rPr>
          <w:rFonts w:ascii="Arial" w:hAnsi="Arial" w:cs="Arial"/>
        </w:rPr>
        <w:t>Variáveis da cine-ressonância.</w:t>
      </w:r>
    </w:p>
    <w:tbl>
      <w:tblPr>
        <w:tblW w:w="6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  <w:gridCol w:w="1180"/>
        <w:gridCol w:w="1180"/>
      </w:tblGrid>
      <w:tr w:rsidR="006072CE" w:rsidRPr="00650F61" w14:paraId="42248539" w14:textId="77777777" w:rsidTr="002113CC">
        <w:trPr>
          <w:trHeight w:val="270"/>
          <w:jc w:val="center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333D6D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C86062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2644A6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</w:p>
        </w:tc>
      </w:tr>
      <w:tr w:rsidR="006072CE" w:rsidRPr="00650F61" w14:paraId="11063B8F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17AB49" w14:textId="77777777" w:rsidR="006072CE" w:rsidRPr="00650F61" w:rsidRDefault="006072CE" w:rsidP="002113CC">
            <w:pPr>
              <w:rPr>
                <w:rFonts w:ascii="Arial" w:hAnsi="Arial" w:cs="Arial"/>
                <w:b/>
                <w:color w:val="000000"/>
              </w:rPr>
            </w:pPr>
            <w:r w:rsidRPr="00650F61">
              <w:rPr>
                <w:rFonts w:ascii="Arial" w:hAnsi="Arial" w:cs="Arial"/>
                <w:b/>
                <w:color w:val="000000"/>
              </w:rPr>
              <w:t>Variáveis (N=5)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12BF4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650F61">
              <w:rPr>
                <w:rFonts w:ascii="Arial" w:hAnsi="Arial" w:cs="Arial"/>
                <w:b/>
                <w:i/>
                <w:color w:val="000000"/>
              </w:rPr>
              <w:t>Média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FC8C7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650F61">
              <w:rPr>
                <w:rFonts w:ascii="Arial" w:hAnsi="Arial" w:cs="Arial"/>
                <w:b/>
                <w:i/>
                <w:color w:val="000000"/>
              </w:rPr>
              <w:t>DP</w:t>
            </w:r>
          </w:p>
        </w:tc>
      </w:tr>
      <w:tr w:rsidR="006072CE" w:rsidRPr="00650F61" w14:paraId="5984BB6C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79871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0F61">
              <w:rPr>
                <w:rFonts w:ascii="Arial" w:hAnsi="Arial" w:cs="Arial"/>
                <w:color w:val="000000"/>
              </w:rPr>
              <w:t>iVDFVD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650F61">
              <w:rPr>
                <w:rFonts w:ascii="Arial" w:hAnsi="Arial" w:cs="Arial"/>
                <w:color w:val="000000"/>
              </w:rPr>
              <w:t>mL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>/m</w:t>
            </w:r>
            <w:r w:rsidRPr="00650F61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50F6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00970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6ADC2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10,7</w:t>
            </w:r>
          </w:p>
        </w:tc>
      </w:tr>
      <w:tr w:rsidR="006072CE" w:rsidRPr="00650F61" w14:paraId="20CDF01F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7172B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0F61">
              <w:rPr>
                <w:rFonts w:ascii="Arial" w:hAnsi="Arial" w:cs="Arial"/>
                <w:color w:val="000000"/>
              </w:rPr>
              <w:t>iVSFVD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650F61">
              <w:rPr>
                <w:rFonts w:ascii="Arial" w:hAnsi="Arial" w:cs="Arial"/>
                <w:color w:val="000000"/>
              </w:rPr>
              <w:t>mL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>/m</w:t>
            </w:r>
            <w:r w:rsidRPr="00650F61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50F6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0ACE8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6036C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5,8</w:t>
            </w:r>
          </w:p>
        </w:tc>
      </w:tr>
      <w:tr w:rsidR="006072CE" w:rsidRPr="00650F61" w14:paraId="1949B70E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19D58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FEVD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E08C4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33234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2,9</w:t>
            </w:r>
          </w:p>
        </w:tc>
      </w:tr>
      <w:tr w:rsidR="006072CE" w:rsidRPr="00650F61" w14:paraId="061979C4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05679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VDFVD (</w:t>
            </w:r>
            <w:proofErr w:type="spellStart"/>
            <w:r w:rsidRPr="00650F61">
              <w:rPr>
                <w:rFonts w:ascii="Arial" w:hAnsi="Arial" w:cs="Arial"/>
                <w:color w:val="000000"/>
              </w:rPr>
              <w:t>mL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2373F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E5D2E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25,1</w:t>
            </w:r>
          </w:p>
        </w:tc>
      </w:tr>
      <w:tr w:rsidR="006072CE" w:rsidRPr="00650F61" w14:paraId="0D3AE7EB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115B1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VSFVD (</w:t>
            </w:r>
            <w:proofErr w:type="spellStart"/>
            <w:r w:rsidRPr="00650F61">
              <w:rPr>
                <w:rFonts w:ascii="Arial" w:hAnsi="Arial" w:cs="Arial"/>
                <w:color w:val="000000"/>
              </w:rPr>
              <w:t>mL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9F7B4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92,8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0640B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11,8</w:t>
            </w:r>
          </w:p>
        </w:tc>
      </w:tr>
      <w:tr w:rsidR="006072CE" w:rsidRPr="00650F61" w14:paraId="7EB7D14C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FE7C2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0F61">
              <w:rPr>
                <w:rFonts w:ascii="Arial" w:hAnsi="Arial" w:cs="Arial"/>
                <w:color w:val="000000"/>
              </w:rPr>
              <w:t>VAEi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650F61">
              <w:rPr>
                <w:rFonts w:ascii="Arial" w:hAnsi="Arial" w:cs="Arial"/>
                <w:color w:val="000000"/>
              </w:rPr>
              <w:t>mL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>/m</w:t>
            </w:r>
            <w:r w:rsidRPr="00650F61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50F6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AB898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45,4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88520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9,1</w:t>
            </w:r>
          </w:p>
        </w:tc>
      </w:tr>
      <w:tr w:rsidR="006072CE" w:rsidRPr="00650F61" w14:paraId="4FFCD37B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5450C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0F61">
              <w:rPr>
                <w:rFonts w:ascii="Arial" w:hAnsi="Arial" w:cs="Arial"/>
                <w:color w:val="000000"/>
              </w:rPr>
              <w:t>iVDFVE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650F61">
              <w:rPr>
                <w:rFonts w:ascii="Arial" w:hAnsi="Arial" w:cs="Arial"/>
                <w:color w:val="000000"/>
              </w:rPr>
              <w:t>mL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>/m</w:t>
            </w:r>
            <w:r w:rsidRPr="00650F61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50F6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6C1B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15F2B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12,6</w:t>
            </w:r>
          </w:p>
        </w:tc>
      </w:tr>
      <w:tr w:rsidR="006072CE" w:rsidRPr="00650F61" w14:paraId="7AA2B4D4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9EDE0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0F61">
              <w:rPr>
                <w:rFonts w:ascii="Arial" w:hAnsi="Arial" w:cs="Arial"/>
                <w:color w:val="000000"/>
              </w:rPr>
              <w:t>iVSFVE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650F61">
              <w:rPr>
                <w:rFonts w:ascii="Arial" w:hAnsi="Arial" w:cs="Arial"/>
                <w:color w:val="000000"/>
              </w:rPr>
              <w:t>mL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>/m</w:t>
            </w:r>
            <w:r w:rsidRPr="00650F61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50F6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77C3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37,8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4717D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7,4</w:t>
            </w:r>
          </w:p>
        </w:tc>
      </w:tr>
      <w:tr w:rsidR="006072CE" w:rsidRPr="00650F61" w14:paraId="73C5E28D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022EC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FEVE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8A5F4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362E6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3,5</w:t>
            </w:r>
          </w:p>
        </w:tc>
      </w:tr>
      <w:tr w:rsidR="006072CE" w:rsidRPr="00650F61" w14:paraId="4F9BD99D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122A1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DDFVE (cm)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A2114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3C4A5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0,3</w:t>
            </w:r>
          </w:p>
        </w:tc>
      </w:tr>
      <w:tr w:rsidR="006072CE" w:rsidRPr="00650F61" w14:paraId="15B86B01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836A0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DSFVE (cm)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462C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D5CA8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0,3</w:t>
            </w:r>
          </w:p>
        </w:tc>
      </w:tr>
      <w:tr w:rsidR="006072CE" w:rsidRPr="00650F61" w14:paraId="0D897A04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DD443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VDFVE (</w:t>
            </w:r>
            <w:proofErr w:type="spellStart"/>
            <w:r w:rsidRPr="00650F61">
              <w:rPr>
                <w:rFonts w:ascii="Arial" w:hAnsi="Arial" w:cs="Arial"/>
                <w:color w:val="000000"/>
              </w:rPr>
              <w:t>mL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4F271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167,2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5CCAB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46,4</w:t>
            </w:r>
          </w:p>
        </w:tc>
      </w:tr>
      <w:tr w:rsidR="006072CE" w:rsidRPr="00650F61" w14:paraId="2A63E9E6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AA046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VSFVE (</w:t>
            </w:r>
            <w:proofErr w:type="spellStart"/>
            <w:r w:rsidRPr="00650F61">
              <w:rPr>
                <w:rFonts w:ascii="Arial" w:hAnsi="Arial" w:cs="Arial"/>
                <w:color w:val="000000"/>
              </w:rPr>
              <w:t>mL</w:t>
            </w:r>
            <w:proofErr w:type="spellEnd"/>
            <w:r w:rsidRPr="00650F6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39FCF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67,8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67DC5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17,3</w:t>
            </w:r>
          </w:p>
        </w:tc>
      </w:tr>
      <w:tr w:rsidR="006072CE" w:rsidRPr="00650F61" w14:paraId="7544D18B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0F5A5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lastRenderedPageBreak/>
              <w:t>MVE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C93A8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149,2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97044" w14:textId="77777777" w:rsidR="006072CE" w:rsidRPr="00650F61" w:rsidRDefault="006072CE" w:rsidP="002113CC">
            <w:pPr>
              <w:jc w:val="center"/>
              <w:rPr>
                <w:rFonts w:ascii="Arial" w:hAnsi="Arial" w:cs="Arial"/>
              </w:rPr>
            </w:pPr>
            <w:r w:rsidRPr="00650F61">
              <w:rPr>
                <w:rFonts w:ascii="Arial" w:hAnsi="Arial" w:cs="Arial"/>
              </w:rPr>
              <w:t>± 43,2</w:t>
            </w:r>
          </w:p>
        </w:tc>
      </w:tr>
      <w:tr w:rsidR="006072CE" w:rsidRPr="00650F61" w14:paraId="0B22B7A1" w14:textId="77777777" w:rsidTr="002113CC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27B09D" w14:textId="77777777" w:rsidR="006072CE" w:rsidRPr="00650F61" w:rsidRDefault="006072CE" w:rsidP="002113CC">
            <w:pPr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IMVE (g/m</w:t>
            </w:r>
            <w:r w:rsidRPr="00650F61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50F6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AF5F43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5A4A" w14:textId="77777777" w:rsidR="006072CE" w:rsidRPr="00650F61" w:rsidRDefault="006072CE" w:rsidP="002113CC">
            <w:pPr>
              <w:jc w:val="center"/>
              <w:rPr>
                <w:rFonts w:ascii="Arial" w:hAnsi="Arial" w:cs="Arial"/>
                <w:color w:val="000000"/>
              </w:rPr>
            </w:pPr>
            <w:r w:rsidRPr="00650F61">
              <w:rPr>
                <w:rFonts w:ascii="Arial" w:hAnsi="Arial" w:cs="Arial"/>
                <w:color w:val="000000"/>
              </w:rPr>
              <w:t>± 20,7</w:t>
            </w:r>
          </w:p>
        </w:tc>
      </w:tr>
    </w:tbl>
    <w:p w14:paraId="4DEB60CC" w14:textId="77777777" w:rsidR="006072CE" w:rsidRPr="00650F61" w:rsidRDefault="006072CE" w:rsidP="006072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ED4C9F" w14:textId="77777777" w:rsidR="006072CE" w:rsidRPr="00650F61" w:rsidRDefault="006072CE" w:rsidP="006072CE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50F61">
        <w:rPr>
          <w:rFonts w:ascii="Arial" w:hAnsi="Arial" w:cs="Arial"/>
          <w:sz w:val="20"/>
          <w:szCs w:val="20"/>
        </w:rPr>
        <w:t>iVDFVD</w:t>
      </w:r>
      <w:proofErr w:type="spellEnd"/>
      <w:r w:rsidRPr="00650F61">
        <w:rPr>
          <w:rFonts w:ascii="Arial" w:hAnsi="Arial" w:cs="Arial"/>
          <w:sz w:val="20"/>
          <w:szCs w:val="20"/>
        </w:rPr>
        <w:t xml:space="preserve">: Índice volumétrico diastólico final do VD; </w:t>
      </w:r>
      <w:proofErr w:type="spellStart"/>
      <w:r w:rsidRPr="00650F61">
        <w:rPr>
          <w:rFonts w:ascii="Arial" w:hAnsi="Arial" w:cs="Arial"/>
          <w:sz w:val="20"/>
          <w:szCs w:val="20"/>
        </w:rPr>
        <w:t>iVSFVD</w:t>
      </w:r>
      <w:proofErr w:type="spellEnd"/>
      <w:r w:rsidRPr="00650F61">
        <w:rPr>
          <w:rFonts w:ascii="Arial" w:hAnsi="Arial" w:cs="Arial"/>
          <w:sz w:val="20"/>
          <w:szCs w:val="20"/>
        </w:rPr>
        <w:t xml:space="preserve">: Índice volumétrico sistólico final do VD; FEVD: Fração de ejeção do VD; VDFVD: Volume diastólico final do VD; VSFVD: Volume sistólico final do VD; </w:t>
      </w:r>
      <w:proofErr w:type="spellStart"/>
      <w:r w:rsidRPr="00650F61">
        <w:rPr>
          <w:rFonts w:ascii="Arial" w:hAnsi="Arial" w:cs="Arial"/>
          <w:sz w:val="20"/>
          <w:szCs w:val="20"/>
        </w:rPr>
        <w:t>VAEi</w:t>
      </w:r>
      <w:proofErr w:type="spellEnd"/>
      <w:r w:rsidRPr="00650F61">
        <w:rPr>
          <w:rFonts w:ascii="Arial" w:hAnsi="Arial" w:cs="Arial"/>
          <w:sz w:val="20"/>
          <w:szCs w:val="20"/>
        </w:rPr>
        <w:t xml:space="preserve">: Volume do átrio esquerdo indexado; </w:t>
      </w:r>
      <w:proofErr w:type="spellStart"/>
      <w:r w:rsidRPr="00650F61">
        <w:rPr>
          <w:rFonts w:ascii="Arial" w:hAnsi="Arial" w:cs="Arial"/>
          <w:sz w:val="20"/>
          <w:szCs w:val="20"/>
        </w:rPr>
        <w:t>iVDFVE</w:t>
      </w:r>
      <w:proofErr w:type="spellEnd"/>
      <w:r w:rsidRPr="00650F61">
        <w:rPr>
          <w:rFonts w:ascii="Arial" w:hAnsi="Arial" w:cs="Arial"/>
          <w:sz w:val="20"/>
          <w:szCs w:val="20"/>
        </w:rPr>
        <w:t xml:space="preserve">: Índice volumétrico diastólico final do VE; </w:t>
      </w:r>
      <w:proofErr w:type="spellStart"/>
      <w:r w:rsidRPr="00650F61">
        <w:rPr>
          <w:rFonts w:ascii="Arial" w:hAnsi="Arial" w:cs="Arial"/>
          <w:sz w:val="20"/>
          <w:szCs w:val="20"/>
        </w:rPr>
        <w:t>iVSFVE</w:t>
      </w:r>
      <w:proofErr w:type="spellEnd"/>
      <w:r w:rsidRPr="00650F61">
        <w:rPr>
          <w:rFonts w:ascii="Arial" w:hAnsi="Arial" w:cs="Arial"/>
          <w:sz w:val="20"/>
          <w:szCs w:val="20"/>
        </w:rPr>
        <w:t>: Índice volumétrico sistólico final do VE; FEVE: Fração de ejeção do VE; DDFVE: Diâmetro diastólico final do VE; DSFVE: Diâmetro sistólico final do VE; VDFVE: Volume diastólico final do VE; VSFVE: Volume sistólico final do VE; MVE: Massa do VE; IMVE: Índice de massa do VE.</w:t>
      </w:r>
    </w:p>
    <w:p w14:paraId="6BFE4EAE" w14:textId="77777777" w:rsidR="006072CE" w:rsidRPr="00650F61" w:rsidRDefault="006072CE" w:rsidP="006072CE">
      <w:pPr>
        <w:spacing w:after="240"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  <w:b/>
        </w:rPr>
        <w:t xml:space="preserve">Figura 4. </w:t>
      </w:r>
      <w:r w:rsidRPr="00650F61">
        <w:rPr>
          <w:rFonts w:ascii="Arial" w:hAnsi="Arial" w:cs="Arial"/>
        </w:rPr>
        <w:t xml:space="preserve">Área de realce tardio </w:t>
      </w:r>
      <w:proofErr w:type="spellStart"/>
      <w:r w:rsidRPr="00650F61">
        <w:rPr>
          <w:rFonts w:ascii="Arial" w:hAnsi="Arial" w:cs="Arial"/>
        </w:rPr>
        <w:t>mesoepicárdico</w:t>
      </w:r>
      <w:proofErr w:type="spellEnd"/>
      <w:r w:rsidRPr="00650F61">
        <w:rPr>
          <w:rFonts w:ascii="Arial" w:hAnsi="Arial" w:cs="Arial"/>
        </w:rPr>
        <w:t xml:space="preserve"> nos segmentos ínfero-lateral e inferior medial do ventrículo esquerdo, indicada pela seta vermelha, com aspecto sugestivo de cicatriz de insulto inflamatório prévio (miocardite).</w:t>
      </w:r>
    </w:p>
    <w:p w14:paraId="161D6153" w14:textId="77777777" w:rsidR="006072CE" w:rsidRPr="00650F61" w:rsidRDefault="006072CE" w:rsidP="006072CE">
      <w:pPr>
        <w:spacing w:after="240" w:line="360" w:lineRule="auto"/>
        <w:jc w:val="center"/>
        <w:rPr>
          <w:rFonts w:ascii="Arial" w:hAnsi="Arial" w:cs="Arial"/>
        </w:rPr>
      </w:pPr>
      <w:r w:rsidRPr="00650F61">
        <w:rPr>
          <w:rFonts w:ascii="Arial" w:hAnsi="Arial" w:cs="Arial"/>
          <w:noProof/>
        </w:rPr>
        <w:drawing>
          <wp:inline distT="0" distB="0" distL="0" distR="0" wp14:anchorId="7F03926B" wp14:editId="4715067C">
            <wp:extent cx="3923042" cy="3898900"/>
            <wp:effectExtent l="0" t="0" r="1270" b="0"/>
            <wp:docPr id="6" name="Imagem 6" descr="Foto preta e branca de rosto de pessoa visto de per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Foto preta e branca de rosto de pessoa visto de pert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546" cy="390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3C6C8" w14:textId="77777777" w:rsidR="006072CE" w:rsidRPr="00650F61" w:rsidRDefault="006072CE" w:rsidP="006072CE">
      <w:pPr>
        <w:pStyle w:val="Ttulo1"/>
        <w:rPr>
          <w:rFonts w:ascii="Arial" w:hAnsi="Arial" w:cs="Arial"/>
          <w:b w:val="0"/>
          <w:bCs/>
          <w:szCs w:val="24"/>
        </w:rPr>
      </w:pPr>
      <w:bookmarkStart w:id="5" w:name="_Toc84949205"/>
      <w:r w:rsidRPr="00650F61">
        <w:rPr>
          <w:rFonts w:ascii="Arial" w:hAnsi="Arial" w:cs="Arial"/>
        </w:rPr>
        <w:t>DISCUSSÃO</w:t>
      </w:r>
      <w:bookmarkEnd w:id="5"/>
    </w:p>
    <w:p w14:paraId="238DAEAA" w14:textId="77777777" w:rsidR="006072CE" w:rsidRPr="00650F61" w:rsidRDefault="006072CE" w:rsidP="006072CE">
      <w:pPr>
        <w:rPr>
          <w:rFonts w:ascii="Arial" w:hAnsi="Arial" w:cs="Arial"/>
        </w:rPr>
      </w:pPr>
    </w:p>
    <w:p w14:paraId="0D7286FA" w14:textId="77777777" w:rsidR="006072CE" w:rsidRPr="00650F61" w:rsidRDefault="006072CE" w:rsidP="006F17A9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A resposta inflamatória provocada pela COVID-19, associada à tempestade de citocinas e à lesão direta aos cardiomiócitos pelo SARS-CoV-2, tem sido colocada como uma </w:t>
      </w:r>
      <w:proofErr w:type="gramStart"/>
      <w:r w:rsidRPr="00650F61">
        <w:rPr>
          <w:rFonts w:ascii="Arial" w:hAnsi="Arial" w:cs="Arial"/>
        </w:rPr>
        <w:t>potencial causadora</w:t>
      </w:r>
      <w:proofErr w:type="gramEnd"/>
      <w:r w:rsidRPr="00650F61">
        <w:rPr>
          <w:rFonts w:ascii="Arial" w:hAnsi="Arial" w:cs="Arial"/>
        </w:rPr>
        <w:t xml:space="preserve"> de miocardite, síndromes coronarianas agudas, arritmias e doenças tromboembólicas, especialmente em indivíduos com comorbidades ou que necessitaram de hospitalização por doença grave. (17,18) </w:t>
      </w:r>
      <w:r w:rsidRPr="00650F61">
        <w:rPr>
          <w:rFonts w:ascii="Arial" w:hAnsi="Arial" w:cs="Arial"/>
        </w:rPr>
        <w:lastRenderedPageBreak/>
        <w:t>Questiona-se, entretanto, sobre a possibilidade de indivíduos previamente saudáveis com perfil assintomático ou sintomático leve de infecção pelo SARS-CoV-2 desenvolverem complicações cardiovasculares tardias, já no estágio de Pós-Covid. Nesse sentido, defende-se a realização de uma avaliação cardíaca em atletas após a resolução da COVID-19 pois, na ocorrência de uma eventual miocardite, a perpetuação da lesão miocárdica associa-se a um maior potencial arritmogênico e de sequelas para esses indivíduos, sendo que o estímulo adrenérgico e hemodinâmico da prática de exercícios intensos pode agravar o curso dessas complicações. (5,6)</w:t>
      </w:r>
    </w:p>
    <w:p w14:paraId="7DB0E8C7" w14:textId="77777777" w:rsidR="006072CE" w:rsidRPr="00650F61" w:rsidRDefault="006072CE" w:rsidP="006F17A9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A literatura evidencia que a maioria dos casos de COVID-19 em atletas são assintomáticos ou sintomáticos leves. Uma avaliação com 26 atletas demonstrou uma prevalência de doença leve em 54,0% dos casos, seguida de 23,0% de casos assintomáticos, 19,0% moderados e 4,0% graves. (19) Tais dados estão de acordo com este estudo, o qual evidenciou que o perfil da infecção pelo SARS-CoV-2 manifestado pelos atletas </w:t>
      </w:r>
      <w:proofErr w:type="spellStart"/>
      <w:r w:rsidRPr="00650F61">
        <w:rPr>
          <w:rFonts w:ascii="Arial" w:hAnsi="Arial" w:cs="Arial"/>
        </w:rPr>
        <w:t>foi</w:t>
      </w:r>
      <w:proofErr w:type="spellEnd"/>
      <w:r w:rsidRPr="00650F61">
        <w:rPr>
          <w:rFonts w:ascii="Arial" w:hAnsi="Arial" w:cs="Arial"/>
        </w:rPr>
        <w:t xml:space="preserve"> predominantemente sintomático leve (70,6%), com casos assintomáticos apresentando prevalência de 29,4%. Além disso, ressaltam-se as altas taxas de infecção pelo SARS-CoV-2 entre atletas, especialmente no Brasil, onde foi comprovada por um estudo realizado com clubes de futebol paulistas uma taxa de novas infecções de 11,7% após o retorno às práticas esportivas, com 25 equipes apresentando 10 ou mais casos. (20) Neste estudo, também foi observada uma alta taxa de casos de infecção prévia pelo vírus da COVID-19 no clube avaliado, consistindo em um panorama compatível com a realidade de outras equipes do país.</w:t>
      </w:r>
    </w:p>
    <w:p w14:paraId="06DF10D5" w14:textId="77777777" w:rsidR="006072CE" w:rsidRPr="00650F61" w:rsidRDefault="006072CE" w:rsidP="006F17A9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Em uma avaliação cardíaca realizada com 30 atletas da Federação Italiana de Futebol, foi demonstrado o predomínio de sintomas como febre (38,9%), ageusia (27,8%), astenia (27,8%), anosmia (16,7%), tosse (11,1%) e mialgia (11,1%), sem nenhum relato de sintomas cardiovasculares durante ou após a infecção pelo SARS-CoV-2. A análise eletrocardiográfica desses atletas teve resultados normais, demonstrando apenas alterações compatíveis com o ECG do atleta, como bradicardia sinusal, bloqueio atrioventricular (BAV) de primeiro grau ou bloqueio do ramo direito (BRD) incompleto. Além disso, os dados do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 xml:space="preserve"> desses mesmos futebolistas revelaram apenas raras extrassístoles ventriculares em 11,1% da amostra, sem alterações do segmento ST e sem evidências de queda da capacidade funcional durante o exercício. (21)</w:t>
      </w:r>
    </w:p>
    <w:p w14:paraId="36957CA4" w14:textId="77777777" w:rsidR="006072CE" w:rsidRPr="00650F61" w:rsidRDefault="006072CE" w:rsidP="006F17A9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No presente estudo, a avaliação sintomatológica dos atletas esteve de acordo com os recentes dados da literatura, demostrando o predomínio de sintomas como </w:t>
      </w:r>
      <w:r w:rsidRPr="00650F61">
        <w:rPr>
          <w:rFonts w:ascii="Arial" w:hAnsi="Arial" w:cs="Arial"/>
        </w:rPr>
        <w:lastRenderedPageBreak/>
        <w:t xml:space="preserve">febre ou calafrios, anosmia, ageusia, fadiga não específica e mialgia, sendo que nenhum atleta referiu a vigência de sintomas após a resolução da infecção. Ademais, o ECG desses futebolistas evidenciou apenas achados fisiológicos compatíveis com o coração de atleta, com exceção da inversão de onda T &gt; 1,0 mm em duas ou mais derivações em 35,3% da amostra. Durante o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>, foram obtidos resultados normais para as respostas cronotrópica e hemodinâmica e para os valores de referência definidos para MET e VO</w:t>
      </w:r>
      <w:r w:rsidRPr="00650F61">
        <w:rPr>
          <w:rFonts w:ascii="Arial" w:hAnsi="Arial" w:cs="Arial"/>
          <w:vertAlign w:val="subscript"/>
        </w:rPr>
        <w:t>2</w:t>
      </w:r>
      <w:r w:rsidRPr="00650F61">
        <w:rPr>
          <w:rFonts w:ascii="Arial" w:hAnsi="Arial" w:cs="Arial"/>
        </w:rPr>
        <w:t xml:space="preserve">. (15,16) As alterações eletrocardiográficas do </w:t>
      </w:r>
      <w:proofErr w:type="spellStart"/>
      <w:r w:rsidRPr="00650F61">
        <w:rPr>
          <w:rFonts w:ascii="Arial" w:hAnsi="Arial" w:cs="Arial"/>
        </w:rPr>
        <w:t>TErg</w:t>
      </w:r>
      <w:proofErr w:type="spellEnd"/>
      <w:r w:rsidRPr="00650F61">
        <w:rPr>
          <w:rFonts w:ascii="Arial" w:hAnsi="Arial" w:cs="Arial"/>
        </w:rPr>
        <w:t xml:space="preserve"> incluíram extrassístoles ventriculares raras em 23,5% da amostra e um caso (5,9%) de taquicardia supraventricular não sustentada ao pico do esforço. Ademais, ressalta-se que a maioria dos atletas (58,9%) obtiveram classificação apenas regular para aptidão cardiorrespiratória, além de 3 futebolistas (17,6%) com fraca aptidão. Os possíveis impactos prolongados do Pós-Covid merecem ser destacados, uma vez que estes podem ser indicados por meio de alterações eletrocardiográficas e/ou comprometimento da capacidade física. (22)</w:t>
      </w:r>
    </w:p>
    <w:p w14:paraId="1FDB8170" w14:textId="77777777" w:rsidR="006072CE" w:rsidRPr="00650F61" w:rsidRDefault="006072CE" w:rsidP="006F17A9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>Durante a avaliação cardíaca de atletas no Pós-Covid, a RMC tem sido útil para evidenciar sinais de miocardite mesmo em indivíduos com quadro leve ou assintomático de infecção pelo SARS-CoV-2. Em uma pesquisa realizada com 1597 atletas universitários, 37 deles (2,3%) foram diagnosticados com miocardite a partir das imagens da RMC. (11) Outro estudou revelou uma prevalência de miocardite em jovens atletas de 3% por meio da RMC, corroborando para a estratificação de risco para a participação esportiva. (23)</w:t>
      </w:r>
    </w:p>
    <w:p w14:paraId="430161B5" w14:textId="77777777" w:rsidR="006072CE" w:rsidRPr="00650F61" w:rsidRDefault="006072CE" w:rsidP="006F17A9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>De acordo com a II Diretriz de Ressonância Magnética e Tomografia Computadorizada Cardiovascular da Sociedade Brasileira de Cardiologia e Colégio Brasileiro de Radiologia, a definição do diagnóstico de miocardite por meio da RMC é obtida pela observação de dois dos três seguintes critérios: presença de edema miocárdico, aumento significativo da intensidade de sinal nas imagens com a técnica de realce global precoce e presença de áreas de realce tardio. (24) Especificamente nos atletas, a miocardite representa um desafio, uma vez que a prática de exercícios de alta intensidade, se associada a uma infecção viral crônica, pode potencializar o risco de arritmias a partir da instalação da lesão miocárdica. (6)</w:t>
      </w:r>
    </w:p>
    <w:p w14:paraId="270E2330" w14:textId="77777777" w:rsidR="006072CE" w:rsidRPr="00650F61" w:rsidRDefault="006072CE" w:rsidP="006F17A9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No estudo em questão, cinco atletas foram considerados elegíveis para realizar a RMC. Dentre eles, dois atletas (40,0%) apresentaram derrame pericárdico e um atleta (20,0%) manifestou um critério isolado de envolvimento miocárdico, representado por área de realce tardio compatível com fibrose miocárdica e com </w:t>
      </w:r>
      <w:r w:rsidRPr="00650F61">
        <w:rPr>
          <w:rFonts w:ascii="Arial" w:hAnsi="Arial" w:cs="Arial"/>
        </w:rPr>
        <w:lastRenderedPageBreak/>
        <w:t>aspecto sugestivo de cicatriz de insulto inflamatório prévio (miocardite). Destaca-se, ainda, que o intervalo médio entre o diagnóstico de COVID-19 e a realização da RMC foi de 56,8 semanas, indicando que possíveis sinais de miocardite podem ser identificados mesmo após a resolução da infecção pelo SARS-CoV-2. Um estudo recente já havia revelado prevalência de 17,1% de achados anormais à RMC em atletas recuperados de COVID-19. (12)</w:t>
      </w:r>
    </w:p>
    <w:p w14:paraId="6468B862" w14:textId="77777777" w:rsidR="006072CE" w:rsidRPr="00650F61" w:rsidRDefault="006072CE" w:rsidP="006F17A9">
      <w:pPr>
        <w:spacing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Finalmente, a literatura demonstra que a patogênese da pós-COVID não é completamente elucidada. Sabe-se, porém, que se trata de uma desordem </w:t>
      </w:r>
      <w:proofErr w:type="spellStart"/>
      <w:r w:rsidRPr="00650F61">
        <w:rPr>
          <w:rFonts w:ascii="Arial" w:hAnsi="Arial" w:cs="Arial"/>
        </w:rPr>
        <w:t>multissistêmica</w:t>
      </w:r>
      <w:proofErr w:type="spellEnd"/>
      <w:r w:rsidRPr="00650F61">
        <w:rPr>
          <w:rFonts w:ascii="Arial" w:hAnsi="Arial" w:cs="Arial"/>
        </w:rPr>
        <w:t xml:space="preserve"> associada às lesões diretas causadas pelo SARS-CoV-2 e à sua persistência no organismo infectado, o que favorece a ativação de mecanismos inflamatórios e imunomoduladores, os quais contribuem para o surgimento de sintomas heterogêneos. Para os atletas, o Pós-Covid pode impactar diretamente na capacidade física, </w:t>
      </w:r>
      <w:proofErr w:type="gramStart"/>
      <w:r w:rsidRPr="00650F61">
        <w:rPr>
          <w:rFonts w:ascii="Arial" w:hAnsi="Arial" w:cs="Arial"/>
        </w:rPr>
        <w:t>acarretando em</w:t>
      </w:r>
      <w:proofErr w:type="gramEnd"/>
      <w:r w:rsidRPr="00650F61">
        <w:rPr>
          <w:rFonts w:ascii="Arial" w:hAnsi="Arial" w:cs="Arial"/>
        </w:rPr>
        <w:t xml:space="preserve"> comprometimento da performance esportiva e possíveis complicações cardiovasculares. (22) Tais dados corroboram para a necessidade de uma avaliação cardíaca de atletas após a resolução da infecção pelo SARS-CoV-2, mesmo em casos não graves da doença.</w:t>
      </w:r>
    </w:p>
    <w:p w14:paraId="2076808A" w14:textId="77777777" w:rsidR="006072CE" w:rsidRPr="00650F61" w:rsidRDefault="006072CE" w:rsidP="006072CE">
      <w:pPr>
        <w:spacing w:after="240"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A principal limitação deste estudo refere-se à amostra relativamente pequena de atletas investigados. Entretanto, a quantidade de atletas avaliados foi similar a pesquisas prévias envolvendo a avaliação com RMC de atletas recuperados da infecção pelo SARS-CoV-2, sendo dados referentes a essa população altamente necessários para a caracterização de possíveis complicações associadas ao Pós-Covid. (19) Além disso, devido </w:t>
      </w:r>
      <w:proofErr w:type="spellStart"/>
      <w:r w:rsidRPr="00650F61">
        <w:rPr>
          <w:rFonts w:ascii="Arial" w:hAnsi="Arial" w:cs="Arial"/>
        </w:rPr>
        <w:t>a</w:t>
      </w:r>
      <w:proofErr w:type="spellEnd"/>
      <w:r w:rsidRPr="00650F61">
        <w:rPr>
          <w:rFonts w:ascii="Arial" w:hAnsi="Arial" w:cs="Arial"/>
        </w:rPr>
        <w:t xml:space="preserve"> limitações de tempo e restrições impostas pela pandemia, nosso estudo não apresentou um grupo controle correspondente. Dessa forma, não foi possível estabelecer a prevalência de sinais sugestivos de miocardite em atletas sem história prévia de COVID-19. Apesar disso, nosso estudo evidenciou alterações à RMC não compatíveis com o coração de atleta e indicativas de surto inflamatório prévio, assim como demonstra a literatura (11). Por fim, nossa análise também não incluiu o seguimento das alterações encontradas para avaliação prognóstica desses atletas.</w:t>
      </w:r>
      <w:bookmarkStart w:id="6" w:name="_Toc84949206"/>
    </w:p>
    <w:p w14:paraId="652C2438" w14:textId="04EEE0E5" w:rsidR="006072CE" w:rsidRPr="00650F61" w:rsidRDefault="006072CE" w:rsidP="00650F61">
      <w:pPr>
        <w:spacing w:after="240" w:line="360" w:lineRule="auto"/>
        <w:jc w:val="both"/>
        <w:rPr>
          <w:rFonts w:ascii="Arial" w:hAnsi="Arial" w:cs="Arial"/>
          <w:b/>
          <w:bCs/>
        </w:rPr>
      </w:pPr>
      <w:r w:rsidRPr="00650F61">
        <w:rPr>
          <w:rFonts w:ascii="Arial" w:hAnsi="Arial" w:cs="Arial"/>
          <w:b/>
          <w:bCs/>
        </w:rPr>
        <w:t>CONCLUS</w:t>
      </w:r>
      <w:bookmarkEnd w:id="6"/>
      <w:r w:rsidRPr="00650F61">
        <w:rPr>
          <w:rFonts w:ascii="Arial" w:hAnsi="Arial" w:cs="Arial"/>
          <w:b/>
          <w:bCs/>
        </w:rPr>
        <w:t>ÕES</w:t>
      </w:r>
    </w:p>
    <w:p w14:paraId="69766EF4" w14:textId="77777777" w:rsidR="006072CE" w:rsidRPr="00650F61" w:rsidRDefault="006072CE" w:rsidP="006072CE">
      <w:pPr>
        <w:spacing w:after="240" w:line="360" w:lineRule="auto"/>
        <w:jc w:val="both"/>
        <w:rPr>
          <w:rFonts w:ascii="Arial" w:hAnsi="Arial" w:cs="Arial"/>
        </w:rPr>
      </w:pPr>
      <w:r w:rsidRPr="00650F61">
        <w:rPr>
          <w:rFonts w:ascii="Arial" w:hAnsi="Arial" w:cs="Arial"/>
        </w:rPr>
        <w:tab/>
        <w:t xml:space="preserve">Observa-se a importância de um exame cardíaco antes do retorno à prática esportiva após a resolução do quadro agudo de COVID-19, mesmo em casos assintomáticos e sintomáticos leves, após a identificação de alterações no ECG e </w:t>
      </w:r>
      <w:proofErr w:type="spellStart"/>
      <w:r w:rsidRPr="00650F61">
        <w:rPr>
          <w:rFonts w:ascii="Arial" w:hAnsi="Arial" w:cs="Arial"/>
        </w:rPr>
        <w:lastRenderedPageBreak/>
        <w:t>TErg</w:t>
      </w:r>
      <w:proofErr w:type="spellEnd"/>
      <w:r w:rsidRPr="00650F61">
        <w:rPr>
          <w:rFonts w:ascii="Arial" w:hAnsi="Arial" w:cs="Arial"/>
        </w:rPr>
        <w:t xml:space="preserve"> de atletas recuperados da infecção pelo SARS-CoV-2, além de achados incompatíveis com as adaptações ao exercício na RMC, representados por derrame pericárdico e áreas de realce tardio com aspecto sugestivo de miocardite. As alterações observadas nesse estudo suportam a noção de que a COVID-19 pode afetar o sistema cardiovascular e gerar possíveis impactos durante o Pós-Covid.</w:t>
      </w:r>
    </w:p>
    <w:p w14:paraId="7F8B7515" w14:textId="77777777" w:rsidR="006072CE" w:rsidRPr="00650F61" w:rsidRDefault="006072CE" w:rsidP="006072CE">
      <w:pPr>
        <w:pStyle w:val="Ttulo1"/>
        <w:rPr>
          <w:rFonts w:ascii="Arial" w:hAnsi="Arial" w:cs="Arial"/>
          <w:b w:val="0"/>
          <w:bCs/>
          <w:szCs w:val="24"/>
        </w:rPr>
      </w:pPr>
      <w:bookmarkStart w:id="7" w:name="_Toc84949207"/>
      <w:r w:rsidRPr="00650F61">
        <w:rPr>
          <w:rFonts w:ascii="Arial" w:hAnsi="Arial" w:cs="Arial"/>
          <w:szCs w:val="24"/>
        </w:rPr>
        <w:t>REFERÊNCIAS</w:t>
      </w:r>
      <w:bookmarkEnd w:id="7"/>
    </w:p>
    <w:p w14:paraId="24179CCB" w14:textId="77777777" w:rsidR="006072CE" w:rsidRPr="00650F61" w:rsidRDefault="006072CE" w:rsidP="006072CE">
      <w:pPr>
        <w:rPr>
          <w:rFonts w:ascii="Arial" w:hAnsi="Arial" w:cs="Arial"/>
        </w:rPr>
      </w:pPr>
    </w:p>
    <w:p w14:paraId="09D06021" w14:textId="12CBED54" w:rsidR="006F17A9" w:rsidRPr="00FA56B7" w:rsidRDefault="006072CE" w:rsidP="00FA56B7">
      <w:pPr>
        <w:pStyle w:val="PargrafodaLista"/>
        <w:numPr>
          <w:ilvl w:val="0"/>
          <w:numId w:val="1"/>
        </w:numPr>
        <w:spacing w:after="240"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650F61">
        <w:rPr>
          <w:rFonts w:ascii="Arial" w:hAnsi="Arial" w:cs="Arial"/>
          <w:color w:val="000000" w:themeColor="text1"/>
        </w:rPr>
        <w:t xml:space="preserve">Organização Mundial da Saúde. </w:t>
      </w:r>
      <w:proofErr w:type="spellStart"/>
      <w:r w:rsidRPr="00650F61">
        <w:rPr>
          <w:rFonts w:ascii="Arial" w:hAnsi="Arial" w:cs="Arial"/>
          <w:color w:val="000000" w:themeColor="text1"/>
        </w:rPr>
        <w:t>Coronavirus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50F61">
        <w:rPr>
          <w:rFonts w:ascii="Arial" w:hAnsi="Arial" w:cs="Arial"/>
          <w:color w:val="000000" w:themeColor="text1"/>
        </w:rPr>
        <w:t>disease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(COVID-19) dashboard. Geneva: WHO, 2020. Disponível em: </w:t>
      </w:r>
      <w:hyperlink r:id="rId10" w:history="1">
        <w:r w:rsidRPr="00650F61">
          <w:rPr>
            <w:rStyle w:val="Hyperlink"/>
            <w:rFonts w:ascii="Arial" w:hAnsi="Arial" w:cs="Arial"/>
            <w:color w:val="000000" w:themeColor="text1"/>
          </w:rPr>
          <w:t>https://covid19.who.int/</w:t>
        </w:r>
      </w:hyperlink>
    </w:p>
    <w:p w14:paraId="34213A86" w14:textId="0B416749" w:rsidR="00FA56B7" w:rsidRPr="00FA56B7" w:rsidRDefault="006072CE" w:rsidP="00FA56B7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650F61">
        <w:rPr>
          <w:rFonts w:ascii="Arial" w:hAnsi="Arial" w:cs="Arial"/>
          <w:color w:val="000000" w:themeColor="text1"/>
          <w:bdr w:val="none" w:sz="0" w:space="0" w:color="auto" w:frame="1"/>
          <w:lang w:val="en-US"/>
        </w:rPr>
        <w:t>Tikellis</w:t>
      </w:r>
      <w:proofErr w:type="spellEnd"/>
      <w:r w:rsidRPr="00650F61">
        <w:rPr>
          <w:rFonts w:ascii="Arial" w:hAnsi="Arial" w:cs="Arial"/>
          <w:color w:val="000000" w:themeColor="text1"/>
          <w:bdr w:val="none" w:sz="0" w:space="0" w:color="auto" w:frame="1"/>
          <w:lang w:val="en-US"/>
        </w:rPr>
        <w:t xml:space="preserve"> C, Thomas MC. Angiotensin-Converting Enzyme 2 (ACE2) Is a Key Modulator of the Renin Angiotensin System in Health and Disease. International Journal of Peptides. </w:t>
      </w:r>
      <w:proofErr w:type="gramStart"/>
      <w:r w:rsidRPr="00650F61">
        <w:rPr>
          <w:rFonts w:ascii="Arial" w:hAnsi="Arial" w:cs="Arial"/>
          <w:color w:val="000000" w:themeColor="text1"/>
          <w:bdr w:val="none" w:sz="0" w:space="0" w:color="auto" w:frame="1"/>
          <w:lang w:val="en-US"/>
        </w:rPr>
        <w:t>2012;2012:1</w:t>
      </w:r>
      <w:proofErr w:type="gramEnd"/>
      <w:r w:rsidRPr="00650F61">
        <w:rPr>
          <w:rFonts w:ascii="Arial" w:hAnsi="Arial" w:cs="Arial"/>
          <w:color w:val="000000" w:themeColor="text1"/>
          <w:bdr w:val="none" w:sz="0" w:space="0" w:color="auto" w:frame="1"/>
          <w:lang w:val="en-US"/>
        </w:rPr>
        <w:t>–8.</w:t>
      </w:r>
    </w:p>
    <w:p w14:paraId="07E15461" w14:textId="03860A46" w:rsidR="00FA56B7" w:rsidRPr="00FA56B7" w:rsidRDefault="006072CE" w:rsidP="00FA56B7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  <w:lang w:val="en-US"/>
        </w:rPr>
      </w:pPr>
      <w:r w:rsidRPr="00650F61">
        <w:rPr>
          <w:rFonts w:ascii="Arial" w:hAnsi="Arial" w:cs="Arial"/>
          <w:color w:val="000000" w:themeColor="text1"/>
          <w:lang w:val="en-US"/>
        </w:rPr>
        <w:t xml:space="preserve">Zhang H, </w:t>
      </w: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Penninger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JM, Li Y, Zhong N, Slutsky AS. Angiotensin-converting enzyme 2 (ACE2) as a SARS-CoV-2 receptor: molecular mechanisms and potential therapeutic target. Intensive Care Med. </w:t>
      </w: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abril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de 2020;46(4):586–90.</w:t>
      </w:r>
    </w:p>
    <w:p w14:paraId="63FECA59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line="360" w:lineRule="auto"/>
        <w:ind w:left="360" w:right="96"/>
        <w:jc w:val="both"/>
        <w:rPr>
          <w:rFonts w:ascii="Arial" w:hAnsi="Arial" w:cs="Arial"/>
          <w:color w:val="000000" w:themeColor="text1"/>
        </w:rPr>
      </w:pPr>
      <w:r w:rsidRPr="00650F61">
        <w:rPr>
          <w:rFonts w:ascii="Arial" w:hAnsi="Arial" w:cs="Arial"/>
          <w:color w:val="000000"/>
          <w:shd w:val="clear" w:color="auto" w:fill="FFFFFF"/>
          <w:lang w:val="en-US"/>
        </w:rPr>
        <w:t>World Health Organization. </w:t>
      </w:r>
      <w:r w:rsidRPr="00650F61">
        <w:rPr>
          <w:rFonts w:ascii="Arial" w:hAnsi="Arial" w:cs="Arial"/>
          <w:iCs/>
          <w:color w:val="000000"/>
          <w:lang w:val="en-US"/>
        </w:rPr>
        <w:t>COVID-19 Clinical management: living guidance [Internet</w:t>
      </w:r>
      <w:r w:rsidRPr="00650F61">
        <w:rPr>
          <w:rFonts w:ascii="Arial" w:hAnsi="Arial" w:cs="Arial"/>
          <w:iCs/>
          <w:color w:val="000000"/>
          <w:shd w:val="clear" w:color="auto" w:fill="FFFFFF"/>
          <w:lang w:val="en-US"/>
        </w:rPr>
        <w:t>].</w:t>
      </w:r>
      <w:r w:rsidRPr="00650F61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650F61">
        <w:rPr>
          <w:rFonts w:ascii="Arial" w:hAnsi="Arial" w:cs="Arial"/>
          <w:color w:val="000000"/>
          <w:shd w:val="clear" w:color="auto" w:fill="FFFFFF"/>
        </w:rPr>
        <w:t xml:space="preserve">25 de janeiro de 2021 </w:t>
      </w:r>
      <w:proofErr w:type="gramStart"/>
      <w:r w:rsidRPr="00650F61">
        <w:rPr>
          <w:rFonts w:ascii="Arial" w:hAnsi="Arial" w:cs="Arial"/>
          <w:color w:val="000000"/>
          <w:shd w:val="clear" w:color="auto" w:fill="FFFFFF"/>
        </w:rPr>
        <w:t>[Citado</w:t>
      </w:r>
      <w:proofErr w:type="gramEnd"/>
      <w:r w:rsidRPr="00650F61">
        <w:rPr>
          <w:rFonts w:ascii="Arial" w:hAnsi="Arial" w:cs="Arial"/>
          <w:color w:val="000000"/>
          <w:shd w:val="clear" w:color="auto" w:fill="FFFFFF"/>
        </w:rPr>
        <w:t xml:space="preserve"> 13 de outubro de 2021]; Disponível em: </w:t>
      </w:r>
      <w:hyperlink r:id="rId11" w:history="1">
        <w:r w:rsidRPr="00650F61"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https://www.who.int/publications/i/item/WHO-2019-nCoV-clinical-2021-1</w:t>
        </w:r>
      </w:hyperlink>
      <w:r w:rsidRPr="00650F6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40A5A61A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line="360" w:lineRule="auto"/>
        <w:ind w:left="360" w:right="96"/>
        <w:jc w:val="both"/>
        <w:rPr>
          <w:rFonts w:ascii="Arial" w:hAnsi="Arial" w:cs="Arial"/>
          <w:color w:val="000000" w:themeColor="text1"/>
        </w:rPr>
      </w:pPr>
      <w:r w:rsidRPr="00650F61">
        <w:rPr>
          <w:rFonts w:ascii="Arial" w:hAnsi="Arial" w:cs="Arial"/>
          <w:color w:val="000000" w:themeColor="text1"/>
        </w:rPr>
        <w:t xml:space="preserve">Perillo Filho M, Francisco RC, Garcia TG, Teixeira MF, </w:t>
      </w:r>
      <w:proofErr w:type="spellStart"/>
      <w:r w:rsidRPr="00650F61">
        <w:rPr>
          <w:rFonts w:ascii="Arial" w:hAnsi="Arial" w:cs="Arial"/>
          <w:color w:val="000000" w:themeColor="text1"/>
        </w:rPr>
        <w:t>Bassaneze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B, Albuquerque LA, et al. Esporte em Tempos de Covid-19: Alerta ao Coração. Arquivos Brasileiros de Cardiologia. 2020;115(3):303-307.</w:t>
      </w:r>
    </w:p>
    <w:p w14:paraId="2DE21142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  <w:lang w:val="en-US"/>
        </w:rPr>
      </w:pPr>
      <w:r w:rsidRPr="00650F61">
        <w:rPr>
          <w:rFonts w:ascii="Arial" w:hAnsi="Arial" w:cs="Arial"/>
          <w:color w:val="000000" w:themeColor="text1"/>
          <w:lang w:val="en-US"/>
        </w:rPr>
        <w:t xml:space="preserve">Eichhorn C, </w:t>
      </w: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Bière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L, Schnell F, </w:t>
      </w: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Schmied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C, Wilhelm M, </w:t>
      </w: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Kwong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RY, et al. Myocarditis in Athletes Is a Challenge. JACC: Cardiovascular Imaging. </w:t>
      </w: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fevereiro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de 2020;13(2):494–507.</w:t>
      </w:r>
    </w:p>
    <w:p w14:paraId="54BCD456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line="360" w:lineRule="auto"/>
        <w:ind w:left="360" w:right="96"/>
        <w:jc w:val="both"/>
        <w:rPr>
          <w:rFonts w:ascii="Arial" w:hAnsi="Arial" w:cs="Arial"/>
          <w:color w:val="000000" w:themeColor="text1"/>
        </w:rPr>
      </w:pPr>
      <w:proofErr w:type="spellStart"/>
      <w:r w:rsidRPr="00650F61">
        <w:rPr>
          <w:rFonts w:ascii="Arial" w:hAnsi="Arial" w:cs="Arial"/>
          <w:color w:val="000000" w:themeColor="text1"/>
        </w:rPr>
        <w:t>Ghorayeb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N, Stein R, </w:t>
      </w:r>
      <w:proofErr w:type="spellStart"/>
      <w:r w:rsidRPr="00650F61">
        <w:rPr>
          <w:rFonts w:ascii="Arial" w:hAnsi="Arial" w:cs="Arial"/>
          <w:color w:val="000000" w:themeColor="text1"/>
        </w:rPr>
        <w:t>Daher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DJ, Silveira AD </w:t>
      </w:r>
      <w:proofErr w:type="gramStart"/>
      <w:r w:rsidRPr="00650F61">
        <w:rPr>
          <w:rFonts w:ascii="Arial" w:hAnsi="Arial" w:cs="Arial"/>
          <w:color w:val="000000" w:themeColor="text1"/>
        </w:rPr>
        <w:t xml:space="preserve">da, </w:t>
      </w:r>
      <w:proofErr w:type="spellStart"/>
      <w:r w:rsidRPr="00650F61">
        <w:rPr>
          <w:rFonts w:ascii="Arial" w:hAnsi="Arial" w:cs="Arial"/>
          <w:color w:val="000000" w:themeColor="text1"/>
        </w:rPr>
        <w:t>Ritt</w:t>
      </w:r>
      <w:proofErr w:type="spellEnd"/>
      <w:proofErr w:type="gramEnd"/>
      <w:r w:rsidRPr="00650F61">
        <w:rPr>
          <w:rFonts w:ascii="Arial" w:hAnsi="Arial" w:cs="Arial"/>
          <w:color w:val="000000" w:themeColor="text1"/>
        </w:rPr>
        <w:t xml:space="preserve"> LEF, Santos DFP dos, et al. </w:t>
      </w:r>
      <w:r w:rsidRPr="00650F61">
        <w:rPr>
          <w:rFonts w:ascii="Arial" w:hAnsi="Arial" w:cs="Arial"/>
          <w:color w:val="000000" w:themeColor="text1"/>
          <w:lang w:val="en-US"/>
        </w:rPr>
        <w:t xml:space="preserve">The Brazilian Society of Cardiology and Brazilian Society of Exercise and Sports Medicine Updated Guidelines for Sports and Exercise Cardiology - 2019. </w:t>
      </w:r>
      <w:r w:rsidRPr="00650F61">
        <w:rPr>
          <w:rFonts w:ascii="Arial" w:hAnsi="Arial" w:cs="Arial"/>
          <w:color w:val="000000" w:themeColor="text1"/>
        </w:rPr>
        <w:t>Arquivos Brasileiros de Cardiologia [Internet]. 2019 [citado 9 de setembro de 2020]; Disponível em: </w:t>
      </w:r>
      <w:hyperlink r:id="rId12" w:tgtFrame="_blank" w:history="1">
        <w:r w:rsidRPr="00650F61">
          <w:rPr>
            <w:rFonts w:ascii="Arial" w:hAnsi="Arial" w:cs="Arial"/>
            <w:color w:val="000000" w:themeColor="text1"/>
            <w:u w:val="single"/>
            <w:bdr w:val="none" w:sz="0" w:space="0" w:color="auto" w:frame="1"/>
          </w:rPr>
          <w:t>http://www.gnresearch.org/doi/10.5935/abc.20190048</w:t>
        </w:r>
      </w:hyperlink>
    </w:p>
    <w:p w14:paraId="6B2ACC65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line="360" w:lineRule="auto"/>
        <w:ind w:left="360" w:right="96"/>
        <w:jc w:val="both"/>
        <w:rPr>
          <w:rFonts w:ascii="Arial" w:hAnsi="Arial" w:cs="Arial"/>
          <w:color w:val="000000" w:themeColor="text1"/>
        </w:rPr>
      </w:pPr>
      <w:r w:rsidRPr="00650F61">
        <w:rPr>
          <w:rFonts w:ascii="Arial" w:hAnsi="Arial" w:cs="Arial"/>
          <w:color w:val="000000" w:themeColor="text1"/>
        </w:rPr>
        <w:t xml:space="preserve">Perillo MP, </w:t>
      </w:r>
      <w:proofErr w:type="spellStart"/>
      <w:r w:rsidRPr="00650F61">
        <w:rPr>
          <w:rFonts w:ascii="Arial" w:hAnsi="Arial" w:cs="Arial"/>
          <w:color w:val="000000" w:themeColor="text1"/>
        </w:rPr>
        <w:t>Ghorayeb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N. Interpretação do ECG do Atleta: uma Revisão Sistemática. </w:t>
      </w:r>
      <w:proofErr w:type="spellStart"/>
      <w:r w:rsidRPr="00650F61">
        <w:rPr>
          <w:rFonts w:ascii="Arial" w:hAnsi="Arial" w:cs="Arial"/>
          <w:color w:val="000000" w:themeColor="text1"/>
        </w:rPr>
        <w:t>revderc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[Internet]. 2020 [citado 8 de setembro de 2020];26(2). Disponível em: </w:t>
      </w:r>
      <w:hyperlink r:id="rId13" w:tgtFrame="_blank" w:history="1">
        <w:r w:rsidRPr="00650F61">
          <w:rPr>
            <w:rFonts w:ascii="Arial" w:hAnsi="Arial" w:cs="Arial"/>
            <w:color w:val="000000" w:themeColor="text1"/>
            <w:u w:val="single"/>
            <w:bdr w:val="none" w:sz="0" w:space="0" w:color="auto" w:frame="1"/>
          </w:rPr>
          <w:t>https://www.revista.derc.org.br/RevDERC_2020_26_2_10.html</w:t>
        </w:r>
      </w:hyperlink>
    </w:p>
    <w:p w14:paraId="63F020C5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</w:rPr>
      </w:pP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Puntmann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VO, </w:t>
      </w: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Carerj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ML, Wieters I, Fahim M, Arendt C, Hoffmann J, et al. Outcomes of Cardiovascular Magnetic Resonance Imaging in Patients Recently </w:t>
      </w:r>
      <w:r w:rsidRPr="00650F61">
        <w:rPr>
          <w:rFonts w:ascii="Arial" w:hAnsi="Arial" w:cs="Arial"/>
          <w:color w:val="000000" w:themeColor="text1"/>
          <w:lang w:val="en-US"/>
        </w:rPr>
        <w:lastRenderedPageBreak/>
        <w:t xml:space="preserve">Recovered </w:t>
      </w:r>
      <w:proofErr w:type="gramStart"/>
      <w:r w:rsidRPr="00650F61">
        <w:rPr>
          <w:rFonts w:ascii="Arial" w:hAnsi="Arial" w:cs="Arial"/>
          <w:color w:val="000000" w:themeColor="text1"/>
          <w:lang w:val="en-US"/>
        </w:rPr>
        <w:t>From</w:t>
      </w:r>
      <w:proofErr w:type="gramEnd"/>
      <w:r w:rsidRPr="00650F61">
        <w:rPr>
          <w:rFonts w:ascii="Arial" w:hAnsi="Arial" w:cs="Arial"/>
          <w:color w:val="000000" w:themeColor="text1"/>
          <w:lang w:val="en-US"/>
        </w:rPr>
        <w:t xml:space="preserve"> Coronavirus Disease 2019 (COVID-19). </w:t>
      </w:r>
      <w:r w:rsidRPr="00650F61">
        <w:rPr>
          <w:rFonts w:ascii="Arial" w:hAnsi="Arial" w:cs="Arial"/>
          <w:color w:val="000000" w:themeColor="text1"/>
        </w:rPr>
        <w:t xml:space="preserve">JAMA </w:t>
      </w:r>
      <w:proofErr w:type="spellStart"/>
      <w:r w:rsidRPr="00650F61">
        <w:rPr>
          <w:rFonts w:ascii="Arial" w:hAnsi="Arial" w:cs="Arial"/>
          <w:color w:val="000000" w:themeColor="text1"/>
        </w:rPr>
        <w:t>Cardiol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[Internet]. 27 de julho de 2020 [citado 8 de setembro de 2020]; Disponível em: </w:t>
      </w:r>
      <w:hyperlink r:id="rId14" w:tgtFrame="_blank" w:history="1">
        <w:r w:rsidRPr="00650F61">
          <w:rPr>
            <w:rFonts w:ascii="Arial" w:hAnsi="Arial" w:cs="Arial"/>
            <w:color w:val="000000" w:themeColor="text1"/>
            <w:u w:val="single"/>
            <w:bdr w:val="none" w:sz="0" w:space="0" w:color="auto" w:frame="1"/>
          </w:rPr>
          <w:t>https://jamanetwork.com/journals/jamacardiology/fullarticle/2768916</w:t>
        </w:r>
      </w:hyperlink>
    </w:p>
    <w:p w14:paraId="0E261CEE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  <w:lang w:val="en-US"/>
        </w:rPr>
      </w:pPr>
      <w:r w:rsidRPr="00650F61">
        <w:rPr>
          <w:rFonts w:ascii="Arial" w:hAnsi="Arial" w:cs="Arial"/>
          <w:lang w:val="en-US"/>
        </w:rPr>
        <w:t xml:space="preserve">Rajpal S, Tong MS, Borchers J, Zareba KM, </w:t>
      </w:r>
      <w:proofErr w:type="spellStart"/>
      <w:r w:rsidRPr="00650F61">
        <w:rPr>
          <w:rFonts w:ascii="Arial" w:hAnsi="Arial" w:cs="Arial"/>
          <w:lang w:val="en-US"/>
        </w:rPr>
        <w:t>Obarski</w:t>
      </w:r>
      <w:proofErr w:type="spellEnd"/>
      <w:r w:rsidRPr="00650F61">
        <w:rPr>
          <w:rFonts w:ascii="Arial" w:hAnsi="Arial" w:cs="Arial"/>
          <w:lang w:val="en-US"/>
        </w:rPr>
        <w:t xml:space="preserve"> TP, Simonetti OP, et al. Cardiovascular Magnetic Resonance Findings in Competitive Athletes Recovering </w:t>
      </w:r>
      <w:proofErr w:type="gramStart"/>
      <w:r w:rsidRPr="00650F61">
        <w:rPr>
          <w:rFonts w:ascii="Arial" w:hAnsi="Arial" w:cs="Arial"/>
          <w:lang w:val="en-US"/>
        </w:rPr>
        <w:t>From</w:t>
      </w:r>
      <w:proofErr w:type="gramEnd"/>
      <w:r w:rsidRPr="00650F61">
        <w:rPr>
          <w:rFonts w:ascii="Arial" w:hAnsi="Arial" w:cs="Arial"/>
          <w:lang w:val="en-US"/>
        </w:rPr>
        <w:t xml:space="preserve"> COVID-19 Infection. JAMA </w:t>
      </w:r>
      <w:proofErr w:type="spellStart"/>
      <w:r w:rsidRPr="00650F61">
        <w:rPr>
          <w:rFonts w:ascii="Arial" w:hAnsi="Arial" w:cs="Arial"/>
          <w:lang w:val="en-US"/>
        </w:rPr>
        <w:t>Cardiol</w:t>
      </w:r>
      <w:proofErr w:type="spellEnd"/>
      <w:r w:rsidRPr="00650F61">
        <w:rPr>
          <w:rFonts w:ascii="Arial" w:hAnsi="Arial" w:cs="Arial"/>
          <w:lang w:val="en-US"/>
        </w:rPr>
        <w:t xml:space="preserve"> [Internet]. 2020 Sep 11; Available from: </w:t>
      </w:r>
      <w:hyperlink r:id="rId15" w:history="1">
        <w:r w:rsidRPr="00650F61">
          <w:rPr>
            <w:rStyle w:val="Hyperlink"/>
            <w:rFonts w:ascii="Arial" w:hAnsi="Arial" w:cs="Arial"/>
            <w:color w:val="000000" w:themeColor="text1"/>
            <w:lang w:val="en-US"/>
          </w:rPr>
          <w:t>https://jamanetwork.com/journals/jamacardiology/fullarticle/2770645</w:t>
        </w:r>
      </w:hyperlink>
    </w:p>
    <w:p w14:paraId="6730977F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  <w:lang w:val="en-US"/>
        </w:rPr>
      </w:pPr>
      <w:r w:rsidRPr="00650F61">
        <w:rPr>
          <w:rFonts w:ascii="Arial" w:hAnsi="Arial" w:cs="Arial"/>
          <w:lang w:val="en-US"/>
        </w:rPr>
        <w:t xml:space="preserve">Daniels CJ, Rajpal S, Greenshields JT, Rosenthal GL, Chung EH, </w:t>
      </w:r>
      <w:proofErr w:type="spellStart"/>
      <w:r w:rsidRPr="00650F61">
        <w:rPr>
          <w:rFonts w:ascii="Arial" w:hAnsi="Arial" w:cs="Arial"/>
          <w:lang w:val="en-US"/>
        </w:rPr>
        <w:t>Terrin</w:t>
      </w:r>
      <w:proofErr w:type="spellEnd"/>
      <w:r w:rsidRPr="00650F61">
        <w:rPr>
          <w:rFonts w:ascii="Arial" w:hAnsi="Arial" w:cs="Arial"/>
          <w:lang w:val="en-US"/>
        </w:rPr>
        <w:t xml:space="preserve"> M, et al. Prevalence of Clinical and Subclinical Myocarditis in Competitive Athletes </w:t>
      </w:r>
      <w:proofErr w:type="gramStart"/>
      <w:r w:rsidRPr="00650F61">
        <w:rPr>
          <w:rFonts w:ascii="Arial" w:hAnsi="Arial" w:cs="Arial"/>
          <w:lang w:val="en-US"/>
        </w:rPr>
        <w:t>With</w:t>
      </w:r>
      <w:proofErr w:type="gramEnd"/>
      <w:r w:rsidRPr="00650F61">
        <w:rPr>
          <w:rFonts w:ascii="Arial" w:hAnsi="Arial" w:cs="Arial"/>
          <w:lang w:val="en-US"/>
        </w:rPr>
        <w:t xml:space="preserve"> Recent SARS-CoV-2 Infection: Results From the Big Ten COVID-19 Cardiac Registry. JAMA </w:t>
      </w:r>
      <w:proofErr w:type="spellStart"/>
      <w:r w:rsidRPr="00650F61">
        <w:rPr>
          <w:rFonts w:ascii="Arial" w:hAnsi="Arial" w:cs="Arial"/>
          <w:lang w:val="en-US"/>
        </w:rPr>
        <w:t>Cardiol</w:t>
      </w:r>
      <w:proofErr w:type="spellEnd"/>
      <w:r w:rsidRPr="00650F61">
        <w:rPr>
          <w:rFonts w:ascii="Arial" w:hAnsi="Arial" w:cs="Arial"/>
          <w:lang w:val="en-US"/>
        </w:rPr>
        <w:t>. 1</w:t>
      </w:r>
      <w:r w:rsidRPr="00650F61">
        <w:rPr>
          <w:rFonts w:ascii="Arial" w:hAnsi="Arial" w:cs="Arial"/>
          <w:vertAlign w:val="superscript"/>
          <w:lang w:val="en-US"/>
        </w:rPr>
        <w:t>o</w:t>
      </w:r>
      <w:r w:rsidRPr="00650F61">
        <w:rPr>
          <w:rFonts w:ascii="Arial" w:hAnsi="Arial" w:cs="Arial"/>
          <w:lang w:val="en-US"/>
        </w:rPr>
        <w:t xml:space="preserve"> de </w:t>
      </w:r>
      <w:proofErr w:type="spellStart"/>
      <w:r w:rsidRPr="00650F61">
        <w:rPr>
          <w:rFonts w:ascii="Arial" w:hAnsi="Arial" w:cs="Arial"/>
          <w:lang w:val="en-US"/>
        </w:rPr>
        <w:t>setembro</w:t>
      </w:r>
      <w:proofErr w:type="spellEnd"/>
      <w:r w:rsidRPr="00650F61">
        <w:rPr>
          <w:rFonts w:ascii="Arial" w:hAnsi="Arial" w:cs="Arial"/>
          <w:lang w:val="en-US"/>
        </w:rPr>
        <w:t xml:space="preserve"> de 2021;6(9):1078.</w:t>
      </w:r>
    </w:p>
    <w:p w14:paraId="4E30D673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  <w:lang w:val="en-US"/>
        </w:rPr>
      </w:pPr>
      <w:r w:rsidRPr="00650F61">
        <w:rPr>
          <w:rFonts w:ascii="Arial" w:hAnsi="Arial" w:cs="Arial"/>
          <w:lang w:val="en-US"/>
        </w:rPr>
        <w:t xml:space="preserve">Kim JY, Han K, Suh YJ. Prevalence of abnormal cardiovascular magnetic resonance findings in recovered patients from COVID-19: a systematic review and meta-analysis. J Cardiovasc </w:t>
      </w:r>
      <w:proofErr w:type="spellStart"/>
      <w:r w:rsidRPr="00650F61">
        <w:rPr>
          <w:rFonts w:ascii="Arial" w:hAnsi="Arial" w:cs="Arial"/>
          <w:lang w:val="en-US"/>
        </w:rPr>
        <w:t>Magn</w:t>
      </w:r>
      <w:proofErr w:type="spellEnd"/>
      <w:r w:rsidRPr="00650F61">
        <w:rPr>
          <w:rFonts w:ascii="Arial" w:hAnsi="Arial" w:cs="Arial"/>
          <w:lang w:val="en-US"/>
        </w:rPr>
        <w:t xml:space="preserve"> </w:t>
      </w:r>
      <w:proofErr w:type="spellStart"/>
      <w:r w:rsidRPr="00650F61">
        <w:rPr>
          <w:rFonts w:ascii="Arial" w:hAnsi="Arial" w:cs="Arial"/>
          <w:lang w:val="en-US"/>
        </w:rPr>
        <w:t>Reson</w:t>
      </w:r>
      <w:proofErr w:type="spellEnd"/>
      <w:r w:rsidRPr="00650F61">
        <w:rPr>
          <w:rFonts w:ascii="Arial" w:hAnsi="Arial" w:cs="Arial"/>
          <w:lang w:val="en-US"/>
        </w:rPr>
        <w:t xml:space="preserve">. </w:t>
      </w:r>
      <w:proofErr w:type="spellStart"/>
      <w:r w:rsidRPr="00650F61">
        <w:rPr>
          <w:rFonts w:ascii="Arial" w:hAnsi="Arial" w:cs="Arial"/>
          <w:lang w:val="en-US"/>
        </w:rPr>
        <w:t>dezembro</w:t>
      </w:r>
      <w:proofErr w:type="spellEnd"/>
      <w:r w:rsidRPr="00650F61">
        <w:rPr>
          <w:rFonts w:ascii="Arial" w:hAnsi="Arial" w:cs="Arial"/>
          <w:lang w:val="en-US"/>
        </w:rPr>
        <w:t xml:space="preserve"> de 2021;23(1):100.</w:t>
      </w:r>
    </w:p>
    <w:p w14:paraId="429FE886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line="360" w:lineRule="auto"/>
        <w:ind w:left="360" w:right="96"/>
        <w:jc w:val="both"/>
        <w:rPr>
          <w:rFonts w:ascii="Arial" w:hAnsi="Arial" w:cs="Arial"/>
          <w:color w:val="000000" w:themeColor="text1"/>
        </w:rPr>
      </w:pPr>
      <w:r w:rsidRPr="00650F61">
        <w:rPr>
          <w:rFonts w:ascii="Arial" w:hAnsi="Arial" w:cs="Arial"/>
          <w:color w:val="000000"/>
          <w:shd w:val="clear" w:color="auto" w:fill="FFFFFF"/>
          <w:lang w:val="en-US"/>
        </w:rPr>
        <w:t>World Health Organization. </w:t>
      </w:r>
      <w:r w:rsidRPr="00650F61">
        <w:rPr>
          <w:rFonts w:ascii="Arial" w:hAnsi="Arial" w:cs="Arial"/>
          <w:iCs/>
          <w:color w:val="000000"/>
          <w:lang w:val="en-US"/>
        </w:rPr>
        <w:t>A clinical case definition of post COVID-19 condition by a Delphi consensus [Internet</w:t>
      </w:r>
      <w:r w:rsidRPr="00650F61">
        <w:rPr>
          <w:rFonts w:ascii="Arial" w:hAnsi="Arial" w:cs="Arial"/>
          <w:iCs/>
          <w:color w:val="000000"/>
          <w:shd w:val="clear" w:color="auto" w:fill="FFFFFF"/>
          <w:lang w:val="en-US"/>
        </w:rPr>
        <w:t>].</w:t>
      </w:r>
      <w:r w:rsidRPr="00650F61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650F61">
        <w:rPr>
          <w:rFonts w:ascii="Arial" w:hAnsi="Arial" w:cs="Arial"/>
          <w:color w:val="000000"/>
          <w:shd w:val="clear" w:color="auto" w:fill="FFFFFF"/>
        </w:rPr>
        <w:t xml:space="preserve">6 de outubro de 2021 </w:t>
      </w:r>
      <w:proofErr w:type="gramStart"/>
      <w:r w:rsidRPr="00650F61">
        <w:rPr>
          <w:rFonts w:ascii="Arial" w:hAnsi="Arial" w:cs="Arial"/>
          <w:color w:val="000000"/>
          <w:shd w:val="clear" w:color="auto" w:fill="FFFFFF"/>
        </w:rPr>
        <w:t>[Citado</w:t>
      </w:r>
      <w:proofErr w:type="gramEnd"/>
      <w:r w:rsidRPr="00650F61">
        <w:rPr>
          <w:rFonts w:ascii="Arial" w:hAnsi="Arial" w:cs="Arial"/>
          <w:color w:val="000000"/>
          <w:shd w:val="clear" w:color="auto" w:fill="FFFFFF"/>
        </w:rPr>
        <w:t xml:space="preserve"> 12 de outubro de 2021]; Disponível em: </w:t>
      </w:r>
      <w:r w:rsidRPr="00650F61">
        <w:rPr>
          <w:rFonts w:ascii="Arial" w:hAnsi="Arial" w:cs="Arial"/>
          <w:color w:val="000000"/>
          <w:u w:val="single"/>
          <w:shd w:val="clear" w:color="auto" w:fill="FFFFFF"/>
        </w:rPr>
        <w:t>https://www.who.int/publications/i/item/WHO-2019-nCoV-Post_COVID-19_condition-Clinical_case_definition-2021.1</w:t>
      </w:r>
    </w:p>
    <w:p w14:paraId="0BA821FE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650F61">
        <w:rPr>
          <w:rFonts w:ascii="Arial" w:hAnsi="Arial" w:cs="Arial"/>
          <w:lang w:val="en-US"/>
        </w:rPr>
        <w:t>Drezner</w:t>
      </w:r>
      <w:proofErr w:type="spellEnd"/>
      <w:r w:rsidRPr="00650F61">
        <w:rPr>
          <w:rFonts w:ascii="Arial" w:hAnsi="Arial" w:cs="Arial"/>
          <w:lang w:val="en-US"/>
        </w:rPr>
        <w:t xml:space="preserve"> JA, Sharma S, </w:t>
      </w:r>
      <w:proofErr w:type="spellStart"/>
      <w:r w:rsidRPr="00650F61">
        <w:rPr>
          <w:rFonts w:ascii="Arial" w:hAnsi="Arial" w:cs="Arial"/>
          <w:lang w:val="en-US"/>
        </w:rPr>
        <w:t>Baggish</w:t>
      </w:r>
      <w:proofErr w:type="spellEnd"/>
      <w:r w:rsidRPr="00650F61">
        <w:rPr>
          <w:rFonts w:ascii="Arial" w:hAnsi="Arial" w:cs="Arial"/>
          <w:lang w:val="en-US"/>
        </w:rPr>
        <w:t xml:space="preserve"> A, Papadakis M, Wilson MG, </w:t>
      </w:r>
      <w:proofErr w:type="spellStart"/>
      <w:r w:rsidRPr="00650F61">
        <w:rPr>
          <w:rFonts w:ascii="Arial" w:hAnsi="Arial" w:cs="Arial"/>
          <w:lang w:val="en-US"/>
        </w:rPr>
        <w:t>Prutkin</w:t>
      </w:r>
      <w:proofErr w:type="spellEnd"/>
      <w:r w:rsidRPr="00650F61">
        <w:rPr>
          <w:rFonts w:ascii="Arial" w:hAnsi="Arial" w:cs="Arial"/>
          <w:lang w:val="en-US"/>
        </w:rPr>
        <w:t xml:space="preserve"> JM, et al. </w:t>
      </w:r>
      <w:proofErr w:type="gramStart"/>
      <w:r w:rsidRPr="00650F61">
        <w:rPr>
          <w:rFonts w:ascii="Arial" w:hAnsi="Arial" w:cs="Arial"/>
          <w:lang w:val="en-US"/>
        </w:rPr>
        <w:t>International</w:t>
      </w:r>
      <w:proofErr w:type="gramEnd"/>
      <w:r w:rsidRPr="00650F61">
        <w:rPr>
          <w:rFonts w:ascii="Arial" w:hAnsi="Arial" w:cs="Arial"/>
          <w:lang w:val="en-US"/>
        </w:rPr>
        <w:t xml:space="preserve"> criteria for electrocardiographic interpretation in athletes: Consensus statement. Br J Sports Med. </w:t>
      </w:r>
      <w:proofErr w:type="spellStart"/>
      <w:r w:rsidRPr="00650F61">
        <w:rPr>
          <w:rFonts w:ascii="Arial" w:hAnsi="Arial" w:cs="Arial"/>
          <w:lang w:val="en-US"/>
        </w:rPr>
        <w:t>maio</w:t>
      </w:r>
      <w:proofErr w:type="spellEnd"/>
      <w:r w:rsidRPr="00650F61">
        <w:rPr>
          <w:rFonts w:ascii="Arial" w:hAnsi="Arial" w:cs="Arial"/>
          <w:lang w:val="en-US"/>
        </w:rPr>
        <w:t xml:space="preserve"> de 2017;51(9):704–31.</w:t>
      </w:r>
    </w:p>
    <w:p w14:paraId="4C2CC16C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650F61">
        <w:rPr>
          <w:rFonts w:ascii="Arial" w:hAnsi="Arial" w:cs="Arial"/>
          <w:color w:val="000000" w:themeColor="text1"/>
        </w:rPr>
        <w:t>Meneghelo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RS, </w:t>
      </w:r>
      <w:proofErr w:type="spellStart"/>
      <w:r w:rsidRPr="00650F61">
        <w:rPr>
          <w:rFonts w:ascii="Arial" w:hAnsi="Arial" w:cs="Arial"/>
          <w:color w:val="000000" w:themeColor="text1"/>
        </w:rPr>
        <w:t>Araújo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CGS, Stein R, </w:t>
      </w:r>
      <w:proofErr w:type="spellStart"/>
      <w:r w:rsidRPr="00650F61">
        <w:rPr>
          <w:rFonts w:ascii="Arial" w:hAnsi="Arial" w:cs="Arial"/>
          <w:color w:val="000000" w:themeColor="text1"/>
        </w:rPr>
        <w:t>Mastrocolla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LE, Albuquerque PF, Serra SM et al/Sociedade Brasileira de Cardiologia. III Diretrizes da Sociedade Brasileira de Cardiologia sobre Teste </w:t>
      </w:r>
      <w:proofErr w:type="spellStart"/>
      <w:r w:rsidRPr="00650F61">
        <w:rPr>
          <w:rFonts w:ascii="Arial" w:hAnsi="Arial" w:cs="Arial"/>
          <w:color w:val="000000" w:themeColor="text1"/>
        </w:rPr>
        <w:t>Ergométrico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650F61">
        <w:rPr>
          <w:rFonts w:ascii="Arial" w:hAnsi="Arial" w:cs="Arial"/>
          <w:color w:val="000000" w:themeColor="text1"/>
        </w:rPr>
        <w:t>Arq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50F61">
        <w:rPr>
          <w:rFonts w:ascii="Arial" w:hAnsi="Arial" w:cs="Arial"/>
          <w:color w:val="000000" w:themeColor="text1"/>
        </w:rPr>
        <w:t>Bras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50F61">
        <w:rPr>
          <w:rFonts w:ascii="Arial" w:hAnsi="Arial" w:cs="Arial"/>
          <w:color w:val="000000" w:themeColor="text1"/>
        </w:rPr>
        <w:t>Cardiol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2010; 95(5 supl.1): 1-26.</w:t>
      </w:r>
    </w:p>
    <w:p w14:paraId="6C053641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Style w:val="Hyperlink"/>
          <w:rFonts w:ascii="Arial" w:hAnsi="Arial" w:cs="Arial"/>
          <w:color w:val="000000" w:themeColor="text1"/>
        </w:rPr>
      </w:pP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Herdy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AH, </w:t>
      </w: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Caixeta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A. Brazilian Cardiorespiratory Fitness Classification Based on Maximum Oxygen Consumption. </w:t>
      </w:r>
      <w:r w:rsidRPr="00650F61">
        <w:rPr>
          <w:rFonts w:ascii="Arial" w:hAnsi="Arial" w:cs="Arial"/>
          <w:color w:val="000000" w:themeColor="text1"/>
        </w:rPr>
        <w:t xml:space="preserve">Arquivos Brasileiros de Cardiologia [Internet]. 2016 [citado 11 de outubro de 2021]; Disponível em: </w:t>
      </w:r>
      <w:hyperlink r:id="rId16" w:history="1">
        <w:r w:rsidRPr="00650F61">
          <w:rPr>
            <w:rStyle w:val="Hyperlink"/>
            <w:rFonts w:ascii="Arial" w:hAnsi="Arial" w:cs="Arial"/>
            <w:color w:val="000000" w:themeColor="text1"/>
          </w:rPr>
          <w:t>https://www.scielo.br/scielo.php?script=sci_arttext&amp;pid=S0066-782X2016000500389</w:t>
        </w:r>
      </w:hyperlink>
    </w:p>
    <w:p w14:paraId="1EFF5CA4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</w:rPr>
      </w:pP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Clerkin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KJ, Fried JA, </w:t>
      </w: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Raikhelkar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J, Sayer G, Griffin JM, </w:t>
      </w: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Masoumi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A, et al. </w:t>
      </w:r>
      <w:r w:rsidRPr="00650F61">
        <w:rPr>
          <w:rFonts w:ascii="Arial" w:hAnsi="Arial" w:cs="Arial"/>
          <w:color w:val="000000" w:themeColor="text1"/>
        </w:rPr>
        <w:t xml:space="preserve">COVID-19 and </w:t>
      </w:r>
      <w:proofErr w:type="gramStart"/>
      <w:r w:rsidRPr="00650F61">
        <w:rPr>
          <w:rFonts w:ascii="Arial" w:hAnsi="Arial" w:cs="Arial"/>
          <w:color w:val="000000" w:themeColor="text1"/>
        </w:rPr>
        <w:t xml:space="preserve">Cardiovascular </w:t>
      </w:r>
      <w:proofErr w:type="spellStart"/>
      <w:r w:rsidRPr="00650F61">
        <w:rPr>
          <w:rFonts w:ascii="Arial" w:hAnsi="Arial" w:cs="Arial"/>
          <w:color w:val="000000" w:themeColor="text1"/>
        </w:rPr>
        <w:t>Disease</w:t>
      </w:r>
      <w:proofErr w:type="spellEnd"/>
      <w:proofErr w:type="gramEnd"/>
      <w:r w:rsidRPr="00650F61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650F61">
        <w:rPr>
          <w:rFonts w:ascii="Arial" w:hAnsi="Arial" w:cs="Arial"/>
          <w:color w:val="000000" w:themeColor="text1"/>
        </w:rPr>
        <w:t>Circulation</w:t>
      </w:r>
      <w:proofErr w:type="spellEnd"/>
      <w:r w:rsidRPr="00650F61">
        <w:rPr>
          <w:rFonts w:ascii="Arial" w:hAnsi="Arial" w:cs="Arial"/>
          <w:color w:val="000000" w:themeColor="text1"/>
        </w:rPr>
        <w:t>. 19 de maio de 2020;141(20):1648–55.</w:t>
      </w:r>
    </w:p>
    <w:p w14:paraId="4591D153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</w:rPr>
      </w:pPr>
      <w:r w:rsidRPr="00650F61">
        <w:rPr>
          <w:rFonts w:ascii="Arial" w:hAnsi="Arial" w:cs="Arial"/>
          <w:color w:val="000000" w:themeColor="text1"/>
          <w:lang w:val="en-US"/>
        </w:rPr>
        <w:t xml:space="preserve">Zheng Y-Y, Ma Y-T, Zhang J-Y, </w:t>
      </w:r>
      <w:proofErr w:type="spellStart"/>
      <w:r w:rsidRPr="00650F61">
        <w:rPr>
          <w:rFonts w:ascii="Arial" w:hAnsi="Arial" w:cs="Arial"/>
          <w:color w:val="000000" w:themeColor="text1"/>
          <w:lang w:val="en-US"/>
        </w:rPr>
        <w:t>Xie</w:t>
      </w:r>
      <w:proofErr w:type="spellEnd"/>
      <w:r w:rsidRPr="00650F61">
        <w:rPr>
          <w:rFonts w:ascii="Arial" w:hAnsi="Arial" w:cs="Arial"/>
          <w:color w:val="000000" w:themeColor="text1"/>
          <w:lang w:val="en-US"/>
        </w:rPr>
        <w:t xml:space="preserve"> X. COVID-19 and the cardiovascular system. </w:t>
      </w:r>
      <w:r w:rsidRPr="00650F61">
        <w:rPr>
          <w:rFonts w:ascii="Arial" w:hAnsi="Arial" w:cs="Arial"/>
          <w:color w:val="000000" w:themeColor="text1"/>
        </w:rPr>
        <w:t xml:space="preserve">Nat </w:t>
      </w:r>
      <w:proofErr w:type="spellStart"/>
      <w:r w:rsidRPr="00650F61">
        <w:rPr>
          <w:rFonts w:ascii="Arial" w:hAnsi="Arial" w:cs="Arial"/>
          <w:color w:val="000000" w:themeColor="text1"/>
        </w:rPr>
        <w:t>Rev</w:t>
      </w:r>
      <w:proofErr w:type="spellEnd"/>
      <w:r w:rsidRPr="00650F6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50F61">
        <w:rPr>
          <w:rFonts w:ascii="Arial" w:hAnsi="Arial" w:cs="Arial"/>
          <w:color w:val="000000" w:themeColor="text1"/>
        </w:rPr>
        <w:t>Cardiol</w:t>
      </w:r>
      <w:proofErr w:type="spellEnd"/>
      <w:r w:rsidRPr="00650F61">
        <w:rPr>
          <w:rFonts w:ascii="Arial" w:hAnsi="Arial" w:cs="Arial"/>
          <w:color w:val="000000" w:themeColor="text1"/>
        </w:rPr>
        <w:t>. maio de 2020;17(5):259–60.</w:t>
      </w:r>
    </w:p>
    <w:p w14:paraId="06183D84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650F61">
        <w:rPr>
          <w:rFonts w:ascii="Arial" w:hAnsi="Arial" w:cs="Arial"/>
        </w:rPr>
        <w:lastRenderedPageBreak/>
        <w:t>Małek</w:t>
      </w:r>
      <w:proofErr w:type="spellEnd"/>
      <w:r w:rsidRPr="00650F61">
        <w:rPr>
          <w:rFonts w:ascii="Arial" w:hAnsi="Arial" w:cs="Arial"/>
        </w:rPr>
        <w:t xml:space="preserve"> ŁA, </w:t>
      </w:r>
      <w:proofErr w:type="spellStart"/>
      <w:r w:rsidRPr="00650F61">
        <w:rPr>
          <w:rFonts w:ascii="Arial" w:hAnsi="Arial" w:cs="Arial"/>
        </w:rPr>
        <w:t>Marczak</w:t>
      </w:r>
      <w:proofErr w:type="spellEnd"/>
      <w:r w:rsidRPr="00650F61">
        <w:rPr>
          <w:rFonts w:ascii="Arial" w:hAnsi="Arial" w:cs="Arial"/>
        </w:rPr>
        <w:t xml:space="preserve"> M, </w:t>
      </w:r>
      <w:proofErr w:type="spellStart"/>
      <w:r w:rsidRPr="00650F61">
        <w:rPr>
          <w:rFonts w:ascii="Arial" w:hAnsi="Arial" w:cs="Arial"/>
        </w:rPr>
        <w:t>Miłosz</w:t>
      </w:r>
      <w:r w:rsidRPr="00650F61">
        <w:rPr>
          <w:rFonts w:ascii="Cambria Math" w:hAnsi="Cambria Math" w:cs="Cambria Math"/>
        </w:rPr>
        <w:t>‐</w:t>
      </w:r>
      <w:r w:rsidRPr="00650F61">
        <w:rPr>
          <w:rFonts w:ascii="Arial" w:hAnsi="Arial" w:cs="Arial"/>
        </w:rPr>
        <w:t>Wieczorek</w:t>
      </w:r>
      <w:proofErr w:type="spellEnd"/>
      <w:r w:rsidRPr="00650F61">
        <w:rPr>
          <w:rFonts w:ascii="Arial" w:hAnsi="Arial" w:cs="Arial"/>
        </w:rPr>
        <w:t xml:space="preserve"> B, </w:t>
      </w:r>
      <w:proofErr w:type="spellStart"/>
      <w:r w:rsidRPr="00650F61">
        <w:rPr>
          <w:rFonts w:ascii="Arial" w:hAnsi="Arial" w:cs="Arial"/>
        </w:rPr>
        <w:t>Konopka</w:t>
      </w:r>
      <w:proofErr w:type="spellEnd"/>
      <w:r w:rsidRPr="00650F61">
        <w:rPr>
          <w:rFonts w:ascii="Arial" w:hAnsi="Arial" w:cs="Arial"/>
        </w:rPr>
        <w:t xml:space="preserve"> M, </w:t>
      </w:r>
      <w:proofErr w:type="spellStart"/>
      <w:r w:rsidRPr="00650F61">
        <w:rPr>
          <w:rFonts w:ascii="Arial" w:hAnsi="Arial" w:cs="Arial"/>
        </w:rPr>
        <w:t>Braksator</w:t>
      </w:r>
      <w:proofErr w:type="spellEnd"/>
      <w:r w:rsidRPr="00650F61">
        <w:rPr>
          <w:rFonts w:ascii="Arial" w:hAnsi="Arial" w:cs="Arial"/>
        </w:rPr>
        <w:t xml:space="preserve"> W, </w:t>
      </w:r>
      <w:proofErr w:type="spellStart"/>
      <w:r w:rsidRPr="00650F61">
        <w:rPr>
          <w:rFonts w:ascii="Arial" w:hAnsi="Arial" w:cs="Arial"/>
        </w:rPr>
        <w:t>Drygas</w:t>
      </w:r>
      <w:proofErr w:type="spellEnd"/>
      <w:r w:rsidRPr="00650F61">
        <w:rPr>
          <w:rFonts w:ascii="Arial" w:hAnsi="Arial" w:cs="Arial"/>
        </w:rPr>
        <w:t xml:space="preserve"> W, et al. </w:t>
      </w:r>
      <w:r w:rsidRPr="00650F61">
        <w:rPr>
          <w:rFonts w:ascii="Arial" w:hAnsi="Arial" w:cs="Arial"/>
          <w:lang w:val="en-US"/>
        </w:rPr>
        <w:t>Cardiac involvement in consecutive elite athletes recovered from Covid</w:t>
      </w:r>
      <w:r w:rsidRPr="00650F61">
        <w:rPr>
          <w:rFonts w:ascii="Cambria Math" w:hAnsi="Cambria Math" w:cs="Cambria Math"/>
          <w:lang w:val="en-US"/>
        </w:rPr>
        <w:t>‐</w:t>
      </w:r>
      <w:r w:rsidRPr="00650F61">
        <w:rPr>
          <w:rFonts w:ascii="Arial" w:hAnsi="Arial" w:cs="Arial"/>
          <w:lang w:val="en-US"/>
        </w:rPr>
        <w:t xml:space="preserve">19: A magnetic resonance study. J </w:t>
      </w:r>
      <w:proofErr w:type="spellStart"/>
      <w:r w:rsidRPr="00650F61">
        <w:rPr>
          <w:rFonts w:ascii="Arial" w:hAnsi="Arial" w:cs="Arial"/>
          <w:lang w:val="en-US"/>
        </w:rPr>
        <w:t>Magn</w:t>
      </w:r>
      <w:proofErr w:type="spellEnd"/>
      <w:r w:rsidRPr="00650F61">
        <w:rPr>
          <w:rFonts w:ascii="Arial" w:hAnsi="Arial" w:cs="Arial"/>
          <w:lang w:val="en-US"/>
        </w:rPr>
        <w:t xml:space="preserve"> </w:t>
      </w:r>
      <w:proofErr w:type="spellStart"/>
      <w:r w:rsidRPr="00650F61">
        <w:rPr>
          <w:rFonts w:ascii="Arial" w:hAnsi="Arial" w:cs="Arial"/>
          <w:lang w:val="en-US"/>
        </w:rPr>
        <w:t>Reson</w:t>
      </w:r>
      <w:proofErr w:type="spellEnd"/>
      <w:r w:rsidRPr="00650F61">
        <w:rPr>
          <w:rFonts w:ascii="Arial" w:hAnsi="Arial" w:cs="Arial"/>
          <w:lang w:val="en-US"/>
        </w:rPr>
        <w:t xml:space="preserve"> Imaging. </w:t>
      </w:r>
      <w:proofErr w:type="spellStart"/>
      <w:r w:rsidRPr="00650F61">
        <w:rPr>
          <w:rFonts w:ascii="Arial" w:hAnsi="Arial" w:cs="Arial"/>
          <w:lang w:val="en-US"/>
        </w:rPr>
        <w:t>junho</w:t>
      </w:r>
      <w:proofErr w:type="spellEnd"/>
      <w:r w:rsidRPr="00650F61">
        <w:rPr>
          <w:rFonts w:ascii="Arial" w:hAnsi="Arial" w:cs="Arial"/>
          <w:lang w:val="en-US"/>
        </w:rPr>
        <w:t xml:space="preserve"> de 2021;53(6):1723–9.</w:t>
      </w:r>
    </w:p>
    <w:p w14:paraId="6AFC94B1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650F61">
        <w:rPr>
          <w:rFonts w:ascii="Arial" w:hAnsi="Arial" w:cs="Arial"/>
        </w:rPr>
        <w:t>Gualano</w:t>
      </w:r>
      <w:proofErr w:type="spellEnd"/>
      <w:r w:rsidRPr="00650F61">
        <w:rPr>
          <w:rFonts w:ascii="Arial" w:hAnsi="Arial" w:cs="Arial"/>
        </w:rPr>
        <w:t xml:space="preserve"> B, Brito GM, Pinto AJ, Lemes IR, Matos LDNJ, de Sá Pinto AL, et al. </w:t>
      </w:r>
      <w:r w:rsidRPr="00650F61">
        <w:rPr>
          <w:rFonts w:ascii="Arial" w:hAnsi="Arial" w:cs="Arial"/>
          <w:lang w:val="en-US"/>
        </w:rPr>
        <w:t xml:space="preserve">High SARS-CoV-2 infection rate after resuming professional football in São Paulo, Brazil. Br J Sports Med. 5 de </w:t>
      </w:r>
      <w:proofErr w:type="spellStart"/>
      <w:r w:rsidRPr="00650F61">
        <w:rPr>
          <w:rFonts w:ascii="Arial" w:hAnsi="Arial" w:cs="Arial"/>
          <w:lang w:val="en-US"/>
        </w:rPr>
        <w:t>julho</w:t>
      </w:r>
      <w:proofErr w:type="spellEnd"/>
      <w:r w:rsidRPr="00650F61">
        <w:rPr>
          <w:rFonts w:ascii="Arial" w:hAnsi="Arial" w:cs="Arial"/>
          <w:lang w:val="en-US"/>
        </w:rPr>
        <w:t xml:space="preserve"> de </w:t>
      </w:r>
      <w:proofErr w:type="gramStart"/>
      <w:r w:rsidRPr="00650F61">
        <w:rPr>
          <w:rFonts w:ascii="Arial" w:hAnsi="Arial" w:cs="Arial"/>
          <w:lang w:val="en-US"/>
        </w:rPr>
        <w:t>2021;bjsports</w:t>
      </w:r>
      <w:proofErr w:type="gramEnd"/>
      <w:r w:rsidRPr="00650F61">
        <w:rPr>
          <w:rFonts w:ascii="Arial" w:hAnsi="Arial" w:cs="Arial"/>
          <w:lang w:val="en-US"/>
        </w:rPr>
        <w:t>-2021-104431.</w:t>
      </w:r>
    </w:p>
    <w:p w14:paraId="76E13CCA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650F61">
        <w:rPr>
          <w:rFonts w:ascii="Arial" w:hAnsi="Arial" w:cs="Arial"/>
        </w:rPr>
        <w:t>Gervasi</w:t>
      </w:r>
      <w:proofErr w:type="spellEnd"/>
      <w:r w:rsidRPr="00650F61">
        <w:rPr>
          <w:rFonts w:ascii="Arial" w:hAnsi="Arial" w:cs="Arial"/>
        </w:rPr>
        <w:t xml:space="preserve"> SF, </w:t>
      </w:r>
      <w:proofErr w:type="spellStart"/>
      <w:r w:rsidRPr="00650F61">
        <w:rPr>
          <w:rFonts w:ascii="Arial" w:hAnsi="Arial" w:cs="Arial"/>
        </w:rPr>
        <w:t>Pengue</w:t>
      </w:r>
      <w:proofErr w:type="spellEnd"/>
      <w:r w:rsidRPr="00650F61">
        <w:rPr>
          <w:rFonts w:ascii="Arial" w:hAnsi="Arial" w:cs="Arial"/>
        </w:rPr>
        <w:t xml:space="preserve"> L, </w:t>
      </w:r>
      <w:proofErr w:type="spellStart"/>
      <w:r w:rsidRPr="00650F61">
        <w:rPr>
          <w:rFonts w:ascii="Arial" w:hAnsi="Arial" w:cs="Arial"/>
        </w:rPr>
        <w:t>Damato</w:t>
      </w:r>
      <w:proofErr w:type="spellEnd"/>
      <w:r w:rsidRPr="00650F61">
        <w:rPr>
          <w:rFonts w:ascii="Arial" w:hAnsi="Arial" w:cs="Arial"/>
        </w:rPr>
        <w:t xml:space="preserve"> L, </w:t>
      </w:r>
      <w:proofErr w:type="spellStart"/>
      <w:r w:rsidRPr="00650F61">
        <w:rPr>
          <w:rFonts w:ascii="Arial" w:hAnsi="Arial" w:cs="Arial"/>
        </w:rPr>
        <w:t>Monti</w:t>
      </w:r>
      <w:proofErr w:type="spellEnd"/>
      <w:r w:rsidRPr="00650F61">
        <w:rPr>
          <w:rFonts w:ascii="Arial" w:hAnsi="Arial" w:cs="Arial"/>
        </w:rPr>
        <w:t xml:space="preserve"> R, </w:t>
      </w:r>
      <w:proofErr w:type="spellStart"/>
      <w:r w:rsidRPr="00650F61">
        <w:rPr>
          <w:rFonts w:ascii="Arial" w:hAnsi="Arial" w:cs="Arial"/>
        </w:rPr>
        <w:t>Pradella</w:t>
      </w:r>
      <w:proofErr w:type="spellEnd"/>
      <w:r w:rsidRPr="00650F61">
        <w:rPr>
          <w:rFonts w:ascii="Arial" w:hAnsi="Arial" w:cs="Arial"/>
        </w:rPr>
        <w:t xml:space="preserve"> S, </w:t>
      </w:r>
      <w:proofErr w:type="spellStart"/>
      <w:r w:rsidRPr="00650F61">
        <w:rPr>
          <w:rFonts w:ascii="Arial" w:hAnsi="Arial" w:cs="Arial"/>
        </w:rPr>
        <w:t>Pirronti</w:t>
      </w:r>
      <w:proofErr w:type="spellEnd"/>
      <w:r w:rsidRPr="00650F61">
        <w:rPr>
          <w:rFonts w:ascii="Arial" w:hAnsi="Arial" w:cs="Arial"/>
        </w:rPr>
        <w:t xml:space="preserve"> T, et al. </w:t>
      </w:r>
      <w:r w:rsidRPr="00650F61">
        <w:rPr>
          <w:rFonts w:ascii="Arial" w:hAnsi="Arial" w:cs="Arial"/>
          <w:lang w:val="en-US"/>
        </w:rPr>
        <w:t xml:space="preserve">Is extensive cardiopulmonary screening useful in athletes with previous asymptomatic or mild SARS-CoV-2 infection? Br J Sports Med. </w:t>
      </w:r>
      <w:proofErr w:type="spellStart"/>
      <w:r w:rsidRPr="00650F61">
        <w:rPr>
          <w:rFonts w:ascii="Arial" w:hAnsi="Arial" w:cs="Arial"/>
          <w:lang w:val="en-US"/>
        </w:rPr>
        <w:t>janeiro</w:t>
      </w:r>
      <w:proofErr w:type="spellEnd"/>
      <w:r w:rsidRPr="00650F61">
        <w:rPr>
          <w:rFonts w:ascii="Arial" w:hAnsi="Arial" w:cs="Arial"/>
          <w:lang w:val="en-US"/>
        </w:rPr>
        <w:t xml:space="preserve"> de 2021;55(1):54–61.</w:t>
      </w:r>
    </w:p>
    <w:p w14:paraId="39E60034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  <w:lang w:val="en-US"/>
        </w:rPr>
      </w:pPr>
      <w:r w:rsidRPr="00650F61">
        <w:rPr>
          <w:rFonts w:ascii="Arial" w:hAnsi="Arial" w:cs="Arial"/>
        </w:rPr>
        <w:t xml:space="preserve">Di Toro A, </w:t>
      </w:r>
      <w:proofErr w:type="spellStart"/>
      <w:r w:rsidRPr="00650F61">
        <w:rPr>
          <w:rFonts w:ascii="Arial" w:hAnsi="Arial" w:cs="Arial"/>
        </w:rPr>
        <w:t>Bozzani</w:t>
      </w:r>
      <w:proofErr w:type="spellEnd"/>
      <w:r w:rsidRPr="00650F61">
        <w:rPr>
          <w:rFonts w:ascii="Arial" w:hAnsi="Arial" w:cs="Arial"/>
        </w:rPr>
        <w:t xml:space="preserve"> A, </w:t>
      </w:r>
      <w:proofErr w:type="spellStart"/>
      <w:r w:rsidRPr="00650F61">
        <w:rPr>
          <w:rFonts w:ascii="Arial" w:hAnsi="Arial" w:cs="Arial"/>
        </w:rPr>
        <w:t>Tavazzi</w:t>
      </w:r>
      <w:proofErr w:type="spellEnd"/>
      <w:r w:rsidRPr="00650F61">
        <w:rPr>
          <w:rFonts w:ascii="Arial" w:hAnsi="Arial" w:cs="Arial"/>
        </w:rPr>
        <w:t xml:space="preserve"> G, </w:t>
      </w:r>
      <w:proofErr w:type="spellStart"/>
      <w:r w:rsidRPr="00650F61">
        <w:rPr>
          <w:rFonts w:ascii="Arial" w:hAnsi="Arial" w:cs="Arial"/>
        </w:rPr>
        <w:t>Urtis</w:t>
      </w:r>
      <w:proofErr w:type="spellEnd"/>
      <w:r w:rsidRPr="00650F61">
        <w:rPr>
          <w:rFonts w:ascii="Arial" w:hAnsi="Arial" w:cs="Arial"/>
        </w:rPr>
        <w:t xml:space="preserve"> M, Giuliani L, </w:t>
      </w:r>
      <w:proofErr w:type="spellStart"/>
      <w:r w:rsidRPr="00650F61">
        <w:rPr>
          <w:rFonts w:ascii="Arial" w:hAnsi="Arial" w:cs="Arial"/>
        </w:rPr>
        <w:t>Pizzoccheri</w:t>
      </w:r>
      <w:proofErr w:type="spellEnd"/>
      <w:r w:rsidRPr="00650F61">
        <w:rPr>
          <w:rFonts w:ascii="Arial" w:hAnsi="Arial" w:cs="Arial"/>
        </w:rPr>
        <w:t xml:space="preserve"> R, et al. </w:t>
      </w:r>
      <w:r w:rsidRPr="00650F61">
        <w:rPr>
          <w:rFonts w:ascii="Arial" w:hAnsi="Arial" w:cs="Arial"/>
          <w:lang w:val="en-US"/>
        </w:rPr>
        <w:t xml:space="preserve">Long COVID: long-term effects? European Heart Journal Supplements. 9 de </w:t>
      </w:r>
      <w:proofErr w:type="spellStart"/>
      <w:r w:rsidRPr="00650F61">
        <w:rPr>
          <w:rFonts w:ascii="Arial" w:hAnsi="Arial" w:cs="Arial"/>
          <w:lang w:val="en-US"/>
        </w:rPr>
        <w:t>outubro</w:t>
      </w:r>
      <w:proofErr w:type="spellEnd"/>
      <w:r w:rsidRPr="00650F61">
        <w:rPr>
          <w:rFonts w:ascii="Arial" w:hAnsi="Arial" w:cs="Arial"/>
          <w:lang w:val="en-US"/>
        </w:rPr>
        <w:t xml:space="preserve"> de 2021;23(</w:t>
      </w:r>
      <w:proofErr w:type="spellStart"/>
      <w:r w:rsidRPr="00650F61">
        <w:rPr>
          <w:rFonts w:ascii="Arial" w:hAnsi="Arial" w:cs="Arial"/>
          <w:lang w:val="en-US"/>
        </w:rPr>
        <w:t>Supplement_E</w:t>
      </w:r>
      <w:proofErr w:type="spellEnd"/>
      <w:proofErr w:type="gramStart"/>
      <w:r w:rsidRPr="00650F61">
        <w:rPr>
          <w:rFonts w:ascii="Arial" w:hAnsi="Arial" w:cs="Arial"/>
          <w:lang w:val="en-US"/>
        </w:rPr>
        <w:t>):E</w:t>
      </w:r>
      <w:proofErr w:type="gramEnd"/>
      <w:r w:rsidRPr="00650F61">
        <w:rPr>
          <w:rFonts w:ascii="Arial" w:hAnsi="Arial" w:cs="Arial"/>
          <w:lang w:val="en-US"/>
        </w:rPr>
        <w:t>1–5.</w:t>
      </w:r>
    </w:p>
    <w:p w14:paraId="47A2973E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  <w:lang w:val="en-US"/>
        </w:rPr>
      </w:pPr>
      <w:r w:rsidRPr="00650F61">
        <w:rPr>
          <w:rFonts w:ascii="Arial" w:hAnsi="Arial" w:cs="Arial"/>
          <w:lang w:val="en-US"/>
        </w:rPr>
        <w:t xml:space="preserve">Clark DE, Parikh A, Dendy JM, Diamond AB, George-Durrett K, Fish FA, et al. COVID-19 Myocardial Pathology Evaluation in Athletes </w:t>
      </w:r>
      <w:proofErr w:type="gramStart"/>
      <w:r w:rsidRPr="00650F61">
        <w:rPr>
          <w:rFonts w:ascii="Arial" w:hAnsi="Arial" w:cs="Arial"/>
          <w:lang w:val="en-US"/>
        </w:rPr>
        <w:t>With</w:t>
      </w:r>
      <w:proofErr w:type="gramEnd"/>
      <w:r w:rsidRPr="00650F61">
        <w:rPr>
          <w:rFonts w:ascii="Arial" w:hAnsi="Arial" w:cs="Arial"/>
          <w:lang w:val="en-US"/>
        </w:rPr>
        <w:t xml:space="preserve"> Cardiac Magnetic Resonance (COMPETE CMR). Circulation. 9 de </w:t>
      </w:r>
      <w:proofErr w:type="spellStart"/>
      <w:r w:rsidRPr="00650F61">
        <w:rPr>
          <w:rFonts w:ascii="Arial" w:hAnsi="Arial" w:cs="Arial"/>
          <w:lang w:val="en-US"/>
        </w:rPr>
        <w:t>fevereiro</w:t>
      </w:r>
      <w:proofErr w:type="spellEnd"/>
      <w:r w:rsidRPr="00650F61">
        <w:rPr>
          <w:rFonts w:ascii="Arial" w:hAnsi="Arial" w:cs="Arial"/>
          <w:lang w:val="en-US"/>
        </w:rPr>
        <w:t xml:space="preserve"> de 2021;143(6):609–12.</w:t>
      </w:r>
    </w:p>
    <w:p w14:paraId="439102E2" w14:textId="77777777" w:rsidR="006072CE" w:rsidRPr="00650F61" w:rsidRDefault="006072CE" w:rsidP="006072CE">
      <w:pPr>
        <w:pStyle w:val="PargrafodaLista"/>
        <w:numPr>
          <w:ilvl w:val="0"/>
          <w:numId w:val="1"/>
        </w:numPr>
        <w:spacing w:after="240" w:line="360" w:lineRule="auto"/>
        <w:ind w:left="360" w:right="96"/>
        <w:jc w:val="both"/>
        <w:rPr>
          <w:rFonts w:ascii="Arial" w:hAnsi="Arial" w:cs="Arial"/>
          <w:color w:val="000000" w:themeColor="text1"/>
        </w:rPr>
      </w:pPr>
      <w:r w:rsidRPr="00650F61">
        <w:rPr>
          <w:rFonts w:ascii="Arial" w:hAnsi="Arial" w:cs="Arial"/>
        </w:rPr>
        <w:t xml:space="preserve">Sara L, </w:t>
      </w:r>
      <w:proofErr w:type="spellStart"/>
      <w:r w:rsidRPr="00650F61">
        <w:rPr>
          <w:rFonts w:ascii="Arial" w:hAnsi="Arial" w:cs="Arial"/>
        </w:rPr>
        <w:t>Szarf</w:t>
      </w:r>
      <w:proofErr w:type="spellEnd"/>
      <w:r w:rsidRPr="00650F61">
        <w:rPr>
          <w:rFonts w:ascii="Arial" w:hAnsi="Arial" w:cs="Arial"/>
        </w:rPr>
        <w:t xml:space="preserve"> G, </w:t>
      </w:r>
      <w:proofErr w:type="spellStart"/>
      <w:r w:rsidRPr="00650F61">
        <w:rPr>
          <w:rFonts w:ascii="Arial" w:hAnsi="Arial" w:cs="Arial"/>
        </w:rPr>
        <w:t>Tachibana</w:t>
      </w:r>
      <w:proofErr w:type="spellEnd"/>
      <w:r w:rsidRPr="00650F61">
        <w:rPr>
          <w:rFonts w:ascii="Arial" w:hAnsi="Arial" w:cs="Arial"/>
        </w:rPr>
        <w:t xml:space="preserve"> A, </w:t>
      </w:r>
      <w:proofErr w:type="spellStart"/>
      <w:r w:rsidRPr="00650F61">
        <w:rPr>
          <w:rFonts w:ascii="Arial" w:hAnsi="Arial" w:cs="Arial"/>
        </w:rPr>
        <w:t>Shiozaki</w:t>
      </w:r>
      <w:proofErr w:type="spellEnd"/>
      <w:r w:rsidRPr="00650F61">
        <w:rPr>
          <w:rFonts w:ascii="Arial" w:hAnsi="Arial" w:cs="Arial"/>
        </w:rPr>
        <w:t xml:space="preserve"> A, Villa A, Oliveira A, et al. II Diretriz de Ressonância Magnética e Tomografia Computadorizada Cardiovascular da Sociedade Brasileira de Cardiologia e do Colégio Brasileiro de Radiologia. Arquivos Brasileiros de Cardiologia [Internet]. 2014 [citado 12 de outubro de 2021];103(6). Disponível em: </w:t>
      </w:r>
      <w:hyperlink r:id="rId17" w:history="1">
        <w:r w:rsidRPr="00650F61">
          <w:rPr>
            <w:rFonts w:ascii="Arial" w:hAnsi="Arial" w:cs="Arial"/>
            <w:color w:val="000000" w:themeColor="text1"/>
            <w:u w:val="single"/>
          </w:rPr>
          <w:t>https://www.scielo.br/scielo.php?script=sci_arttext&amp;pid=S0066-782X2014003300001</w:t>
        </w:r>
      </w:hyperlink>
    </w:p>
    <w:p w14:paraId="19CAADA7" w14:textId="77777777" w:rsidR="00A174B7" w:rsidRDefault="00D62209"/>
    <w:sectPr w:rsidR="00A174B7" w:rsidSect="005800D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E0727"/>
    <w:multiLevelType w:val="hybridMultilevel"/>
    <w:tmpl w:val="AEBCF9A2"/>
    <w:lvl w:ilvl="0" w:tplc="533A39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CE"/>
    <w:rsid w:val="00077FC5"/>
    <w:rsid w:val="000D51FE"/>
    <w:rsid w:val="002601E2"/>
    <w:rsid w:val="0032203F"/>
    <w:rsid w:val="005800D4"/>
    <w:rsid w:val="006072CE"/>
    <w:rsid w:val="00644CB4"/>
    <w:rsid w:val="00650F61"/>
    <w:rsid w:val="006F17A9"/>
    <w:rsid w:val="00736305"/>
    <w:rsid w:val="00836AB8"/>
    <w:rsid w:val="00AF79C9"/>
    <w:rsid w:val="00BC5F9F"/>
    <w:rsid w:val="00D62209"/>
    <w:rsid w:val="00E65F51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B7B4"/>
  <w15:chartTrackingRefBased/>
  <w15:docId w15:val="{5AC7E446-FA24-DB49-9C9C-A038C48A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CE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072CE"/>
    <w:pPr>
      <w:keepNext/>
      <w:keepLines/>
      <w:jc w:val="both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72CE"/>
    <w:rPr>
      <w:rFonts w:ascii="Times New Roman" w:eastAsiaTheme="majorEastAsia" w:hAnsi="Times New Roman" w:cstheme="majorBidi"/>
      <w:b/>
      <w:color w:val="000000" w:themeColor="text1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072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72CE"/>
    <w:rPr>
      <w:color w:val="0563C1" w:themeColor="hyperlink"/>
      <w:u w:val="single"/>
    </w:rPr>
  </w:style>
  <w:style w:type="character" w:customStyle="1" w:styleId="ts-alignment-element">
    <w:name w:val="ts-alignment-element"/>
    <w:basedOn w:val="Fontepargpadro"/>
    <w:rsid w:val="0065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revista.derc.org.br/RevDERC_2020_26_2_10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gnresearch.org/doi/10.5935/abc.20190048" TargetMode="External"/><Relationship Id="rId17" Type="http://schemas.openxmlformats.org/officeDocument/2006/relationships/hyperlink" Target="https://www.scielo.br/scielo.php?script=sci_arttext&amp;pid=S0066-782X201400330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lo.br/scielo.php?script=sci_arttext&amp;pid=S0066-782X201600050038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who.int/publications/i/item/WHO-2019-nCoV-clinical-2021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amanetwork.com/journals/jamacardiology/fullarticle/2770645" TargetMode="External"/><Relationship Id="rId10" Type="http://schemas.openxmlformats.org/officeDocument/2006/relationships/hyperlink" Target="https://covid19.who.in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jamanetwork.com/journals/jamacardiology/fullarticle/276891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02A1C4-2DCD-034D-8DB5-0C8C7F64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5630</Words>
  <Characters>30402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de Almeida Laranjeira</dc:creator>
  <cp:keywords/>
  <dc:description/>
  <cp:lastModifiedBy>Antonio da Silva Menezes Junior</cp:lastModifiedBy>
  <cp:revision>2</cp:revision>
  <dcterms:created xsi:type="dcterms:W3CDTF">2021-12-20T11:33:00Z</dcterms:created>
  <dcterms:modified xsi:type="dcterms:W3CDTF">2021-12-20T11:33:00Z</dcterms:modified>
</cp:coreProperties>
</file>