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4281" w14:textId="77777777" w:rsidR="00487C90" w:rsidRPr="00487C90" w:rsidRDefault="00487C90" w:rsidP="00487C90">
      <w:pPr>
        <w:spacing w:afterLines="120" w:after="288" w:line="276" w:lineRule="auto"/>
        <w:ind w:firstLine="284"/>
        <w:jc w:val="center"/>
        <w:rPr>
          <w:rFonts w:ascii="Arial" w:hAnsi="Arial" w:cs="Arial"/>
          <w:b/>
        </w:rPr>
      </w:pPr>
      <w:r w:rsidRPr="00487C90">
        <w:rPr>
          <w:rFonts w:ascii="Arial" w:hAnsi="Arial" w:cs="Arial"/>
          <w:b/>
        </w:rPr>
        <w:t>PONTIFÍCIA UNIVERSIDADE CATÓLICA DE GOIÁS</w:t>
      </w:r>
    </w:p>
    <w:p w14:paraId="57C515E5" w14:textId="742F2AFF" w:rsidR="00487C90" w:rsidRPr="00487C90" w:rsidRDefault="00487C90" w:rsidP="00487C90">
      <w:pPr>
        <w:spacing w:afterLines="120" w:after="288" w:line="276" w:lineRule="auto"/>
        <w:ind w:firstLine="284"/>
        <w:jc w:val="center"/>
        <w:rPr>
          <w:rFonts w:ascii="Arial" w:hAnsi="Arial" w:cs="Arial"/>
          <w:b/>
        </w:rPr>
      </w:pPr>
      <w:r w:rsidRPr="00487C90">
        <w:rPr>
          <w:rFonts w:ascii="Arial" w:hAnsi="Arial" w:cs="Arial"/>
          <w:b/>
        </w:rPr>
        <w:t>ESCOLA DE CIÊNCIAS MÉ</w:t>
      </w:r>
      <w:r w:rsidR="001D76B1">
        <w:rPr>
          <w:rFonts w:ascii="Arial" w:hAnsi="Arial" w:cs="Arial"/>
          <w:b/>
        </w:rPr>
        <w:t>DI</w:t>
      </w:r>
      <w:r w:rsidRPr="00487C90">
        <w:rPr>
          <w:rFonts w:ascii="Arial" w:hAnsi="Arial" w:cs="Arial"/>
          <w:b/>
        </w:rPr>
        <w:t>CAS</w:t>
      </w:r>
      <w:r w:rsidR="001D76B1">
        <w:rPr>
          <w:rFonts w:ascii="Arial" w:hAnsi="Arial" w:cs="Arial"/>
          <w:b/>
        </w:rPr>
        <w:t xml:space="preserve"> E DA VIDA</w:t>
      </w:r>
    </w:p>
    <w:p w14:paraId="3EE5D386" w14:textId="77777777" w:rsidR="00487C90" w:rsidRPr="00487C90" w:rsidRDefault="00487C90" w:rsidP="00487C90">
      <w:pPr>
        <w:spacing w:afterLines="120" w:after="288" w:line="276" w:lineRule="auto"/>
        <w:ind w:firstLine="284"/>
        <w:jc w:val="center"/>
        <w:rPr>
          <w:rFonts w:ascii="Arial" w:hAnsi="Arial" w:cs="Arial"/>
          <w:b/>
        </w:rPr>
      </w:pPr>
      <w:r w:rsidRPr="00487C90">
        <w:rPr>
          <w:rFonts w:ascii="Arial" w:hAnsi="Arial" w:cs="Arial"/>
          <w:b/>
        </w:rPr>
        <w:t>CURSO DE MEDICINA</w:t>
      </w:r>
    </w:p>
    <w:p w14:paraId="11F093A6" w14:textId="77777777" w:rsidR="00487C90" w:rsidRPr="00487C90" w:rsidRDefault="00487C90" w:rsidP="00487C90">
      <w:pPr>
        <w:spacing w:afterLines="120" w:after="288" w:line="276" w:lineRule="auto"/>
        <w:ind w:firstLine="284"/>
        <w:jc w:val="center"/>
        <w:rPr>
          <w:rFonts w:ascii="Arial" w:hAnsi="Arial" w:cs="Arial"/>
          <w:b/>
        </w:rPr>
      </w:pPr>
    </w:p>
    <w:p w14:paraId="555D0438" w14:textId="77777777" w:rsidR="00487C90" w:rsidRPr="00487C90" w:rsidRDefault="00487C90" w:rsidP="00487C90">
      <w:pPr>
        <w:spacing w:afterLines="120" w:after="288" w:line="276" w:lineRule="auto"/>
        <w:ind w:firstLine="284"/>
        <w:jc w:val="center"/>
        <w:rPr>
          <w:rFonts w:ascii="Arial" w:hAnsi="Arial" w:cs="Arial"/>
          <w:b/>
        </w:rPr>
      </w:pPr>
    </w:p>
    <w:p w14:paraId="6C77CC08" w14:textId="77777777" w:rsidR="00487C90" w:rsidRPr="00487C90" w:rsidRDefault="00487C90" w:rsidP="00487C90">
      <w:pPr>
        <w:spacing w:afterLines="120" w:after="288" w:line="276" w:lineRule="auto"/>
        <w:ind w:firstLine="284"/>
        <w:jc w:val="center"/>
        <w:rPr>
          <w:rFonts w:ascii="Arial" w:hAnsi="Arial" w:cs="Arial"/>
          <w:b/>
        </w:rPr>
      </w:pPr>
    </w:p>
    <w:p w14:paraId="4ADB3A21" w14:textId="77777777" w:rsidR="00487C90" w:rsidRPr="00487C90" w:rsidRDefault="00487C90" w:rsidP="00487C90">
      <w:pPr>
        <w:spacing w:afterLines="120" w:after="288" w:line="276" w:lineRule="auto"/>
        <w:ind w:firstLine="284"/>
        <w:jc w:val="center"/>
        <w:rPr>
          <w:rFonts w:ascii="Arial" w:hAnsi="Arial" w:cs="Arial"/>
          <w:b/>
        </w:rPr>
      </w:pPr>
    </w:p>
    <w:p w14:paraId="5751DB21" w14:textId="77777777" w:rsidR="00487C90" w:rsidRPr="00487C90" w:rsidRDefault="00487C90" w:rsidP="00487C90">
      <w:pPr>
        <w:spacing w:afterLines="120" w:after="288" w:line="276" w:lineRule="auto"/>
        <w:ind w:firstLine="284"/>
        <w:jc w:val="both"/>
        <w:rPr>
          <w:rFonts w:ascii="Arial" w:hAnsi="Arial" w:cs="Arial"/>
          <w:b/>
          <w:sz w:val="28"/>
          <w:szCs w:val="28"/>
        </w:rPr>
      </w:pPr>
    </w:p>
    <w:p w14:paraId="4CDD0D86" w14:textId="77777777" w:rsidR="00487C90" w:rsidRPr="00A756D1" w:rsidRDefault="00487C90" w:rsidP="00487C90">
      <w:pPr>
        <w:tabs>
          <w:tab w:val="left" w:pos="7515"/>
        </w:tabs>
        <w:spacing w:afterLines="120" w:after="288" w:line="276" w:lineRule="auto"/>
        <w:ind w:firstLine="284"/>
        <w:jc w:val="center"/>
        <w:rPr>
          <w:rFonts w:ascii="Arial" w:hAnsi="Arial" w:cs="Arial"/>
          <w:b/>
          <w:sz w:val="8"/>
          <w:szCs w:val="20"/>
          <w:lang w:val="pt-BR"/>
        </w:rPr>
      </w:pPr>
      <w:r w:rsidRPr="00A756D1">
        <w:rPr>
          <w:rFonts w:ascii="Arial" w:hAnsi="Arial" w:cs="Arial"/>
          <w:b/>
          <w:bCs/>
          <w:sz w:val="28"/>
          <w:szCs w:val="28"/>
          <w:lang w:val="pt-BR"/>
        </w:rPr>
        <w:t>Perfil do uso de descongestionantes nasais tópicos entre estudantes de Medicina da PUC Goiás</w:t>
      </w:r>
    </w:p>
    <w:p w14:paraId="79265843" w14:textId="77777777" w:rsidR="00487C90" w:rsidRPr="00487C90" w:rsidRDefault="00487C90" w:rsidP="00487C90">
      <w:pPr>
        <w:spacing w:afterLines="120" w:after="288" w:line="276" w:lineRule="auto"/>
        <w:ind w:firstLine="284"/>
        <w:jc w:val="center"/>
        <w:rPr>
          <w:rFonts w:ascii="Arial" w:hAnsi="Arial" w:cs="Arial"/>
          <w:b/>
          <w:sz w:val="28"/>
          <w:szCs w:val="28"/>
        </w:rPr>
      </w:pPr>
    </w:p>
    <w:p w14:paraId="4F14E984" w14:textId="27EF1FB3" w:rsidR="00487C90" w:rsidRPr="00487C90" w:rsidRDefault="00487C90" w:rsidP="00487C90">
      <w:pPr>
        <w:spacing w:afterLines="120" w:after="288" w:line="276" w:lineRule="auto"/>
        <w:ind w:left="4820" w:firstLine="284"/>
        <w:jc w:val="both"/>
        <w:rPr>
          <w:rFonts w:ascii="Arial" w:hAnsi="Arial" w:cs="Arial"/>
          <w:b/>
          <w:lang w:val="pt-BR"/>
        </w:rPr>
      </w:pPr>
      <w:r>
        <w:rPr>
          <w:rFonts w:ascii="Arial" w:hAnsi="Arial" w:cs="Arial"/>
          <w:b/>
          <w:lang w:val="pt-BR"/>
        </w:rPr>
        <w:t>GEOVANA OLIVEIRA DE PAULA</w:t>
      </w:r>
    </w:p>
    <w:p w14:paraId="704F4B6F" w14:textId="25FB886E" w:rsidR="00487C90" w:rsidRPr="00487C90" w:rsidRDefault="00487C90" w:rsidP="00487C90">
      <w:pPr>
        <w:spacing w:afterLines="120" w:after="288" w:line="276" w:lineRule="auto"/>
        <w:ind w:left="4820" w:firstLine="284"/>
        <w:jc w:val="both"/>
        <w:rPr>
          <w:rFonts w:ascii="Arial" w:hAnsi="Arial" w:cs="Arial"/>
          <w:b/>
          <w:lang w:val="pt-BR"/>
        </w:rPr>
      </w:pPr>
      <w:r w:rsidRPr="00487C90">
        <w:rPr>
          <w:rFonts w:ascii="Arial" w:hAnsi="Arial" w:cs="Arial"/>
          <w:b/>
        </w:rPr>
        <w:t>LORENA TASSARA QUIRINO VIEIRA</w:t>
      </w:r>
    </w:p>
    <w:p w14:paraId="2D0DE367" w14:textId="77777777" w:rsidR="00487C90" w:rsidRPr="00487C90" w:rsidRDefault="00487C90" w:rsidP="00487C90">
      <w:pPr>
        <w:spacing w:afterLines="120" w:after="288" w:line="276" w:lineRule="auto"/>
        <w:ind w:firstLine="284"/>
        <w:jc w:val="right"/>
        <w:rPr>
          <w:rFonts w:ascii="Arial" w:hAnsi="Arial" w:cs="Arial"/>
          <w:b/>
          <w:lang w:val="pt-BR"/>
        </w:rPr>
      </w:pPr>
    </w:p>
    <w:p w14:paraId="08D9A67C" w14:textId="77777777" w:rsidR="00487C90" w:rsidRPr="00487C90" w:rsidRDefault="00487C90" w:rsidP="00487C90">
      <w:pPr>
        <w:spacing w:afterLines="120" w:after="288" w:line="276" w:lineRule="auto"/>
        <w:ind w:firstLine="284"/>
        <w:jc w:val="right"/>
        <w:rPr>
          <w:rFonts w:ascii="Arial" w:hAnsi="Arial" w:cs="Arial"/>
          <w:b/>
          <w:lang w:val="pt-BR"/>
        </w:rPr>
      </w:pPr>
    </w:p>
    <w:p w14:paraId="20D4A224" w14:textId="77777777" w:rsidR="00487C90" w:rsidRPr="00487C90" w:rsidRDefault="00487C90" w:rsidP="00487C90">
      <w:pPr>
        <w:spacing w:afterLines="120" w:after="288" w:line="276" w:lineRule="auto"/>
        <w:ind w:firstLine="284"/>
        <w:jc w:val="right"/>
        <w:rPr>
          <w:rFonts w:ascii="Arial" w:hAnsi="Arial" w:cs="Arial"/>
          <w:b/>
          <w:lang w:val="pt-BR"/>
        </w:rPr>
      </w:pPr>
    </w:p>
    <w:p w14:paraId="185CF04F" w14:textId="77777777" w:rsidR="00487C90" w:rsidRPr="00487C90" w:rsidRDefault="00487C90" w:rsidP="00487C90">
      <w:pPr>
        <w:spacing w:afterLines="120" w:after="288" w:line="276" w:lineRule="auto"/>
        <w:ind w:firstLine="284"/>
        <w:jc w:val="right"/>
        <w:rPr>
          <w:rFonts w:ascii="Arial" w:hAnsi="Arial" w:cs="Arial"/>
          <w:b/>
          <w:lang w:val="pt-BR"/>
        </w:rPr>
      </w:pPr>
    </w:p>
    <w:p w14:paraId="1C10F346" w14:textId="77777777" w:rsidR="00487C90" w:rsidRPr="00487C90" w:rsidRDefault="00487C90" w:rsidP="00487C90">
      <w:pPr>
        <w:spacing w:afterLines="120" w:after="288" w:line="276" w:lineRule="auto"/>
        <w:rPr>
          <w:rFonts w:ascii="Arial" w:hAnsi="Arial" w:cs="Arial"/>
          <w:b/>
          <w:lang w:val="pt-BR"/>
        </w:rPr>
      </w:pPr>
    </w:p>
    <w:p w14:paraId="5151937A" w14:textId="77777777" w:rsidR="00487C90" w:rsidRPr="00487C90" w:rsidRDefault="00487C90" w:rsidP="00487C90">
      <w:pPr>
        <w:spacing w:afterLines="120" w:after="288" w:line="276" w:lineRule="auto"/>
        <w:ind w:firstLine="284"/>
        <w:jc w:val="right"/>
        <w:rPr>
          <w:rFonts w:ascii="Arial" w:hAnsi="Arial" w:cs="Arial"/>
          <w:b/>
          <w:lang w:val="pt-BR"/>
        </w:rPr>
      </w:pPr>
    </w:p>
    <w:p w14:paraId="57A231CB" w14:textId="77777777" w:rsidR="00487C90" w:rsidRPr="00487C90" w:rsidRDefault="00487C90" w:rsidP="00487C90">
      <w:pPr>
        <w:spacing w:afterLines="120" w:after="288" w:line="276" w:lineRule="auto"/>
        <w:rPr>
          <w:rFonts w:ascii="Arial" w:hAnsi="Arial" w:cs="Arial"/>
          <w:b/>
          <w:lang w:val="pt-BR"/>
        </w:rPr>
      </w:pPr>
    </w:p>
    <w:p w14:paraId="045D1DC1" w14:textId="77777777" w:rsidR="00487C90" w:rsidRPr="00487C90" w:rsidRDefault="00487C90" w:rsidP="00487C90">
      <w:pPr>
        <w:spacing w:afterLines="120" w:after="288" w:line="276" w:lineRule="auto"/>
        <w:ind w:firstLine="284"/>
        <w:jc w:val="center"/>
        <w:rPr>
          <w:rFonts w:ascii="Arial" w:hAnsi="Arial" w:cs="Arial"/>
          <w:b/>
          <w:lang w:val="pt-BR"/>
        </w:rPr>
      </w:pPr>
      <w:r w:rsidRPr="00487C90">
        <w:rPr>
          <w:rFonts w:ascii="Arial" w:hAnsi="Arial" w:cs="Arial"/>
          <w:b/>
          <w:lang w:val="pt-BR"/>
        </w:rPr>
        <w:t>GOIÂNIA – GO</w:t>
      </w:r>
    </w:p>
    <w:p w14:paraId="034B22E6" w14:textId="3F7F892E" w:rsidR="00487C90" w:rsidRPr="00487C90" w:rsidRDefault="00487C90" w:rsidP="00487C90">
      <w:pPr>
        <w:spacing w:afterLines="120" w:after="288" w:line="276" w:lineRule="auto"/>
        <w:ind w:firstLine="284"/>
        <w:jc w:val="center"/>
        <w:rPr>
          <w:rFonts w:ascii="Arial" w:hAnsi="Arial" w:cs="Arial"/>
          <w:b/>
          <w:sz w:val="28"/>
          <w:szCs w:val="28"/>
        </w:rPr>
      </w:pPr>
      <w:r w:rsidRPr="00487C90">
        <w:rPr>
          <w:rFonts w:ascii="Arial" w:hAnsi="Arial" w:cs="Arial"/>
          <w:b/>
          <w:sz w:val="28"/>
          <w:szCs w:val="28"/>
        </w:rPr>
        <w:t>20</w:t>
      </w:r>
      <w:r>
        <w:rPr>
          <w:rFonts w:ascii="Arial" w:hAnsi="Arial" w:cs="Arial"/>
          <w:b/>
          <w:sz w:val="28"/>
          <w:szCs w:val="28"/>
        </w:rPr>
        <w:t>21</w:t>
      </w:r>
    </w:p>
    <w:p w14:paraId="7486845A" w14:textId="77777777" w:rsidR="00487C90" w:rsidRPr="00487C90" w:rsidRDefault="00487C90" w:rsidP="00487C90">
      <w:pPr>
        <w:spacing w:afterLines="120" w:after="288" w:line="276" w:lineRule="auto"/>
        <w:ind w:firstLine="284"/>
        <w:jc w:val="center"/>
        <w:rPr>
          <w:rFonts w:ascii="Arial" w:hAnsi="Arial" w:cs="Arial"/>
          <w:b/>
        </w:rPr>
      </w:pPr>
      <w:r w:rsidRPr="00487C90">
        <w:rPr>
          <w:rFonts w:ascii="Arial" w:hAnsi="Arial" w:cs="Arial"/>
          <w:b/>
        </w:rPr>
        <w:t>CURSO DE MEDICINA</w:t>
      </w:r>
    </w:p>
    <w:p w14:paraId="679076BE" w14:textId="77777777" w:rsidR="00487C90" w:rsidRPr="00487C90" w:rsidRDefault="00487C90" w:rsidP="00487C90">
      <w:pPr>
        <w:spacing w:afterLines="120" w:after="288" w:line="276" w:lineRule="auto"/>
        <w:ind w:firstLine="284"/>
        <w:jc w:val="center"/>
        <w:rPr>
          <w:rFonts w:ascii="Arial" w:hAnsi="Arial" w:cs="Arial"/>
          <w:b/>
        </w:rPr>
      </w:pPr>
    </w:p>
    <w:p w14:paraId="2C284625" w14:textId="77777777" w:rsidR="00487C90" w:rsidRPr="00487C90" w:rsidRDefault="00487C90" w:rsidP="00487C90">
      <w:pPr>
        <w:spacing w:afterLines="120" w:after="288" w:line="276" w:lineRule="auto"/>
        <w:ind w:firstLine="284"/>
        <w:jc w:val="center"/>
        <w:rPr>
          <w:rFonts w:ascii="Arial" w:hAnsi="Arial" w:cs="Arial"/>
          <w:b/>
        </w:rPr>
      </w:pPr>
    </w:p>
    <w:p w14:paraId="2017BB3B" w14:textId="77777777" w:rsidR="00487C90" w:rsidRPr="00487C90" w:rsidRDefault="00487C90" w:rsidP="00487C90">
      <w:pPr>
        <w:spacing w:afterLines="120" w:after="288" w:line="276" w:lineRule="auto"/>
        <w:ind w:firstLine="284"/>
        <w:jc w:val="center"/>
        <w:rPr>
          <w:rFonts w:ascii="Arial" w:hAnsi="Arial" w:cs="Arial"/>
          <w:b/>
        </w:rPr>
      </w:pPr>
    </w:p>
    <w:p w14:paraId="49768C57" w14:textId="77777777" w:rsidR="00487C90" w:rsidRPr="00487C90" w:rsidRDefault="00487C90" w:rsidP="00487C90">
      <w:pPr>
        <w:spacing w:afterLines="120" w:after="288" w:line="276" w:lineRule="auto"/>
        <w:ind w:firstLine="284"/>
        <w:jc w:val="center"/>
        <w:rPr>
          <w:rFonts w:ascii="Arial" w:hAnsi="Arial" w:cs="Arial"/>
          <w:b/>
        </w:rPr>
      </w:pPr>
    </w:p>
    <w:p w14:paraId="63F2D180" w14:textId="77777777" w:rsidR="00487C90" w:rsidRPr="00487C90" w:rsidRDefault="00487C90" w:rsidP="00487C90">
      <w:pPr>
        <w:spacing w:afterLines="120" w:after="288" w:line="276" w:lineRule="auto"/>
        <w:ind w:firstLine="284"/>
        <w:jc w:val="both"/>
        <w:rPr>
          <w:rFonts w:ascii="Arial" w:hAnsi="Arial" w:cs="Arial"/>
          <w:b/>
          <w:sz w:val="28"/>
          <w:szCs w:val="28"/>
        </w:rPr>
      </w:pPr>
    </w:p>
    <w:p w14:paraId="1B6B2783" w14:textId="77777777" w:rsidR="00487C90" w:rsidRPr="00A756D1" w:rsidRDefault="00487C90" w:rsidP="00487C90">
      <w:pPr>
        <w:tabs>
          <w:tab w:val="left" w:pos="7515"/>
        </w:tabs>
        <w:spacing w:afterLines="120" w:after="288" w:line="276" w:lineRule="auto"/>
        <w:ind w:firstLine="284"/>
        <w:jc w:val="center"/>
        <w:rPr>
          <w:rFonts w:ascii="Arial" w:hAnsi="Arial" w:cs="Arial"/>
          <w:b/>
          <w:sz w:val="8"/>
          <w:szCs w:val="20"/>
          <w:lang w:val="pt-BR"/>
        </w:rPr>
      </w:pPr>
      <w:r w:rsidRPr="00A756D1">
        <w:rPr>
          <w:rFonts w:ascii="Arial" w:hAnsi="Arial" w:cs="Arial"/>
          <w:b/>
          <w:bCs/>
          <w:sz w:val="28"/>
          <w:szCs w:val="28"/>
          <w:lang w:val="pt-BR"/>
        </w:rPr>
        <w:t>Perfil do uso de descongestionantes nasais tópicos entre estudantes de Medicina da PUC Goiás</w:t>
      </w:r>
    </w:p>
    <w:p w14:paraId="671BB708" w14:textId="2AD3C23B" w:rsidR="00487C90" w:rsidRDefault="00487C90" w:rsidP="00487C90">
      <w:pPr>
        <w:spacing w:afterLines="120" w:after="288" w:line="276" w:lineRule="auto"/>
        <w:ind w:firstLine="284"/>
        <w:jc w:val="center"/>
        <w:rPr>
          <w:rFonts w:ascii="Arial" w:hAnsi="Arial" w:cs="Arial"/>
          <w:b/>
          <w:sz w:val="28"/>
          <w:szCs w:val="28"/>
        </w:rPr>
      </w:pPr>
    </w:p>
    <w:p w14:paraId="18CF1852" w14:textId="77777777" w:rsidR="00487C90" w:rsidRPr="00487C90" w:rsidRDefault="00487C90" w:rsidP="00487C90">
      <w:pPr>
        <w:spacing w:afterLines="120" w:after="288" w:line="276" w:lineRule="auto"/>
        <w:ind w:firstLine="284"/>
        <w:jc w:val="center"/>
        <w:rPr>
          <w:rFonts w:ascii="Arial" w:hAnsi="Arial" w:cs="Arial"/>
          <w:b/>
          <w:sz w:val="28"/>
          <w:szCs w:val="28"/>
        </w:rPr>
      </w:pPr>
    </w:p>
    <w:p w14:paraId="7B11C327" w14:textId="77777777" w:rsidR="00487C90" w:rsidRPr="00487C90" w:rsidRDefault="00487C90" w:rsidP="00487C90">
      <w:pPr>
        <w:spacing w:afterLines="120" w:after="288" w:line="276" w:lineRule="auto"/>
        <w:ind w:left="4820"/>
        <w:jc w:val="both"/>
        <w:rPr>
          <w:rFonts w:ascii="Arial" w:hAnsi="Arial" w:cs="Arial"/>
          <w:b/>
          <w:lang w:val="pt-BR"/>
        </w:rPr>
      </w:pPr>
      <w:r w:rsidRPr="00487C90">
        <w:rPr>
          <w:rFonts w:ascii="Arial" w:hAnsi="Arial" w:cs="Arial"/>
          <w:b/>
          <w:lang w:val="pt-BR"/>
        </w:rPr>
        <w:t>GEOVANA OLIVEIRA DE PAULA</w:t>
      </w:r>
    </w:p>
    <w:p w14:paraId="7378B284" w14:textId="77777777" w:rsidR="00487C90" w:rsidRPr="00487C90" w:rsidRDefault="00487C90" w:rsidP="00487C90">
      <w:pPr>
        <w:spacing w:afterLines="120" w:after="288" w:line="276" w:lineRule="auto"/>
        <w:ind w:left="4820"/>
        <w:jc w:val="both"/>
        <w:rPr>
          <w:rFonts w:ascii="Arial" w:hAnsi="Arial" w:cs="Arial"/>
          <w:b/>
          <w:lang w:val="pt-BR"/>
        </w:rPr>
      </w:pPr>
      <w:r w:rsidRPr="00487C90">
        <w:rPr>
          <w:rFonts w:ascii="Arial" w:hAnsi="Arial" w:cs="Arial"/>
          <w:b/>
        </w:rPr>
        <w:t>LORENA TASSARA QUIRINO VIEIRA</w:t>
      </w:r>
    </w:p>
    <w:p w14:paraId="3FFCB9C7" w14:textId="34473547" w:rsidR="00487C90" w:rsidRPr="00487C90" w:rsidRDefault="00487C90" w:rsidP="00487C90">
      <w:pPr>
        <w:spacing w:afterLines="120" w:after="288" w:line="276" w:lineRule="auto"/>
        <w:ind w:left="4820"/>
        <w:jc w:val="both"/>
        <w:rPr>
          <w:rFonts w:ascii="Arial" w:hAnsi="Arial" w:cs="Arial"/>
          <w:b/>
          <w:lang w:val="pt-BR"/>
        </w:rPr>
      </w:pPr>
      <w:r w:rsidRPr="00487C90">
        <w:rPr>
          <w:rFonts w:ascii="Arial" w:hAnsi="Arial" w:cs="Arial"/>
          <w:b/>
          <w:lang w:val="pt-BR"/>
        </w:rPr>
        <w:t xml:space="preserve">Trabalho de conclusão do curso de Medicina </w:t>
      </w:r>
      <w:r>
        <w:rPr>
          <w:rFonts w:ascii="Arial" w:hAnsi="Arial" w:cs="Arial"/>
          <w:b/>
          <w:lang w:val="pt-BR"/>
        </w:rPr>
        <w:t xml:space="preserve">       </w:t>
      </w:r>
      <w:r w:rsidRPr="00487C90">
        <w:rPr>
          <w:rFonts w:ascii="Arial" w:hAnsi="Arial" w:cs="Arial"/>
          <w:b/>
          <w:lang w:val="pt-BR"/>
        </w:rPr>
        <w:t>da Pontifícia Universidade Católica de Goiás</w:t>
      </w:r>
    </w:p>
    <w:p w14:paraId="5D6FE015" w14:textId="15C56E13" w:rsidR="00487C90" w:rsidRPr="00487C90" w:rsidRDefault="00487C90" w:rsidP="00487C90">
      <w:pPr>
        <w:spacing w:afterLines="120" w:after="288" w:line="276" w:lineRule="auto"/>
        <w:ind w:left="4820"/>
        <w:jc w:val="both"/>
        <w:rPr>
          <w:rFonts w:ascii="Arial" w:hAnsi="Arial" w:cs="Arial"/>
          <w:b/>
          <w:lang w:val="pt-BR"/>
        </w:rPr>
      </w:pPr>
      <w:r w:rsidRPr="00487C90">
        <w:rPr>
          <w:rFonts w:ascii="Arial" w:hAnsi="Arial" w:cs="Arial"/>
          <w:b/>
          <w:lang w:val="pt-BR"/>
        </w:rPr>
        <w:t>ORIENTADOR: Prof. Dr. Leonardo Luiz</w:t>
      </w:r>
      <w:r>
        <w:rPr>
          <w:rFonts w:ascii="Arial" w:hAnsi="Arial" w:cs="Arial"/>
          <w:b/>
          <w:lang w:val="pt-BR"/>
        </w:rPr>
        <w:t xml:space="preserve"> </w:t>
      </w:r>
      <w:r w:rsidRPr="00487C90">
        <w:rPr>
          <w:rFonts w:ascii="Arial" w:hAnsi="Arial" w:cs="Arial"/>
          <w:b/>
          <w:lang w:val="pt-BR"/>
        </w:rPr>
        <w:t xml:space="preserve">Borges </w:t>
      </w:r>
    </w:p>
    <w:p w14:paraId="27F468D6" w14:textId="77777777" w:rsidR="00487C90" w:rsidRPr="00487C90" w:rsidRDefault="00487C90" w:rsidP="00487C90">
      <w:pPr>
        <w:spacing w:afterLines="120" w:after="288" w:line="276" w:lineRule="auto"/>
        <w:ind w:firstLine="284"/>
        <w:jc w:val="right"/>
        <w:rPr>
          <w:rFonts w:ascii="Arial" w:hAnsi="Arial" w:cs="Arial"/>
          <w:b/>
          <w:lang w:val="pt-BR"/>
        </w:rPr>
      </w:pPr>
    </w:p>
    <w:p w14:paraId="6666A019" w14:textId="77777777" w:rsidR="00487C90" w:rsidRPr="00487C90" w:rsidRDefault="00487C90" w:rsidP="00487C90">
      <w:pPr>
        <w:spacing w:afterLines="120" w:after="288" w:line="276" w:lineRule="auto"/>
        <w:ind w:firstLine="284"/>
        <w:jc w:val="right"/>
        <w:rPr>
          <w:rFonts w:ascii="Arial" w:hAnsi="Arial" w:cs="Arial"/>
          <w:b/>
          <w:lang w:val="pt-BR"/>
        </w:rPr>
      </w:pPr>
    </w:p>
    <w:p w14:paraId="0A18CE6E" w14:textId="77777777" w:rsidR="00487C90" w:rsidRPr="00487C90" w:rsidRDefault="00487C90" w:rsidP="00487C90">
      <w:pPr>
        <w:spacing w:afterLines="120" w:after="288" w:line="276" w:lineRule="auto"/>
        <w:ind w:firstLine="284"/>
        <w:jc w:val="right"/>
        <w:rPr>
          <w:rFonts w:ascii="Arial" w:hAnsi="Arial" w:cs="Arial"/>
          <w:b/>
          <w:lang w:val="pt-BR"/>
        </w:rPr>
      </w:pPr>
    </w:p>
    <w:p w14:paraId="06332268" w14:textId="77777777" w:rsidR="00487C90" w:rsidRPr="00487C90" w:rsidRDefault="00487C90" w:rsidP="00487C90">
      <w:pPr>
        <w:spacing w:afterLines="120" w:after="288" w:line="276" w:lineRule="auto"/>
        <w:ind w:firstLine="284"/>
        <w:jc w:val="right"/>
        <w:rPr>
          <w:rFonts w:ascii="Arial" w:hAnsi="Arial" w:cs="Arial"/>
          <w:b/>
          <w:lang w:val="pt-BR"/>
        </w:rPr>
      </w:pPr>
    </w:p>
    <w:p w14:paraId="251979A4" w14:textId="77777777" w:rsidR="00487C90" w:rsidRPr="00487C90" w:rsidRDefault="00487C90" w:rsidP="00487C90">
      <w:pPr>
        <w:spacing w:afterLines="120" w:after="288" w:line="276" w:lineRule="auto"/>
        <w:ind w:firstLine="284"/>
        <w:rPr>
          <w:rFonts w:ascii="Arial" w:hAnsi="Arial" w:cs="Arial"/>
          <w:b/>
          <w:lang w:val="pt-BR"/>
        </w:rPr>
      </w:pPr>
    </w:p>
    <w:p w14:paraId="5D5C43B2" w14:textId="77777777" w:rsidR="00487C90" w:rsidRPr="00487C90" w:rsidRDefault="00487C90" w:rsidP="00487C90">
      <w:pPr>
        <w:spacing w:afterLines="120" w:after="288" w:line="276" w:lineRule="auto"/>
        <w:ind w:firstLine="284"/>
        <w:jc w:val="right"/>
        <w:rPr>
          <w:rFonts w:ascii="Arial" w:hAnsi="Arial" w:cs="Arial"/>
          <w:b/>
          <w:lang w:val="pt-BR"/>
        </w:rPr>
      </w:pPr>
    </w:p>
    <w:p w14:paraId="379DE991" w14:textId="77777777" w:rsidR="00487C90" w:rsidRPr="00487C90" w:rsidRDefault="00487C90" w:rsidP="00487C90">
      <w:pPr>
        <w:spacing w:afterLines="120" w:after="288" w:line="276" w:lineRule="auto"/>
        <w:ind w:firstLine="284"/>
        <w:jc w:val="center"/>
        <w:rPr>
          <w:rFonts w:ascii="Arial" w:hAnsi="Arial" w:cs="Arial"/>
          <w:b/>
          <w:lang w:val="pt-BR"/>
        </w:rPr>
      </w:pPr>
      <w:r w:rsidRPr="00487C90">
        <w:rPr>
          <w:rFonts w:ascii="Arial" w:hAnsi="Arial" w:cs="Arial"/>
          <w:b/>
          <w:lang w:val="pt-BR"/>
        </w:rPr>
        <w:t>GOIÂNIA – GO</w:t>
      </w:r>
    </w:p>
    <w:p w14:paraId="7D3EAD34" w14:textId="6E2E240E" w:rsidR="00487C90" w:rsidRPr="00487C90" w:rsidRDefault="00487C90" w:rsidP="00487C90">
      <w:pPr>
        <w:spacing w:afterLines="120" w:after="288" w:line="276" w:lineRule="auto"/>
        <w:ind w:firstLine="284"/>
        <w:jc w:val="center"/>
        <w:rPr>
          <w:rFonts w:ascii="Arial" w:hAnsi="Arial" w:cs="Arial"/>
          <w:b/>
          <w:sz w:val="28"/>
          <w:szCs w:val="28"/>
        </w:rPr>
      </w:pPr>
      <w:r w:rsidRPr="00487C90">
        <w:rPr>
          <w:rFonts w:ascii="Arial" w:hAnsi="Arial" w:cs="Arial"/>
          <w:b/>
          <w:sz w:val="28"/>
          <w:szCs w:val="28"/>
        </w:rPr>
        <w:t>20</w:t>
      </w:r>
      <w:r>
        <w:rPr>
          <w:rFonts w:ascii="Arial" w:hAnsi="Arial" w:cs="Arial"/>
          <w:b/>
          <w:sz w:val="28"/>
          <w:szCs w:val="28"/>
        </w:rPr>
        <w:t>21</w:t>
      </w:r>
    </w:p>
    <w:p w14:paraId="4C943D85" w14:textId="5125E98F" w:rsidR="0046664D" w:rsidRPr="00A756D1" w:rsidRDefault="003B535E" w:rsidP="00487C90">
      <w:pPr>
        <w:tabs>
          <w:tab w:val="left" w:pos="7515"/>
        </w:tabs>
        <w:spacing w:after="120" w:line="276" w:lineRule="auto"/>
        <w:jc w:val="center"/>
        <w:rPr>
          <w:rFonts w:ascii="Arial" w:hAnsi="Arial" w:cs="Arial"/>
          <w:b/>
          <w:sz w:val="8"/>
          <w:szCs w:val="20"/>
          <w:lang w:val="pt-BR"/>
        </w:rPr>
      </w:pPr>
      <w:bookmarkStart w:id="0" w:name="_Hlk85399914"/>
      <w:r w:rsidRPr="00A756D1">
        <w:rPr>
          <w:rFonts w:ascii="Arial" w:hAnsi="Arial" w:cs="Arial"/>
          <w:b/>
          <w:bCs/>
          <w:sz w:val="28"/>
          <w:szCs w:val="28"/>
          <w:lang w:val="pt-BR"/>
        </w:rPr>
        <w:lastRenderedPageBreak/>
        <w:t>Perfil do uso de descongestionantes nasais tópicos entre estudantes de Medicina da PUC Goiás</w:t>
      </w:r>
    </w:p>
    <w:bookmarkEnd w:id="0"/>
    <w:p w14:paraId="6E08EBFC" w14:textId="51EE93EE" w:rsidR="0046664D" w:rsidRPr="00A756D1" w:rsidRDefault="005F6335" w:rsidP="00477FAD">
      <w:pPr>
        <w:spacing w:after="120" w:line="276" w:lineRule="auto"/>
        <w:jc w:val="center"/>
        <w:rPr>
          <w:rFonts w:ascii="Arial" w:hAnsi="Arial" w:cs="Arial"/>
          <w:lang w:val="pt-BR"/>
        </w:rPr>
      </w:pPr>
      <w:r w:rsidRPr="005F6335">
        <w:rPr>
          <w:rFonts w:ascii="Arial" w:hAnsi="Arial" w:cs="Arial"/>
          <w:lang w:val="pt-BR"/>
        </w:rPr>
        <w:t xml:space="preserve">Profile </w:t>
      </w:r>
      <w:proofErr w:type="spellStart"/>
      <w:r w:rsidRPr="005F6335">
        <w:rPr>
          <w:rFonts w:ascii="Arial" w:hAnsi="Arial" w:cs="Arial"/>
          <w:lang w:val="pt-BR"/>
        </w:rPr>
        <w:t>of</w:t>
      </w:r>
      <w:proofErr w:type="spellEnd"/>
      <w:r w:rsidRPr="005F6335">
        <w:rPr>
          <w:rFonts w:ascii="Arial" w:hAnsi="Arial" w:cs="Arial"/>
          <w:lang w:val="pt-BR"/>
        </w:rPr>
        <w:t xml:space="preserve"> </w:t>
      </w:r>
      <w:proofErr w:type="spellStart"/>
      <w:r w:rsidRPr="005F6335">
        <w:rPr>
          <w:rFonts w:ascii="Arial" w:hAnsi="Arial" w:cs="Arial"/>
          <w:lang w:val="pt-BR"/>
        </w:rPr>
        <w:t>the</w:t>
      </w:r>
      <w:proofErr w:type="spellEnd"/>
      <w:r w:rsidRPr="005F6335">
        <w:rPr>
          <w:rFonts w:ascii="Arial" w:hAnsi="Arial" w:cs="Arial"/>
          <w:lang w:val="pt-BR"/>
        </w:rPr>
        <w:t xml:space="preserve"> use </w:t>
      </w:r>
      <w:proofErr w:type="spellStart"/>
      <w:r w:rsidRPr="005F6335">
        <w:rPr>
          <w:rFonts w:ascii="Arial" w:hAnsi="Arial" w:cs="Arial"/>
          <w:lang w:val="pt-BR"/>
        </w:rPr>
        <w:t>of</w:t>
      </w:r>
      <w:proofErr w:type="spellEnd"/>
      <w:r w:rsidRPr="005F6335">
        <w:rPr>
          <w:rFonts w:ascii="Arial" w:hAnsi="Arial" w:cs="Arial"/>
          <w:lang w:val="pt-BR"/>
        </w:rPr>
        <w:t xml:space="preserve"> topical nasal </w:t>
      </w:r>
      <w:proofErr w:type="spellStart"/>
      <w:r w:rsidRPr="005F6335">
        <w:rPr>
          <w:rFonts w:ascii="Arial" w:hAnsi="Arial" w:cs="Arial"/>
          <w:lang w:val="pt-BR"/>
        </w:rPr>
        <w:t>decongestants</w:t>
      </w:r>
      <w:proofErr w:type="spellEnd"/>
      <w:r w:rsidRPr="005F6335">
        <w:rPr>
          <w:rFonts w:ascii="Arial" w:hAnsi="Arial" w:cs="Arial"/>
          <w:lang w:val="pt-BR"/>
        </w:rPr>
        <w:t xml:space="preserve"> </w:t>
      </w:r>
      <w:proofErr w:type="spellStart"/>
      <w:r w:rsidRPr="005F6335">
        <w:rPr>
          <w:rFonts w:ascii="Arial" w:hAnsi="Arial" w:cs="Arial"/>
          <w:lang w:val="pt-BR"/>
        </w:rPr>
        <w:t>among</w:t>
      </w:r>
      <w:proofErr w:type="spellEnd"/>
      <w:r w:rsidRPr="005F6335">
        <w:rPr>
          <w:rFonts w:ascii="Arial" w:hAnsi="Arial" w:cs="Arial"/>
          <w:lang w:val="pt-BR"/>
        </w:rPr>
        <w:t xml:space="preserve"> medical </w:t>
      </w:r>
      <w:proofErr w:type="spellStart"/>
      <w:r w:rsidRPr="005F6335">
        <w:rPr>
          <w:rFonts w:ascii="Arial" w:hAnsi="Arial" w:cs="Arial"/>
          <w:lang w:val="pt-BR"/>
        </w:rPr>
        <w:t>students</w:t>
      </w:r>
      <w:proofErr w:type="spellEnd"/>
      <w:r w:rsidRPr="005F6335">
        <w:rPr>
          <w:rFonts w:ascii="Arial" w:hAnsi="Arial" w:cs="Arial"/>
          <w:lang w:val="pt-BR"/>
        </w:rPr>
        <w:t xml:space="preserve"> </w:t>
      </w:r>
      <w:proofErr w:type="spellStart"/>
      <w:r w:rsidRPr="005F6335">
        <w:rPr>
          <w:rFonts w:ascii="Arial" w:hAnsi="Arial" w:cs="Arial"/>
          <w:lang w:val="pt-BR"/>
        </w:rPr>
        <w:t>at</w:t>
      </w:r>
      <w:proofErr w:type="spellEnd"/>
      <w:r w:rsidRPr="005F6335">
        <w:rPr>
          <w:rFonts w:ascii="Arial" w:hAnsi="Arial" w:cs="Arial"/>
          <w:lang w:val="pt-BR"/>
        </w:rPr>
        <w:t xml:space="preserve"> PUC Goiás </w:t>
      </w:r>
    </w:p>
    <w:p w14:paraId="50C1E2E6" w14:textId="35D0D4F5" w:rsidR="0046664D" w:rsidRDefault="005F6335" w:rsidP="005F6335">
      <w:pPr>
        <w:spacing w:after="120" w:line="276" w:lineRule="auto"/>
        <w:jc w:val="center"/>
        <w:rPr>
          <w:rFonts w:ascii="Arial" w:hAnsi="Arial" w:cs="Arial"/>
          <w:lang w:val="pt-BR"/>
        </w:rPr>
      </w:pPr>
      <w:r w:rsidRPr="005F6335">
        <w:rPr>
          <w:rFonts w:ascii="Arial" w:hAnsi="Arial" w:cs="Arial"/>
          <w:lang w:val="es-ES"/>
        </w:rPr>
        <w:t>Perfil del uso de descongestionantes nasales tópicos entre estudiantes de medicina de la PUC Goiás</w:t>
      </w:r>
    </w:p>
    <w:p w14:paraId="278680C4" w14:textId="77777777" w:rsidR="005F6335" w:rsidRPr="005F6335" w:rsidRDefault="005F6335" w:rsidP="005F6335">
      <w:pPr>
        <w:spacing w:after="120" w:line="276" w:lineRule="auto"/>
        <w:jc w:val="center"/>
        <w:rPr>
          <w:rFonts w:ascii="Arial" w:hAnsi="Arial" w:cs="Arial"/>
          <w:lang w:val="pt-BR"/>
        </w:rPr>
      </w:pPr>
    </w:p>
    <w:p w14:paraId="0F482B60" w14:textId="323079F1" w:rsidR="00884757" w:rsidRPr="00A756D1" w:rsidRDefault="003B535E" w:rsidP="003B535E">
      <w:pPr>
        <w:suppressAutoHyphens/>
        <w:spacing w:after="120" w:line="276" w:lineRule="auto"/>
        <w:jc w:val="center"/>
        <w:rPr>
          <w:rFonts w:ascii="Arial" w:hAnsi="Arial" w:cs="Arial"/>
          <w:sz w:val="22"/>
          <w:szCs w:val="22"/>
          <w:lang w:val="pt-BR"/>
        </w:rPr>
      </w:pPr>
      <w:r w:rsidRPr="00A756D1">
        <w:rPr>
          <w:rFonts w:ascii="Arial" w:hAnsi="Arial" w:cs="Arial"/>
          <w:sz w:val="22"/>
          <w:szCs w:val="22"/>
          <w:lang w:val="pt-BR"/>
        </w:rPr>
        <w:t>Geovana Oliveira de Paula</w:t>
      </w:r>
      <w:r w:rsidRPr="00A756D1">
        <w:rPr>
          <w:rStyle w:val="Refdenotaderodap1"/>
          <w:rFonts w:ascii="Arial" w:hAnsi="Arial" w:cs="Arial"/>
          <w:sz w:val="22"/>
          <w:szCs w:val="22"/>
          <w:lang w:val="pt-BR"/>
        </w:rPr>
        <w:footnoteReference w:id="1"/>
      </w:r>
      <w:r w:rsidRPr="00A756D1">
        <w:rPr>
          <w:rFonts w:ascii="Arial" w:hAnsi="Arial" w:cs="Arial"/>
          <w:sz w:val="22"/>
          <w:szCs w:val="22"/>
          <w:lang w:val="pt-BR"/>
        </w:rPr>
        <w:t>*, Lorena Tassara¹, Leonardo Luiz Borges¹.</w:t>
      </w:r>
    </w:p>
    <w:p w14:paraId="2C94A5C9" w14:textId="14EB3196" w:rsidR="0046664D" w:rsidRPr="00A756D1" w:rsidRDefault="000B0820" w:rsidP="00477FAD">
      <w:pPr>
        <w:suppressAutoHyphens/>
        <w:spacing w:after="120" w:line="276" w:lineRule="auto"/>
        <w:jc w:val="both"/>
        <w:rPr>
          <w:rFonts w:ascii="Arial" w:hAnsi="Arial" w:cs="Arial"/>
          <w:sz w:val="20"/>
          <w:szCs w:val="20"/>
          <w:lang w:val="pt-BR"/>
        </w:rPr>
      </w:pPr>
      <w:r>
        <w:rPr>
          <w:rFonts w:ascii="Arial" w:hAnsi="Arial" w:cs="Arial"/>
          <w:color w:val="212121"/>
          <w:sz w:val="20"/>
          <w:szCs w:val="20"/>
          <w:lang w:val="pt-BR"/>
        </w:rPr>
        <w:pict w14:anchorId="50B9C541">
          <v:rect id="_x0000_i1025" style="width:0;height:1.5pt" o:hralign="center" o:hrstd="t" o:hr="t" fillcolor="#a0a0a0" stroked="f"/>
        </w:pict>
      </w:r>
    </w:p>
    <w:p w14:paraId="7CFB1020" w14:textId="5C91CBD8" w:rsidR="00CD52BA" w:rsidRPr="00A756D1" w:rsidRDefault="00CD52BA" w:rsidP="00477FAD">
      <w:pPr>
        <w:spacing w:after="120" w:line="276" w:lineRule="auto"/>
        <w:jc w:val="center"/>
        <w:rPr>
          <w:rFonts w:ascii="Arial" w:hAnsi="Arial" w:cs="Arial"/>
          <w:color w:val="FF0000"/>
          <w:sz w:val="20"/>
          <w:szCs w:val="20"/>
          <w:lang w:val="pt-BR"/>
        </w:rPr>
      </w:pPr>
      <w:r w:rsidRPr="00A756D1">
        <w:rPr>
          <w:rFonts w:ascii="Arial" w:hAnsi="Arial" w:cs="Arial"/>
          <w:b/>
          <w:sz w:val="20"/>
          <w:szCs w:val="20"/>
          <w:lang w:val="pt-BR"/>
        </w:rPr>
        <w:t>RESUMO</w:t>
      </w:r>
    </w:p>
    <w:p w14:paraId="10210CDA" w14:textId="52BA94E8" w:rsidR="003B535E" w:rsidRPr="00A756D1" w:rsidRDefault="003B535E" w:rsidP="003B535E">
      <w:pPr>
        <w:jc w:val="both"/>
        <w:rPr>
          <w:rFonts w:ascii="Arial" w:hAnsi="Arial" w:cs="Arial"/>
          <w:b/>
          <w:bCs/>
          <w:sz w:val="20"/>
          <w:szCs w:val="20"/>
          <w:lang w:val="pt-BR"/>
        </w:rPr>
      </w:pPr>
      <w:r w:rsidRPr="00A756D1">
        <w:rPr>
          <w:rFonts w:ascii="Arial" w:hAnsi="Arial" w:cs="Arial"/>
          <w:b/>
          <w:bCs/>
          <w:sz w:val="20"/>
          <w:szCs w:val="20"/>
          <w:lang w:val="pt-BR"/>
        </w:rPr>
        <w:t>Objetivo</w:t>
      </w:r>
      <w:r w:rsidRPr="00A756D1">
        <w:rPr>
          <w:rFonts w:ascii="Arial" w:hAnsi="Arial" w:cs="Arial"/>
          <w:sz w:val="20"/>
          <w:szCs w:val="20"/>
          <w:lang w:val="pt-BR"/>
        </w:rPr>
        <w:t>: Realizar levantamento do perfil dos usuários e dos padrões de consumo de descongestionantes nasais a base de vasoconstritores, bem como a incidência de efeitos colaterais relacionados ao seu uso entre estudantes de Medicina da PUC-GO.</w:t>
      </w:r>
      <w:r w:rsidRPr="00A756D1">
        <w:rPr>
          <w:rFonts w:ascii="Arial" w:hAnsi="Arial" w:cs="Arial"/>
          <w:b/>
          <w:sz w:val="20"/>
          <w:szCs w:val="20"/>
          <w:lang w:val="pt-BR"/>
        </w:rPr>
        <w:t xml:space="preserve"> </w:t>
      </w:r>
      <w:r w:rsidRPr="00A756D1">
        <w:rPr>
          <w:rFonts w:ascii="Arial" w:hAnsi="Arial" w:cs="Arial"/>
          <w:b/>
          <w:bCs/>
          <w:sz w:val="20"/>
          <w:szCs w:val="20"/>
          <w:lang w:val="pt-BR"/>
        </w:rPr>
        <w:t>Métodos:</w:t>
      </w:r>
      <w:r w:rsidRPr="00A756D1">
        <w:rPr>
          <w:rFonts w:ascii="Arial" w:hAnsi="Arial" w:cs="Arial"/>
          <w:sz w:val="20"/>
          <w:szCs w:val="20"/>
          <w:lang w:val="pt-BR"/>
        </w:rPr>
        <w:t xml:space="preserve"> estudo quantitativo transversal com 110 estudantes de medicina via formulário online entre fevereiro e abril de 2021. Para análise dos dados foi empregado o teste do </w:t>
      </w:r>
      <w:r w:rsidRPr="00A756D1">
        <w:rPr>
          <w:rFonts w:ascii="Arial" w:hAnsi="Arial" w:cs="Arial"/>
          <w:i/>
          <w:iCs/>
          <w:sz w:val="20"/>
          <w:szCs w:val="20"/>
          <w:lang w:val="pt-BR"/>
        </w:rPr>
        <w:t>X</w:t>
      </w:r>
      <w:r w:rsidRPr="00A756D1">
        <w:rPr>
          <w:rFonts w:ascii="Arial" w:hAnsi="Arial" w:cs="Arial"/>
          <w:sz w:val="20"/>
          <w:szCs w:val="20"/>
          <w:vertAlign w:val="superscript"/>
          <w:lang w:val="pt-BR"/>
        </w:rPr>
        <w:t>2</w:t>
      </w:r>
      <w:r w:rsidRPr="00A756D1">
        <w:rPr>
          <w:rFonts w:ascii="Arial" w:hAnsi="Arial" w:cs="Arial"/>
          <w:sz w:val="20"/>
          <w:szCs w:val="20"/>
          <w:lang w:val="pt-BR"/>
        </w:rPr>
        <w:t>, utilizando o software P</w:t>
      </w:r>
      <w:r w:rsidR="003C057D">
        <w:rPr>
          <w:rFonts w:ascii="Arial" w:hAnsi="Arial" w:cs="Arial"/>
          <w:sz w:val="20"/>
          <w:szCs w:val="20"/>
          <w:lang w:val="pt-BR"/>
        </w:rPr>
        <w:t>AST</w:t>
      </w:r>
      <w:r w:rsidRPr="00A756D1">
        <w:rPr>
          <w:rFonts w:ascii="Arial" w:hAnsi="Arial" w:cs="Arial"/>
          <w:sz w:val="20"/>
          <w:szCs w:val="20"/>
          <w:lang w:val="pt-BR"/>
        </w:rPr>
        <w:t xml:space="preserve"> versão 4.04.</w:t>
      </w:r>
      <w:r w:rsidRPr="00A756D1">
        <w:rPr>
          <w:rFonts w:ascii="Arial" w:hAnsi="Arial" w:cs="Arial"/>
          <w:b/>
          <w:sz w:val="20"/>
          <w:szCs w:val="20"/>
          <w:lang w:val="pt-BR"/>
        </w:rPr>
        <w:t xml:space="preserve"> </w:t>
      </w:r>
      <w:r w:rsidRPr="00A756D1">
        <w:rPr>
          <w:rFonts w:ascii="Arial" w:hAnsi="Arial" w:cs="Arial"/>
          <w:b/>
          <w:bCs/>
          <w:sz w:val="20"/>
          <w:szCs w:val="20"/>
          <w:lang w:val="pt-BR"/>
        </w:rPr>
        <w:t>Resultados:</w:t>
      </w:r>
      <w:r w:rsidRPr="00A756D1">
        <w:rPr>
          <w:rFonts w:ascii="Arial" w:hAnsi="Arial" w:cs="Arial"/>
          <w:sz w:val="20"/>
          <w:szCs w:val="20"/>
          <w:lang w:val="pt-BR"/>
        </w:rPr>
        <w:t xml:space="preserve"> Dos 110 participantes, 72,7% (n=80) são usuários de descongestionantes nasais tópicos. Em relação ao perfil dos usuários, 75,00% são estudantes do sexo feminino; 70% estão entre o 5º e o 11º período; </w:t>
      </w:r>
      <w:proofErr w:type="gramStart"/>
      <w:r w:rsidRPr="00A756D1">
        <w:rPr>
          <w:rFonts w:ascii="Arial" w:hAnsi="Arial" w:cs="Arial"/>
          <w:sz w:val="20"/>
          <w:szCs w:val="20"/>
          <w:lang w:val="pt-BR"/>
        </w:rPr>
        <w:t>65,00% possui</w:t>
      </w:r>
      <w:proofErr w:type="gramEnd"/>
      <w:r w:rsidRPr="00A756D1">
        <w:rPr>
          <w:rFonts w:ascii="Arial" w:hAnsi="Arial" w:cs="Arial"/>
          <w:sz w:val="20"/>
          <w:szCs w:val="20"/>
          <w:lang w:val="pt-BR"/>
        </w:rPr>
        <w:t xml:space="preserve"> idade entre 21 e 25 anos; 66,25% possuem rinite e 36,25% desvio de septo. Em relação ao padrão de consumo, </w:t>
      </w:r>
      <w:proofErr w:type="gramStart"/>
      <w:r w:rsidRPr="00A756D1">
        <w:rPr>
          <w:rFonts w:ascii="Arial" w:hAnsi="Arial" w:cs="Arial"/>
          <w:sz w:val="20"/>
          <w:szCs w:val="20"/>
          <w:shd w:val="clear" w:color="auto" w:fill="FFFFFF"/>
          <w:lang w:val="pt-BR"/>
        </w:rPr>
        <w:t>82,50% utiliza</w:t>
      </w:r>
      <w:proofErr w:type="gramEnd"/>
      <w:r w:rsidRPr="00A756D1">
        <w:rPr>
          <w:rFonts w:ascii="Arial" w:hAnsi="Arial" w:cs="Arial"/>
          <w:sz w:val="20"/>
          <w:szCs w:val="20"/>
          <w:shd w:val="clear" w:color="auto" w:fill="FFFFFF"/>
          <w:lang w:val="pt-BR"/>
        </w:rPr>
        <w:t xml:space="preserve"> </w:t>
      </w:r>
      <w:proofErr w:type="spellStart"/>
      <w:r w:rsidRPr="00A756D1">
        <w:rPr>
          <w:rFonts w:ascii="Arial" w:hAnsi="Arial" w:cs="Arial"/>
          <w:sz w:val="20"/>
          <w:szCs w:val="20"/>
          <w:lang w:val="pt-BR"/>
        </w:rPr>
        <w:t>Neosoro</w:t>
      </w:r>
      <w:proofErr w:type="spellEnd"/>
      <w:r w:rsidRPr="00A756D1">
        <w:rPr>
          <w:rFonts w:ascii="Arial" w:hAnsi="Arial" w:cs="Arial"/>
          <w:sz w:val="20"/>
          <w:szCs w:val="20"/>
          <w:lang w:val="pt-BR"/>
        </w:rPr>
        <w:t xml:space="preserve"> ou </w:t>
      </w:r>
      <w:proofErr w:type="spellStart"/>
      <w:r w:rsidRPr="00A756D1">
        <w:rPr>
          <w:rFonts w:ascii="Arial" w:hAnsi="Arial" w:cs="Arial"/>
          <w:sz w:val="20"/>
          <w:szCs w:val="20"/>
          <w:lang w:val="pt-BR"/>
        </w:rPr>
        <w:t>Sorine</w:t>
      </w:r>
      <w:proofErr w:type="spellEnd"/>
      <w:r w:rsidRPr="00A756D1">
        <w:rPr>
          <w:rFonts w:ascii="Arial" w:hAnsi="Arial" w:cs="Arial"/>
          <w:sz w:val="20"/>
          <w:szCs w:val="20"/>
          <w:shd w:val="clear" w:color="auto" w:fill="FFFFFF"/>
          <w:lang w:val="pt-BR"/>
        </w:rPr>
        <w:t xml:space="preserve">®; </w:t>
      </w:r>
      <w:r w:rsidRPr="00A756D1">
        <w:rPr>
          <w:rFonts w:ascii="Arial" w:hAnsi="Arial" w:cs="Arial"/>
          <w:sz w:val="20"/>
          <w:szCs w:val="20"/>
          <w:lang w:val="pt-BR"/>
        </w:rPr>
        <w:t xml:space="preserve">68,75% administram por mais de cinco vezes ao dia; 61,25% usam por mais de seis meses; 16,25% apresentam efeitos colaterais (dependência, insônia e taquicardia); 66,25% se automedicam e apenas 30% dizem que não conhecem os possíveis efeitos adversos. </w:t>
      </w:r>
      <w:r w:rsidRPr="00A756D1">
        <w:rPr>
          <w:rFonts w:ascii="Arial" w:hAnsi="Arial" w:cs="Arial"/>
          <w:b/>
          <w:bCs/>
          <w:sz w:val="20"/>
          <w:szCs w:val="20"/>
          <w:lang w:val="pt-BR"/>
        </w:rPr>
        <w:t xml:space="preserve">Conclusão: </w:t>
      </w:r>
      <w:r w:rsidRPr="00A756D1">
        <w:rPr>
          <w:rFonts w:ascii="Arial" w:hAnsi="Arial" w:cs="Arial"/>
          <w:sz w:val="20"/>
          <w:szCs w:val="20"/>
          <w:lang w:val="pt-BR"/>
        </w:rPr>
        <w:t>Observou-se associação estatisticamente significativa apenas entre as variáveis frequência de uso acima de 5 vezes ao dia, uso sem prescrição e a ocorrência de efeitos colaterais.</w:t>
      </w:r>
    </w:p>
    <w:p w14:paraId="0EC2B2B7" w14:textId="57185AFD" w:rsidR="00C21A54" w:rsidRPr="00A756D1" w:rsidRDefault="00351AB4" w:rsidP="003B535E">
      <w:pPr>
        <w:spacing w:after="120" w:line="276" w:lineRule="auto"/>
        <w:jc w:val="both"/>
        <w:rPr>
          <w:rFonts w:ascii="Arial" w:hAnsi="Arial" w:cs="Arial"/>
          <w:bCs/>
          <w:sz w:val="20"/>
          <w:szCs w:val="20"/>
          <w:lang w:val="pt-BR"/>
        </w:rPr>
      </w:pPr>
      <w:r w:rsidRPr="00A756D1">
        <w:rPr>
          <w:rFonts w:ascii="Arial" w:hAnsi="Arial" w:cs="Arial"/>
          <w:b/>
          <w:sz w:val="20"/>
          <w:szCs w:val="20"/>
          <w:lang w:val="pt-BR"/>
        </w:rPr>
        <w:t xml:space="preserve">Palavras-chave: </w:t>
      </w:r>
      <w:r w:rsidR="003B535E" w:rsidRPr="00A756D1">
        <w:rPr>
          <w:rFonts w:ascii="Arial" w:hAnsi="Arial" w:cs="Arial"/>
          <w:sz w:val="20"/>
          <w:szCs w:val="20"/>
          <w:lang w:val="pt-BR"/>
        </w:rPr>
        <w:t>Congestão nasal, Descongestionantes nasais, Automedicação.</w:t>
      </w:r>
    </w:p>
    <w:p w14:paraId="67F653AF" w14:textId="17D6B3EF" w:rsidR="00CD52BA" w:rsidRPr="00A756D1" w:rsidRDefault="000B0820" w:rsidP="00477FAD">
      <w:pPr>
        <w:spacing w:before="120" w:after="0" w:line="276" w:lineRule="auto"/>
        <w:jc w:val="both"/>
        <w:rPr>
          <w:rFonts w:ascii="Arial" w:hAnsi="Arial" w:cs="Arial"/>
          <w:b/>
          <w:sz w:val="20"/>
          <w:szCs w:val="20"/>
          <w:lang w:val="pt-BR"/>
        </w:rPr>
      </w:pPr>
      <w:r>
        <w:rPr>
          <w:rFonts w:ascii="Arial" w:hAnsi="Arial" w:cs="Arial"/>
          <w:b/>
          <w:sz w:val="20"/>
          <w:szCs w:val="20"/>
          <w:lang w:val="pt-BR"/>
        </w:rPr>
        <w:pict w14:anchorId="209099E5">
          <v:rect id="_x0000_i1026" style="width:0;height:1.5pt" o:hralign="center" o:hrstd="t" o:hr="t" fillcolor="#a0a0a0" stroked="f"/>
        </w:pict>
      </w:r>
    </w:p>
    <w:p w14:paraId="6FF55CE1" w14:textId="20761F51" w:rsidR="00CD52BA" w:rsidRPr="00A756D1" w:rsidRDefault="00CD52BA" w:rsidP="00477FAD">
      <w:pPr>
        <w:spacing w:before="120" w:after="0" w:line="276" w:lineRule="auto"/>
        <w:jc w:val="center"/>
        <w:rPr>
          <w:rFonts w:ascii="Arial" w:hAnsi="Arial" w:cs="Arial"/>
          <w:b/>
          <w:color w:val="000000" w:themeColor="text1"/>
          <w:sz w:val="20"/>
          <w:szCs w:val="20"/>
          <w:lang w:val="pt-BR"/>
        </w:rPr>
      </w:pPr>
      <w:r w:rsidRPr="00A756D1">
        <w:rPr>
          <w:rFonts w:ascii="Arial" w:hAnsi="Arial" w:cs="Arial"/>
          <w:b/>
          <w:color w:val="000000" w:themeColor="text1"/>
          <w:sz w:val="20"/>
          <w:szCs w:val="20"/>
          <w:lang w:val="pt-BR"/>
        </w:rPr>
        <w:t>ABSTRACT</w:t>
      </w:r>
    </w:p>
    <w:p w14:paraId="7780216C" w14:textId="75562A28" w:rsidR="005F6335" w:rsidRPr="005F6335" w:rsidRDefault="005F6335" w:rsidP="005F6335">
      <w:pPr>
        <w:pStyle w:val="Pr-formataoHTML"/>
        <w:spacing w:before="120" w:line="276" w:lineRule="auto"/>
        <w:jc w:val="both"/>
        <w:rPr>
          <w:rFonts w:ascii="Arial" w:hAnsi="Arial" w:cs="Arial"/>
          <w:bCs/>
          <w:color w:val="000000" w:themeColor="text1"/>
        </w:rPr>
      </w:pPr>
      <w:r w:rsidRPr="005F6335">
        <w:rPr>
          <w:rFonts w:ascii="Arial" w:hAnsi="Arial" w:cs="Arial"/>
          <w:b/>
          <w:color w:val="000000" w:themeColor="text1"/>
          <w:lang w:val="en"/>
        </w:rPr>
        <w:t xml:space="preserve">Objective: </w:t>
      </w:r>
      <w:r w:rsidRPr="005F6335">
        <w:rPr>
          <w:rFonts w:ascii="Arial" w:hAnsi="Arial" w:cs="Arial"/>
          <w:bCs/>
          <w:color w:val="000000" w:themeColor="text1"/>
          <w:lang w:val="en"/>
        </w:rPr>
        <w:t>To survey the profile of users and patterns of consumption of nasal decongestants based on vasoconstrictors</w:t>
      </w:r>
      <w:r w:rsidR="00505ECC">
        <w:rPr>
          <w:rFonts w:ascii="Arial" w:hAnsi="Arial" w:cs="Arial"/>
          <w:bCs/>
          <w:color w:val="000000" w:themeColor="text1"/>
          <w:lang w:val="en"/>
        </w:rPr>
        <w:t xml:space="preserve"> and</w:t>
      </w:r>
      <w:r w:rsidRPr="005F6335">
        <w:rPr>
          <w:rFonts w:ascii="Arial" w:hAnsi="Arial" w:cs="Arial"/>
          <w:bCs/>
          <w:color w:val="000000" w:themeColor="text1"/>
          <w:lang w:val="en"/>
        </w:rPr>
        <w:t xml:space="preserve"> the incidence of side effects related to their use among medical students at PUC-GO.</w:t>
      </w:r>
      <w:r w:rsidRPr="005F6335">
        <w:rPr>
          <w:rFonts w:ascii="Arial" w:hAnsi="Arial" w:cs="Arial"/>
          <w:b/>
          <w:color w:val="000000" w:themeColor="text1"/>
          <w:lang w:val="en"/>
        </w:rPr>
        <w:t xml:space="preserve"> Methods: </w:t>
      </w:r>
      <w:r w:rsidR="00505ECC">
        <w:rPr>
          <w:rFonts w:ascii="Arial" w:hAnsi="Arial" w:cs="Arial"/>
          <w:b/>
          <w:color w:val="000000" w:themeColor="text1"/>
          <w:lang w:val="en"/>
        </w:rPr>
        <w:t xml:space="preserve">a </w:t>
      </w:r>
      <w:r w:rsidRPr="005F6335">
        <w:rPr>
          <w:rFonts w:ascii="Arial" w:hAnsi="Arial" w:cs="Arial"/>
          <w:bCs/>
          <w:color w:val="000000" w:themeColor="text1"/>
          <w:lang w:val="en"/>
        </w:rPr>
        <w:t xml:space="preserve">quantitative cross-sectional study with 110 medical students via online form between February and April 2021. For data analysis, the X2 test was used, using the PAST software version 4.04. </w:t>
      </w:r>
      <w:r w:rsidRPr="005F6335">
        <w:rPr>
          <w:rFonts w:ascii="Arial" w:hAnsi="Arial" w:cs="Arial"/>
          <w:b/>
          <w:color w:val="000000" w:themeColor="text1"/>
          <w:lang w:val="en"/>
        </w:rPr>
        <w:t xml:space="preserve">Results: </w:t>
      </w:r>
      <w:r w:rsidRPr="005F6335">
        <w:rPr>
          <w:rFonts w:ascii="Arial" w:hAnsi="Arial" w:cs="Arial"/>
          <w:bCs/>
          <w:color w:val="000000" w:themeColor="text1"/>
          <w:lang w:val="en"/>
        </w:rPr>
        <w:t xml:space="preserve">Of the 110 participants, 72.7% (n=80) are users of topical nasal decongestants. Regarding </w:t>
      </w:r>
      <w:r w:rsidR="00505ECC">
        <w:rPr>
          <w:rFonts w:ascii="Arial" w:hAnsi="Arial" w:cs="Arial"/>
          <w:bCs/>
          <w:color w:val="000000" w:themeColor="text1"/>
          <w:lang w:val="en"/>
        </w:rPr>
        <w:t>users' profile</w:t>
      </w:r>
      <w:r w:rsidRPr="005F6335">
        <w:rPr>
          <w:rFonts w:ascii="Arial" w:hAnsi="Arial" w:cs="Arial"/>
          <w:bCs/>
          <w:color w:val="000000" w:themeColor="text1"/>
          <w:lang w:val="en"/>
        </w:rPr>
        <w:t xml:space="preserve">, 75.00% are female students; 70% are between the 5th and 11th period; 65.00% are between 21 and 25 years old; 66.25% have rhinitis and 36.25% septal deviation. Regarding the consumption pattern, 82.50% use </w:t>
      </w:r>
      <w:proofErr w:type="spellStart"/>
      <w:r w:rsidRPr="005F6335">
        <w:rPr>
          <w:rFonts w:ascii="Arial" w:hAnsi="Arial" w:cs="Arial"/>
          <w:bCs/>
          <w:color w:val="000000" w:themeColor="text1"/>
          <w:lang w:val="en"/>
        </w:rPr>
        <w:t>Neosoro</w:t>
      </w:r>
      <w:proofErr w:type="spellEnd"/>
      <w:r w:rsidRPr="005F6335">
        <w:rPr>
          <w:rFonts w:ascii="Arial" w:hAnsi="Arial" w:cs="Arial"/>
          <w:bCs/>
          <w:color w:val="000000" w:themeColor="text1"/>
          <w:lang w:val="en"/>
        </w:rPr>
        <w:t xml:space="preserve"> or </w:t>
      </w:r>
      <w:proofErr w:type="spellStart"/>
      <w:r w:rsidRPr="005F6335">
        <w:rPr>
          <w:rFonts w:ascii="Arial" w:hAnsi="Arial" w:cs="Arial"/>
          <w:bCs/>
          <w:color w:val="000000" w:themeColor="text1"/>
          <w:lang w:val="en"/>
        </w:rPr>
        <w:t>Sorine</w:t>
      </w:r>
      <w:proofErr w:type="spellEnd"/>
      <w:r w:rsidRPr="005F6335">
        <w:rPr>
          <w:rFonts w:ascii="Arial" w:hAnsi="Arial" w:cs="Arial"/>
          <w:bCs/>
          <w:color w:val="000000" w:themeColor="text1"/>
          <w:lang w:val="en"/>
        </w:rPr>
        <w:t>®; 68.75% administer more than five times a day; 61.25% use it for more than six months; 16.25% have side effects (addiction, insomnia</w:t>
      </w:r>
      <w:r w:rsidR="00505ECC">
        <w:rPr>
          <w:rFonts w:ascii="Arial" w:hAnsi="Arial" w:cs="Arial"/>
          <w:bCs/>
          <w:color w:val="000000" w:themeColor="text1"/>
          <w:lang w:val="en"/>
        </w:rPr>
        <w:t>,</w:t>
      </w:r>
      <w:r w:rsidRPr="005F6335">
        <w:rPr>
          <w:rFonts w:ascii="Arial" w:hAnsi="Arial" w:cs="Arial"/>
          <w:bCs/>
          <w:color w:val="000000" w:themeColor="text1"/>
          <w:lang w:val="en"/>
        </w:rPr>
        <w:t xml:space="preserve"> and tachycardia); 66.25% self-medicate</w:t>
      </w:r>
      <w:r w:rsidR="00505ECC">
        <w:rPr>
          <w:rFonts w:ascii="Arial" w:hAnsi="Arial" w:cs="Arial"/>
          <w:bCs/>
          <w:color w:val="000000" w:themeColor="text1"/>
          <w:lang w:val="en"/>
        </w:rPr>
        <w:t>,</w:t>
      </w:r>
      <w:r w:rsidRPr="005F6335">
        <w:rPr>
          <w:rFonts w:ascii="Arial" w:hAnsi="Arial" w:cs="Arial"/>
          <w:bCs/>
          <w:color w:val="000000" w:themeColor="text1"/>
          <w:lang w:val="en"/>
        </w:rPr>
        <w:t xml:space="preserve"> and only 30% say they are not aware of the possible adverse effects.</w:t>
      </w:r>
      <w:r w:rsidRPr="005F6335">
        <w:rPr>
          <w:rFonts w:ascii="Arial" w:hAnsi="Arial" w:cs="Arial"/>
          <w:b/>
          <w:color w:val="000000" w:themeColor="text1"/>
          <w:lang w:val="en"/>
        </w:rPr>
        <w:t xml:space="preserve"> Conclusio</w:t>
      </w:r>
      <w:r>
        <w:rPr>
          <w:rFonts w:ascii="Arial" w:hAnsi="Arial" w:cs="Arial"/>
          <w:b/>
          <w:color w:val="000000" w:themeColor="text1"/>
          <w:lang w:val="en"/>
        </w:rPr>
        <w:t>n:</w:t>
      </w:r>
      <w:r w:rsidRPr="005F6335">
        <w:rPr>
          <w:rFonts w:ascii="Arial" w:hAnsi="Arial" w:cs="Arial"/>
          <w:bCs/>
          <w:color w:val="000000" w:themeColor="text1"/>
          <w:lang w:val="en"/>
        </w:rPr>
        <w:t xml:space="preserve"> There was a statistically significant association only between the </w:t>
      </w:r>
      <w:proofErr w:type="gramStart"/>
      <w:r w:rsidRPr="005F6335">
        <w:rPr>
          <w:rFonts w:ascii="Arial" w:hAnsi="Arial" w:cs="Arial"/>
          <w:bCs/>
          <w:color w:val="000000" w:themeColor="text1"/>
          <w:lang w:val="en"/>
        </w:rPr>
        <w:t>variables</w:t>
      </w:r>
      <w:proofErr w:type="gramEnd"/>
      <w:r w:rsidRPr="005F6335">
        <w:rPr>
          <w:rFonts w:ascii="Arial" w:hAnsi="Arial" w:cs="Arial"/>
          <w:bCs/>
          <w:color w:val="000000" w:themeColor="text1"/>
          <w:lang w:val="en"/>
        </w:rPr>
        <w:t xml:space="preserve"> frequency of use above 5 times a day, use without </w:t>
      </w:r>
      <w:r w:rsidR="00505ECC">
        <w:rPr>
          <w:rFonts w:ascii="Arial" w:hAnsi="Arial" w:cs="Arial"/>
          <w:bCs/>
          <w:color w:val="000000" w:themeColor="text1"/>
          <w:lang w:val="en"/>
        </w:rPr>
        <w:t xml:space="preserve">a </w:t>
      </w:r>
      <w:r w:rsidRPr="005F6335">
        <w:rPr>
          <w:rFonts w:ascii="Arial" w:hAnsi="Arial" w:cs="Arial"/>
          <w:bCs/>
          <w:color w:val="000000" w:themeColor="text1"/>
          <w:lang w:val="en"/>
        </w:rPr>
        <w:t>prescription</w:t>
      </w:r>
      <w:r w:rsidR="00505ECC">
        <w:rPr>
          <w:rFonts w:ascii="Arial" w:hAnsi="Arial" w:cs="Arial"/>
          <w:bCs/>
          <w:color w:val="000000" w:themeColor="text1"/>
          <w:lang w:val="en"/>
        </w:rPr>
        <w:t>,</w:t>
      </w:r>
      <w:r w:rsidRPr="005F6335">
        <w:rPr>
          <w:rFonts w:ascii="Arial" w:hAnsi="Arial" w:cs="Arial"/>
          <w:bCs/>
          <w:color w:val="000000" w:themeColor="text1"/>
          <w:lang w:val="en"/>
        </w:rPr>
        <w:t xml:space="preserve"> and the occurrence of side effects.</w:t>
      </w:r>
    </w:p>
    <w:p w14:paraId="171BF1F5" w14:textId="059C3220" w:rsidR="00CD52BA" w:rsidRPr="00A756D1" w:rsidRDefault="00CD52BA" w:rsidP="00477FAD">
      <w:pPr>
        <w:spacing w:before="120" w:after="0" w:line="276" w:lineRule="auto"/>
        <w:jc w:val="both"/>
        <w:rPr>
          <w:rFonts w:ascii="Arial" w:eastAsia="Times New Roman" w:hAnsi="Arial" w:cs="Arial"/>
          <w:b/>
          <w:color w:val="000000" w:themeColor="text1"/>
          <w:sz w:val="20"/>
          <w:szCs w:val="20"/>
          <w:lang w:val="pt-BR" w:eastAsia="pt-BR"/>
        </w:rPr>
      </w:pPr>
      <w:r w:rsidRPr="00A756D1">
        <w:rPr>
          <w:rFonts w:ascii="Arial" w:hAnsi="Arial" w:cs="Arial"/>
          <w:b/>
          <w:color w:val="000000" w:themeColor="text1"/>
          <w:sz w:val="20"/>
          <w:szCs w:val="20"/>
          <w:lang w:val="pt-BR"/>
        </w:rPr>
        <w:t>Keywords:</w:t>
      </w:r>
      <w:r w:rsidR="005F6335" w:rsidRPr="005F6335">
        <w:t xml:space="preserve"> </w:t>
      </w:r>
      <w:r w:rsidR="005F6335" w:rsidRPr="005F6335">
        <w:rPr>
          <w:rFonts w:ascii="Arial" w:hAnsi="Arial" w:cs="Arial"/>
          <w:color w:val="000000" w:themeColor="text1"/>
          <w:sz w:val="20"/>
          <w:szCs w:val="20"/>
          <w:lang w:val="pt-BR"/>
        </w:rPr>
        <w:t xml:space="preserve">Nasal </w:t>
      </w:r>
      <w:proofErr w:type="spellStart"/>
      <w:r w:rsidR="005F6335" w:rsidRPr="005F6335">
        <w:rPr>
          <w:rFonts w:ascii="Arial" w:hAnsi="Arial" w:cs="Arial"/>
          <w:color w:val="000000" w:themeColor="text1"/>
          <w:sz w:val="20"/>
          <w:szCs w:val="20"/>
          <w:lang w:val="pt-BR"/>
        </w:rPr>
        <w:t>congestion</w:t>
      </w:r>
      <w:proofErr w:type="spellEnd"/>
      <w:r w:rsidR="005F6335" w:rsidRPr="005F6335">
        <w:rPr>
          <w:rFonts w:ascii="Arial" w:hAnsi="Arial" w:cs="Arial"/>
          <w:color w:val="000000" w:themeColor="text1"/>
          <w:sz w:val="20"/>
          <w:szCs w:val="20"/>
          <w:lang w:val="pt-BR"/>
        </w:rPr>
        <w:t xml:space="preserve">, </w:t>
      </w:r>
      <w:proofErr w:type="gramStart"/>
      <w:r w:rsidR="005F6335" w:rsidRPr="005F6335">
        <w:rPr>
          <w:rFonts w:ascii="Arial" w:hAnsi="Arial" w:cs="Arial"/>
          <w:color w:val="000000" w:themeColor="text1"/>
          <w:sz w:val="20"/>
          <w:szCs w:val="20"/>
          <w:lang w:val="pt-BR"/>
        </w:rPr>
        <w:t>Nasal</w:t>
      </w:r>
      <w:proofErr w:type="gramEnd"/>
      <w:r w:rsidR="005F6335" w:rsidRPr="005F6335">
        <w:rPr>
          <w:rFonts w:ascii="Arial" w:hAnsi="Arial" w:cs="Arial"/>
          <w:color w:val="000000" w:themeColor="text1"/>
          <w:sz w:val="20"/>
          <w:szCs w:val="20"/>
          <w:lang w:val="pt-BR"/>
        </w:rPr>
        <w:t xml:space="preserve"> </w:t>
      </w:r>
      <w:proofErr w:type="spellStart"/>
      <w:r w:rsidR="005F6335" w:rsidRPr="005F6335">
        <w:rPr>
          <w:rFonts w:ascii="Arial" w:hAnsi="Arial" w:cs="Arial"/>
          <w:color w:val="000000" w:themeColor="text1"/>
          <w:sz w:val="20"/>
          <w:szCs w:val="20"/>
          <w:lang w:val="pt-BR"/>
        </w:rPr>
        <w:t>decongestants</w:t>
      </w:r>
      <w:proofErr w:type="spellEnd"/>
      <w:r w:rsidR="005F6335" w:rsidRPr="005F6335">
        <w:rPr>
          <w:rFonts w:ascii="Arial" w:hAnsi="Arial" w:cs="Arial"/>
          <w:color w:val="000000" w:themeColor="text1"/>
          <w:sz w:val="20"/>
          <w:szCs w:val="20"/>
          <w:lang w:val="pt-BR"/>
        </w:rPr>
        <w:t>, Self-</w:t>
      </w:r>
      <w:proofErr w:type="spellStart"/>
      <w:r w:rsidR="005F6335" w:rsidRPr="005F6335">
        <w:rPr>
          <w:rFonts w:ascii="Arial" w:hAnsi="Arial" w:cs="Arial"/>
          <w:color w:val="000000" w:themeColor="text1"/>
          <w:sz w:val="20"/>
          <w:szCs w:val="20"/>
          <w:lang w:val="pt-BR"/>
        </w:rPr>
        <w:t>medication</w:t>
      </w:r>
      <w:proofErr w:type="spellEnd"/>
      <w:r w:rsidR="005F6335" w:rsidRPr="005F6335">
        <w:rPr>
          <w:rFonts w:ascii="Arial" w:hAnsi="Arial" w:cs="Arial"/>
          <w:color w:val="000000" w:themeColor="text1"/>
          <w:sz w:val="20"/>
          <w:szCs w:val="20"/>
          <w:lang w:val="pt-BR"/>
        </w:rPr>
        <w:t>.</w:t>
      </w:r>
      <w:r w:rsidR="000B0820">
        <w:rPr>
          <w:rFonts w:ascii="Arial" w:hAnsi="Arial" w:cs="Arial"/>
          <w:b/>
          <w:sz w:val="20"/>
          <w:szCs w:val="20"/>
          <w:lang w:val="pt-BR"/>
        </w:rPr>
        <w:pict w14:anchorId="666CA2E2">
          <v:rect id="_x0000_i1027" style="width:0;height:1.5pt" o:hralign="center" o:hrstd="t" o:hr="t" fillcolor="#a0a0a0" stroked="f"/>
        </w:pict>
      </w:r>
    </w:p>
    <w:p w14:paraId="52FA4F2F" w14:textId="23439828" w:rsidR="00A83CFC" w:rsidRPr="00A756D1" w:rsidRDefault="00CD52BA" w:rsidP="0047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center"/>
        <w:rPr>
          <w:rFonts w:ascii="Arial" w:eastAsia="Times New Roman" w:hAnsi="Arial" w:cs="Arial"/>
          <w:b/>
          <w:color w:val="000000" w:themeColor="text1"/>
          <w:sz w:val="20"/>
          <w:szCs w:val="20"/>
          <w:lang w:val="pt-BR" w:eastAsia="pt-BR"/>
        </w:rPr>
      </w:pPr>
      <w:r w:rsidRPr="00A756D1">
        <w:rPr>
          <w:rFonts w:ascii="Arial" w:eastAsia="Times New Roman" w:hAnsi="Arial" w:cs="Arial"/>
          <w:b/>
          <w:color w:val="000000" w:themeColor="text1"/>
          <w:sz w:val="20"/>
          <w:szCs w:val="20"/>
          <w:lang w:val="pt-BR" w:eastAsia="pt-BR"/>
        </w:rPr>
        <w:t>RESUMEN</w:t>
      </w:r>
    </w:p>
    <w:p w14:paraId="7746D151" w14:textId="77777777" w:rsidR="005F6335" w:rsidRDefault="005F6335" w:rsidP="0047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Arial" w:eastAsia="Times New Roman" w:hAnsi="Arial" w:cs="Arial"/>
          <w:b/>
          <w:color w:val="000000" w:themeColor="text1"/>
          <w:sz w:val="20"/>
          <w:szCs w:val="20"/>
          <w:lang w:val="pt-BR" w:eastAsia="pt-BR"/>
        </w:rPr>
      </w:pPr>
    </w:p>
    <w:p w14:paraId="61BAD136" w14:textId="77777777" w:rsidR="005F6335" w:rsidRPr="005F6335" w:rsidRDefault="005F6335" w:rsidP="005F6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Arial" w:eastAsia="Times New Roman" w:hAnsi="Arial" w:cs="Arial"/>
          <w:bCs/>
          <w:color w:val="000000" w:themeColor="text1"/>
          <w:sz w:val="20"/>
          <w:szCs w:val="20"/>
          <w:lang w:val="pt-BR" w:eastAsia="pt-BR"/>
        </w:rPr>
      </w:pPr>
      <w:r w:rsidRPr="005F6335">
        <w:rPr>
          <w:rFonts w:ascii="Arial" w:eastAsia="Times New Roman" w:hAnsi="Arial" w:cs="Arial"/>
          <w:b/>
          <w:color w:val="000000" w:themeColor="text1"/>
          <w:sz w:val="20"/>
          <w:szCs w:val="20"/>
          <w:lang w:val="es-ES" w:eastAsia="pt-BR"/>
        </w:rPr>
        <w:lastRenderedPageBreak/>
        <w:t xml:space="preserve">Objetivo: </w:t>
      </w:r>
      <w:r w:rsidRPr="005F6335">
        <w:rPr>
          <w:rFonts w:ascii="Arial" w:eastAsia="Times New Roman" w:hAnsi="Arial" w:cs="Arial"/>
          <w:bCs/>
          <w:color w:val="000000" w:themeColor="text1"/>
          <w:sz w:val="20"/>
          <w:szCs w:val="20"/>
          <w:lang w:val="es-ES" w:eastAsia="pt-BR"/>
        </w:rPr>
        <w:t>Sondear el perfil de usuarios y patrones de consumo de descongestionantes nasales basados ​​en vasoconstrictores, así como la incidencia de efectos secundarios relacionados con su uso entre estudiantes de medicina de la PUC-GO.</w:t>
      </w:r>
      <w:r w:rsidRPr="005F6335">
        <w:rPr>
          <w:rFonts w:ascii="Arial" w:eastAsia="Times New Roman" w:hAnsi="Arial" w:cs="Arial"/>
          <w:b/>
          <w:color w:val="000000" w:themeColor="text1"/>
          <w:sz w:val="20"/>
          <w:szCs w:val="20"/>
          <w:lang w:val="es-ES" w:eastAsia="pt-BR"/>
        </w:rPr>
        <w:t xml:space="preserve"> Métodos: </w:t>
      </w:r>
      <w:r w:rsidRPr="005F6335">
        <w:rPr>
          <w:rFonts w:ascii="Arial" w:eastAsia="Times New Roman" w:hAnsi="Arial" w:cs="Arial"/>
          <w:bCs/>
          <w:color w:val="000000" w:themeColor="text1"/>
          <w:sz w:val="20"/>
          <w:szCs w:val="20"/>
          <w:lang w:val="es-ES" w:eastAsia="pt-BR"/>
        </w:rPr>
        <w:t>estudio cuantitativo transversal con 110 estudiantes de medicina vía formulario online entre febrero y abril de 2021. Para el análisis de datos se utilizó la prueba X2, utilizando el software PAST versión 4.04.</w:t>
      </w:r>
      <w:r w:rsidRPr="005F6335">
        <w:rPr>
          <w:rFonts w:ascii="Arial" w:eastAsia="Times New Roman" w:hAnsi="Arial" w:cs="Arial"/>
          <w:b/>
          <w:color w:val="000000" w:themeColor="text1"/>
          <w:sz w:val="20"/>
          <w:szCs w:val="20"/>
          <w:lang w:val="es-ES" w:eastAsia="pt-BR"/>
        </w:rPr>
        <w:t xml:space="preserve"> Resultados: </w:t>
      </w:r>
      <w:r w:rsidRPr="005F6335">
        <w:rPr>
          <w:rFonts w:ascii="Arial" w:eastAsia="Times New Roman" w:hAnsi="Arial" w:cs="Arial"/>
          <w:bCs/>
          <w:color w:val="000000" w:themeColor="text1"/>
          <w:sz w:val="20"/>
          <w:szCs w:val="20"/>
          <w:lang w:val="es-ES" w:eastAsia="pt-BR"/>
        </w:rPr>
        <w:t xml:space="preserve">De los 110 participantes, el 72,7% (n = 80) son usuarios de descongestionantes nasales tópicos. En cuanto al perfil de los usuarios, el 75,00% son alumnas; El 70% están entre el quinto y el undécimo período; El 65,00% tiene entre 21 y 25 años; El 66,25% tiene rinitis y el 36,25% desviación del tabique. En cuanto al patrón de consumo, el 82,50% utiliza </w:t>
      </w:r>
      <w:proofErr w:type="spellStart"/>
      <w:r w:rsidRPr="005F6335">
        <w:rPr>
          <w:rFonts w:ascii="Arial" w:eastAsia="Times New Roman" w:hAnsi="Arial" w:cs="Arial"/>
          <w:bCs/>
          <w:color w:val="000000" w:themeColor="text1"/>
          <w:sz w:val="20"/>
          <w:szCs w:val="20"/>
          <w:lang w:val="es-ES" w:eastAsia="pt-BR"/>
        </w:rPr>
        <w:t>Neosoro</w:t>
      </w:r>
      <w:proofErr w:type="spellEnd"/>
      <w:r w:rsidRPr="005F6335">
        <w:rPr>
          <w:rFonts w:ascii="Arial" w:eastAsia="Times New Roman" w:hAnsi="Arial" w:cs="Arial"/>
          <w:bCs/>
          <w:color w:val="000000" w:themeColor="text1"/>
          <w:sz w:val="20"/>
          <w:szCs w:val="20"/>
          <w:lang w:val="es-ES" w:eastAsia="pt-BR"/>
        </w:rPr>
        <w:t xml:space="preserve"> o </w:t>
      </w:r>
      <w:proofErr w:type="spellStart"/>
      <w:r w:rsidRPr="005F6335">
        <w:rPr>
          <w:rFonts w:ascii="Arial" w:eastAsia="Times New Roman" w:hAnsi="Arial" w:cs="Arial"/>
          <w:bCs/>
          <w:color w:val="000000" w:themeColor="text1"/>
          <w:sz w:val="20"/>
          <w:szCs w:val="20"/>
          <w:lang w:val="es-ES" w:eastAsia="pt-BR"/>
        </w:rPr>
        <w:t>Sorine</w:t>
      </w:r>
      <w:proofErr w:type="spellEnd"/>
      <w:r w:rsidRPr="005F6335">
        <w:rPr>
          <w:rFonts w:ascii="Arial" w:eastAsia="Times New Roman" w:hAnsi="Arial" w:cs="Arial"/>
          <w:bCs/>
          <w:color w:val="000000" w:themeColor="text1"/>
          <w:sz w:val="20"/>
          <w:szCs w:val="20"/>
          <w:lang w:val="es-ES" w:eastAsia="pt-BR"/>
        </w:rPr>
        <w:t>®; El 68,75% se administra más de cinco veces al día; El 61,25% lo utiliza durante más de seis meses; El 16,25% presenta efectos secundarios (adicción, insomnio y taquicardia); El 66,25% se automedica y solo el 30% declara desconocer los posibles efectos adversos.</w:t>
      </w:r>
      <w:r w:rsidRPr="005F6335">
        <w:rPr>
          <w:rFonts w:ascii="Arial" w:eastAsia="Times New Roman" w:hAnsi="Arial" w:cs="Arial"/>
          <w:b/>
          <w:color w:val="000000" w:themeColor="text1"/>
          <w:sz w:val="20"/>
          <w:szCs w:val="20"/>
          <w:lang w:val="es-ES" w:eastAsia="pt-BR"/>
        </w:rPr>
        <w:t xml:space="preserve"> Conclusión: </w:t>
      </w:r>
      <w:r w:rsidRPr="005F6335">
        <w:rPr>
          <w:rFonts w:ascii="Arial" w:eastAsia="Times New Roman" w:hAnsi="Arial" w:cs="Arial"/>
          <w:bCs/>
          <w:color w:val="000000" w:themeColor="text1"/>
          <w:sz w:val="20"/>
          <w:szCs w:val="20"/>
          <w:lang w:val="es-ES" w:eastAsia="pt-BR"/>
        </w:rPr>
        <w:t>Existió una asociación estadísticamente significativa solo entre las variables frecuencia de uso por encima de 5 veces al día, uso sin receta y la ocurrencia de efectos secundarios.</w:t>
      </w:r>
    </w:p>
    <w:p w14:paraId="0C48C346" w14:textId="77777777" w:rsidR="005F6335" w:rsidRDefault="005F6335" w:rsidP="0047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Arial" w:eastAsia="Times New Roman" w:hAnsi="Arial" w:cs="Arial"/>
          <w:b/>
          <w:color w:val="000000" w:themeColor="text1"/>
          <w:sz w:val="20"/>
          <w:szCs w:val="20"/>
          <w:lang w:val="pt-BR" w:eastAsia="pt-BR"/>
        </w:rPr>
      </w:pPr>
    </w:p>
    <w:p w14:paraId="34F7CFBF" w14:textId="733B4696" w:rsidR="00351AB4" w:rsidRPr="00A756D1" w:rsidRDefault="00CD52BA" w:rsidP="0047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rPr>
          <w:rFonts w:ascii="Arial" w:eastAsia="Times New Roman" w:hAnsi="Arial" w:cs="Arial"/>
          <w:b/>
          <w:color w:val="000000" w:themeColor="text1"/>
          <w:sz w:val="20"/>
          <w:szCs w:val="20"/>
          <w:lang w:val="pt-BR" w:eastAsia="pt-BR"/>
        </w:rPr>
      </w:pPr>
      <w:proofErr w:type="spellStart"/>
      <w:r w:rsidRPr="00A756D1">
        <w:rPr>
          <w:rFonts w:ascii="Arial" w:hAnsi="Arial" w:cs="Arial"/>
          <w:b/>
          <w:sz w:val="20"/>
          <w:szCs w:val="20"/>
          <w:lang w:val="pt-BR"/>
        </w:rPr>
        <w:t>Palabras</w:t>
      </w:r>
      <w:proofErr w:type="spellEnd"/>
      <w:r w:rsidRPr="00A756D1">
        <w:rPr>
          <w:rFonts w:ascii="Arial" w:hAnsi="Arial" w:cs="Arial"/>
          <w:b/>
          <w:sz w:val="20"/>
          <w:szCs w:val="20"/>
          <w:lang w:val="pt-BR"/>
        </w:rPr>
        <w:t xml:space="preserve"> clave:</w:t>
      </w:r>
      <w:r w:rsidR="005F6335" w:rsidRPr="005F6335">
        <w:t xml:space="preserve"> </w:t>
      </w:r>
      <w:proofErr w:type="spellStart"/>
      <w:r w:rsidR="005F6335" w:rsidRPr="005F6335">
        <w:rPr>
          <w:rFonts w:ascii="Arial" w:hAnsi="Arial" w:cs="Arial"/>
          <w:bCs/>
          <w:sz w:val="20"/>
          <w:szCs w:val="20"/>
          <w:lang w:val="pt-BR"/>
        </w:rPr>
        <w:t>Congestión</w:t>
      </w:r>
      <w:proofErr w:type="spellEnd"/>
      <w:r w:rsidR="005F6335" w:rsidRPr="005F6335">
        <w:rPr>
          <w:rFonts w:ascii="Arial" w:hAnsi="Arial" w:cs="Arial"/>
          <w:bCs/>
          <w:sz w:val="20"/>
          <w:szCs w:val="20"/>
          <w:lang w:val="pt-BR"/>
        </w:rPr>
        <w:t xml:space="preserve"> nasal, Descongestionantes nasales, </w:t>
      </w:r>
      <w:proofErr w:type="spellStart"/>
      <w:r w:rsidR="005F6335" w:rsidRPr="005F6335">
        <w:rPr>
          <w:rFonts w:ascii="Arial" w:hAnsi="Arial" w:cs="Arial"/>
          <w:bCs/>
          <w:sz w:val="20"/>
          <w:szCs w:val="20"/>
          <w:lang w:val="pt-BR"/>
        </w:rPr>
        <w:t>Automedicación</w:t>
      </w:r>
      <w:proofErr w:type="spellEnd"/>
      <w:r w:rsidRPr="005F6335">
        <w:rPr>
          <w:rFonts w:ascii="Arial" w:hAnsi="Arial" w:cs="Arial"/>
          <w:bCs/>
          <w:sz w:val="20"/>
          <w:szCs w:val="20"/>
          <w:lang w:val="pt-BR"/>
        </w:rPr>
        <w:t>.</w:t>
      </w:r>
      <w:r w:rsidR="000B0820">
        <w:rPr>
          <w:rFonts w:ascii="Arial" w:hAnsi="Arial" w:cs="Arial"/>
          <w:b/>
          <w:sz w:val="20"/>
          <w:szCs w:val="20"/>
          <w:lang w:val="pt-BR"/>
        </w:rPr>
        <w:pict w14:anchorId="1F8E390C">
          <v:rect id="_x0000_i1028" style="width:0;height:1.5pt" o:hralign="center" o:hrstd="t" o:hr="t" fillcolor="#a0a0a0" stroked="f"/>
        </w:pict>
      </w:r>
    </w:p>
    <w:p w14:paraId="4CD9DED5" w14:textId="5E4ED7F7" w:rsidR="00351AB4" w:rsidRPr="00A756D1" w:rsidRDefault="00351AB4" w:rsidP="00477FAD">
      <w:pPr>
        <w:spacing w:after="120" w:line="276" w:lineRule="auto"/>
        <w:jc w:val="both"/>
        <w:rPr>
          <w:rFonts w:ascii="Arial" w:hAnsi="Arial" w:cs="Arial"/>
          <w:b/>
          <w:bCs/>
          <w:sz w:val="20"/>
          <w:szCs w:val="20"/>
          <w:lang w:val="pt-BR"/>
        </w:rPr>
      </w:pPr>
    </w:p>
    <w:p w14:paraId="22D97AC8" w14:textId="1805C195" w:rsidR="0046664D" w:rsidRPr="00A756D1" w:rsidRDefault="0046664D" w:rsidP="00477FAD">
      <w:pPr>
        <w:spacing w:after="120" w:line="276" w:lineRule="auto"/>
        <w:jc w:val="both"/>
        <w:rPr>
          <w:rFonts w:ascii="Arial" w:hAnsi="Arial" w:cs="Arial"/>
          <w:b/>
          <w:bCs/>
          <w:sz w:val="20"/>
          <w:szCs w:val="20"/>
          <w:lang w:val="pt-BR"/>
        </w:rPr>
      </w:pPr>
      <w:r w:rsidRPr="00A756D1">
        <w:rPr>
          <w:rFonts w:ascii="Arial" w:hAnsi="Arial" w:cs="Arial"/>
          <w:b/>
          <w:bCs/>
          <w:sz w:val="20"/>
          <w:szCs w:val="20"/>
          <w:lang w:val="pt-BR"/>
        </w:rPr>
        <w:t>INTRODUÇÃO</w:t>
      </w:r>
    </w:p>
    <w:p w14:paraId="0366E580" w14:textId="13F47CE4" w:rsidR="003B535E" w:rsidRPr="003B535E" w:rsidRDefault="003B535E" w:rsidP="003B535E">
      <w:pPr>
        <w:spacing w:after="120" w:line="276" w:lineRule="auto"/>
        <w:ind w:firstLine="284"/>
        <w:jc w:val="both"/>
        <w:rPr>
          <w:rFonts w:ascii="Arial" w:hAnsi="Arial" w:cs="Arial"/>
          <w:color w:val="000000"/>
          <w:sz w:val="20"/>
          <w:szCs w:val="20"/>
          <w:lang w:val="pt-BR"/>
        </w:rPr>
      </w:pPr>
      <w:r w:rsidRPr="003B535E">
        <w:rPr>
          <w:rFonts w:ascii="Arial" w:hAnsi="Arial" w:cs="Arial"/>
          <w:color w:val="000000"/>
          <w:sz w:val="20"/>
          <w:szCs w:val="20"/>
          <w:lang w:val="pt-BR"/>
        </w:rPr>
        <w:t>A obstrução do fluxo de ar nasal é muitas vezes um problema multifatorial causado por uma combinação de alterações anatômicas, inchaço da mucosa nasal e aumento da concha nasal inferior. Problemas anatômicos e estruturais, como desvio de septo nasal e colapso da válvula nasal, são geralmente controlados cirurgicamente. Já alterações da mucosa costumam ser manejadas por meio do controle do edema e da inflamação</w:t>
      </w:r>
      <w:r w:rsidR="0075016F">
        <w:rPr>
          <w:rFonts w:ascii="Arial" w:hAnsi="Arial" w:cs="Arial"/>
          <w:color w:val="000000"/>
          <w:sz w:val="20"/>
          <w:szCs w:val="20"/>
          <w:lang w:val="pt-BR"/>
        </w:rPr>
        <w:t xml:space="preserve"> </w:t>
      </w:r>
      <w:r w:rsidR="0075016F">
        <w:rPr>
          <w:rFonts w:ascii="Arial" w:hAnsi="Arial" w:cs="Arial"/>
          <w:color w:val="000000"/>
          <w:sz w:val="20"/>
          <w:szCs w:val="20"/>
          <w:lang w:val="pt-BR"/>
        </w:rPr>
        <w:fldChar w:fldCharType="begin" w:fldLock="1"/>
      </w:r>
      <w:r w:rsidR="0075016F">
        <w:rPr>
          <w:rFonts w:ascii="Arial" w:hAnsi="Arial" w:cs="Arial"/>
          <w:color w:val="000000"/>
          <w:sz w:val="20"/>
          <w:szCs w:val="20"/>
          <w:lang w:val="pt-BR"/>
        </w:rPr>
        <w:instrText>ADDIN CSL_CITATION { "citationItems" : [ { "id" : "ITEM-1", "itemData" : { "DOI" : "10.1016/j.otc.2018.05.004", "ISSN" : "15578259", "PMID" : "29914725", "abstract" : "Nasal obstruction is a common, and potentially debilitating, problem. It is caused by a combination of structural factors and/or mucosal swelling/inflammation. The medical treatment of nasal obstruction is aimed at decreasing mucosal inflammation and edema and is generally guided by the underlying cause. Several different drug classes are commonly used in the treatment of nasal obstruction, each with different indications, and pros and cons to their use. This article discusses the most commonly used therapies for nasal obstruction. Current evidence on the efficacy and side effect profile of each therapy is reviewed.", "author" : [ { "dropping-particle" : "", "family" : "Cox", "given" : "Daniel R.", "non-dropping-particle" : "", "parse-names" : false, "suffix" : "" }, { "dropping-particle" : "", "family" : "Wise", "given" : "Sarah K.", "non-dropping-particle" : "", "parse-names" : false, "suffix" : "" } ], "container-title" : "Otolaryngologic Clinics of North America", "id" : "ITEM-1", "issue" : "5", "issued" : { "date-parts" : [ [ "2018" ] ] }, "page" : "897-908", "publisher" : "Elsevier Inc", "title" : "Medical Treatment of Nasal Airway Obstruction", "type" : "article-journal", "volume" : "51" }, "uris" : [ "http://www.mendeley.com/documents/?uuid=4c7ba390-c56f-4a9f-993d-2f03752b8d2b" ] } ], "mendeley" : { "formattedCitation" : "(COX; WISE, 2018)", "plainTextFormattedCitation" : "(COX; WISE, 2018)", "previouslyFormattedCitation" : "(COX; WISE, 2018)" }, "properties" : { "noteIndex" : 0 }, "schema" : "https://github.com/citation-style-language/schema/raw/master/csl-citation.json" }</w:instrText>
      </w:r>
      <w:r w:rsidR="0075016F">
        <w:rPr>
          <w:rFonts w:ascii="Arial" w:hAnsi="Arial" w:cs="Arial"/>
          <w:color w:val="000000"/>
          <w:sz w:val="20"/>
          <w:szCs w:val="20"/>
          <w:lang w:val="pt-BR"/>
        </w:rPr>
        <w:fldChar w:fldCharType="separate"/>
      </w:r>
      <w:r w:rsidR="0075016F" w:rsidRPr="0075016F">
        <w:rPr>
          <w:rFonts w:ascii="Arial" w:hAnsi="Arial" w:cs="Arial"/>
          <w:noProof/>
          <w:color w:val="000000"/>
          <w:sz w:val="20"/>
          <w:szCs w:val="20"/>
          <w:lang w:val="pt-BR"/>
        </w:rPr>
        <w:t>(COX; WISE, 2018)</w:t>
      </w:r>
      <w:r w:rsidR="0075016F">
        <w:rPr>
          <w:rFonts w:ascii="Arial" w:hAnsi="Arial" w:cs="Arial"/>
          <w:color w:val="000000"/>
          <w:sz w:val="20"/>
          <w:szCs w:val="20"/>
          <w:lang w:val="pt-BR"/>
        </w:rPr>
        <w:fldChar w:fldCharType="end"/>
      </w:r>
      <w:r w:rsidR="0075016F">
        <w:rPr>
          <w:rFonts w:ascii="Arial" w:hAnsi="Arial" w:cs="Arial"/>
          <w:color w:val="000000"/>
          <w:sz w:val="20"/>
          <w:szCs w:val="20"/>
          <w:lang w:val="pt-BR"/>
        </w:rPr>
        <w:t>.</w:t>
      </w:r>
    </w:p>
    <w:p w14:paraId="1D7F147A" w14:textId="161D5BAD" w:rsidR="003B535E" w:rsidRPr="003B535E" w:rsidRDefault="003B535E" w:rsidP="003B535E">
      <w:pPr>
        <w:spacing w:after="120" w:line="276" w:lineRule="auto"/>
        <w:ind w:firstLine="284"/>
        <w:jc w:val="both"/>
        <w:rPr>
          <w:rFonts w:ascii="Arial" w:hAnsi="Arial" w:cs="Arial"/>
          <w:color w:val="000000"/>
          <w:sz w:val="20"/>
          <w:szCs w:val="20"/>
          <w:u w:val="single"/>
          <w:lang w:val="pt-BR"/>
        </w:rPr>
      </w:pPr>
      <w:r w:rsidRPr="003B535E">
        <w:rPr>
          <w:rFonts w:ascii="Arial" w:hAnsi="Arial" w:cs="Arial"/>
          <w:color w:val="000000"/>
          <w:sz w:val="20"/>
          <w:szCs w:val="20"/>
          <w:lang w:val="pt-BR"/>
        </w:rPr>
        <w:t xml:space="preserve">Os descongestionantes nasais, em geral, são fármacos que contêm simpatomiméticos que atuam sobre os receptores da mucosa nasal provocando vasoconstrição, a qual induz à redução da congestão e do edema da mucosa. Tais medicamentos apresentam-se, simplificadamente, em duas classes farmacológicas: as aminas simpatomiméticas (fenilefrina, anfetamina, cafeína, efedrina, pseudoefedrina, fenilpropanolamina) e os </w:t>
      </w:r>
      <w:proofErr w:type="spellStart"/>
      <w:r w:rsidRPr="003B535E">
        <w:rPr>
          <w:rFonts w:ascii="Arial" w:hAnsi="Arial" w:cs="Arial"/>
          <w:color w:val="000000"/>
          <w:sz w:val="20"/>
          <w:szCs w:val="20"/>
          <w:lang w:val="pt-BR"/>
        </w:rPr>
        <w:t>imidazois</w:t>
      </w:r>
      <w:proofErr w:type="spellEnd"/>
      <w:r w:rsidRPr="003B535E">
        <w:rPr>
          <w:rFonts w:ascii="Arial" w:hAnsi="Arial" w:cs="Arial"/>
          <w:color w:val="000000"/>
          <w:sz w:val="20"/>
          <w:szCs w:val="20"/>
          <w:lang w:val="pt-BR"/>
        </w:rPr>
        <w:t xml:space="preserve"> (</w:t>
      </w:r>
      <w:proofErr w:type="spellStart"/>
      <w:r w:rsidRPr="003B535E">
        <w:rPr>
          <w:rFonts w:ascii="Arial" w:hAnsi="Arial" w:cs="Arial"/>
          <w:color w:val="000000"/>
          <w:sz w:val="20"/>
          <w:szCs w:val="20"/>
          <w:lang w:val="pt-BR"/>
        </w:rPr>
        <w:t>nafazolina</w:t>
      </w:r>
      <w:proofErr w:type="spellEnd"/>
      <w:r w:rsidRPr="003B535E">
        <w:rPr>
          <w:rFonts w:ascii="Arial" w:hAnsi="Arial" w:cs="Arial"/>
          <w:color w:val="000000"/>
          <w:sz w:val="20"/>
          <w:szCs w:val="20"/>
          <w:lang w:val="pt-BR"/>
        </w:rPr>
        <w:t xml:space="preserve">, </w:t>
      </w:r>
      <w:proofErr w:type="spellStart"/>
      <w:r w:rsidRPr="003B535E">
        <w:rPr>
          <w:rFonts w:ascii="Arial" w:hAnsi="Arial" w:cs="Arial"/>
          <w:color w:val="000000"/>
          <w:sz w:val="20"/>
          <w:szCs w:val="20"/>
          <w:lang w:val="pt-BR"/>
        </w:rPr>
        <w:t>tetrahidroxina</w:t>
      </w:r>
      <w:proofErr w:type="spellEnd"/>
      <w:r w:rsidRPr="003B535E">
        <w:rPr>
          <w:rFonts w:ascii="Arial" w:hAnsi="Arial" w:cs="Arial"/>
          <w:color w:val="000000"/>
          <w:sz w:val="20"/>
          <w:szCs w:val="20"/>
          <w:lang w:val="pt-BR"/>
        </w:rPr>
        <w:t xml:space="preserve">, </w:t>
      </w:r>
      <w:proofErr w:type="spellStart"/>
      <w:r w:rsidRPr="003B535E">
        <w:rPr>
          <w:rFonts w:ascii="Arial" w:hAnsi="Arial" w:cs="Arial"/>
          <w:color w:val="000000"/>
          <w:sz w:val="20"/>
          <w:szCs w:val="20"/>
          <w:lang w:val="pt-BR"/>
        </w:rPr>
        <w:t>oximetazolina</w:t>
      </w:r>
      <w:proofErr w:type="spellEnd"/>
      <w:r w:rsidRPr="003B535E">
        <w:rPr>
          <w:rFonts w:ascii="Arial" w:hAnsi="Arial" w:cs="Arial"/>
          <w:color w:val="000000"/>
          <w:sz w:val="20"/>
          <w:szCs w:val="20"/>
          <w:lang w:val="pt-BR"/>
        </w:rPr>
        <w:t xml:space="preserve">, </w:t>
      </w:r>
      <w:proofErr w:type="spellStart"/>
      <w:r w:rsidRPr="003B535E">
        <w:rPr>
          <w:rFonts w:ascii="Arial" w:hAnsi="Arial" w:cs="Arial"/>
          <w:color w:val="000000"/>
          <w:sz w:val="20"/>
          <w:szCs w:val="20"/>
          <w:lang w:val="pt-BR"/>
        </w:rPr>
        <w:t>xilometazolina</w:t>
      </w:r>
      <w:proofErr w:type="spellEnd"/>
      <w:r w:rsidRPr="003B535E">
        <w:rPr>
          <w:rFonts w:ascii="Arial" w:hAnsi="Arial" w:cs="Arial"/>
          <w:color w:val="000000"/>
          <w:sz w:val="20"/>
          <w:szCs w:val="20"/>
          <w:lang w:val="pt-BR"/>
        </w:rPr>
        <w:t xml:space="preserve">). Além disso, vale ressaltar que uma das principais formas de administração dos descongestionantes é via aplicação tópica, diretamente sobre a mucosa nasal, buscando alivio da congestão nasal, comum em resfriados, sinusites, rinites, alergias respiratórias superiores, desvio de septo nasal, hipertrofia de cornetos e tonsilas, entre outros </w:t>
      </w:r>
      <w:r w:rsidRPr="003B535E">
        <w:rPr>
          <w:rFonts w:ascii="Arial" w:hAnsi="Arial" w:cs="Arial"/>
          <w:color w:val="000000"/>
          <w:sz w:val="20"/>
          <w:szCs w:val="20"/>
          <w:lang w:val="pt-BR"/>
        </w:rPr>
        <w:fldChar w:fldCharType="begin" w:fldLock="1"/>
      </w:r>
      <w:r w:rsidR="0075016F">
        <w:rPr>
          <w:rFonts w:ascii="Arial" w:hAnsi="Arial" w:cs="Arial"/>
          <w:color w:val="000000"/>
          <w:sz w:val="20"/>
          <w:szCs w:val="20"/>
          <w:lang w:val="pt-BR"/>
        </w:rPr>
        <w:instrText>ADDIN CSL_CITATION { "citationItems" : [ { "id" : "ITEM-1", "itemData" : { "abstract" : "Objective \u2013 Highlight the widespread use of nasal decongestants for health care students. Methods \u2013 To prepare the study, data col- lection was performed by application of questionnaire, in order to Highlight the frequency of the indiscriminate use of nasal decon- gestants, the research was done by interviewing 100 participants, 50 men and 50 women in period from 18 November 2015 to 11 March 2016. Results \u2013 Reviewed up through the data that the indiscriminate and irrational use of these drugs among students occur frequently. Conclusion \u2013 Through the data we found that the use of nasal decongestants among students of both sexes occur indiscri- minately, continuous and dependent manner, and the fact of the absence of proper guidance at the time of dispensation can contribute to the irrational use", "author" : [ { "dropping-particle" : "De", "family" : "Castro", "given" : "Lais do Nascimento", "non-dropping-particle" : "", "parse-names" : false, "suffix" : "" }, { "dropping-particle" : "De", "family" : "Mello", "given" : "Mirian Marcolan", "non-dropping-particle" : "", "parse-names" : false, "suffix" : "" }, { "dropping-particle" : "", "family" : "Fernandes", "given" : "Wendel Sim\u00f5es", "non-dropping-particle" : "", "parse-names" : false, "suffix" : "" } ], "container-title" : "J Health Sci Inst.", "id" : "ITEM-1", "issue" : "3", "issued" : { "date-parts" : [ [ "2016" ] ] }, "page" : "163-167", "title" : "Avalia\u00e7\u00e3o da pr\u00e1tica de automedica\u00e7\u00e3o com descongestionantes nasais por estudantes da \u00e1rea da sa\u00fade", "type" : "article-journal", "volume" : "34" }, "uris" : [ "http://www.mendeley.com/documents/?uuid=613f8f47-afe4-4ac2-b9a0-776231c7d1a5" ] } ], "mendeley" : { "formattedCitation" : "(CASTRO; MELLO; FERNANDES, 2016)", "plainTextFormattedCitation" : "(CASTRO; MELLO; FERNANDES, 2016)", "previouslyFormattedCitation" : "(CASTRO; MELLO; FERNANDES, 2016)" }, "properties" : { "noteIndex" : 0 }, "schema" : "https://github.com/citation-style-language/schema/raw/master/csl-citation.json" }</w:instrText>
      </w:r>
      <w:r w:rsidRPr="003B535E">
        <w:rPr>
          <w:rFonts w:ascii="Arial" w:hAnsi="Arial" w:cs="Arial"/>
          <w:color w:val="000000"/>
          <w:sz w:val="20"/>
          <w:szCs w:val="20"/>
          <w:lang w:val="pt-BR"/>
        </w:rPr>
        <w:fldChar w:fldCharType="separate"/>
      </w:r>
      <w:r w:rsidRPr="003B535E">
        <w:rPr>
          <w:rFonts w:ascii="Arial" w:hAnsi="Arial" w:cs="Arial"/>
          <w:noProof/>
          <w:color w:val="000000"/>
          <w:sz w:val="20"/>
          <w:szCs w:val="20"/>
          <w:lang w:val="pt-BR"/>
        </w:rPr>
        <w:t>(CASTRO; MELLO; FERNANDES, 2016)</w:t>
      </w:r>
      <w:r w:rsidRPr="003B535E">
        <w:rPr>
          <w:rFonts w:ascii="Arial" w:hAnsi="Arial" w:cs="Arial"/>
          <w:color w:val="000000"/>
          <w:sz w:val="20"/>
          <w:szCs w:val="20"/>
          <w:lang w:val="pt-BR"/>
        </w:rPr>
        <w:fldChar w:fldCharType="end"/>
      </w:r>
      <w:r w:rsidRPr="003B535E">
        <w:rPr>
          <w:rFonts w:ascii="Arial" w:hAnsi="Arial" w:cs="Arial"/>
          <w:color w:val="000000"/>
          <w:sz w:val="20"/>
          <w:szCs w:val="20"/>
          <w:lang w:val="pt-BR"/>
        </w:rPr>
        <w:t>.</w:t>
      </w:r>
      <w:r w:rsidRPr="003B535E">
        <w:rPr>
          <w:rFonts w:ascii="Arial" w:hAnsi="Arial" w:cs="Arial"/>
          <w:color w:val="000000"/>
          <w:sz w:val="20"/>
          <w:szCs w:val="20"/>
          <w:u w:val="single"/>
          <w:lang w:val="pt-BR"/>
        </w:rPr>
        <w:t xml:space="preserve"> </w:t>
      </w:r>
    </w:p>
    <w:p w14:paraId="2F414FE8" w14:textId="6E3C1CAD" w:rsidR="003B535E" w:rsidRPr="003B535E" w:rsidRDefault="003B535E" w:rsidP="003B535E">
      <w:pPr>
        <w:spacing w:after="120" w:line="276" w:lineRule="auto"/>
        <w:ind w:firstLine="284"/>
        <w:jc w:val="both"/>
        <w:rPr>
          <w:rFonts w:ascii="Arial" w:hAnsi="Arial" w:cs="Arial"/>
          <w:color w:val="000000"/>
          <w:sz w:val="20"/>
          <w:szCs w:val="20"/>
          <w:lang w:val="pt-BR"/>
        </w:rPr>
      </w:pPr>
      <w:r w:rsidRPr="003B535E">
        <w:rPr>
          <w:rFonts w:ascii="Arial" w:hAnsi="Arial" w:cs="Arial"/>
          <w:color w:val="000000"/>
          <w:sz w:val="20"/>
          <w:szCs w:val="20"/>
          <w:lang w:val="pt-BR"/>
        </w:rPr>
        <w:t xml:space="preserve">No Brasil, poucos estudos de base populacional traçaram o padrão de consumo de medicamentos da população brasileira como um todo, mas a prevalência da automedicação no país foi de 16,1%, sendo que o uso de descongestionantes nasais tópicos está entre uma das substâncias mais utilizadas por automedicação. Lembrando que, segundo a Organização Mundial da Saúde (OMS), em 1998, definiu-se automedicação como a seleção e uso de medicamentos sem prescrição ou supervisão de um profissional prescritor </w:t>
      </w:r>
      <w:r w:rsidR="0075016F">
        <w:rPr>
          <w:rFonts w:ascii="Arial" w:hAnsi="Arial" w:cs="Arial"/>
          <w:color w:val="000000"/>
          <w:sz w:val="20"/>
          <w:szCs w:val="20"/>
          <w:lang w:val="pt-BR"/>
        </w:rPr>
        <w:fldChar w:fldCharType="begin" w:fldLock="1"/>
      </w:r>
      <w:r w:rsidR="0075016F">
        <w:rPr>
          <w:rFonts w:ascii="Arial" w:hAnsi="Arial" w:cs="Arial"/>
          <w:color w:val="000000"/>
          <w:sz w:val="20"/>
          <w:szCs w:val="20"/>
          <w:lang w:val="pt-BR"/>
        </w:rPr>
        <w:instrText>ADDIN CSL_CITATION { "citationItems" : [ { "id" : "ITEM-1", "itemData" : { "DOI" : "10.1590/S1518-8787.2016050006117", "ISSN" : "00348910", "PMID" : "27982373", "abstract" : "OBJECTIVE: To analyze the prevalence and associated factors regarding the use of medicines by self-medication in Brazil. METHODS: This cross-sectional population-based study was conducted using data from the PNAUM (National Survey on Access, Use and Promotion of Rational Use of Medicines), collected between September 2013 and February 2014 by interviews at the homes of the respondents. All people who reported using any medicines not prescribed by a doctor or dentist were classified as self-medication practitioners. Crude and adjusted prevalence ratios (Poisson regression) and their respective 95% confidence intervals were calculated in order to investigate the factors associated with the use of self-medication by medicines. The independent variables were: Sociodemographic characteristics, health conditions and access to and use of health services. In addition, the most commonly consumed medicines by self-medication were individually identified. RESULTS: The self-medication prevalence in Brazil was 16.1% (95%CI 15.0-17.5), with it being highest in the Northeast region (23.8%; 95%CI 21.6-26.2). Following the adjusted analysis, self-medication was observed to be associated with females, inhabitants from the North, Northeast and Midwest regions and individuals that have had one, or two or more chronic diseases. Analgesics and muscle relaxants were the therapeutic groups most used for self-medication, with dipyrone being the most consumed medicines. In general, most of the medicines used for self-medication were classified as non-prescriptive (65.5%). CONCLUSIONS: Self-medication is common practice in Brazil and mainly involves the use of non-prescription medicines; therefore, the users of such should be made aware of the possible risks. DESCRIPTORS: Self Medication. Drug Utilization. Socioeconomic Factors. Pharmacoepidemiology. Health Surveys.", "author" : [ { "dropping-particle" : "", "family" : "Arrais", "given" : "Paulo S\u00e9rgio Dourado", "non-dropping-particle" : "", "parse-names" : false, "suffix" : "" }, { "dropping-particle" : "", "family" : "Fernandes", "given" : "Maria Eneida Porto", "non-dropping-particle" : "", "parse-names" : false, "suffix" : "" }, { "dropping-particle" : "", "family" : "Pizzol", "given" : "Tatiane da Silva Dal", "non-dropping-particle" : "", "parse-names" : false, "suffix" : "" }, { "dropping-particle" : "", "family" : "Ramos", "given" : "Luiz Roberto", "non-dropping-particle" : "", "parse-names" : false, "suffix" : "" }, { "dropping-particle" : "", "family" : "Mengue", "given" : "Sotero Serrate", "non-dropping-particle" : "", "parse-names" : false, "suffix" : "" }, { "dropping-particle" : "", "family" : "Luiza", "given" : "Vera Lucia", "non-dropping-particle" : "", "parse-names" : false, "suffix" : "" }, { "dropping-particle" : "", "family" : "Tavares", "given" : "Noemia Urruth Le\u00e3o", "non-dropping-particle" : "", "parse-names" : false, "suffix" : "" }, { "dropping-particle" : "", "family" : "Farias", "given" : "Mareni Rocha", "non-dropping-particle" : "", "parse-names" : false, "suffix" : "" }, { "dropping-particle" : "", "family" : "Oliveira", "given" : "Maria Auxiliadora", "non-dropping-particle" : "", "parse-names" : false, "suffix" : "" }, { "dropping-particle" : "", "family" : "Bertoldi", "given" : "Andr\u00e9a D\u00e2maso", "non-dropping-particle" : "", "parse-names" : false, "suffix" : "" } ], "container-title" : "Revista de Saude Publica", "id" : "ITEM-1", "issue" : "supl 2", "issued" : { "date-parts" : [ [ "2016" ] ] }, "page" : "1-11", "title" : "Prevalence of self-medication in Brazil and associated factors", "type" : "article-journal", "volume" : "50" }, "uris" : [ "http://www.mendeley.com/documents/?uuid=dda64f95-9449-454d-abbf-2ba450d4ba5b" ] } ], "mendeley" : { "formattedCitation" : "(ARRAIS et al., 2016)", "plainTextFormattedCitation" : "(ARRAIS et al., 2016)", "previouslyFormattedCitation" : "(ARRAIS et al., 2016)" }, "properties" : { "noteIndex" : 0 }, "schema" : "https://github.com/citation-style-language/schema/raw/master/csl-citation.json" }</w:instrText>
      </w:r>
      <w:r w:rsidR="0075016F">
        <w:rPr>
          <w:rFonts w:ascii="Arial" w:hAnsi="Arial" w:cs="Arial"/>
          <w:color w:val="000000"/>
          <w:sz w:val="20"/>
          <w:szCs w:val="20"/>
          <w:lang w:val="pt-BR"/>
        </w:rPr>
        <w:fldChar w:fldCharType="separate"/>
      </w:r>
      <w:r w:rsidR="0075016F" w:rsidRPr="0075016F">
        <w:rPr>
          <w:rFonts w:ascii="Arial" w:hAnsi="Arial" w:cs="Arial"/>
          <w:noProof/>
          <w:color w:val="000000"/>
          <w:sz w:val="20"/>
          <w:szCs w:val="20"/>
          <w:lang w:val="pt-BR"/>
        </w:rPr>
        <w:t>(ARRAIS et al., 2016)</w:t>
      </w:r>
      <w:r w:rsidR="0075016F">
        <w:rPr>
          <w:rFonts w:ascii="Arial" w:hAnsi="Arial" w:cs="Arial"/>
          <w:color w:val="000000"/>
          <w:sz w:val="20"/>
          <w:szCs w:val="20"/>
          <w:lang w:val="pt-BR"/>
        </w:rPr>
        <w:fldChar w:fldCharType="end"/>
      </w:r>
      <w:r w:rsidR="0075016F">
        <w:rPr>
          <w:rFonts w:ascii="Arial" w:hAnsi="Arial" w:cs="Arial"/>
          <w:color w:val="000000"/>
          <w:sz w:val="20"/>
          <w:szCs w:val="20"/>
          <w:lang w:val="pt-BR"/>
        </w:rPr>
        <w:t>.</w:t>
      </w:r>
    </w:p>
    <w:p w14:paraId="77A34AF9" w14:textId="1A02F2C0" w:rsidR="003B535E" w:rsidRPr="003B535E" w:rsidRDefault="003B535E" w:rsidP="003B535E">
      <w:pPr>
        <w:spacing w:after="120" w:line="276" w:lineRule="auto"/>
        <w:ind w:firstLine="284"/>
        <w:jc w:val="both"/>
        <w:rPr>
          <w:rFonts w:ascii="Arial" w:hAnsi="Arial" w:cs="Arial"/>
          <w:color w:val="000000"/>
          <w:sz w:val="20"/>
          <w:szCs w:val="20"/>
          <w:lang w:val="pt-BR"/>
        </w:rPr>
      </w:pPr>
      <w:r w:rsidRPr="003B535E">
        <w:rPr>
          <w:rFonts w:ascii="Arial" w:hAnsi="Arial" w:cs="Arial"/>
          <w:color w:val="000000"/>
          <w:sz w:val="20"/>
          <w:szCs w:val="20"/>
          <w:lang w:val="pt-BR"/>
        </w:rPr>
        <w:t xml:space="preserve">De acordo com o Conselho Federal de Farmácia (CFF), o descongestionante nasal conhecido por </w:t>
      </w:r>
      <w:proofErr w:type="spellStart"/>
      <w:r w:rsidRPr="003B535E">
        <w:rPr>
          <w:rFonts w:ascii="Arial" w:hAnsi="Arial" w:cs="Arial"/>
          <w:color w:val="000000"/>
          <w:sz w:val="20"/>
          <w:szCs w:val="20"/>
          <w:lang w:val="pt-BR"/>
        </w:rPr>
        <w:t>Neosoro</w:t>
      </w:r>
      <w:proofErr w:type="spellEnd"/>
      <w:r w:rsidRPr="003B535E">
        <w:rPr>
          <w:rFonts w:ascii="Arial" w:hAnsi="Arial" w:cs="Arial"/>
          <w:color w:val="000000"/>
          <w:sz w:val="20"/>
          <w:szCs w:val="20"/>
          <w:lang w:val="pt-BR"/>
        </w:rPr>
        <w:t xml:space="preserve">® está entre os medicamentos mais vendidos sem prescrição médica no Brasil, regulamentados pela resolução RDC Nº 41, de 26 de julho de 2012, sendo classificado como o mais vendido no ano de 2015 (CFF, 2015). Tal fato revela o elevado nível de consumo dessa classe de produtos, devendo-se considerar o fácil acesso a banalização da automedicação com descongestionantes no Brasil, já que geralmente são considerados medicamentos isentos de riscos. </w:t>
      </w:r>
      <w:r w:rsidRPr="003B535E">
        <w:rPr>
          <w:rFonts w:ascii="Arial" w:hAnsi="Arial" w:cs="Arial"/>
          <w:color w:val="000000"/>
          <w:sz w:val="20"/>
          <w:szCs w:val="20"/>
          <w:lang w:val="pt-BR"/>
        </w:rPr>
        <w:fldChar w:fldCharType="begin" w:fldLock="1"/>
      </w:r>
      <w:r w:rsidR="0075016F">
        <w:rPr>
          <w:rFonts w:ascii="Arial" w:hAnsi="Arial" w:cs="Arial"/>
          <w:color w:val="000000"/>
          <w:sz w:val="20"/>
          <w:szCs w:val="20"/>
          <w:lang w:val="pt-BR"/>
        </w:rPr>
        <w:instrText>ADDIN CSL_CITATION { "citationItems" : [ { "id" : "ITEM-1", "itemData" : { "ISBN" : "9788533422612", "abstract" : "Altera a Resolu\u00e7\u00e3o RDC n\u00ba 44, de 17 de agosto de 2009, que disp\u00f5e sobre Boas Pr\u00e1ticas Farmac\u00eauticas para o controle sanit\u00e1rio do funcionamento, da dispensa\u00e7\u00e3o e da comercializa\u00e7\u00e3o de produtos e da presta\u00e7\u00e3o de servi\u00e7os farmac\u00eauticos em farm\u00e1cias e drogarias e d\u00e1 outras provid\u00eancias, e revoga a Instru\u00e7\u00e3o Normativa IN n\u00ba 10, de 17 de agosto de 2009.", "author" : [ { "dropping-particle" : "", "family" : "ANVISA", "given" : "Agencia Nacional de Vigil\u00e2ncia Sanit\u00e1ria", "non-dropping-particle" : "", "parse-names" : false, "suffix" : "" } ], "container-title" : "Diario Oficial da Uni\u00e3o", "id" : "ITEM-1", "issued" : { "date-parts" : [ [ "2012" ] ] }, "title" : "Resolu\u00e7\u00e3o - Rdc N\u00ba 41, De 26 De Julho De 2012", "type" : "article-journal" }, "uris" : [ "http://www.mendeley.com/documents/?uuid=be27f850-96c8-456a-baf2-0676df668504" ] } ], "mendeley" : { "formattedCitation" : "(ANVISA, 2012)", "manualFormatting" : "(BRASIL, 2012)", "plainTextFormattedCitation" : "(ANVISA, 2012)", "previouslyFormattedCitation" : "(ANVISA, 2012)" }, "properties" : { "noteIndex" : 0 }, "schema" : "https://github.com/citation-style-language/schema/raw/master/csl-citation.json" }</w:instrText>
      </w:r>
      <w:r w:rsidRPr="003B535E">
        <w:rPr>
          <w:rFonts w:ascii="Arial" w:hAnsi="Arial" w:cs="Arial"/>
          <w:color w:val="000000"/>
          <w:sz w:val="20"/>
          <w:szCs w:val="20"/>
          <w:lang w:val="pt-BR"/>
        </w:rPr>
        <w:fldChar w:fldCharType="separate"/>
      </w:r>
      <w:r w:rsidRPr="003B535E">
        <w:rPr>
          <w:rFonts w:ascii="Arial" w:hAnsi="Arial" w:cs="Arial"/>
          <w:noProof/>
          <w:color w:val="000000"/>
          <w:sz w:val="20"/>
          <w:szCs w:val="20"/>
          <w:lang w:val="pt-BR"/>
        </w:rPr>
        <w:t>(BRASIL, 2012)</w:t>
      </w:r>
      <w:r w:rsidRPr="003B535E">
        <w:rPr>
          <w:rFonts w:ascii="Arial" w:hAnsi="Arial" w:cs="Arial"/>
          <w:color w:val="000000"/>
          <w:sz w:val="20"/>
          <w:szCs w:val="20"/>
          <w:lang w:val="pt-BR"/>
        </w:rPr>
        <w:fldChar w:fldCharType="end"/>
      </w:r>
      <w:r w:rsidR="0075016F">
        <w:rPr>
          <w:rFonts w:ascii="Arial" w:hAnsi="Arial" w:cs="Arial"/>
          <w:color w:val="000000"/>
          <w:sz w:val="20"/>
          <w:szCs w:val="20"/>
          <w:lang w:val="pt-BR"/>
        </w:rPr>
        <w:t>.</w:t>
      </w:r>
    </w:p>
    <w:p w14:paraId="4E802E8A" w14:textId="70756BEE" w:rsidR="003B535E" w:rsidRPr="003B535E" w:rsidRDefault="003B535E" w:rsidP="003B535E">
      <w:pPr>
        <w:spacing w:after="120" w:line="276" w:lineRule="auto"/>
        <w:ind w:firstLine="284"/>
        <w:jc w:val="both"/>
        <w:rPr>
          <w:rFonts w:ascii="Arial" w:hAnsi="Arial" w:cs="Arial"/>
          <w:color w:val="000000"/>
          <w:sz w:val="20"/>
          <w:szCs w:val="20"/>
          <w:lang w:val="pt-BR"/>
        </w:rPr>
      </w:pPr>
      <w:r w:rsidRPr="003B535E">
        <w:rPr>
          <w:rFonts w:ascii="Arial" w:hAnsi="Arial" w:cs="Arial"/>
          <w:color w:val="000000"/>
          <w:sz w:val="20"/>
          <w:szCs w:val="20"/>
          <w:lang w:val="pt-BR"/>
        </w:rPr>
        <w:t xml:space="preserve">De acordo com a bula original do </w:t>
      </w:r>
      <w:proofErr w:type="spellStart"/>
      <w:r w:rsidRPr="003B535E">
        <w:rPr>
          <w:rFonts w:ascii="Arial" w:hAnsi="Arial" w:cs="Arial"/>
          <w:color w:val="000000"/>
          <w:sz w:val="20"/>
          <w:szCs w:val="20"/>
          <w:lang w:val="pt-BR"/>
        </w:rPr>
        <w:t>Neosoro</w:t>
      </w:r>
      <w:proofErr w:type="spellEnd"/>
      <w:r w:rsidRPr="003B535E">
        <w:rPr>
          <w:rFonts w:ascii="Arial" w:hAnsi="Arial" w:cs="Arial"/>
          <w:color w:val="000000"/>
          <w:sz w:val="20"/>
          <w:szCs w:val="20"/>
          <w:lang w:val="pt-BR"/>
        </w:rPr>
        <w:t xml:space="preserve">® (Cloridrato de </w:t>
      </w:r>
      <w:proofErr w:type="spellStart"/>
      <w:r w:rsidRPr="003B535E">
        <w:rPr>
          <w:rFonts w:ascii="Arial" w:hAnsi="Arial" w:cs="Arial"/>
          <w:color w:val="000000"/>
          <w:sz w:val="20"/>
          <w:szCs w:val="20"/>
          <w:lang w:val="pt-BR"/>
        </w:rPr>
        <w:t>Nafazolina</w:t>
      </w:r>
      <w:proofErr w:type="spellEnd"/>
      <w:r w:rsidRPr="003B535E">
        <w:rPr>
          <w:rFonts w:ascii="Arial" w:hAnsi="Arial" w:cs="Arial"/>
          <w:color w:val="000000"/>
          <w:sz w:val="20"/>
          <w:szCs w:val="20"/>
          <w:lang w:val="pt-BR"/>
        </w:rPr>
        <w:t>), a posologia indica sua administração de 4 a 6 vezes ao dia por no máximo 5 ou 7 dias consecutivos</w:t>
      </w:r>
      <w:r w:rsidR="0075016F">
        <w:rPr>
          <w:rFonts w:ascii="Arial" w:hAnsi="Arial" w:cs="Arial"/>
          <w:color w:val="000000"/>
          <w:sz w:val="20"/>
          <w:szCs w:val="20"/>
          <w:lang w:val="pt-BR"/>
        </w:rPr>
        <w:fldChar w:fldCharType="begin" w:fldLock="1"/>
      </w:r>
      <w:r w:rsidR="0075016F">
        <w:rPr>
          <w:rFonts w:ascii="Arial" w:hAnsi="Arial" w:cs="Arial"/>
          <w:color w:val="000000"/>
          <w:sz w:val="20"/>
          <w:szCs w:val="20"/>
          <w:lang w:val="pt-BR"/>
        </w:rPr>
        <w:instrText>ADDIN CSL_CITATION { "citationItems" : [ { "id" : "ITEM-1", "itemData" : { "author" : [ { "dropping-particle" : "", "family" : "Ind\u00fastria", "given" : "Brainfarma", "non-dropping-particle" : "", "parse-names" : false, "suffix" : "" } ], "id" : "ITEM-1", "issued" : { "date-parts" : [ [ "0" ] ] }, "page" : "0-6", "title" : "( cloridrato de nafazolina )", "type" : "article-journal" }, "uris" : [ "http://www.mendeley.com/documents/?uuid=1a050501-ee1d-4c35-986c-95f2377c99f6" ] } ], "mendeley" : { "formattedCitation" : "(IND\u00daSTRIA, [s.d.])", "plainTextFormattedCitation" : "(IND\u00daSTRIA, [s.d.])", "previouslyFormattedCitation" : "(IND\u00daSTRIA, [s.d.])" }, "properties" : { "noteIndex" : 0 }, "schema" : "https://github.com/citation-style-language/schema/raw/master/csl-citation.json" }</w:instrText>
      </w:r>
      <w:r w:rsidR="0075016F">
        <w:rPr>
          <w:rFonts w:ascii="Arial" w:hAnsi="Arial" w:cs="Arial"/>
          <w:color w:val="000000"/>
          <w:sz w:val="20"/>
          <w:szCs w:val="20"/>
          <w:lang w:val="pt-BR"/>
        </w:rPr>
        <w:fldChar w:fldCharType="separate"/>
      </w:r>
      <w:r w:rsidR="0075016F" w:rsidRPr="0075016F">
        <w:rPr>
          <w:rFonts w:ascii="Arial" w:hAnsi="Arial" w:cs="Arial"/>
          <w:noProof/>
          <w:color w:val="000000"/>
          <w:sz w:val="20"/>
          <w:szCs w:val="20"/>
          <w:lang w:val="pt-BR"/>
        </w:rPr>
        <w:t>(INDÚSTRIA, [s.d.])</w:t>
      </w:r>
      <w:r w:rsidR="0075016F">
        <w:rPr>
          <w:rFonts w:ascii="Arial" w:hAnsi="Arial" w:cs="Arial"/>
          <w:color w:val="000000"/>
          <w:sz w:val="20"/>
          <w:szCs w:val="20"/>
          <w:lang w:val="pt-BR"/>
        </w:rPr>
        <w:fldChar w:fldCharType="end"/>
      </w:r>
      <w:r w:rsidRPr="003B535E">
        <w:rPr>
          <w:rFonts w:ascii="Arial" w:hAnsi="Arial" w:cs="Arial"/>
          <w:color w:val="000000"/>
          <w:sz w:val="20"/>
          <w:szCs w:val="20"/>
          <w:lang w:val="pt-BR"/>
        </w:rPr>
        <w:t>.</w:t>
      </w:r>
      <w:r w:rsidR="0075016F">
        <w:rPr>
          <w:rFonts w:ascii="Arial" w:hAnsi="Arial" w:cs="Arial"/>
          <w:color w:val="000000"/>
          <w:sz w:val="20"/>
          <w:szCs w:val="20"/>
          <w:lang w:val="pt-BR"/>
        </w:rPr>
        <w:t xml:space="preserve"> </w:t>
      </w:r>
      <w:r w:rsidRPr="003B535E">
        <w:rPr>
          <w:rFonts w:ascii="Arial" w:hAnsi="Arial" w:cs="Arial"/>
          <w:color w:val="000000"/>
          <w:sz w:val="20"/>
          <w:szCs w:val="20"/>
          <w:lang w:val="pt-BR"/>
        </w:rPr>
        <w:t xml:space="preserve">Quando esse fármaco é administrado somente nos períodos agudos dos sintomas, dentro do intervalo recomendado, os pacientes apresentam, em geral, apenas alívio rápido da obstrução nasal. Entretanto, seu consumo em excesso ou por tempo prolongado pode trazer complicações, como aumento da tolerância medicamentosa, </w:t>
      </w:r>
      <w:r w:rsidRPr="003B535E">
        <w:rPr>
          <w:rFonts w:ascii="Arial" w:hAnsi="Arial" w:cs="Arial"/>
          <w:color w:val="000000"/>
          <w:sz w:val="20"/>
          <w:szCs w:val="20"/>
          <w:lang w:val="pt-BR"/>
        </w:rPr>
        <w:lastRenderedPageBreak/>
        <w:t xml:space="preserve">alteração da motilidade ciliar, que prejudica a proteção do sistema respiratório, desenvolvimento de rinite medicamentosa, arritmias cardíacas, cefaleia, insônia, irritação nasal, agitação, espirros, taquicardia, tremores e retenção urinária. Além disso, vale ressaltar que seu uso está contraindicado em casos de hipertensão arterial (HA), diabetes mellitus (DM), hipotireoidismo e hiperplasia prostática (HP), tendo em vista os possíveis efeitos adversos que podem provocar </w:t>
      </w:r>
      <w:r w:rsidRPr="003B535E">
        <w:rPr>
          <w:rFonts w:ascii="Arial" w:hAnsi="Arial" w:cs="Arial"/>
          <w:color w:val="000000"/>
          <w:sz w:val="20"/>
          <w:szCs w:val="20"/>
          <w:lang w:val="pt-BR"/>
        </w:rPr>
        <w:fldChar w:fldCharType="begin" w:fldLock="1"/>
      </w:r>
      <w:r w:rsidR="0075016F">
        <w:rPr>
          <w:rFonts w:ascii="Arial" w:hAnsi="Arial" w:cs="Arial"/>
          <w:color w:val="000000"/>
          <w:sz w:val="20"/>
          <w:szCs w:val="20"/>
          <w:lang w:val="pt-BR"/>
        </w:rPr>
        <w:instrText>ADDIN CSL_CITATION { "citationItems" : [ { "id" : "ITEM-1", "itemData" : { "author" : [ { "dropping-particle" : "", "family" : "Nasais", "given" : "Descongestionantes", "non-dropping-particle" : "", "parse-names" : false, "suffix" : "" }, { "dropping-particle" : "", "family" : "De", "given" : "Perfil", "non-dropping-particle" : "", "parse-names" : false, "suffix" : "" }, { "dropping-particle" : "", "family" : "Rita", "given" : "Ana", "non-dropping-particle" : "", "parse-names" : false, "suffix" : "" }, { "dropping-particle" : "", "family" : "Santos", "given" : "Ferreira", "non-dropping-particle" : "", "parse-names" : false, "suffix" : "" } ], "id" : "ITEM-1", "issued" : { "date-parts" : [ [ "2014" ] ] }, "title" : "Comunit\u00e1ria e Investiga\u00e7\u00e3o", "type" : "article-journal" }, "uris" : [ "http://www.mendeley.com/documents/?uuid=83130075-d7f9-4874-9e0f-ef18a9b659ee", "http://www.mendeley.com/documents/?uuid=ec365c19-e57c-4132-9b8c-f94dda9fe86f" ] } ], "mendeley" : { "formattedCitation" : "(NASAIS et al., 2014)", "manualFormatting" : "(BORGES et al., 2014)", "plainTextFormattedCitation" : "(NASAIS et al., 2014)", "previouslyFormattedCitation" : "(NASAIS et al., 2014)" }, "properties" : { "noteIndex" : 0 }, "schema" : "https://github.com/citation-style-language/schema/raw/master/csl-citation.json" }</w:instrText>
      </w:r>
      <w:r w:rsidRPr="003B535E">
        <w:rPr>
          <w:rFonts w:ascii="Arial" w:hAnsi="Arial" w:cs="Arial"/>
          <w:color w:val="000000"/>
          <w:sz w:val="20"/>
          <w:szCs w:val="20"/>
          <w:lang w:val="pt-BR"/>
        </w:rPr>
        <w:fldChar w:fldCharType="separate"/>
      </w:r>
      <w:r w:rsidRPr="003B535E">
        <w:rPr>
          <w:rFonts w:ascii="Arial" w:hAnsi="Arial" w:cs="Arial"/>
          <w:noProof/>
          <w:color w:val="000000"/>
          <w:sz w:val="20"/>
          <w:szCs w:val="20"/>
          <w:lang w:val="pt-BR"/>
        </w:rPr>
        <w:t>(BORGES et al., 2014)</w:t>
      </w:r>
      <w:r w:rsidRPr="003B535E">
        <w:rPr>
          <w:rFonts w:ascii="Arial" w:hAnsi="Arial" w:cs="Arial"/>
          <w:color w:val="000000"/>
          <w:sz w:val="20"/>
          <w:szCs w:val="20"/>
          <w:lang w:val="pt-BR"/>
        </w:rPr>
        <w:fldChar w:fldCharType="end"/>
      </w:r>
      <w:r w:rsidRPr="003B535E">
        <w:rPr>
          <w:rFonts w:ascii="Arial" w:hAnsi="Arial" w:cs="Arial"/>
          <w:color w:val="000000"/>
          <w:sz w:val="20"/>
          <w:szCs w:val="20"/>
          <w:lang w:val="pt-BR"/>
        </w:rPr>
        <w:t>.</w:t>
      </w:r>
    </w:p>
    <w:p w14:paraId="64FC3176" w14:textId="77777777" w:rsidR="0046664D" w:rsidRPr="00A756D1" w:rsidRDefault="0046664D" w:rsidP="00254829">
      <w:pPr>
        <w:spacing w:after="120" w:line="276" w:lineRule="auto"/>
        <w:jc w:val="both"/>
        <w:rPr>
          <w:rFonts w:ascii="Arial" w:hAnsi="Arial" w:cs="Arial"/>
          <w:sz w:val="20"/>
          <w:szCs w:val="20"/>
          <w:lang w:val="pt-BR"/>
        </w:rPr>
      </w:pPr>
    </w:p>
    <w:p w14:paraId="06CFB03B" w14:textId="0BDB7925" w:rsidR="0046664D" w:rsidRPr="00A756D1" w:rsidRDefault="0046664D" w:rsidP="003B535E">
      <w:pPr>
        <w:spacing w:after="120" w:line="276" w:lineRule="auto"/>
        <w:jc w:val="both"/>
        <w:rPr>
          <w:rFonts w:ascii="Arial" w:hAnsi="Arial" w:cs="Arial"/>
          <w:sz w:val="20"/>
          <w:szCs w:val="20"/>
          <w:lang w:val="pt-BR"/>
        </w:rPr>
      </w:pPr>
      <w:r w:rsidRPr="00A756D1">
        <w:rPr>
          <w:rFonts w:ascii="Arial" w:hAnsi="Arial" w:cs="Arial"/>
          <w:b/>
          <w:bCs/>
          <w:sz w:val="20"/>
          <w:szCs w:val="20"/>
          <w:lang w:val="pt-BR"/>
        </w:rPr>
        <w:t>MÉTODOS</w:t>
      </w:r>
    </w:p>
    <w:p w14:paraId="7DF99F6B" w14:textId="77777777" w:rsidR="003B535E" w:rsidRPr="003B535E" w:rsidRDefault="003B535E" w:rsidP="003B535E">
      <w:pPr>
        <w:spacing w:after="120" w:line="276" w:lineRule="auto"/>
        <w:ind w:firstLine="284"/>
        <w:jc w:val="both"/>
        <w:rPr>
          <w:rFonts w:ascii="Arial" w:hAnsi="Arial" w:cs="Arial"/>
          <w:sz w:val="20"/>
          <w:szCs w:val="20"/>
          <w:lang w:val="pt-BR"/>
        </w:rPr>
      </w:pPr>
      <w:r w:rsidRPr="003B535E">
        <w:rPr>
          <w:rFonts w:ascii="Arial" w:hAnsi="Arial" w:cs="Arial"/>
          <w:sz w:val="20"/>
          <w:szCs w:val="20"/>
          <w:lang w:val="pt-BR"/>
        </w:rPr>
        <w:t>Este é um estudo quantitativo transversal entre estudantes de Medicina da PUC Goiás que possuem matrícula ativa em 2021.</w:t>
      </w:r>
    </w:p>
    <w:p w14:paraId="6C65B84A" w14:textId="77777777" w:rsidR="003B535E" w:rsidRPr="003B535E" w:rsidRDefault="003B535E" w:rsidP="003B535E">
      <w:pPr>
        <w:spacing w:after="120" w:line="276" w:lineRule="auto"/>
        <w:ind w:firstLine="284"/>
        <w:jc w:val="both"/>
        <w:rPr>
          <w:rFonts w:ascii="Arial" w:hAnsi="Arial" w:cs="Arial"/>
          <w:sz w:val="20"/>
          <w:szCs w:val="20"/>
          <w:lang w:val="pt-BR"/>
        </w:rPr>
      </w:pPr>
      <w:r w:rsidRPr="003B535E">
        <w:rPr>
          <w:rFonts w:ascii="Arial" w:hAnsi="Arial" w:cs="Arial"/>
          <w:sz w:val="20"/>
          <w:szCs w:val="20"/>
          <w:lang w:val="pt-BR"/>
        </w:rPr>
        <w:t xml:space="preserve">Assim que foi aprovado pelo Comitê de Ética em Pesquisa da Pontifícia Universidade Católica de Goiás, (Parecer nº: 4.422.746; CAAE: 39833320.0.0000.0037), 110 questionários foram aplicados virtualmente via Google </w:t>
      </w:r>
      <w:proofErr w:type="spellStart"/>
      <w:r w:rsidRPr="003B535E">
        <w:rPr>
          <w:rFonts w:ascii="Arial" w:hAnsi="Arial" w:cs="Arial"/>
          <w:sz w:val="20"/>
          <w:szCs w:val="20"/>
          <w:lang w:val="pt-BR"/>
        </w:rPr>
        <w:t>Forms</w:t>
      </w:r>
      <w:proofErr w:type="spellEnd"/>
      <w:r w:rsidRPr="003B535E">
        <w:rPr>
          <w:rFonts w:ascii="Arial" w:hAnsi="Arial" w:cs="Arial"/>
          <w:sz w:val="20"/>
          <w:szCs w:val="20"/>
          <w:lang w:val="pt-BR"/>
        </w:rPr>
        <w:t xml:space="preserve"> durante o primeiro semestre do ano de 2021. Os critérios de inclusão para o estudo foram idade superior a 18 anos e estar regularmente matriculados no curso. Não foram incluídos aqueles que se recusaram a responder ao questionário, que não aceitassem o TCLE e que não responderam todas as questões. Sinteticamente, tais questionários levantaram perguntas padronizadas sobre: idade, gênero, período cursado, uso de descongestionantes, regularidade, possíveis efeitos adversos, prescrição médica, automedicação, vínculo com aspectos sociais e emocionais, contraindicações e conhecimento sobre os possíveis malefícios.</w:t>
      </w:r>
    </w:p>
    <w:p w14:paraId="155BE8CB" w14:textId="77777777" w:rsidR="003B535E" w:rsidRPr="003B535E" w:rsidRDefault="003B535E" w:rsidP="003B535E">
      <w:pPr>
        <w:spacing w:after="120" w:line="276" w:lineRule="auto"/>
        <w:ind w:firstLine="284"/>
        <w:jc w:val="both"/>
        <w:rPr>
          <w:rFonts w:ascii="Arial" w:hAnsi="Arial" w:cs="Arial"/>
          <w:sz w:val="20"/>
          <w:szCs w:val="20"/>
          <w:lang w:val="pt-BR"/>
        </w:rPr>
      </w:pPr>
      <w:r w:rsidRPr="003B535E">
        <w:rPr>
          <w:rFonts w:ascii="Arial" w:hAnsi="Arial" w:cs="Arial"/>
          <w:sz w:val="20"/>
          <w:szCs w:val="20"/>
          <w:lang w:val="pt-BR"/>
        </w:rPr>
        <w:t>Dessa maneira, a partir dos 110 questionários padronizados que foram aplicados, foi realizado o levantamento de dados para a análise do perfil epidemiológico e da incidência de efeitos colaterais relacionados ao uso de descongestionantes nasais tópicos foi realizado a partir de informações obtidas.</w:t>
      </w:r>
    </w:p>
    <w:p w14:paraId="01FE7B9B" w14:textId="77777777" w:rsidR="003B535E" w:rsidRPr="003B535E" w:rsidRDefault="003B535E" w:rsidP="003B535E">
      <w:pPr>
        <w:spacing w:after="120" w:line="276" w:lineRule="auto"/>
        <w:ind w:firstLine="284"/>
        <w:jc w:val="both"/>
        <w:rPr>
          <w:rFonts w:ascii="Arial" w:hAnsi="Arial" w:cs="Arial"/>
          <w:sz w:val="20"/>
          <w:szCs w:val="20"/>
          <w:lang w:val="pt-BR"/>
        </w:rPr>
      </w:pPr>
      <w:r w:rsidRPr="003B535E">
        <w:rPr>
          <w:rFonts w:ascii="Arial" w:hAnsi="Arial" w:cs="Arial"/>
          <w:sz w:val="20"/>
          <w:szCs w:val="20"/>
          <w:lang w:val="pt-BR"/>
        </w:rPr>
        <w:t xml:space="preserve">Os dados foram tabulados e os gráficos e a análise estatística descritiva foram realizados utilizando-se o software Excel. Para a avaliação da associação entre o uso de descongestionantes e o desenvolvimento de efeitos colaterais foi empregado o teste X² utilizando o software </w:t>
      </w:r>
      <w:proofErr w:type="spellStart"/>
      <w:r w:rsidRPr="003B535E">
        <w:rPr>
          <w:rFonts w:ascii="Arial" w:hAnsi="Arial" w:cs="Arial"/>
          <w:sz w:val="20"/>
          <w:szCs w:val="20"/>
          <w:lang w:val="pt-BR"/>
        </w:rPr>
        <w:t>Paleontological</w:t>
      </w:r>
      <w:proofErr w:type="spellEnd"/>
      <w:r w:rsidRPr="003B535E">
        <w:rPr>
          <w:rFonts w:ascii="Arial" w:hAnsi="Arial" w:cs="Arial"/>
          <w:sz w:val="20"/>
          <w:szCs w:val="20"/>
          <w:lang w:val="pt-BR"/>
        </w:rPr>
        <w:t xml:space="preserve"> </w:t>
      </w:r>
      <w:proofErr w:type="spellStart"/>
      <w:r w:rsidRPr="003B535E">
        <w:rPr>
          <w:rFonts w:ascii="Arial" w:hAnsi="Arial" w:cs="Arial"/>
          <w:sz w:val="20"/>
          <w:szCs w:val="20"/>
          <w:lang w:val="pt-BR"/>
        </w:rPr>
        <w:t>Statistics</w:t>
      </w:r>
      <w:proofErr w:type="spellEnd"/>
      <w:r w:rsidRPr="003B535E">
        <w:rPr>
          <w:rFonts w:ascii="Arial" w:hAnsi="Arial" w:cs="Arial"/>
          <w:sz w:val="20"/>
          <w:szCs w:val="20"/>
          <w:lang w:val="pt-BR"/>
        </w:rPr>
        <w:t xml:space="preserve"> Software </w:t>
      </w:r>
      <w:proofErr w:type="spellStart"/>
      <w:r w:rsidRPr="003B535E">
        <w:rPr>
          <w:rFonts w:ascii="Arial" w:hAnsi="Arial" w:cs="Arial"/>
          <w:sz w:val="20"/>
          <w:szCs w:val="20"/>
          <w:lang w:val="pt-BR"/>
        </w:rPr>
        <w:t>Package</w:t>
      </w:r>
      <w:proofErr w:type="spellEnd"/>
      <w:r w:rsidRPr="003B535E">
        <w:rPr>
          <w:rFonts w:ascii="Arial" w:hAnsi="Arial" w:cs="Arial"/>
          <w:sz w:val="20"/>
          <w:szCs w:val="20"/>
          <w:lang w:val="pt-BR"/>
        </w:rPr>
        <w:t xml:space="preserve"> For </w:t>
      </w:r>
      <w:proofErr w:type="spellStart"/>
      <w:r w:rsidRPr="003B535E">
        <w:rPr>
          <w:rFonts w:ascii="Arial" w:hAnsi="Arial" w:cs="Arial"/>
          <w:sz w:val="20"/>
          <w:szCs w:val="20"/>
          <w:lang w:val="pt-BR"/>
        </w:rPr>
        <w:t>Education</w:t>
      </w:r>
      <w:proofErr w:type="spellEnd"/>
      <w:r w:rsidRPr="003B535E">
        <w:rPr>
          <w:rFonts w:ascii="Arial" w:hAnsi="Arial" w:cs="Arial"/>
          <w:sz w:val="20"/>
          <w:szCs w:val="20"/>
          <w:lang w:val="pt-BR"/>
        </w:rPr>
        <w:t xml:space="preserve"> </w:t>
      </w:r>
      <w:proofErr w:type="spellStart"/>
      <w:r w:rsidRPr="003B535E">
        <w:rPr>
          <w:rFonts w:ascii="Arial" w:hAnsi="Arial" w:cs="Arial"/>
          <w:sz w:val="20"/>
          <w:szCs w:val="20"/>
          <w:lang w:val="pt-BR"/>
        </w:rPr>
        <w:t>and</w:t>
      </w:r>
      <w:proofErr w:type="spellEnd"/>
      <w:r w:rsidRPr="003B535E">
        <w:rPr>
          <w:rFonts w:ascii="Arial" w:hAnsi="Arial" w:cs="Arial"/>
          <w:sz w:val="20"/>
          <w:szCs w:val="20"/>
          <w:lang w:val="pt-BR"/>
        </w:rPr>
        <w:t xml:space="preserve"> Data </w:t>
      </w:r>
      <w:proofErr w:type="spellStart"/>
      <w:r w:rsidRPr="003B535E">
        <w:rPr>
          <w:rFonts w:ascii="Arial" w:hAnsi="Arial" w:cs="Arial"/>
          <w:sz w:val="20"/>
          <w:szCs w:val="20"/>
          <w:lang w:val="pt-BR"/>
        </w:rPr>
        <w:t>Analysis</w:t>
      </w:r>
      <w:proofErr w:type="spellEnd"/>
      <w:r w:rsidRPr="003B535E">
        <w:rPr>
          <w:rFonts w:ascii="Arial" w:hAnsi="Arial" w:cs="Arial"/>
          <w:sz w:val="20"/>
          <w:szCs w:val="20"/>
          <w:lang w:val="pt-BR"/>
        </w:rPr>
        <w:t xml:space="preserve"> (PAST) versão 4.04; adotando-se um nível de significância de 5% para esses testes estatísticos. Dessa maneira, um valor de p ≤ 0,05, ou seja, probabilidade menor ou igual a 5% de que a diferença observada entre os grupos seja ao acaso, indica que há diferença significativa entre os grupos.</w:t>
      </w:r>
    </w:p>
    <w:p w14:paraId="68A88120" w14:textId="77777777" w:rsidR="0046664D" w:rsidRPr="00A756D1" w:rsidRDefault="0046664D" w:rsidP="00477FAD">
      <w:pPr>
        <w:spacing w:after="120" w:line="276" w:lineRule="auto"/>
        <w:jc w:val="both"/>
        <w:rPr>
          <w:rFonts w:ascii="Arial" w:hAnsi="Arial" w:cs="Arial"/>
          <w:b/>
          <w:bCs/>
          <w:sz w:val="20"/>
          <w:szCs w:val="20"/>
          <w:lang w:val="pt-BR"/>
        </w:rPr>
      </w:pPr>
    </w:p>
    <w:p w14:paraId="236EA396" w14:textId="75408FB4" w:rsidR="0046664D" w:rsidRPr="00A756D1" w:rsidRDefault="0046664D" w:rsidP="00477FAD">
      <w:pPr>
        <w:spacing w:after="120" w:line="276" w:lineRule="auto"/>
        <w:jc w:val="both"/>
        <w:rPr>
          <w:rFonts w:ascii="Arial" w:hAnsi="Arial" w:cs="Arial"/>
          <w:sz w:val="20"/>
          <w:szCs w:val="20"/>
          <w:lang w:val="pt-BR"/>
        </w:rPr>
      </w:pPr>
      <w:r w:rsidRPr="00A756D1">
        <w:rPr>
          <w:rFonts w:ascii="Arial" w:hAnsi="Arial" w:cs="Arial"/>
          <w:b/>
          <w:bCs/>
          <w:sz w:val="20"/>
          <w:szCs w:val="20"/>
          <w:lang w:val="pt-BR"/>
        </w:rPr>
        <w:t>RESULTADOS</w:t>
      </w:r>
    </w:p>
    <w:p w14:paraId="0BCE351A" w14:textId="77777777" w:rsidR="00A756D1" w:rsidRPr="00A756D1" w:rsidRDefault="00A756D1" w:rsidP="00A756D1">
      <w:pPr>
        <w:shd w:val="clear" w:color="auto" w:fill="FFFFFF"/>
        <w:spacing w:after="120" w:line="276" w:lineRule="auto"/>
        <w:ind w:firstLine="284"/>
        <w:jc w:val="both"/>
        <w:rPr>
          <w:rFonts w:ascii="Arial" w:hAnsi="Arial" w:cs="Arial"/>
          <w:sz w:val="20"/>
          <w:szCs w:val="20"/>
          <w:lang w:val="pt-BR"/>
        </w:rPr>
      </w:pPr>
      <w:r w:rsidRPr="00A756D1">
        <w:rPr>
          <w:rFonts w:ascii="Arial" w:hAnsi="Arial" w:cs="Arial"/>
          <w:sz w:val="20"/>
          <w:szCs w:val="20"/>
          <w:lang w:val="pt-BR"/>
        </w:rPr>
        <w:t xml:space="preserve">Foram aplicados 110 questionários por meio de formulários virtuais gerados pelo Google </w:t>
      </w:r>
      <w:proofErr w:type="spellStart"/>
      <w:r w:rsidRPr="00A756D1">
        <w:rPr>
          <w:rFonts w:ascii="Arial" w:hAnsi="Arial" w:cs="Arial"/>
          <w:sz w:val="20"/>
          <w:szCs w:val="20"/>
          <w:lang w:val="pt-BR"/>
        </w:rPr>
        <w:t>Forms</w:t>
      </w:r>
      <w:proofErr w:type="spellEnd"/>
      <w:r w:rsidRPr="00A756D1">
        <w:rPr>
          <w:rFonts w:ascii="Arial" w:hAnsi="Arial" w:cs="Arial"/>
          <w:sz w:val="20"/>
          <w:szCs w:val="20"/>
          <w:lang w:val="pt-BR"/>
        </w:rPr>
        <w:t>. A distribuição de respostas variou conforme período do curso, sendo o 10º e 12º períodos excluídos (o 10º período não possuía turma de alunos no momento da aplicação e o 12º havia graduado, excepcionalmente, antes do previsto devido às condições de pandemia do COVID-19).</w:t>
      </w:r>
    </w:p>
    <w:p w14:paraId="559F6CEF" w14:textId="0588112D" w:rsidR="00A756D1" w:rsidRDefault="00A756D1" w:rsidP="00497EB1">
      <w:pPr>
        <w:shd w:val="clear" w:color="auto" w:fill="FFFFFF"/>
        <w:spacing w:after="120" w:line="276" w:lineRule="auto"/>
        <w:ind w:firstLine="284"/>
        <w:jc w:val="both"/>
        <w:rPr>
          <w:rFonts w:ascii="Arial" w:hAnsi="Arial" w:cs="Arial"/>
          <w:b/>
          <w:bCs/>
          <w:sz w:val="20"/>
          <w:szCs w:val="20"/>
          <w:lang w:val="pt-BR"/>
        </w:rPr>
      </w:pPr>
      <w:r w:rsidRPr="00A756D1">
        <w:rPr>
          <w:rFonts w:ascii="Arial" w:hAnsi="Arial" w:cs="Arial"/>
          <w:sz w:val="20"/>
          <w:szCs w:val="20"/>
          <w:lang w:val="pt-BR"/>
        </w:rPr>
        <w:t xml:space="preserve">Dos 110 participantes, 72,7% (n=80) afirmaram fazer uso de descongestionantes nasais e 18,18% (n=20) não fazem uso </w:t>
      </w:r>
      <w:r w:rsidRPr="00A756D1">
        <w:rPr>
          <w:rFonts w:ascii="Arial" w:hAnsi="Arial" w:cs="Arial"/>
          <w:b/>
          <w:bCs/>
          <w:sz w:val="20"/>
          <w:szCs w:val="20"/>
          <w:lang w:val="pt-BR"/>
        </w:rPr>
        <w:t>(Tabela 1).</w:t>
      </w:r>
    </w:p>
    <w:p w14:paraId="5007A68A" w14:textId="77777777" w:rsidR="00497EB1" w:rsidRPr="00A756D1" w:rsidRDefault="00497EB1" w:rsidP="00497EB1">
      <w:pPr>
        <w:shd w:val="clear" w:color="auto" w:fill="FFFFFF"/>
        <w:spacing w:after="120" w:line="276" w:lineRule="auto"/>
        <w:ind w:firstLine="284"/>
        <w:jc w:val="both"/>
        <w:rPr>
          <w:rFonts w:ascii="Arial" w:hAnsi="Arial" w:cs="Arial"/>
          <w:b/>
          <w:bCs/>
          <w:sz w:val="20"/>
          <w:szCs w:val="20"/>
          <w:lang w:val="pt-BR"/>
        </w:rPr>
      </w:pPr>
    </w:p>
    <w:p w14:paraId="465A73C2" w14:textId="46A20A83" w:rsidR="00A756D1" w:rsidRPr="00A756D1" w:rsidRDefault="00A756D1" w:rsidP="00A756D1">
      <w:pPr>
        <w:shd w:val="clear" w:color="auto" w:fill="FFFFFF"/>
        <w:jc w:val="both"/>
        <w:rPr>
          <w:rFonts w:ascii="Arial" w:hAnsi="Arial" w:cs="Arial"/>
          <w:sz w:val="20"/>
          <w:szCs w:val="20"/>
          <w:lang w:val="pt-BR"/>
        </w:rPr>
      </w:pPr>
      <w:r w:rsidRPr="00A756D1">
        <w:rPr>
          <w:rFonts w:ascii="Arial" w:hAnsi="Arial" w:cs="Arial"/>
          <w:b/>
          <w:bCs/>
          <w:sz w:val="20"/>
          <w:szCs w:val="20"/>
          <w:lang w:val="pt-BR"/>
        </w:rPr>
        <w:t xml:space="preserve">Tabela 1 – </w:t>
      </w:r>
      <w:r w:rsidRPr="00A756D1">
        <w:rPr>
          <w:rFonts w:ascii="Arial" w:hAnsi="Arial" w:cs="Arial"/>
          <w:sz w:val="20"/>
          <w:szCs w:val="20"/>
          <w:lang w:val="pt-BR"/>
        </w:rPr>
        <w:t>Quantidade de participantes que fazem uso de descongestionantes nasais tópicos entre acadêmicos de uma universidade na região central do estado de Goiás.</w:t>
      </w:r>
    </w:p>
    <w:tbl>
      <w:tblPr>
        <w:tblStyle w:val="Tabelacomgrade"/>
        <w:tblW w:w="9629" w:type="dxa"/>
        <w:tblInd w:w="-5" w:type="dxa"/>
        <w:tblLook w:val="04A0" w:firstRow="1" w:lastRow="0" w:firstColumn="1" w:lastColumn="0" w:noHBand="0" w:noVBand="1"/>
      </w:tblPr>
      <w:tblGrid>
        <w:gridCol w:w="2705"/>
        <w:gridCol w:w="2369"/>
        <w:gridCol w:w="2275"/>
        <w:gridCol w:w="2280"/>
      </w:tblGrid>
      <w:tr w:rsidR="00A756D1" w:rsidRPr="00A756D1" w14:paraId="19D798D6" w14:textId="77777777" w:rsidTr="003C057D">
        <w:trPr>
          <w:trHeight w:val="364"/>
        </w:trPr>
        <w:tc>
          <w:tcPr>
            <w:tcW w:w="2705" w:type="dxa"/>
            <w:tcBorders>
              <w:left w:val="nil"/>
              <w:right w:val="nil"/>
            </w:tcBorders>
          </w:tcPr>
          <w:p w14:paraId="57A57CF6"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Variável</w:t>
            </w:r>
          </w:p>
        </w:tc>
        <w:tc>
          <w:tcPr>
            <w:tcW w:w="2369" w:type="dxa"/>
            <w:tcBorders>
              <w:left w:val="nil"/>
              <w:right w:val="nil"/>
            </w:tcBorders>
          </w:tcPr>
          <w:p w14:paraId="02B7D6C5" w14:textId="77777777" w:rsidR="00A756D1" w:rsidRPr="00A756D1" w:rsidRDefault="00A756D1" w:rsidP="00BD37DD">
            <w:pPr>
              <w:jc w:val="center"/>
              <w:rPr>
                <w:rFonts w:ascii="Arial" w:hAnsi="Arial" w:cs="Arial"/>
                <w:b/>
                <w:bCs/>
                <w:sz w:val="20"/>
                <w:szCs w:val="20"/>
                <w:lang w:val="pt-BR"/>
              </w:rPr>
            </w:pPr>
          </w:p>
        </w:tc>
        <w:tc>
          <w:tcPr>
            <w:tcW w:w="2275" w:type="dxa"/>
            <w:tcBorders>
              <w:left w:val="nil"/>
              <w:right w:val="nil"/>
            </w:tcBorders>
          </w:tcPr>
          <w:p w14:paraId="61B6E3A2"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Frequência</w:t>
            </w:r>
          </w:p>
        </w:tc>
        <w:tc>
          <w:tcPr>
            <w:tcW w:w="2280" w:type="dxa"/>
            <w:tcBorders>
              <w:left w:val="nil"/>
              <w:right w:val="nil"/>
            </w:tcBorders>
          </w:tcPr>
          <w:p w14:paraId="4047B42A"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w:t>
            </w:r>
          </w:p>
        </w:tc>
      </w:tr>
      <w:tr w:rsidR="00A756D1" w:rsidRPr="00A756D1" w14:paraId="6CBE6943" w14:textId="77777777" w:rsidTr="003C057D">
        <w:tblPrEx>
          <w:jc w:val="center"/>
          <w:tblInd w:w="0" w:type="dxa"/>
        </w:tblPrEx>
        <w:trPr>
          <w:trHeight w:val="364"/>
          <w:jc w:val="center"/>
        </w:trPr>
        <w:tc>
          <w:tcPr>
            <w:tcW w:w="2705" w:type="dxa"/>
            <w:vMerge w:val="restart"/>
            <w:tcBorders>
              <w:left w:val="nil"/>
              <w:right w:val="nil"/>
            </w:tcBorders>
            <w:vAlign w:val="center"/>
          </w:tcPr>
          <w:p w14:paraId="7F0EFA98"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Utiliza descongestionantes nasais tópicos</w:t>
            </w:r>
          </w:p>
        </w:tc>
        <w:tc>
          <w:tcPr>
            <w:tcW w:w="2369" w:type="dxa"/>
            <w:tcBorders>
              <w:left w:val="nil"/>
              <w:bottom w:val="nil"/>
              <w:right w:val="nil"/>
            </w:tcBorders>
            <w:vAlign w:val="center"/>
          </w:tcPr>
          <w:p w14:paraId="7CB0838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Sim</w:t>
            </w:r>
          </w:p>
        </w:tc>
        <w:tc>
          <w:tcPr>
            <w:tcW w:w="2275" w:type="dxa"/>
            <w:tcBorders>
              <w:left w:val="nil"/>
              <w:bottom w:val="nil"/>
              <w:right w:val="nil"/>
            </w:tcBorders>
            <w:vAlign w:val="center"/>
          </w:tcPr>
          <w:p w14:paraId="1AB33BBF"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80</w:t>
            </w:r>
          </w:p>
        </w:tc>
        <w:tc>
          <w:tcPr>
            <w:tcW w:w="2280" w:type="dxa"/>
            <w:tcBorders>
              <w:left w:val="nil"/>
              <w:bottom w:val="nil"/>
              <w:right w:val="nil"/>
            </w:tcBorders>
            <w:vAlign w:val="center"/>
          </w:tcPr>
          <w:p w14:paraId="6907D68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72,73%</w:t>
            </w:r>
          </w:p>
        </w:tc>
      </w:tr>
      <w:tr w:rsidR="00A756D1" w:rsidRPr="00A756D1" w14:paraId="449501A9" w14:textId="77777777" w:rsidTr="003C057D">
        <w:tblPrEx>
          <w:jc w:val="center"/>
          <w:tblInd w:w="0" w:type="dxa"/>
        </w:tblPrEx>
        <w:trPr>
          <w:trHeight w:val="728"/>
          <w:jc w:val="center"/>
        </w:trPr>
        <w:tc>
          <w:tcPr>
            <w:tcW w:w="2705" w:type="dxa"/>
            <w:vMerge/>
            <w:tcBorders>
              <w:left w:val="nil"/>
              <w:bottom w:val="single" w:sz="4" w:space="0" w:color="auto"/>
              <w:right w:val="nil"/>
            </w:tcBorders>
            <w:vAlign w:val="center"/>
          </w:tcPr>
          <w:p w14:paraId="5FD91637" w14:textId="77777777" w:rsidR="00A756D1" w:rsidRPr="00A756D1" w:rsidRDefault="00A756D1" w:rsidP="00BD37DD">
            <w:pPr>
              <w:jc w:val="center"/>
              <w:rPr>
                <w:rFonts w:ascii="Arial" w:hAnsi="Arial" w:cs="Arial"/>
                <w:b/>
                <w:bCs/>
                <w:sz w:val="20"/>
                <w:szCs w:val="20"/>
                <w:lang w:val="pt-BR"/>
              </w:rPr>
            </w:pPr>
          </w:p>
        </w:tc>
        <w:tc>
          <w:tcPr>
            <w:tcW w:w="2369" w:type="dxa"/>
            <w:tcBorders>
              <w:top w:val="nil"/>
              <w:left w:val="nil"/>
              <w:bottom w:val="single" w:sz="4" w:space="0" w:color="auto"/>
              <w:right w:val="nil"/>
            </w:tcBorders>
            <w:vAlign w:val="center"/>
          </w:tcPr>
          <w:p w14:paraId="263624F5"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Não</w:t>
            </w:r>
          </w:p>
        </w:tc>
        <w:tc>
          <w:tcPr>
            <w:tcW w:w="2275" w:type="dxa"/>
            <w:tcBorders>
              <w:top w:val="nil"/>
              <w:left w:val="nil"/>
              <w:bottom w:val="single" w:sz="4" w:space="0" w:color="auto"/>
              <w:right w:val="nil"/>
            </w:tcBorders>
            <w:vAlign w:val="center"/>
          </w:tcPr>
          <w:p w14:paraId="063490D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20</w:t>
            </w:r>
          </w:p>
        </w:tc>
        <w:tc>
          <w:tcPr>
            <w:tcW w:w="2280" w:type="dxa"/>
            <w:tcBorders>
              <w:top w:val="nil"/>
              <w:left w:val="nil"/>
              <w:bottom w:val="single" w:sz="4" w:space="0" w:color="auto"/>
              <w:right w:val="nil"/>
            </w:tcBorders>
            <w:vAlign w:val="center"/>
          </w:tcPr>
          <w:p w14:paraId="29A546AC"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18,18%</w:t>
            </w:r>
          </w:p>
        </w:tc>
      </w:tr>
    </w:tbl>
    <w:p w14:paraId="2208BB06" w14:textId="77777777" w:rsidR="00A756D1" w:rsidRPr="00A756D1" w:rsidRDefault="00A756D1" w:rsidP="00497EB1">
      <w:pPr>
        <w:shd w:val="clear" w:color="auto" w:fill="FFFFFF"/>
        <w:spacing w:afterLines="120" w:after="288" w:line="276" w:lineRule="auto"/>
        <w:jc w:val="both"/>
        <w:rPr>
          <w:rFonts w:ascii="Arial" w:hAnsi="Arial" w:cs="Arial"/>
          <w:sz w:val="20"/>
          <w:szCs w:val="20"/>
          <w:lang w:val="pt-BR"/>
        </w:rPr>
      </w:pPr>
      <w:r w:rsidRPr="00A756D1">
        <w:rPr>
          <w:rFonts w:ascii="Arial" w:hAnsi="Arial" w:cs="Arial"/>
          <w:sz w:val="20"/>
          <w:szCs w:val="20"/>
          <w:lang w:val="pt-BR"/>
        </w:rPr>
        <w:t>Fonte: Paula, GO, et al., 2021.</w:t>
      </w:r>
    </w:p>
    <w:p w14:paraId="43FBAAE6" w14:textId="77777777"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r w:rsidRPr="00A756D1">
        <w:rPr>
          <w:rFonts w:ascii="Arial" w:hAnsi="Arial" w:cs="Arial"/>
          <w:sz w:val="20"/>
          <w:szCs w:val="20"/>
          <w:lang w:val="pt-BR"/>
        </w:rPr>
        <w:lastRenderedPageBreak/>
        <w:t xml:space="preserve">Entre os usuários, </w:t>
      </w:r>
      <w:bookmarkStart w:id="1" w:name="_Hlk85208829"/>
      <w:r w:rsidRPr="00A756D1">
        <w:rPr>
          <w:rFonts w:ascii="Arial" w:hAnsi="Arial" w:cs="Arial"/>
          <w:sz w:val="20"/>
          <w:szCs w:val="20"/>
          <w:lang w:val="pt-BR"/>
        </w:rPr>
        <w:t>75,00% (n=60) foram de estudantes do sexo feminino</w:t>
      </w:r>
      <w:bookmarkEnd w:id="1"/>
      <w:r w:rsidRPr="00A756D1">
        <w:rPr>
          <w:rFonts w:ascii="Arial" w:hAnsi="Arial" w:cs="Arial"/>
          <w:sz w:val="20"/>
          <w:szCs w:val="20"/>
          <w:lang w:val="pt-BR"/>
        </w:rPr>
        <w:t>, e 25,00% (n=20) do sexo masculino. Em relação a distribuição de respostas por período do curso, 70% (n=56) dos usuários cursam do 5º ao 11º período e 30%(n=24), entre o 1º e o 4º.</w:t>
      </w:r>
    </w:p>
    <w:p w14:paraId="28D80B9A" w14:textId="77777777"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r w:rsidRPr="00A756D1">
        <w:rPr>
          <w:rFonts w:ascii="Arial" w:hAnsi="Arial" w:cs="Arial"/>
          <w:sz w:val="20"/>
          <w:szCs w:val="20"/>
          <w:lang w:val="pt-BR"/>
        </w:rPr>
        <w:t xml:space="preserve">Além disso, a maioria dos participantes, </w:t>
      </w:r>
      <w:bookmarkStart w:id="2" w:name="_Hlk85208855"/>
      <w:r w:rsidRPr="00A756D1">
        <w:rPr>
          <w:rFonts w:ascii="Arial" w:hAnsi="Arial" w:cs="Arial"/>
          <w:sz w:val="20"/>
          <w:szCs w:val="20"/>
          <w:lang w:val="pt-BR"/>
        </w:rPr>
        <w:t>65,00% (n=52) possui idade entre 21 e 25 anos</w:t>
      </w:r>
      <w:bookmarkEnd w:id="2"/>
      <w:r w:rsidRPr="00A756D1">
        <w:rPr>
          <w:rFonts w:ascii="Arial" w:hAnsi="Arial" w:cs="Arial"/>
          <w:sz w:val="20"/>
          <w:szCs w:val="20"/>
          <w:lang w:val="pt-BR"/>
        </w:rPr>
        <w:t xml:space="preserve">, sendo que as duas principais comorbidades referidas pelos usuários foram, respectivamente, </w:t>
      </w:r>
      <w:bookmarkStart w:id="3" w:name="_Hlk85208872"/>
      <w:r w:rsidRPr="00A756D1">
        <w:rPr>
          <w:rFonts w:ascii="Arial" w:hAnsi="Arial" w:cs="Arial"/>
          <w:sz w:val="20"/>
          <w:szCs w:val="20"/>
          <w:lang w:val="pt-BR"/>
        </w:rPr>
        <w:t>rinite, com 66,25% (n=53) e desvio de septo 36,25% (n=29).</w:t>
      </w:r>
      <w:bookmarkEnd w:id="3"/>
      <w:r w:rsidRPr="00A756D1">
        <w:rPr>
          <w:rFonts w:ascii="Arial" w:hAnsi="Arial" w:cs="Arial"/>
          <w:sz w:val="20"/>
          <w:szCs w:val="20"/>
          <w:lang w:val="pt-BR"/>
        </w:rPr>
        <w:t xml:space="preserve"> De todos os entrevistados que utilizam descongestionantes, </w:t>
      </w:r>
      <w:bookmarkStart w:id="4" w:name="_Hlk85208907"/>
      <w:r w:rsidRPr="00A756D1">
        <w:rPr>
          <w:rFonts w:ascii="Arial" w:hAnsi="Arial" w:cs="Arial"/>
          <w:sz w:val="20"/>
          <w:szCs w:val="20"/>
          <w:lang w:val="pt-BR"/>
        </w:rPr>
        <w:t xml:space="preserve">30% (n=24) dizem que não conhecem os possíveis malefícios </w:t>
      </w:r>
      <w:bookmarkEnd w:id="4"/>
      <w:r w:rsidRPr="00A756D1">
        <w:rPr>
          <w:rFonts w:ascii="Arial" w:hAnsi="Arial" w:cs="Arial"/>
          <w:sz w:val="20"/>
          <w:szCs w:val="20"/>
          <w:lang w:val="pt-BR"/>
        </w:rPr>
        <w:t xml:space="preserve">do seu uso inadequado. Os usuários, então, apresentaram o seguinte perfil </w:t>
      </w:r>
      <w:r w:rsidRPr="00A756D1">
        <w:rPr>
          <w:rFonts w:ascii="Arial" w:hAnsi="Arial" w:cs="Arial"/>
          <w:b/>
          <w:bCs/>
          <w:sz w:val="20"/>
          <w:szCs w:val="20"/>
          <w:lang w:val="pt-BR"/>
        </w:rPr>
        <w:t>(Tabela 2):</w:t>
      </w:r>
    </w:p>
    <w:p w14:paraId="00C31912" w14:textId="04886E78"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r w:rsidRPr="00A756D1">
        <w:rPr>
          <w:rFonts w:ascii="Arial" w:hAnsi="Arial" w:cs="Arial"/>
          <w:b/>
          <w:bCs/>
          <w:sz w:val="20"/>
          <w:szCs w:val="20"/>
          <w:lang w:val="pt-BR"/>
        </w:rPr>
        <w:t>Tabela 2 -</w:t>
      </w:r>
      <w:r w:rsidRPr="00A756D1">
        <w:rPr>
          <w:rFonts w:ascii="Arial" w:hAnsi="Arial" w:cs="Arial"/>
          <w:sz w:val="20"/>
          <w:szCs w:val="20"/>
          <w:lang w:val="pt-BR"/>
        </w:rPr>
        <w:t xml:space="preserve"> Distribuição da amostra de acadêmicos de uma universidade na região central do estado de Goiás que fazem uso de descongestionantes nasais tópicos.</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697"/>
        <w:gridCol w:w="2212"/>
        <w:gridCol w:w="149"/>
        <w:gridCol w:w="2268"/>
        <w:gridCol w:w="46"/>
        <w:gridCol w:w="2216"/>
        <w:gridCol w:w="11"/>
      </w:tblGrid>
      <w:tr w:rsidR="00A756D1" w:rsidRPr="00A756D1" w14:paraId="6BF33863" w14:textId="77777777" w:rsidTr="003C057D">
        <w:trPr>
          <w:gridAfter w:val="1"/>
          <w:wAfter w:w="11" w:type="dxa"/>
          <w:trHeight w:val="236"/>
        </w:trPr>
        <w:tc>
          <w:tcPr>
            <w:tcW w:w="2697" w:type="dxa"/>
            <w:tcBorders>
              <w:bottom w:val="single" w:sz="4" w:space="0" w:color="auto"/>
              <w:right w:val="nil"/>
            </w:tcBorders>
          </w:tcPr>
          <w:p w14:paraId="1AD30447"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Variável</w:t>
            </w:r>
          </w:p>
        </w:tc>
        <w:tc>
          <w:tcPr>
            <w:tcW w:w="2212" w:type="dxa"/>
            <w:tcBorders>
              <w:left w:val="nil"/>
              <w:bottom w:val="single" w:sz="4" w:space="0" w:color="auto"/>
              <w:right w:val="nil"/>
            </w:tcBorders>
          </w:tcPr>
          <w:p w14:paraId="2C57E785" w14:textId="77777777" w:rsidR="00A756D1" w:rsidRPr="00A756D1" w:rsidRDefault="00A756D1" w:rsidP="00BD37DD">
            <w:pPr>
              <w:jc w:val="center"/>
              <w:rPr>
                <w:rFonts w:ascii="Arial" w:hAnsi="Arial" w:cs="Arial"/>
                <w:b/>
                <w:bCs/>
                <w:sz w:val="20"/>
                <w:szCs w:val="20"/>
                <w:lang w:val="pt-BR"/>
              </w:rPr>
            </w:pPr>
          </w:p>
        </w:tc>
        <w:tc>
          <w:tcPr>
            <w:tcW w:w="2463" w:type="dxa"/>
            <w:gridSpan w:val="3"/>
            <w:tcBorders>
              <w:left w:val="nil"/>
              <w:bottom w:val="single" w:sz="4" w:space="0" w:color="auto"/>
              <w:right w:val="nil"/>
            </w:tcBorders>
          </w:tcPr>
          <w:p w14:paraId="435996FC"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N</w:t>
            </w:r>
          </w:p>
        </w:tc>
        <w:tc>
          <w:tcPr>
            <w:tcW w:w="2216" w:type="dxa"/>
            <w:tcBorders>
              <w:left w:val="nil"/>
              <w:bottom w:val="single" w:sz="4" w:space="0" w:color="auto"/>
            </w:tcBorders>
          </w:tcPr>
          <w:p w14:paraId="5F0207D4"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w:t>
            </w:r>
          </w:p>
        </w:tc>
      </w:tr>
      <w:tr w:rsidR="00A756D1" w:rsidRPr="00A756D1" w14:paraId="39D5A67E" w14:textId="77777777" w:rsidTr="003C057D">
        <w:trPr>
          <w:gridAfter w:val="1"/>
          <w:wAfter w:w="11" w:type="dxa"/>
          <w:trHeight w:val="236"/>
        </w:trPr>
        <w:tc>
          <w:tcPr>
            <w:tcW w:w="2697" w:type="dxa"/>
            <w:vMerge w:val="restart"/>
            <w:tcBorders>
              <w:bottom w:val="nil"/>
              <w:right w:val="nil"/>
            </w:tcBorders>
            <w:vAlign w:val="center"/>
          </w:tcPr>
          <w:p w14:paraId="6CC72F24"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Sexo</w:t>
            </w:r>
          </w:p>
        </w:tc>
        <w:tc>
          <w:tcPr>
            <w:tcW w:w="2212" w:type="dxa"/>
            <w:tcBorders>
              <w:left w:val="nil"/>
              <w:bottom w:val="nil"/>
              <w:right w:val="nil"/>
            </w:tcBorders>
          </w:tcPr>
          <w:p w14:paraId="3068579D"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Feminino</w:t>
            </w:r>
          </w:p>
        </w:tc>
        <w:tc>
          <w:tcPr>
            <w:tcW w:w="2463" w:type="dxa"/>
            <w:gridSpan w:val="3"/>
            <w:tcBorders>
              <w:left w:val="nil"/>
              <w:bottom w:val="nil"/>
              <w:right w:val="nil"/>
            </w:tcBorders>
          </w:tcPr>
          <w:p w14:paraId="2DF5EC4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60</w:t>
            </w:r>
          </w:p>
        </w:tc>
        <w:tc>
          <w:tcPr>
            <w:tcW w:w="2216" w:type="dxa"/>
            <w:tcBorders>
              <w:left w:val="nil"/>
              <w:bottom w:val="nil"/>
            </w:tcBorders>
          </w:tcPr>
          <w:p w14:paraId="4E76ACF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75,00%</w:t>
            </w:r>
          </w:p>
        </w:tc>
      </w:tr>
      <w:tr w:rsidR="00A756D1" w:rsidRPr="00A756D1" w14:paraId="5B1B76C6" w14:textId="77777777" w:rsidTr="003C057D">
        <w:trPr>
          <w:gridAfter w:val="1"/>
          <w:wAfter w:w="11" w:type="dxa"/>
          <w:trHeight w:val="236"/>
        </w:trPr>
        <w:tc>
          <w:tcPr>
            <w:tcW w:w="2697" w:type="dxa"/>
            <w:vMerge/>
            <w:tcBorders>
              <w:top w:val="nil"/>
              <w:bottom w:val="single" w:sz="4" w:space="0" w:color="auto"/>
              <w:right w:val="nil"/>
            </w:tcBorders>
            <w:vAlign w:val="center"/>
          </w:tcPr>
          <w:p w14:paraId="5460FCCC"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single" w:sz="4" w:space="0" w:color="auto"/>
              <w:right w:val="nil"/>
            </w:tcBorders>
          </w:tcPr>
          <w:p w14:paraId="27CF13D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Masculino</w:t>
            </w:r>
          </w:p>
        </w:tc>
        <w:tc>
          <w:tcPr>
            <w:tcW w:w="2463" w:type="dxa"/>
            <w:gridSpan w:val="3"/>
            <w:tcBorders>
              <w:top w:val="nil"/>
              <w:left w:val="nil"/>
              <w:bottom w:val="single" w:sz="4" w:space="0" w:color="auto"/>
              <w:right w:val="nil"/>
            </w:tcBorders>
          </w:tcPr>
          <w:p w14:paraId="4E3846D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20</w:t>
            </w:r>
          </w:p>
        </w:tc>
        <w:tc>
          <w:tcPr>
            <w:tcW w:w="2216" w:type="dxa"/>
            <w:tcBorders>
              <w:top w:val="nil"/>
              <w:left w:val="nil"/>
              <w:bottom w:val="single" w:sz="4" w:space="0" w:color="auto"/>
            </w:tcBorders>
          </w:tcPr>
          <w:p w14:paraId="600280F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25,00%</w:t>
            </w:r>
          </w:p>
        </w:tc>
      </w:tr>
      <w:tr w:rsidR="00A756D1" w:rsidRPr="00A756D1" w14:paraId="1FE2A90B" w14:textId="77777777" w:rsidTr="003C057D">
        <w:trPr>
          <w:gridAfter w:val="1"/>
          <w:wAfter w:w="11" w:type="dxa"/>
          <w:trHeight w:val="236"/>
        </w:trPr>
        <w:tc>
          <w:tcPr>
            <w:tcW w:w="2697" w:type="dxa"/>
            <w:vMerge w:val="restart"/>
            <w:tcBorders>
              <w:bottom w:val="nil"/>
              <w:right w:val="nil"/>
            </w:tcBorders>
            <w:vAlign w:val="center"/>
          </w:tcPr>
          <w:p w14:paraId="47A8765A"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Período</w:t>
            </w:r>
          </w:p>
        </w:tc>
        <w:tc>
          <w:tcPr>
            <w:tcW w:w="2212" w:type="dxa"/>
            <w:tcBorders>
              <w:left w:val="nil"/>
              <w:bottom w:val="nil"/>
              <w:right w:val="nil"/>
            </w:tcBorders>
          </w:tcPr>
          <w:p w14:paraId="24D12E2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w:t>
            </w:r>
          </w:p>
        </w:tc>
        <w:tc>
          <w:tcPr>
            <w:tcW w:w="2463" w:type="dxa"/>
            <w:gridSpan w:val="3"/>
            <w:tcBorders>
              <w:left w:val="nil"/>
              <w:bottom w:val="nil"/>
              <w:right w:val="nil"/>
            </w:tcBorders>
          </w:tcPr>
          <w:p w14:paraId="07E4E870"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w:t>
            </w:r>
          </w:p>
        </w:tc>
        <w:tc>
          <w:tcPr>
            <w:tcW w:w="2216" w:type="dxa"/>
            <w:tcBorders>
              <w:left w:val="nil"/>
              <w:bottom w:val="nil"/>
            </w:tcBorders>
          </w:tcPr>
          <w:p w14:paraId="73B5C8B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7,50%</w:t>
            </w:r>
          </w:p>
        </w:tc>
      </w:tr>
      <w:tr w:rsidR="00A756D1" w:rsidRPr="00A756D1" w14:paraId="6459F123" w14:textId="77777777" w:rsidTr="003C057D">
        <w:trPr>
          <w:gridAfter w:val="1"/>
          <w:wAfter w:w="11" w:type="dxa"/>
          <w:trHeight w:val="252"/>
        </w:trPr>
        <w:tc>
          <w:tcPr>
            <w:tcW w:w="2697" w:type="dxa"/>
            <w:vMerge/>
            <w:tcBorders>
              <w:top w:val="nil"/>
              <w:bottom w:val="nil"/>
              <w:right w:val="nil"/>
            </w:tcBorders>
            <w:vAlign w:val="center"/>
          </w:tcPr>
          <w:p w14:paraId="557BCF41"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nil"/>
              <w:right w:val="nil"/>
            </w:tcBorders>
          </w:tcPr>
          <w:p w14:paraId="09CADCA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w:t>
            </w:r>
          </w:p>
        </w:tc>
        <w:tc>
          <w:tcPr>
            <w:tcW w:w="2463" w:type="dxa"/>
            <w:gridSpan w:val="3"/>
            <w:tcBorders>
              <w:top w:val="nil"/>
              <w:left w:val="nil"/>
              <w:bottom w:val="nil"/>
              <w:right w:val="nil"/>
            </w:tcBorders>
          </w:tcPr>
          <w:p w14:paraId="4680166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w:t>
            </w:r>
          </w:p>
        </w:tc>
        <w:tc>
          <w:tcPr>
            <w:tcW w:w="2216" w:type="dxa"/>
            <w:tcBorders>
              <w:top w:val="nil"/>
              <w:left w:val="nil"/>
              <w:bottom w:val="nil"/>
            </w:tcBorders>
          </w:tcPr>
          <w:p w14:paraId="3AE7A96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6,25%</w:t>
            </w:r>
          </w:p>
        </w:tc>
      </w:tr>
      <w:tr w:rsidR="00A756D1" w:rsidRPr="00A756D1" w14:paraId="3FE81840" w14:textId="77777777" w:rsidTr="003C057D">
        <w:trPr>
          <w:gridAfter w:val="1"/>
          <w:wAfter w:w="11" w:type="dxa"/>
          <w:trHeight w:val="236"/>
        </w:trPr>
        <w:tc>
          <w:tcPr>
            <w:tcW w:w="2697" w:type="dxa"/>
            <w:vMerge/>
            <w:tcBorders>
              <w:top w:val="nil"/>
              <w:bottom w:val="nil"/>
              <w:right w:val="nil"/>
            </w:tcBorders>
            <w:vAlign w:val="center"/>
          </w:tcPr>
          <w:p w14:paraId="6984B211"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nil"/>
              <w:right w:val="nil"/>
            </w:tcBorders>
          </w:tcPr>
          <w:p w14:paraId="22B014A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w:t>
            </w:r>
          </w:p>
        </w:tc>
        <w:tc>
          <w:tcPr>
            <w:tcW w:w="2463" w:type="dxa"/>
            <w:gridSpan w:val="3"/>
            <w:tcBorders>
              <w:top w:val="nil"/>
              <w:left w:val="nil"/>
              <w:bottom w:val="nil"/>
              <w:right w:val="nil"/>
            </w:tcBorders>
          </w:tcPr>
          <w:p w14:paraId="5815731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9</w:t>
            </w:r>
          </w:p>
        </w:tc>
        <w:tc>
          <w:tcPr>
            <w:tcW w:w="2216" w:type="dxa"/>
            <w:tcBorders>
              <w:top w:val="nil"/>
              <w:left w:val="nil"/>
              <w:bottom w:val="nil"/>
            </w:tcBorders>
          </w:tcPr>
          <w:p w14:paraId="49EDB93C"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11,25%</w:t>
            </w:r>
          </w:p>
        </w:tc>
      </w:tr>
      <w:tr w:rsidR="00A756D1" w:rsidRPr="00A756D1" w14:paraId="402BDE8E" w14:textId="77777777" w:rsidTr="003C057D">
        <w:trPr>
          <w:gridAfter w:val="1"/>
          <w:wAfter w:w="11" w:type="dxa"/>
          <w:trHeight w:val="236"/>
        </w:trPr>
        <w:tc>
          <w:tcPr>
            <w:tcW w:w="2697" w:type="dxa"/>
            <w:vMerge/>
            <w:tcBorders>
              <w:top w:val="nil"/>
              <w:bottom w:val="nil"/>
              <w:right w:val="nil"/>
            </w:tcBorders>
            <w:vAlign w:val="center"/>
          </w:tcPr>
          <w:p w14:paraId="45F726D7"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nil"/>
              <w:right w:val="nil"/>
            </w:tcBorders>
          </w:tcPr>
          <w:p w14:paraId="3599ECE8"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4</w:t>
            </w:r>
          </w:p>
        </w:tc>
        <w:tc>
          <w:tcPr>
            <w:tcW w:w="2463" w:type="dxa"/>
            <w:gridSpan w:val="3"/>
            <w:tcBorders>
              <w:top w:val="nil"/>
              <w:left w:val="nil"/>
              <w:bottom w:val="nil"/>
              <w:right w:val="nil"/>
            </w:tcBorders>
          </w:tcPr>
          <w:p w14:paraId="6D22623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4</w:t>
            </w:r>
          </w:p>
        </w:tc>
        <w:tc>
          <w:tcPr>
            <w:tcW w:w="2216" w:type="dxa"/>
            <w:tcBorders>
              <w:top w:val="nil"/>
              <w:left w:val="nil"/>
              <w:bottom w:val="nil"/>
            </w:tcBorders>
          </w:tcPr>
          <w:p w14:paraId="5B1E9AF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5,00%</w:t>
            </w:r>
          </w:p>
        </w:tc>
      </w:tr>
      <w:tr w:rsidR="00A756D1" w:rsidRPr="00A756D1" w14:paraId="17C3E639" w14:textId="77777777" w:rsidTr="003C057D">
        <w:trPr>
          <w:gridAfter w:val="1"/>
          <w:wAfter w:w="11" w:type="dxa"/>
          <w:trHeight w:val="252"/>
        </w:trPr>
        <w:tc>
          <w:tcPr>
            <w:tcW w:w="2697" w:type="dxa"/>
            <w:vMerge/>
            <w:tcBorders>
              <w:top w:val="nil"/>
              <w:bottom w:val="nil"/>
              <w:right w:val="nil"/>
            </w:tcBorders>
            <w:vAlign w:val="center"/>
          </w:tcPr>
          <w:p w14:paraId="6E05CBD8"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nil"/>
              <w:right w:val="nil"/>
            </w:tcBorders>
          </w:tcPr>
          <w:p w14:paraId="6F6A0AA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w:t>
            </w:r>
          </w:p>
        </w:tc>
        <w:tc>
          <w:tcPr>
            <w:tcW w:w="2463" w:type="dxa"/>
            <w:gridSpan w:val="3"/>
            <w:tcBorders>
              <w:top w:val="nil"/>
              <w:left w:val="nil"/>
              <w:bottom w:val="nil"/>
              <w:right w:val="nil"/>
            </w:tcBorders>
          </w:tcPr>
          <w:p w14:paraId="52270214"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9</w:t>
            </w:r>
          </w:p>
        </w:tc>
        <w:tc>
          <w:tcPr>
            <w:tcW w:w="2216" w:type="dxa"/>
            <w:tcBorders>
              <w:top w:val="nil"/>
              <w:left w:val="nil"/>
              <w:bottom w:val="nil"/>
            </w:tcBorders>
          </w:tcPr>
          <w:p w14:paraId="3D87A4A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11,25%</w:t>
            </w:r>
          </w:p>
        </w:tc>
      </w:tr>
      <w:tr w:rsidR="00A756D1" w:rsidRPr="00A756D1" w14:paraId="4797D9F9" w14:textId="77777777" w:rsidTr="003C057D">
        <w:trPr>
          <w:gridAfter w:val="1"/>
          <w:wAfter w:w="11" w:type="dxa"/>
          <w:trHeight w:val="236"/>
        </w:trPr>
        <w:tc>
          <w:tcPr>
            <w:tcW w:w="2697" w:type="dxa"/>
            <w:vMerge/>
            <w:tcBorders>
              <w:top w:val="nil"/>
              <w:bottom w:val="nil"/>
              <w:right w:val="nil"/>
            </w:tcBorders>
            <w:vAlign w:val="center"/>
          </w:tcPr>
          <w:p w14:paraId="5163C67D"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nil"/>
              <w:right w:val="nil"/>
            </w:tcBorders>
          </w:tcPr>
          <w:p w14:paraId="7BC2829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w:t>
            </w:r>
          </w:p>
        </w:tc>
        <w:tc>
          <w:tcPr>
            <w:tcW w:w="2463" w:type="dxa"/>
            <w:gridSpan w:val="3"/>
            <w:tcBorders>
              <w:top w:val="nil"/>
              <w:left w:val="nil"/>
              <w:bottom w:val="nil"/>
              <w:right w:val="nil"/>
            </w:tcBorders>
          </w:tcPr>
          <w:p w14:paraId="70182115"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w:t>
            </w:r>
          </w:p>
        </w:tc>
        <w:tc>
          <w:tcPr>
            <w:tcW w:w="2216" w:type="dxa"/>
            <w:tcBorders>
              <w:top w:val="nil"/>
              <w:left w:val="nil"/>
              <w:bottom w:val="nil"/>
            </w:tcBorders>
          </w:tcPr>
          <w:p w14:paraId="68BA212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10,00%</w:t>
            </w:r>
          </w:p>
        </w:tc>
      </w:tr>
      <w:tr w:rsidR="00A756D1" w:rsidRPr="00A756D1" w14:paraId="2B943E8E" w14:textId="77777777" w:rsidTr="003C057D">
        <w:trPr>
          <w:gridAfter w:val="1"/>
          <w:wAfter w:w="11" w:type="dxa"/>
          <w:trHeight w:val="236"/>
        </w:trPr>
        <w:tc>
          <w:tcPr>
            <w:tcW w:w="2697" w:type="dxa"/>
            <w:vMerge/>
            <w:tcBorders>
              <w:top w:val="nil"/>
              <w:bottom w:val="nil"/>
              <w:right w:val="nil"/>
            </w:tcBorders>
            <w:vAlign w:val="center"/>
          </w:tcPr>
          <w:p w14:paraId="2791ED64"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nil"/>
              <w:right w:val="nil"/>
            </w:tcBorders>
          </w:tcPr>
          <w:p w14:paraId="244CD731"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7</w:t>
            </w:r>
          </w:p>
        </w:tc>
        <w:tc>
          <w:tcPr>
            <w:tcW w:w="2463" w:type="dxa"/>
            <w:gridSpan w:val="3"/>
            <w:tcBorders>
              <w:top w:val="nil"/>
              <w:left w:val="nil"/>
              <w:bottom w:val="nil"/>
              <w:right w:val="nil"/>
            </w:tcBorders>
          </w:tcPr>
          <w:p w14:paraId="32E83FA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27</w:t>
            </w:r>
          </w:p>
        </w:tc>
        <w:tc>
          <w:tcPr>
            <w:tcW w:w="2216" w:type="dxa"/>
            <w:tcBorders>
              <w:top w:val="nil"/>
              <w:left w:val="nil"/>
              <w:bottom w:val="nil"/>
            </w:tcBorders>
          </w:tcPr>
          <w:p w14:paraId="12DFB7A0"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33,75%</w:t>
            </w:r>
          </w:p>
        </w:tc>
      </w:tr>
      <w:tr w:rsidR="00A756D1" w:rsidRPr="00A756D1" w14:paraId="6F9CEAD0" w14:textId="77777777" w:rsidTr="003C057D">
        <w:trPr>
          <w:gridAfter w:val="1"/>
          <w:wAfter w:w="11" w:type="dxa"/>
          <w:trHeight w:val="252"/>
        </w:trPr>
        <w:tc>
          <w:tcPr>
            <w:tcW w:w="2697" w:type="dxa"/>
            <w:vMerge/>
            <w:tcBorders>
              <w:top w:val="nil"/>
              <w:bottom w:val="nil"/>
              <w:right w:val="nil"/>
            </w:tcBorders>
            <w:vAlign w:val="center"/>
          </w:tcPr>
          <w:p w14:paraId="7130A7B9"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nil"/>
              <w:right w:val="nil"/>
            </w:tcBorders>
          </w:tcPr>
          <w:p w14:paraId="729F51C0"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w:t>
            </w:r>
          </w:p>
        </w:tc>
        <w:tc>
          <w:tcPr>
            <w:tcW w:w="2463" w:type="dxa"/>
            <w:gridSpan w:val="3"/>
            <w:tcBorders>
              <w:top w:val="nil"/>
              <w:left w:val="nil"/>
              <w:bottom w:val="nil"/>
              <w:right w:val="nil"/>
            </w:tcBorders>
          </w:tcPr>
          <w:p w14:paraId="6510222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10</w:t>
            </w:r>
          </w:p>
        </w:tc>
        <w:tc>
          <w:tcPr>
            <w:tcW w:w="2216" w:type="dxa"/>
            <w:tcBorders>
              <w:top w:val="nil"/>
              <w:left w:val="nil"/>
              <w:bottom w:val="nil"/>
            </w:tcBorders>
          </w:tcPr>
          <w:p w14:paraId="36FBA95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8,00%</w:t>
            </w:r>
          </w:p>
        </w:tc>
      </w:tr>
      <w:tr w:rsidR="00A756D1" w:rsidRPr="00A756D1" w14:paraId="70EDD2E4" w14:textId="77777777" w:rsidTr="003C057D">
        <w:trPr>
          <w:gridAfter w:val="1"/>
          <w:wAfter w:w="11" w:type="dxa"/>
          <w:trHeight w:val="236"/>
        </w:trPr>
        <w:tc>
          <w:tcPr>
            <w:tcW w:w="2697" w:type="dxa"/>
            <w:vMerge/>
            <w:tcBorders>
              <w:top w:val="nil"/>
              <w:bottom w:val="nil"/>
              <w:right w:val="nil"/>
            </w:tcBorders>
            <w:vAlign w:val="center"/>
          </w:tcPr>
          <w:p w14:paraId="71E916D6"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nil"/>
              <w:right w:val="nil"/>
            </w:tcBorders>
          </w:tcPr>
          <w:p w14:paraId="161DF18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9</w:t>
            </w:r>
          </w:p>
        </w:tc>
        <w:tc>
          <w:tcPr>
            <w:tcW w:w="2463" w:type="dxa"/>
            <w:gridSpan w:val="3"/>
            <w:tcBorders>
              <w:top w:val="nil"/>
              <w:left w:val="nil"/>
              <w:bottom w:val="nil"/>
              <w:right w:val="nil"/>
            </w:tcBorders>
          </w:tcPr>
          <w:p w14:paraId="15C77D2C"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w:t>
            </w:r>
          </w:p>
        </w:tc>
        <w:tc>
          <w:tcPr>
            <w:tcW w:w="2216" w:type="dxa"/>
            <w:tcBorders>
              <w:top w:val="nil"/>
              <w:left w:val="nil"/>
              <w:bottom w:val="nil"/>
            </w:tcBorders>
          </w:tcPr>
          <w:p w14:paraId="2119AC25"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1,25%</w:t>
            </w:r>
          </w:p>
        </w:tc>
      </w:tr>
      <w:tr w:rsidR="00A756D1" w:rsidRPr="00A756D1" w14:paraId="2A234112" w14:textId="77777777" w:rsidTr="003C057D">
        <w:trPr>
          <w:gridAfter w:val="1"/>
          <w:wAfter w:w="11" w:type="dxa"/>
          <w:trHeight w:val="236"/>
        </w:trPr>
        <w:tc>
          <w:tcPr>
            <w:tcW w:w="2697" w:type="dxa"/>
            <w:vMerge/>
            <w:tcBorders>
              <w:top w:val="nil"/>
              <w:bottom w:val="single" w:sz="4" w:space="0" w:color="auto"/>
              <w:right w:val="nil"/>
            </w:tcBorders>
            <w:vAlign w:val="center"/>
          </w:tcPr>
          <w:p w14:paraId="6EC071A8"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single" w:sz="4" w:space="0" w:color="auto"/>
              <w:right w:val="nil"/>
            </w:tcBorders>
          </w:tcPr>
          <w:p w14:paraId="67D52B8C"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11</w:t>
            </w:r>
          </w:p>
        </w:tc>
        <w:tc>
          <w:tcPr>
            <w:tcW w:w="2463" w:type="dxa"/>
            <w:gridSpan w:val="3"/>
            <w:tcBorders>
              <w:top w:val="nil"/>
              <w:left w:val="nil"/>
              <w:bottom w:val="single" w:sz="4" w:space="0" w:color="auto"/>
              <w:right w:val="nil"/>
            </w:tcBorders>
          </w:tcPr>
          <w:p w14:paraId="77F47AE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w:t>
            </w:r>
          </w:p>
        </w:tc>
        <w:tc>
          <w:tcPr>
            <w:tcW w:w="2216" w:type="dxa"/>
            <w:tcBorders>
              <w:top w:val="nil"/>
              <w:left w:val="nil"/>
              <w:bottom w:val="single" w:sz="4" w:space="0" w:color="auto"/>
            </w:tcBorders>
          </w:tcPr>
          <w:p w14:paraId="791B5F48"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1,25%</w:t>
            </w:r>
          </w:p>
        </w:tc>
      </w:tr>
      <w:tr w:rsidR="00A756D1" w:rsidRPr="00A756D1" w14:paraId="62801DE3" w14:textId="77777777" w:rsidTr="003C057D">
        <w:trPr>
          <w:gridAfter w:val="1"/>
          <w:wAfter w:w="11" w:type="dxa"/>
          <w:trHeight w:val="236"/>
        </w:trPr>
        <w:tc>
          <w:tcPr>
            <w:tcW w:w="2697" w:type="dxa"/>
            <w:vMerge w:val="restart"/>
            <w:tcBorders>
              <w:bottom w:val="nil"/>
              <w:right w:val="nil"/>
            </w:tcBorders>
            <w:vAlign w:val="center"/>
          </w:tcPr>
          <w:p w14:paraId="25842961"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Idade</w:t>
            </w:r>
          </w:p>
        </w:tc>
        <w:tc>
          <w:tcPr>
            <w:tcW w:w="2212" w:type="dxa"/>
            <w:tcBorders>
              <w:left w:val="nil"/>
              <w:bottom w:val="nil"/>
              <w:right w:val="nil"/>
            </w:tcBorders>
          </w:tcPr>
          <w:p w14:paraId="5A343FE9"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18 a 20</w:t>
            </w:r>
          </w:p>
        </w:tc>
        <w:tc>
          <w:tcPr>
            <w:tcW w:w="2463" w:type="dxa"/>
            <w:gridSpan w:val="3"/>
            <w:tcBorders>
              <w:left w:val="nil"/>
              <w:bottom w:val="nil"/>
              <w:right w:val="nil"/>
            </w:tcBorders>
          </w:tcPr>
          <w:p w14:paraId="2184A709"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25</w:t>
            </w:r>
          </w:p>
        </w:tc>
        <w:tc>
          <w:tcPr>
            <w:tcW w:w="2216" w:type="dxa"/>
            <w:tcBorders>
              <w:left w:val="nil"/>
              <w:bottom w:val="nil"/>
            </w:tcBorders>
          </w:tcPr>
          <w:p w14:paraId="7908D27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31,25%</w:t>
            </w:r>
          </w:p>
        </w:tc>
      </w:tr>
      <w:tr w:rsidR="00A756D1" w:rsidRPr="00A756D1" w14:paraId="67C40F69" w14:textId="77777777" w:rsidTr="003C057D">
        <w:trPr>
          <w:gridAfter w:val="1"/>
          <w:wAfter w:w="11" w:type="dxa"/>
          <w:trHeight w:val="252"/>
        </w:trPr>
        <w:tc>
          <w:tcPr>
            <w:tcW w:w="2697" w:type="dxa"/>
            <w:vMerge/>
            <w:tcBorders>
              <w:top w:val="nil"/>
              <w:bottom w:val="nil"/>
              <w:right w:val="nil"/>
            </w:tcBorders>
          </w:tcPr>
          <w:p w14:paraId="68077FE1" w14:textId="77777777" w:rsidR="00A756D1" w:rsidRPr="00A756D1" w:rsidRDefault="00A756D1" w:rsidP="00BD37DD">
            <w:pPr>
              <w:jc w:val="center"/>
              <w:rPr>
                <w:rFonts w:ascii="Arial" w:hAnsi="Arial" w:cs="Arial"/>
                <w:b/>
                <w:bCs/>
                <w:sz w:val="20"/>
                <w:szCs w:val="20"/>
                <w:lang w:val="pt-BR"/>
              </w:rPr>
            </w:pPr>
          </w:p>
        </w:tc>
        <w:tc>
          <w:tcPr>
            <w:tcW w:w="2212" w:type="dxa"/>
            <w:tcBorders>
              <w:top w:val="nil"/>
              <w:left w:val="nil"/>
              <w:bottom w:val="nil"/>
              <w:right w:val="nil"/>
            </w:tcBorders>
          </w:tcPr>
          <w:p w14:paraId="02C1C298"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21 a 25</w:t>
            </w:r>
          </w:p>
        </w:tc>
        <w:tc>
          <w:tcPr>
            <w:tcW w:w="2463" w:type="dxa"/>
            <w:gridSpan w:val="3"/>
            <w:tcBorders>
              <w:top w:val="nil"/>
              <w:left w:val="nil"/>
              <w:bottom w:val="nil"/>
              <w:right w:val="nil"/>
            </w:tcBorders>
          </w:tcPr>
          <w:p w14:paraId="5E52EB41"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52</w:t>
            </w:r>
          </w:p>
        </w:tc>
        <w:tc>
          <w:tcPr>
            <w:tcW w:w="2216" w:type="dxa"/>
            <w:tcBorders>
              <w:top w:val="nil"/>
              <w:left w:val="nil"/>
              <w:bottom w:val="nil"/>
            </w:tcBorders>
          </w:tcPr>
          <w:p w14:paraId="2E17F2A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65,00%</w:t>
            </w:r>
          </w:p>
        </w:tc>
      </w:tr>
      <w:tr w:rsidR="00A756D1" w:rsidRPr="00A756D1" w14:paraId="6C2C4E1F" w14:textId="77777777" w:rsidTr="003C057D">
        <w:trPr>
          <w:gridAfter w:val="1"/>
          <w:wAfter w:w="11" w:type="dxa"/>
          <w:trHeight w:val="236"/>
        </w:trPr>
        <w:tc>
          <w:tcPr>
            <w:tcW w:w="2697" w:type="dxa"/>
            <w:vMerge/>
            <w:tcBorders>
              <w:top w:val="nil"/>
              <w:bottom w:val="nil"/>
              <w:right w:val="nil"/>
            </w:tcBorders>
          </w:tcPr>
          <w:p w14:paraId="679011D3" w14:textId="77777777" w:rsidR="00A756D1" w:rsidRPr="00A756D1" w:rsidRDefault="00A756D1" w:rsidP="00BD37DD">
            <w:pPr>
              <w:jc w:val="center"/>
              <w:rPr>
                <w:rFonts w:ascii="Arial" w:hAnsi="Arial" w:cs="Arial"/>
                <w:sz w:val="20"/>
                <w:szCs w:val="20"/>
                <w:lang w:val="pt-BR"/>
              </w:rPr>
            </w:pPr>
          </w:p>
        </w:tc>
        <w:tc>
          <w:tcPr>
            <w:tcW w:w="2212" w:type="dxa"/>
            <w:tcBorders>
              <w:top w:val="nil"/>
              <w:left w:val="nil"/>
              <w:bottom w:val="nil"/>
              <w:right w:val="nil"/>
            </w:tcBorders>
          </w:tcPr>
          <w:p w14:paraId="1D08ADF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26 a 30</w:t>
            </w:r>
          </w:p>
        </w:tc>
        <w:tc>
          <w:tcPr>
            <w:tcW w:w="2463" w:type="dxa"/>
            <w:gridSpan w:val="3"/>
            <w:tcBorders>
              <w:top w:val="nil"/>
              <w:left w:val="nil"/>
              <w:bottom w:val="nil"/>
              <w:right w:val="nil"/>
            </w:tcBorders>
          </w:tcPr>
          <w:p w14:paraId="710675D4"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w:t>
            </w:r>
          </w:p>
        </w:tc>
        <w:tc>
          <w:tcPr>
            <w:tcW w:w="2216" w:type="dxa"/>
            <w:tcBorders>
              <w:top w:val="nil"/>
              <w:left w:val="nil"/>
              <w:bottom w:val="nil"/>
            </w:tcBorders>
          </w:tcPr>
          <w:p w14:paraId="1FE3407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1,25%</w:t>
            </w:r>
          </w:p>
        </w:tc>
      </w:tr>
      <w:tr w:rsidR="00A756D1" w:rsidRPr="00A756D1" w14:paraId="0D9827EF" w14:textId="77777777" w:rsidTr="003C057D">
        <w:trPr>
          <w:gridAfter w:val="1"/>
          <w:wAfter w:w="11" w:type="dxa"/>
          <w:trHeight w:val="236"/>
        </w:trPr>
        <w:tc>
          <w:tcPr>
            <w:tcW w:w="2697" w:type="dxa"/>
            <w:vMerge/>
            <w:tcBorders>
              <w:top w:val="nil"/>
              <w:bottom w:val="nil"/>
              <w:right w:val="nil"/>
            </w:tcBorders>
          </w:tcPr>
          <w:p w14:paraId="7ABDED00" w14:textId="77777777" w:rsidR="00A756D1" w:rsidRPr="00A756D1" w:rsidRDefault="00A756D1" w:rsidP="00BD37DD">
            <w:pPr>
              <w:jc w:val="center"/>
              <w:rPr>
                <w:rFonts w:ascii="Arial" w:hAnsi="Arial" w:cs="Arial"/>
                <w:sz w:val="20"/>
                <w:szCs w:val="20"/>
                <w:lang w:val="pt-BR"/>
              </w:rPr>
            </w:pPr>
          </w:p>
        </w:tc>
        <w:tc>
          <w:tcPr>
            <w:tcW w:w="2212" w:type="dxa"/>
            <w:tcBorders>
              <w:top w:val="nil"/>
              <w:left w:val="nil"/>
              <w:bottom w:val="nil"/>
              <w:right w:val="nil"/>
            </w:tcBorders>
          </w:tcPr>
          <w:p w14:paraId="633A0F0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31 a 35</w:t>
            </w:r>
          </w:p>
        </w:tc>
        <w:tc>
          <w:tcPr>
            <w:tcW w:w="2463" w:type="dxa"/>
            <w:gridSpan w:val="3"/>
            <w:tcBorders>
              <w:top w:val="nil"/>
              <w:left w:val="nil"/>
              <w:bottom w:val="nil"/>
              <w:right w:val="nil"/>
            </w:tcBorders>
          </w:tcPr>
          <w:p w14:paraId="455EC33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w:t>
            </w:r>
          </w:p>
        </w:tc>
        <w:tc>
          <w:tcPr>
            <w:tcW w:w="2216" w:type="dxa"/>
            <w:tcBorders>
              <w:top w:val="nil"/>
              <w:left w:val="nil"/>
              <w:bottom w:val="nil"/>
            </w:tcBorders>
          </w:tcPr>
          <w:p w14:paraId="5F745971"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2,50%</w:t>
            </w:r>
          </w:p>
        </w:tc>
      </w:tr>
      <w:tr w:rsidR="00A756D1" w:rsidRPr="00A756D1" w14:paraId="43A2169F" w14:textId="77777777" w:rsidTr="003C057D">
        <w:trPr>
          <w:gridAfter w:val="1"/>
          <w:wAfter w:w="11" w:type="dxa"/>
          <w:trHeight w:val="252"/>
        </w:trPr>
        <w:tc>
          <w:tcPr>
            <w:tcW w:w="2697" w:type="dxa"/>
            <w:vMerge/>
            <w:tcBorders>
              <w:top w:val="nil"/>
              <w:bottom w:val="nil"/>
              <w:right w:val="nil"/>
            </w:tcBorders>
          </w:tcPr>
          <w:p w14:paraId="2140B42C" w14:textId="77777777" w:rsidR="00A756D1" w:rsidRPr="00A756D1" w:rsidRDefault="00A756D1" w:rsidP="00BD37DD">
            <w:pPr>
              <w:jc w:val="center"/>
              <w:rPr>
                <w:rFonts w:ascii="Arial" w:hAnsi="Arial" w:cs="Arial"/>
                <w:sz w:val="20"/>
                <w:szCs w:val="20"/>
                <w:lang w:val="pt-BR"/>
              </w:rPr>
            </w:pPr>
          </w:p>
        </w:tc>
        <w:tc>
          <w:tcPr>
            <w:tcW w:w="2212" w:type="dxa"/>
            <w:tcBorders>
              <w:top w:val="nil"/>
              <w:left w:val="nil"/>
              <w:bottom w:val="nil"/>
              <w:right w:val="nil"/>
            </w:tcBorders>
          </w:tcPr>
          <w:p w14:paraId="4A4CC63D"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 36</w:t>
            </w:r>
          </w:p>
        </w:tc>
        <w:tc>
          <w:tcPr>
            <w:tcW w:w="2463" w:type="dxa"/>
            <w:gridSpan w:val="3"/>
            <w:tcBorders>
              <w:top w:val="nil"/>
              <w:left w:val="nil"/>
              <w:bottom w:val="nil"/>
              <w:right w:val="nil"/>
            </w:tcBorders>
          </w:tcPr>
          <w:p w14:paraId="7E5DEC38"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0</w:t>
            </w:r>
          </w:p>
        </w:tc>
        <w:tc>
          <w:tcPr>
            <w:tcW w:w="2216" w:type="dxa"/>
            <w:tcBorders>
              <w:top w:val="nil"/>
              <w:left w:val="nil"/>
              <w:bottom w:val="nil"/>
            </w:tcBorders>
          </w:tcPr>
          <w:p w14:paraId="743C2D48"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0,00%</w:t>
            </w:r>
          </w:p>
        </w:tc>
      </w:tr>
      <w:tr w:rsidR="00A756D1" w:rsidRPr="00A756D1" w14:paraId="63AEAA73" w14:textId="77777777" w:rsidTr="003C057D">
        <w:tblPrEx>
          <w:jc w:val="center"/>
          <w:tblBorders>
            <w:left w:val="single" w:sz="4" w:space="0" w:color="auto"/>
            <w:right w:val="single" w:sz="4" w:space="0" w:color="auto"/>
          </w:tblBorders>
        </w:tblPrEx>
        <w:trPr>
          <w:trHeight w:val="236"/>
          <w:jc w:val="center"/>
        </w:trPr>
        <w:tc>
          <w:tcPr>
            <w:tcW w:w="2697" w:type="dxa"/>
            <w:vMerge w:val="restart"/>
            <w:tcBorders>
              <w:left w:val="nil"/>
              <w:bottom w:val="nil"/>
              <w:right w:val="nil"/>
            </w:tcBorders>
            <w:vAlign w:val="center"/>
          </w:tcPr>
          <w:p w14:paraId="3C4AA828"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Diagnósticos prévios</w:t>
            </w:r>
          </w:p>
        </w:tc>
        <w:tc>
          <w:tcPr>
            <w:tcW w:w="2361" w:type="dxa"/>
            <w:gridSpan w:val="2"/>
            <w:tcBorders>
              <w:left w:val="nil"/>
              <w:bottom w:val="nil"/>
              <w:right w:val="nil"/>
            </w:tcBorders>
            <w:vAlign w:val="center"/>
          </w:tcPr>
          <w:p w14:paraId="1721CA9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Rinite</w:t>
            </w:r>
          </w:p>
        </w:tc>
        <w:tc>
          <w:tcPr>
            <w:tcW w:w="2268" w:type="dxa"/>
            <w:tcBorders>
              <w:left w:val="nil"/>
              <w:bottom w:val="nil"/>
              <w:right w:val="nil"/>
            </w:tcBorders>
            <w:vAlign w:val="center"/>
          </w:tcPr>
          <w:p w14:paraId="0664F3D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53</w:t>
            </w:r>
          </w:p>
        </w:tc>
        <w:tc>
          <w:tcPr>
            <w:tcW w:w="2273" w:type="dxa"/>
            <w:gridSpan w:val="3"/>
            <w:tcBorders>
              <w:left w:val="nil"/>
              <w:bottom w:val="nil"/>
              <w:right w:val="nil"/>
            </w:tcBorders>
            <w:vAlign w:val="center"/>
          </w:tcPr>
          <w:p w14:paraId="69EA7C4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66,25%</w:t>
            </w:r>
          </w:p>
        </w:tc>
      </w:tr>
      <w:tr w:rsidR="00A756D1" w:rsidRPr="00A756D1" w14:paraId="601C90BE" w14:textId="77777777" w:rsidTr="003C057D">
        <w:tblPrEx>
          <w:jc w:val="center"/>
          <w:tblBorders>
            <w:left w:val="single" w:sz="4" w:space="0" w:color="auto"/>
            <w:right w:val="single" w:sz="4" w:space="0" w:color="auto"/>
          </w:tblBorders>
        </w:tblPrEx>
        <w:trPr>
          <w:trHeight w:val="236"/>
          <w:jc w:val="center"/>
        </w:trPr>
        <w:tc>
          <w:tcPr>
            <w:tcW w:w="2697" w:type="dxa"/>
            <w:vMerge/>
            <w:tcBorders>
              <w:top w:val="nil"/>
              <w:left w:val="nil"/>
              <w:bottom w:val="nil"/>
              <w:right w:val="nil"/>
            </w:tcBorders>
            <w:vAlign w:val="center"/>
          </w:tcPr>
          <w:p w14:paraId="3ECDE4E1" w14:textId="77777777" w:rsidR="00A756D1" w:rsidRPr="00A756D1" w:rsidRDefault="00A756D1" w:rsidP="00BD37DD">
            <w:pPr>
              <w:jc w:val="center"/>
              <w:rPr>
                <w:rFonts w:ascii="Arial" w:hAnsi="Arial" w:cs="Arial"/>
                <w:b/>
                <w:bCs/>
                <w:sz w:val="20"/>
                <w:szCs w:val="20"/>
                <w:lang w:val="pt-BR"/>
              </w:rPr>
            </w:pPr>
          </w:p>
        </w:tc>
        <w:tc>
          <w:tcPr>
            <w:tcW w:w="2361" w:type="dxa"/>
            <w:gridSpan w:val="2"/>
            <w:tcBorders>
              <w:top w:val="nil"/>
              <w:left w:val="nil"/>
              <w:bottom w:val="nil"/>
              <w:right w:val="nil"/>
            </w:tcBorders>
            <w:vAlign w:val="center"/>
          </w:tcPr>
          <w:p w14:paraId="7BD2632D" w14:textId="77777777" w:rsidR="00A756D1" w:rsidRPr="00A756D1" w:rsidRDefault="00A756D1" w:rsidP="00BD37DD">
            <w:pPr>
              <w:jc w:val="center"/>
              <w:rPr>
                <w:rFonts w:ascii="Arial" w:hAnsi="Arial" w:cs="Arial"/>
                <w:b/>
                <w:bCs/>
                <w:sz w:val="20"/>
                <w:szCs w:val="20"/>
                <w:lang w:val="pt-BR"/>
              </w:rPr>
            </w:pPr>
            <w:r w:rsidRPr="00A756D1">
              <w:rPr>
                <w:rFonts w:ascii="Arial" w:hAnsi="Arial" w:cs="Arial"/>
                <w:sz w:val="20"/>
                <w:szCs w:val="20"/>
                <w:lang w:val="pt-BR"/>
              </w:rPr>
              <w:t>Desvio de septo</w:t>
            </w:r>
          </w:p>
        </w:tc>
        <w:tc>
          <w:tcPr>
            <w:tcW w:w="2268" w:type="dxa"/>
            <w:tcBorders>
              <w:top w:val="nil"/>
              <w:left w:val="nil"/>
              <w:bottom w:val="nil"/>
              <w:right w:val="nil"/>
            </w:tcBorders>
            <w:vAlign w:val="center"/>
          </w:tcPr>
          <w:p w14:paraId="5133B49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29</w:t>
            </w:r>
          </w:p>
        </w:tc>
        <w:tc>
          <w:tcPr>
            <w:tcW w:w="2273" w:type="dxa"/>
            <w:gridSpan w:val="3"/>
            <w:tcBorders>
              <w:top w:val="nil"/>
              <w:left w:val="nil"/>
              <w:bottom w:val="nil"/>
              <w:right w:val="nil"/>
            </w:tcBorders>
            <w:vAlign w:val="center"/>
          </w:tcPr>
          <w:p w14:paraId="47A355B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36,25%</w:t>
            </w:r>
          </w:p>
        </w:tc>
      </w:tr>
      <w:tr w:rsidR="00A756D1" w:rsidRPr="00A756D1" w14:paraId="7A124D47" w14:textId="77777777" w:rsidTr="003C057D">
        <w:tblPrEx>
          <w:jc w:val="center"/>
          <w:tblBorders>
            <w:left w:val="single" w:sz="4" w:space="0" w:color="auto"/>
            <w:right w:val="single" w:sz="4" w:space="0" w:color="auto"/>
          </w:tblBorders>
        </w:tblPrEx>
        <w:trPr>
          <w:trHeight w:val="236"/>
          <w:jc w:val="center"/>
        </w:trPr>
        <w:tc>
          <w:tcPr>
            <w:tcW w:w="2697" w:type="dxa"/>
            <w:vMerge/>
            <w:tcBorders>
              <w:top w:val="nil"/>
              <w:left w:val="nil"/>
              <w:bottom w:val="nil"/>
              <w:right w:val="nil"/>
            </w:tcBorders>
            <w:vAlign w:val="center"/>
          </w:tcPr>
          <w:p w14:paraId="42E9B080" w14:textId="77777777" w:rsidR="00A756D1" w:rsidRPr="00A756D1" w:rsidRDefault="00A756D1" w:rsidP="00BD37DD">
            <w:pPr>
              <w:jc w:val="center"/>
              <w:rPr>
                <w:rFonts w:ascii="Arial" w:hAnsi="Arial" w:cs="Arial"/>
                <w:b/>
                <w:bCs/>
                <w:sz w:val="20"/>
                <w:szCs w:val="20"/>
                <w:lang w:val="pt-BR"/>
              </w:rPr>
            </w:pPr>
          </w:p>
        </w:tc>
        <w:tc>
          <w:tcPr>
            <w:tcW w:w="2361" w:type="dxa"/>
            <w:gridSpan w:val="2"/>
            <w:tcBorders>
              <w:top w:val="nil"/>
              <w:left w:val="nil"/>
              <w:bottom w:val="nil"/>
              <w:right w:val="nil"/>
            </w:tcBorders>
            <w:vAlign w:val="center"/>
          </w:tcPr>
          <w:p w14:paraId="1A24F26C" w14:textId="77777777" w:rsidR="00A756D1" w:rsidRPr="00A756D1" w:rsidRDefault="00A756D1" w:rsidP="00BD37DD">
            <w:pPr>
              <w:jc w:val="center"/>
              <w:rPr>
                <w:rFonts w:ascii="Arial" w:hAnsi="Arial" w:cs="Arial"/>
                <w:b/>
                <w:bCs/>
                <w:sz w:val="20"/>
                <w:szCs w:val="20"/>
                <w:lang w:val="pt-BR"/>
              </w:rPr>
            </w:pPr>
            <w:r w:rsidRPr="00A756D1">
              <w:rPr>
                <w:rFonts w:ascii="Arial" w:hAnsi="Arial" w:cs="Arial"/>
                <w:sz w:val="20"/>
                <w:szCs w:val="20"/>
                <w:lang w:val="pt-BR"/>
              </w:rPr>
              <w:t>Aumento das adenoides</w:t>
            </w:r>
          </w:p>
        </w:tc>
        <w:tc>
          <w:tcPr>
            <w:tcW w:w="2268" w:type="dxa"/>
            <w:tcBorders>
              <w:top w:val="nil"/>
              <w:left w:val="nil"/>
              <w:bottom w:val="nil"/>
              <w:right w:val="nil"/>
            </w:tcBorders>
            <w:vAlign w:val="center"/>
          </w:tcPr>
          <w:p w14:paraId="1674DD7F"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7</w:t>
            </w:r>
          </w:p>
        </w:tc>
        <w:tc>
          <w:tcPr>
            <w:tcW w:w="2273" w:type="dxa"/>
            <w:gridSpan w:val="3"/>
            <w:tcBorders>
              <w:top w:val="nil"/>
              <w:left w:val="nil"/>
              <w:bottom w:val="nil"/>
              <w:right w:val="nil"/>
            </w:tcBorders>
            <w:vAlign w:val="center"/>
          </w:tcPr>
          <w:p w14:paraId="1C6216D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8,75%</w:t>
            </w:r>
          </w:p>
        </w:tc>
      </w:tr>
      <w:tr w:rsidR="00A756D1" w:rsidRPr="00A756D1" w14:paraId="6B68711C" w14:textId="77777777" w:rsidTr="003C057D">
        <w:tblPrEx>
          <w:jc w:val="center"/>
          <w:tblBorders>
            <w:left w:val="single" w:sz="4" w:space="0" w:color="auto"/>
            <w:right w:val="single" w:sz="4" w:space="0" w:color="auto"/>
          </w:tblBorders>
        </w:tblPrEx>
        <w:trPr>
          <w:trHeight w:val="236"/>
          <w:jc w:val="center"/>
        </w:trPr>
        <w:tc>
          <w:tcPr>
            <w:tcW w:w="2697" w:type="dxa"/>
            <w:vMerge/>
            <w:tcBorders>
              <w:top w:val="nil"/>
              <w:left w:val="nil"/>
              <w:bottom w:val="nil"/>
              <w:right w:val="nil"/>
            </w:tcBorders>
            <w:vAlign w:val="center"/>
          </w:tcPr>
          <w:p w14:paraId="2B2B9893" w14:textId="77777777" w:rsidR="00A756D1" w:rsidRPr="00A756D1" w:rsidRDefault="00A756D1" w:rsidP="00BD37DD">
            <w:pPr>
              <w:jc w:val="center"/>
              <w:rPr>
                <w:rFonts w:ascii="Arial" w:hAnsi="Arial" w:cs="Arial"/>
                <w:b/>
                <w:bCs/>
                <w:sz w:val="20"/>
                <w:szCs w:val="20"/>
                <w:lang w:val="pt-BR"/>
              </w:rPr>
            </w:pPr>
          </w:p>
        </w:tc>
        <w:tc>
          <w:tcPr>
            <w:tcW w:w="2361" w:type="dxa"/>
            <w:gridSpan w:val="2"/>
            <w:tcBorders>
              <w:top w:val="nil"/>
              <w:left w:val="nil"/>
              <w:bottom w:val="nil"/>
              <w:right w:val="nil"/>
            </w:tcBorders>
            <w:vAlign w:val="center"/>
          </w:tcPr>
          <w:p w14:paraId="42891BF0" w14:textId="77777777" w:rsidR="00A756D1" w:rsidRPr="00A756D1" w:rsidRDefault="00A756D1" w:rsidP="00BD37DD">
            <w:pPr>
              <w:pStyle w:val="paragraph"/>
              <w:spacing w:before="0" w:beforeAutospacing="0" w:after="0" w:afterAutospacing="0"/>
              <w:jc w:val="center"/>
              <w:textAlignment w:val="baseline"/>
              <w:rPr>
                <w:rFonts w:ascii="Arial" w:hAnsi="Arial" w:cs="Arial"/>
                <w:sz w:val="20"/>
                <w:szCs w:val="20"/>
              </w:rPr>
            </w:pPr>
            <w:r w:rsidRPr="00A756D1">
              <w:rPr>
                <w:rFonts w:ascii="Arial" w:hAnsi="Arial" w:cs="Arial"/>
                <w:sz w:val="20"/>
                <w:szCs w:val="20"/>
              </w:rPr>
              <w:t>Hiperplasia prostática</w:t>
            </w:r>
          </w:p>
        </w:tc>
        <w:tc>
          <w:tcPr>
            <w:tcW w:w="2268" w:type="dxa"/>
            <w:tcBorders>
              <w:top w:val="nil"/>
              <w:left w:val="nil"/>
              <w:bottom w:val="nil"/>
              <w:right w:val="nil"/>
            </w:tcBorders>
            <w:vAlign w:val="center"/>
          </w:tcPr>
          <w:p w14:paraId="2101AC8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0</w:t>
            </w:r>
          </w:p>
        </w:tc>
        <w:tc>
          <w:tcPr>
            <w:tcW w:w="2273" w:type="dxa"/>
            <w:gridSpan w:val="3"/>
            <w:tcBorders>
              <w:top w:val="nil"/>
              <w:left w:val="nil"/>
              <w:bottom w:val="nil"/>
              <w:right w:val="nil"/>
            </w:tcBorders>
            <w:vAlign w:val="center"/>
          </w:tcPr>
          <w:p w14:paraId="5845089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0%</w:t>
            </w:r>
          </w:p>
        </w:tc>
      </w:tr>
      <w:tr w:rsidR="00A756D1" w:rsidRPr="00A756D1" w14:paraId="2C7A9558" w14:textId="77777777" w:rsidTr="003C057D">
        <w:tblPrEx>
          <w:jc w:val="center"/>
          <w:tblBorders>
            <w:left w:val="single" w:sz="4" w:space="0" w:color="auto"/>
            <w:right w:val="single" w:sz="4" w:space="0" w:color="auto"/>
          </w:tblBorders>
        </w:tblPrEx>
        <w:trPr>
          <w:trHeight w:val="236"/>
          <w:jc w:val="center"/>
        </w:trPr>
        <w:tc>
          <w:tcPr>
            <w:tcW w:w="2697" w:type="dxa"/>
            <w:vMerge/>
            <w:tcBorders>
              <w:top w:val="nil"/>
              <w:left w:val="nil"/>
              <w:bottom w:val="nil"/>
              <w:right w:val="nil"/>
            </w:tcBorders>
            <w:vAlign w:val="center"/>
          </w:tcPr>
          <w:p w14:paraId="20C8259A" w14:textId="77777777" w:rsidR="00A756D1" w:rsidRPr="00A756D1" w:rsidRDefault="00A756D1" w:rsidP="00BD37DD">
            <w:pPr>
              <w:jc w:val="center"/>
              <w:rPr>
                <w:rFonts w:ascii="Arial" w:hAnsi="Arial" w:cs="Arial"/>
                <w:b/>
                <w:bCs/>
                <w:sz w:val="20"/>
                <w:szCs w:val="20"/>
                <w:lang w:val="pt-BR"/>
              </w:rPr>
            </w:pPr>
          </w:p>
        </w:tc>
        <w:tc>
          <w:tcPr>
            <w:tcW w:w="2361" w:type="dxa"/>
            <w:gridSpan w:val="2"/>
            <w:tcBorders>
              <w:top w:val="nil"/>
              <w:left w:val="nil"/>
              <w:bottom w:val="nil"/>
              <w:right w:val="nil"/>
            </w:tcBorders>
            <w:vAlign w:val="center"/>
          </w:tcPr>
          <w:p w14:paraId="3957441C" w14:textId="77777777" w:rsidR="00A756D1" w:rsidRPr="00A756D1" w:rsidRDefault="00A756D1" w:rsidP="00BD37DD">
            <w:pPr>
              <w:pStyle w:val="paragraph"/>
              <w:spacing w:before="0" w:beforeAutospacing="0" w:after="0" w:afterAutospacing="0"/>
              <w:jc w:val="center"/>
              <w:textAlignment w:val="baseline"/>
              <w:rPr>
                <w:rFonts w:ascii="Arial" w:hAnsi="Arial" w:cs="Arial"/>
                <w:sz w:val="20"/>
                <w:szCs w:val="20"/>
              </w:rPr>
            </w:pPr>
            <w:r w:rsidRPr="00A756D1">
              <w:rPr>
                <w:rFonts w:ascii="Arial" w:hAnsi="Arial" w:cs="Arial"/>
                <w:sz w:val="20"/>
                <w:szCs w:val="20"/>
              </w:rPr>
              <w:t>Hipertensão arterial</w:t>
            </w:r>
          </w:p>
        </w:tc>
        <w:tc>
          <w:tcPr>
            <w:tcW w:w="2268" w:type="dxa"/>
            <w:tcBorders>
              <w:top w:val="nil"/>
              <w:left w:val="nil"/>
              <w:bottom w:val="nil"/>
              <w:right w:val="nil"/>
            </w:tcBorders>
            <w:vAlign w:val="center"/>
          </w:tcPr>
          <w:p w14:paraId="63DCC4B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0</w:t>
            </w:r>
          </w:p>
        </w:tc>
        <w:tc>
          <w:tcPr>
            <w:tcW w:w="2273" w:type="dxa"/>
            <w:gridSpan w:val="3"/>
            <w:tcBorders>
              <w:top w:val="nil"/>
              <w:left w:val="nil"/>
              <w:bottom w:val="nil"/>
              <w:right w:val="nil"/>
            </w:tcBorders>
            <w:vAlign w:val="center"/>
          </w:tcPr>
          <w:p w14:paraId="27741C9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0%</w:t>
            </w:r>
          </w:p>
        </w:tc>
      </w:tr>
      <w:tr w:rsidR="00A756D1" w:rsidRPr="00A756D1" w14:paraId="7C353C96" w14:textId="77777777" w:rsidTr="003C057D">
        <w:tblPrEx>
          <w:jc w:val="center"/>
          <w:tblBorders>
            <w:left w:val="single" w:sz="4" w:space="0" w:color="auto"/>
            <w:right w:val="single" w:sz="4" w:space="0" w:color="auto"/>
          </w:tblBorders>
        </w:tblPrEx>
        <w:trPr>
          <w:trHeight w:val="236"/>
          <w:jc w:val="center"/>
        </w:trPr>
        <w:tc>
          <w:tcPr>
            <w:tcW w:w="2697" w:type="dxa"/>
            <w:vMerge/>
            <w:tcBorders>
              <w:top w:val="nil"/>
              <w:left w:val="nil"/>
              <w:bottom w:val="nil"/>
              <w:right w:val="nil"/>
            </w:tcBorders>
            <w:vAlign w:val="center"/>
          </w:tcPr>
          <w:p w14:paraId="75C0106E" w14:textId="77777777" w:rsidR="00A756D1" w:rsidRPr="00A756D1" w:rsidRDefault="00A756D1" w:rsidP="00BD37DD">
            <w:pPr>
              <w:jc w:val="center"/>
              <w:rPr>
                <w:rFonts w:ascii="Arial" w:hAnsi="Arial" w:cs="Arial"/>
                <w:b/>
                <w:bCs/>
                <w:sz w:val="20"/>
                <w:szCs w:val="20"/>
                <w:lang w:val="pt-BR"/>
              </w:rPr>
            </w:pPr>
          </w:p>
        </w:tc>
        <w:tc>
          <w:tcPr>
            <w:tcW w:w="2361" w:type="dxa"/>
            <w:gridSpan w:val="2"/>
            <w:tcBorders>
              <w:top w:val="nil"/>
              <w:left w:val="nil"/>
              <w:bottom w:val="nil"/>
              <w:right w:val="nil"/>
            </w:tcBorders>
            <w:vAlign w:val="center"/>
          </w:tcPr>
          <w:p w14:paraId="64434664" w14:textId="77777777" w:rsidR="00A756D1" w:rsidRPr="00A756D1" w:rsidRDefault="00A756D1" w:rsidP="00BD37DD">
            <w:pPr>
              <w:pStyle w:val="paragraph"/>
              <w:spacing w:before="0" w:beforeAutospacing="0" w:after="0" w:afterAutospacing="0"/>
              <w:jc w:val="center"/>
              <w:textAlignment w:val="baseline"/>
              <w:rPr>
                <w:rFonts w:ascii="Arial" w:hAnsi="Arial" w:cs="Arial"/>
                <w:sz w:val="20"/>
                <w:szCs w:val="20"/>
              </w:rPr>
            </w:pPr>
            <w:r w:rsidRPr="00A756D1">
              <w:rPr>
                <w:rFonts w:ascii="Arial" w:hAnsi="Arial" w:cs="Arial"/>
                <w:sz w:val="20"/>
                <w:szCs w:val="20"/>
              </w:rPr>
              <w:t>Diabetes Mellitus</w:t>
            </w:r>
          </w:p>
        </w:tc>
        <w:tc>
          <w:tcPr>
            <w:tcW w:w="2268" w:type="dxa"/>
            <w:tcBorders>
              <w:top w:val="nil"/>
              <w:left w:val="nil"/>
              <w:bottom w:val="nil"/>
              <w:right w:val="nil"/>
            </w:tcBorders>
            <w:vAlign w:val="center"/>
          </w:tcPr>
          <w:p w14:paraId="03F0630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0</w:t>
            </w:r>
          </w:p>
        </w:tc>
        <w:tc>
          <w:tcPr>
            <w:tcW w:w="2273" w:type="dxa"/>
            <w:gridSpan w:val="3"/>
            <w:tcBorders>
              <w:top w:val="nil"/>
              <w:left w:val="nil"/>
              <w:bottom w:val="nil"/>
              <w:right w:val="nil"/>
            </w:tcBorders>
            <w:vAlign w:val="center"/>
          </w:tcPr>
          <w:p w14:paraId="3814420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0%</w:t>
            </w:r>
          </w:p>
        </w:tc>
      </w:tr>
      <w:tr w:rsidR="00A756D1" w:rsidRPr="00A756D1" w14:paraId="17695641" w14:textId="77777777" w:rsidTr="003C057D">
        <w:tblPrEx>
          <w:jc w:val="center"/>
          <w:tblBorders>
            <w:left w:val="single" w:sz="4" w:space="0" w:color="auto"/>
            <w:right w:val="single" w:sz="4" w:space="0" w:color="auto"/>
          </w:tblBorders>
        </w:tblPrEx>
        <w:trPr>
          <w:trHeight w:val="236"/>
          <w:jc w:val="center"/>
        </w:trPr>
        <w:tc>
          <w:tcPr>
            <w:tcW w:w="2697" w:type="dxa"/>
            <w:vMerge/>
            <w:tcBorders>
              <w:top w:val="nil"/>
              <w:left w:val="nil"/>
              <w:bottom w:val="nil"/>
              <w:right w:val="nil"/>
            </w:tcBorders>
            <w:vAlign w:val="center"/>
          </w:tcPr>
          <w:p w14:paraId="21623BFB" w14:textId="77777777" w:rsidR="00A756D1" w:rsidRPr="00A756D1" w:rsidRDefault="00A756D1" w:rsidP="00BD37DD">
            <w:pPr>
              <w:jc w:val="center"/>
              <w:rPr>
                <w:rFonts w:ascii="Arial" w:hAnsi="Arial" w:cs="Arial"/>
                <w:b/>
                <w:bCs/>
                <w:sz w:val="20"/>
                <w:szCs w:val="20"/>
                <w:lang w:val="pt-BR"/>
              </w:rPr>
            </w:pPr>
          </w:p>
        </w:tc>
        <w:tc>
          <w:tcPr>
            <w:tcW w:w="2361" w:type="dxa"/>
            <w:gridSpan w:val="2"/>
            <w:tcBorders>
              <w:top w:val="nil"/>
              <w:left w:val="nil"/>
              <w:bottom w:val="nil"/>
              <w:right w:val="nil"/>
            </w:tcBorders>
            <w:vAlign w:val="center"/>
          </w:tcPr>
          <w:p w14:paraId="50A3DED4" w14:textId="77777777" w:rsidR="00A756D1" w:rsidRPr="00A756D1" w:rsidRDefault="00A756D1" w:rsidP="00BD37DD">
            <w:pPr>
              <w:pStyle w:val="paragraph"/>
              <w:spacing w:before="0" w:beforeAutospacing="0" w:after="0" w:afterAutospacing="0"/>
              <w:jc w:val="center"/>
              <w:textAlignment w:val="baseline"/>
              <w:rPr>
                <w:rFonts w:ascii="Arial" w:hAnsi="Arial" w:cs="Arial"/>
                <w:sz w:val="20"/>
                <w:szCs w:val="20"/>
              </w:rPr>
            </w:pPr>
            <w:r w:rsidRPr="00A756D1">
              <w:rPr>
                <w:rFonts w:ascii="Arial" w:hAnsi="Arial" w:cs="Arial"/>
                <w:sz w:val="20"/>
                <w:szCs w:val="20"/>
              </w:rPr>
              <w:t>Hipotireoidismo</w:t>
            </w:r>
          </w:p>
        </w:tc>
        <w:tc>
          <w:tcPr>
            <w:tcW w:w="2268" w:type="dxa"/>
            <w:tcBorders>
              <w:top w:val="nil"/>
              <w:left w:val="nil"/>
              <w:bottom w:val="nil"/>
              <w:right w:val="nil"/>
            </w:tcBorders>
            <w:vAlign w:val="center"/>
          </w:tcPr>
          <w:p w14:paraId="39A85244"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w:t>
            </w:r>
          </w:p>
        </w:tc>
        <w:tc>
          <w:tcPr>
            <w:tcW w:w="2273" w:type="dxa"/>
            <w:gridSpan w:val="3"/>
            <w:tcBorders>
              <w:top w:val="nil"/>
              <w:left w:val="nil"/>
              <w:bottom w:val="nil"/>
              <w:right w:val="nil"/>
            </w:tcBorders>
            <w:vAlign w:val="center"/>
          </w:tcPr>
          <w:p w14:paraId="0968E01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3,75%</w:t>
            </w:r>
          </w:p>
        </w:tc>
      </w:tr>
      <w:tr w:rsidR="00A756D1" w:rsidRPr="00A756D1" w14:paraId="7E73519A" w14:textId="77777777" w:rsidTr="003C057D">
        <w:tblPrEx>
          <w:jc w:val="center"/>
          <w:tblBorders>
            <w:left w:val="single" w:sz="4" w:space="0" w:color="auto"/>
            <w:right w:val="single" w:sz="4" w:space="0" w:color="auto"/>
          </w:tblBorders>
        </w:tblPrEx>
        <w:trPr>
          <w:trHeight w:val="252"/>
          <w:jc w:val="center"/>
        </w:trPr>
        <w:tc>
          <w:tcPr>
            <w:tcW w:w="2697" w:type="dxa"/>
            <w:tcBorders>
              <w:top w:val="nil"/>
              <w:left w:val="nil"/>
              <w:bottom w:val="single" w:sz="4" w:space="0" w:color="auto"/>
              <w:right w:val="nil"/>
            </w:tcBorders>
            <w:vAlign w:val="center"/>
          </w:tcPr>
          <w:p w14:paraId="3F1EC02C" w14:textId="77777777" w:rsidR="00A756D1" w:rsidRPr="00A756D1" w:rsidRDefault="00A756D1" w:rsidP="00BD37DD">
            <w:pPr>
              <w:jc w:val="center"/>
              <w:rPr>
                <w:rFonts w:ascii="Arial" w:hAnsi="Arial" w:cs="Arial"/>
                <w:b/>
                <w:bCs/>
                <w:sz w:val="20"/>
                <w:szCs w:val="20"/>
                <w:lang w:val="pt-BR"/>
              </w:rPr>
            </w:pPr>
          </w:p>
        </w:tc>
        <w:tc>
          <w:tcPr>
            <w:tcW w:w="2361" w:type="dxa"/>
            <w:gridSpan w:val="2"/>
            <w:tcBorders>
              <w:top w:val="nil"/>
              <w:left w:val="nil"/>
              <w:bottom w:val="single" w:sz="4" w:space="0" w:color="auto"/>
              <w:right w:val="nil"/>
            </w:tcBorders>
            <w:vAlign w:val="center"/>
          </w:tcPr>
          <w:p w14:paraId="19BF398B" w14:textId="77777777" w:rsidR="00A756D1" w:rsidRPr="00A756D1" w:rsidRDefault="00A756D1" w:rsidP="00BD37DD">
            <w:pPr>
              <w:pStyle w:val="paragraph"/>
              <w:spacing w:before="0" w:beforeAutospacing="0" w:after="0" w:afterAutospacing="0"/>
              <w:jc w:val="center"/>
              <w:textAlignment w:val="baseline"/>
              <w:rPr>
                <w:rFonts w:ascii="Arial" w:hAnsi="Arial" w:cs="Arial"/>
                <w:sz w:val="20"/>
                <w:szCs w:val="20"/>
              </w:rPr>
            </w:pPr>
            <w:r w:rsidRPr="00A756D1">
              <w:rPr>
                <w:rFonts w:ascii="Arial" w:hAnsi="Arial" w:cs="Arial"/>
                <w:sz w:val="20"/>
                <w:szCs w:val="20"/>
              </w:rPr>
              <w:t>Nenhuma</w:t>
            </w:r>
          </w:p>
        </w:tc>
        <w:tc>
          <w:tcPr>
            <w:tcW w:w="2268" w:type="dxa"/>
            <w:tcBorders>
              <w:top w:val="nil"/>
              <w:left w:val="nil"/>
              <w:bottom w:val="single" w:sz="4" w:space="0" w:color="auto"/>
              <w:right w:val="nil"/>
            </w:tcBorders>
            <w:vAlign w:val="center"/>
          </w:tcPr>
          <w:p w14:paraId="580F5001"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16</w:t>
            </w:r>
          </w:p>
        </w:tc>
        <w:tc>
          <w:tcPr>
            <w:tcW w:w="2273" w:type="dxa"/>
            <w:gridSpan w:val="3"/>
            <w:tcBorders>
              <w:top w:val="nil"/>
              <w:left w:val="nil"/>
              <w:bottom w:val="single" w:sz="4" w:space="0" w:color="auto"/>
              <w:right w:val="nil"/>
            </w:tcBorders>
            <w:vAlign w:val="center"/>
          </w:tcPr>
          <w:p w14:paraId="5E7D0D4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20,00%</w:t>
            </w:r>
          </w:p>
        </w:tc>
      </w:tr>
      <w:tr w:rsidR="00A756D1" w:rsidRPr="00A756D1" w14:paraId="24A737B5" w14:textId="77777777" w:rsidTr="003C057D">
        <w:tblPrEx>
          <w:jc w:val="center"/>
          <w:tblBorders>
            <w:left w:val="single" w:sz="4" w:space="0" w:color="auto"/>
            <w:right w:val="single" w:sz="4" w:space="0" w:color="auto"/>
          </w:tblBorders>
        </w:tblPrEx>
        <w:trPr>
          <w:trHeight w:val="236"/>
          <w:jc w:val="center"/>
        </w:trPr>
        <w:tc>
          <w:tcPr>
            <w:tcW w:w="2697" w:type="dxa"/>
            <w:vMerge w:val="restart"/>
            <w:tcBorders>
              <w:top w:val="single" w:sz="4" w:space="0" w:color="auto"/>
              <w:left w:val="nil"/>
              <w:right w:val="nil"/>
            </w:tcBorders>
            <w:vAlign w:val="center"/>
          </w:tcPr>
          <w:p w14:paraId="290E87F8"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Conhece possíveis malefícios do uso indiscriminado de descongestionantes</w:t>
            </w:r>
          </w:p>
        </w:tc>
        <w:tc>
          <w:tcPr>
            <w:tcW w:w="2361" w:type="dxa"/>
            <w:gridSpan w:val="2"/>
            <w:tcBorders>
              <w:top w:val="single" w:sz="4" w:space="0" w:color="auto"/>
              <w:left w:val="nil"/>
              <w:bottom w:val="nil"/>
              <w:right w:val="nil"/>
            </w:tcBorders>
            <w:vAlign w:val="center"/>
          </w:tcPr>
          <w:p w14:paraId="2D82F4DC" w14:textId="77777777" w:rsidR="00A756D1" w:rsidRPr="00A756D1" w:rsidRDefault="00A756D1" w:rsidP="00BD37DD">
            <w:pPr>
              <w:pStyle w:val="paragraph"/>
              <w:spacing w:before="0" w:beforeAutospacing="0" w:after="0" w:afterAutospacing="0"/>
              <w:jc w:val="center"/>
              <w:textAlignment w:val="baseline"/>
              <w:rPr>
                <w:rFonts w:ascii="Arial" w:hAnsi="Arial" w:cs="Arial"/>
                <w:sz w:val="20"/>
                <w:szCs w:val="20"/>
              </w:rPr>
            </w:pPr>
            <w:r w:rsidRPr="00A756D1">
              <w:rPr>
                <w:rFonts w:ascii="Arial" w:hAnsi="Arial" w:cs="Arial"/>
                <w:sz w:val="20"/>
                <w:szCs w:val="20"/>
              </w:rPr>
              <w:t>Sim</w:t>
            </w:r>
          </w:p>
        </w:tc>
        <w:tc>
          <w:tcPr>
            <w:tcW w:w="2268" w:type="dxa"/>
            <w:tcBorders>
              <w:top w:val="single" w:sz="4" w:space="0" w:color="auto"/>
              <w:left w:val="nil"/>
              <w:bottom w:val="nil"/>
              <w:right w:val="nil"/>
            </w:tcBorders>
            <w:vAlign w:val="center"/>
          </w:tcPr>
          <w:p w14:paraId="13F86581"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56</w:t>
            </w:r>
          </w:p>
        </w:tc>
        <w:tc>
          <w:tcPr>
            <w:tcW w:w="2273" w:type="dxa"/>
            <w:gridSpan w:val="3"/>
            <w:tcBorders>
              <w:top w:val="single" w:sz="4" w:space="0" w:color="auto"/>
              <w:left w:val="nil"/>
              <w:bottom w:val="nil"/>
              <w:right w:val="nil"/>
            </w:tcBorders>
            <w:vAlign w:val="center"/>
          </w:tcPr>
          <w:p w14:paraId="3B5AC79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70,00%</w:t>
            </w:r>
          </w:p>
        </w:tc>
      </w:tr>
      <w:tr w:rsidR="00A756D1" w:rsidRPr="00A756D1" w14:paraId="25DF6F17" w14:textId="77777777" w:rsidTr="003C057D">
        <w:tblPrEx>
          <w:jc w:val="center"/>
          <w:tblBorders>
            <w:left w:val="single" w:sz="4" w:space="0" w:color="auto"/>
            <w:right w:val="single" w:sz="4" w:space="0" w:color="auto"/>
          </w:tblBorders>
        </w:tblPrEx>
        <w:trPr>
          <w:trHeight w:val="709"/>
          <w:jc w:val="center"/>
        </w:trPr>
        <w:tc>
          <w:tcPr>
            <w:tcW w:w="2697" w:type="dxa"/>
            <w:vMerge/>
            <w:tcBorders>
              <w:left w:val="nil"/>
              <w:bottom w:val="single" w:sz="4" w:space="0" w:color="auto"/>
              <w:right w:val="nil"/>
            </w:tcBorders>
            <w:vAlign w:val="center"/>
          </w:tcPr>
          <w:p w14:paraId="3E10E469" w14:textId="77777777" w:rsidR="00A756D1" w:rsidRPr="00A756D1" w:rsidRDefault="00A756D1" w:rsidP="00BD37DD">
            <w:pPr>
              <w:jc w:val="center"/>
              <w:rPr>
                <w:rFonts w:ascii="Arial" w:hAnsi="Arial" w:cs="Arial"/>
                <w:b/>
                <w:bCs/>
                <w:sz w:val="20"/>
                <w:szCs w:val="20"/>
                <w:lang w:val="pt-BR"/>
              </w:rPr>
            </w:pPr>
          </w:p>
        </w:tc>
        <w:tc>
          <w:tcPr>
            <w:tcW w:w="2361" w:type="dxa"/>
            <w:gridSpan w:val="2"/>
            <w:tcBorders>
              <w:top w:val="nil"/>
              <w:left w:val="nil"/>
              <w:bottom w:val="single" w:sz="4" w:space="0" w:color="auto"/>
              <w:right w:val="nil"/>
            </w:tcBorders>
            <w:vAlign w:val="center"/>
          </w:tcPr>
          <w:p w14:paraId="291758D4" w14:textId="77777777" w:rsidR="00A756D1" w:rsidRPr="00A756D1" w:rsidRDefault="00A756D1" w:rsidP="00BD37DD">
            <w:pPr>
              <w:pStyle w:val="paragraph"/>
              <w:spacing w:before="0" w:beforeAutospacing="0" w:after="0" w:afterAutospacing="0"/>
              <w:jc w:val="center"/>
              <w:textAlignment w:val="baseline"/>
              <w:rPr>
                <w:rFonts w:ascii="Arial" w:hAnsi="Arial" w:cs="Arial"/>
                <w:sz w:val="20"/>
                <w:szCs w:val="20"/>
              </w:rPr>
            </w:pPr>
            <w:r w:rsidRPr="00A756D1">
              <w:rPr>
                <w:rFonts w:ascii="Arial" w:hAnsi="Arial" w:cs="Arial"/>
                <w:sz w:val="20"/>
                <w:szCs w:val="20"/>
              </w:rPr>
              <w:t>Não</w:t>
            </w:r>
          </w:p>
        </w:tc>
        <w:tc>
          <w:tcPr>
            <w:tcW w:w="2268" w:type="dxa"/>
            <w:tcBorders>
              <w:top w:val="nil"/>
              <w:left w:val="nil"/>
              <w:bottom w:val="single" w:sz="4" w:space="0" w:color="auto"/>
              <w:right w:val="nil"/>
            </w:tcBorders>
            <w:vAlign w:val="center"/>
          </w:tcPr>
          <w:p w14:paraId="7FB777D5"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24</w:t>
            </w:r>
          </w:p>
        </w:tc>
        <w:tc>
          <w:tcPr>
            <w:tcW w:w="2273" w:type="dxa"/>
            <w:gridSpan w:val="3"/>
            <w:tcBorders>
              <w:top w:val="nil"/>
              <w:left w:val="nil"/>
              <w:bottom w:val="single" w:sz="4" w:space="0" w:color="auto"/>
              <w:right w:val="nil"/>
            </w:tcBorders>
            <w:vAlign w:val="center"/>
          </w:tcPr>
          <w:p w14:paraId="3C7D16C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30,00%</w:t>
            </w:r>
          </w:p>
        </w:tc>
      </w:tr>
    </w:tbl>
    <w:p w14:paraId="2C57CB8A" w14:textId="77777777" w:rsidR="00A756D1" w:rsidRPr="00A756D1" w:rsidRDefault="00A756D1" w:rsidP="005F6335">
      <w:pPr>
        <w:shd w:val="clear" w:color="auto" w:fill="FFFFFF"/>
        <w:spacing w:after="120" w:line="276" w:lineRule="auto"/>
        <w:rPr>
          <w:rFonts w:ascii="Arial" w:hAnsi="Arial" w:cs="Arial"/>
          <w:sz w:val="20"/>
          <w:szCs w:val="20"/>
          <w:lang w:val="pt-BR"/>
        </w:rPr>
      </w:pPr>
      <w:r w:rsidRPr="00A756D1">
        <w:rPr>
          <w:rFonts w:ascii="Arial" w:hAnsi="Arial" w:cs="Arial"/>
          <w:sz w:val="20"/>
          <w:szCs w:val="20"/>
          <w:lang w:val="pt-BR"/>
        </w:rPr>
        <w:t>Nota: um participante pode apresentar mais de uma doença associada.</w:t>
      </w:r>
    </w:p>
    <w:p w14:paraId="3F283FEE" w14:textId="77777777" w:rsidR="00A756D1" w:rsidRPr="00A756D1" w:rsidRDefault="00A756D1" w:rsidP="005F6335">
      <w:pPr>
        <w:shd w:val="clear" w:color="auto" w:fill="FFFFFF"/>
        <w:spacing w:after="120" w:line="276" w:lineRule="auto"/>
        <w:jc w:val="both"/>
        <w:rPr>
          <w:rFonts w:ascii="Arial" w:hAnsi="Arial" w:cs="Arial"/>
          <w:sz w:val="20"/>
          <w:szCs w:val="20"/>
          <w:lang w:val="pt-BR"/>
        </w:rPr>
      </w:pPr>
      <w:r w:rsidRPr="00A756D1">
        <w:rPr>
          <w:rFonts w:ascii="Arial" w:hAnsi="Arial" w:cs="Arial"/>
          <w:sz w:val="20"/>
          <w:szCs w:val="20"/>
          <w:lang w:val="pt-BR"/>
        </w:rPr>
        <w:t>Fonte: Paula, GO, et al., 2021.</w:t>
      </w:r>
    </w:p>
    <w:p w14:paraId="06295C4A" w14:textId="77777777" w:rsidR="00A756D1" w:rsidRPr="00A756D1" w:rsidRDefault="00A756D1" w:rsidP="003C057D">
      <w:pPr>
        <w:shd w:val="clear" w:color="auto" w:fill="FFFFFF"/>
        <w:spacing w:after="120" w:line="276" w:lineRule="auto"/>
        <w:ind w:firstLine="284"/>
        <w:jc w:val="both"/>
        <w:rPr>
          <w:rFonts w:ascii="Arial" w:hAnsi="Arial" w:cs="Arial"/>
          <w:sz w:val="20"/>
          <w:szCs w:val="20"/>
          <w:lang w:val="pt-BR"/>
        </w:rPr>
      </w:pPr>
    </w:p>
    <w:p w14:paraId="7BC639A7" w14:textId="77777777" w:rsidR="00A756D1" w:rsidRPr="00A756D1" w:rsidRDefault="00A756D1" w:rsidP="003C057D">
      <w:pPr>
        <w:spacing w:after="120" w:line="276" w:lineRule="auto"/>
        <w:ind w:firstLine="284"/>
        <w:jc w:val="both"/>
        <w:rPr>
          <w:rFonts w:ascii="Arial" w:hAnsi="Arial" w:cs="Arial"/>
          <w:sz w:val="20"/>
          <w:szCs w:val="20"/>
          <w:lang w:val="pt-BR"/>
        </w:rPr>
      </w:pPr>
      <w:r w:rsidRPr="00A756D1">
        <w:rPr>
          <w:rFonts w:ascii="Arial" w:hAnsi="Arial" w:cs="Arial"/>
          <w:sz w:val="20"/>
          <w:szCs w:val="20"/>
          <w:lang w:val="pt-BR"/>
        </w:rPr>
        <w:t>A respeito da marca de descongestionante mais utilizada</w:t>
      </w:r>
      <w:r w:rsidRPr="00A756D1">
        <w:rPr>
          <w:rFonts w:ascii="Arial" w:hAnsi="Arial" w:cs="Arial"/>
          <w:sz w:val="20"/>
          <w:szCs w:val="20"/>
          <w:shd w:val="clear" w:color="auto" w:fill="FFFFFF"/>
          <w:lang w:val="pt-BR"/>
        </w:rPr>
        <w:t xml:space="preserve">, </w:t>
      </w:r>
      <w:bookmarkStart w:id="5" w:name="_Hlk85208920"/>
      <w:r w:rsidRPr="00A756D1">
        <w:rPr>
          <w:rFonts w:ascii="Arial" w:hAnsi="Arial" w:cs="Arial"/>
          <w:sz w:val="20"/>
          <w:szCs w:val="20"/>
          <w:shd w:val="clear" w:color="auto" w:fill="FFFFFF"/>
          <w:lang w:val="pt-BR"/>
        </w:rPr>
        <w:t xml:space="preserve">82,50% (n=66) dos participantes, faz uso de </w:t>
      </w:r>
      <w:proofErr w:type="spellStart"/>
      <w:r w:rsidRPr="00A756D1">
        <w:rPr>
          <w:rFonts w:ascii="Arial" w:hAnsi="Arial" w:cs="Arial"/>
          <w:sz w:val="20"/>
          <w:szCs w:val="20"/>
          <w:lang w:val="pt-BR"/>
        </w:rPr>
        <w:t>Neosoro</w:t>
      </w:r>
      <w:proofErr w:type="spellEnd"/>
      <w:r w:rsidRPr="00A756D1">
        <w:rPr>
          <w:rFonts w:ascii="Arial" w:hAnsi="Arial" w:cs="Arial"/>
          <w:sz w:val="20"/>
          <w:szCs w:val="20"/>
          <w:shd w:val="clear" w:color="auto" w:fill="FFFFFF"/>
          <w:lang w:val="pt-BR"/>
        </w:rPr>
        <w:t xml:space="preserve">® </w:t>
      </w:r>
      <w:r w:rsidRPr="00A756D1">
        <w:rPr>
          <w:rFonts w:ascii="Arial" w:hAnsi="Arial" w:cs="Arial"/>
          <w:sz w:val="20"/>
          <w:szCs w:val="20"/>
          <w:lang w:val="pt-BR"/>
        </w:rPr>
        <w:t xml:space="preserve">ou </w:t>
      </w:r>
      <w:proofErr w:type="spellStart"/>
      <w:r w:rsidRPr="00A756D1">
        <w:rPr>
          <w:rFonts w:ascii="Arial" w:hAnsi="Arial" w:cs="Arial"/>
          <w:sz w:val="20"/>
          <w:szCs w:val="20"/>
          <w:lang w:val="pt-BR"/>
        </w:rPr>
        <w:t>Sorine</w:t>
      </w:r>
      <w:proofErr w:type="spellEnd"/>
      <w:r w:rsidRPr="00A756D1">
        <w:rPr>
          <w:rFonts w:ascii="Arial" w:hAnsi="Arial" w:cs="Arial"/>
          <w:sz w:val="20"/>
          <w:szCs w:val="20"/>
          <w:shd w:val="clear" w:color="auto" w:fill="FFFFFF"/>
          <w:lang w:val="pt-BR"/>
        </w:rPr>
        <w:t xml:space="preserve">® (cloridrato de </w:t>
      </w:r>
      <w:proofErr w:type="spellStart"/>
      <w:r w:rsidRPr="00A756D1">
        <w:rPr>
          <w:rFonts w:ascii="Arial" w:hAnsi="Arial" w:cs="Arial"/>
          <w:sz w:val="20"/>
          <w:szCs w:val="20"/>
          <w:shd w:val="clear" w:color="auto" w:fill="FFFFFF"/>
          <w:lang w:val="pt-BR"/>
        </w:rPr>
        <w:t>nafazolina</w:t>
      </w:r>
      <w:proofErr w:type="spellEnd"/>
      <w:r w:rsidRPr="00A756D1">
        <w:rPr>
          <w:rFonts w:ascii="Arial" w:hAnsi="Arial" w:cs="Arial"/>
          <w:sz w:val="20"/>
          <w:szCs w:val="20"/>
          <w:shd w:val="clear" w:color="auto" w:fill="FFFFFF"/>
          <w:lang w:val="pt-BR"/>
        </w:rPr>
        <w:t>),</w:t>
      </w:r>
      <w:bookmarkEnd w:id="5"/>
      <w:r w:rsidRPr="00A756D1">
        <w:rPr>
          <w:rFonts w:ascii="Arial" w:hAnsi="Arial" w:cs="Arial"/>
          <w:sz w:val="20"/>
          <w:szCs w:val="20"/>
          <w:shd w:val="clear" w:color="auto" w:fill="FFFFFF"/>
          <w:lang w:val="pt-BR"/>
        </w:rPr>
        <w:t xml:space="preserve"> em segundo lugar, 20% (n=16), utiliza o </w:t>
      </w:r>
      <w:proofErr w:type="spellStart"/>
      <w:r w:rsidRPr="00A756D1">
        <w:rPr>
          <w:rFonts w:ascii="Arial" w:hAnsi="Arial" w:cs="Arial"/>
          <w:sz w:val="20"/>
          <w:szCs w:val="20"/>
          <w:shd w:val="clear" w:color="auto" w:fill="FFFFFF"/>
          <w:lang w:val="pt-BR"/>
        </w:rPr>
        <w:t>Avamys</w:t>
      </w:r>
      <w:proofErr w:type="spellEnd"/>
      <w:r w:rsidRPr="00A756D1">
        <w:rPr>
          <w:rFonts w:ascii="Arial" w:hAnsi="Arial" w:cs="Arial"/>
          <w:sz w:val="20"/>
          <w:szCs w:val="20"/>
          <w:shd w:val="clear" w:color="auto" w:fill="FFFFFF"/>
          <w:lang w:val="pt-BR"/>
        </w:rPr>
        <w:t xml:space="preserve">®. Sendo que os períodos em que há um maior uso são 73,75% (n=59) durante o inverno ou tempo seco e </w:t>
      </w:r>
      <w:r w:rsidRPr="00A756D1">
        <w:rPr>
          <w:rFonts w:ascii="Arial" w:hAnsi="Arial" w:cs="Arial"/>
          <w:sz w:val="20"/>
          <w:szCs w:val="20"/>
          <w:lang w:val="pt-BR"/>
        </w:rPr>
        <w:t xml:space="preserve">53,75% (n=43) </w:t>
      </w:r>
      <w:r w:rsidRPr="00A756D1">
        <w:rPr>
          <w:rFonts w:ascii="Arial" w:hAnsi="Arial" w:cs="Arial"/>
          <w:sz w:val="20"/>
          <w:szCs w:val="20"/>
          <w:shd w:val="clear" w:color="auto" w:fill="FFFFFF"/>
          <w:lang w:val="pt-BR"/>
        </w:rPr>
        <w:t xml:space="preserve">após </w:t>
      </w:r>
      <w:r w:rsidRPr="00A756D1">
        <w:rPr>
          <w:rFonts w:ascii="Arial" w:hAnsi="Arial" w:cs="Arial"/>
          <w:sz w:val="20"/>
          <w:szCs w:val="20"/>
          <w:lang w:val="pt-BR"/>
        </w:rPr>
        <w:t>exposição a poeira ou alérgenos.</w:t>
      </w:r>
    </w:p>
    <w:p w14:paraId="7E9EB366" w14:textId="77777777" w:rsidR="00A756D1" w:rsidRPr="00A756D1" w:rsidRDefault="00A756D1" w:rsidP="003C057D">
      <w:pPr>
        <w:spacing w:after="120" w:line="276" w:lineRule="auto"/>
        <w:ind w:firstLine="284"/>
        <w:jc w:val="both"/>
        <w:rPr>
          <w:rFonts w:ascii="Arial" w:hAnsi="Arial" w:cs="Arial"/>
          <w:sz w:val="20"/>
          <w:szCs w:val="20"/>
          <w:lang w:val="pt-BR"/>
        </w:rPr>
      </w:pPr>
      <w:r w:rsidRPr="00A756D1">
        <w:rPr>
          <w:rFonts w:ascii="Arial" w:hAnsi="Arial" w:cs="Arial"/>
          <w:sz w:val="20"/>
          <w:szCs w:val="20"/>
          <w:lang w:val="pt-BR"/>
        </w:rPr>
        <w:t xml:space="preserve">Além disso, quanto à frequência de uso, 28,75% (n=23) dos 80 entrevistados, utiliza de uma a cinco vezes ao dia e </w:t>
      </w:r>
      <w:bookmarkStart w:id="6" w:name="_Hlk85208937"/>
      <w:r w:rsidRPr="00A756D1">
        <w:rPr>
          <w:rFonts w:ascii="Arial" w:hAnsi="Arial" w:cs="Arial"/>
          <w:sz w:val="20"/>
          <w:szCs w:val="20"/>
          <w:lang w:val="pt-BR"/>
        </w:rPr>
        <w:t>68,75% (n=55) fazem uso por mais de cinco vezes ao dia</w:t>
      </w:r>
      <w:bookmarkEnd w:id="6"/>
      <w:r w:rsidRPr="00A756D1">
        <w:rPr>
          <w:rFonts w:ascii="Arial" w:hAnsi="Arial" w:cs="Arial"/>
          <w:sz w:val="20"/>
          <w:szCs w:val="20"/>
          <w:lang w:val="pt-BR"/>
        </w:rPr>
        <w:t xml:space="preserve">. Seguindo este raciocínio, também se </w:t>
      </w:r>
      <w:r w:rsidRPr="00A756D1">
        <w:rPr>
          <w:rFonts w:ascii="Arial" w:hAnsi="Arial" w:cs="Arial"/>
          <w:sz w:val="20"/>
          <w:szCs w:val="20"/>
          <w:lang w:val="pt-BR"/>
        </w:rPr>
        <w:lastRenderedPageBreak/>
        <w:t xml:space="preserve">observou que sendo que a maioria dos participantes </w:t>
      </w:r>
      <w:bookmarkStart w:id="7" w:name="_Hlk85208948"/>
      <w:r w:rsidRPr="00A756D1">
        <w:rPr>
          <w:rFonts w:ascii="Arial" w:hAnsi="Arial" w:cs="Arial"/>
          <w:sz w:val="20"/>
          <w:szCs w:val="20"/>
          <w:lang w:val="pt-BR"/>
        </w:rPr>
        <w:t xml:space="preserve">61,25% (n=49) consomem essa medicação por mais de seis meses </w:t>
      </w:r>
      <w:bookmarkEnd w:id="7"/>
      <w:r w:rsidRPr="00A756D1">
        <w:rPr>
          <w:rFonts w:ascii="Arial" w:hAnsi="Arial" w:cs="Arial"/>
          <w:sz w:val="20"/>
          <w:szCs w:val="20"/>
          <w:lang w:val="pt-BR"/>
        </w:rPr>
        <w:t>e apenas 10% (n=8) utilizam por um período inferior ou de até seis meses.</w:t>
      </w:r>
    </w:p>
    <w:p w14:paraId="29555A73" w14:textId="77777777" w:rsidR="00A756D1" w:rsidRPr="00A756D1" w:rsidRDefault="00A756D1" w:rsidP="003C057D">
      <w:pPr>
        <w:spacing w:after="120" w:line="276" w:lineRule="auto"/>
        <w:ind w:firstLine="284"/>
        <w:jc w:val="both"/>
        <w:rPr>
          <w:rFonts w:ascii="Arial" w:hAnsi="Arial" w:cs="Arial"/>
          <w:sz w:val="20"/>
          <w:szCs w:val="20"/>
          <w:lang w:val="pt-BR"/>
        </w:rPr>
      </w:pPr>
      <w:r w:rsidRPr="00A756D1">
        <w:rPr>
          <w:rFonts w:ascii="Arial" w:hAnsi="Arial" w:cs="Arial"/>
          <w:sz w:val="20"/>
          <w:szCs w:val="20"/>
          <w:lang w:val="pt-BR"/>
        </w:rPr>
        <w:t xml:space="preserve">Sobre a apresentação de efeitos colaterais pelo uso dos descongestionantes, </w:t>
      </w:r>
      <w:bookmarkStart w:id="8" w:name="_Hlk85208960"/>
      <w:r w:rsidRPr="00A756D1">
        <w:rPr>
          <w:rFonts w:ascii="Arial" w:hAnsi="Arial" w:cs="Arial"/>
          <w:sz w:val="20"/>
          <w:szCs w:val="20"/>
          <w:lang w:val="pt-BR"/>
        </w:rPr>
        <w:t>83,75% (n=67) dos participantes negou ter desenvolvido algum sintoma,</w:t>
      </w:r>
      <w:bookmarkEnd w:id="8"/>
      <w:r w:rsidRPr="00A756D1">
        <w:rPr>
          <w:rFonts w:ascii="Arial" w:hAnsi="Arial" w:cs="Arial"/>
          <w:sz w:val="20"/>
          <w:szCs w:val="20"/>
          <w:lang w:val="pt-BR"/>
        </w:rPr>
        <w:t xml:space="preserve"> apenas </w:t>
      </w:r>
      <w:bookmarkStart w:id="9" w:name="_Hlk85208973"/>
      <w:r w:rsidRPr="00A756D1">
        <w:rPr>
          <w:rFonts w:ascii="Arial" w:hAnsi="Arial" w:cs="Arial"/>
          <w:sz w:val="20"/>
          <w:szCs w:val="20"/>
          <w:lang w:val="pt-BR"/>
        </w:rPr>
        <w:t xml:space="preserve">16,25% (n=13) sentiram efeitos </w:t>
      </w:r>
      <w:bookmarkEnd w:id="9"/>
      <w:r w:rsidRPr="00A756D1">
        <w:rPr>
          <w:rFonts w:ascii="Arial" w:hAnsi="Arial" w:cs="Arial"/>
          <w:sz w:val="20"/>
          <w:szCs w:val="20"/>
          <w:lang w:val="pt-BR"/>
        </w:rPr>
        <w:t xml:space="preserve">adversos </w:t>
      </w:r>
      <w:r w:rsidRPr="00A756D1">
        <w:rPr>
          <w:rFonts w:ascii="Arial" w:hAnsi="Arial" w:cs="Arial"/>
          <w:b/>
          <w:bCs/>
          <w:sz w:val="20"/>
          <w:szCs w:val="20"/>
          <w:lang w:val="pt-BR"/>
        </w:rPr>
        <w:t>(Tabela 3).</w:t>
      </w:r>
    </w:p>
    <w:p w14:paraId="4A7BB422" w14:textId="77777777" w:rsidR="00A756D1" w:rsidRPr="00A756D1" w:rsidRDefault="00A756D1" w:rsidP="003C057D">
      <w:pPr>
        <w:shd w:val="clear" w:color="auto" w:fill="FFFFFF"/>
        <w:spacing w:after="120" w:line="276" w:lineRule="auto"/>
        <w:ind w:firstLine="284"/>
        <w:jc w:val="both"/>
        <w:rPr>
          <w:rFonts w:ascii="Arial" w:hAnsi="Arial" w:cs="Arial"/>
          <w:sz w:val="20"/>
          <w:szCs w:val="20"/>
          <w:lang w:val="pt-BR"/>
        </w:rPr>
      </w:pPr>
    </w:p>
    <w:p w14:paraId="06BA6BB3" w14:textId="77777777" w:rsidR="00A756D1" w:rsidRPr="00A756D1" w:rsidRDefault="00A756D1" w:rsidP="003C057D">
      <w:pPr>
        <w:shd w:val="clear" w:color="auto" w:fill="FFFFFF"/>
        <w:spacing w:after="120" w:line="276" w:lineRule="auto"/>
        <w:ind w:firstLine="284"/>
        <w:jc w:val="both"/>
        <w:rPr>
          <w:rFonts w:ascii="Arial" w:hAnsi="Arial" w:cs="Arial"/>
          <w:sz w:val="20"/>
          <w:szCs w:val="20"/>
          <w:lang w:val="pt-BR"/>
        </w:rPr>
      </w:pPr>
      <w:r w:rsidRPr="00A756D1">
        <w:rPr>
          <w:rFonts w:ascii="Arial" w:hAnsi="Arial" w:cs="Arial"/>
          <w:b/>
          <w:bCs/>
          <w:sz w:val="20"/>
          <w:szCs w:val="20"/>
          <w:lang w:val="pt-BR"/>
        </w:rPr>
        <w:t>Tabela 3 –</w:t>
      </w:r>
      <w:r w:rsidRPr="00A756D1">
        <w:rPr>
          <w:rFonts w:ascii="Arial" w:hAnsi="Arial" w:cs="Arial"/>
          <w:sz w:val="20"/>
          <w:szCs w:val="20"/>
          <w:lang w:val="pt-BR"/>
        </w:rPr>
        <w:t xml:space="preserve"> Padrão de uso de descongestionantes nasais entre acadêmicos de medicina de uma universidade na região central do estado de Goiás.</w:t>
      </w:r>
    </w:p>
    <w:tbl>
      <w:tblPr>
        <w:tblStyle w:val="Tabelacomgrade"/>
        <w:tblW w:w="9644" w:type="dxa"/>
        <w:jc w:val="center"/>
        <w:tblLook w:val="04A0" w:firstRow="1" w:lastRow="0" w:firstColumn="1" w:lastColumn="0" w:noHBand="0" w:noVBand="1"/>
      </w:tblPr>
      <w:tblGrid>
        <w:gridCol w:w="2709"/>
        <w:gridCol w:w="2368"/>
        <w:gridCol w:w="2265"/>
        <w:gridCol w:w="2302"/>
      </w:tblGrid>
      <w:tr w:rsidR="00A756D1" w:rsidRPr="00A756D1" w14:paraId="1A229CA0" w14:textId="77777777" w:rsidTr="003C057D">
        <w:trPr>
          <w:trHeight w:val="237"/>
          <w:jc w:val="center"/>
        </w:trPr>
        <w:tc>
          <w:tcPr>
            <w:tcW w:w="2709" w:type="dxa"/>
            <w:tcBorders>
              <w:left w:val="nil"/>
              <w:bottom w:val="single" w:sz="4" w:space="0" w:color="auto"/>
              <w:right w:val="nil"/>
            </w:tcBorders>
            <w:vAlign w:val="center"/>
          </w:tcPr>
          <w:p w14:paraId="7088D3BC"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Variável</w:t>
            </w:r>
          </w:p>
        </w:tc>
        <w:tc>
          <w:tcPr>
            <w:tcW w:w="2368" w:type="dxa"/>
            <w:tcBorders>
              <w:left w:val="nil"/>
              <w:bottom w:val="single" w:sz="4" w:space="0" w:color="auto"/>
              <w:right w:val="nil"/>
            </w:tcBorders>
            <w:vAlign w:val="center"/>
          </w:tcPr>
          <w:p w14:paraId="4C2FD1ED" w14:textId="77777777" w:rsidR="00A756D1" w:rsidRPr="00A756D1" w:rsidRDefault="00A756D1" w:rsidP="00BD37DD">
            <w:pPr>
              <w:jc w:val="center"/>
              <w:rPr>
                <w:rFonts w:ascii="Arial" w:hAnsi="Arial" w:cs="Arial"/>
                <w:b/>
                <w:bCs/>
                <w:sz w:val="20"/>
                <w:szCs w:val="20"/>
                <w:lang w:val="pt-BR"/>
              </w:rPr>
            </w:pPr>
          </w:p>
        </w:tc>
        <w:tc>
          <w:tcPr>
            <w:tcW w:w="2265" w:type="dxa"/>
            <w:tcBorders>
              <w:left w:val="nil"/>
              <w:bottom w:val="single" w:sz="4" w:space="0" w:color="auto"/>
              <w:right w:val="nil"/>
            </w:tcBorders>
            <w:vAlign w:val="center"/>
          </w:tcPr>
          <w:p w14:paraId="61954A09"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N</w:t>
            </w:r>
          </w:p>
        </w:tc>
        <w:tc>
          <w:tcPr>
            <w:tcW w:w="2302" w:type="dxa"/>
            <w:tcBorders>
              <w:left w:val="nil"/>
              <w:bottom w:val="single" w:sz="4" w:space="0" w:color="auto"/>
              <w:right w:val="nil"/>
            </w:tcBorders>
            <w:vAlign w:val="center"/>
          </w:tcPr>
          <w:p w14:paraId="37462C69"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w:t>
            </w:r>
          </w:p>
        </w:tc>
      </w:tr>
      <w:tr w:rsidR="00A756D1" w:rsidRPr="00A756D1" w14:paraId="50934804" w14:textId="77777777" w:rsidTr="003C057D">
        <w:trPr>
          <w:trHeight w:val="237"/>
          <w:jc w:val="center"/>
        </w:trPr>
        <w:tc>
          <w:tcPr>
            <w:tcW w:w="2709" w:type="dxa"/>
            <w:vMerge w:val="restart"/>
            <w:tcBorders>
              <w:left w:val="nil"/>
              <w:bottom w:val="nil"/>
              <w:right w:val="nil"/>
            </w:tcBorders>
            <w:vAlign w:val="center"/>
          </w:tcPr>
          <w:p w14:paraId="3CDF6FDB"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Medicamento em uso</w:t>
            </w:r>
          </w:p>
        </w:tc>
        <w:tc>
          <w:tcPr>
            <w:tcW w:w="2368" w:type="dxa"/>
            <w:tcBorders>
              <w:left w:val="nil"/>
              <w:bottom w:val="nil"/>
              <w:right w:val="nil"/>
            </w:tcBorders>
            <w:vAlign w:val="center"/>
          </w:tcPr>
          <w:p w14:paraId="62D2F435" w14:textId="77777777" w:rsidR="00A756D1" w:rsidRPr="00A756D1" w:rsidRDefault="00A756D1" w:rsidP="00BD37DD">
            <w:pPr>
              <w:jc w:val="center"/>
              <w:rPr>
                <w:rFonts w:ascii="Arial" w:hAnsi="Arial" w:cs="Arial"/>
                <w:sz w:val="20"/>
                <w:szCs w:val="20"/>
                <w:lang w:val="pt-BR"/>
              </w:rPr>
            </w:pPr>
            <w:proofErr w:type="spellStart"/>
            <w:r w:rsidRPr="00A756D1">
              <w:rPr>
                <w:rFonts w:ascii="Arial" w:hAnsi="Arial" w:cs="Arial"/>
                <w:sz w:val="20"/>
                <w:szCs w:val="20"/>
                <w:lang w:val="pt-BR"/>
              </w:rPr>
              <w:t>Neosoro</w:t>
            </w:r>
            <w:proofErr w:type="spellEnd"/>
            <w:r w:rsidRPr="00A756D1">
              <w:rPr>
                <w:rFonts w:ascii="Arial" w:hAnsi="Arial" w:cs="Arial"/>
                <w:sz w:val="20"/>
                <w:szCs w:val="20"/>
                <w:lang w:val="pt-BR"/>
              </w:rPr>
              <w:t xml:space="preserve"> ou </w:t>
            </w:r>
            <w:proofErr w:type="spellStart"/>
            <w:r w:rsidRPr="00A756D1">
              <w:rPr>
                <w:rFonts w:ascii="Arial" w:hAnsi="Arial" w:cs="Arial"/>
                <w:sz w:val="20"/>
                <w:szCs w:val="20"/>
                <w:lang w:val="pt-BR"/>
              </w:rPr>
              <w:t>Sorine</w:t>
            </w:r>
            <w:proofErr w:type="spellEnd"/>
            <w:r w:rsidRPr="00A756D1">
              <w:rPr>
                <w:rFonts w:ascii="Arial" w:hAnsi="Arial" w:cs="Arial"/>
                <w:sz w:val="20"/>
                <w:szCs w:val="20"/>
                <w:shd w:val="clear" w:color="auto" w:fill="FFFFFF"/>
                <w:lang w:val="pt-BR"/>
              </w:rPr>
              <w:t>®</w:t>
            </w:r>
          </w:p>
        </w:tc>
        <w:tc>
          <w:tcPr>
            <w:tcW w:w="2265" w:type="dxa"/>
            <w:tcBorders>
              <w:left w:val="nil"/>
              <w:bottom w:val="nil"/>
              <w:right w:val="nil"/>
            </w:tcBorders>
            <w:vAlign w:val="center"/>
          </w:tcPr>
          <w:p w14:paraId="51EF7250"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66</w:t>
            </w:r>
          </w:p>
        </w:tc>
        <w:tc>
          <w:tcPr>
            <w:tcW w:w="2302" w:type="dxa"/>
            <w:tcBorders>
              <w:left w:val="nil"/>
              <w:bottom w:val="nil"/>
              <w:right w:val="nil"/>
            </w:tcBorders>
            <w:vAlign w:val="center"/>
          </w:tcPr>
          <w:p w14:paraId="6A0157D4"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82,50%</w:t>
            </w:r>
          </w:p>
        </w:tc>
      </w:tr>
      <w:tr w:rsidR="00A756D1" w:rsidRPr="00A756D1" w14:paraId="757EBE11" w14:textId="77777777" w:rsidTr="003C057D">
        <w:trPr>
          <w:trHeight w:val="237"/>
          <w:jc w:val="center"/>
        </w:trPr>
        <w:tc>
          <w:tcPr>
            <w:tcW w:w="2709" w:type="dxa"/>
            <w:vMerge/>
            <w:tcBorders>
              <w:top w:val="nil"/>
              <w:left w:val="nil"/>
              <w:bottom w:val="nil"/>
              <w:right w:val="nil"/>
            </w:tcBorders>
            <w:vAlign w:val="center"/>
          </w:tcPr>
          <w:p w14:paraId="3D3E9FCA"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nil"/>
              <w:right w:val="nil"/>
            </w:tcBorders>
            <w:vAlign w:val="center"/>
          </w:tcPr>
          <w:p w14:paraId="2684D629" w14:textId="77777777" w:rsidR="00A756D1" w:rsidRPr="00A756D1" w:rsidRDefault="00A756D1" w:rsidP="00BD37DD">
            <w:pPr>
              <w:jc w:val="center"/>
              <w:rPr>
                <w:rFonts w:ascii="Arial" w:hAnsi="Arial" w:cs="Arial"/>
                <w:sz w:val="20"/>
                <w:szCs w:val="20"/>
                <w:lang w:val="pt-BR"/>
              </w:rPr>
            </w:pPr>
            <w:proofErr w:type="spellStart"/>
            <w:r w:rsidRPr="00A756D1">
              <w:rPr>
                <w:rFonts w:ascii="Arial" w:hAnsi="Arial" w:cs="Arial"/>
                <w:sz w:val="20"/>
                <w:szCs w:val="20"/>
                <w:lang w:val="pt-BR"/>
              </w:rPr>
              <w:t>Avamys</w:t>
            </w:r>
            <w:proofErr w:type="spellEnd"/>
            <w:r w:rsidRPr="00A756D1">
              <w:rPr>
                <w:rFonts w:ascii="Arial" w:hAnsi="Arial" w:cs="Arial"/>
                <w:sz w:val="20"/>
                <w:szCs w:val="20"/>
                <w:shd w:val="clear" w:color="auto" w:fill="FFFFFF"/>
                <w:lang w:val="pt-BR"/>
              </w:rPr>
              <w:t>®</w:t>
            </w:r>
          </w:p>
        </w:tc>
        <w:tc>
          <w:tcPr>
            <w:tcW w:w="2265" w:type="dxa"/>
            <w:tcBorders>
              <w:top w:val="nil"/>
              <w:left w:val="nil"/>
              <w:bottom w:val="nil"/>
              <w:right w:val="nil"/>
            </w:tcBorders>
            <w:vAlign w:val="center"/>
          </w:tcPr>
          <w:p w14:paraId="5118AB3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16</w:t>
            </w:r>
          </w:p>
        </w:tc>
        <w:tc>
          <w:tcPr>
            <w:tcW w:w="2302" w:type="dxa"/>
            <w:tcBorders>
              <w:top w:val="nil"/>
              <w:left w:val="nil"/>
              <w:bottom w:val="nil"/>
              <w:right w:val="nil"/>
            </w:tcBorders>
            <w:vAlign w:val="center"/>
          </w:tcPr>
          <w:p w14:paraId="3A6CA83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20,00%</w:t>
            </w:r>
          </w:p>
        </w:tc>
      </w:tr>
      <w:tr w:rsidR="00A756D1" w:rsidRPr="00A756D1" w14:paraId="077A3D4E" w14:textId="77777777" w:rsidTr="003C057D">
        <w:trPr>
          <w:trHeight w:val="237"/>
          <w:jc w:val="center"/>
        </w:trPr>
        <w:tc>
          <w:tcPr>
            <w:tcW w:w="2709" w:type="dxa"/>
            <w:vMerge/>
            <w:tcBorders>
              <w:top w:val="nil"/>
              <w:left w:val="nil"/>
              <w:bottom w:val="nil"/>
              <w:right w:val="nil"/>
            </w:tcBorders>
            <w:vAlign w:val="center"/>
          </w:tcPr>
          <w:p w14:paraId="1A4E7BD4"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nil"/>
              <w:right w:val="nil"/>
            </w:tcBorders>
            <w:vAlign w:val="center"/>
          </w:tcPr>
          <w:p w14:paraId="4FF12BFD" w14:textId="77777777" w:rsidR="00A756D1" w:rsidRPr="00A756D1" w:rsidRDefault="00A756D1" w:rsidP="00BD37DD">
            <w:pPr>
              <w:jc w:val="center"/>
              <w:rPr>
                <w:rFonts w:ascii="Arial" w:hAnsi="Arial" w:cs="Arial"/>
                <w:sz w:val="20"/>
                <w:szCs w:val="20"/>
                <w:lang w:val="pt-BR"/>
              </w:rPr>
            </w:pPr>
            <w:proofErr w:type="spellStart"/>
            <w:r w:rsidRPr="00A756D1">
              <w:rPr>
                <w:rFonts w:ascii="Arial" w:hAnsi="Arial" w:cs="Arial"/>
                <w:sz w:val="20"/>
                <w:szCs w:val="20"/>
                <w:lang w:val="pt-BR"/>
              </w:rPr>
              <w:t>Aturgyl</w:t>
            </w:r>
            <w:proofErr w:type="spellEnd"/>
            <w:r w:rsidRPr="00A756D1">
              <w:rPr>
                <w:rFonts w:ascii="Arial" w:hAnsi="Arial" w:cs="Arial"/>
                <w:sz w:val="20"/>
                <w:szCs w:val="20"/>
                <w:shd w:val="clear" w:color="auto" w:fill="FFFFFF"/>
                <w:lang w:val="pt-BR"/>
              </w:rPr>
              <w:t>®</w:t>
            </w:r>
          </w:p>
        </w:tc>
        <w:tc>
          <w:tcPr>
            <w:tcW w:w="2265" w:type="dxa"/>
            <w:tcBorders>
              <w:top w:val="nil"/>
              <w:left w:val="nil"/>
              <w:bottom w:val="nil"/>
              <w:right w:val="nil"/>
            </w:tcBorders>
            <w:vAlign w:val="center"/>
          </w:tcPr>
          <w:p w14:paraId="723156AF"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w:t>
            </w:r>
          </w:p>
        </w:tc>
        <w:tc>
          <w:tcPr>
            <w:tcW w:w="2302" w:type="dxa"/>
            <w:tcBorders>
              <w:top w:val="nil"/>
              <w:left w:val="nil"/>
              <w:bottom w:val="nil"/>
              <w:right w:val="nil"/>
            </w:tcBorders>
            <w:vAlign w:val="center"/>
          </w:tcPr>
          <w:p w14:paraId="69D7663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3,75%</w:t>
            </w:r>
          </w:p>
        </w:tc>
      </w:tr>
      <w:tr w:rsidR="00A756D1" w:rsidRPr="00A756D1" w14:paraId="17477356" w14:textId="77777777" w:rsidTr="003C057D">
        <w:trPr>
          <w:trHeight w:val="237"/>
          <w:jc w:val="center"/>
        </w:trPr>
        <w:tc>
          <w:tcPr>
            <w:tcW w:w="2709" w:type="dxa"/>
            <w:vMerge/>
            <w:tcBorders>
              <w:top w:val="nil"/>
              <w:left w:val="nil"/>
              <w:bottom w:val="nil"/>
              <w:right w:val="nil"/>
            </w:tcBorders>
            <w:vAlign w:val="center"/>
          </w:tcPr>
          <w:p w14:paraId="778E9893"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nil"/>
              <w:right w:val="nil"/>
            </w:tcBorders>
            <w:vAlign w:val="center"/>
          </w:tcPr>
          <w:p w14:paraId="348024EE" w14:textId="77777777" w:rsidR="00A756D1" w:rsidRPr="00A756D1" w:rsidRDefault="00A756D1" w:rsidP="00BD37DD">
            <w:pPr>
              <w:jc w:val="center"/>
              <w:rPr>
                <w:rFonts w:ascii="Arial" w:hAnsi="Arial" w:cs="Arial"/>
                <w:sz w:val="20"/>
                <w:szCs w:val="20"/>
                <w:lang w:val="pt-BR"/>
              </w:rPr>
            </w:pPr>
            <w:proofErr w:type="spellStart"/>
            <w:r w:rsidRPr="00A756D1">
              <w:rPr>
                <w:rFonts w:ascii="Arial" w:hAnsi="Arial" w:cs="Arial"/>
                <w:sz w:val="20"/>
                <w:szCs w:val="20"/>
                <w:lang w:val="pt-BR"/>
              </w:rPr>
              <w:t>Naridrin</w:t>
            </w:r>
            <w:proofErr w:type="spellEnd"/>
            <w:r w:rsidRPr="00A756D1">
              <w:rPr>
                <w:rFonts w:ascii="Arial" w:hAnsi="Arial" w:cs="Arial"/>
                <w:sz w:val="20"/>
                <w:szCs w:val="20"/>
                <w:shd w:val="clear" w:color="auto" w:fill="FFFFFF"/>
                <w:lang w:val="pt-BR"/>
              </w:rPr>
              <w:t>®</w:t>
            </w:r>
          </w:p>
        </w:tc>
        <w:tc>
          <w:tcPr>
            <w:tcW w:w="2265" w:type="dxa"/>
            <w:tcBorders>
              <w:top w:val="nil"/>
              <w:left w:val="nil"/>
              <w:bottom w:val="nil"/>
              <w:right w:val="nil"/>
            </w:tcBorders>
            <w:vAlign w:val="center"/>
          </w:tcPr>
          <w:p w14:paraId="33159D19"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12</w:t>
            </w:r>
          </w:p>
        </w:tc>
        <w:tc>
          <w:tcPr>
            <w:tcW w:w="2302" w:type="dxa"/>
            <w:tcBorders>
              <w:top w:val="nil"/>
              <w:left w:val="nil"/>
              <w:bottom w:val="nil"/>
              <w:right w:val="nil"/>
            </w:tcBorders>
            <w:vAlign w:val="center"/>
          </w:tcPr>
          <w:p w14:paraId="5F388B5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15,00%</w:t>
            </w:r>
          </w:p>
        </w:tc>
      </w:tr>
      <w:tr w:rsidR="00A756D1" w:rsidRPr="00A756D1" w14:paraId="7420A9CC" w14:textId="77777777" w:rsidTr="003C057D">
        <w:trPr>
          <w:trHeight w:val="237"/>
          <w:jc w:val="center"/>
        </w:trPr>
        <w:tc>
          <w:tcPr>
            <w:tcW w:w="2709" w:type="dxa"/>
            <w:vMerge/>
            <w:tcBorders>
              <w:top w:val="nil"/>
              <w:left w:val="nil"/>
              <w:bottom w:val="single" w:sz="4" w:space="0" w:color="auto"/>
              <w:right w:val="nil"/>
            </w:tcBorders>
            <w:vAlign w:val="center"/>
          </w:tcPr>
          <w:p w14:paraId="2B206A15"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single" w:sz="4" w:space="0" w:color="auto"/>
              <w:right w:val="nil"/>
            </w:tcBorders>
            <w:vAlign w:val="center"/>
          </w:tcPr>
          <w:p w14:paraId="1592782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Outros (</w:t>
            </w:r>
            <w:proofErr w:type="spellStart"/>
            <w:r w:rsidRPr="00A756D1">
              <w:rPr>
                <w:rFonts w:ascii="Arial" w:hAnsi="Arial" w:cs="Arial"/>
                <w:sz w:val="20"/>
                <w:szCs w:val="20"/>
                <w:lang w:val="pt-BR"/>
              </w:rPr>
              <w:t>Budesonid</w:t>
            </w:r>
            <w:proofErr w:type="spellEnd"/>
            <w:r w:rsidRPr="00A756D1">
              <w:rPr>
                <w:rFonts w:ascii="Arial" w:hAnsi="Arial" w:cs="Arial"/>
                <w:sz w:val="20"/>
                <w:szCs w:val="20"/>
                <w:lang w:val="pt-BR"/>
              </w:rPr>
              <w:t xml:space="preserve">; </w:t>
            </w:r>
            <w:proofErr w:type="spellStart"/>
            <w:r w:rsidRPr="00A756D1">
              <w:rPr>
                <w:rFonts w:ascii="Arial" w:hAnsi="Arial" w:cs="Arial"/>
                <w:sz w:val="20"/>
                <w:szCs w:val="20"/>
                <w:lang w:val="pt-BR"/>
              </w:rPr>
              <w:t>Salsep</w:t>
            </w:r>
            <w:proofErr w:type="spellEnd"/>
            <w:r w:rsidRPr="00A756D1">
              <w:rPr>
                <w:rFonts w:ascii="Arial" w:hAnsi="Arial" w:cs="Arial"/>
                <w:sz w:val="20"/>
                <w:szCs w:val="20"/>
                <w:lang w:val="pt-BR"/>
              </w:rPr>
              <w:t xml:space="preserve">; </w:t>
            </w:r>
            <w:proofErr w:type="spellStart"/>
            <w:r w:rsidRPr="00A756D1">
              <w:rPr>
                <w:rFonts w:ascii="Arial" w:hAnsi="Arial" w:cs="Arial"/>
                <w:sz w:val="20"/>
                <w:szCs w:val="20"/>
                <w:lang w:val="pt-BR"/>
              </w:rPr>
              <w:t>Nasonex</w:t>
            </w:r>
            <w:proofErr w:type="spellEnd"/>
            <w:r w:rsidRPr="00A756D1">
              <w:rPr>
                <w:rFonts w:ascii="Arial" w:hAnsi="Arial" w:cs="Arial"/>
                <w:sz w:val="20"/>
                <w:szCs w:val="20"/>
                <w:lang w:val="pt-BR"/>
              </w:rPr>
              <w:t xml:space="preserve">; </w:t>
            </w:r>
            <w:proofErr w:type="spellStart"/>
            <w:r w:rsidRPr="00A756D1">
              <w:rPr>
                <w:rFonts w:ascii="Arial" w:hAnsi="Arial" w:cs="Arial"/>
                <w:sz w:val="20"/>
                <w:szCs w:val="20"/>
                <w:lang w:val="pt-BR"/>
              </w:rPr>
              <w:t>Freenal</w:t>
            </w:r>
            <w:proofErr w:type="spellEnd"/>
            <w:r w:rsidRPr="00A756D1">
              <w:rPr>
                <w:rFonts w:ascii="Arial" w:hAnsi="Arial" w:cs="Arial"/>
                <w:sz w:val="20"/>
                <w:szCs w:val="20"/>
                <w:lang w:val="pt-BR"/>
              </w:rPr>
              <w:t xml:space="preserve">; </w:t>
            </w:r>
            <w:proofErr w:type="spellStart"/>
            <w:r w:rsidRPr="00A756D1">
              <w:rPr>
                <w:rFonts w:ascii="Arial" w:hAnsi="Arial" w:cs="Arial"/>
                <w:sz w:val="20"/>
                <w:szCs w:val="20"/>
                <w:lang w:val="pt-BR"/>
              </w:rPr>
              <w:t>Maresys</w:t>
            </w:r>
            <w:proofErr w:type="spellEnd"/>
            <w:r w:rsidRPr="00A756D1">
              <w:rPr>
                <w:rFonts w:ascii="Arial" w:hAnsi="Arial" w:cs="Arial"/>
                <w:sz w:val="20"/>
                <w:szCs w:val="20"/>
                <w:lang w:val="pt-BR"/>
              </w:rPr>
              <w:t>)</w:t>
            </w:r>
          </w:p>
        </w:tc>
        <w:tc>
          <w:tcPr>
            <w:tcW w:w="2265" w:type="dxa"/>
            <w:tcBorders>
              <w:top w:val="nil"/>
              <w:left w:val="nil"/>
              <w:bottom w:val="single" w:sz="4" w:space="0" w:color="auto"/>
              <w:right w:val="nil"/>
            </w:tcBorders>
            <w:vAlign w:val="center"/>
          </w:tcPr>
          <w:p w14:paraId="2F193A4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32</w:t>
            </w:r>
          </w:p>
        </w:tc>
        <w:tc>
          <w:tcPr>
            <w:tcW w:w="2302" w:type="dxa"/>
            <w:tcBorders>
              <w:top w:val="nil"/>
              <w:left w:val="nil"/>
              <w:bottom w:val="single" w:sz="4" w:space="0" w:color="auto"/>
              <w:right w:val="nil"/>
            </w:tcBorders>
            <w:vAlign w:val="center"/>
          </w:tcPr>
          <w:p w14:paraId="75DE81A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40,00%</w:t>
            </w:r>
          </w:p>
        </w:tc>
      </w:tr>
      <w:tr w:rsidR="00A756D1" w:rsidRPr="00A756D1" w14:paraId="5D70722A" w14:textId="77777777" w:rsidTr="003C057D">
        <w:trPr>
          <w:trHeight w:val="474"/>
          <w:jc w:val="center"/>
        </w:trPr>
        <w:tc>
          <w:tcPr>
            <w:tcW w:w="2709" w:type="dxa"/>
            <w:vMerge w:val="restart"/>
            <w:tcBorders>
              <w:left w:val="nil"/>
              <w:bottom w:val="nil"/>
              <w:right w:val="nil"/>
            </w:tcBorders>
            <w:vAlign w:val="center"/>
          </w:tcPr>
          <w:p w14:paraId="241EF7EA"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Período de uso</w:t>
            </w:r>
          </w:p>
        </w:tc>
        <w:tc>
          <w:tcPr>
            <w:tcW w:w="2368" w:type="dxa"/>
            <w:tcBorders>
              <w:left w:val="nil"/>
              <w:bottom w:val="nil"/>
              <w:right w:val="nil"/>
            </w:tcBorders>
            <w:vAlign w:val="center"/>
          </w:tcPr>
          <w:p w14:paraId="531988C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Durante o inverno ou tempo seco</w:t>
            </w:r>
          </w:p>
        </w:tc>
        <w:tc>
          <w:tcPr>
            <w:tcW w:w="2265" w:type="dxa"/>
            <w:tcBorders>
              <w:left w:val="nil"/>
              <w:bottom w:val="nil"/>
              <w:right w:val="nil"/>
            </w:tcBorders>
            <w:vAlign w:val="center"/>
          </w:tcPr>
          <w:p w14:paraId="15A0F9AF"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59</w:t>
            </w:r>
          </w:p>
        </w:tc>
        <w:tc>
          <w:tcPr>
            <w:tcW w:w="2302" w:type="dxa"/>
            <w:tcBorders>
              <w:left w:val="nil"/>
              <w:bottom w:val="nil"/>
              <w:right w:val="nil"/>
            </w:tcBorders>
            <w:vAlign w:val="center"/>
          </w:tcPr>
          <w:p w14:paraId="5B977BAD"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73,75%</w:t>
            </w:r>
          </w:p>
        </w:tc>
      </w:tr>
      <w:tr w:rsidR="00A756D1" w:rsidRPr="00A756D1" w14:paraId="57BFE057" w14:textId="77777777" w:rsidTr="003C057D">
        <w:trPr>
          <w:trHeight w:val="474"/>
          <w:jc w:val="center"/>
        </w:trPr>
        <w:tc>
          <w:tcPr>
            <w:tcW w:w="2709" w:type="dxa"/>
            <w:vMerge/>
            <w:tcBorders>
              <w:top w:val="nil"/>
              <w:left w:val="nil"/>
              <w:bottom w:val="nil"/>
              <w:right w:val="nil"/>
            </w:tcBorders>
            <w:vAlign w:val="center"/>
          </w:tcPr>
          <w:p w14:paraId="3DD898B0"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nil"/>
              <w:right w:val="nil"/>
            </w:tcBorders>
            <w:vAlign w:val="center"/>
          </w:tcPr>
          <w:p w14:paraId="3966733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 xml:space="preserve">Após exposição ao </w:t>
            </w:r>
            <w:proofErr w:type="gramStart"/>
            <w:r w:rsidRPr="00A756D1">
              <w:rPr>
                <w:rFonts w:ascii="Arial" w:hAnsi="Arial" w:cs="Arial"/>
                <w:sz w:val="20"/>
                <w:szCs w:val="20"/>
                <w:lang w:val="pt-BR"/>
              </w:rPr>
              <w:t>ar condicionado</w:t>
            </w:r>
            <w:proofErr w:type="gramEnd"/>
          </w:p>
        </w:tc>
        <w:tc>
          <w:tcPr>
            <w:tcW w:w="2265" w:type="dxa"/>
            <w:tcBorders>
              <w:top w:val="nil"/>
              <w:left w:val="nil"/>
              <w:bottom w:val="nil"/>
              <w:right w:val="nil"/>
            </w:tcBorders>
            <w:vAlign w:val="center"/>
          </w:tcPr>
          <w:p w14:paraId="2A5E4E8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31</w:t>
            </w:r>
          </w:p>
        </w:tc>
        <w:tc>
          <w:tcPr>
            <w:tcW w:w="2302" w:type="dxa"/>
            <w:tcBorders>
              <w:top w:val="nil"/>
              <w:left w:val="nil"/>
              <w:bottom w:val="nil"/>
              <w:right w:val="nil"/>
            </w:tcBorders>
            <w:vAlign w:val="center"/>
          </w:tcPr>
          <w:p w14:paraId="7EF6A90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38,75%</w:t>
            </w:r>
          </w:p>
        </w:tc>
      </w:tr>
      <w:tr w:rsidR="00A756D1" w:rsidRPr="00A756D1" w14:paraId="50BCD3C1" w14:textId="77777777" w:rsidTr="003C057D">
        <w:trPr>
          <w:trHeight w:val="474"/>
          <w:jc w:val="center"/>
        </w:trPr>
        <w:tc>
          <w:tcPr>
            <w:tcW w:w="2709" w:type="dxa"/>
            <w:vMerge/>
            <w:tcBorders>
              <w:top w:val="nil"/>
              <w:left w:val="nil"/>
              <w:bottom w:val="nil"/>
              <w:right w:val="nil"/>
            </w:tcBorders>
            <w:vAlign w:val="center"/>
          </w:tcPr>
          <w:p w14:paraId="770E3F3F" w14:textId="77777777" w:rsidR="00A756D1" w:rsidRPr="00A756D1" w:rsidRDefault="00A756D1" w:rsidP="00BD37DD">
            <w:pPr>
              <w:jc w:val="center"/>
              <w:rPr>
                <w:rFonts w:ascii="Arial" w:hAnsi="Arial" w:cs="Arial"/>
                <w:b/>
                <w:bCs/>
                <w:sz w:val="20"/>
                <w:szCs w:val="20"/>
                <w:lang w:val="pt-BR"/>
              </w:rPr>
            </w:pPr>
            <w:bookmarkStart w:id="10" w:name="_Hlk84971111"/>
          </w:p>
        </w:tc>
        <w:tc>
          <w:tcPr>
            <w:tcW w:w="2368" w:type="dxa"/>
            <w:tcBorders>
              <w:top w:val="nil"/>
              <w:left w:val="nil"/>
              <w:bottom w:val="nil"/>
              <w:right w:val="nil"/>
            </w:tcBorders>
            <w:vAlign w:val="center"/>
          </w:tcPr>
          <w:p w14:paraId="789D455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Após exposição a poeira ou alérgenos</w:t>
            </w:r>
          </w:p>
        </w:tc>
        <w:tc>
          <w:tcPr>
            <w:tcW w:w="2265" w:type="dxa"/>
            <w:tcBorders>
              <w:top w:val="nil"/>
              <w:left w:val="nil"/>
              <w:bottom w:val="nil"/>
              <w:right w:val="nil"/>
            </w:tcBorders>
            <w:vAlign w:val="center"/>
          </w:tcPr>
          <w:p w14:paraId="447981A8"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43</w:t>
            </w:r>
          </w:p>
        </w:tc>
        <w:tc>
          <w:tcPr>
            <w:tcW w:w="2302" w:type="dxa"/>
            <w:tcBorders>
              <w:top w:val="nil"/>
              <w:left w:val="nil"/>
              <w:bottom w:val="nil"/>
              <w:right w:val="nil"/>
            </w:tcBorders>
            <w:vAlign w:val="center"/>
          </w:tcPr>
          <w:p w14:paraId="046FD14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53,75%</w:t>
            </w:r>
          </w:p>
        </w:tc>
      </w:tr>
      <w:bookmarkEnd w:id="10"/>
      <w:tr w:rsidR="00A756D1" w:rsidRPr="00A756D1" w14:paraId="5EA652B7" w14:textId="77777777" w:rsidTr="003C057D">
        <w:trPr>
          <w:trHeight w:val="474"/>
          <w:jc w:val="center"/>
        </w:trPr>
        <w:tc>
          <w:tcPr>
            <w:tcW w:w="2709" w:type="dxa"/>
            <w:vMerge/>
            <w:tcBorders>
              <w:top w:val="nil"/>
              <w:left w:val="nil"/>
              <w:bottom w:val="single" w:sz="4" w:space="0" w:color="auto"/>
              <w:right w:val="nil"/>
            </w:tcBorders>
            <w:vAlign w:val="center"/>
          </w:tcPr>
          <w:p w14:paraId="77148514"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single" w:sz="4" w:space="0" w:color="auto"/>
              <w:right w:val="nil"/>
            </w:tcBorders>
            <w:vAlign w:val="center"/>
          </w:tcPr>
          <w:p w14:paraId="694234A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Outros (raramente, após uso de maconha, o tempo todo, em casos extremos, resfriado, gripe)</w:t>
            </w:r>
          </w:p>
        </w:tc>
        <w:tc>
          <w:tcPr>
            <w:tcW w:w="2265" w:type="dxa"/>
            <w:tcBorders>
              <w:top w:val="nil"/>
              <w:left w:val="nil"/>
              <w:bottom w:val="single" w:sz="4" w:space="0" w:color="auto"/>
              <w:right w:val="nil"/>
            </w:tcBorders>
            <w:vAlign w:val="center"/>
          </w:tcPr>
          <w:p w14:paraId="2BEB6D3F"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w:t>
            </w:r>
          </w:p>
        </w:tc>
        <w:tc>
          <w:tcPr>
            <w:tcW w:w="2302" w:type="dxa"/>
            <w:tcBorders>
              <w:top w:val="nil"/>
              <w:left w:val="nil"/>
              <w:bottom w:val="single" w:sz="4" w:space="0" w:color="auto"/>
              <w:right w:val="nil"/>
            </w:tcBorders>
            <w:vAlign w:val="center"/>
          </w:tcPr>
          <w:p w14:paraId="01CADDA9"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10,00%</w:t>
            </w:r>
          </w:p>
        </w:tc>
      </w:tr>
      <w:tr w:rsidR="00A756D1" w:rsidRPr="00A756D1" w14:paraId="3C3FC726" w14:textId="77777777" w:rsidTr="003C057D">
        <w:trPr>
          <w:trHeight w:val="237"/>
          <w:jc w:val="center"/>
        </w:trPr>
        <w:tc>
          <w:tcPr>
            <w:tcW w:w="2709" w:type="dxa"/>
            <w:vMerge w:val="restart"/>
            <w:tcBorders>
              <w:left w:val="nil"/>
              <w:bottom w:val="nil"/>
              <w:right w:val="nil"/>
            </w:tcBorders>
            <w:vAlign w:val="center"/>
          </w:tcPr>
          <w:p w14:paraId="2DC02AC6"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Frequência de uso</w:t>
            </w:r>
          </w:p>
        </w:tc>
        <w:tc>
          <w:tcPr>
            <w:tcW w:w="2368" w:type="dxa"/>
            <w:tcBorders>
              <w:left w:val="nil"/>
              <w:bottom w:val="nil"/>
              <w:right w:val="nil"/>
            </w:tcBorders>
            <w:vAlign w:val="center"/>
          </w:tcPr>
          <w:p w14:paraId="4035B4D0" w14:textId="77777777" w:rsidR="00A756D1" w:rsidRPr="00A756D1" w:rsidRDefault="00A756D1" w:rsidP="00BD37DD">
            <w:pPr>
              <w:jc w:val="center"/>
              <w:rPr>
                <w:rFonts w:ascii="Arial" w:hAnsi="Arial" w:cs="Arial"/>
                <w:color w:val="000000" w:themeColor="text1"/>
                <w:sz w:val="20"/>
                <w:szCs w:val="20"/>
                <w:lang w:val="pt-BR"/>
              </w:rPr>
            </w:pPr>
            <w:r w:rsidRPr="00A756D1">
              <w:rPr>
                <w:rFonts w:ascii="Arial" w:hAnsi="Arial" w:cs="Arial"/>
                <w:color w:val="000000" w:themeColor="text1"/>
                <w:sz w:val="20"/>
                <w:szCs w:val="20"/>
                <w:lang w:val="pt-BR"/>
              </w:rPr>
              <w:t>≤ 5 vezes ao dia</w:t>
            </w:r>
          </w:p>
        </w:tc>
        <w:tc>
          <w:tcPr>
            <w:tcW w:w="2265" w:type="dxa"/>
            <w:tcBorders>
              <w:left w:val="nil"/>
              <w:bottom w:val="nil"/>
              <w:right w:val="nil"/>
            </w:tcBorders>
            <w:vAlign w:val="center"/>
          </w:tcPr>
          <w:p w14:paraId="676662F5" w14:textId="77777777" w:rsidR="00A756D1" w:rsidRPr="00A756D1" w:rsidRDefault="00A756D1" w:rsidP="00BD37DD">
            <w:pPr>
              <w:jc w:val="center"/>
              <w:rPr>
                <w:rFonts w:ascii="Arial" w:hAnsi="Arial" w:cs="Arial"/>
                <w:color w:val="000000" w:themeColor="text1"/>
                <w:sz w:val="20"/>
                <w:szCs w:val="20"/>
                <w:lang w:val="pt-BR"/>
              </w:rPr>
            </w:pPr>
            <w:r w:rsidRPr="00A756D1">
              <w:rPr>
                <w:rFonts w:ascii="Arial" w:hAnsi="Arial" w:cs="Arial"/>
                <w:color w:val="000000" w:themeColor="text1"/>
                <w:sz w:val="20"/>
                <w:szCs w:val="20"/>
                <w:lang w:val="pt-BR"/>
              </w:rPr>
              <w:t>23</w:t>
            </w:r>
          </w:p>
        </w:tc>
        <w:tc>
          <w:tcPr>
            <w:tcW w:w="2302" w:type="dxa"/>
            <w:tcBorders>
              <w:left w:val="nil"/>
              <w:bottom w:val="nil"/>
              <w:right w:val="nil"/>
            </w:tcBorders>
            <w:vAlign w:val="center"/>
          </w:tcPr>
          <w:p w14:paraId="5DEF313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28,75%</w:t>
            </w:r>
          </w:p>
        </w:tc>
      </w:tr>
      <w:tr w:rsidR="00A756D1" w:rsidRPr="00A756D1" w14:paraId="595FEE5C" w14:textId="77777777" w:rsidTr="003C057D">
        <w:trPr>
          <w:trHeight w:val="237"/>
          <w:jc w:val="center"/>
        </w:trPr>
        <w:tc>
          <w:tcPr>
            <w:tcW w:w="2709" w:type="dxa"/>
            <w:vMerge/>
            <w:tcBorders>
              <w:top w:val="nil"/>
              <w:left w:val="nil"/>
              <w:bottom w:val="nil"/>
              <w:right w:val="nil"/>
            </w:tcBorders>
            <w:vAlign w:val="center"/>
          </w:tcPr>
          <w:p w14:paraId="75C7D12C"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nil"/>
              <w:right w:val="nil"/>
            </w:tcBorders>
            <w:vAlign w:val="center"/>
          </w:tcPr>
          <w:p w14:paraId="0DB0730F" w14:textId="77777777" w:rsidR="00A756D1" w:rsidRPr="00A756D1" w:rsidRDefault="00A756D1" w:rsidP="00BD37DD">
            <w:pPr>
              <w:jc w:val="center"/>
              <w:rPr>
                <w:rFonts w:ascii="Arial" w:hAnsi="Arial" w:cs="Arial"/>
                <w:color w:val="000000" w:themeColor="text1"/>
                <w:sz w:val="20"/>
                <w:szCs w:val="20"/>
                <w:lang w:val="pt-BR"/>
              </w:rPr>
            </w:pPr>
            <w:r w:rsidRPr="00A756D1">
              <w:rPr>
                <w:rFonts w:ascii="Arial" w:hAnsi="Arial" w:cs="Arial"/>
                <w:color w:val="000000" w:themeColor="text1"/>
                <w:sz w:val="20"/>
                <w:szCs w:val="20"/>
                <w:lang w:val="pt-BR"/>
              </w:rPr>
              <w:t>&gt;5 vezes ao dia</w:t>
            </w:r>
          </w:p>
        </w:tc>
        <w:tc>
          <w:tcPr>
            <w:tcW w:w="2265" w:type="dxa"/>
            <w:tcBorders>
              <w:top w:val="nil"/>
              <w:left w:val="nil"/>
              <w:bottom w:val="nil"/>
              <w:right w:val="nil"/>
            </w:tcBorders>
            <w:vAlign w:val="center"/>
          </w:tcPr>
          <w:p w14:paraId="453AB37B" w14:textId="77777777" w:rsidR="00A756D1" w:rsidRPr="00A756D1" w:rsidRDefault="00A756D1" w:rsidP="00BD37DD">
            <w:pPr>
              <w:jc w:val="center"/>
              <w:rPr>
                <w:rFonts w:ascii="Arial" w:hAnsi="Arial" w:cs="Arial"/>
                <w:color w:val="000000" w:themeColor="text1"/>
                <w:sz w:val="20"/>
                <w:szCs w:val="20"/>
                <w:lang w:val="pt-BR"/>
              </w:rPr>
            </w:pPr>
            <w:r w:rsidRPr="00A756D1">
              <w:rPr>
                <w:rFonts w:ascii="Arial" w:hAnsi="Arial" w:cs="Arial"/>
                <w:color w:val="000000" w:themeColor="text1"/>
                <w:sz w:val="20"/>
                <w:szCs w:val="20"/>
                <w:lang w:val="pt-BR"/>
              </w:rPr>
              <w:t>55</w:t>
            </w:r>
          </w:p>
        </w:tc>
        <w:tc>
          <w:tcPr>
            <w:tcW w:w="2302" w:type="dxa"/>
            <w:tcBorders>
              <w:top w:val="nil"/>
              <w:left w:val="nil"/>
              <w:bottom w:val="nil"/>
              <w:right w:val="nil"/>
            </w:tcBorders>
            <w:vAlign w:val="center"/>
          </w:tcPr>
          <w:p w14:paraId="780455E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68,75%</w:t>
            </w:r>
          </w:p>
        </w:tc>
      </w:tr>
      <w:tr w:rsidR="00A756D1" w:rsidRPr="00A756D1" w14:paraId="620130B3" w14:textId="77777777" w:rsidTr="003C057D">
        <w:trPr>
          <w:trHeight w:val="237"/>
          <w:jc w:val="center"/>
        </w:trPr>
        <w:tc>
          <w:tcPr>
            <w:tcW w:w="2709" w:type="dxa"/>
            <w:vMerge/>
            <w:tcBorders>
              <w:top w:val="nil"/>
              <w:left w:val="nil"/>
              <w:bottom w:val="single" w:sz="4" w:space="0" w:color="auto"/>
              <w:right w:val="nil"/>
            </w:tcBorders>
            <w:vAlign w:val="center"/>
          </w:tcPr>
          <w:p w14:paraId="504813DE"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single" w:sz="4" w:space="0" w:color="auto"/>
              <w:right w:val="nil"/>
            </w:tcBorders>
            <w:vAlign w:val="center"/>
          </w:tcPr>
          <w:p w14:paraId="782EFA5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Não especificado</w:t>
            </w:r>
          </w:p>
        </w:tc>
        <w:tc>
          <w:tcPr>
            <w:tcW w:w="2265" w:type="dxa"/>
            <w:tcBorders>
              <w:top w:val="nil"/>
              <w:left w:val="nil"/>
              <w:bottom w:val="single" w:sz="4" w:space="0" w:color="auto"/>
              <w:right w:val="nil"/>
            </w:tcBorders>
            <w:vAlign w:val="center"/>
          </w:tcPr>
          <w:p w14:paraId="3D46115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w:t>
            </w:r>
          </w:p>
        </w:tc>
        <w:tc>
          <w:tcPr>
            <w:tcW w:w="2302" w:type="dxa"/>
            <w:tcBorders>
              <w:top w:val="nil"/>
              <w:left w:val="nil"/>
              <w:bottom w:val="single" w:sz="4" w:space="0" w:color="auto"/>
              <w:right w:val="nil"/>
            </w:tcBorders>
            <w:vAlign w:val="center"/>
          </w:tcPr>
          <w:p w14:paraId="4414836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2,50%</w:t>
            </w:r>
          </w:p>
        </w:tc>
      </w:tr>
      <w:tr w:rsidR="00A756D1" w:rsidRPr="00A756D1" w14:paraId="08B6BBDC" w14:textId="77777777" w:rsidTr="003C057D">
        <w:trPr>
          <w:trHeight w:val="237"/>
          <w:jc w:val="center"/>
        </w:trPr>
        <w:tc>
          <w:tcPr>
            <w:tcW w:w="2709" w:type="dxa"/>
            <w:vMerge w:val="restart"/>
            <w:tcBorders>
              <w:left w:val="nil"/>
              <w:bottom w:val="nil"/>
              <w:right w:val="nil"/>
            </w:tcBorders>
            <w:vAlign w:val="center"/>
          </w:tcPr>
          <w:p w14:paraId="62B624A8"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Tempo de uso</w:t>
            </w:r>
          </w:p>
        </w:tc>
        <w:tc>
          <w:tcPr>
            <w:tcW w:w="2368" w:type="dxa"/>
            <w:tcBorders>
              <w:left w:val="nil"/>
              <w:bottom w:val="nil"/>
              <w:right w:val="nil"/>
            </w:tcBorders>
            <w:vAlign w:val="center"/>
          </w:tcPr>
          <w:p w14:paraId="00A934E0"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 6 meses</w:t>
            </w:r>
          </w:p>
        </w:tc>
        <w:tc>
          <w:tcPr>
            <w:tcW w:w="2265" w:type="dxa"/>
            <w:tcBorders>
              <w:left w:val="nil"/>
              <w:bottom w:val="nil"/>
              <w:right w:val="nil"/>
            </w:tcBorders>
            <w:vAlign w:val="center"/>
          </w:tcPr>
          <w:p w14:paraId="765E21C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w:t>
            </w:r>
          </w:p>
        </w:tc>
        <w:tc>
          <w:tcPr>
            <w:tcW w:w="2302" w:type="dxa"/>
            <w:tcBorders>
              <w:left w:val="nil"/>
              <w:bottom w:val="nil"/>
              <w:right w:val="nil"/>
            </w:tcBorders>
            <w:vAlign w:val="center"/>
          </w:tcPr>
          <w:p w14:paraId="1443D10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10%</w:t>
            </w:r>
          </w:p>
        </w:tc>
      </w:tr>
      <w:tr w:rsidR="00A756D1" w:rsidRPr="00A756D1" w14:paraId="73078E1B" w14:textId="77777777" w:rsidTr="003C057D">
        <w:trPr>
          <w:trHeight w:val="252"/>
          <w:jc w:val="center"/>
        </w:trPr>
        <w:tc>
          <w:tcPr>
            <w:tcW w:w="2709" w:type="dxa"/>
            <w:vMerge/>
            <w:tcBorders>
              <w:top w:val="nil"/>
              <w:left w:val="nil"/>
              <w:bottom w:val="nil"/>
              <w:right w:val="nil"/>
            </w:tcBorders>
            <w:vAlign w:val="center"/>
          </w:tcPr>
          <w:p w14:paraId="655190E1"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nil"/>
              <w:right w:val="nil"/>
            </w:tcBorders>
            <w:vAlign w:val="center"/>
          </w:tcPr>
          <w:p w14:paraId="052FFD28"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&gt;6 meses</w:t>
            </w:r>
          </w:p>
        </w:tc>
        <w:tc>
          <w:tcPr>
            <w:tcW w:w="2265" w:type="dxa"/>
            <w:tcBorders>
              <w:top w:val="nil"/>
              <w:left w:val="nil"/>
              <w:bottom w:val="nil"/>
              <w:right w:val="nil"/>
            </w:tcBorders>
            <w:vAlign w:val="center"/>
          </w:tcPr>
          <w:p w14:paraId="1D0F8CD9"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49</w:t>
            </w:r>
          </w:p>
        </w:tc>
        <w:tc>
          <w:tcPr>
            <w:tcW w:w="2302" w:type="dxa"/>
            <w:tcBorders>
              <w:top w:val="nil"/>
              <w:left w:val="nil"/>
              <w:bottom w:val="nil"/>
              <w:right w:val="nil"/>
            </w:tcBorders>
            <w:vAlign w:val="center"/>
          </w:tcPr>
          <w:p w14:paraId="789B25D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61,25%</w:t>
            </w:r>
          </w:p>
        </w:tc>
      </w:tr>
      <w:tr w:rsidR="00A756D1" w:rsidRPr="00A756D1" w14:paraId="78C7284E" w14:textId="77777777" w:rsidTr="003C057D">
        <w:trPr>
          <w:trHeight w:val="237"/>
          <w:jc w:val="center"/>
        </w:trPr>
        <w:tc>
          <w:tcPr>
            <w:tcW w:w="2709" w:type="dxa"/>
            <w:vMerge/>
            <w:tcBorders>
              <w:top w:val="nil"/>
              <w:left w:val="nil"/>
              <w:bottom w:val="single" w:sz="4" w:space="0" w:color="auto"/>
              <w:right w:val="nil"/>
            </w:tcBorders>
            <w:vAlign w:val="center"/>
          </w:tcPr>
          <w:p w14:paraId="03E39C52"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single" w:sz="4" w:space="0" w:color="auto"/>
              <w:right w:val="nil"/>
            </w:tcBorders>
            <w:vAlign w:val="center"/>
          </w:tcPr>
          <w:p w14:paraId="4DF0A8A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Não especificado</w:t>
            </w:r>
          </w:p>
        </w:tc>
        <w:tc>
          <w:tcPr>
            <w:tcW w:w="2265" w:type="dxa"/>
            <w:tcBorders>
              <w:top w:val="nil"/>
              <w:left w:val="nil"/>
              <w:bottom w:val="single" w:sz="4" w:space="0" w:color="auto"/>
              <w:right w:val="nil"/>
            </w:tcBorders>
            <w:vAlign w:val="center"/>
          </w:tcPr>
          <w:p w14:paraId="24836869"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23</w:t>
            </w:r>
          </w:p>
        </w:tc>
        <w:tc>
          <w:tcPr>
            <w:tcW w:w="2302" w:type="dxa"/>
            <w:tcBorders>
              <w:top w:val="nil"/>
              <w:left w:val="nil"/>
              <w:bottom w:val="single" w:sz="4" w:space="0" w:color="auto"/>
              <w:right w:val="nil"/>
            </w:tcBorders>
            <w:vAlign w:val="center"/>
          </w:tcPr>
          <w:p w14:paraId="6049582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28,75%</w:t>
            </w:r>
          </w:p>
        </w:tc>
      </w:tr>
      <w:tr w:rsidR="00A756D1" w:rsidRPr="00A756D1" w14:paraId="563FBA02" w14:textId="77777777" w:rsidTr="003C057D">
        <w:trPr>
          <w:trHeight w:val="237"/>
          <w:jc w:val="center"/>
        </w:trPr>
        <w:tc>
          <w:tcPr>
            <w:tcW w:w="2709" w:type="dxa"/>
            <w:vMerge w:val="restart"/>
            <w:tcBorders>
              <w:top w:val="single" w:sz="4" w:space="0" w:color="auto"/>
              <w:left w:val="nil"/>
              <w:right w:val="nil"/>
            </w:tcBorders>
            <w:vAlign w:val="center"/>
          </w:tcPr>
          <w:p w14:paraId="0B622044"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Apresentação de efeitos colaterais</w:t>
            </w:r>
          </w:p>
        </w:tc>
        <w:tc>
          <w:tcPr>
            <w:tcW w:w="2368" w:type="dxa"/>
            <w:tcBorders>
              <w:top w:val="single" w:sz="4" w:space="0" w:color="auto"/>
              <w:left w:val="nil"/>
              <w:bottom w:val="nil"/>
              <w:right w:val="nil"/>
            </w:tcBorders>
            <w:vAlign w:val="center"/>
          </w:tcPr>
          <w:p w14:paraId="4E7C81C8"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Dependência</w:t>
            </w:r>
          </w:p>
        </w:tc>
        <w:tc>
          <w:tcPr>
            <w:tcW w:w="2265" w:type="dxa"/>
            <w:tcBorders>
              <w:top w:val="single" w:sz="4" w:space="0" w:color="auto"/>
              <w:left w:val="nil"/>
              <w:bottom w:val="nil"/>
              <w:right w:val="nil"/>
            </w:tcBorders>
            <w:vAlign w:val="center"/>
          </w:tcPr>
          <w:p w14:paraId="198BAE8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11</w:t>
            </w:r>
          </w:p>
        </w:tc>
        <w:tc>
          <w:tcPr>
            <w:tcW w:w="2302" w:type="dxa"/>
            <w:tcBorders>
              <w:top w:val="single" w:sz="4" w:space="0" w:color="auto"/>
              <w:left w:val="nil"/>
              <w:bottom w:val="nil"/>
              <w:right w:val="nil"/>
            </w:tcBorders>
            <w:vAlign w:val="center"/>
          </w:tcPr>
          <w:p w14:paraId="1EB30E7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13,75%</w:t>
            </w:r>
          </w:p>
        </w:tc>
      </w:tr>
      <w:tr w:rsidR="00A756D1" w:rsidRPr="00A756D1" w14:paraId="5444DBC5" w14:textId="77777777" w:rsidTr="003C057D">
        <w:trPr>
          <w:trHeight w:val="252"/>
          <w:jc w:val="center"/>
        </w:trPr>
        <w:tc>
          <w:tcPr>
            <w:tcW w:w="2709" w:type="dxa"/>
            <w:vMerge/>
            <w:tcBorders>
              <w:left w:val="nil"/>
              <w:right w:val="nil"/>
            </w:tcBorders>
            <w:vAlign w:val="center"/>
          </w:tcPr>
          <w:p w14:paraId="65CFCE71"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nil"/>
              <w:right w:val="nil"/>
            </w:tcBorders>
            <w:vAlign w:val="center"/>
          </w:tcPr>
          <w:p w14:paraId="702FBE95"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Insônia</w:t>
            </w:r>
          </w:p>
        </w:tc>
        <w:tc>
          <w:tcPr>
            <w:tcW w:w="2265" w:type="dxa"/>
            <w:tcBorders>
              <w:top w:val="nil"/>
              <w:left w:val="nil"/>
              <w:bottom w:val="nil"/>
              <w:right w:val="nil"/>
            </w:tcBorders>
            <w:vAlign w:val="center"/>
          </w:tcPr>
          <w:p w14:paraId="72AF4BC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w:t>
            </w:r>
          </w:p>
        </w:tc>
        <w:tc>
          <w:tcPr>
            <w:tcW w:w="2302" w:type="dxa"/>
            <w:tcBorders>
              <w:top w:val="nil"/>
              <w:left w:val="nil"/>
              <w:bottom w:val="nil"/>
              <w:right w:val="nil"/>
            </w:tcBorders>
            <w:vAlign w:val="center"/>
          </w:tcPr>
          <w:p w14:paraId="49FB99B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1,25%</w:t>
            </w:r>
          </w:p>
        </w:tc>
      </w:tr>
      <w:tr w:rsidR="00A756D1" w:rsidRPr="00A756D1" w14:paraId="76933365" w14:textId="77777777" w:rsidTr="003C057D">
        <w:trPr>
          <w:trHeight w:val="252"/>
          <w:jc w:val="center"/>
        </w:trPr>
        <w:tc>
          <w:tcPr>
            <w:tcW w:w="2709" w:type="dxa"/>
            <w:vMerge/>
            <w:tcBorders>
              <w:left w:val="nil"/>
              <w:right w:val="nil"/>
            </w:tcBorders>
            <w:vAlign w:val="center"/>
          </w:tcPr>
          <w:p w14:paraId="70AFE9AF"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nil"/>
              <w:right w:val="nil"/>
            </w:tcBorders>
            <w:vAlign w:val="center"/>
          </w:tcPr>
          <w:p w14:paraId="27A4C59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Taquicardia</w:t>
            </w:r>
          </w:p>
        </w:tc>
        <w:tc>
          <w:tcPr>
            <w:tcW w:w="2265" w:type="dxa"/>
            <w:tcBorders>
              <w:top w:val="nil"/>
              <w:left w:val="nil"/>
              <w:bottom w:val="nil"/>
              <w:right w:val="nil"/>
            </w:tcBorders>
            <w:vAlign w:val="center"/>
          </w:tcPr>
          <w:p w14:paraId="773D757D"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w:t>
            </w:r>
          </w:p>
        </w:tc>
        <w:tc>
          <w:tcPr>
            <w:tcW w:w="2302" w:type="dxa"/>
            <w:tcBorders>
              <w:top w:val="nil"/>
              <w:left w:val="nil"/>
              <w:bottom w:val="nil"/>
              <w:right w:val="nil"/>
            </w:tcBorders>
            <w:vAlign w:val="center"/>
          </w:tcPr>
          <w:p w14:paraId="0BD146B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1,25%</w:t>
            </w:r>
          </w:p>
        </w:tc>
      </w:tr>
      <w:tr w:rsidR="00A756D1" w:rsidRPr="00A756D1" w14:paraId="6D6EBE63" w14:textId="77777777" w:rsidTr="003C057D">
        <w:trPr>
          <w:trHeight w:val="252"/>
          <w:jc w:val="center"/>
        </w:trPr>
        <w:tc>
          <w:tcPr>
            <w:tcW w:w="2709" w:type="dxa"/>
            <w:vMerge/>
            <w:tcBorders>
              <w:left w:val="nil"/>
              <w:bottom w:val="single" w:sz="4" w:space="0" w:color="auto"/>
              <w:right w:val="nil"/>
            </w:tcBorders>
            <w:vAlign w:val="center"/>
          </w:tcPr>
          <w:p w14:paraId="0827A421" w14:textId="77777777" w:rsidR="00A756D1" w:rsidRPr="00A756D1" w:rsidRDefault="00A756D1" w:rsidP="00BD37DD">
            <w:pPr>
              <w:jc w:val="center"/>
              <w:rPr>
                <w:rFonts w:ascii="Arial" w:hAnsi="Arial" w:cs="Arial"/>
                <w:b/>
                <w:bCs/>
                <w:sz w:val="20"/>
                <w:szCs w:val="20"/>
                <w:lang w:val="pt-BR"/>
              </w:rPr>
            </w:pPr>
          </w:p>
        </w:tc>
        <w:tc>
          <w:tcPr>
            <w:tcW w:w="2368" w:type="dxa"/>
            <w:tcBorders>
              <w:top w:val="nil"/>
              <w:left w:val="nil"/>
              <w:bottom w:val="single" w:sz="4" w:space="0" w:color="auto"/>
              <w:right w:val="nil"/>
            </w:tcBorders>
            <w:vAlign w:val="center"/>
          </w:tcPr>
          <w:p w14:paraId="73D031F8"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Nenhum</w:t>
            </w:r>
          </w:p>
        </w:tc>
        <w:tc>
          <w:tcPr>
            <w:tcW w:w="2265" w:type="dxa"/>
            <w:tcBorders>
              <w:top w:val="nil"/>
              <w:left w:val="nil"/>
              <w:bottom w:val="single" w:sz="4" w:space="0" w:color="auto"/>
              <w:right w:val="nil"/>
            </w:tcBorders>
            <w:vAlign w:val="center"/>
          </w:tcPr>
          <w:p w14:paraId="1519E8D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67</w:t>
            </w:r>
          </w:p>
        </w:tc>
        <w:tc>
          <w:tcPr>
            <w:tcW w:w="2302" w:type="dxa"/>
            <w:tcBorders>
              <w:top w:val="nil"/>
              <w:left w:val="nil"/>
              <w:bottom w:val="single" w:sz="4" w:space="0" w:color="auto"/>
              <w:right w:val="nil"/>
            </w:tcBorders>
            <w:vAlign w:val="center"/>
          </w:tcPr>
          <w:p w14:paraId="1E062965"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83,75%</w:t>
            </w:r>
          </w:p>
        </w:tc>
      </w:tr>
    </w:tbl>
    <w:p w14:paraId="2ED6B1C7" w14:textId="77777777" w:rsidR="00A756D1" w:rsidRPr="00A756D1" w:rsidRDefault="00A756D1" w:rsidP="003C057D">
      <w:pPr>
        <w:shd w:val="clear" w:color="auto" w:fill="FFFFFF"/>
        <w:spacing w:after="120" w:line="276" w:lineRule="auto"/>
        <w:rPr>
          <w:rFonts w:ascii="Arial" w:hAnsi="Arial" w:cs="Arial"/>
          <w:sz w:val="20"/>
          <w:szCs w:val="20"/>
          <w:lang w:val="pt-BR"/>
        </w:rPr>
      </w:pPr>
      <w:r w:rsidRPr="00A756D1">
        <w:rPr>
          <w:rFonts w:ascii="Arial" w:hAnsi="Arial" w:cs="Arial"/>
          <w:sz w:val="20"/>
          <w:szCs w:val="20"/>
          <w:lang w:val="pt-BR"/>
        </w:rPr>
        <w:t>Nota: um participante pode ter utilizado mais de um tipo de descongestionante nasal.</w:t>
      </w:r>
    </w:p>
    <w:p w14:paraId="7D6EFA7A" w14:textId="77777777" w:rsidR="00A756D1" w:rsidRPr="00A756D1" w:rsidRDefault="00A756D1" w:rsidP="003C057D">
      <w:pPr>
        <w:shd w:val="clear" w:color="auto" w:fill="FFFFFF"/>
        <w:spacing w:after="120" w:line="276" w:lineRule="auto"/>
        <w:rPr>
          <w:rFonts w:ascii="Arial" w:hAnsi="Arial" w:cs="Arial"/>
          <w:sz w:val="20"/>
          <w:szCs w:val="20"/>
          <w:lang w:val="pt-BR"/>
        </w:rPr>
      </w:pPr>
      <w:r w:rsidRPr="00A756D1">
        <w:rPr>
          <w:rFonts w:ascii="Arial" w:hAnsi="Arial" w:cs="Arial"/>
          <w:sz w:val="20"/>
          <w:szCs w:val="20"/>
          <w:lang w:val="pt-BR"/>
        </w:rPr>
        <w:t>Fonte: Paula, GO, et al., 2021.</w:t>
      </w:r>
    </w:p>
    <w:p w14:paraId="258C1CB3" w14:textId="77777777" w:rsidR="00A756D1" w:rsidRPr="00A756D1" w:rsidRDefault="00A756D1" w:rsidP="003C057D">
      <w:pPr>
        <w:spacing w:after="120" w:line="276" w:lineRule="auto"/>
        <w:ind w:firstLine="284"/>
        <w:jc w:val="both"/>
        <w:rPr>
          <w:rFonts w:ascii="Arial" w:hAnsi="Arial" w:cs="Arial"/>
          <w:sz w:val="20"/>
          <w:szCs w:val="20"/>
          <w:lang w:val="pt-BR"/>
        </w:rPr>
      </w:pPr>
      <w:r w:rsidRPr="00A756D1">
        <w:rPr>
          <w:rFonts w:ascii="Arial" w:hAnsi="Arial" w:cs="Arial"/>
          <w:sz w:val="20"/>
          <w:szCs w:val="20"/>
          <w:lang w:val="pt-BR"/>
        </w:rPr>
        <w:t xml:space="preserve">Sobre o uso com prescrição médica ou não, apenas 33,75% (n=27) administram o descongestionante por prescrição, </w:t>
      </w:r>
      <w:bookmarkStart w:id="11" w:name="_Hlk85209004"/>
      <w:r w:rsidRPr="00A756D1">
        <w:rPr>
          <w:rFonts w:ascii="Arial" w:hAnsi="Arial" w:cs="Arial"/>
          <w:sz w:val="20"/>
          <w:szCs w:val="20"/>
          <w:lang w:val="pt-BR"/>
        </w:rPr>
        <w:t>66,25% (n=53) não têm receita médica</w:t>
      </w:r>
      <w:bookmarkEnd w:id="11"/>
      <w:r w:rsidRPr="00A756D1">
        <w:rPr>
          <w:rFonts w:ascii="Arial" w:hAnsi="Arial" w:cs="Arial"/>
          <w:sz w:val="20"/>
          <w:szCs w:val="20"/>
          <w:lang w:val="pt-BR"/>
        </w:rPr>
        <w:t xml:space="preserve">. Dos que apresentam prescrição, 18,51% (n=5) não utilizam da forma que foi recomendada. Já aqueles que fazem uso de descongestionante sem prescrição, apenas 13,20% (n=7) segue a posologia de acordo com a bula da medicação, os outros 86,80% (n=46) fazem uso indiscriminado </w:t>
      </w:r>
      <w:r w:rsidRPr="00A756D1">
        <w:rPr>
          <w:rFonts w:ascii="Arial" w:hAnsi="Arial" w:cs="Arial"/>
          <w:b/>
          <w:bCs/>
          <w:sz w:val="20"/>
          <w:szCs w:val="20"/>
          <w:lang w:val="pt-BR"/>
        </w:rPr>
        <w:t>(Tabela 4).</w:t>
      </w:r>
    </w:p>
    <w:p w14:paraId="0B35B49B" w14:textId="77777777" w:rsidR="00A756D1" w:rsidRPr="00A756D1" w:rsidRDefault="00A756D1" w:rsidP="003C057D">
      <w:pPr>
        <w:shd w:val="clear" w:color="auto" w:fill="FFFFFF"/>
        <w:spacing w:after="120" w:line="276" w:lineRule="auto"/>
        <w:ind w:firstLine="284"/>
        <w:rPr>
          <w:rFonts w:ascii="Arial" w:hAnsi="Arial" w:cs="Arial"/>
          <w:sz w:val="20"/>
          <w:szCs w:val="20"/>
          <w:lang w:val="pt-BR"/>
        </w:rPr>
      </w:pPr>
    </w:p>
    <w:p w14:paraId="265E4CEA" w14:textId="77777777" w:rsidR="00A756D1" w:rsidRPr="00A756D1" w:rsidRDefault="00A756D1" w:rsidP="003C057D">
      <w:pPr>
        <w:shd w:val="clear" w:color="auto" w:fill="FFFFFF"/>
        <w:spacing w:after="120" w:line="276" w:lineRule="auto"/>
        <w:ind w:firstLine="284"/>
        <w:jc w:val="both"/>
        <w:rPr>
          <w:rFonts w:ascii="Arial" w:hAnsi="Arial" w:cs="Arial"/>
          <w:sz w:val="20"/>
          <w:szCs w:val="20"/>
          <w:lang w:val="pt-BR"/>
        </w:rPr>
      </w:pPr>
      <w:r w:rsidRPr="00A756D1">
        <w:rPr>
          <w:rFonts w:ascii="Arial" w:hAnsi="Arial" w:cs="Arial"/>
          <w:b/>
          <w:bCs/>
          <w:sz w:val="20"/>
          <w:szCs w:val="20"/>
          <w:lang w:val="pt-BR"/>
        </w:rPr>
        <w:t>Tabela 4 –</w:t>
      </w:r>
      <w:r w:rsidRPr="00A756D1">
        <w:rPr>
          <w:rFonts w:ascii="Arial" w:hAnsi="Arial" w:cs="Arial"/>
          <w:sz w:val="20"/>
          <w:szCs w:val="20"/>
          <w:lang w:val="pt-BR"/>
        </w:rPr>
        <w:t xml:space="preserve"> Relação de acadêmicos de medicina de uma universidade na região central do estado de Goiás que fazem uso prescrito ou não de descongestionantes nasais e que seguem ou não a posologia recomendada pelo médico ou pela bula.</w:t>
      </w:r>
    </w:p>
    <w:tbl>
      <w:tblPr>
        <w:tblStyle w:val="Tabelacomgrade"/>
        <w:tblW w:w="0" w:type="auto"/>
        <w:jc w:val="center"/>
        <w:tblLook w:val="04A0" w:firstRow="1" w:lastRow="0" w:firstColumn="1" w:lastColumn="0" w:noHBand="0" w:noVBand="1"/>
      </w:tblPr>
      <w:tblGrid>
        <w:gridCol w:w="2692"/>
        <w:gridCol w:w="2353"/>
        <w:gridCol w:w="2251"/>
        <w:gridCol w:w="2288"/>
      </w:tblGrid>
      <w:tr w:rsidR="00A756D1" w:rsidRPr="00A756D1" w14:paraId="20416820" w14:textId="77777777" w:rsidTr="003C057D">
        <w:trPr>
          <w:trHeight w:val="273"/>
          <w:jc w:val="center"/>
        </w:trPr>
        <w:tc>
          <w:tcPr>
            <w:tcW w:w="2692" w:type="dxa"/>
            <w:vMerge w:val="restart"/>
            <w:tcBorders>
              <w:left w:val="nil"/>
              <w:bottom w:val="nil"/>
              <w:right w:val="nil"/>
            </w:tcBorders>
            <w:vAlign w:val="center"/>
          </w:tcPr>
          <w:p w14:paraId="5E440E47"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Prescrição médica</w:t>
            </w:r>
          </w:p>
        </w:tc>
        <w:tc>
          <w:tcPr>
            <w:tcW w:w="2353" w:type="dxa"/>
            <w:tcBorders>
              <w:left w:val="nil"/>
              <w:bottom w:val="nil"/>
              <w:right w:val="nil"/>
            </w:tcBorders>
            <w:vAlign w:val="center"/>
          </w:tcPr>
          <w:p w14:paraId="73E49D5F"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Uso prescrito</w:t>
            </w:r>
          </w:p>
        </w:tc>
        <w:tc>
          <w:tcPr>
            <w:tcW w:w="2251" w:type="dxa"/>
            <w:tcBorders>
              <w:left w:val="nil"/>
              <w:bottom w:val="nil"/>
              <w:right w:val="nil"/>
            </w:tcBorders>
            <w:vAlign w:val="center"/>
          </w:tcPr>
          <w:p w14:paraId="24762EB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27</w:t>
            </w:r>
          </w:p>
        </w:tc>
        <w:tc>
          <w:tcPr>
            <w:tcW w:w="2288" w:type="dxa"/>
            <w:tcBorders>
              <w:left w:val="nil"/>
              <w:bottom w:val="nil"/>
              <w:right w:val="nil"/>
            </w:tcBorders>
            <w:vAlign w:val="center"/>
          </w:tcPr>
          <w:p w14:paraId="64EAD6D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33,75%</w:t>
            </w:r>
          </w:p>
        </w:tc>
      </w:tr>
      <w:tr w:rsidR="00A756D1" w:rsidRPr="00A756D1" w14:paraId="7DDAFF06" w14:textId="77777777" w:rsidTr="003C057D">
        <w:trPr>
          <w:trHeight w:val="273"/>
          <w:jc w:val="center"/>
        </w:trPr>
        <w:tc>
          <w:tcPr>
            <w:tcW w:w="2692" w:type="dxa"/>
            <w:vMerge/>
            <w:tcBorders>
              <w:top w:val="nil"/>
              <w:left w:val="nil"/>
              <w:bottom w:val="single" w:sz="4" w:space="0" w:color="auto"/>
              <w:right w:val="nil"/>
            </w:tcBorders>
            <w:vAlign w:val="center"/>
          </w:tcPr>
          <w:p w14:paraId="084461EE" w14:textId="77777777" w:rsidR="00A756D1" w:rsidRPr="00A756D1" w:rsidRDefault="00A756D1" w:rsidP="00BD37DD">
            <w:pPr>
              <w:jc w:val="center"/>
              <w:rPr>
                <w:rFonts w:ascii="Arial" w:hAnsi="Arial" w:cs="Arial"/>
                <w:sz w:val="20"/>
                <w:szCs w:val="20"/>
                <w:lang w:val="pt-BR"/>
              </w:rPr>
            </w:pPr>
          </w:p>
        </w:tc>
        <w:tc>
          <w:tcPr>
            <w:tcW w:w="2353" w:type="dxa"/>
            <w:tcBorders>
              <w:top w:val="nil"/>
              <w:left w:val="nil"/>
              <w:bottom w:val="single" w:sz="4" w:space="0" w:color="auto"/>
              <w:right w:val="nil"/>
            </w:tcBorders>
            <w:vAlign w:val="center"/>
          </w:tcPr>
          <w:p w14:paraId="426D93D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Uso não prescrito</w:t>
            </w:r>
          </w:p>
        </w:tc>
        <w:tc>
          <w:tcPr>
            <w:tcW w:w="2251" w:type="dxa"/>
            <w:tcBorders>
              <w:top w:val="nil"/>
              <w:left w:val="nil"/>
              <w:bottom w:val="single" w:sz="4" w:space="0" w:color="auto"/>
              <w:right w:val="nil"/>
            </w:tcBorders>
            <w:vAlign w:val="center"/>
          </w:tcPr>
          <w:p w14:paraId="00CCA726"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53</w:t>
            </w:r>
          </w:p>
        </w:tc>
        <w:tc>
          <w:tcPr>
            <w:tcW w:w="2288" w:type="dxa"/>
            <w:tcBorders>
              <w:top w:val="nil"/>
              <w:left w:val="nil"/>
              <w:bottom w:val="single" w:sz="4" w:space="0" w:color="auto"/>
              <w:right w:val="nil"/>
            </w:tcBorders>
            <w:vAlign w:val="center"/>
          </w:tcPr>
          <w:p w14:paraId="463517B3"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66,25%</w:t>
            </w:r>
          </w:p>
        </w:tc>
      </w:tr>
      <w:tr w:rsidR="00A756D1" w:rsidRPr="00A756D1" w14:paraId="0C17763B" w14:textId="77777777" w:rsidTr="003C057D">
        <w:tblPrEx>
          <w:tblBorders>
            <w:left w:val="none" w:sz="0" w:space="0" w:color="auto"/>
            <w:right w:val="none" w:sz="0" w:space="0" w:color="auto"/>
            <w:insideH w:val="none" w:sz="0" w:space="0" w:color="auto"/>
            <w:insideV w:val="none" w:sz="0" w:space="0" w:color="auto"/>
          </w:tblBorders>
        </w:tblPrEx>
        <w:trPr>
          <w:trHeight w:val="566"/>
          <w:jc w:val="center"/>
        </w:trPr>
        <w:tc>
          <w:tcPr>
            <w:tcW w:w="2692" w:type="dxa"/>
            <w:vMerge w:val="restart"/>
            <w:tcBorders>
              <w:top w:val="single" w:sz="4" w:space="0" w:color="auto"/>
              <w:bottom w:val="nil"/>
            </w:tcBorders>
            <w:vAlign w:val="center"/>
          </w:tcPr>
          <w:p w14:paraId="55767C0B"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lastRenderedPageBreak/>
              <w:t>Uso prescrito</w:t>
            </w:r>
          </w:p>
        </w:tc>
        <w:tc>
          <w:tcPr>
            <w:tcW w:w="2353" w:type="dxa"/>
            <w:tcBorders>
              <w:top w:val="single" w:sz="4" w:space="0" w:color="auto"/>
              <w:bottom w:val="nil"/>
            </w:tcBorders>
            <w:vAlign w:val="center"/>
          </w:tcPr>
          <w:p w14:paraId="3D819D5E"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 xml:space="preserve">Segue a recomendação </w:t>
            </w:r>
          </w:p>
        </w:tc>
        <w:tc>
          <w:tcPr>
            <w:tcW w:w="2251" w:type="dxa"/>
            <w:tcBorders>
              <w:top w:val="single" w:sz="4" w:space="0" w:color="auto"/>
              <w:bottom w:val="nil"/>
            </w:tcBorders>
            <w:vAlign w:val="center"/>
          </w:tcPr>
          <w:p w14:paraId="307F0427"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22</w:t>
            </w:r>
          </w:p>
        </w:tc>
        <w:tc>
          <w:tcPr>
            <w:tcW w:w="2288" w:type="dxa"/>
            <w:tcBorders>
              <w:top w:val="single" w:sz="4" w:space="0" w:color="auto"/>
              <w:bottom w:val="nil"/>
            </w:tcBorders>
            <w:vAlign w:val="center"/>
          </w:tcPr>
          <w:p w14:paraId="13CF2051"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81,48%</w:t>
            </w:r>
          </w:p>
        </w:tc>
      </w:tr>
      <w:tr w:rsidR="00A756D1" w:rsidRPr="00A756D1" w14:paraId="36D33293" w14:textId="77777777" w:rsidTr="003C057D">
        <w:tblPrEx>
          <w:tblBorders>
            <w:left w:val="none" w:sz="0" w:space="0" w:color="auto"/>
            <w:right w:val="none" w:sz="0" w:space="0" w:color="auto"/>
            <w:insideH w:val="none" w:sz="0" w:space="0" w:color="auto"/>
            <w:insideV w:val="none" w:sz="0" w:space="0" w:color="auto"/>
          </w:tblBorders>
        </w:tblPrEx>
        <w:trPr>
          <w:trHeight w:val="547"/>
          <w:jc w:val="center"/>
        </w:trPr>
        <w:tc>
          <w:tcPr>
            <w:tcW w:w="2692" w:type="dxa"/>
            <w:vMerge/>
            <w:tcBorders>
              <w:top w:val="nil"/>
              <w:bottom w:val="single" w:sz="4" w:space="0" w:color="auto"/>
            </w:tcBorders>
            <w:vAlign w:val="center"/>
          </w:tcPr>
          <w:p w14:paraId="7B1F6EC0" w14:textId="77777777" w:rsidR="00A756D1" w:rsidRPr="00A756D1" w:rsidRDefault="00A756D1" w:rsidP="00BD37DD">
            <w:pPr>
              <w:jc w:val="center"/>
              <w:rPr>
                <w:rFonts w:ascii="Arial" w:hAnsi="Arial" w:cs="Arial"/>
                <w:sz w:val="20"/>
                <w:szCs w:val="20"/>
                <w:lang w:val="pt-BR"/>
              </w:rPr>
            </w:pPr>
          </w:p>
        </w:tc>
        <w:tc>
          <w:tcPr>
            <w:tcW w:w="2353" w:type="dxa"/>
            <w:tcBorders>
              <w:top w:val="nil"/>
              <w:bottom w:val="single" w:sz="4" w:space="0" w:color="auto"/>
            </w:tcBorders>
            <w:vAlign w:val="center"/>
          </w:tcPr>
          <w:p w14:paraId="7FE8BA3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Não segue a recomendação</w:t>
            </w:r>
          </w:p>
        </w:tc>
        <w:tc>
          <w:tcPr>
            <w:tcW w:w="2251" w:type="dxa"/>
            <w:tcBorders>
              <w:top w:val="nil"/>
              <w:bottom w:val="single" w:sz="4" w:space="0" w:color="auto"/>
            </w:tcBorders>
            <w:vAlign w:val="center"/>
          </w:tcPr>
          <w:p w14:paraId="1E3D344A"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5</w:t>
            </w:r>
          </w:p>
        </w:tc>
        <w:tc>
          <w:tcPr>
            <w:tcW w:w="2288" w:type="dxa"/>
            <w:tcBorders>
              <w:top w:val="nil"/>
              <w:bottom w:val="single" w:sz="4" w:space="0" w:color="auto"/>
            </w:tcBorders>
            <w:vAlign w:val="center"/>
          </w:tcPr>
          <w:p w14:paraId="2D0BC00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18,52%</w:t>
            </w:r>
          </w:p>
        </w:tc>
      </w:tr>
      <w:tr w:rsidR="00A756D1" w:rsidRPr="00A756D1" w14:paraId="6C8EF3AE" w14:textId="77777777" w:rsidTr="003C057D">
        <w:tblPrEx>
          <w:tblBorders>
            <w:left w:val="none" w:sz="0" w:space="0" w:color="auto"/>
            <w:right w:val="none" w:sz="0" w:space="0" w:color="auto"/>
            <w:insideH w:val="none" w:sz="0" w:space="0" w:color="auto"/>
            <w:insideV w:val="none" w:sz="0" w:space="0" w:color="auto"/>
          </w:tblBorders>
        </w:tblPrEx>
        <w:trPr>
          <w:trHeight w:val="273"/>
          <w:jc w:val="center"/>
        </w:trPr>
        <w:tc>
          <w:tcPr>
            <w:tcW w:w="2692" w:type="dxa"/>
            <w:vMerge w:val="restart"/>
            <w:tcBorders>
              <w:top w:val="single" w:sz="4" w:space="0" w:color="auto"/>
            </w:tcBorders>
            <w:vAlign w:val="center"/>
          </w:tcPr>
          <w:p w14:paraId="5F47FD4E" w14:textId="77777777" w:rsidR="00A756D1" w:rsidRPr="00A756D1" w:rsidRDefault="00A756D1" w:rsidP="00BD37DD">
            <w:pPr>
              <w:jc w:val="center"/>
              <w:rPr>
                <w:rFonts w:ascii="Arial" w:hAnsi="Arial" w:cs="Arial"/>
                <w:b/>
                <w:bCs/>
                <w:sz w:val="20"/>
                <w:szCs w:val="20"/>
                <w:lang w:val="pt-BR"/>
              </w:rPr>
            </w:pPr>
            <w:r w:rsidRPr="00A756D1">
              <w:rPr>
                <w:rFonts w:ascii="Arial" w:hAnsi="Arial" w:cs="Arial"/>
                <w:b/>
                <w:bCs/>
                <w:sz w:val="20"/>
                <w:szCs w:val="20"/>
                <w:lang w:val="pt-BR"/>
              </w:rPr>
              <w:t>Uso não prescrito</w:t>
            </w:r>
          </w:p>
        </w:tc>
        <w:tc>
          <w:tcPr>
            <w:tcW w:w="2353" w:type="dxa"/>
            <w:tcBorders>
              <w:top w:val="single" w:sz="4" w:space="0" w:color="auto"/>
            </w:tcBorders>
            <w:vAlign w:val="center"/>
          </w:tcPr>
          <w:p w14:paraId="67CD733F"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Segue a bula</w:t>
            </w:r>
          </w:p>
        </w:tc>
        <w:tc>
          <w:tcPr>
            <w:tcW w:w="2251" w:type="dxa"/>
            <w:tcBorders>
              <w:top w:val="single" w:sz="4" w:space="0" w:color="auto"/>
            </w:tcBorders>
            <w:vAlign w:val="center"/>
          </w:tcPr>
          <w:p w14:paraId="4FCB36E4"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7</w:t>
            </w:r>
          </w:p>
        </w:tc>
        <w:tc>
          <w:tcPr>
            <w:tcW w:w="2288" w:type="dxa"/>
            <w:tcBorders>
              <w:top w:val="single" w:sz="4" w:space="0" w:color="auto"/>
            </w:tcBorders>
            <w:vAlign w:val="center"/>
          </w:tcPr>
          <w:p w14:paraId="42059E19"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13,20%</w:t>
            </w:r>
          </w:p>
        </w:tc>
      </w:tr>
      <w:tr w:rsidR="00A756D1" w:rsidRPr="00A756D1" w14:paraId="25701186" w14:textId="77777777" w:rsidTr="003C057D">
        <w:tblPrEx>
          <w:tblBorders>
            <w:left w:val="none" w:sz="0" w:space="0" w:color="auto"/>
            <w:right w:val="none" w:sz="0" w:space="0" w:color="auto"/>
            <w:insideH w:val="none" w:sz="0" w:space="0" w:color="auto"/>
            <w:insideV w:val="none" w:sz="0" w:space="0" w:color="auto"/>
          </w:tblBorders>
        </w:tblPrEx>
        <w:trPr>
          <w:trHeight w:val="273"/>
          <w:jc w:val="center"/>
        </w:trPr>
        <w:tc>
          <w:tcPr>
            <w:tcW w:w="2692" w:type="dxa"/>
            <w:vMerge/>
            <w:vAlign w:val="center"/>
          </w:tcPr>
          <w:p w14:paraId="432748CE" w14:textId="77777777" w:rsidR="00A756D1" w:rsidRPr="00A756D1" w:rsidRDefault="00A756D1" w:rsidP="00BD37DD">
            <w:pPr>
              <w:jc w:val="center"/>
              <w:rPr>
                <w:rFonts w:ascii="Arial" w:hAnsi="Arial" w:cs="Arial"/>
                <w:sz w:val="20"/>
                <w:szCs w:val="20"/>
                <w:lang w:val="pt-BR"/>
              </w:rPr>
            </w:pPr>
          </w:p>
        </w:tc>
        <w:tc>
          <w:tcPr>
            <w:tcW w:w="2353" w:type="dxa"/>
            <w:vAlign w:val="center"/>
          </w:tcPr>
          <w:p w14:paraId="5520E492"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Não segue a bula</w:t>
            </w:r>
          </w:p>
        </w:tc>
        <w:tc>
          <w:tcPr>
            <w:tcW w:w="2251" w:type="dxa"/>
            <w:vAlign w:val="center"/>
          </w:tcPr>
          <w:p w14:paraId="69ED97CB"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46</w:t>
            </w:r>
          </w:p>
        </w:tc>
        <w:tc>
          <w:tcPr>
            <w:tcW w:w="2288" w:type="dxa"/>
            <w:vAlign w:val="center"/>
          </w:tcPr>
          <w:p w14:paraId="5AE53005" w14:textId="77777777" w:rsidR="00A756D1" w:rsidRPr="00A756D1" w:rsidRDefault="00A756D1" w:rsidP="00BD37DD">
            <w:pPr>
              <w:jc w:val="center"/>
              <w:rPr>
                <w:rFonts w:ascii="Arial" w:hAnsi="Arial" w:cs="Arial"/>
                <w:sz w:val="20"/>
                <w:szCs w:val="20"/>
                <w:lang w:val="pt-BR"/>
              </w:rPr>
            </w:pPr>
            <w:r w:rsidRPr="00A756D1">
              <w:rPr>
                <w:rFonts w:ascii="Arial" w:hAnsi="Arial" w:cs="Arial"/>
                <w:sz w:val="20"/>
                <w:szCs w:val="20"/>
                <w:lang w:val="pt-BR"/>
              </w:rPr>
              <w:t>86,80%</w:t>
            </w:r>
          </w:p>
        </w:tc>
      </w:tr>
    </w:tbl>
    <w:p w14:paraId="5E5CC50F" w14:textId="77777777" w:rsidR="00A756D1" w:rsidRPr="00A756D1" w:rsidRDefault="00A756D1" w:rsidP="003C057D">
      <w:pPr>
        <w:shd w:val="clear" w:color="auto" w:fill="FFFFFF"/>
        <w:spacing w:afterLines="120" w:after="288" w:line="276" w:lineRule="auto"/>
        <w:rPr>
          <w:rFonts w:ascii="Arial" w:hAnsi="Arial" w:cs="Arial"/>
          <w:sz w:val="20"/>
          <w:szCs w:val="20"/>
          <w:lang w:val="pt-BR"/>
        </w:rPr>
      </w:pPr>
      <w:r w:rsidRPr="00A756D1">
        <w:rPr>
          <w:rFonts w:ascii="Arial" w:hAnsi="Arial" w:cs="Arial"/>
          <w:sz w:val="20"/>
          <w:szCs w:val="20"/>
          <w:lang w:val="pt-BR"/>
        </w:rPr>
        <w:t>Fonte: Paula, GO, et al., 2021.</w:t>
      </w:r>
    </w:p>
    <w:p w14:paraId="2800BB86" w14:textId="77777777"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r w:rsidRPr="00A756D1">
        <w:rPr>
          <w:rFonts w:ascii="Arial" w:hAnsi="Arial" w:cs="Arial"/>
          <w:sz w:val="20"/>
          <w:szCs w:val="20"/>
          <w:lang w:val="pt-BR"/>
        </w:rPr>
        <w:t xml:space="preserve">Foi aplicado o teste do </w:t>
      </w:r>
      <w:proofErr w:type="spellStart"/>
      <w:r w:rsidRPr="00A756D1">
        <w:rPr>
          <w:rFonts w:ascii="Arial" w:hAnsi="Arial" w:cs="Arial"/>
          <w:sz w:val="20"/>
          <w:szCs w:val="20"/>
          <w:lang w:val="pt-BR"/>
        </w:rPr>
        <w:t>qui</w:t>
      </w:r>
      <w:proofErr w:type="spellEnd"/>
      <w:r w:rsidRPr="00A756D1">
        <w:rPr>
          <w:rFonts w:ascii="Arial" w:hAnsi="Arial" w:cs="Arial"/>
          <w:sz w:val="20"/>
          <w:szCs w:val="20"/>
          <w:lang w:val="pt-BR"/>
        </w:rPr>
        <w:t xml:space="preserve">-quadrado para verificação da associação entre as variáveis: uso de descongestionante, sexo, período cursado, apresentação de efeitos colaterais, tempo de uso, frequência de administração e prescrição do uso. </w:t>
      </w:r>
    </w:p>
    <w:p w14:paraId="3F26CCCF" w14:textId="77777777" w:rsidR="00A756D1" w:rsidRPr="00A756D1" w:rsidRDefault="00A756D1" w:rsidP="003C057D">
      <w:pPr>
        <w:shd w:val="clear" w:color="auto" w:fill="FFFFFF"/>
        <w:spacing w:afterLines="120" w:after="288" w:line="276" w:lineRule="auto"/>
        <w:ind w:firstLine="284"/>
        <w:jc w:val="both"/>
        <w:rPr>
          <w:rFonts w:ascii="Arial" w:hAnsi="Arial" w:cs="Arial"/>
          <w:color w:val="FF0000"/>
          <w:sz w:val="20"/>
          <w:szCs w:val="20"/>
          <w:lang w:val="pt-BR"/>
        </w:rPr>
      </w:pPr>
      <w:r w:rsidRPr="00A756D1">
        <w:rPr>
          <w:rFonts w:ascii="Arial" w:hAnsi="Arial" w:cs="Arial"/>
          <w:sz w:val="20"/>
          <w:szCs w:val="20"/>
          <w:lang w:val="pt-BR"/>
        </w:rPr>
        <w:t xml:space="preserve">A respeito da relação entre o consumo de descongestionantes nasais tópicos e a variável sexo, a maioria dos usuários, 54,54% (n=60), foram mulheres, comparado aos homens que representaram 18,18% (n=20). Assim, considerando 5% como nível de significância, podemos afirmar que não há relação estatística significativa entre o consumo de descongestionantes e a variável sexo visto que o valor de </w:t>
      </w:r>
      <w:r w:rsidRPr="00A756D1">
        <w:rPr>
          <w:rFonts w:ascii="Arial" w:hAnsi="Arial" w:cs="Arial"/>
          <w:i/>
          <w:iCs/>
          <w:sz w:val="20"/>
          <w:szCs w:val="20"/>
          <w:lang w:val="pt-BR"/>
        </w:rPr>
        <w:t xml:space="preserve">p </w:t>
      </w:r>
      <w:r w:rsidRPr="00A756D1">
        <w:rPr>
          <w:rFonts w:ascii="Arial" w:hAnsi="Arial" w:cs="Arial"/>
          <w:sz w:val="20"/>
          <w:szCs w:val="20"/>
          <w:lang w:val="pt-BR"/>
        </w:rPr>
        <w:t>foi superior a 0,05 (</w:t>
      </w:r>
      <w:r w:rsidRPr="00A756D1">
        <w:rPr>
          <w:rFonts w:ascii="Arial" w:hAnsi="Arial" w:cs="Arial"/>
          <w:i/>
          <w:iCs/>
          <w:sz w:val="20"/>
          <w:szCs w:val="20"/>
          <w:lang w:val="pt-BR"/>
        </w:rPr>
        <w:t>p=</w:t>
      </w:r>
      <w:r w:rsidRPr="00A756D1">
        <w:rPr>
          <w:rFonts w:ascii="Arial" w:hAnsi="Arial" w:cs="Arial"/>
          <w:sz w:val="20"/>
          <w:szCs w:val="20"/>
          <w:lang w:val="pt-BR"/>
        </w:rPr>
        <w:t>0,85813).</w:t>
      </w:r>
    </w:p>
    <w:p w14:paraId="4E8C05D4" w14:textId="77777777" w:rsidR="00A756D1" w:rsidRPr="00A756D1" w:rsidRDefault="00A756D1" w:rsidP="003C057D">
      <w:pPr>
        <w:shd w:val="clear" w:color="auto" w:fill="FFFFFF"/>
        <w:spacing w:afterLines="120" w:after="288" w:line="276" w:lineRule="auto"/>
        <w:ind w:firstLine="284"/>
        <w:jc w:val="both"/>
        <w:rPr>
          <w:rFonts w:ascii="Arial" w:hAnsi="Arial" w:cs="Arial"/>
          <w:b/>
          <w:bCs/>
          <w:sz w:val="20"/>
          <w:szCs w:val="20"/>
          <w:lang w:val="pt-BR"/>
        </w:rPr>
      </w:pPr>
      <w:r w:rsidRPr="00A756D1">
        <w:rPr>
          <w:rFonts w:ascii="Arial" w:hAnsi="Arial" w:cs="Arial"/>
          <w:sz w:val="20"/>
          <w:szCs w:val="20"/>
          <w:lang w:val="pt-BR"/>
        </w:rPr>
        <w:t xml:space="preserve">Também </w:t>
      </w:r>
      <w:r w:rsidRPr="00A756D1">
        <w:rPr>
          <w:rFonts w:ascii="Arial" w:hAnsi="Arial" w:cs="Arial"/>
          <w:color w:val="000000" w:themeColor="text1"/>
          <w:sz w:val="20"/>
          <w:szCs w:val="20"/>
          <w:lang w:val="pt-BR"/>
        </w:rPr>
        <w:t xml:space="preserve">não houve relação significativa entre o período cursado e a prevalência de efeitos colaterais, pois o valor de </w:t>
      </w:r>
      <w:r w:rsidRPr="00A756D1">
        <w:rPr>
          <w:rFonts w:ascii="Arial" w:hAnsi="Arial" w:cs="Arial"/>
          <w:i/>
          <w:iCs/>
          <w:color w:val="000000" w:themeColor="text1"/>
          <w:sz w:val="20"/>
          <w:szCs w:val="20"/>
          <w:lang w:val="pt-BR"/>
        </w:rPr>
        <w:t>p</w:t>
      </w:r>
      <w:r w:rsidRPr="00A756D1">
        <w:rPr>
          <w:rFonts w:ascii="Arial" w:hAnsi="Arial" w:cs="Arial"/>
          <w:color w:val="000000" w:themeColor="text1"/>
          <w:sz w:val="20"/>
          <w:szCs w:val="20"/>
          <w:lang w:val="pt-BR"/>
        </w:rPr>
        <w:t xml:space="preserve"> foi equivalente a 0,3195. </w:t>
      </w:r>
      <w:r w:rsidRPr="00A756D1">
        <w:rPr>
          <w:rFonts w:ascii="Arial" w:hAnsi="Arial" w:cs="Arial"/>
          <w:sz w:val="20"/>
          <w:szCs w:val="20"/>
          <w:lang w:val="pt-BR"/>
        </w:rPr>
        <w:t xml:space="preserve"> Dentre os 32,73% (n=36) que se encontram entre o 1º e o 4º período, 66,67%(n=24) são usuários, </w:t>
      </w:r>
      <w:proofErr w:type="gramStart"/>
      <w:r w:rsidRPr="00A756D1">
        <w:rPr>
          <w:rFonts w:ascii="Arial" w:hAnsi="Arial" w:cs="Arial"/>
          <w:sz w:val="20"/>
          <w:szCs w:val="20"/>
          <w:lang w:val="pt-BR"/>
        </w:rPr>
        <w:t>enquanto que</w:t>
      </w:r>
      <w:proofErr w:type="gramEnd"/>
      <w:r w:rsidRPr="00A756D1">
        <w:rPr>
          <w:rFonts w:ascii="Arial" w:hAnsi="Arial" w:cs="Arial"/>
          <w:sz w:val="20"/>
          <w:szCs w:val="20"/>
          <w:lang w:val="pt-BR"/>
        </w:rPr>
        <w:t>, dos 67,27%(n=74), que estão do 5º período em diante, 75,67%(n=56) são usuários de descongestionantes</w:t>
      </w:r>
      <w:r w:rsidRPr="00A756D1">
        <w:rPr>
          <w:rFonts w:ascii="Arial" w:hAnsi="Arial" w:cs="Arial"/>
          <w:color w:val="000000" w:themeColor="text1"/>
          <w:sz w:val="20"/>
          <w:szCs w:val="20"/>
          <w:lang w:val="pt-BR"/>
        </w:rPr>
        <w:t xml:space="preserve"> </w:t>
      </w:r>
      <w:r w:rsidRPr="00A756D1">
        <w:rPr>
          <w:rFonts w:ascii="Arial" w:hAnsi="Arial" w:cs="Arial"/>
          <w:b/>
          <w:bCs/>
          <w:sz w:val="20"/>
          <w:szCs w:val="20"/>
          <w:lang w:val="pt-BR"/>
        </w:rPr>
        <w:t>(Figura 1).</w:t>
      </w:r>
    </w:p>
    <w:p w14:paraId="6CC86DAE" w14:textId="77777777" w:rsidR="00A756D1" w:rsidRPr="00A756D1" w:rsidRDefault="00A756D1" w:rsidP="003C057D">
      <w:pPr>
        <w:shd w:val="clear" w:color="auto" w:fill="FFFFFF"/>
        <w:spacing w:afterLines="120" w:after="288" w:line="276" w:lineRule="auto"/>
        <w:ind w:firstLine="284"/>
        <w:jc w:val="both"/>
        <w:rPr>
          <w:rFonts w:ascii="Arial" w:hAnsi="Arial" w:cs="Arial"/>
          <w:color w:val="FF0000"/>
          <w:sz w:val="20"/>
          <w:szCs w:val="20"/>
          <w:lang w:val="pt-BR"/>
        </w:rPr>
      </w:pPr>
    </w:p>
    <w:p w14:paraId="010296C3" w14:textId="70EBAE0A"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r w:rsidRPr="00A756D1">
        <w:rPr>
          <w:rFonts w:ascii="Arial" w:hAnsi="Arial" w:cs="Arial"/>
          <w:noProof/>
          <w:sz w:val="20"/>
          <w:szCs w:val="20"/>
          <w:lang w:val="pt-BR"/>
        </w:rPr>
        <w:drawing>
          <wp:anchor distT="0" distB="0" distL="114300" distR="114300" simplePos="0" relativeHeight="251660288" behindDoc="0" locked="0" layoutInCell="1" allowOverlap="1" wp14:anchorId="77341011" wp14:editId="23594CDF">
            <wp:simplePos x="0" y="0"/>
            <wp:positionH relativeFrom="column">
              <wp:posOffset>2720340</wp:posOffset>
            </wp:positionH>
            <wp:positionV relativeFrom="paragraph">
              <wp:posOffset>412750</wp:posOffset>
            </wp:positionV>
            <wp:extent cx="2647950" cy="1857375"/>
            <wp:effectExtent l="0" t="0" r="0" b="0"/>
            <wp:wrapSquare wrapText="bothSides"/>
            <wp:docPr id="2" name="Gráfico 2">
              <a:extLst xmlns:a="http://schemas.openxmlformats.org/drawingml/2006/main">
                <a:ext uri="{FF2B5EF4-FFF2-40B4-BE49-F238E27FC236}">
                  <a16:creationId xmlns:a16="http://schemas.microsoft.com/office/drawing/2014/main" id="{0F07608E-9767-4248-83E4-3B6559B88C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A756D1">
        <w:rPr>
          <w:rFonts w:ascii="Arial" w:hAnsi="Arial" w:cs="Arial"/>
          <w:noProof/>
          <w:sz w:val="20"/>
          <w:szCs w:val="20"/>
          <w:lang w:val="pt-BR"/>
        </w:rPr>
        <w:drawing>
          <wp:anchor distT="0" distB="0" distL="114300" distR="114300" simplePos="0" relativeHeight="251659264" behindDoc="0" locked="0" layoutInCell="1" allowOverlap="1" wp14:anchorId="33E6C1AE" wp14:editId="36A112AB">
            <wp:simplePos x="0" y="0"/>
            <wp:positionH relativeFrom="column">
              <wp:posOffset>5715</wp:posOffset>
            </wp:positionH>
            <wp:positionV relativeFrom="paragraph">
              <wp:posOffset>412750</wp:posOffset>
            </wp:positionV>
            <wp:extent cx="2647950" cy="1857375"/>
            <wp:effectExtent l="0" t="0" r="0" b="0"/>
            <wp:wrapSquare wrapText="bothSides"/>
            <wp:docPr id="1" name="Gráfico 1">
              <a:extLst xmlns:a="http://schemas.openxmlformats.org/drawingml/2006/main">
                <a:ext uri="{FF2B5EF4-FFF2-40B4-BE49-F238E27FC236}">
                  <a16:creationId xmlns:a16="http://schemas.microsoft.com/office/drawing/2014/main" id="{79AFDC15-B671-4DE0-862C-68F3D823B5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A756D1">
        <w:rPr>
          <w:rFonts w:ascii="Arial" w:hAnsi="Arial" w:cs="Arial"/>
          <w:b/>
          <w:bCs/>
          <w:sz w:val="20"/>
          <w:szCs w:val="20"/>
          <w:lang w:val="pt-BR"/>
        </w:rPr>
        <w:t>Figura 1</w:t>
      </w:r>
      <w:r w:rsidRPr="00A756D1">
        <w:rPr>
          <w:rFonts w:ascii="Arial" w:hAnsi="Arial" w:cs="Arial"/>
          <w:sz w:val="20"/>
          <w:szCs w:val="20"/>
          <w:lang w:val="pt-BR"/>
        </w:rPr>
        <w:t xml:space="preserve"> – Resultados da relação entre o perfil dos entrevistados e o uso de descongestionantes nasais tópicos.</w:t>
      </w:r>
    </w:p>
    <w:p w14:paraId="1C809C5D" w14:textId="0CFB5077" w:rsidR="00A756D1" w:rsidRPr="00A756D1" w:rsidRDefault="00A756D1" w:rsidP="00A756D1">
      <w:pPr>
        <w:shd w:val="clear" w:color="auto" w:fill="FFFFFF"/>
        <w:spacing w:after="120" w:line="276" w:lineRule="auto"/>
        <w:jc w:val="both"/>
        <w:rPr>
          <w:rFonts w:ascii="Arial" w:hAnsi="Arial" w:cs="Arial"/>
          <w:sz w:val="20"/>
          <w:szCs w:val="20"/>
          <w:lang w:val="pt-BR"/>
        </w:rPr>
      </w:pPr>
    </w:p>
    <w:p w14:paraId="204A8CF2" w14:textId="670DDDBA" w:rsidR="00A756D1" w:rsidRPr="00A756D1" w:rsidRDefault="00A756D1" w:rsidP="00A756D1">
      <w:pPr>
        <w:shd w:val="clear" w:color="auto" w:fill="FFFFFF"/>
        <w:spacing w:after="120" w:line="276" w:lineRule="auto"/>
        <w:jc w:val="both"/>
        <w:rPr>
          <w:rFonts w:ascii="Arial" w:hAnsi="Arial" w:cs="Arial"/>
          <w:sz w:val="20"/>
          <w:szCs w:val="20"/>
          <w:lang w:val="pt-BR"/>
        </w:rPr>
      </w:pPr>
    </w:p>
    <w:p w14:paraId="1A002328" w14:textId="12516F4E" w:rsidR="00A756D1" w:rsidRPr="00A756D1" w:rsidRDefault="00A756D1" w:rsidP="00A756D1">
      <w:pPr>
        <w:shd w:val="clear" w:color="auto" w:fill="FFFFFF"/>
        <w:spacing w:after="120" w:line="276" w:lineRule="auto"/>
        <w:jc w:val="both"/>
        <w:rPr>
          <w:rFonts w:ascii="Arial" w:hAnsi="Arial" w:cs="Arial"/>
          <w:sz w:val="20"/>
          <w:szCs w:val="20"/>
          <w:lang w:val="pt-BR"/>
        </w:rPr>
      </w:pPr>
    </w:p>
    <w:p w14:paraId="5927B889" w14:textId="63DF3842" w:rsidR="00A756D1" w:rsidRPr="00A756D1" w:rsidRDefault="00A756D1" w:rsidP="00A756D1">
      <w:pPr>
        <w:shd w:val="clear" w:color="auto" w:fill="FFFFFF"/>
        <w:spacing w:after="120" w:line="276" w:lineRule="auto"/>
        <w:jc w:val="both"/>
        <w:rPr>
          <w:rFonts w:ascii="Arial" w:hAnsi="Arial" w:cs="Arial"/>
          <w:sz w:val="20"/>
          <w:szCs w:val="20"/>
          <w:lang w:val="pt-BR"/>
        </w:rPr>
      </w:pPr>
    </w:p>
    <w:p w14:paraId="057E29AD" w14:textId="54118253" w:rsidR="00A756D1" w:rsidRPr="00A756D1" w:rsidRDefault="00A756D1" w:rsidP="00A756D1">
      <w:pPr>
        <w:shd w:val="clear" w:color="auto" w:fill="FFFFFF"/>
        <w:spacing w:after="120" w:line="276" w:lineRule="auto"/>
        <w:jc w:val="both"/>
        <w:rPr>
          <w:rFonts w:ascii="Arial" w:hAnsi="Arial" w:cs="Arial"/>
          <w:sz w:val="20"/>
          <w:szCs w:val="20"/>
          <w:lang w:val="pt-BR"/>
        </w:rPr>
      </w:pPr>
    </w:p>
    <w:p w14:paraId="3EC197FF" w14:textId="23F0F66B" w:rsidR="00A756D1" w:rsidRPr="00A756D1" w:rsidRDefault="00A756D1" w:rsidP="00A756D1">
      <w:pPr>
        <w:shd w:val="clear" w:color="auto" w:fill="FFFFFF"/>
        <w:spacing w:after="120" w:line="276" w:lineRule="auto"/>
        <w:jc w:val="both"/>
        <w:rPr>
          <w:rFonts w:ascii="Arial" w:hAnsi="Arial" w:cs="Arial"/>
          <w:sz w:val="20"/>
          <w:szCs w:val="20"/>
          <w:lang w:val="pt-BR"/>
        </w:rPr>
      </w:pPr>
    </w:p>
    <w:p w14:paraId="6E2A261C" w14:textId="6204E5B3" w:rsidR="00A756D1" w:rsidRPr="00A756D1" w:rsidRDefault="00A756D1" w:rsidP="00A756D1">
      <w:pPr>
        <w:shd w:val="clear" w:color="auto" w:fill="FFFFFF"/>
        <w:spacing w:after="120" w:line="276" w:lineRule="auto"/>
        <w:jc w:val="both"/>
        <w:rPr>
          <w:rFonts w:ascii="Arial" w:hAnsi="Arial" w:cs="Arial"/>
          <w:sz w:val="20"/>
          <w:szCs w:val="20"/>
          <w:lang w:val="pt-BR"/>
        </w:rPr>
      </w:pPr>
    </w:p>
    <w:p w14:paraId="401B4BD4" w14:textId="77777777" w:rsidR="003C057D" w:rsidRDefault="003C057D" w:rsidP="00A756D1">
      <w:pPr>
        <w:shd w:val="clear" w:color="auto" w:fill="FFFFFF"/>
        <w:jc w:val="both"/>
        <w:rPr>
          <w:rFonts w:ascii="Arial" w:hAnsi="Arial" w:cs="Arial"/>
          <w:sz w:val="20"/>
          <w:szCs w:val="20"/>
          <w:lang w:val="pt-BR"/>
        </w:rPr>
      </w:pPr>
    </w:p>
    <w:p w14:paraId="49FB49D7" w14:textId="40596242" w:rsidR="00A756D1" w:rsidRPr="00A756D1" w:rsidRDefault="00A756D1" w:rsidP="003C057D">
      <w:pPr>
        <w:shd w:val="clear" w:color="auto" w:fill="FFFFFF"/>
        <w:spacing w:afterLines="120" w:after="288" w:line="276" w:lineRule="auto"/>
        <w:jc w:val="both"/>
        <w:rPr>
          <w:rFonts w:ascii="Arial" w:hAnsi="Arial" w:cs="Arial"/>
          <w:sz w:val="20"/>
          <w:szCs w:val="20"/>
          <w:lang w:val="pt-BR"/>
        </w:rPr>
      </w:pPr>
      <w:r w:rsidRPr="00A756D1">
        <w:rPr>
          <w:rFonts w:ascii="Arial" w:hAnsi="Arial" w:cs="Arial"/>
          <w:sz w:val="20"/>
          <w:szCs w:val="20"/>
          <w:lang w:val="pt-BR"/>
        </w:rPr>
        <w:t>Fonte: Paula, GO, et al., 2021.</w:t>
      </w:r>
    </w:p>
    <w:p w14:paraId="484C87E2" w14:textId="77777777"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p>
    <w:p w14:paraId="3B05CD95" w14:textId="77777777"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r w:rsidRPr="00A756D1">
        <w:rPr>
          <w:rFonts w:ascii="Arial" w:hAnsi="Arial" w:cs="Arial"/>
          <w:sz w:val="20"/>
          <w:szCs w:val="20"/>
          <w:lang w:val="pt-BR"/>
        </w:rPr>
        <w:t xml:space="preserve">Quanto ao tempo e à frequência de uso, observou-se que 25,00%(n=2) daqueles que utilizam os descongestionantes por um período igual ou inferior a seis meses apresentaram efeitos colaterais, enquanto 22,49%(n=11) daqueles que utilizam por mais de seis meses constataram dependência, insônia ou taquicardia. A partir do cálculo do </w:t>
      </w:r>
      <w:proofErr w:type="spellStart"/>
      <w:r w:rsidRPr="00A756D1">
        <w:rPr>
          <w:rFonts w:ascii="Arial" w:hAnsi="Arial" w:cs="Arial"/>
          <w:sz w:val="20"/>
          <w:szCs w:val="20"/>
          <w:lang w:val="pt-BR"/>
        </w:rPr>
        <w:t>qui</w:t>
      </w:r>
      <w:proofErr w:type="spellEnd"/>
      <w:r w:rsidRPr="00A756D1">
        <w:rPr>
          <w:rFonts w:ascii="Arial" w:hAnsi="Arial" w:cs="Arial"/>
          <w:sz w:val="20"/>
          <w:szCs w:val="20"/>
          <w:lang w:val="pt-BR"/>
        </w:rPr>
        <w:t xml:space="preserve">-quadrado encontrou-se </w:t>
      </w:r>
      <w:r w:rsidRPr="00A756D1">
        <w:rPr>
          <w:rFonts w:ascii="Arial" w:hAnsi="Arial" w:cs="Arial"/>
          <w:i/>
          <w:iCs/>
          <w:color w:val="000000" w:themeColor="text1"/>
          <w:sz w:val="20"/>
          <w:szCs w:val="20"/>
          <w:lang w:val="pt-BR"/>
        </w:rPr>
        <w:t>p</w:t>
      </w:r>
      <w:r w:rsidRPr="00A756D1">
        <w:rPr>
          <w:rFonts w:ascii="Arial" w:hAnsi="Arial" w:cs="Arial"/>
          <w:color w:val="000000" w:themeColor="text1"/>
          <w:sz w:val="20"/>
          <w:szCs w:val="20"/>
          <w:lang w:val="pt-BR"/>
        </w:rPr>
        <w:t>=0,87332, revelando que não houve relação significativa entre tempo de uso e apresentação de efeitos colaterais.</w:t>
      </w:r>
      <w:r w:rsidRPr="00A756D1">
        <w:rPr>
          <w:rFonts w:ascii="Arial" w:hAnsi="Arial" w:cs="Arial"/>
          <w:color w:val="FF0000"/>
          <w:sz w:val="20"/>
          <w:szCs w:val="20"/>
          <w:lang w:val="pt-BR"/>
        </w:rPr>
        <w:t xml:space="preserve"> </w:t>
      </w:r>
      <w:r w:rsidRPr="00A756D1">
        <w:rPr>
          <w:rFonts w:ascii="Arial" w:hAnsi="Arial" w:cs="Arial"/>
          <w:sz w:val="20"/>
          <w:szCs w:val="20"/>
          <w:lang w:val="pt-BR"/>
        </w:rPr>
        <w:t xml:space="preserve">Por outro lado, houve associação estatisticamente significativa entre frequência de uso e tais efeitos, por meio do valor de </w:t>
      </w:r>
      <w:r w:rsidRPr="00A756D1">
        <w:rPr>
          <w:rFonts w:ascii="Arial" w:hAnsi="Arial" w:cs="Arial"/>
          <w:i/>
          <w:iCs/>
          <w:sz w:val="20"/>
          <w:szCs w:val="20"/>
          <w:lang w:val="pt-BR"/>
        </w:rPr>
        <w:t>p</w:t>
      </w:r>
      <w:r w:rsidRPr="00A756D1">
        <w:rPr>
          <w:rFonts w:ascii="Arial" w:hAnsi="Arial" w:cs="Arial"/>
          <w:sz w:val="20"/>
          <w:szCs w:val="20"/>
          <w:lang w:val="pt-BR"/>
        </w:rPr>
        <w:t xml:space="preserve">=0,090245.  Dos indivíduos que aplicavam os descongestionantes tópicos numa frequência superior a cinco vezes ao dia, </w:t>
      </w:r>
      <w:r w:rsidRPr="00A756D1">
        <w:rPr>
          <w:rFonts w:ascii="Arial" w:hAnsi="Arial" w:cs="Arial"/>
          <w:sz w:val="20"/>
          <w:szCs w:val="20"/>
          <w:lang w:val="pt-BR"/>
        </w:rPr>
        <w:lastRenderedPageBreak/>
        <w:t>10,90%(n=6) desenvolveram esses efeitos, sendo que daqueles que consumiam cinco ou menos vezes ao dia 26,09%(n=6) tiveram apresentaram tais sintomas colaterais.</w:t>
      </w:r>
    </w:p>
    <w:p w14:paraId="68AC96DB" w14:textId="77777777" w:rsidR="00A756D1" w:rsidRPr="00A756D1" w:rsidRDefault="00A756D1" w:rsidP="003C057D">
      <w:pPr>
        <w:shd w:val="clear" w:color="auto" w:fill="FFFFFF"/>
        <w:spacing w:afterLines="120" w:after="288" w:line="276" w:lineRule="auto"/>
        <w:ind w:firstLine="284"/>
        <w:jc w:val="both"/>
        <w:rPr>
          <w:rFonts w:ascii="Arial" w:hAnsi="Arial" w:cs="Arial"/>
          <w:color w:val="FF0000"/>
          <w:sz w:val="20"/>
          <w:szCs w:val="20"/>
          <w:lang w:val="pt-BR"/>
        </w:rPr>
      </w:pPr>
      <w:r w:rsidRPr="00A756D1">
        <w:rPr>
          <w:rFonts w:ascii="Arial" w:hAnsi="Arial" w:cs="Arial"/>
          <w:sz w:val="20"/>
          <w:szCs w:val="20"/>
          <w:lang w:val="pt-BR"/>
        </w:rPr>
        <w:t xml:space="preserve">Por fim, a associação entre uso com ou sem prescrição médica e a apresentação de efeitos colaterais demonstrou que apenas 3,70%(n=1) dos indivíduos que fazem o uso com prescrição, apresentaram esses efeitos, enquanto 96,63%(n=26) não apresentaram. Dessa maneira, de acordo com o valor de </w:t>
      </w:r>
      <w:r w:rsidRPr="00A756D1">
        <w:rPr>
          <w:rFonts w:ascii="Arial" w:hAnsi="Arial" w:cs="Arial"/>
          <w:i/>
          <w:iCs/>
          <w:color w:val="000000" w:themeColor="text1"/>
          <w:sz w:val="20"/>
          <w:szCs w:val="20"/>
          <w:lang w:val="pt-BR"/>
        </w:rPr>
        <w:t>p</w:t>
      </w:r>
      <w:r w:rsidRPr="00A756D1">
        <w:rPr>
          <w:rFonts w:ascii="Arial" w:hAnsi="Arial" w:cs="Arial"/>
          <w:color w:val="000000" w:themeColor="text1"/>
          <w:sz w:val="20"/>
          <w:szCs w:val="20"/>
          <w:lang w:val="pt-BR"/>
        </w:rPr>
        <w:t>=0,029922, percebeu-se relação estatisticamente significante entre essas duas variáveis.</w:t>
      </w:r>
      <w:r w:rsidRPr="00A756D1">
        <w:rPr>
          <w:rFonts w:ascii="Arial" w:hAnsi="Arial" w:cs="Arial"/>
          <w:color w:val="FF0000"/>
          <w:sz w:val="20"/>
          <w:szCs w:val="20"/>
          <w:lang w:val="pt-BR"/>
        </w:rPr>
        <w:t xml:space="preserve"> </w:t>
      </w:r>
      <w:r w:rsidRPr="00A756D1">
        <w:rPr>
          <w:rFonts w:ascii="Arial" w:hAnsi="Arial" w:cs="Arial"/>
          <w:sz w:val="20"/>
          <w:szCs w:val="20"/>
          <w:lang w:val="pt-BR"/>
        </w:rPr>
        <w:t xml:space="preserve">Já entre aqueles que utilizam os descongestionantes sem prescrição, dividimos em dois grupos, os que seguem (13,20%; n=7) e os que não seguem (86,79%; n=46) a posologia indicada na bula. Daqueles que seguem a bula, 0% (n=0) referiam efeitos colaterais, e dos que não seguem, 26,09%(n=12) apresentaram tais efeitos. Entretanto, não houve associação estatística significante pois </w:t>
      </w:r>
      <w:r w:rsidRPr="00A756D1">
        <w:rPr>
          <w:rFonts w:ascii="Arial" w:hAnsi="Arial" w:cs="Arial"/>
          <w:color w:val="000000" w:themeColor="text1"/>
          <w:sz w:val="20"/>
          <w:szCs w:val="20"/>
          <w:lang w:val="pt-BR"/>
        </w:rPr>
        <w:t xml:space="preserve">o valor de </w:t>
      </w:r>
      <w:r w:rsidRPr="00A756D1">
        <w:rPr>
          <w:rFonts w:ascii="Arial" w:hAnsi="Arial" w:cs="Arial"/>
          <w:i/>
          <w:iCs/>
          <w:color w:val="000000" w:themeColor="text1"/>
          <w:sz w:val="20"/>
          <w:szCs w:val="20"/>
          <w:lang w:val="pt-BR"/>
        </w:rPr>
        <w:t>p</w:t>
      </w:r>
      <w:r w:rsidRPr="00A756D1">
        <w:rPr>
          <w:rFonts w:ascii="Arial" w:hAnsi="Arial" w:cs="Arial"/>
          <w:color w:val="000000" w:themeColor="text1"/>
          <w:sz w:val="20"/>
          <w:szCs w:val="20"/>
          <w:lang w:val="pt-BR"/>
        </w:rPr>
        <w:t xml:space="preserve">=0,12444 </w:t>
      </w:r>
      <w:r w:rsidRPr="00A756D1">
        <w:rPr>
          <w:rFonts w:ascii="Arial" w:hAnsi="Arial" w:cs="Arial"/>
          <w:b/>
          <w:bCs/>
          <w:color w:val="000000" w:themeColor="text1"/>
          <w:sz w:val="20"/>
          <w:szCs w:val="20"/>
          <w:lang w:val="pt-BR"/>
        </w:rPr>
        <w:t>(Figura 2).</w:t>
      </w:r>
    </w:p>
    <w:p w14:paraId="13C9A1E4" w14:textId="3F0F6D25"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r w:rsidRPr="00A756D1">
        <w:rPr>
          <w:rFonts w:ascii="Arial" w:hAnsi="Arial" w:cs="Arial"/>
          <w:b/>
          <w:bCs/>
          <w:sz w:val="20"/>
          <w:szCs w:val="20"/>
          <w:lang w:val="pt-BR"/>
        </w:rPr>
        <w:t xml:space="preserve">Figura 2 – </w:t>
      </w:r>
      <w:r w:rsidRPr="00A756D1">
        <w:rPr>
          <w:rFonts w:ascii="Arial" w:hAnsi="Arial" w:cs="Arial"/>
          <w:sz w:val="20"/>
          <w:szCs w:val="20"/>
          <w:lang w:val="pt-BR"/>
        </w:rPr>
        <w:t>Resultados da relação entre o padrão de consumo dos descongestionantes e a apresentação de efeitos colaterais pelo uso em acadêmicos de medicina de uma universidade na região central do estado de Goiás.</w:t>
      </w:r>
    </w:p>
    <w:p w14:paraId="3D4EE2D9" w14:textId="0825CEE0"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r w:rsidRPr="00A756D1">
        <w:rPr>
          <w:rFonts w:ascii="Arial" w:hAnsi="Arial" w:cs="Arial"/>
          <w:noProof/>
          <w:sz w:val="20"/>
          <w:szCs w:val="20"/>
          <w:lang w:val="pt-BR"/>
        </w:rPr>
        <w:drawing>
          <wp:anchor distT="0" distB="0" distL="114300" distR="114300" simplePos="0" relativeHeight="251663360" behindDoc="0" locked="0" layoutInCell="1" allowOverlap="1" wp14:anchorId="2CC37542" wp14:editId="7DFDB80A">
            <wp:simplePos x="0" y="0"/>
            <wp:positionH relativeFrom="column">
              <wp:posOffset>2910840</wp:posOffset>
            </wp:positionH>
            <wp:positionV relativeFrom="paragraph">
              <wp:posOffset>50165</wp:posOffset>
            </wp:positionV>
            <wp:extent cx="2647950" cy="1857375"/>
            <wp:effectExtent l="0" t="0" r="0" b="0"/>
            <wp:wrapSquare wrapText="bothSides"/>
            <wp:docPr id="14" name="Gráfico 14">
              <a:extLst xmlns:a="http://schemas.openxmlformats.org/drawingml/2006/main">
                <a:ext uri="{FF2B5EF4-FFF2-40B4-BE49-F238E27FC236}">
                  <a16:creationId xmlns:a16="http://schemas.microsoft.com/office/drawing/2014/main" id="{4B8C132E-D60E-4FA5-9EE7-C0C9BA5C58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Pr="00A756D1">
        <w:rPr>
          <w:rFonts w:ascii="Arial" w:hAnsi="Arial" w:cs="Arial"/>
          <w:noProof/>
          <w:sz w:val="20"/>
          <w:szCs w:val="20"/>
          <w:lang w:val="pt-BR"/>
        </w:rPr>
        <w:drawing>
          <wp:anchor distT="0" distB="0" distL="114300" distR="114300" simplePos="0" relativeHeight="251664384" behindDoc="0" locked="0" layoutInCell="1" allowOverlap="1" wp14:anchorId="0DB407DD" wp14:editId="4E9E618E">
            <wp:simplePos x="0" y="0"/>
            <wp:positionH relativeFrom="column">
              <wp:posOffset>-3810</wp:posOffset>
            </wp:positionH>
            <wp:positionV relativeFrom="paragraph">
              <wp:posOffset>1964055</wp:posOffset>
            </wp:positionV>
            <wp:extent cx="2647950" cy="1847850"/>
            <wp:effectExtent l="0" t="0" r="0" b="0"/>
            <wp:wrapSquare wrapText="bothSides"/>
            <wp:docPr id="5" name="Gráfico 5">
              <a:extLst xmlns:a="http://schemas.openxmlformats.org/drawingml/2006/main">
                <a:ext uri="{FF2B5EF4-FFF2-40B4-BE49-F238E27FC236}">
                  <a16:creationId xmlns:a16="http://schemas.microsoft.com/office/drawing/2014/main" id="{046A8090-B246-44A2-8F9E-F8CF21919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A756D1">
        <w:rPr>
          <w:rFonts w:ascii="Arial" w:hAnsi="Arial" w:cs="Arial"/>
          <w:noProof/>
          <w:sz w:val="20"/>
          <w:szCs w:val="20"/>
          <w:lang w:val="pt-BR"/>
        </w:rPr>
        <w:drawing>
          <wp:anchor distT="0" distB="0" distL="114300" distR="114300" simplePos="0" relativeHeight="251662336" behindDoc="0" locked="0" layoutInCell="1" allowOverlap="1" wp14:anchorId="2D116E3C" wp14:editId="10BED1FC">
            <wp:simplePos x="0" y="0"/>
            <wp:positionH relativeFrom="column">
              <wp:posOffset>-3810</wp:posOffset>
            </wp:positionH>
            <wp:positionV relativeFrom="paragraph">
              <wp:posOffset>49530</wp:posOffset>
            </wp:positionV>
            <wp:extent cx="2647950" cy="1857375"/>
            <wp:effectExtent l="0" t="0" r="0" b="0"/>
            <wp:wrapSquare wrapText="bothSides"/>
            <wp:docPr id="15" name="Gráfico 15">
              <a:extLst xmlns:a="http://schemas.openxmlformats.org/drawingml/2006/main">
                <a:ext uri="{FF2B5EF4-FFF2-40B4-BE49-F238E27FC236}">
                  <a16:creationId xmlns:a16="http://schemas.microsoft.com/office/drawing/2014/main" id="{93C489CC-EE58-4002-B84A-A563D1D75A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70ECE2A9" w14:textId="77777777" w:rsidR="00A756D1" w:rsidRPr="00A756D1" w:rsidRDefault="00A756D1" w:rsidP="003C057D">
      <w:pPr>
        <w:shd w:val="clear" w:color="auto" w:fill="FFFFFF"/>
        <w:spacing w:afterLines="120" w:after="288" w:line="276" w:lineRule="auto"/>
        <w:ind w:firstLine="284"/>
        <w:jc w:val="both"/>
        <w:rPr>
          <w:rFonts w:ascii="Arial" w:hAnsi="Arial" w:cs="Arial"/>
          <w:sz w:val="20"/>
          <w:szCs w:val="20"/>
          <w:lang w:val="pt-BR"/>
        </w:rPr>
      </w:pPr>
    </w:p>
    <w:p w14:paraId="385E8501"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77B5002D"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7BB36F02"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4E7369A0"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1559F2A3"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323FEA66"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5944EF4E"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65B8A5BF" w14:textId="3628B8C1" w:rsidR="00A756D1" w:rsidRPr="00A756D1" w:rsidRDefault="003C057D" w:rsidP="003C057D">
      <w:pPr>
        <w:pStyle w:val="PargrafodaLista"/>
        <w:spacing w:afterLines="120" w:after="288" w:line="276" w:lineRule="auto"/>
        <w:ind w:left="0" w:firstLine="284"/>
        <w:jc w:val="both"/>
        <w:rPr>
          <w:rFonts w:ascii="Arial" w:hAnsi="Arial" w:cs="Arial"/>
          <w:sz w:val="20"/>
          <w:szCs w:val="20"/>
          <w:lang w:val="pt-BR"/>
        </w:rPr>
      </w:pPr>
      <w:r w:rsidRPr="00A756D1">
        <w:rPr>
          <w:rFonts w:ascii="Arial" w:hAnsi="Arial" w:cs="Arial"/>
          <w:noProof/>
          <w:sz w:val="20"/>
          <w:szCs w:val="20"/>
          <w:lang w:val="pt-BR"/>
        </w:rPr>
        <w:drawing>
          <wp:anchor distT="0" distB="0" distL="114300" distR="114300" simplePos="0" relativeHeight="251665408" behindDoc="0" locked="0" layoutInCell="1" allowOverlap="1" wp14:anchorId="166186D6" wp14:editId="6C8F9509">
            <wp:simplePos x="0" y="0"/>
            <wp:positionH relativeFrom="column">
              <wp:posOffset>2910840</wp:posOffset>
            </wp:positionH>
            <wp:positionV relativeFrom="paragraph">
              <wp:posOffset>100330</wp:posOffset>
            </wp:positionV>
            <wp:extent cx="2647950" cy="1847850"/>
            <wp:effectExtent l="0" t="0" r="0" b="0"/>
            <wp:wrapSquare wrapText="bothSides"/>
            <wp:docPr id="13" name="Gráfico 13">
              <a:extLst xmlns:a="http://schemas.openxmlformats.org/drawingml/2006/main">
                <a:ext uri="{FF2B5EF4-FFF2-40B4-BE49-F238E27FC236}">
                  <a16:creationId xmlns:a16="http://schemas.microsoft.com/office/drawing/2014/main" id="{497816DE-43A5-4D5D-A5C5-0C0A0849D9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718CE3B0" w14:textId="3FA849EC"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589614AB" w14:textId="42CB23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77CC14BB"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33EBA8E9"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294486DC"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3C48D346"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717B9733"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00491FEE"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007B01C1" w14:textId="77777777"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130A4AA5" w14:textId="67A6E0C5"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0809CDF2" w14:textId="7B2E715C" w:rsidR="00A756D1" w:rsidRPr="00A756D1" w:rsidRDefault="00A756D1" w:rsidP="003C057D">
      <w:pPr>
        <w:pStyle w:val="PargrafodaLista"/>
        <w:spacing w:afterLines="120" w:after="288" w:line="276" w:lineRule="auto"/>
        <w:ind w:left="0" w:firstLine="284"/>
        <w:jc w:val="both"/>
        <w:rPr>
          <w:rFonts w:ascii="Arial" w:hAnsi="Arial" w:cs="Arial"/>
          <w:sz w:val="20"/>
          <w:szCs w:val="20"/>
          <w:lang w:val="pt-BR"/>
        </w:rPr>
      </w:pPr>
    </w:p>
    <w:p w14:paraId="66424C47" w14:textId="0945AB37" w:rsidR="00A756D1" w:rsidRPr="003C057D" w:rsidRDefault="00A756D1" w:rsidP="003C057D">
      <w:pPr>
        <w:spacing w:afterLines="120" w:after="288" w:line="276" w:lineRule="auto"/>
        <w:jc w:val="both"/>
        <w:rPr>
          <w:rFonts w:ascii="Arial" w:hAnsi="Arial" w:cs="Arial"/>
          <w:sz w:val="20"/>
          <w:szCs w:val="20"/>
          <w:lang w:val="pt-BR"/>
        </w:rPr>
      </w:pPr>
      <w:r w:rsidRPr="003C057D">
        <w:rPr>
          <w:rFonts w:ascii="Arial" w:hAnsi="Arial" w:cs="Arial"/>
          <w:sz w:val="20"/>
          <w:szCs w:val="20"/>
          <w:lang w:val="pt-BR"/>
        </w:rPr>
        <w:t>Fonte: Paula, GO, et al., 2021</w:t>
      </w:r>
    </w:p>
    <w:p w14:paraId="38CD3435" w14:textId="40CF9E65" w:rsidR="0046664D" w:rsidRPr="00A756D1" w:rsidRDefault="0046664D" w:rsidP="00477FAD">
      <w:pPr>
        <w:spacing w:after="120" w:line="276" w:lineRule="auto"/>
        <w:jc w:val="both"/>
        <w:rPr>
          <w:rFonts w:ascii="Arial" w:hAnsi="Arial" w:cs="Arial"/>
          <w:sz w:val="20"/>
          <w:szCs w:val="20"/>
          <w:lang w:val="pt-BR"/>
        </w:rPr>
      </w:pPr>
      <w:r w:rsidRPr="00A756D1">
        <w:rPr>
          <w:rFonts w:ascii="Arial" w:hAnsi="Arial" w:cs="Arial"/>
          <w:b/>
          <w:bCs/>
          <w:sz w:val="20"/>
          <w:szCs w:val="20"/>
          <w:lang w:val="pt-BR"/>
        </w:rPr>
        <w:t>DISCUSSÃO</w:t>
      </w:r>
    </w:p>
    <w:p w14:paraId="64E654E9" w14:textId="64E1D811" w:rsidR="00254829" w:rsidRPr="003C057D" w:rsidRDefault="003C057D" w:rsidP="00C94CB9">
      <w:pPr>
        <w:spacing w:after="120" w:line="276" w:lineRule="auto"/>
        <w:ind w:firstLine="284"/>
        <w:jc w:val="both"/>
        <w:rPr>
          <w:rFonts w:ascii="Arial" w:hAnsi="Arial" w:cs="Arial"/>
          <w:sz w:val="20"/>
          <w:szCs w:val="20"/>
          <w:lang w:val="pt-BR"/>
        </w:rPr>
      </w:pPr>
      <w:r w:rsidRPr="003C057D">
        <w:rPr>
          <w:rFonts w:ascii="Arial" w:hAnsi="Arial" w:cs="Arial"/>
          <w:sz w:val="20"/>
          <w:szCs w:val="20"/>
          <w:lang w:val="pt-BR"/>
        </w:rPr>
        <w:t>Sobre o perfil de uso desses medicamentos,</w:t>
      </w:r>
      <w:r w:rsidR="00254829">
        <w:rPr>
          <w:rFonts w:ascii="Arial" w:hAnsi="Arial" w:cs="Arial"/>
          <w:sz w:val="20"/>
          <w:szCs w:val="20"/>
          <w:lang w:val="pt-BR"/>
        </w:rPr>
        <w:t xml:space="preserve"> </w:t>
      </w:r>
      <w:proofErr w:type="spellStart"/>
      <w:r w:rsidR="00254829">
        <w:rPr>
          <w:rFonts w:ascii="Arial" w:hAnsi="Arial" w:cs="Arial"/>
          <w:sz w:val="20"/>
          <w:szCs w:val="20"/>
          <w:lang w:val="pt-BR"/>
        </w:rPr>
        <w:t>Zaffani</w:t>
      </w:r>
      <w:proofErr w:type="spellEnd"/>
      <w:r w:rsidR="00254829">
        <w:rPr>
          <w:rFonts w:ascii="Arial" w:hAnsi="Arial" w:cs="Arial"/>
          <w:sz w:val="20"/>
          <w:szCs w:val="20"/>
          <w:lang w:val="pt-BR"/>
        </w:rPr>
        <w:t xml:space="preserve"> E (2007)</w:t>
      </w:r>
      <w:r w:rsidRPr="003C057D">
        <w:rPr>
          <w:rFonts w:ascii="Arial" w:hAnsi="Arial" w:cs="Arial"/>
          <w:sz w:val="20"/>
          <w:szCs w:val="20"/>
          <w:lang w:val="pt-BR"/>
        </w:rPr>
        <w:t xml:space="preserve"> demonstrou que de 100 usuários de descongestionantes nasais tópicos, apenas 5% utilizavam o medicamento durante menos de 15 dias e que aproximadamente metade (48%) utilizava o descongestionante por um período de 15 dias a um ano. </w:t>
      </w:r>
      <w:proofErr w:type="spellStart"/>
      <w:r w:rsidR="00254829">
        <w:rPr>
          <w:rFonts w:ascii="Arial" w:hAnsi="Arial" w:cs="Arial"/>
          <w:sz w:val="20"/>
          <w:szCs w:val="20"/>
          <w:lang w:val="pt-BR"/>
        </w:rPr>
        <w:t>Herberts</w:t>
      </w:r>
      <w:proofErr w:type="spellEnd"/>
      <w:r w:rsidR="00254829">
        <w:rPr>
          <w:rFonts w:ascii="Arial" w:hAnsi="Arial" w:cs="Arial"/>
          <w:sz w:val="20"/>
          <w:szCs w:val="20"/>
          <w:lang w:val="pt-BR"/>
        </w:rPr>
        <w:t xml:space="preserve"> R (2006), </w:t>
      </w:r>
      <w:r w:rsidRPr="003C057D">
        <w:rPr>
          <w:rFonts w:ascii="Arial" w:hAnsi="Arial" w:cs="Arial"/>
          <w:sz w:val="20"/>
          <w:szCs w:val="20"/>
          <w:lang w:val="pt-BR"/>
        </w:rPr>
        <w:t xml:space="preserve">demonstrou que dos pacientes que faziam uso de descongestionantes nasais tópicos, 66% faziam uso por um tempo superior a 90 dias, considerando uso crônico. Destes, 71,43% utilizaram descongestionantes tópicos de forma continuada por mais de 12 meses, o que claramente caracteriza rinite medicamentosa. De acordo com as respostas dos questionários desta pesquisa, apenas n=4 participantes utilizam por um período inferior a 15 dias; sendo que 13,75% (n=11) fazem uso por um período de 15 dias a </w:t>
      </w:r>
      <w:r w:rsidRPr="003C057D">
        <w:rPr>
          <w:rFonts w:ascii="Arial" w:hAnsi="Arial" w:cs="Arial"/>
          <w:sz w:val="20"/>
          <w:szCs w:val="20"/>
          <w:lang w:val="pt-BR"/>
        </w:rPr>
        <w:lastRenderedPageBreak/>
        <w:t xml:space="preserve">1 ano; a maioria 20,00%(n=16) utiliza por um período de 2 a 5 anos, sendo que 18,75% (n=15) utiliza por mais de 10 anos. </w:t>
      </w:r>
      <w:r w:rsidR="00254829">
        <w:rPr>
          <w:rFonts w:ascii="Arial" w:hAnsi="Arial" w:cs="Arial"/>
          <w:sz w:val="20"/>
          <w:szCs w:val="20"/>
          <w:lang w:val="pt-BR"/>
        </w:rPr>
        <w:fldChar w:fldCharType="begin" w:fldLock="1"/>
      </w:r>
      <w:r w:rsidR="00254829">
        <w:rPr>
          <w:rFonts w:ascii="Arial" w:hAnsi="Arial" w:cs="Arial"/>
          <w:sz w:val="20"/>
          <w:szCs w:val="20"/>
          <w:lang w:val="pt-BR"/>
        </w:rPr>
        <w:instrText>ADDIN CSL_CITATION { "citationItems" : [ { "id" : "ITEM-1", "itemData" : { "abstract" : "Introdu\u00e7\u00e3o: Devido \u00e0s graves conseq\u00fc\u00eancias advindas do uso prolongado de descongestionantes e por ser um dos rem\u00e9dios mais procurados dentro da automedica\u00e7\u00e3o no Brasil, resolvemos avaliar o grupo de pacientes usu\u00e1rios de descongestionante nasal para um melhor conhecimento desta popula\u00e7\u00e3o. Material e M\u00e9todos: Num per\u00edodo de seis meses, dos 234 pacientes que procuraram o Ambulat\u00f3rio de Otorrinolaringologia com sintomas nasais, 100 eram usu\u00e1rios de descongestionantes. Para estes foi aplicado um question\u00e1rio sobre osh\u00e1bitos de uso: freq\u00fc\u00eancia, causas do in\u00edcio, indica\u00e7\u00e3o e, outros. Resultados: Dos pacientes abordados, 42,7% eram usu\u00e1rios e destes: 18,4% apresentavam alguma contra-indica\u00e7\u00e3o ao uso; 37% praticaram automedica\u00e7\u00e3o; 59% usavam o rem\u00e9dio al\u00e9m do per\u00edodo indicado e 32% usavam mais do que duas vezes ao dia. Conclus\u00e3o: Concluiu-se que os pacientes entrevistados t\u00eam seu medicamento prescrito pelo m\u00e9dico,utilizam o medicamento por longos per\u00edodos, n\u00e3o consideram o uso cr\u00f4nico do descongestionante nasal como um problema de sa\u00fade p\u00fablica, compram esse medicamento livremente nas farm\u00e1cias e, por fim, os pacientes praticantes da automedica\u00e7\u00e3o possuem maior grau de escolaridade(AU)", "author" : [ { "dropping-particle" : "", "family" : "Zaffani", "given" : "Eduardo", "non-dropping-particle" : "", "parse-names" : false, "suffix" : "" }, { "dropping-particle" : "", "family" : "Rufca", "given" : "Gibran F", "non-dropping-particle" : "", "parse-names" : false, "suffix" : "" }, { "dropping-particle" : "", "family" : "Kamimura", "given" : "Afonso", "non-dropping-particle" : "", "parse-names" : false, "suffix" : "" }, { "dropping-particle" : "V", "family" : "Maniglia", "given" : "Jos\u00e9", "non-dropping-particle" : "", "parse-names" : false, "suffix" : "" }, { "dropping-particle" : "", "family" : "Fernandes", "given" : "At\u00edlio M", "non-dropping-particle" : "", "parse-names" : false, "suffix" : "" } ], "container-title" : "Arq. ci\u00eanc. sa\u00fade", "id" : "ITEM-1", "issue" : "2", "issued" : { "date-parts" : [ [ "2007" ] ] }, "page" : "99-102", "title" : "Perfil Epidemiol\u00f3gico dos pacientes usu\u00e1rios de descongestionantes nasais t\u00f3picos do ambulat\u00f3rio de otorrinolaringologia de um hospital universit\u00e1rio TT  - Epidemiological characteristics of topical nasal decongestants users in the otorhinolaringology out", "type" : "article-journal", "volume" : "14" }, "uris" : [ "http://www.mendeley.com/documents/?uuid=9976143f-fa0f-44c4-8420-f1431cdd6a31" ] }, { "id" : "ITEM-2", "itemData" : { "ISSN" : "14152983", "abstract" : "The objectives of this paper were to evaluate the selling of topical decongestants containing naphazoline in a community pharmacy, from October to December 2003, as well as to survey the cases of poisoning registered by the Poison Information Center of Santa Catarina, Brazil, from January 1986 to December 2003. At the pharmacy, 195 topical decongestants containing naphazoline were sold, and it was found that 88% of the bought medicines were for self-medication. It was observed that there were medicines with the same brand name, but with different compositions, and some of them have been packaged in a way that could cause erroneous administration. Approximately 4% of the selling were for pediatric use (children under six years). Ninety-eight patients (66%) admitted chronic use, and 71% used them for a period over a year. The analysis of the poisoning registrations identified 65 cases of naphazoline intoxication: 92% occurred in children under six years, 43% were used for nasal administration, 57% were due to accidental ingestion, and 35% were cases of mistaken administration. According to our results and considering the limitations of this work, we can conclude that topical decongestants containing naphazoline were used inappropriately by the analyzed sample, and it could be one of the causes of the registered poisonings in children. \u00a9 2006 Sociedade Brasileira de Toxicologia.", "author" : [ { "dropping-particle" : "", "family" : "Herberts", "given" : "Ricardo A.", "non-dropping-particle" : "", "parse-names" : false, "suffix" : "" }, { "dropping-particle" : "", "family" : "Herberts", "given" : "Carin R.A.C.", "non-dropping-particle" : "", "parse-names" : false, "suffix" : "" }, { "dropping-particle" : "", "family" : "Alexandre", "given" : "Rodrigo F.", "non-dropping-particle" : "", "parse-names" : false, "suffix" : "" }, { "dropping-particle" : "", "family" : "Sim\u00f5es", "given" : "Cl\u00e1udia M.O.", "non-dropping-particle" : "", "parse-names" : false, "suffix" : "" }, { "dropping-particle" : "", "family" : "Zaninn", "given" : "Marlene", "non-dropping-particle" : "", "parse-names" : false, "suffix" : "" } ], "container-title" : "Revista Brasileira de Toxicologia", "id" : "ITEM-2", "issue" : "2", "issued" : { "date-parts" : [ [ "2006" ] ] }, "page" : "103-108", "title" : "Uso indiscriminado de descongestionantes nasais contendo nafazolina", "type" : "article-journal", "volume" : "19" }, "uris" : [ "http://www.mendeley.com/documents/?uuid=2d60a9a2-a7f0-495d-80ae-e996ce7c2d68" ] } ], "mendeley" : { "formattedCitation" : "(HERBERTS et al., 2006; ZAFFANI et al., 2007)", "plainTextFormattedCitation" : "(HERBERTS et al., 2006; ZAFFANI et al., 2007)", "previouslyFormattedCitation" : "(HERBERTS et al., 2006; ZAFFANI et al., 2007)" }, "properties" : { "noteIndex" : 0 }, "schema" : "https://github.com/citation-style-language/schema/raw/master/csl-citation.json" }</w:instrText>
      </w:r>
      <w:r w:rsidR="00254829">
        <w:rPr>
          <w:rFonts w:ascii="Arial" w:hAnsi="Arial" w:cs="Arial"/>
          <w:sz w:val="20"/>
          <w:szCs w:val="20"/>
          <w:lang w:val="pt-BR"/>
        </w:rPr>
        <w:fldChar w:fldCharType="separate"/>
      </w:r>
      <w:r w:rsidR="00254829" w:rsidRPr="00254829">
        <w:rPr>
          <w:rFonts w:ascii="Arial" w:hAnsi="Arial" w:cs="Arial"/>
          <w:noProof/>
          <w:sz w:val="20"/>
          <w:szCs w:val="20"/>
          <w:lang w:val="pt-BR"/>
        </w:rPr>
        <w:t>(HERBERTS et al., 2006; ZAFFANI et al., 2007)</w:t>
      </w:r>
      <w:r w:rsidR="00254829">
        <w:rPr>
          <w:rFonts w:ascii="Arial" w:hAnsi="Arial" w:cs="Arial"/>
          <w:sz w:val="20"/>
          <w:szCs w:val="20"/>
          <w:lang w:val="pt-BR"/>
        </w:rPr>
        <w:fldChar w:fldCharType="end"/>
      </w:r>
    </w:p>
    <w:p w14:paraId="74A75B27" w14:textId="59632A42" w:rsidR="003C057D" w:rsidRPr="003C057D" w:rsidRDefault="003C057D" w:rsidP="003C057D">
      <w:pPr>
        <w:spacing w:after="120" w:line="276" w:lineRule="auto"/>
        <w:ind w:firstLine="284"/>
        <w:jc w:val="both"/>
        <w:rPr>
          <w:rFonts w:ascii="Arial" w:hAnsi="Arial" w:cs="Arial"/>
          <w:sz w:val="20"/>
          <w:szCs w:val="20"/>
          <w:lang w:val="pt-BR"/>
        </w:rPr>
      </w:pPr>
      <w:r w:rsidRPr="003C057D">
        <w:rPr>
          <w:rFonts w:ascii="Arial" w:hAnsi="Arial" w:cs="Arial"/>
          <w:sz w:val="20"/>
          <w:szCs w:val="20"/>
          <w:lang w:val="pt-BR"/>
        </w:rPr>
        <w:t xml:space="preserve">A respeito do medicamento mais utilizado, </w:t>
      </w:r>
      <w:r w:rsidR="00254829">
        <w:rPr>
          <w:rFonts w:ascii="Arial" w:hAnsi="Arial" w:cs="Arial"/>
          <w:sz w:val="20"/>
          <w:szCs w:val="20"/>
          <w:lang w:val="pt-BR"/>
        </w:rPr>
        <w:t xml:space="preserve">Torquato AL (2020) </w:t>
      </w:r>
      <w:r w:rsidRPr="003C057D">
        <w:rPr>
          <w:rFonts w:ascii="Arial" w:hAnsi="Arial" w:cs="Arial"/>
          <w:sz w:val="20"/>
          <w:szCs w:val="20"/>
          <w:lang w:val="pt-BR"/>
        </w:rPr>
        <w:t xml:space="preserve">afirmou que o cloridrato de </w:t>
      </w:r>
      <w:proofErr w:type="spellStart"/>
      <w:r w:rsidRPr="003C057D">
        <w:rPr>
          <w:rFonts w:ascii="Arial" w:hAnsi="Arial" w:cs="Arial"/>
          <w:sz w:val="20"/>
          <w:szCs w:val="20"/>
          <w:lang w:val="pt-BR"/>
        </w:rPr>
        <w:t>nafazolina</w:t>
      </w:r>
      <w:proofErr w:type="spellEnd"/>
      <w:r w:rsidRPr="003C057D">
        <w:rPr>
          <w:rFonts w:ascii="Arial" w:hAnsi="Arial" w:cs="Arial"/>
          <w:sz w:val="20"/>
          <w:szCs w:val="20"/>
          <w:lang w:val="pt-BR"/>
        </w:rPr>
        <w:t xml:space="preserve"> foi um dos medicamentos vasoconstritores mais utilizados dentre um grupo de estudantes de uma universidade (96,74%). Dessa mesma maneira, observamos na nossa pesquisa, que </w:t>
      </w:r>
      <w:proofErr w:type="spellStart"/>
      <w:r w:rsidRPr="003C057D">
        <w:rPr>
          <w:rFonts w:ascii="Arial" w:hAnsi="Arial" w:cs="Arial"/>
          <w:sz w:val="20"/>
          <w:szCs w:val="20"/>
          <w:lang w:val="pt-BR"/>
        </w:rPr>
        <w:t>Sorine</w:t>
      </w:r>
      <w:proofErr w:type="spellEnd"/>
      <w:r w:rsidRPr="003C057D">
        <w:rPr>
          <w:rFonts w:ascii="Arial" w:hAnsi="Arial" w:cs="Arial"/>
          <w:sz w:val="20"/>
          <w:szCs w:val="20"/>
          <w:lang w:val="pt-BR"/>
        </w:rPr>
        <w:t xml:space="preserve">® e </w:t>
      </w:r>
      <w:proofErr w:type="spellStart"/>
      <w:r w:rsidRPr="003C057D">
        <w:rPr>
          <w:rFonts w:ascii="Arial" w:hAnsi="Arial" w:cs="Arial"/>
          <w:sz w:val="20"/>
          <w:szCs w:val="20"/>
          <w:lang w:val="pt-BR"/>
        </w:rPr>
        <w:t>Neosoro</w:t>
      </w:r>
      <w:proofErr w:type="spellEnd"/>
      <w:r w:rsidRPr="003C057D">
        <w:rPr>
          <w:rFonts w:ascii="Arial" w:hAnsi="Arial" w:cs="Arial"/>
          <w:sz w:val="20"/>
          <w:szCs w:val="20"/>
          <w:lang w:val="pt-BR"/>
        </w:rPr>
        <w:t>® também foram os mais utilizados (82,50%)</w:t>
      </w:r>
      <w:r w:rsidR="00254829">
        <w:rPr>
          <w:rFonts w:ascii="Arial" w:hAnsi="Arial" w:cs="Arial"/>
          <w:sz w:val="20"/>
          <w:szCs w:val="20"/>
          <w:lang w:val="pt-BR"/>
        </w:rPr>
        <w:t xml:space="preserve"> </w:t>
      </w:r>
      <w:r w:rsidR="00254829">
        <w:rPr>
          <w:rFonts w:ascii="Arial" w:hAnsi="Arial" w:cs="Arial"/>
          <w:sz w:val="20"/>
          <w:szCs w:val="20"/>
          <w:lang w:val="pt-BR"/>
        </w:rPr>
        <w:fldChar w:fldCharType="begin" w:fldLock="1"/>
      </w:r>
      <w:r w:rsidR="00254829">
        <w:rPr>
          <w:rFonts w:ascii="Arial" w:hAnsi="Arial" w:cs="Arial"/>
          <w:sz w:val="20"/>
          <w:szCs w:val="20"/>
          <w:lang w:val="pt-BR"/>
        </w:rPr>
        <w:instrText>ADDIN CSL_CITATION { "citationItems" : [ { "id" : "ITEM-1", "itemData" : { "DOI" : "10.34117/bjdv6n11-206", "ISSN" : "25258761", "author" : [ { "dropping-particle" : "", "family" : "Torquato", "given" : "Andreia Luiza", "non-dropping-particle" : "", "parse-names" : false, "suffix" : "" }, { "dropping-particle" : "", "family" : "Shima", "given" : "Vivian Taciany Bonassoli", "non-dropping-particle" : "", "parse-names" : false, "suffix" : "" }, { "dropping-particle" : "", "family" : "Ara\u00fajo", "given" : "Daniela Cristina de Medeiros", "non-dropping-particle" : "", "parse-names" : false, "suffix" : "" } ], "container-title" : "Brazilian Journal of Development", "id" : "ITEM-1", "issue" : "11", "issued" : { "date-parts" : [ [ "2020" ] ] }, "page" : "86899-86917", "title" : "Riscos Associados \u00c0 Pr\u00e1tica De Automedica\u00e7\u00e3o Com Descongestionante Nasal / Risks Associated With Self-Medication Practice With Nasal Decongestant", "type" : "article-journal", "volume" : "6" }, "uris" : [ "http://www.mendeley.com/documents/?uuid=ee672ab9-7bc3-4c68-aa23-506c67503486" ] } ], "mendeley" : { "formattedCitation" : "(TORQUATO; SHIMA; ARA\u00daJO, 2020)", "plainTextFormattedCitation" : "(TORQUATO; SHIMA; ARA\u00daJO, 2020)", "previouslyFormattedCitation" : "(TORQUATO; SHIMA; ARA\u00daJO, 2020)" }, "properties" : { "noteIndex" : 0 }, "schema" : "https://github.com/citation-style-language/schema/raw/master/csl-citation.json" }</w:instrText>
      </w:r>
      <w:r w:rsidR="00254829">
        <w:rPr>
          <w:rFonts w:ascii="Arial" w:hAnsi="Arial" w:cs="Arial"/>
          <w:sz w:val="20"/>
          <w:szCs w:val="20"/>
          <w:lang w:val="pt-BR"/>
        </w:rPr>
        <w:fldChar w:fldCharType="separate"/>
      </w:r>
      <w:r w:rsidR="00254829" w:rsidRPr="00254829">
        <w:rPr>
          <w:rFonts w:ascii="Arial" w:hAnsi="Arial" w:cs="Arial"/>
          <w:noProof/>
          <w:sz w:val="20"/>
          <w:szCs w:val="20"/>
          <w:lang w:val="pt-BR"/>
        </w:rPr>
        <w:t>(TORQUATO; SHIMA; ARAÚJO, 2020)</w:t>
      </w:r>
      <w:r w:rsidR="00254829">
        <w:rPr>
          <w:rFonts w:ascii="Arial" w:hAnsi="Arial" w:cs="Arial"/>
          <w:sz w:val="20"/>
          <w:szCs w:val="20"/>
          <w:lang w:val="pt-BR"/>
        </w:rPr>
        <w:fldChar w:fldCharType="end"/>
      </w:r>
      <w:r w:rsidR="00254829">
        <w:rPr>
          <w:rFonts w:ascii="Arial" w:hAnsi="Arial" w:cs="Arial"/>
          <w:sz w:val="20"/>
          <w:szCs w:val="20"/>
          <w:lang w:val="pt-BR"/>
        </w:rPr>
        <w:t>.</w:t>
      </w:r>
    </w:p>
    <w:p w14:paraId="5360DD54" w14:textId="77777777" w:rsidR="003C057D" w:rsidRPr="003C057D" w:rsidRDefault="003C057D" w:rsidP="003C057D">
      <w:pPr>
        <w:spacing w:after="120" w:line="276" w:lineRule="auto"/>
        <w:ind w:firstLine="284"/>
        <w:jc w:val="both"/>
        <w:rPr>
          <w:rFonts w:ascii="Arial" w:hAnsi="Arial" w:cs="Arial"/>
          <w:sz w:val="20"/>
          <w:szCs w:val="20"/>
          <w:lang w:val="pt-BR"/>
        </w:rPr>
      </w:pPr>
      <w:r w:rsidRPr="003C057D">
        <w:rPr>
          <w:rFonts w:ascii="Arial" w:hAnsi="Arial" w:cs="Arial"/>
          <w:sz w:val="20"/>
          <w:szCs w:val="20"/>
          <w:lang w:val="pt-BR"/>
        </w:rPr>
        <w:t>Vale ressaltar que é no 5º período em que os alunos de medicina apresentam o primeiro contato com a disciplina de farmacologia e adquirem conhecimento sobre os possíveis efeitos adversos das medicações, inclusive dos descongestionantes. Mesmo assim, de acordo com as respostas, a maioria dos usuários estão entre o 5º e o 11º período (70%; n=56), somente 30% (n=24) cursam entre o 1º e o 4º período.</w:t>
      </w:r>
    </w:p>
    <w:p w14:paraId="4617CA97" w14:textId="6C118621" w:rsidR="003C057D" w:rsidRPr="003C057D" w:rsidRDefault="003C057D" w:rsidP="003C057D">
      <w:pPr>
        <w:spacing w:after="120" w:line="276" w:lineRule="auto"/>
        <w:ind w:firstLine="284"/>
        <w:jc w:val="both"/>
        <w:rPr>
          <w:rFonts w:ascii="Arial" w:hAnsi="Arial" w:cs="Arial"/>
          <w:sz w:val="20"/>
          <w:szCs w:val="20"/>
          <w:lang w:val="pt-BR"/>
        </w:rPr>
      </w:pPr>
      <w:r w:rsidRPr="003C057D">
        <w:rPr>
          <w:rFonts w:ascii="Arial" w:hAnsi="Arial" w:cs="Arial"/>
          <w:sz w:val="20"/>
          <w:szCs w:val="20"/>
          <w:lang w:val="pt-BR"/>
        </w:rPr>
        <w:t>Em relação ao período de maior uso de descongestionantes tópicos, esta pesquisa revelou uma maior prevalência nos períodos de inverno e tempo seco (73,75%), assim como o</w:t>
      </w:r>
      <w:r w:rsidR="00254829">
        <w:rPr>
          <w:rFonts w:ascii="Arial" w:hAnsi="Arial" w:cs="Arial"/>
          <w:sz w:val="20"/>
          <w:szCs w:val="20"/>
          <w:lang w:val="pt-BR"/>
        </w:rPr>
        <w:t xml:space="preserve"> EM (2020)</w:t>
      </w:r>
      <w:r w:rsidRPr="003C057D">
        <w:rPr>
          <w:rFonts w:ascii="Arial" w:hAnsi="Arial" w:cs="Arial"/>
          <w:sz w:val="20"/>
          <w:szCs w:val="20"/>
          <w:lang w:val="pt-BR"/>
        </w:rPr>
        <w:t>, que também apresentou 70% de consumo no período de maio a agosto de 2020, que correspondem à época de menos humidade e menores temperaturas nesta região, corroborando com o que foi observado neste estudo</w:t>
      </w:r>
      <w:r w:rsidR="00254829">
        <w:rPr>
          <w:rFonts w:ascii="Arial" w:hAnsi="Arial" w:cs="Arial"/>
          <w:sz w:val="20"/>
          <w:szCs w:val="20"/>
          <w:lang w:val="pt-BR"/>
        </w:rPr>
        <w:t xml:space="preserve"> </w:t>
      </w:r>
      <w:r w:rsidR="00254829">
        <w:rPr>
          <w:rFonts w:ascii="Arial" w:hAnsi="Arial" w:cs="Arial"/>
          <w:sz w:val="20"/>
          <w:szCs w:val="20"/>
          <w:lang w:val="pt-BR"/>
        </w:rPr>
        <w:fldChar w:fldCharType="begin" w:fldLock="1"/>
      </w:r>
      <w:r w:rsidR="00C94CB9">
        <w:rPr>
          <w:rFonts w:ascii="Arial" w:hAnsi="Arial" w:cs="Arial"/>
          <w:sz w:val="20"/>
          <w:szCs w:val="20"/>
          <w:lang w:val="pt-BR"/>
        </w:rPr>
        <w:instrText>ADDIN CSL_CITATION { "citationItems" : [ { "id" : "ITEM-1", "itemData" : { "author" : [ { "dropping-particle" : "", "family" : "Em", "given" : "Nafazolina", "non-dropping-particle" : "", "parse-names" : false, "suffix" : "" }, { "dropping-particle" : "", "family" : "Farm\u00e1cias", "given" : "Duas", "non-dropping-particle" : "", "parse-names" : false, "suffix" : "" }, { "dropping-particle" : "", "family" : "Mt", "given" : "D E Pocon\u00e9", "non-dropping-particle" : "", "parse-names" : false, "suffix" : "" }, { "dropping-particle" : "", "family" : "Marques", "given" : "Cleberson", "non-dropping-particle" : "", "parse-names" : false, "suffix" : "" } ], "id" : "ITEM-1", "issued" : { "date-parts" : [ [ "2020" ] ] }, "title" : "Consumo de descongestionantes nasais contendo cloridrato de nafazolina em duas farm\u00e1cias de pocon\u00e9 \u2013 mt", "type" : "article-journal" }, "uris" : [ "http://www.mendeley.com/documents/?uuid=c2716b7d-3571-4f61-8ec3-e1406a194a64" ] } ], "mendeley" : { "formattedCitation" : "(EM et al., 2020)", "plainTextFormattedCitation" : "(EM et al., 2020)", "previouslyFormattedCitation" : "(EM et al., 2020)" }, "properties" : { "noteIndex" : 0 }, "schema" : "https://github.com/citation-style-language/schema/raw/master/csl-citation.json" }</w:instrText>
      </w:r>
      <w:r w:rsidR="00254829">
        <w:rPr>
          <w:rFonts w:ascii="Arial" w:hAnsi="Arial" w:cs="Arial"/>
          <w:sz w:val="20"/>
          <w:szCs w:val="20"/>
          <w:lang w:val="pt-BR"/>
        </w:rPr>
        <w:fldChar w:fldCharType="separate"/>
      </w:r>
      <w:r w:rsidR="00254829" w:rsidRPr="00254829">
        <w:rPr>
          <w:rFonts w:ascii="Arial" w:hAnsi="Arial" w:cs="Arial"/>
          <w:noProof/>
          <w:sz w:val="20"/>
          <w:szCs w:val="20"/>
          <w:lang w:val="pt-BR"/>
        </w:rPr>
        <w:t>(EM et al., 2020)</w:t>
      </w:r>
      <w:r w:rsidR="00254829">
        <w:rPr>
          <w:rFonts w:ascii="Arial" w:hAnsi="Arial" w:cs="Arial"/>
          <w:sz w:val="20"/>
          <w:szCs w:val="20"/>
          <w:lang w:val="pt-BR"/>
        </w:rPr>
        <w:fldChar w:fldCharType="end"/>
      </w:r>
      <w:r w:rsidR="00254829">
        <w:rPr>
          <w:rFonts w:ascii="Arial" w:hAnsi="Arial" w:cs="Arial"/>
          <w:sz w:val="20"/>
          <w:szCs w:val="20"/>
          <w:lang w:val="pt-BR"/>
        </w:rPr>
        <w:t>.</w:t>
      </w:r>
    </w:p>
    <w:p w14:paraId="19C3CBFD" w14:textId="060C98C3" w:rsidR="003C057D" w:rsidRPr="003C057D" w:rsidRDefault="003C057D" w:rsidP="003C057D">
      <w:pPr>
        <w:spacing w:after="120" w:line="276" w:lineRule="auto"/>
        <w:ind w:firstLine="284"/>
        <w:jc w:val="both"/>
        <w:rPr>
          <w:rFonts w:ascii="Arial" w:hAnsi="Arial" w:cs="Arial"/>
          <w:sz w:val="20"/>
          <w:szCs w:val="20"/>
          <w:lang w:val="pt-BR"/>
        </w:rPr>
      </w:pPr>
      <w:r w:rsidRPr="003C057D">
        <w:rPr>
          <w:rFonts w:ascii="Arial" w:hAnsi="Arial" w:cs="Arial"/>
          <w:sz w:val="20"/>
          <w:szCs w:val="20"/>
          <w:lang w:val="pt-BR"/>
        </w:rPr>
        <w:t xml:space="preserve">Medicamentos derivados imidazólicos, apesar de efetivos contra congestão nasal, apresentam como principal efeito colateral o efeito rebote causando assim uma rinite medicamentosa. O tempo de ação destes descongestionantes nasais se torna cada vez menor devido ao uso abusivo do medicamento em pequenos intervalos pelo paciente, assim se expondo mais aos riscos e da dependência </w:t>
      </w:r>
      <w:proofErr w:type="gramStart"/>
      <w:r w:rsidRPr="003C057D">
        <w:rPr>
          <w:rFonts w:ascii="Arial" w:hAnsi="Arial" w:cs="Arial"/>
          <w:sz w:val="20"/>
          <w:szCs w:val="20"/>
          <w:lang w:val="pt-BR"/>
        </w:rPr>
        <w:t>do mesmo</w:t>
      </w:r>
      <w:proofErr w:type="gramEnd"/>
      <w:r w:rsidRPr="003C057D">
        <w:rPr>
          <w:rFonts w:ascii="Arial" w:hAnsi="Arial" w:cs="Arial"/>
          <w:sz w:val="20"/>
          <w:szCs w:val="20"/>
          <w:lang w:val="pt-BR"/>
        </w:rPr>
        <w:t>, e quando usado por um longo tempo diversos vasos sanguíneos podem se contrair assim favorecendo ao aparecimento de algumas doenças indesejáveis como arritmia cardíaca e hipertensão arterial. De acordo com</w:t>
      </w:r>
      <w:r w:rsidR="00C94CB9">
        <w:rPr>
          <w:rFonts w:ascii="Arial" w:hAnsi="Arial" w:cs="Arial"/>
          <w:sz w:val="20"/>
          <w:szCs w:val="20"/>
          <w:lang w:val="pt-BR"/>
        </w:rPr>
        <w:t xml:space="preserve"> Souza GS (2019)</w:t>
      </w:r>
      <w:r w:rsidRPr="003C057D">
        <w:rPr>
          <w:rFonts w:ascii="Arial" w:hAnsi="Arial" w:cs="Arial"/>
          <w:sz w:val="20"/>
          <w:szCs w:val="20"/>
          <w:lang w:val="pt-BR"/>
        </w:rPr>
        <w:t xml:space="preserve">, cerca de 7% de todos os pacientes que fazem uso de descongestionantes tópicos, aplicam mais de cinco vezes ao dia. Enquanto nesta pesquisa foi observado uma frequência de 68,75% (n=55) participantes que utilizam tais medicamentos </w:t>
      </w:r>
      <w:proofErr w:type="spellStart"/>
      <w:r w:rsidRPr="003C057D">
        <w:rPr>
          <w:rFonts w:ascii="Arial" w:hAnsi="Arial" w:cs="Arial"/>
          <w:sz w:val="20"/>
          <w:szCs w:val="20"/>
          <w:lang w:val="pt-BR"/>
        </w:rPr>
        <w:t>intranasais</w:t>
      </w:r>
      <w:proofErr w:type="spellEnd"/>
      <w:r w:rsidRPr="003C057D">
        <w:rPr>
          <w:rFonts w:ascii="Arial" w:hAnsi="Arial" w:cs="Arial"/>
          <w:sz w:val="20"/>
          <w:szCs w:val="20"/>
          <w:lang w:val="pt-BR"/>
        </w:rPr>
        <w:t xml:space="preserve"> por mais de cinco vezes ao dia</w:t>
      </w:r>
      <w:r w:rsidR="00C94CB9">
        <w:rPr>
          <w:rFonts w:ascii="Arial" w:hAnsi="Arial" w:cs="Arial"/>
          <w:sz w:val="20"/>
          <w:szCs w:val="20"/>
          <w:lang w:val="pt-BR"/>
        </w:rPr>
        <w:t xml:space="preserve"> </w:t>
      </w:r>
      <w:r w:rsidR="00C94CB9">
        <w:rPr>
          <w:rFonts w:ascii="Arial" w:hAnsi="Arial" w:cs="Arial"/>
          <w:sz w:val="20"/>
          <w:szCs w:val="20"/>
          <w:lang w:val="pt-BR"/>
        </w:rPr>
        <w:fldChar w:fldCharType="begin" w:fldLock="1"/>
      </w:r>
      <w:r w:rsidR="00C94CB9">
        <w:rPr>
          <w:rFonts w:ascii="Arial" w:hAnsi="Arial" w:cs="Arial"/>
          <w:sz w:val="20"/>
          <w:szCs w:val="20"/>
          <w:lang w:val="pt-BR"/>
        </w:rPr>
        <w:instrText>ADDIN CSL_CITATION { "citationItems" : [ { "id" : "ITEM-1", "itemData" : { "author" : [ { "dropping-particle" : "", "family" : "Souza", "given" : "Geanir Sarudakis", "non-dropping-particle" : "", "parse-names" : false, "suffix" : "" } ], "id" : "ITEM-1", "issued" : { "date-parts" : [ [ "2019" ] ] }, "page" : "1-12", "title" : "Faculdade De Educa\u00e7\u00e3o E Meio Ambiente Aspectos Terap\u00eauticos No Melasma", "type" : "article-journal" }, "uris" : [ "http://www.mendeley.com/documents/?uuid=45301baa-b89a-4461-b5eb-38278e5c78c1" ] } ], "mendeley" : { "formattedCitation" : "(SOUZA, 2019)", "plainTextFormattedCitation" : "(SOUZA, 2019)", "previouslyFormattedCitation" : "(SOUZA, 2019)" }, "properties" : { "noteIndex" : 0 }, "schema" : "https://github.com/citation-style-language/schema/raw/master/csl-citation.json" }</w:instrText>
      </w:r>
      <w:r w:rsidR="00C94CB9">
        <w:rPr>
          <w:rFonts w:ascii="Arial" w:hAnsi="Arial" w:cs="Arial"/>
          <w:sz w:val="20"/>
          <w:szCs w:val="20"/>
          <w:lang w:val="pt-BR"/>
        </w:rPr>
        <w:fldChar w:fldCharType="separate"/>
      </w:r>
      <w:r w:rsidR="00C94CB9" w:rsidRPr="00C94CB9">
        <w:rPr>
          <w:rFonts w:ascii="Arial" w:hAnsi="Arial" w:cs="Arial"/>
          <w:noProof/>
          <w:sz w:val="20"/>
          <w:szCs w:val="20"/>
          <w:lang w:val="pt-BR"/>
        </w:rPr>
        <w:t>(SOUZA, 2019)</w:t>
      </w:r>
      <w:r w:rsidR="00C94CB9">
        <w:rPr>
          <w:rFonts w:ascii="Arial" w:hAnsi="Arial" w:cs="Arial"/>
          <w:sz w:val="20"/>
          <w:szCs w:val="20"/>
          <w:lang w:val="pt-BR"/>
        </w:rPr>
        <w:fldChar w:fldCharType="end"/>
      </w:r>
    </w:p>
    <w:p w14:paraId="0775672E" w14:textId="0E300093" w:rsidR="003C057D" w:rsidRPr="003C057D" w:rsidRDefault="003C057D" w:rsidP="0075016F">
      <w:pPr>
        <w:spacing w:after="120" w:line="276" w:lineRule="auto"/>
        <w:ind w:firstLine="284"/>
        <w:jc w:val="both"/>
        <w:rPr>
          <w:rFonts w:ascii="Arial" w:hAnsi="Arial" w:cs="Arial"/>
          <w:sz w:val="20"/>
          <w:szCs w:val="20"/>
          <w:lang w:val="pt-BR"/>
        </w:rPr>
      </w:pPr>
      <w:r w:rsidRPr="003C057D">
        <w:rPr>
          <w:rFonts w:ascii="Arial" w:hAnsi="Arial" w:cs="Arial"/>
          <w:sz w:val="20"/>
          <w:szCs w:val="20"/>
          <w:lang w:val="pt-BR"/>
        </w:rPr>
        <w:t>No</w:t>
      </w:r>
      <w:r w:rsidR="00C94CB9">
        <w:rPr>
          <w:rFonts w:ascii="Arial" w:hAnsi="Arial" w:cs="Arial"/>
          <w:sz w:val="20"/>
          <w:szCs w:val="20"/>
          <w:lang w:val="pt-BR"/>
        </w:rPr>
        <w:t xml:space="preserve"> estudo de </w:t>
      </w:r>
      <w:proofErr w:type="spellStart"/>
      <w:r w:rsidR="00C94CB9">
        <w:rPr>
          <w:rFonts w:ascii="Arial" w:hAnsi="Arial" w:cs="Arial"/>
          <w:sz w:val="20"/>
          <w:szCs w:val="20"/>
          <w:lang w:val="pt-BR"/>
        </w:rPr>
        <w:t>Xuefeng</w:t>
      </w:r>
      <w:proofErr w:type="spellEnd"/>
      <w:r w:rsidR="00C94CB9">
        <w:rPr>
          <w:rFonts w:ascii="Arial" w:hAnsi="Arial" w:cs="Arial"/>
          <w:sz w:val="20"/>
          <w:szCs w:val="20"/>
          <w:lang w:val="pt-BR"/>
        </w:rPr>
        <w:t xml:space="preserve"> </w:t>
      </w:r>
      <w:proofErr w:type="spellStart"/>
      <w:r w:rsidR="00C94CB9">
        <w:rPr>
          <w:rFonts w:ascii="Arial" w:hAnsi="Arial" w:cs="Arial"/>
          <w:sz w:val="20"/>
          <w:szCs w:val="20"/>
          <w:lang w:val="pt-BR"/>
        </w:rPr>
        <w:t>Cheng</w:t>
      </w:r>
      <w:proofErr w:type="spellEnd"/>
      <w:r w:rsidR="00C94CB9">
        <w:rPr>
          <w:rFonts w:ascii="Arial" w:hAnsi="Arial" w:cs="Arial"/>
          <w:sz w:val="20"/>
          <w:szCs w:val="20"/>
          <w:lang w:val="pt-BR"/>
        </w:rPr>
        <w:t xml:space="preserve"> (2011)</w:t>
      </w:r>
      <w:r w:rsidRPr="003C057D">
        <w:rPr>
          <w:rFonts w:ascii="Arial" w:hAnsi="Arial" w:cs="Arial"/>
          <w:sz w:val="20"/>
          <w:szCs w:val="20"/>
          <w:lang w:val="pt-BR"/>
        </w:rPr>
        <w:t xml:space="preserve">, afirmou-se que </w:t>
      </w:r>
      <w:r w:rsidRPr="003C057D">
        <w:rPr>
          <w:rFonts w:ascii="Arial" w:hAnsi="Arial" w:cs="Arial"/>
          <w:sz w:val="20"/>
          <w:szCs w:val="20"/>
          <w:lang w:val="pt-PT"/>
        </w:rPr>
        <w:t>os efeitos colaterais mais comuns dos corticoesteroides intranasais, como budesonida, são resultado da irritação local e incluem secura, queimação, ardência, secreções com sangue e epistaxe, que variam de 4% a 8% em curtos períodos de tratamento (2 a 12 semanas). Entretanto, nos tratamentos a longo prazo com INCSs não obtiveram resultados conclusivos sobre a incidência de efeitos colaterais</w:t>
      </w:r>
      <w:r w:rsidR="00C94CB9">
        <w:rPr>
          <w:rFonts w:ascii="Arial" w:hAnsi="Arial" w:cs="Arial"/>
          <w:sz w:val="20"/>
          <w:szCs w:val="20"/>
          <w:lang w:val="pt-PT"/>
        </w:rPr>
        <w:t xml:space="preserve"> </w:t>
      </w:r>
      <w:r w:rsidR="00C94CB9">
        <w:rPr>
          <w:rFonts w:ascii="Arial" w:hAnsi="Arial" w:cs="Arial"/>
          <w:sz w:val="20"/>
          <w:szCs w:val="20"/>
          <w:lang w:val="pt-PT"/>
        </w:rPr>
        <w:fldChar w:fldCharType="begin" w:fldLock="1"/>
      </w:r>
      <w:r w:rsidR="00C94CB9">
        <w:rPr>
          <w:rFonts w:ascii="Arial" w:hAnsi="Arial" w:cs="Arial"/>
          <w:sz w:val="20"/>
          <w:szCs w:val="20"/>
          <w:lang w:val="pt-PT"/>
        </w:rPr>
        <w:instrText>ADDIN CSL_CITATION { "citationItems" : [ { "id" : "ITEM-1", "itemData" : { "DOI" : "10.1002/alr.22073.International", "abstract" : "Background and Aims\u2014Cardiovascular disease (CVD) is among the leading causes of morbidity and mortality worldwide. Traditional risk factors predict 75-80% of an individual's risk of incident CVD. However, the role of early life experiences in future disease risk is gaining attention. The Barker hypothesis proposes fetal origins of adult disease, with consistent evidence demonstrating the deleterious consequences of birth weight outside the normal range. In this study, we investigate the role of birth weight in CVD risk prediction. Methods and Results\u2014The Women's Health Initiative (WHI) represents a large national cohort of post-menopausal women with 63 815 participants included in this analysis. Univariable proportional hazards regression analyses evaluated the association of 4 self-reported birth weight categories against 3 CVD outcome definitions, which included indicators of coronary heart disease, ischemic stroke, coronary revascularization, carotid artery disease and peripheral arterial disease. The role of birth weight was also evaluated for prediction of CVD events in the presence of traditional risk factors using 3 existing CVD risk prediction equations: one body mass index (BMI)-based and two laboratory-based models. Low birth weight (LBW) (&lt; 6 lbs.) was significantly associated with all CVD outcome definitions in univariable analyses (HR=1.086, p=0.009). LBW was a significant covariate in the BMI-based model (HR=1.128, p&lt;0.0001) but not in the lipid-based models. Conclusion\u2014LBW (&lt;6 lbs.) is independently associated with CVD outcomes in the WHI cohort. This finding supports the role of the prenatal and postnatal environment in contributing to the development of adult chronic disease.", "author" : [ { "dropping-particle" : "", "family" : "Xuefeng Chen, et al", "given" : "2011", "non-dropping-particle" : "", "parse-names" : false, "suffix" : "" } ], "container-title" : "Physiology &amp; behavior", "id" : "ITEM-1", "issue" : "10", "issued" : { "date-parts" : [ [ "2011" ] ] }, "page" : "139-148", "title" : "\u4e73\u9f20\u5fc3\u808c\u63d0\u53d6 HHS Public Access", "type" : "article-journal", "volume" : "176" }, "uris" : [ "http://www.mendeley.com/documents/?uuid=a898dfd8-7f37-4aa5-a3ec-8afe280b4ab6" ] } ], "mendeley" : { "formattedCitation" : "(XUEFENG CHEN, ET AL, 2011)", "plainTextFormattedCitation" : "(XUEFENG CHEN, ET AL, 2011)", "previouslyFormattedCitation" : "(XUEFENG CHEN, ET AL, 2011)" }, "properties" : { "noteIndex" : 0 }, "schema" : "https://github.com/citation-style-language/schema/raw/master/csl-citation.json" }</w:instrText>
      </w:r>
      <w:r w:rsidR="00C94CB9">
        <w:rPr>
          <w:rFonts w:ascii="Arial" w:hAnsi="Arial" w:cs="Arial"/>
          <w:sz w:val="20"/>
          <w:szCs w:val="20"/>
          <w:lang w:val="pt-PT"/>
        </w:rPr>
        <w:fldChar w:fldCharType="separate"/>
      </w:r>
      <w:r w:rsidR="00C94CB9" w:rsidRPr="00C94CB9">
        <w:rPr>
          <w:rFonts w:ascii="Arial" w:hAnsi="Arial" w:cs="Arial"/>
          <w:noProof/>
          <w:sz w:val="20"/>
          <w:szCs w:val="20"/>
          <w:lang w:val="pt-PT"/>
        </w:rPr>
        <w:t>(XUEFENG CHEN, ET AL, 2011)</w:t>
      </w:r>
      <w:r w:rsidR="00C94CB9">
        <w:rPr>
          <w:rFonts w:ascii="Arial" w:hAnsi="Arial" w:cs="Arial"/>
          <w:sz w:val="20"/>
          <w:szCs w:val="20"/>
          <w:lang w:val="pt-PT"/>
        </w:rPr>
        <w:fldChar w:fldCharType="end"/>
      </w:r>
      <w:r w:rsidR="00C94CB9">
        <w:rPr>
          <w:rFonts w:ascii="Arial" w:hAnsi="Arial" w:cs="Arial"/>
          <w:sz w:val="20"/>
          <w:szCs w:val="20"/>
          <w:lang w:val="pt-PT"/>
        </w:rPr>
        <w:t xml:space="preserve">. </w:t>
      </w:r>
      <w:r w:rsidRPr="003C057D">
        <w:rPr>
          <w:rFonts w:ascii="Arial" w:hAnsi="Arial" w:cs="Arial"/>
          <w:sz w:val="20"/>
          <w:szCs w:val="20"/>
          <w:lang w:val="pt-PT"/>
        </w:rPr>
        <w:t>Diferentemente desse estudo, nossa pesquisa não identificou nenhum desses efeitos colaterais pelo uso de descongestionantes nasais.</w:t>
      </w:r>
      <w:r w:rsidR="00C94CB9">
        <w:rPr>
          <w:rFonts w:ascii="Arial" w:hAnsi="Arial" w:cs="Arial"/>
          <w:sz w:val="20"/>
          <w:szCs w:val="20"/>
          <w:lang w:val="pt-PT"/>
        </w:rPr>
        <w:t xml:space="preserve"> </w:t>
      </w:r>
    </w:p>
    <w:p w14:paraId="3E040104" w14:textId="2220F19D" w:rsidR="003C057D" w:rsidRPr="003C057D" w:rsidRDefault="003C057D" w:rsidP="003C057D">
      <w:pPr>
        <w:spacing w:after="120" w:line="276" w:lineRule="auto"/>
        <w:ind w:firstLine="284"/>
        <w:jc w:val="both"/>
        <w:rPr>
          <w:rFonts w:ascii="Arial" w:hAnsi="Arial" w:cs="Arial"/>
          <w:sz w:val="20"/>
          <w:szCs w:val="20"/>
          <w:lang w:val="pt-BR"/>
        </w:rPr>
      </w:pPr>
      <w:r w:rsidRPr="003C057D">
        <w:rPr>
          <w:rFonts w:ascii="Arial" w:hAnsi="Arial" w:cs="Arial"/>
          <w:sz w:val="20"/>
          <w:szCs w:val="20"/>
          <w:lang w:val="pt-BR"/>
        </w:rPr>
        <w:t xml:space="preserve">De acordo com </w:t>
      </w:r>
      <w:r w:rsidR="00C94CB9">
        <w:rPr>
          <w:rFonts w:ascii="Arial" w:hAnsi="Arial" w:cs="Arial"/>
          <w:sz w:val="20"/>
          <w:szCs w:val="20"/>
          <w:lang w:val="pt-BR"/>
        </w:rPr>
        <w:t>a pesquisa</w:t>
      </w:r>
      <w:r w:rsidRPr="003C057D">
        <w:rPr>
          <w:rFonts w:ascii="Arial" w:hAnsi="Arial" w:cs="Arial"/>
          <w:sz w:val="20"/>
          <w:szCs w:val="20"/>
          <w:lang w:val="pt-BR"/>
        </w:rPr>
        <w:t xml:space="preserve"> feit</w:t>
      </w:r>
      <w:r w:rsidR="00C94CB9">
        <w:rPr>
          <w:rFonts w:ascii="Arial" w:hAnsi="Arial" w:cs="Arial"/>
          <w:sz w:val="20"/>
          <w:szCs w:val="20"/>
          <w:lang w:val="pt-BR"/>
        </w:rPr>
        <w:t>a</w:t>
      </w:r>
      <w:r w:rsidRPr="003C057D">
        <w:rPr>
          <w:rFonts w:ascii="Arial" w:hAnsi="Arial" w:cs="Arial"/>
          <w:sz w:val="20"/>
          <w:szCs w:val="20"/>
          <w:lang w:val="pt-BR"/>
        </w:rPr>
        <w:t xml:space="preserve"> p</w:t>
      </w:r>
      <w:r w:rsidR="00C94CB9">
        <w:rPr>
          <w:rFonts w:ascii="Arial" w:hAnsi="Arial" w:cs="Arial"/>
          <w:sz w:val="20"/>
          <w:szCs w:val="20"/>
          <w:lang w:val="pt-BR"/>
        </w:rPr>
        <w:t>or Castro LN (2016)</w:t>
      </w:r>
      <w:r w:rsidRPr="003C057D">
        <w:rPr>
          <w:rFonts w:ascii="Arial" w:hAnsi="Arial" w:cs="Arial"/>
          <w:sz w:val="20"/>
          <w:szCs w:val="20"/>
          <w:lang w:val="pt-BR"/>
        </w:rPr>
        <w:t>, dos participantes que utilizam descongestionantes nasais tópicos, 90% se automedicam, 59% se consideram dependentes e apenas 31% receberam orientação sobre riscos do uso abusivo. Com relação à frequência de utilização e tempo de uso, 45% relatam uso mais que 5 vezes por dia e 68% dos entrevistados utilizam por mais de 30 dias</w:t>
      </w:r>
      <w:r w:rsidR="00C94CB9">
        <w:rPr>
          <w:rFonts w:ascii="Arial" w:hAnsi="Arial" w:cs="Arial"/>
          <w:sz w:val="20"/>
          <w:szCs w:val="20"/>
          <w:lang w:val="pt-BR"/>
        </w:rPr>
        <w:t xml:space="preserve"> </w:t>
      </w:r>
      <w:r w:rsidR="00C94CB9">
        <w:rPr>
          <w:rFonts w:ascii="Arial" w:hAnsi="Arial" w:cs="Arial"/>
          <w:sz w:val="20"/>
          <w:szCs w:val="20"/>
          <w:lang w:val="pt-BR"/>
        </w:rPr>
        <w:fldChar w:fldCharType="begin" w:fldLock="1"/>
      </w:r>
      <w:r w:rsidR="00C94CB9">
        <w:rPr>
          <w:rFonts w:ascii="Arial" w:hAnsi="Arial" w:cs="Arial"/>
          <w:sz w:val="20"/>
          <w:szCs w:val="20"/>
          <w:lang w:val="pt-BR"/>
        </w:rPr>
        <w:instrText>ADDIN CSL_CITATION { "citationItems" : [ { "id" : "ITEM-1", "itemData" : { "abstract" : "Objective \u2013 Highlight the widespread use of nasal decongestants for health care students. Methods \u2013 To prepare the study, data col- lection was performed by application of questionnaire, in order to Highlight the frequency of the indiscriminate use of nasal decon- gestants, the research was done by interviewing 100 participants, 50 men and 50 women in period from 18 November 2015 to 11 March 2016. Results \u2013 Reviewed up through the data that the indiscriminate and irrational use of these drugs among students occur frequently. Conclusion \u2013 Through the data we found that the use of nasal decongestants among students of both sexes occur indiscri- minately, continuous and dependent manner, and the fact of the absence of proper guidance at the time of dispensation can contribute to the irrational use", "author" : [ { "dropping-particle" : "De", "family" : "Castro", "given" : "Lais do Nascimento", "non-dropping-particle" : "", "parse-names" : false, "suffix" : "" }, { "dropping-particle" : "De", "family" : "Mello", "given" : "Mirian Marcolan", "non-dropping-particle" : "", "parse-names" : false, "suffix" : "" }, { "dropping-particle" : "", "family" : "Fernandes", "given" : "Wendel Sim\u00f5es", "non-dropping-particle" : "", "parse-names" : false, "suffix" : "" } ], "container-title" : "J Health Sci Inst.", "id" : "ITEM-1", "issue" : "3", "issued" : { "date-parts" : [ [ "2016" ] ] }, "page" : "163-167", "title" : "Avalia\u00e7\u00e3o da pr\u00e1tica de automedica\u00e7\u00e3o com descongestionantes nasais por estudantes da \u00e1rea da sa\u00fade", "type" : "article-journal", "volume" : "34" }, "uris" : [ "http://www.mendeley.com/documents/?uuid=613f8f47-afe4-4ac2-b9a0-776231c7d1a5" ] } ], "mendeley" : { "formattedCitation" : "(CASTRO; MELLO; FERNANDES, 2016)", "plainTextFormattedCitation" : "(CASTRO; MELLO; FERNANDES, 2016)" }, "properties" : { "noteIndex" : 0 }, "schema" : "https://github.com/citation-style-language/schema/raw/master/csl-citation.json" }</w:instrText>
      </w:r>
      <w:r w:rsidR="00C94CB9">
        <w:rPr>
          <w:rFonts w:ascii="Arial" w:hAnsi="Arial" w:cs="Arial"/>
          <w:sz w:val="20"/>
          <w:szCs w:val="20"/>
          <w:lang w:val="pt-BR"/>
        </w:rPr>
        <w:fldChar w:fldCharType="separate"/>
      </w:r>
      <w:r w:rsidR="00C94CB9" w:rsidRPr="00C94CB9">
        <w:rPr>
          <w:rFonts w:ascii="Arial" w:hAnsi="Arial" w:cs="Arial"/>
          <w:noProof/>
          <w:sz w:val="20"/>
          <w:szCs w:val="20"/>
          <w:lang w:val="pt-BR"/>
        </w:rPr>
        <w:t>(CASTRO; MELLO; FERNANDES, 2016)</w:t>
      </w:r>
      <w:r w:rsidR="00C94CB9">
        <w:rPr>
          <w:rFonts w:ascii="Arial" w:hAnsi="Arial" w:cs="Arial"/>
          <w:sz w:val="20"/>
          <w:szCs w:val="20"/>
          <w:lang w:val="pt-BR"/>
        </w:rPr>
        <w:fldChar w:fldCharType="end"/>
      </w:r>
      <w:r w:rsidRPr="003C057D">
        <w:rPr>
          <w:rFonts w:ascii="Arial" w:hAnsi="Arial" w:cs="Arial"/>
          <w:sz w:val="20"/>
          <w:szCs w:val="20"/>
          <w:lang w:val="pt-BR"/>
        </w:rPr>
        <w:t xml:space="preserve">. Por outro lado, nosso estudo mostrou que 66,25% dos entrevistados não possuem prescrição médica, 13,75% se consideram dependentes, 70% conhecem possíveis malefícios do uso indiscriminado de descongestionantes, 68,75% referem frequência de aplicação acima de cinco vezes ao dia e </w:t>
      </w:r>
      <w:proofErr w:type="gramStart"/>
      <w:r w:rsidRPr="003C057D">
        <w:rPr>
          <w:rFonts w:ascii="Arial" w:hAnsi="Arial" w:cs="Arial"/>
          <w:sz w:val="20"/>
          <w:szCs w:val="20"/>
          <w:lang w:val="pt-BR"/>
        </w:rPr>
        <w:t>61,25% utiliza</w:t>
      </w:r>
      <w:proofErr w:type="gramEnd"/>
      <w:r w:rsidRPr="003C057D">
        <w:rPr>
          <w:rFonts w:ascii="Arial" w:hAnsi="Arial" w:cs="Arial"/>
          <w:sz w:val="20"/>
          <w:szCs w:val="20"/>
          <w:lang w:val="pt-BR"/>
        </w:rPr>
        <w:t xml:space="preserve"> há mais de seis meses.</w:t>
      </w:r>
    </w:p>
    <w:p w14:paraId="3AA7BDDC" w14:textId="77777777" w:rsidR="003C057D" w:rsidRPr="003C057D" w:rsidRDefault="003C057D" w:rsidP="003C057D">
      <w:pPr>
        <w:spacing w:after="120" w:line="276" w:lineRule="auto"/>
        <w:ind w:firstLine="284"/>
        <w:jc w:val="both"/>
        <w:rPr>
          <w:rFonts w:ascii="Arial" w:hAnsi="Arial" w:cs="Arial"/>
          <w:sz w:val="20"/>
          <w:szCs w:val="20"/>
          <w:lang w:val="pt-BR"/>
        </w:rPr>
      </w:pPr>
      <w:r w:rsidRPr="003C057D">
        <w:rPr>
          <w:rFonts w:ascii="Arial" w:hAnsi="Arial" w:cs="Arial"/>
          <w:sz w:val="20"/>
          <w:szCs w:val="20"/>
          <w:lang w:val="pt-BR"/>
        </w:rPr>
        <w:t>Mesmo assim, tais dados corroboram com a hipótese de que a facilidade de acesso a esses medicamentos e a ilusão de que não apresentam malefícios favorece o seu uso indiscriminado e automedicação, elevando o risco de desenvolvimento de efeitos colaterais como rinite medicamentosa e, consequentemente, dependência.</w:t>
      </w:r>
    </w:p>
    <w:p w14:paraId="40137276" w14:textId="77777777" w:rsidR="0046664D" w:rsidRPr="00A756D1" w:rsidRDefault="0046664D" w:rsidP="00477FAD">
      <w:pPr>
        <w:spacing w:after="120" w:line="276" w:lineRule="auto"/>
        <w:jc w:val="both"/>
        <w:rPr>
          <w:rFonts w:ascii="Arial" w:hAnsi="Arial" w:cs="Arial"/>
          <w:b/>
          <w:bCs/>
          <w:sz w:val="20"/>
          <w:szCs w:val="20"/>
          <w:lang w:val="pt-BR"/>
        </w:rPr>
      </w:pPr>
    </w:p>
    <w:p w14:paraId="451AF986" w14:textId="3681487E" w:rsidR="0046664D" w:rsidRPr="00A756D1" w:rsidRDefault="0046664D" w:rsidP="00477FAD">
      <w:pPr>
        <w:spacing w:after="120" w:line="276" w:lineRule="auto"/>
        <w:jc w:val="both"/>
        <w:rPr>
          <w:rFonts w:ascii="Arial" w:hAnsi="Arial" w:cs="Arial"/>
          <w:sz w:val="20"/>
          <w:szCs w:val="20"/>
          <w:lang w:val="pt-BR"/>
        </w:rPr>
      </w:pPr>
      <w:r w:rsidRPr="00A756D1">
        <w:rPr>
          <w:rFonts w:ascii="Arial" w:hAnsi="Arial" w:cs="Arial"/>
          <w:b/>
          <w:bCs/>
          <w:sz w:val="20"/>
          <w:szCs w:val="20"/>
          <w:lang w:val="pt-BR"/>
        </w:rPr>
        <w:t>CONSIDERAÇÕES FINAIS</w:t>
      </w:r>
    </w:p>
    <w:p w14:paraId="32F3CD2C" w14:textId="77777777" w:rsidR="003C057D" w:rsidRPr="003C057D" w:rsidRDefault="003C057D" w:rsidP="003C057D">
      <w:pPr>
        <w:spacing w:after="120" w:line="276" w:lineRule="auto"/>
        <w:ind w:firstLine="284"/>
        <w:jc w:val="both"/>
        <w:rPr>
          <w:rFonts w:ascii="Arial" w:hAnsi="Arial" w:cs="Arial"/>
          <w:sz w:val="20"/>
          <w:szCs w:val="20"/>
          <w:lang w:val="pt-BR"/>
        </w:rPr>
      </w:pPr>
      <w:r w:rsidRPr="003C057D">
        <w:rPr>
          <w:rFonts w:ascii="Arial" w:hAnsi="Arial" w:cs="Arial"/>
          <w:sz w:val="20"/>
          <w:szCs w:val="20"/>
          <w:lang w:val="pt-BR"/>
        </w:rPr>
        <w:t xml:space="preserve">De acordo com os dados obtidos na pesquisa, não houve relação estatisticamente significativa entre sexo e desenvolvimento de efeitos colaterais, bem como período cursado, tempo de uso e automedicação sem seguir a recomendação da bula também não demonstraram relação significativa. Somente as variáveis: frequência de uso acima de cinco vezes ao dia e a automedicação apresentaram associação estatisticamente </w:t>
      </w:r>
      <w:r w:rsidRPr="003C057D">
        <w:rPr>
          <w:rFonts w:ascii="Arial" w:hAnsi="Arial" w:cs="Arial"/>
          <w:sz w:val="20"/>
          <w:szCs w:val="20"/>
          <w:lang w:val="pt-BR"/>
        </w:rPr>
        <w:lastRenderedPageBreak/>
        <w:t>significativa com a ocorrência desses efeitos adversos. Entretanto, tomando como base outros estudos que corroboram com a ideia de que a automedicação com descongestionantes pode provocar graves efeitos colaterais, devem ser realizadas mais pesquisas para comprovar a necessidade de regulamentação da compra dessas medicações. Além disso, os resultados aqui obtidos revelam que o problema da automedicação é persistente, inclusive entre estudantes da área de saúde.</w:t>
      </w:r>
    </w:p>
    <w:p w14:paraId="4E3F6209" w14:textId="77777777" w:rsidR="0046664D" w:rsidRPr="00A756D1" w:rsidRDefault="0046664D" w:rsidP="00477FAD">
      <w:pPr>
        <w:spacing w:after="120" w:line="276" w:lineRule="auto"/>
        <w:ind w:firstLine="284"/>
        <w:jc w:val="both"/>
        <w:rPr>
          <w:rFonts w:ascii="Arial" w:hAnsi="Arial" w:cs="Arial"/>
          <w:sz w:val="20"/>
          <w:szCs w:val="20"/>
          <w:lang w:val="pt-BR"/>
        </w:rPr>
      </w:pPr>
    </w:p>
    <w:p w14:paraId="49EB5B35" w14:textId="77777777" w:rsidR="0046664D" w:rsidRPr="00A756D1" w:rsidRDefault="000B0820" w:rsidP="00477FAD">
      <w:pPr>
        <w:spacing w:after="120" w:line="276" w:lineRule="auto"/>
        <w:jc w:val="both"/>
        <w:rPr>
          <w:rFonts w:ascii="Arial" w:hAnsi="Arial" w:cs="Arial"/>
          <w:sz w:val="20"/>
          <w:szCs w:val="20"/>
          <w:lang w:val="pt-BR"/>
        </w:rPr>
      </w:pPr>
      <w:r>
        <w:rPr>
          <w:rFonts w:ascii="Arial" w:hAnsi="Arial" w:cs="Arial"/>
          <w:color w:val="212121"/>
          <w:lang w:val="pt-BR"/>
        </w:rPr>
        <w:pict w14:anchorId="3CA61FB5">
          <v:rect id="_x0000_i1029" style="width:0;height:1.5pt" o:hralign="center" o:hrstd="t" o:hr="t" fillcolor="#a0a0a0" stroked="f"/>
        </w:pict>
      </w:r>
    </w:p>
    <w:p w14:paraId="69BB5F74" w14:textId="6CA27821" w:rsidR="0075016F" w:rsidRDefault="0046664D" w:rsidP="0075016F">
      <w:pPr>
        <w:widowControl w:val="0"/>
        <w:autoSpaceDE w:val="0"/>
        <w:autoSpaceDN w:val="0"/>
        <w:adjustRightInd w:val="0"/>
        <w:spacing w:after="120"/>
        <w:rPr>
          <w:rFonts w:ascii="Arial" w:hAnsi="Arial" w:cs="Arial"/>
          <w:b/>
          <w:bCs/>
          <w:sz w:val="20"/>
          <w:szCs w:val="20"/>
          <w:lang w:val="pt-BR"/>
        </w:rPr>
      </w:pPr>
      <w:r w:rsidRPr="00A756D1">
        <w:rPr>
          <w:rFonts w:ascii="Arial" w:hAnsi="Arial" w:cs="Arial"/>
          <w:b/>
          <w:bCs/>
          <w:sz w:val="20"/>
          <w:szCs w:val="20"/>
          <w:lang w:val="pt-BR"/>
        </w:rPr>
        <w:t>REFERÊNCIAS</w:t>
      </w:r>
    </w:p>
    <w:p w14:paraId="33980D58" w14:textId="5013A545" w:rsidR="00C94CB9" w:rsidRPr="00C94CB9" w:rsidRDefault="0075016F" w:rsidP="00C94CB9">
      <w:pPr>
        <w:widowControl w:val="0"/>
        <w:autoSpaceDE w:val="0"/>
        <w:autoSpaceDN w:val="0"/>
        <w:adjustRightInd w:val="0"/>
        <w:spacing w:after="120"/>
        <w:rPr>
          <w:rFonts w:ascii="Arial" w:hAnsi="Arial" w:cs="Arial"/>
          <w:noProof/>
          <w:sz w:val="20"/>
        </w:rPr>
      </w:pPr>
      <w:r>
        <w:rPr>
          <w:rFonts w:ascii="Arial" w:hAnsi="Arial" w:cs="Arial"/>
          <w:b/>
          <w:bCs/>
          <w:sz w:val="20"/>
          <w:szCs w:val="20"/>
          <w:lang w:val="pt-BR"/>
        </w:rPr>
        <w:fldChar w:fldCharType="begin" w:fldLock="1"/>
      </w:r>
      <w:r>
        <w:rPr>
          <w:rFonts w:ascii="Arial" w:hAnsi="Arial" w:cs="Arial"/>
          <w:b/>
          <w:bCs/>
          <w:sz w:val="20"/>
          <w:szCs w:val="20"/>
          <w:lang w:val="pt-BR"/>
        </w:rPr>
        <w:instrText xml:space="preserve">ADDIN Mendeley Bibliography CSL_BIBLIOGRAPHY </w:instrText>
      </w:r>
      <w:r>
        <w:rPr>
          <w:rFonts w:ascii="Arial" w:hAnsi="Arial" w:cs="Arial"/>
          <w:b/>
          <w:bCs/>
          <w:sz w:val="20"/>
          <w:szCs w:val="20"/>
          <w:lang w:val="pt-BR"/>
        </w:rPr>
        <w:fldChar w:fldCharType="separate"/>
      </w:r>
      <w:r w:rsidR="00C94CB9" w:rsidRPr="00C94CB9">
        <w:rPr>
          <w:rFonts w:ascii="Arial" w:hAnsi="Arial" w:cs="Arial"/>
          <w:noProof/>
          <w:sz w:val="20"/>
        </w:rPr>
        <w:t>ANVISA, A. N. DE V. S. Resolução - Rdc N</w:t>
      </w:r>
      <w:r w:rsidR="00C94CB9" w:rsidRPr="00C94CB9">
        <w:rPr>
          <w:rFonts w:ascii="Arial" w:hAnsi="Arial" w:cs="Arial"/>
          <w:noProof/>
          <w:sz w:val="20"/>
          <w:vertAlign w:val="superscript"/>
        </w:rPr>
        <w:t>o</w:t>
      </w:r>
      <w:r w:rsidR="00C94CB9" w:rsidRPr="00C94CB9">
        <w:rPr>
          <w:rFonts w:ascii="Arial" w:hAnsi="Arial" w:cs="Arial"/>
          <w:noProof/>
          <w:sz w:val="20"/>
        </w:rPr>
        <w:t xml:space="preserve"> 41, De 26 De Julho De 2012. </w:t>
      </w:r>
      <w:r w:rsidR="00C94CB9" w:rsidRPr="00C94CB9">
        <w:rPr>
          <w:rFonts w:ascii="Arial" w:hAnsi="Arial" w:cs="Arial"/>
          <w:b/>
          <w:bCs/>
          <w:noProof/>
          <w:sz w:val="20"/>
        </w:rPr>
        <w:t>Diario Oficial da União</w:t>
      </w:r>
      <w:r w:rsidR="00C94CB9" w:rsidRPr="00C94CB9">
        <w:rPr>
          <w:rFonts w:ascii="Arial" w:hAnsi="Arial" w:cs="Arial"/>
          <w:noProof/>
          <w:sz w:val="20"/>
        </w:rPr>
        <w:t xml:space="preserve">, 2012. </w:t>
      </w:r>
    </w:p>
    <w:p w14:paraId="6B44B791"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ARRAIS, P. S. D. et al. Prevalence of self-medication in Brazil and associated factors. </w:t>
      </w:r>
      <w:r w:rsidRPr="00C94CB9">
        <w:rPr>
          <w:rFonts w:ascii="Arial" w:hAnsi="Arial" w:cs="Arial"/>
          <w:b/>
          <w:bCs/>
          <w:noProof/>
          <w:sz w:val="20"/>
        </w:rPr>
        <w:t>Revista de Saude Publica</w:t>
      </w:r>
      <w:r w:rsidRPr="00C94CB9">
        <w:rPr>
          <w:rFonts w:ascii="Arial" w:hAnsi="Arial" w:cs="Arial"/>
          <w:noProof/>
          <w:sz w:val="20"/>
        </w:rPr>
        <w:t xml:space="preserve">, v. 50, n. supl 2, p. 1–11, 2016. </w:t>
      </w:r>
    </w:p>
    <w:p w14:paraId="46432445"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CASTRO, L. DO N. DE; MELLO, M. M. DE; FERNANDES, W. S. Avaliação da prática de automedicação com descongestionantes nasais por estudantes da área da saúde. </w:t>
      </w:r>
      <w:r w:rsidRPr="00C94CB9">
        <w:rPr>
          <w:rFonts w:ascii="Arial" w:hAnsi="Arial" w:cs="Arial"/>
          <w:b/>
          <w:bCs/>
          <w:noProof/>
          <w:sz w:val="20"/>
        </w:rPr>
        <w:t>J Health Sci Inst.</w:t>
      </w:r>
      <w:r w:rsidRPr="00C94CB9">
        <w:rPr>
          <w:rFonts w:ascii="Arial" w:hAnsi="Arial" w:cs="Arial"/>
          <w:noProof/>
          <w:sz w:val="20"/>
        </w:rPr>
        <w:t xml:space="preserve">, v. 34, n. 3, p. 163–167, 2016. </w:t>
      </w:r>
    </w:p>
    <w:p w14:paraId="18D348CE"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COX, D. R.; WISE, S. K. Medical Treatment of Nasal Airway Obstruction. </w:t>
      </w:r>
      <w:r w:rsidRPr="00C94CB9">
        <w:rPr>
          <w:rFonts w:ascii="Arial" w:hAnsi="Arial" w:cs="Arial"/>
          <w:b/>
          <w:bCs/>
          <w:noProof/>
          <w:sz w:val="20"/>
        </w:rPr>
        <w:t>Otolaryngologic Clinics of North America</w:t>
      </w:r>
      <w:r w:rsidRPr="00C94CB9">
        <w:rPr>
          <w:rFonts w:ascii="Arial" w:hAnsi="Arial" w:cs="Arial"/>
          <w:noProof/>
          <w:sz w:val="20"/>
        </w:rPr>
        <w:t xml:space="preserve">, v. 51, n. 5, p. 897–908, 2018. </w:t>
      </w:r>
    </w:p>
    <w:p w14:paraId="7C9CC33A"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EM, N. et al. Consumo de descongestionantes nasais contendo cloridrato de nafazolina em duas farmácias de poconé – mt. 2020. </w:t>
      </w:r>
    </w:p>
    <w:p w14:paraId="24FA7159"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HERBERTS, R. A. et al. Uso indiscriminado de descongestionantes nasais contendo nafazolina. </w:t>
      </w:r>
      <w:r w:rsidRPr="00C94CB9">
        <w:rPr>
          <w:rFonts w:ascii="Arial" w:hAnsi="Arial" w:cs="Arial"/>
          <w:b/>
          <w:bCs/>
          <w:noProof/>
          <w:sz w:val="20"/>
        </w:rPr>
        <w:t>Revista Brasileira de Toxicologia</w:t>
      </w:r>
      <w:r w:rsidRPr="00C94CB9">
        <w:rPr>
          <w:rFonts w:ascii="Arial" w:hAnsi="Arial" w:cs="Arial"/>
          <w:noProof/>
          <w:sz w:val="20"/>
        </w:rPr>
        <w:t xml:space="preserve">, v. 19, n. 2, p. 103–108, 2006. </w:t>
      </w:r>
    </w:p>
    <w:p w14:paraId="36DB1EC0"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INDÚSTRIA, B. ( cloridrato de nafazolina ). p. 0–6, [s.d.]. </w:t>
      </w:r>
    </w:p>
    <w:p w14:paraId="0F37872A"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NASAIS, D. et al. Comunitária e Investigação. 2014. </w:t>
      </w:r>
    </w:p>
    <w:p w14:paraId="604920CF"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SOUZA, G. S. Faculdade De Educação E Meio Ambiente Aspectos Terapêuticos No Melasma. p. 1–12, 2019. </w:t>
      </w:r>
    </w:p>
    <w:p w14:paraId="707C9B22"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TORQUATO, A. L.; SHIMA, V. T. B.; ARAÚJO, D. C. DE M. Riscos Associados À Prática De Automedicação Com Descongestionante Nasal / Risks Associated With Self-Medication Practice With Nasal Decongestant. </w:t>
      </w:r>
      <w:r w:rsidRPr="00C94CB9">
        <w:rPr>
          <w:rFonts w:ascii="Arial" w:hAnsi="Arial" w:cs="Arial"/>
          <w:b/>
          <w:bCs/>
          <w:noProof/>
          <w:sz w:val="20"/>
        </w:rPr>
        <w:t>Brazilian Journal of Development</w:t>
      </w:r>
      <w:r w:rsidRPr="00C94CB9">
        <w:rPr>
          <w:rFonts w:ascii="Arial" w:hAnsi="Arial" w:cs="Arial"/>
          <w:noProof/>
          <w:sz w:val="20"/>
        </w:rPr>
        <w:t xml:space="preserve">, v. 6, n. 11, p. 86899–86917, 2020. </w:t>
      </w:r>
    </w:p>
    <w:p w14:paraId="775863CE"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XUEFENG CHEN, ET AL, 2011. </w:t>
      </w:r>
      <w:r w:rsidRPr="00C94CB9">
        <w:rPr>
          <w:rFonts w:ascii="MS Mincho" w:eastAsia="MS Mincho" w:hAnsi="MS Mincho" w:cs="MS Mincho" w:hint="eastAsia"/>
          <w:noProof/>
          <w:sz w:val="20"/>
        </w:rPr>
        <w:t>乳鼠心肌提取</w:t>
      </w:r>
      <w:r w:rsidRPr="00C94CB9">
        <w:rPr>
          <w:rFonts w:ascii="Arial" w:hAnsi="Arial" w:cs="Arial"/>
          <w:noProof/>
          <w:sz w:val="20"/>
        </w:rPr>
        <w:t xml:space="preserve"> HHS Public Access. </w:t>
      </w:r>
      <w:r w:rsidRPr="00C94CB9">
        <w:rPr>
          <w:rFonts w:ascii="Arial" w:hAnsi="Arial" w:cs="Arial"/>
          <w:b/>
          <w:bCs/>
          <w:noProof/>
          <w:sz w:val="20"/>
        </w:rPr>
        <w:t>Physiology &amp; behavior</w:t>
      </w:r>
      <w:r w:rsidRPr="00C94CB9">
        <w:rPr>
          <w:rFonts w:ascii="Arial" w:hAnsi="Arial" w:cs="Arial"/>
          <w:noProof/>
          <w:sz w:val="20"/>
        </w:rPr>
        <w:t xml:space="preserve">, v. 176, n. 10, p. 139–148, 2011. </w:t>
      </w:r>
    </w:p>
    <w:p w14:paraId="14F9CACD" w14:textId="77777777" w:rsidR="00C94CB9" w:rsidRPr="00C94CB9" w:rsidRDefault="00C94CB9" w:rsidP="00C94CB9">
      <w:pPr>
        <w:widowControl w:val="0"/>
        <w:autoSpaceDE w:val="0"/>
        <w:autoSpaceDN w:val="0"/>
        <w:adjustRightInd w:val="0"/>
        <w:spacing w:after="120"/>
        <w:rPr>
          <w:rFonts w:ascii="Arial" w:hAnsi="Arial" w:cs="Arial"/>
          <w:noProof/>
          <w:sz w:val="20"/>
        </w:rPr>
      </w:pPr>
      <w:r w:rsidRPr="00C94CB9">
        <w:rPr>
          <w:rFonts w:ascii="Arial" w:hAnsi="Arial" w:cs="Arial"/>
          <w:noProof/>
          <w:sz w:val="20"/>
        </w:rPr>
        <w:t xml:space="preserve">ZAFFANI, E. et al. Perfil Epidemiológico dos pacientes usuários de descongestionantes nasais tópicos do ambulatório de otorrinolaringologia de um hospital universitário TT  - Epidemiological characteristics of topical nasal decongestants users in the otorhinolaringology out. </w:t>
      </w:r>
      <w:r w:rsidRPr="00C94CB9">
        <w:rPr>
          <w:rFonts w:ascii="Arial" w:hAnsi="Arial" w:cs="Arial"/>
          <w:b/>
          <w:bCs/>
          <w:noProof/>
          <w:sz w:val="20"/>
        </w:rPr>
        <w:t>Arq. ciênc. saúde</w:t>
      </w:r>
      <w:r w:rsidRPr="00C94CB9">
        <w:rPr>
          <w:rFonts w:ascii="Arial" w:hAnsi="Arial" w:cs="Arial"/>
          <w:noProof/>
          <w:sz w:val="20"/>
        </w:rPr>
        <w:t xml:space="preserve">, v. 14, n. 2, p. 99–102, 2007. </w:t>
      </w:r>
    </w:p>
    <w:p w14:paraId="6EACC982" w14:textId="51B71281" w:rsidR="00CA6314" w:rsidRPr="00254829" w:rsidRDefault="0075016F" w:rsidP="00254829">
      <w:pPr>
        <w:spacing w:after="120" w:line="276" w:lineRule="auto"/>
        <w:jc w:val="both"/>
        <w:rPr>
          <w:rFonts w:ascii="Arial" w:hAnsi="Arial" w:cs="Arial"/>
          <w:sz w:val="20"/>
          <w:szCs w:val="20"/>
          <w:lang w:val="pt-BR"/>
        </w:rPr>
      </w:pPr>
      <w:r>
        <w:rPr>
          <w:rFonts w:ascii="Arial" w:hAnsi="Arial" w:cs="Arial"/>
          <w:b/>
          <w:bCs/>
          <w:sz w:val="20"/>
          <w:szCs w:val="20"/>
          <w:lang w:val="pt-BR"/>
        </w:rPr>
        <w:fldChar w:fldCharType="end"/>
      </w:r>
    </w:p>
    <w:p w14:paraId="3BEBEB47" w14:textId="4E10DA47" w:rsidR="005B114E" w:rsidRPr="00A756D1" w:rsidRDefault="005B114E" w:rsidP="00477FAD">
      <w:pPr>
        <w:pBdr>
          <w:bottom w:val="single" w:sz="6" w:space="1" w:color="auto"/>
        </w:pBdr>
        <w:spacing w:line="276" w:lineRule="auto"/>
        <w:jc w:val="both"/>
        <w:rPr>
          <w:rFonts w:ascii="Arial" w:hAnsi="Arial" w:cs="Arial"/>
          <w:lang w:val="pt-BR"/>
        </w:rPr>
      </w:pPr>
    </w:p>
    <w:p w14:paraId="0C1607CB" w14:textId="77777777" w:rsidR="00254829" w:rsidRPr="00A756D1" w:rsidRDefault="00254829" w:rsidP="00477FAD">
      <w:pPr>
        <w:spacing w:line="276" w:lineRule="auto"/>
        <w:jc w:val="both"/>
        <w:rPr>
          <w:rFonts w:ascii="Arial" w:hAnsi="Arial" w:cs="Arial"/>
          <w:lang w:val="pt-BR"/>
        </w:rPr>
      </w:pPr>
    </w:p>
    <w:p w14:paraId="19683E0C" w14:textId="77777777" w:rsidR="00254829" w:rsidRPr="00254829" w:rsidRDefault="00254829" w:rsidP="00254829">
      <w:pPr>
        <w:jc w:val="both"/>
        <w:rPr>
          <w:rFonts w:ascii="Arial" w:hAnsi="Arial" w:cs="Arial"/>
          <w:b/>
          <w:bCs/>
          <w:sz w:val="20"/>
          <w:szCs w:val="20"/>
          <w:lang w:val="pt-BR"/>
        </w:rPr>
      </w:pPr>
      <w:r w:rsidRPr="00254829">
        <w:rPr>
          <w:rFonts w:ascii="Arial" w:hAnsi="Arial" w:cs="Arial"/>
          <w:b/>
          <w:bCs/>
          <w:sz w:val="20"/>
          <w:szCs w:val="20"/>
          <w:lang w:val="pt-BR"/>
        </w:rPr>
        <w:t>Este artigo será submetido na Revista Eletrônica Acervo Saúde</w:t>
      </w:r>
    </w:p>
    <w:p w14:paraId="4F21005D" w14:textId="4435A401" w:rsidR="00254829" w:rsidRPr="00254829" w:rsidRDefault="00254829" w:rsidP="00254829">
      <w:pPr>
        <w:jc w:val="both"/>
        <w:rPr>
          <w:rFonts w:ascii="Arial" w:hAnsi="Arial" w:cs="Arial"/>
          <w:b/>
          <w:bCs/>
          <w:sz w:val="20"/>
          <w:szCs w:val="20"/>
          <w:lang w:val="pt-BR"/>
        </w:rPr>
      </w:pPr>
      <w:r w:rsidRPr="00254829">
        <w:rPr>
          <w:rFonts w:ascii="Arial" w:hAnsi="Arial" w:cs="Arial"/>
          <w:b/>
          <w:bCs/>
          <w:sz w:val="20"/>
          <w:szCs w:val="20"/>
          <w:lang w:val="pt-BR"/>
        </w:rPr>
        <w:t>As normas de publicação são:</w:t>
      </w:r>
    </w:p>
    <w:p w14:paraId="58E1891D" w14:textId="77777777" w:rsidR="00254829" w:rsidRPr="00254829" w:rsidRDefault="00254829" w:rsidP="00254829">
      <w:pPr>
        <w:jc w:val="both"/>
        <w:rPr>
          <w:rFonts w:ascii="Arial" w:hAnsi="Arial" w:cs="Arial"/>
          <w:sz w:val="20"/>
          <w:szCs w:val="20"/>
          <w:lang w:val="pt-BR"/>
        </w:rPr>
      </w:pPr>
    </w:p>
    <w:p w14:paraId="4017DDDB"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TÍTULO</w:t>
      </w:r>
    </w:p>
    <w:p w14:paraId="6EA6EDE0"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xml:space="preserve">O título deve ser conciso e informativo, limitados 150 caracteres sem espaços, em </w:t>
      </w:r>
      <w:proofErr w:type="gramStart"/>
      <w:r w:rsidRPr="00254829">
        <w:rPr>
          <w:rFonts w:ascii="Arial" w:hAnsi="Arial" w:cs="Arial"/>
          <w:sz w:val="20"/>
          <w:szCs w:val="20"/>
          <w:lang w:val="pt-BR"/>
        </w:rPr>
        <w:t>Português</w:t>
      </w:r>
      <w:proofErr w:type="gramEnd"/>
      <w:r w:rsidRPr="00254829">
        <w:rPr>
          <w:rFonts w:ascii="Arial" w:hAnsi="Arial" w:cs="Arial"/>
          <w:sz w:val="20"/>
          <w:szCs w:val="20"/>
          <w:lang w:val="pt-BR"/>
        </w:rPr>
        <w:t>, Inglês e Espanhol com precisão e fidedignidade textual entre os três idiomas.</w:t>
      </w:r>
    </w:p>
    <w:p w14:paraId="1500A9FB" w14:textId="77777777" w:rsidR="00254829" w:rsidRPr="00254829" w:rsidRDefault="00254829" w:rsidP="00254829">
      <w:pPr>
        <w:jc w:val="both"/>
        <w:rPr>
          <w:rFonts w:ascii="Arial" w:hAnsi="Arial" w:cs="Arial"/>
          <w:sz w:val="20"/>
          <w:szCs w:val="20"/>
          <w:lang w:val="pt-BR"/>
        </w:rPr>
      </w:pPr>
    </w:p>
    <w:p w14:paraId="5585C28C"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lastRenderedPageBreak/>
        <w:t>NOME E VÍNCULO DOS AUTORES</w:t>
      </w:r>
    </w:p>
    <w:p w14:paraId="07854FD3"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NOTA: Os artigos publicados pela revista DEVEM ter ORIENTADOR ou PESQUISADOR RESPONSÁVEL com formação superior na área do estudo ou áreas correlatas e devidamente registrado em conselho de classe, a qual DEVERÁ ser incluído como COAUTOR do artigo.</w:t>
      </w:r>
    </w:p>
    <w:p w14:paraId="205418C3" w14:textId="77777777" w:rsidR="00254829" w:rsidRPr="00254829" w:rsidRDefault="00254829" w:rsidP="00254829">
      <w:pPr>
        <w:jc w:val="both"/>
        <w:rPr>
          <w:rFonts w:ascii="Arial" w:hAnsi="Arial" w:cs="Arial"/>
          <w:sz w:val="20"/>
          <w:szCs w:val="20"/>
          <w:lang w:val="pt-BR"/>
        </w:rPr>
      </w:pPr>
    </w:p>
    <w:p w14:paraId="5546B2C7"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Incluir o nome e o último vínculo institucional dos autores do artigo escrito por extenso. O autor/coautor que cadastrar o artigo automaticamente será incluído como pessoa correspondente. O reconhecimento da autoria/coautoria deve estar baseado em contribuição substancial relacionada aos seguintes aspectos:</w:t>
      </w:r>
    </w:p>
    <w:p w14:paraId="14455024" w14:textId="77777777" w:rsidR="00254829" w:rsidRPr="00254829" w:rsidRDefault="00254829" w:rsidP="00254829">
      <w:pPr>
        <w:jc w:val="both"/>
        <w:rPr>
          <w:rFonts w:ascii="Arial" w:hAnsi="Arial" w:cs="Arial"/>
          <w:sz w:val="20"/>
          <w:szCs w:val="20"/>
          <w:lang w:val="pt-BR"/>
        </w:rPr>
      </w:pPr>
    </w:p>
    <w:p w14:paraId="4220325F"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Concepção e projeto ou análise e interpretação dos dados</w:t>
      </w:r>
    </w:p>
    <w:p w14:paraId="68393050"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Redação do artigo ou revisão crítica relevante do conteúdo intelectual</w:t>
      </w:r>
    </w:p>
    <w:p w14:paraId="74FF6A0A"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Aprovação final da versão a ser publicada.</w:t>
      </w:r>
    </w:p>
    <w:p w14:paraId="059400F1"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Essas três condições devem ser integralmente atendidas por todos autor/coautor do trabalho.</w:t>
      </w:r>
    </w:p>
    <w:p w14:paraId="19F4C20B" w14:textId="77777777" w:rsidR="00254829" w:rsidRPr="00254829" w:rsidRDefault="00254829" w:rsidP="00254829">
      <w:pPr>
        <w:jc w:val="both"/>
        <w:rPr>
          <w:rFonts w:ascii="Arial" w:hAnsi="Arial" w:cs="Arial"/>
          <w:sz w:val="20"/>
          <w:szCs w:val="20"/>
          <w:lang w:val="pt-BR"/>
        </w:rPr>
      </w:pPr>
    </w:p>
    <w:p w14:paraId="5DC4E514"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NOTA: São permitidos no máximo 10 pessoas (atualização de normas feita em 01/11/2019).</w:t>
      </w:r>
    </w:p>
    <w:p w14:paraId="65951C3C" w14:textId="77777777" w:rsidR="00254829" w:rsidRPr="00254829" w:rsidRDefault="00254829" w:rsidP="00254829">
      <w:pPr>
        <w:jc w:val="both"/>
        <w:rPr>
          <w:rFonts w:ascii="Arial" w:hAnsi="Arial" w:cs="Arial"/>
          <w:sz w:val="20"/>
          <w:szCs w:val="20"/>
          <w:lang w:val="pt-BR"/>
        </w:rPr>
      </w:pPr>
    </w:p>
    <w:p w14:paraId="24692030"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RESUMO</w:t>
      </w:r>
    </w:p>
    <w:p w14:paraId="7004849C"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xml:space="preserve">Entre 150 </w:t>
      </w:r>
      <w:proofErr w:type="gramStart"/>
      <w:r w:rsidRPr="00254829">
        <w:rPr>
          <w:rFonts w:ascii="Arial" w:hAnsi="Arial" w:cs="Arial"/>
          <w:sz w:val="20"/>
          <w:szCs w:val="20"/>
          <w:lang w:val="pt-BR"/>
        </w:rPr>
        <w:t>a</w:t>
      </w:r>
      <w:proofErr w:type="gramEnd"/>
      <w:r w:rsidRPr="00254829">
        <w:rPr>
          <w:rFonts w:ascii="Arial" w:hAnsi="Arial" w:cs="Arial"/>
          <w:sz w:val="20"/>
          <w:szCs w:val="20"/>
          <w:lang w:val="pt-BR"/>
        </w:rPr>
        <w:t xml:space="preserve"> 200 palavras, em Português (Resumo), Inglês (Abstract) e Espanhol (</w:t>
      </w:r>
      <w:proofErr w:type="spellStart"/>
      <w:r w:rsidRPr="00254829">
        <w:rPr>
          <w:rFonts w:ascii="Arial" w:hAnsi="Arial" w:cs="Arial"/>
          <w:sz w:val="20"/>
          <w:szCs w:val="20"/>
          <w:lang w:val="pt-BR"/>
        </w:rPr>
        <w:t>Resumen</w:t>
      </w:r>
      <w:proofErr w:type="spellEnd"/>
      <w:r w:rsidRPr="00254829">
        <w:rPr>
          <w:rFonts w:ascii="Arial" w:hAnsi="Arial" w:cs="Arial"/>
          <w:sz w:val="20"/>
          <w:szCs w:val="20"/>
          <w:lang w:val="pt-BR"/>
        </w:rPr>
        <w:t>) com precisão e fidedignidade textual entre os três idiomas. Devem estar estruturados em tópicos e ser destacados em NEGRITO.</w:t>
      </w:r>
    </w:p>
    <w:p w14:paraId="78605732" w14:textId="77777777" w:rsidR="00254829" w:rsidRPr="00254829" w:rsidRDefault="00254829" w:rsidP="00254829">
      <w:pPr>
        <w:jc w:val="both"/>
        <w:rPr>
          <w:rFonts w:ascii="Arial" w:hAnsi="Arial" w:cs="Arial"/>
          <w:sz w:val="20"/>
          <w:szCs w:val="20"/>
          <w:lang w:val="pt-BR"/>
        </w:rPr>
      </w:pPr>
    </w:p>
    <w:p w14:paraId="22FE0331"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Para Artigo Original: Objetivo, Métodos, Resultados e Conclusão.</w:t>
      </w:r>
    </w:p>
    <w:p w14:paraId="05CD232E" w14:textId="77777777" w:rsidR="00254829" w:rsidRPr="00254829" w:rsidRDefault="00254829" w:rsidP="00254829">
      <w:pPr>
        <w:jc w:val="both"/>
        <w:rPr>
          <w:rFonts w:ascii="Arial" w:hAnsi="Arial" w:cs="Arial"/>
          <w:sz w:val="20"/>
          <w:szCs w:val="20"/>
          <w:lang w:val="pt-BR"/>
        </w:rPr>
      </w:pPr>
    </w:p>
    <w:p w14:paraId="29CB4DEA"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Para Revisão integrativa ou sistemática: Objetivo, Métodos, Resultados (breve revisão do tema) e Considerações finais.</w:t>
      </w:r>
    </w:p>
    <w:p w14:paraId="7778D84E" w14:textId="77777777" w:rsidR="00254829" w:rsidRPr="00254829" w:rsidRDefault="00254829" w:rsidP="00254829">
      <w:pPr>
        <w:jc w:val="both"/>
        <w:rPr>
          <w:rFonts w:ascii="Arial" w:hAnsi="Arial" w:cs="Arial"/>
          <w:sz w:val="20"/>
          <w:szCs w:val="20"/>
          <w:lang w:val="pt-BR"/>
        </w:rPr>
      </w:pPr>
    </w:p>
    <w:p w14:paraId="720F216B"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xml:space="preserve">Para Revisão narrativa: Objetivo, Revisão bibliográfica (breve revisão do tema) e Considerações finais. </w:t>
      </w:r>
    </w:p>
    <w:p w14:paraId="4981F417" w14:textId="77777777" w:rsidR="00254829" w:rsidRPr="00254829" w:rsidRDefault="00254829" w:rsidP="00254829">
      <w:pPr>
        <w:jc w:val="both"/>
        <w:rPr>
          <w:rFonts w:ascii="Arial" w:hAnsi="Arial" w:cs="Arial"/>
          <w:sz w:val="20"/>
          <w:szCs w:val="20"/>
          <w:lang w:val="pt-BR"/>
        </w:rPr>
      </w:pPr>
    </w:p>
    <w:p w14:paraId="197DF7B1"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Para Estudo de Caso ou Relato de Experiência: Objetivo, Detalhamento do caso/Relato da Experiência, Considerações finais (apenas para finalizar a ideia do estudo).</w:t>
      </w:r>
    </w:p>
    <w:p w14:paraId="1093F2E8" w14:textId="77777777" w:rsidR="00254829" w:rsidRPr="00254829" w:rsidRDefault="00254829" w:rsidP="00254829">
      <w:pPr>
        <w:jc w:val="both"/>
        <w:rPr>
          <w:rFonts w:ascii="Arial" w:hAnsi="Arial" w:cs="Arial"/>
          <w:sz w:val="20"/>
          <w:szCs w:val="20"/>
          <w:lang w:val="pt-BR"/>
        </w:rPr>
      </w:pPr>
    </w:p>
    <w:p w14:paraId="16DA6B33"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PALAVRAS-CHAVE</w:t>
      </w:r>
    </w:p>
    <w:p w14:paraId="544F50DA"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No mínimo 3 e máximo 5 (</w:t>
      </w:r>
      <w:proofErr w:type="gramStart"/>
      <w:r w:rsidRPr="00254829">
        <w:rPr>
          <w:rFonts w:ascii="Arial" w:hAnsi="Arial" w:cs="Arial"/>
          <w:sz w:val="20"/>
          <w:szCs w:val="20"/>
          <w:lang w:val="pt-BR"/>
        </w:rPr>
        <w:t>Português</w:t>
      </w:r>
      <w:proofErr w:type="gramEnd"/>
      <w:r w:rsidRPr="00254829">
        <w:rPr>
          <w:rFonts w:ascii="Arial" w:hAnsi="Arial" w:cs="Arial"/>
          <w:sz w:val="20"/>
          <w:szCs w:val="20"/>
          <w:lang w:val="pt-BR"/>
        </w:rPr>
        <w:t>, Inglês e Espanhol, ao final do respectivo resumo).</w:t>
      </w:r>
    </w:p>
    <w:p w14:paraId="01DDA66C" w14:textId="77777777" w:rsidR="00254829" w:rsidRPr="00254829" w:rsidRDefault="00254829" w:rsidP="00254829">
      <w:pPr>
        <w:jc w:val="both"/>
        <w:rPr>
          <w:rFonts w:ascii="Arial" w:hAnsi="Arial" w:cs="Arial"/>
          <w:sz w:val="20"/>
          <w:szCs w:val="20"/>
          <w:lang w:val="pt-BR"/>
        </w:rPr>
      </w:pPr>
    </w:p>
    <w:p w14:paraId="2F462DF0"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INTRODUÇÃO</w:t>
      </w:r>
    </w:p>
    <w:p w14:paraId="325D2C94"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Deve ser sucinta, definindo o problema estudado, sintetizando sua importância e destacando as lacunas do conhecimento que serão abordadas no artigo. Deve ser compreensível para o leitor em geral.</w:t>
      </w:r>
    </w:p>
    <w:p w14:paraId="3B83F2D2" w14:textId="77777777" w:rsidR="00254829" w:rsidRPr="00254829" w:rsidRDefault="00254829" w:rsidP="00254829">
      <w:pPr>
        <w:jc w:val="both"/>
        <w:rPr>
          <w:rFonts w:ascii="Arial" w:hAnsi="Arial" w:cs="Arial"/>
          <w:sz w:val="20"/>
          <w:szCs w:val="20"/>
          <w:lang w:val="pt-BR"/>
        </w:rPr>
      </w:pPr>
    </w:p>
    <w:p w14:paraId="50073FF3"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As siglas e abreviaturas, quando utilizadas pela primeira vez, deverão ser precedidas do seu significado por extenso. Ex.: Universidade Federal de Pernambuco (UFPE).</w:t>
      </w:r>
    </w:p>
    <w:p w14:paraId="412D2911" w14:textId="77777777" w:rsidR="00254829" w:rsidRPr="00254829" w:rsidRDefault="00254829" w:rsidP="00254829">
      <w:pPr>
        <w:jc w:val="both"/>
        <w:rPr>
          <w:rFonts w:ascii="Arial" w:hAnsi="Arial" w:cs="Arial"/>
          <w:sz w:val="20"/>
          <w:szCs w:val="20"/>
          <w:lang w:val="pt-BR"/>
        </w:rPr>
      </w:pPr>
    </w:p>
    <w:p w14:paraId="7C8D3834"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No último parágrafo da introdução deve conter o objetivo do estudo.</w:t>
      </w:r>
    </w:p>
    <w:p w14:paraId="50B22A96" w14:textId="77777777" w:rsidR="00254829" w:rsidRPr="00254829" w:rsidRDefault="00254829" w:rsidP="00254829">
      <w:pPr>
        <w:jc w:val="both"/>
        <w:rPr>
          <w:rFonts w:ascii="Arial" w:hAnsi="Arial" w:cs="Arial"/>
          <w:sz w:val="20"/>
          <w:szCs w:val="20"/>
          <w:lang w:val="pt-BR"/>
        </w:rPr>
      </w:pPr>
    </w:p>
    <w:p w14:paraId="5E189488"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As citações de autores &gt;&gt;NO TEXTO&lt;&lt; deverão seguir os seguintes exemplos:</w:t>
      </w:r>
    </w:p>
    <w:p w14:paraId="70070FA7" w14:textId="77777777" w:rsidR="00254829" w:rsidRPr="00254829" w:rsidRDefault="00254829" w:rsidP="00254829">
      <w:pPr>
        <w:jc w:val="both"/>
        <w:rPr>
          <w:rFonts w:ascii="Arial" w:hAnsi="Arial" w:cs="Arial"/>
          <w:sz w:val="20"/>
          <w:szCs w:val="20"/>
          <w:lang w:val="pt-BR"/>
        </w:rPr>
      </w:pPr>
    </w:p>
    <w:p w14:paraId="59F0693C"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Início de frase</w:t>
      </w:r>
    </w:p>
    <w:p w14:paraId="77020E77"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1 autor - Baptista JR (2002);</w:t>
      </w:r>
    </w:p>
    <w:p w14:paraId="24F1EC1C"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2 autores - Souza RE e Barcelos BR (2012);</w:t>
      </w:r>
    </w:p>
    <w:p w14:paraId="6FFBB1D4"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3 ou mais autores - Porto RB, et al. (1989);</w:t>
      </w:r>
    </w:p>
    <w:p w14:paraId="25E2130B"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o Final de frase</w:t>
      </w:r>
    </w:p>
    <w:p w14:paraId="6D015EBE"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1, 2, 3 ou mais autores, subsequente (BAPTISTA JR, 2002; SOUZA RE e BARCELOS BR, 2012; PORTO RB, et al., 1989).</w:t>
      </w:r>
    </w:p>
    <w:p w14:paraId="689C7F61"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DICA: Busque por referências para a fundamentação do seu estudo na Acervo+ Index base [acervomais.com]. Nós temos mais de 3 mil artigos validados e confiáveis de acesso livre e gratuito.</w:t>
      </w:r>
    </w:p>
    <w:p w14:paraId="56CF9CDB" w14:textId="77777777" w:rsidR="00254829" w:rsidRPr="00254829" w:rsidRDefault="00254829" w:rsidP="00254829">
      <w:pPr>
        <w:jc w:val="both"/>
        <w:rPr>
          <w:rFonts w:ascii="Arial" w:hAnsi="Arial" w:cs="Arial"/>
          <w:sz w:val="20"/>
          <w:szCs w:val="20"/>
          <w:lang w:val="pt-BR"/>
        </w:rPr>
      </w:pPr>
    </w:p>
    <w:p w14:paraId="75C1579F"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xml:space="preserve">NOTA: Os casos de citações diretas (cópia) são permitidos em artigos científicos apenas em ocasiões </w:t>
      </w:r>
      <w:proofErr w:type="gramStart"/>
      <w:r w:rsidRPr="00254829">
        <w:rPr>
          <w:rFonts w:ascii="Arial" w:hAnsi="Arial" w:cs="Arial"/>
          <w:sz w:val="20"/>
          <w:szCs w:val="20"/>
          <w:lang w:val="pt-BR"/>
        </w:rPr>
        <w:t>onde</w:t>
      </w:r>
      <w:proofErr w:type="gramEnd"/>
      <w:r w:rsidRPr="00254829">
        <w:rPr>
          <w:rFonts w:ascii="Arial" w:hAnsi="Arial" w:cs="Arial"/>
          <w:sz w:val="20"/>
          <w:szCs w:val="20"/>
          <w:lang w:val="pt-BR"/>
        </w:rPr>
        <w:t xml:space="preserve"> não é possível a transcrição da ideia do texto, como artigos de leis, no entanto, devem ser realçadas no texto (recuo de 3 cm, entre aspas "", itálico).</w:t>
      </w:r>
    </w:p>
    <w:p w14:paraId="154B5557" w14:textId="77777777" w:rsidR="00254829" w:rsidRPr="00254829" w:rsidRDefault="00254829" w:rsidP="00254829">
      <w:pPr>
        <w:jc w:val="both"/>
        <w:rPr>
          <w:rFonts w:ascii="Arial" w:hAnsi="Arial" w:cs="Arial"/>
          <w:sz w:val="20"/>
          <w:szCs w:val="20"/>
          <w:lang w:val="pt-BR"/>
        </w:rPr>
      </w:pPr>
    </w:p>
    <w:p w14:paraId="0615B7B6"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Não aceitamos artigos com notas de rodapé, toda a abordagem teórica deve ser feita ao longo do texto.</w:t>
      </w:r>
    </w:p>
    <w:p w14:paraId="0A357113" w14:textId="77777777" w:rsidR="00254829" w:rsidRPr="00254829" w:rsidRDefault="00254829" w:rsidP="00254829">
      <w:pPr>
        <w:jc w:val="both"/>
        <w:rPr>
          <w:rFonts w:ascii="Arial" w:hAnsi="Arial" w:cs="Arial"/>
          <w:sz w:val="20"/>
          <w:szCs w:val="20"/>
          <w:lang w:val="pt-BR"/>
        </w:rPr>
      </w:pPr>
    </w:p>
    <w:p w14:paraId="3F3FA2F8"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MÉTODOS</w:t>
      </w:r>
    </w:p>
    <w:p w14:paraId="075BDF5C"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Devem descrever de forma clara e sem prolixidade as fontes de dados, a população estudada, a amostragem, os critérios de seleção, procedimentos analíticos e questões éticas relacionadas à aprovação do estudo por comitê de ética em pesquisa (pesquisa com seres humanos e animais) ou autorização institucional (levantamento de dados onde não há pesquisa direta com seres humanos ou animais).</w:t>
      </w:r>
    </w:p>
    <w:p w14:paraId="6A948909" w14:textId="77777777" w:rsidR="00254829" w:rsidRPr="00254829" w:rsidRDefault="00254829" w:rsidP="00254829">
      <w:pPr>
        <w:jc w:val="both"/>
        <w:rPr>
          <w:rFonts w:ascii="Arial" w:hAnsi="Arial" w:cs="Arial"/>
          <w:sz w:val="20"/>
          <w:szCs w:val="20"/>
          <w:lang w:val="pt-BR"/>
        </w:rPr>
      </w:pPr>
    </w:p>
    <w:p w14:paraId="5F5A1C72"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Para estudos onde há a obrigatoriedade legal de aprovação do Comitê de Ética em Pesquisa (CEP), os autores devem apresentar no último parágrafo da metodologia o número do Certificado de Apresentação de Apreciação Ética (CAAE).</w:t>
      </w:r>
    </w:p>
    <w:p w14:paraId="1F023D1F" w14:textId="77777777" w:rsidR="00254829" w:rsidRPr="00254829" w:rsidRDefault="00254829" w:rsidP="00254829">
      <w:pPr>
        <w:jc w:val="both"/>
        <w:rPr>
          <w:rFonts w:ascii="Arial" w:hAnsi="Arial" w:cs="Arial"/>
          <w:sz w:val="20"/>
          <w:szCs w:val="20"/>
          <w:lang w:val="pt-BR"/>
        </w:rPr>
      </w:pPr>
    </w:p>
    <w:p w14:paraId="33EFA3D5"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Para estudos ORIGINAIS em que haja excludente LEGAL de avaliação do CEP os autores devem justificar no texto e apresentar o dispositivo jurídico para tal.</w:t>
      </w:r>
    </w:p>
    <w:p w14:paraId="0B6CE67E" w14:textId="77777777" w:rsidR="00254829" w:rsidRPr="00254829" w:rsidRDefault="00254829" w:rsidP="00254829">
      <w:pPr>
        <w:jc w:val="both"/>
        <w:rPr>
          <w:rFonts w:ascii="Arial" w:hAnsi="Arial" w:cs="Arial"/>
          <w:sz w:val="20"/>
          <w:szCs w:val="20"/>
          <w:lang w:val="pt-BR"/>
        </w:rPr>
      </w:pPr>
    </w:p>
    <w:p w14:paraId="6BD32785"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RESULTADOS</w:t>
      </w:r>
    </w:p>
    <w:p w14:paraId="1E9FF88D"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lastRenderedPageBreak/>
        <w:t>Devem se limitar a descrever os resultados encontrados, sem incluir interpretações e/ou comparações. O texto deve complementar e não repetir o que está descrito nas figuras.</w:t>
      </w:r>
    </w:p>
    <w:p w14:paraId="7A0F0DF7" w14:textId="77777777" w:rsidR="00254829" w:rsidRPr="00254829" w:rsidRDefault="00254829" w:rsidP="00254829">
      <w:pPr>
        <w:jc w:val="both"/>
        <w:rPr>
          <w:rFonts w:ascii="Arial" w:hAnsi="Arial" w:cs="Arial"/>
          <w:sz w:val="20"/>
          <w:szCs w:val="20"/>
          <w:lang w:val="pt-BR"/>
        </w:rPr>
      </w:pPr>
    </w:p>
    <w:p w14:paraId="2E97A748"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Imagem construída a partir de um software pago é preciso o envio da autorização [licenciamento] de publicação emitida pela empresa responsável pelo software.</w:t>
      </w:r>
    </w:p>
    <w:p w14:paraId="0AF93406" w14:textId="77777777" w:rsidR="00254829" w:rsidRPr="00254829" w:rsidRDefault="00254829" w:rsidP="00254829">
      <w:pPr>
        <w:jc w:val="both"/>
        <w:rPr>
          <w:rFonts w:ascii="Arial" w:hAnsi="Arial" w:cs="Arial"/>
          <w:sz w:val="20"/>
          <w:szCs w:val="20"/>
          <w:lang w:val="pt-BR"/>
        </w:rPr>
      </w:pPr>
    </w:p>
    <w:p w14:paraId="154D8CDE"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Imagem criada por profissional é preciso o envio da autorização [licenciamento] de publicação assinado pelo artista. O nome do mesmo deve ser citado na legenda da imagem.</w:t>
      </w:r>
    </w:p>
    <w:p w14:paraId="5B21ED73" w14:textId="77777777" w:rsidR="00254829" w:rsidRPr="00254829" w:rsidRDefault="00254829" w:rsidP="00254829">
      <w:pPr>
        <w:jc w:val="both"/>
        <w:rPr>
          <w:rFonts w:ascii="Arial" w:hAnsi="Arial" w:cs="Arial"/>
          <w:sz w:val="20"/>
          <w:szCs w:val="20"/>
          <w:lang w:val="pt-BR"/>
        </w:rPr>
      </w:pPr>
    </w:p>
    <w:p w14:paraId="3F9F3596"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Imagem de estudo de caso que tenham exames e/ou peças anatômicas de pacientes deverão apresentar o termo de consentimento livre e esclarecido (TCLE) que constate o uso e publicação das imagens. Este deve ser assinado pelo paciente. Observação: o prontuário é protegido por lei e precisa da autorização do paciente.</w:t>
      </w:r>
    </w:p>
    <w:p w14:paraId="59D7890B" w14:textId="77777777" w:rsidR="00254829" w:rsidRPr="00254829" w:rsidRDefault="00254829" w:rsidP="00254829">
      <w:pPr>
        <w:jc w:val="both"/>
        <w:rPr>
          <w:rFonts w:ascii="Arial" w:hAnsi="Arial" w:cs="Arial"/>
          <w:sz w:val="20"/>
          <w:szCs w:val="20"/>
          <w:lang w:val="pt-BR"/>
        </w:rPr>
      </w:pPr>
    </w:p>
    <w:p w14:paraId="3CB144C3"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Imagens já publicadas NÃO serão aceitas partindo do critério de originalidade e ineditismos da revista. Poderão ser construídas imagens a partir outros artigos mediante citação das fontes na legenda. NÃO serão aceitas imagens com menos de 3 (três) fontes originais.</w:t>
      </w:r>
    </w:p>
    <w:p w14:paraId="77A7B78A" w14:textId="77777777" w:rsidR="00254829" w:rsidRPr="00254829" w:rsidRDefault="00254829" w:rsidP="00254829">
      <w:pPr>
        <w:jc w:val="both"/>
        <w:rPr>
          <w:rFonts w:ascii="Arial" w:hAnsi="Arial" w:cs="Arial"/>
          <w:sz w:val="20"/>
          <w:szCs w:val="20"/>
          <w:lang w:val="pt-BR"/>
        </w:rPr>
      </w:pPr>
    </w:p>
    <w:p w14:paraId="78392D01"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xml:space="preserve"> </w:t>
      </w:r>
    </w:p>
    <w:p w14:paraId="44807394" w14:textId="77777777" w:rsidR="00254829" w:rsidRPr="00254829" w:rsidRDefault="00254829" w:rsidP="00254829">
      <w:pPr>
        <w:jc w:val="both"/>
        <w:rPr>
          <w:rFonts w:ascii="Arial" w:hAnsi="Arial" w:cs="Arial"/>
          <w:sz w:val="20"/>
          <w:szCs w:val="20"/>
          <w:lang w:val="pt-BR"/>
        </w:rPr>
      </w:pPr>
    </w:p>
    <w:p w14:paraId="0EDEC41E"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Figuras: As figuras, gráficos e/ou tabelas (máximo 6) devem ser citados no texto ao final do parágrafo de apresentação dos dados, exemplo: (Figura 1), (Gráfico 1), (Tabela 1). Devem constar apenas dados imprescindíveis.</w:t>
      </w:r>
    </w:p>
    <w:p w14:paraId="13167417" w14:textId="77777777" w:rsidR="00254829" w:rsidRPr="00254829" w:rsidRDefault="00254829" w:rsidP="00254829">
      <w:pPr>
        <w:jc w:val="both"/>
        <w:rPr>
          <w:rFonts w:ascii="Arial" w:hAnsi="Arial" w:cs="Arial"/>
          <w:sz w:val="20"/>
          <w:szCs w:val="20"/>
          <w:lang w:val="pt-BR"/>
        </w:rPr>
      </w:pPr>
    </w:p>
    <w:p w14:paraId="5F704AE1"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NOTA: AS IMAGENS/FIGURAS/TABELAS/GRÁFICOS DEVEM POSSUIR TÍTULO NA PARTE SUPERIOR E FONTE NA PARTE INFERIOR. CASO NECESSÁRIO INCLUIR LEGENDA.</w:t>
      </w:r>
    </w:p>
    <w:p w14:paraId="71F5803D" w14:textId="77777777" w:rsidR="00254829" w:rsidRPr="00254829" w:rsidRDefault="00254829" w:rsidP="00254829">
      <w:pPr>
        <w:jc w:val="both"/>
        <w:rPr>
          <w:rFonts w:ascii="Arial" w:hAnsi="Arial" w:cs="Arial"/>
          <w:sz w:val="20"/>
          <w:szCs w:val="20"/>
          <w:lang w:val="pt-BR"/>
        </w:rPr>
      </w:pPr>
    </w:p>
    <w:p w14:paraId="72459094"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NOTA: Se os autores acharem conveniente podem apresentar a seção de Resultados e Discussão em uma mesma seção.</w:t>
      </w:r>
    </w:p>
    <w:p w14:paraId="71C877AC" w14:textId="77777777" w:rsidR="00254829" w:rsidRPr="00254829" w:rsidRDefault="00254829" w:rsidP="00254829">
      <w:pPr>
        <w:jc w:val="both"/>
        <w:rPr>
          <w:rFonts w:ascii="Arial" w:hAnsi="Arial" w:cs="Arial"/>
          <w:sz w:val="20"/>
          <w:szCs w:val="20"/>
          <w:lang w:val="pt-BR"/>
        </w:rPr>
      </w:pPr>
    </w:p>
    <w:p w14:paraId="32A3EFB4"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DISCUSSÃO</w:t>
      </w:r>
    </w:p>
    <w:p w14:paraId="562FADB9"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Deve incluir a interpretação dos autores sobre os resultados obtidos e sobre suas principais implicações, a comparação dos achados com a literatura, as limitações do estudo e eventuais indicações de caminhos para novas pesquisas.</w:t>
      </w:r>
    </w:p>
    <w:p w14:paraId="7E286A2B" w14:textId="77777777" w:rsidR="00254829" w:rsidRPr="00254829" w:rsidRDefault="00254829" w:rsidP="00254829">
      <w:pPr>
        <w:jc w:val="both"/>
        <w:rPr>
          <w:rFonts w:ascii="Arial" w:hAnsi="Arial" w:cs="Arial"/>
          <w:sz w:val="20"/>
          <w:szCs w:val="20"/>
          <w:lang w:val="pt-BR"/>
        </w:rPr>
      </w:pPr>
    </w:p>
    <w:p w14:paraId="6F7DFD43"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Deve haver a apresentação de artigos que corroborem e/ou que se oponham aos dados do estudo, criando uma discussão comparativa dos resultados,</w:t>
      </w:r>
    </w:p>
    <w:p w14:paraId="4F69E71A" w14:textId="77777777" w:rsidR="00254829" w:rsidRPr="00254829" w:rsidRDefault="00254829" w:rsidP="00254829">
      <w:pPr>
        <w:jc w:val="both"/>
        <w:rPr>
          <w:rFonts w:ascii="Arial" w:hAnsi="Arial" w:cs="Arial"/>
          <w:sz w:val="20"/>
          <w:szCs w:val="20"/>
          <w:lang w:val="pt-BR"/>
        </w:rPr>
      </w:pPr>
    </w:p>
    <w:p w14:paraId="2CD3C2B6"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As fontes DEVEM ser de artigos científicos atuais (últimos 5 anos) e extraídas de BASES CIENTÍFICAS confiáveis como a Acervo+ Index base.</w:t>
      </w:r>
    </w:p>
    <w:p w14:paraId="52E19A08" w14:textId="77777777" w:rsidR="00254829" w:rsidRPr="00254829" w:rsidRDefault="00254829" w:rsidP="00254829">
      <w:pPr>
        <w:jc w:val="both"/>
        <w:rPr>
          <w:rFonts w:ascii="Arial" w:hAnsi="Arial" w:cs="Arial"/>
          <w:sz w:val="20"/>
          <w:szCs w:val="20"/>
          <w:lang w:val="pt-BR"/>
        </w:rPr>
      </w:pPr>
    </w:p>
    <w:p w14:paraId="33DEFD8C"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lastRenderedPageBreak/>
        <w:t>NOTA: Se os autores acharem conveniente podem apresentar a seção de Resultados e Discussão em uma mesma seção.</w:t>
      </w:r>
    </w:p>
    <w:p w14:paraId="0CB1B922" w14:textId="77777777" w:rsidR="00254829" w:rsidRPr="00254829" w:rsidRDefault="00254829" w:rsidP="00254829">
      <w:pPr>
        <w:jc w:val="both"/>
        <w:rPr>
          <w:rFonts w:ascii="Arial" w:hAnsi="Arial" w:cs="Arial"/>
          <w:sz w:val="20"/>
          <w:szCs w:val="20"/>
          <w:lang w:val="pt-BR"/>
        </w:rPr>
      </w:pPr>
    </w:p>
    <w:p w14:paraId="1917F597"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CONCLUSÃO OU CONSIDERAÇÕES FINAIS</w:t>
      </w:r>
    </w:p>
    <w:p w14:paraId="47356A16"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Deve ser pertinente aos dados apresentados. Limitada a um parágrafo final.</w:t>
      </w:r>
    </w:p>
    <w:p w14:paraId="6733ABBA" w14:textId="77777777" w:rsidR="00254829" w:rsidRPr="00254829" w:rsidRDefault="00254829" w:rsidP="00254829">
      <w:pPr>
        <w:jc w:val="both"/>
        <w:rPr>
          <w:rFonts w:ascii="Arial" w:hAnsi="Arial" w:cs="Arial"/>
          <w:sz w:val="20"/>
          <w:szCs w:val="20"/>
          <w:lang w:val="pt-BR"/>
        </w:rPr>
      </w:pPr>
    </w:p>
    <w:p w14:paraId="444FE153"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AGRADECIMENTOS (OPCIONAL) E FINANCIAMENTO</w:t>
      </w:r>
    </w:p>
    <w:p w14:paraId="4784166D"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Menções em agradecimentos incluem instituições que de alguma forma possibilitaram a realização da pesquisa e/ou pessoas que colaboraram com o estudo, mas que não preencheram os critérios para serem coautores. Quanto ao financiamento, a informação deverá ser fornecida o nome da agência de fomento por extenso seguido do número de concessão.</w:t>
      </w:r>
    </w:p>
    <w:p w14:paraId="315D354E" w14:textId="77777777" w:rsidR="00254829" w:rsidRPr="00254829" w:rsidRDefault="00254829" w:rsidP="00254829">
      <w:pPr>
        <w:jc w:val="both"/>
        <w:rPr>
          <w:rFonts w:ascii="Arial" w:hAnsi="Arial" w:cs="Arial"/>
          <w:sz w:val="20"/>
          <w:szCs w:val="20"/>
          <w:lang w:val="pt-BR"/>
        </w:rPr>
      </w:pPr>
    </w:p>
    <w:p w14:paraId="5FD2C5C7"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REFERÊNCIAS</w:t>
      </w:r>
    </w:p>
    <w:p w14:paraId="33FA5855"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DICA: Busque por referências para a fundamentação do seu estudo na Acervo+ Index base [acervomais.com]. Nós temos mais de 3 mil artigos validados e confiáveis de acesso livre e gratuito.</w:t>
      </w:r>
    </w:p>
    <w:p w14:paraId="261B8414" w14:textId="77777777" w:rsidR="00254829" w:rsidRPr="00254829" w:rsidRDefault="00254829" w:rsidP="00254829">
      <w:pPr>
        <w:jc w:val="both"/>
        <w:rPr>
          <w:rFonts w:ascii="Arial" w:hAnsi="Arial" w:cs="Arial"/>
          <w:sz w:val="20"/>
          <w:szCs w:val="20"/>
          <w:lang w:val="pt-BR"/>
        </w:rPr>
      </w:pPr>
    </w:p>
    <w:p w14:paraId="08A6CCE2"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Mínimo 20/Máximo de 40 - Devem incluir apenas aquelas estritamente relevantes ao tema abordado, sendo preferencialmente dos últimos 5 anos. A comissão da revista irá avaliar a origem e confiabilidade das citações.</w:t>
      </w:r>
    </w:p>
    <w:p w14:paraId="020EB6DF" w14:textId="77777777" w:rsidR="00254829" w:rsidRPr="00254829" w:rsidRDefault="00254829" w:rsidP="00254829">
      <w:pPr>
        <w:jc w:val="both"/>
        <w:rPr>
          <w:rFonts w:ascii="Arial" w:hAnsi="Arial" w:cs="Arial"/>
          <w:sz w:val="20"/>
          <w:szCs w:val="20"/>
          <w:lang w:val="pt-BR"/>
        </w:rPr>
      </w:pPr>
    </w:p>
    <w:p w14:paraId="098A4868"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As referências deverão ser numeradas em ordem alfabética conforme os seguintes exemplos:</w:t>
      </w:r>
    </w:p>
    <w:p w14:paraId="19086486" w14:textId="77777777" w:rsidR="00254829" w:rsidRPr="00254829" w:rsidRDefault="00254829" w:rsidP="00254829">
      <w:pPr>
        <w:jc w:val="both"/>
        <w:rPr>
          <w:rFonts w:ascii="Arial" w:hAnsi="Arial" w:cs="Arial"/>
          <w:sz w:val="20"/>
          <w:szCs w:val="20"/>
          <w:lang w:val="pt-BR"/>
        </w:rPr>
      </w:pPr>
    </w:p>
    <w:p w14:paraId="72052FA0"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Artigos:</w:t>
      </w:r>
    </w:p>
    <w:p w14:paraId="4C00FE9A"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1 autor - JÚNIOR CC. Trabalho, educação e promoção da saúde. Revista Eletrônica Acervo Saúde, 2014; 6(2): 646-648.</w:t>
      </w:r>
    </w:p>
    <w:p w14:paraId="5D344AB6"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2 autores - QUADRA AA, AMÂNCIO AA. A formação de recursos humanos para a saúde. Ciência e Cultura, 1978; 30(12): 1422-1426.</w:t>
      </w:r>
    </w:p>
    <w:p w14:paraId="3A23101E"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xml:space="preserve">3 ou mais autores - BONGERS F, et al. </w:t>
      </w:r>
      <w:proofErr w:type="spellStart"/>
      <w:r w:rsidRPr="00254829">
        <w:rPr>
          <w:rFonts w:ascii="Arial" w:hAnsi="Arial" w:cs="Arial"/>
          <w:sz w:val="20"/>
          <w:szCs w:val="20"/>
          <w:lang w:val="pt-BR"/>
        </w:rPr>
        <w:t>Structure</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and</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floristic</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composition</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of</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the</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lowland</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rain</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forest</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of</w:t>
      </w:r>
      <w:proofErr w:type="spellEnd"/>
      <w:r w:rsidRPr="00254829">
        <w:rPr>
          <w:rFonts w:ascii="Arial" w:hAnsi="Arial" w:cs="Arial"/>
          <w:sz w:val="20"/>
          <w:szCs w:val="20"/>
          <w:lang w:val="pt-BR"/>
        </w:rPr>
        <w:t xml:space="preserve"> Los </w:t>
      </w:r>
      <w:proofErr w:type="spellStart"/>
      <w:r w:rsidRPr="00254829">
        <w:rPr>
          <w:rFonts w:ascii="Arial" w:hAnsi="Arial" w:cs="Arial"/>
          <w:sz w:val="20"/>
          <w:szCs w:val="20"/>
          <w:lang w:val="pt-BR"/>
        </w:rPr>
        <w:t>Tuxtlas</w:t>
      </w:r>
      <w:proofErr w:type="spellEnd"/>
      <w:r w:rsidRPr="00254829">
        <w:rPr>
          <w:rFonts w:ascii="Arial" w:hAnsi="Arial" w:cs="Arial"/>
          <w:sz w:val="20"/>
          <w:szCs w:val="20"/>
          <w:lang w:val="pt-BR"/>
        </w:rPr>
        <w:t xml:space="preserve">, Mexico. </w:t>
      </w:r>
      <w:proofErr w:type="spellStart"/>
      <w:r w:rsidRPr="00254829">
        <w:rPr>
          <w:rFonts w:ascii="Arial" w:hAnsi="Arial" w:cs="Arial"/>
          <w:sz w:val="20"/>
          <w:szCs w:val="20"/>
          <w:lang w:val="pt-BR"/>
        </w:rPr>
        <w:t>Vegetatio</w:t>
      </w:r>
      <w:proofErr w:type="spellEnd"/>
      <w:r w:rsidRPr="00254829">
        <w:rPr>
          <w:rFonts w:ascii="Arial" w:hAnsi="Arial" w:cs="Arial"/>
          <w:sz w:val="20"/>
          <w:szCs w:val="20"/>
          <w:lang w:val="pt-BR"/>
        </w:rPr>
        <w:t>, 1988; 74:55-80.</w:t>
      </w:r>
    </w:p>
    <w:p w14:paraId="6E2E2D3B"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NOTA: Não é preciso apresentar o endereço eletrônico “Disponível em” nem a data do acesso “Acesso em”.</w:t>
      </w:r>
    </w:p>
    <w:p w14:paraId="7C8A2492"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Livros: (NOTA: tente usar apenas artigos científicos, usar livros em casos extraordinários)</w:t>
      </w:r>
    </w:p>
    <w:p w14:paraId="5AA9E3DB"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xml:space="preserve">CLEMENT S, SHELFORD VE. </w:t>
      </w:r>
      <w:proofErr w:type="spellStart"/>
      <w:r w:rsidRPr="00254829">
        <w:rPr>
          <w:rFonts w:ascii="Arial" w:hAnsi="Arial" w:cs="Arial"/>
          <w:sz w:val="20"/>
          <w:szCs w:val="20"/>
          <w:lang w:val="pt-BR"/>
        </w:rPr>
        <w:t>Bio-ecology</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an</w:t>
      </w:r>
      <w:proofErr w:type="spellEnd"/>
      <w:r w:rsidRPr="00254829">
        <w:rPr>
          <w:rFonts w:ascii="Arial" w:hAnsi="Arial" w:cs="Arial"/>
          <w:sz w:val="20"/>
          <w:szCs w:val="20"/>
          <w:lang w:val="pt-BR"/>
        </w:rPr>
        <w:t xml:space="preserve"> </w:t>
      </w:r>
      <w:proofErr w:type="spellStart"/>
      <w:r w:rsidRPr="00254829">
        <w:rPr>
          <w:rFonts w:ascii="Arial" w:hAnsi="Arial" w:cs="Arial"/>
          <w:sz w:val="20"/>
          <w:szCs w:val="20"/>
          <w:lang w:val="pt-BR"/>
        </w:rPr>
        <w:t>introduction</w:t>
      </w:r>
      <w:proofErr w:type="spellEnd"/>
      <w:r w:rsidRPr="00254829">
        <w:rPr>
          <w:rFonts w:ascii="Arial" w:hAnsi="Arial" w:cs="Arial"/>
          <w:sz w:val="20"/>
          <w:szCs w:val="20"/>
          <w:lang w:val="pt-BR"/>
        </w:rPr>
        <w:t>. 2nd ed. New York: J. Willey, 1966; 425p.</w:t>
      </w:r>
    </w:p>
    <w:p w14:paraId="42973B46"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FORTES AB. Geografia física do Rio Grande do Sul. Porto Alegre: Globo, 1959; 393p.</w:t>
      </w:r>
    </w:p>
    <w:p w14:paraId="3EC9C9CA"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UNIVERSIDADE FEDERAL DO RIO GRANDE DO SUL. Faculdade de Educação. Laboratório de Ensino Superior. Planejamento e organização do ensino: um manual programado para treinamento de professor universitário. Porto Alegre: Globo; 2003; 400 p.</w:t>
      </w:r>
    </w:p>
    <w:p w14:paraId="5E4F30A9"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Teses e Dissertações</w:t>
      </w:r>
    </w:p>
    <w:p w14:paraId="1F0A9AEA"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xml:space="preserve">DILLENBURG LR. Estudo </w:t>
      </w:r>
      <w:proofErr w:type="spellStart"/>
      <w:r w:rsidRPr="00254829">
        <w:rPr>
          <w:rFonts w:ascii="Arial" w:hAnsi="Arial" w:cs="Arial"/>
          <w:sz w:val="20"/>
          <w:szCs w:val="20"/>
          <w:lang w:val="pt-BR"/>
        </w:rPr>
        <w:t>fitossociológico</w:t>
      </w:r>
      <w:proofErr w:type="spellEnd"/>
      <w:r w:rsidRPr="00254829">
        <w:rPr>
          <w:rFonts w:ascii="Arial" w:hAnsi="Arial" w:cs="Arial"/>
          <w:sz w:val="20"/>
          <w:szCs w:val="20"/>
          <w:lang w:val="pt-BR"/>
        </w:rPr>
        <w:t xml:space="preserve"> do estrato arbóreo da mata arenosa de restinga em Emboaba, RS. Dissertação (Mestrado em Botânica) – Instituto de Biociências. Universidade Federal do Rio Grande do Sul, Porto Alegre, 1986; 400 p.</w:t>
      </w:r>
    </w:p>
    <w:p w14:paraId="74E5BC7A"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lastRenderedPageBreak/>
        <w:t>Páginas da Internet: (NOTA: usar páginas da internet apenas em casos extraordinários)</w:t>
      </w:r>
    </w:p>
    <w:p w14:paraId="2C7C7A60" w14:textId="77777777" w:rsidR="00254829" w:rsidRPr="00254829" w:rsidRDefault="00254829" w:rsidP="00254829">
      <w:pPr>
        <w:jc w:val="both"/>
        <w:rPr>
          <w:rFonts w:ascii="Arial" w:hAnsi="Arial" w:cs="Arial"/>
          <w:sz w:val="20"/>
          <w:szCs w:val="20"/>
          <w:lang w:val="pt-BR"/>
        </w:rPr>
      </w:pPr>
      <w:r w:rsidRPr="00254829">
        <w:rPr>
          <w:rFonts w:ascii="Arial" w:hAnsi="Arial" w:cs="Arial"/>
          <w:sz w:val="20"/>
          <w:szCs w:val="20"/>
          <w:lang w:val="pt-BR"/>
        </w:rPr>
        <w:t xml:space="preserve">POLÍTICA. 1998. In: DICIONÁRIO da língua portuguesa. Lisboa: </w:t>
      </w:r>
      <w:proofErr w:type="spellStart"/>
      <w:r w:rsidRPr="00254829">
        <w:rPr>
          <w:rFonts w:ascii="Arial" w:hAnsi="Arial" w:cs="Arial"/>
          <w:sz w:val="20"/>
          <w:szCs w:val="20"/>
          <w:lang w:val="pt-BR"/>
        </w:rPr>
        <w:t>Priberam</w:t>
      </w:r>
      <w:proofErr w:type="spellEnd"/>
      <w:r w:rsidRPr="00254829">
        <w:rPr>
          <w:rFonts w:ascii="Arial" w:hAnsi="Arial" w:cs="Arial"/>
          <w:sz w:val="20"/>
          <w:szCs w:val="20"/>
          <w:lang w:val="pt-BR"/>
        </w:rPr>
        <w:t xml:space="preserve"> Informática. Disponível em: </w:t>
      </w:r>
      <w:proofErr w:type="spellStart"/>
      <w:r w:rsidRPr="00254829">
        <w:rPr>
          <w:rFonts w:ascii="Arial" w:hAnsi="Arial" w:cs="Arial"/>
          <w:sz w:val="20"/>
          <w:szCs w:val="20"/>
          <w:lang w:val="pt-BR"/>
        </w:rPr>
        <w:t>htpp</w:t>
      </w:r>
      <w:proofErr w:type="spellEnd"/>
      <w:r w:rsidRPr="00254829">
        <w:rPr>
          <w:rFonts w:ascii="Arial" w:hAnsi="Arial" w:cs="Arial"/>
          <w:sz w:val="20"/>
          <w:szCs w:val="20"/>
          <w:lang w:val="pt-BR"/>
        </w:rPr>
        <w:t>://www.dicionario.com.br/língua-portuguesa. Acesso em: 8 mar. 1999.</w:t>
      </w:r>
    </w:p>
    <w:p w14:paraId="7BCB11F8" w14:textId="7FD12CB8" w:rsidR="005B114E" w:rsidRPr="00A756D1" w:rsidRDefault="005B114E" w:rsidP="00477FAD">
      <w:pPr>
        <w:tabs>
          <w:tab w:val="left" w:pos="1485"/>
        </w:tabs>
        <w:spacing w:line="276" w:lineRule="auto"/>
        <w:jc w:val="both"/>
        <w:rPr>
          <w:rFonts w:ascii="Arial" w:hAnsi="Arial" w:cs="Arial"/>
          <w:lang w:val="pt-BR"/>
        </w:rPr>
      </w:pPr>
    </w:p>
    <w:p w14:paraId="3C7685C1" w14:textId="77777777" w:rsidR="005B114E" w:rsidRPr="00A756D1" w:rsidRDefault="005B114E" w:rsidP="00477FAD">
      <w:pPr>
        <w:spacing w:line="276" w:lineRule="auto"/>
        <w:jc w:val="both"/>
        <w:rPr>
          <w:rFonts w:ascii="Arial" w:hAnsi="Arial" w:cs="Arial"/>
          <w:lang w:val="pt-BR"/>
        </w:rPr>
      </w:pPr>
    </w:p>
    <w:sectPr w:rsidR="005B114E" w:rsidRPr="00A756D1" w:rsidSect="00AA3DEC">
      <w:headerReference w:type="default" r:id="rId14"/>
      <w:footerReference w:type="default" r:id="rId15"/>
      <w:pgSz w:w="11907" w:h="16839" w:code="9"/>
      <w:pgMar w:top="1134" w:right="1134" w:bottom="1134" w:left="1134" w:header="992"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D0CD" w14:textId="77777777" w:rsidR="000B0820" w:rsidRDefault="000B0820">
      <w:pPr>
        <w:spacing w:after="0"/>
      </w:pPr>
      <w:r>
        <w:separator/>
      </w:r>
    </w:p>
  </w:endnote>
  <w:endnote w:type="continuationSeparator" w:id="0">
    <w:p w14:paraId="4EC48825" w14:textId="77777777" w:rsidR="000B0820" w:rsidRDefault="000B08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2F8E" w14:textId="163F5D3D" w:rsidR="003228F0" w:rsidRPr="001567E5" w:rsidRDefault="003228F0" w:rsidP="008A07E4">
    <w:pPr>
      <w:pStyle w:val="Default"/>
      <w:ind w:left="-142" w:right="-143"/>
      <w:jc w:val="cen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E84F" w14:textId="77777777" w:rsidR="000B0820" w:rsidRDefault="000B0820">
      <w:r>
        <w:separator/>
      </w:r>
    </w:p>
  </w:footnote>
  <w:footnote w:type="continuationSeparator" w:id="0">
    <w:p w14:paraId="1FC67E00" w14:textId="77777777" w:rsidR="000B0820" w:rsidRDefault="000B0820">
      <w:r>
        <w:continuationSeparator/>
      </w:r>
    </w:p>
  </w:footnote>
  <w:footnote w:id="1">
    <w:p w14:paraId="00988E63" w14:textId="77777777" w:rsidR="003B535E" w:rsidRPr="00884589" w:rsidRDefault="003B535E" w:rsidP="003B535E">
      <w:pPr>
        <w:pStyle w:val="Textodenotaderodap"/>
        <w:spacing w:after="0"/>
        <w:rPr>
          <w:rFonts w:ascii="Arial" w:hAnsi="Arial" w:cs="Arial"/>
          <w:sz w:val="20"/>
          <w:szCs w:val="20"/>
          <w:highlight w:val="yellow"/>
          <w:lang w:val="pt-BR"/>
        </w:rPr>
      </w:pPr>
      <w:r w:rsidRPr="00884589">
        <w:rPr>
          <w:rStyle w:val="Caracteresdenotaderodap"/>
          <w:rFonts w:ascii="Arial" w:hAnsi="Arial" w:cs="Arial"/>
          <w:sz w:val="20"/>
          <w:szCs w:val="20"/>
          <w:vertAlign w:val="superscript"/>
        </w:rPr>
        <w:footnoteRef/>
      </w:r>
      <w:r w:rsidRPr="00884589">
        <w:rPr>
          <w:rFonts w:ascii="Arial" w:hAnsi="Arial" w:cs="Arial"/>
          <w:sz w:val="20"/>
          <w:szCs w:val="20"/>
          <w:lang w:val="pt-BR"/>
        </w:rPr>
        <w:t xml:space="preserve"> </w:t>
      </w:r>
      <w:r>
        <w:rPr>
          <w:rFonts w:ascii="Arial" w:hAnsi="Arial" w:cs="Arial"/>
          <w:sz w:val="20"/>
          <w:szCs w:val="20"/>
          <w:lang w:val="pt-BR"/>
        </w:rPr>
        <w:t>Pontifícia Universidade Católica de Goiás</w:t>
      </w:r>
      <w:r w:rsidRPr="00884589">
        <w:rPr>
          <w:rFonts w:ascii="Arial" w:hAnsi="Arial" w:cs="Arial"/>
          <w:sz w:val="20"/>
          <w:szCs w:val="20"/>
          <w:lang w:val="pt-BR"/>
        </w:rPr>
        <w:t xml:space="preserve"> (</w:t>
      </w:r>
      <w:r>
        <w:rPr>
          <w:rFonts w:ascii="Arial" w:hAnsi="Arial" w:cs="Arial"/>
          <w:sz w:val="20"/>
          <w:szCs w:val="20"/>
          <w:lang w:val="pt-BR"/>
        </w:rPr>
        <w:t>PUCGO</w:t>
      </w:r>
      <w:r w:rsidRPr="00884589">
        <w:rPr>
          <w:rFonts w:ascii="Arial" w:hAnsi="Arial" w:cs="Arial"/>
          <w:sz w:val="20"/>
          <w:szCs w:val="20"/>
          <w:lang w:val="pt-BR"/>
        </w:rPr>
        <w:t xml:space="preserve">), </w:t>
      </w:r>
      <w:r>
        <w:rPr>
          <w:rFonts w:ascii="Arial" w:hAnsi="Arial" w:cs="Arial"/>
          <w:sz w:val="20"/>
          <w:szCs w:val="20"/>
          <w:lang w:val="pt-BR"/>
        </w:rPr>
        <w:t>Goiânia-Goiás</w:t>
      </w:r>
      <w:r w:rsidRPr="00884589">
        <w:rPr>
          <w:rFonts w:ascii="Arial" w:hAnsi="Arial" w:cs="Arial"/>
          <w:sz w:val="20"/>
          <w:szCs w:val="20"/>
          <w:lang w:val="pt-BR"/>
        </w:rPr>
        <w:t>. *E-mail:</w:t>
      </w:r>
      <w:r>
        <w:rPr>
          <w:rFonts w:ascii="Arial" w:hAnsi="Arial" w:cs="Arial"/>
          <w:sz w:val="20"/>
          <w:szCs w:val="20"/>
          <w:lang w:val="pt-BR"/>
        </w:rPr>
        <w:t xml:space="preserve"> geovanalive@hotmail.com</w:t>
      </w:r>
    </w:p>
    <w:p w14:paraId="779B19D1" w14:textId="77777777" w:rsidR="003B535E" w:rsidRPr="00884589" w:rsidRDefault="003B535E" w:rsidP="003B535E">
      <w:pPr>
        <w:pStyle w:val="Textodenotaderodap"/>
        <w:spacing w:after="0"/>
        <w:rPr>
          <w:rFonts w:ascii="Arial" w:hAnsi="Arial" w:cs="Arial"/>
          <w:sz w:val="20"/>
          <w:szCs w:val="20"/>
          <w:lang w:val="pt-BR"/>
        </w:rPr>
      </w:pPr>
    </w:p>
    <w:p w14:paraId="143A6D6D" w14:textId="77777777" w:rsidR="003B535E" w:rsidRPr="00884589" w:rsidRDefault="003B535E" w:rsidP="003B535E">
      <w:pPr>
        <w:pStyle w:val="Textodenotaderodap"/>
        <w:spacing w:after="0"/>
        <w:rPr>
          <w:rFonts w:ascii="Arial" w:hAnsi="Arial" w:cs="Arial"/>
          <w:b/>
          <w:sz w:val="20"/>
          <w:szCs w:val="20"/>
          <w:highlight w:val="yellow"/>
          <w:lang w:val="pt-BR"/>
        </w:rPr>
      </w:pPr>
    </w:p>
    <w:p w14:paraId="2084AF6A" w14:textId="77777777" w:rsidR="003B535E" w:rsidRPr="0046664D" w:rsidRDefault="003B535E" w:rsidP="003B535E">
      <w:pPr>
        <w:pStyle w:val="Textodenotaderodap"/>
        <w:spacing w:after="0"/>
        <w:jc w:val="center"/>
        <w:rPr>
          <w:rFonts w:ascii="Arial" w:hAnsi="Arial" w:cs="Arial"/>
          <w:b/>
          <w:sz w:val="20"/>
          <w:szCs w:val="20"/>
          <w:lang w:val="pt-BR"/>
        </w:rPr>
      </w:pPr>
      <w:r w:rsidRPr="00884589">
        <w:rPr>
          <w:rFonts w:ascii="Arial" w:hAnsi="Arial" w:cs="Arial"/>
          <w:b/>
          <w:sz w:val="20"/>
          <w:szCs w:val="20"/>
          <w:lang w:val="pt-BR"/>
        </w:rPr>
        <w:t>SUBMETIDO EM: XX/2021           |          ACEITO EM: XX/2021         |         PUBLICADO EM: XX/2021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09552909"/>
      <w:docPartObj>
        <w:docPartGallery w:val="AutoText"/>
      </w:docPartObj>
    </w:sdtPr>
    <w:sdtEndPr/>
    <w:sdtContent>
      <w:p w14:paraId="04A4EC5E" w14:textId="655C5602" w:rsidR="002C6838" w:rsidRPr="002C6838" w:rsidRDefault="00461A2F" w:rsidP="00461A2F">
        <w:pPr>
          <w:pStyle w:val="Rodap"/>
          <w:jc w:val="right"/>
          <w:rPr>
            <w:rFonts w:ascii="Arial" w:hAnsi="Arial" w:cs="Arial"/>
            <w:lang w:val="pt-BR"/>
          </w:rPr>
        </w:pPr>
        <w:r w:rsidRPr="008A07E4">
          <w:rPr>
            <w:rFonts w:ascii="Arial" w:hAnsi="Arial" w:cs="Arial"/>
            <w:lang w:val="pt-BR"/>
          </w:rPr>
          <w:t xml:space="preserve">                     </w:t>
        </w:r>
        <w:r w:rsidR="002C6838" w:rsidRPr="002C6838">
          <w:rPr>
            <w:rFonts w:ascii="Arial" w:hAnsi="Arial" w:cs="Arial"/>
            <w:lang w:val="pt-BR"/>
          </w:rPr>
          <w:tab/>
        </w:r>
      </w:p>
      <w:p w14:paraId="0D66C1FC" w14:textId="17E8A309" w:rsidR="00E83E53" w:rsidRPr="002C6838" w:rsidRDefault="00AD6904" w:rsidP="003A6552">
        <w:pPr>
          <w:pStyle w:val="Cabealho"/>
          <w:rPr>
            <w:rFonts w:ascii="Arial" w:hAnsi="Arial" w:cs="Arial"/>
            <w:sz w:val="28"/>
            <w:szCs w:val="28"/>
          </w:rPr>
        </w:pPr>
        <w:r w:rsidRPr="002C6838">
          <w:rPr>
            <w:rFonts w:ascii="Arial" w:hAnsi="Arial" w:cs="Arial"/>
            <w:noProof/>
            <w:lang w:val="pt-BR" w:eastAsia="pt-BR"/>
          </w:rPr>
          <mc:AlternateContent>
            <mc:Choice Requires="wps">
              <w:drawing>
                <wp:anchor distT="0" distB="0" distL="114300" distR="114300" simplePos="0" relativeHeight="251659264" behindDoc="0" locked="0" layoutInCell="1" allowOverlap="1" wp14:anchorId="613A2585" wp14:editId="71560F23">
                  <wp:simplePos x="0" y="0"/>
                  <wp:positionH relativeFrom="column">
                    <wp:posOffset>-43815</wp:posOffset>
                  </wp:positionH>
                  <wp:positionV relativeFrom="paragraph">
                    <wp:posOffset>111760</wp:posOffset>
                  </wp:positionV>
                  <wp:extent cx="6267450" cy="0"/>
                  <wp:effectExtent l="0" t="0" r="0" b="0"/>
                  <wp:wrapNone/>
                  <wp:docPr id="3" name="Conector reto 3"/>
                  <wp:cNvGraphicFramePr/>
                  <a:graphic xmlns:a="http://schemas.openxmlformats.org/drawingml/2006/main">
                    <a:graphicData uri="http://schemas.microsoft.com/office/word/2010/wordprocessingShape">
                      <wps:wsp>
                        <wps:cNvCnPr/>
                        <wps:spPr>
                          <a:xfrm>
                            <a:off x="0" y="0"/>
                            <a:ext cx="6267450"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53CA2" id="Conector re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8.8pt" to="490.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" strokecolor="#0070c0" strokeweight="1.5p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2"/>
  </w:num>
  <w:num w:numId="3">
    <w:abstractNumId w:val="20"/>
  </w:num>
  <w:num w:numId="4">
    <w:abstractNumId w:val="9"/>
  </w:num>
  <w:num w:numId="5">
    <w:abstractNumId w:val="23"/>
  </w:num>
  <w:num w:numId="6">
    <w:abstractNumId w:val="6"/>
  </w:num>
  <w:num w:numId="7">
    <w:abstractNumId w:val="10"/>
  </w:num>
  <w:num w:numId="8">
    <w:abstractNumId w:val="15"/>
  </w:num>
  <w:num w:numId="9">
    <w:abstractNumId w:val="16"/>
  </w:num>
  <w:num w:numId="10">
    <w:abstractNumId w:val="4"/>
  </w:num>
  <w:num w:numId="11">
    <w:abstractNumId w:val="3"/>
  </w:num>
  <w:num w:numId="12">
    <w:abstractNumId w:val="18"/>
  </w:num>
  <w:num w:numId="13">
    <w:abstractNumId w:val="1"/>
  </w:num>
  <w:num w:numId="14">
    <w:abstractNumId w:val="22"/>
  </w:num>
  <w:num w:numId="15">
    <w:abstractNumId w:val="19"/>
  </w:num>
  <w:num w:numId="16">
    <w:abstractNumId w:val="14"/>
  </w:num>
  <w:num w:numId="17">
    <w:abstractNumId w:val="7"/>
  </w:num>
  <w:num w:numId="18">
    <w:abstractNumId w:val="24"/>
  </w:num>
  <w:num w:numId="19">
    <w:abstractNumId w:val="21"/>
  </w:num>
  <w:num w:numId="20">
    <w:abstractNumId w:val="2"/>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TQyNjQ0MjewMDZS0lEKTi0uzszPAykwqgUAEo3HHiwAAAA="/>
  </w:docVars>
  <w:rsids>
    <w:rsidRoot w:val="00590D07"/>
    <w:rsid w:val="00011C8B"/>
    <w:rsid w:val="00011DD6"/>
    <w:rsid w:val="000206B0"/>
    <w:rsid w:val="0002370F"/>
    <w:rsid w:val="000264B9"/>
    <w:rsid w:val="00046CB6"/>
    <w:rsid w:val="00056F83"/>
    <w:rsid w:val="000601E9"/>
    <w:rsid w:val="00061E10"/>
    <w:rsid w:val="0006404C"/>
    <w:rsid w:val="00073E91"/>
    <w:rsid w:val="00077654"/>
    <w:rsid w:val="000803BA"/>
    <w:rsid w:val="00081998"/>
    <w:rsid w:val="000820AD"/>
    <w:rsid w:val="000825CF"/>
    <w:rsid w:val="0008367C"/>
    <w:rsid w:val="00085069"/>
    <w:rsid w:val="00086ADE"/>
    <w:rsid w:val="0009043B"/>
    <w:rsid w:val="00095FCC"/>
    <w:rsid w:val="000A7320"/>
    <w:rsid w:val="000B0028"/>
    <w:rsid w:val="000B0820"/>
    <w:rsid w:val="000B42A2"/>
    <w:rsid w:val="000C2E14"/>
    <w:rsid w:val="000C33E2"/>
    <w:rsid w:val="000C4208"/>
    <w:rsid w:val="000D2040"/>
    <w:rsid w:val="000D6F92"/>
    <w:rsid w:val="000D73F4"/>
    <w:rsid w:val="000E15CB"/>
    <w:rsid w:val="000E1F6B"/>
    <w:rsid w:val="000F0033"/>
    <w:rsid w:val="000F284E"/>
    <w:rsid w:val="00106653"/>
    <w:rsid w:val="001127A8"/>
    <w:rsid w:val="00112D86"/>
    <w:rsid w:val="00121CAD"/>
    <w:rsid w:val="00134F59"/>
    <w:rsid w:val="001458DC"/>
    <w:rsid w:val="00146A3F"/>
    <w:rsid w:val="0015143E"/>
    <w:rsid w:val="001515A5"/>
    <w:rsid w:val="0015473C"/>
    <w:rsid w:val="001567E5"/>
    <w:rsid w:val="00160927"/>
    <w:rsid w:val="00160B0A"/>
    <w:rsid w:val="00163238"/>
    <w:rsid w:val="00167644"/>
    <w:rsid w:val="0017372E"/>
    <w:rsid w:val="001755E3"/>
    <w:rsid w:val="00195EE3"/>
    <w:rsid w:val="001975BC"/>
    <w:rsid w:val="001B0795"/>
    <w:rsid w:val="001B59B0"/>
    <w:rsid w:val="001B63AE"/>
    <w:rsid w:val="001B7A5B"/>
    <w:rsid w:val="001C47C6"/>
    <w:rsid w:val="001D16BF"/>
    <w:rsid w:val="001D4C49"/>
    <w:rsid w:val="001D608F"/>
    <w:rsid w:val="001D76B1"/>
    <w:rsid w:val="001F2CFA"/>
    <w:rsid w:val="001F34E3"/>
    <w:rsid w:val="001F3AC8"/>
    <w:rsid w:val="001F540C"/>
    <w:rsid w:val="00205582"/>
    <w:rsid w:val="002102EE"/>
    <w:rsid w:val="002167FB"/>
    <w:rsid w:val="00223333"/>
    <w:rsid w:val="00224124"/>
    <w:rsid w:val="002244DC"/>
    <w:rsid w:val="0022711C"/>
    <w:rsid w:val="00230B8C"/>
    <w:rsid w:val="00243619"/>
    <w:rsid w:val="00246CCB"/>
    <w:rsid w:val="00247260"/>
    <w:rsid w:val="00254829"/>
    <w:rsid w:val="00257ADD"/>
    <w:rsid w:val="00257CDB"/>
    <w:rsid w:val="002624F7"/>
    <w:rsid w:val="002637F8"/>
    <w:rsid w:val="00265B8C"/>
    <w:rsid w:val="00272A72"/>
    <w:rsid w:val="002736E0"/>
    <w:rsid w:val="00276E80"/>
    <w:rsid w:val="00277892"/>
    <w:rsid w:val="00280FE4"/>
    <w:rsid w:val="0028367E"/>
    <w:rsid w:val="00291C6A"/>
    <w:rsid w:val="00292512"/>
    <w:rsid w:val="00296AEC"/>
    <w:rsid w:val="002A0FD9"/>
    <w:rsid w:val="002A216E"/>
    <w:rsid w:val="002C658D"/>
    <w:rsid w:val="002C6838"/>
    <w:rsid w:val="002D11CB"/>
    <w:rsid w:val="002D420B"/>
    <w:rsid w:val="002E1054"/>
    <w:rsid w:val="002E1B46"/>
    <w:rsid w:val="002F16E7"/>
    <w:rsid w:val="002F28C2"/>
    <w:rsid w:val="003228F0"/>
    <w:rsid w:val="00345F23"/>
    <w:rsid w:val="00351AB4"/>
    <w:rsid w:val="00353634"/>
    <w:rsid w:val="00363227"/>
    <w:rsid w:val="00372A8A"/>
    <w:rsid w:val="003916EE"/>
    <w:rsid w:val="003936ED"/>
    <w:rsid w:val="003A2992"/>
    <w:rsid w:val="003A6552"/>
    <w:rsid w:val="003B1A9C"/>
    <w:rsid w:val="003B535E"/>
    <w:rsid w:val="003C057D"/>
    <w:rsid w:val="003C79A1"/>
    <w:rsid w:val="003D3B40"/>
    <w:rsid w:val="003D5F37"/>
    <w:rsid w:val="003E7F0C"/>
    <w:rsid w:val="003F2687"/>
    <w:rsid w:val="003F329E"/>
    <w:rsid w:val="003F4D6F"/>
    <w:rsid w:val="004120DA"/>
    <w:rsid w:val="00415F9C"/>
    <w:rsid w:val="00427EBE"/>
    <w:rsid w:val="00433CCC"/>
    <w:rsid w:val="004450C3"/>
    <w:rsid w:val="004570B2"/>
    <w:rsid w:val="00457A52"/>
    <w:rsid w:val="00457C7B"/>
    <w:rsid w:val="00460B5B"/>
    <w:rsid w:val="00461114"/>
    <w:rsid w:val="00461A2F"/>
    <w:rsid w:val="0046664D"/>
    <w:rsid w:val="0046671B"/>
    <w:rsid w:val="00467D98"/>
    <w:rsid w:val="00477FAD"/>
    <w:rsid w:val="00487C90"/>
    <w:rsid w:val="004928EC"/>
    <w:rsid w:val="004940CC"/>
    <w:rsid w:val="00497EB1"/>
    <w:rsid w:val="004A0C30"/>
    <w:rsid w:val="004C0CCC"/>
    <w:rsid w:val="004D3076"/>
    <w:rsid w:val="004D429D"/>
    <w:rsid w:val="004D5BD7"/>
    <w:rsid w:val="004E05E9"/>
    <w:rsid w:val="004E29B3"/>
    <w:rsid w:val="004E5B6F"/>
    <w:rsid w:val="004E6FF1"/>
    <w:rsid w:val="00501DA0"/>
    <w:rsid w:val="00503F92"/>
    <w:rsid w:val="00505ECC"/>
    <w:rsid w:val="00506375"/>
    <w:rsid w:val="0051359B"/>
    <w:rsid w:val="005136A6"/>
    <w:rsid w:val="00513B1B"/>
    <w:rsid w:val="005243D3"/>
    <w:rsid w:val="00531776"/>
    <w:rsid w:val="00532EA5"/>
    <w:rsid w:val="00535D10"/>
    <w:rsid w:val="00546773"/>
    <w:rsid w:val="0055072B"/>
    <w:rsid w:val="00563B3A"/>
    <w:rsid w:val="00566CDE"/>
    <w:rsid w:val="00576295"/>
    <w:rsid w:val="00590D07"/>
    <w:rsid w:val="00597B83"/>
    <w:rsid w:val="005B114E"/>
    <w:rsid w:val="005C329A"/>
    <w:rsid w:val="005D42AF"/>
    <w:rsid w:val="005D6CB0"/>
    <w:rsid w:val="005E2D44"/>
    <w:rsid w:val="005E45B9"/>
    <w:rsid w:val="005E46B2"/>
    <w:rsid w:val="005E74AD"/>
    <w:rsid w:val="005F261F"/>
    <w:rsid w:val="005F4F2D"/>
    <w:rsid w:val="005F6335"/>
    <w:rsid w:val="00606BE1"/>
    <w:rsid w:val="006118A8"/>
    <w:rsid w:val="00611FC1"/>
    <w:rsid w:val="006127BA"/>
    <w:rsid w:val="00614DD8"/>
    <w:rsid w:val="006325B2"/>
    <w:rsid w:val="00634785"/>
    <w:rsid w:val="00634D35"/>
    <w:rsid w:val="00636DF9"/>
    <w:rsid w:val="00671DDA"/>
    <w:rsid w:val="00675787"/>
    <w:rsid w:val="00677CA5"/>
    <w:rsid w:val="00681A21"/>
    <w:rsid w:val="0068448A"/>
    <w:rsid w:val="00685F7E"/>
    <w:rsid w:val="00693DF8"/>
    <w:rsid w:val="0069770E"/>
    <w:rsid w:val="006C0993"/>
    <w:rsid w:val="006D2ADF"/>
    <w:rsid w:val="006D4C71"/>
    <w:rsid w:val="006D6627"/>
    <w:rsid w:val="006E7E56"/>
    <w:rsid w:val="006F3156"/>
    <w:rsid w:val="006F3D6D"/>
    <w:rsid w:val="006F45B9"/>
    <w:rsid w:val="006F499D"/>
    <w:rsid w:val="00710509"/>
    <w:rsid w:val="007148D3"/>
    <w:rsid w:val="00721EAF"/>
    <w:rsid w:val="00737B63"/>
    <w:rsid w:val="0075016F"/>
    <w:rsid w:val="00752C08"/>
    <w:rsid w:val="007572C2"/>
    <w:rsid w:val="00763AED"/>
    <w:rsid w:val="007677CC"/>
    <w:rsid w:val="007753FA"/>
    <w:rsid w:val="00784884"/>
    <w:rsid w:val="00784D58"/>
    <w:rsid w:val="0078547D"/>
    <w:rsid w:val="007869EC"/>
    <w:rsid w:val="00794419"/>
    <w:rsid w:val="00794950"/>
    <w:rsid w:val="00796BA9"/>
    <w:rsid w:val="007A0C0B"/>
    <w:rsid w:val="007A1A5F"/>
    <w:rsid w:val="007A214E"/>
    <w:rsid w:val="007A4FEC"/>
    <w:rsid w:val="007A5F68"/>
    <w:rsid w:val="007B1ADE"/>
    <w:rsid w:val="007B60EE"/>
    <w:rsid w:val="007B75B5"/>
    <w:rsid w:val="007C0EE7"/>
    <w:rsid w:val="007C67E8"/>
    <w:rsid w:val="007C78E0"/>
    <w:rsid w:val="007E1EEA"/>
    <w:rsid w:val="007E7825"/>
    <w:rsid w:val="007F6195"/>
    <w:rsid w:val="0080037E"/>
    <w:rsid w:val="00802E5A"/>
    <w:rsid w:val="00803A66"/>
    <w:rsid w:val="008142B4"/>
    <w:rsid w:val="0082207A"/>
    <w:rsid w:val="0082472A"/>
    <w:rsid w:val="0082593A"/>
    <w:rsid w:val="0082673C"/>
    <w:rsid w:val="00833724"/>
    <w:rsid w:val="0084139D"/>
    <w:rsid w:val="00847EB5"/>
    <w:rsid w:val="0085165A"/>
    <w:rsid w:val="00880399"/>
    <w:rsid w:val="00884589"/>
    <w:rsid w:val="00884757"/>
    <w:rsid w:val="00886228"/>
    <w:rsid w:val="008868D7"/>
    <w:rsid w:val="00890DB2"/>
    <w:rsid w:val="00892C84"/>
    <w:rsid w:val="00897853"/>
    <w:rsid w:val="008A07E4"/>
    <w:rsid w:val="008A5FEE"/>
    <w:rsid w:val="008A6346"/>
    <w:rsid w:val="008A7613"/>
    <w:rsid w:val="008B0941"/>
    <w:rsid w:val="008B6370"/>
    <w:rsid w:val="008C3C0B"/>
    <w:rsid w:val="008D379B"/>
    <w:rsid w:val="008D458A"/>
    <w:rsid w:val="008D4707"/>
    <w:rsid w:val="008D6863"/>
    <w:rsid w:val="008E255D"/>
    <w:rsid w:val="008E44C6"/>
    <w:rsid w:val="008F2BDA"/>
    <w:rsid w:val="008F2EB7"/>
    <w:rsid w:val="00901B95"/>
    <w:rsid w:val="00911EDD"/>
    <w:rsid w:val="00930AEA"/>
    <w:rsid w:val="0093261C"/>
    <w:rsid w:val="00932931"/>
    <w:rsid w:val="009344AC"/>
    <w:rsid w:val="00940C02"/>
    <w:rsid w:val="009459E4"/>
    <w:rsid w:val="00960907"/>
    <w:rsid w:val="00960C3C"/>
    <w:rsid w:val="009618E7"/>
    <w:rsid w:val="0096273E"/>
    <w:rsid w:val="00964A62"/>
    <w:rsid w:val="00965465"/>
    <w:rsid w:val="00965AA2"/>
    <w:rsid w:val="009816B6"/>
    <w:rsid w:val="00982729"/>
    <w:rsid w:val="00984B64"/>
    <w:rsid w:val="0098658D"/>
    <w:rsid w:val="00996179"/>
    <w:rsid w:val="009A20E5"/>
    <w:rsid w:val="009A2D20"/>
    <w:rsid w:val="009A335B"/>
    <w:rsid w:val="009A4B78"/>
    <w:rsid w:val="009B633B"/>
    <w:rsid w:val="009C39FE"/>
    <w:rsid w:val="009F1A66"/>
    <w:rsid w:val="00A024C8"/>
    <w:rsid w:val="00A06AE2"/>
    <w:rsid w:val="00A1315C"/>
    <w:rsid w:val="00A139CE"/>
    <w:rsid w:val="00A25565"/>
    <w:rsid w:val="00A32DBD"/>
    <w:rsid w:val="00A33523"/>
    <w:rsid w:val="00A463F5"/>
    <w:rsid w:val="00A50957"/>
    <w:rsid w:val="00A56B85"/>
    <w:rsid w:val="00A5758F"/>
    <w:rsid w:val="00A61DBE"/>
    <w:rsid w:val="00A67BC0"/>
    <w:rsid w:val="00A7410C"/>
    <w:rsid w:val="00A74ABE"/>
    <w:rsid w:val="00A75047"/>
    <w:rsid w:val="00A756D1"/>
    <w:rsid w:val="00A77A6F"/>
    <w:rsid w:val="00A77BAE"/>
    <w:rsid w:val="00A822EA"/>
    <w:rsid w:val="00A83CFC"/>
    <w:rsid w:val="00A856D1"/>
    <w:rsid w:val="00A92D37"/>
    <w:rsid w:val="00AA028D"/>
    <w:rsid w:val="00AA196E"/>
    <w:rsid w:val="00AA3DEC"/>
    <w:rsid w:val="00AB0120"/>
    <w:rsid w:val="00AB3140"/>
    <w:rsid w:val="00AC1E3C"/>
    <w:rsid w:val="00AC6B5F"/>
    <w:rsid w:val="00AD53E4"/>
    <w:rsid w:val="00AD6904"/>
    <w:rsid w:val="00B040D5"/>
    <w:rsid w:val="00B05A19"/>
    <w:rsid w:val="00B10930"/>
    <w:rsid w:val="00B33B33"/>
    <w:rsid w:val="00B416DB"/>
    <w:rsid w:val="00B419C2"/>
    <w:rsid w:val="00B437B2"/>
    <w:rsid w:val="00B437FC"/>
    <w:rsid w:val="00B45EB5"/>
    <w:rsid w:val="00B5271E"/>
    <w:rsid w:val="00B53A75"/>
    <w:rsid w:val="00B73770"/>
    <w:rsid w:val="00B75433"/>
    <w:rsid w:val="00B812D3"/>
    <w:rsid w:val="00B836B2"/>
    <w:rsid w:val="00B86B75"/>
    <w:rsid w:val="00B935A7"/>
    <w:rsid w:val="00B95658"/>
    <w:rsid w:val="00BA184A"/>
    <w:rsid w:val="00BA25B4"/>
    <w:rsid w:val="00BA4BFE"/>
    <w:rsid w:val="00BA5C6E"/>
    <w:rsid w:val="00BA6F2D"/>
    <w:rsid w:val="00BA72D1"/>
    <w:rsid w:val="00BB1225"/>
    <w:rsid w:val="00BC0952"/>
    <w:rsid w:val="00BC48D5"/>
    <w:rsid w:val="00BD7261"/>
    <w:rsid w:val="00BD7E46"/>
    <w:rsid w:val="00BE5CB3"/>
    <w:rsid w:val="00BF0E7A"/>
    <w:rsid w:val="00BF40CB"/>
    <w:rsid w:val="00BF46D2"/>
    <w:rsid w:val="00C01387"/>
    <w:rsid w:val="00C01413"/>
    <w:rsid w:val="00C02FED"/>
    <w:rsid w:val="00C041DF"/>
    <w:rsid w:val="00C110CB"/>
    <w:rsid w:val="00C15242"/>
    <w:rsid w:val="00C15EAB"/>
    <w:rsid w:val="00C1712E"/>
    <w:rsid w:val="00C1733F"/>
    <w:rsid w:val="00C21A54"/>
    <w:rsid w:val="00C244FC"/>
    <w:rsid w:val="00C264CB"/>
    <w:rsid w:val="00C26C43"/>
    <w:rsid w:val="00C36279"/>
    <w:rsid w:val="00C455FD"/>
    <w:rsid w:val="00C52E48"/>
    <w:rsid w:val="00C5445C"/>
    <w:rsid w:val="00C545C4"/>
    <w:rsid w:val="00C73402"/>
    <w:rsid w:val="00C83B00"/>
    <w:rsid w:val="00C87D2D"/>
    <w:rsid w:val="00C9369A"/>
    <w:rsid w:val="00C94CB9"/>
    <w:rsid w:val="00CA6314"/>
    <w:rsid w:val="00CA6A31"/>
    <w:rsid w:val="00CB17E0"/>
    <w:rsid w:val="00CB2F17"/>
    <w:rsid w:val="00CB40A2"/>
    <w:rsid w:val="00CB68FD"/>
    <w:rsid w:val="00CC3ED7"/>
    <w:rsid w:val="00CC7EEE"/>
    <w:rsid w:val="00CD315F"/>
    <w:rsid w:val="00CD52BA"/>
    <w:rsid w:val="00CD6E18"/>
    <w:rsid w:val="00CE01E9"/>
    <w:rsid w:val="00CE0DC6"/>
    <w:rsid w:val="00CE1D89"/>
    <w:rsid w:val="00CE752C"/>
    <w:rsid w:val="00CE7F9B"/>
    <w:rsid w:val="00CF7FFD"/>
    <w:rsid w:val="00D00713"/>
    <w:rsid w:val="00D014C5"/>
    <w:rsid w:val="00D17507"/>
    <w:rsid w:val="00D308A9"/>
    <w:rsid w:val="00D31395"/>
    <w:rsid w:val="00D34C65"/>
    <w:rsid w:val="00D36A3C"/>
    <w:rsid w:val="00D414FF"/>
    <w:rsid w:val="00D42C0E"/>
    <w:rsid w:val="00D454F7"/>
    <w:rsid w:val="00D476B9"/>
    <w:rsid w:val="00D531CF"/>
    <w:rsid w:val="00D56934"/>
    <w:rsid w:val="00D56C87"/>
    <w:rsid w:val="00D56FA8"/>
    <w:rsid w:val="00D57576"/>
    <w:rsid w:val="00D63307"/>
    <w:rsid w:val="00D63A8C"/>
    <w:rsid w:val="00D74057"/>
    <w:rsid w:val="00D83999"/>
    <w:rsid w:val="00DA10EA"/>
    <w:rsid w:val="00DA2A50"/>
    <w:rsid w:val="00DA4151"/>
    <w:rsid w:val="00DA7E2B"/>
    <w:rsid w:val="00DB5793"/>
    <w:rsid w:val="00DC57EF"/>
    <w:rsid w:val="00DD3695"/>
    <w:rsid w:val="00DE148A"/>
    <w:rsid w:val="00DE3DF9"/>
    <w:rsid w:val="00DF3895"/>
    <w:rsid w:val="00DF4CB9"/>
    <w:rsid w:val="00DF6321"/>
    <w:rsid w:val="00E0758F"/>
    <w:rsid w:val="00E1339C"/>
    <w:rsid w:val="00E134BC"/>
    <w:rsid w:val="00E15C51"/>
    <w:rsid w:val="00E20031"/>
    <w:rsid w:val="00E24A04"/>
    <w:rsid w:val="00E261DD"/>
    <w:rsid w:val="00E2659D"/>
    <w:rsid w:val="00E315A3"/>
    <w:rsid w:val="00E4206E"/>
    <w:rsid w:val="00E4252D"/>
    <w:rsid w:val="00E545FD"/>
    <w:rsid w:val="00E622DA"/>
    <w:rsid w:val="00E62879"/>
    <w:rsid w:val="00E65D99"/>
    <w:rsid w:val="00E83E53"/>
    <w:rsid w:val="00E86B2C"/>
    <w:rsid w:val="00E87FD2"/>
    <w:rsid w:val="00E96C11"/>
    <w:rsid w:val="00E96FAA"/>
    <w:rsid w:val="00E9736D"/>
    <w:rsid w:val="00EA2420"/>
    <w:rsid w:val="00EB42F5"/>
    <w:rsid w:val="00EB676E"/>
    <w:rsid w:val="00EC6290"/>
    <w:rsid w:val="00ED0BFD"/>
    <w:rsid w:val="00EF0397"/>
    <w:rsid w:val="00F010A9"/>
    <w:rsid w:val="00F17CC1"/>
    <w:rsid w:val="00F17E2D"/>
    <w:rsid w:val="00F2247E"/>
    <w:rsid w:val="00F30953"/>
    <w:rsid w:val="00F31603"/>
    <w:rsid w:val="00F363AC"/>
    <w:rsid w:val="00F44A3B"/>
    <w:rsid w:val="00F44C87"/>
    <w:rsid w:val="00F55440"/>
    <w:rsid w:val="00F55BA5"/>
    <w:rsid w:val="00F7560F"/>
    <w:rsid w:val="00F80CD8"/>
    <w:rsid w:val="00F82180"/>
    <w:rsid w:val="00F95230"/>
    <w:rsid w:val="00FB1AAB"/>
    <w:rsid w:val="00FB4689"/>
    <w:rsid w:val="00FB6715"/>
    <w:rsid w:val="00FD2E06"/>
    <w:rsid w:val="00FD7600"/>
    <w:rsid w:val="00FD7F9A"/>
    <w:rsid w:val="00FE0649"/>
    <w:rsid w:val="00FE6A0D"/>
    <w:rsid w:val="00FF0ADB"/>
    <w:rsid w:val="00FF72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iPriority w:val="9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uiPriority w:val="99"/>
    <w:semiHidden/>
    <w:unhideWhenUsed/>
    <w:rsid w:val="0098658D"/>
    <w:rPr>
      <w:sz w:val="16"/>
      <w:szCs w:val="16"/>
    </w:rPr>
  </w:style>
  <w:style w:type="paragraph" w:styleId="Textodecomentrio">
    <w:name w:val="annotation text"/>
    <w:basedOn w:val="Normal"/>
    <w:link w:val="TextodecomentrioChar"/>
    <w:uiPriority w:val="99"/>
    <w:unhideWhenUsed/>
    <w:rsid w:val="0098658D"/>
    <w:rPr>
      <w:sz w:val="20"/>
      <w:szCs w:val="20"/>
    </w:rPr>
  </w:style>
  <w:style w:type="character" w:customStyle="1" w:styleId="TextodecomentrioChar">
    <w:name w:val="Texto de comentário Char"/>
    <w:basedOn w:val="Fontepargpadro"/>
    <w:link w:val="Textodecomentrio"/>
    <w:uiPriority w:val="99"/>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uiPriority w:val="99"/>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uiPriority w:val="39"/>
    <w:rsid w:val="00DA41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06AE2"/>
    <w:rPr>
      <w:color w:val="605E5C"/>
      <w:shd w:val="clear" w:color="auto" w:fill="E1DFDD"/>
    </w:rPr>
  </w:style>
  <w:style w:type="paragraph" w:customStyle="1" w:styleId="paragraph">
    <w:name w:val="paragraph"/>
    <w:basedOn w:val="Normal"/>
    <w:rsid w:val="00A756D1"/>
    <w:pPr>
      <w:spacing w:before="100" w:beforeAutospacing="1" w:after="100" w:afterAutospacing="1"/>
    </w:pPr>
    <w:rPr>
      <w:rFonts w:ascii="Times New Roman" w:eastAsia="Times New Roman"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131485001">
      <w:bodyDiv w:val="1"/>
      <w:marLeft w:val="0"/>
      <w:marRight w:val="0"/>
      <w:marTop w:val="0"/>
      <w:marBottom w:val="0"/>
      <w:divBdr>
        <w:top w:val="none" w:sz="0" w:space="0" w:color="auto"/>
        <w:left w:val="none" w:sz="0" w:space="0" w:color="auto"/>
        <w:bottom w:val="none" w:sz="0" w:space="0" w:color="auto"/>
        <w:right w:val="none" w:sz="0" w:space="0" w:color="auto"/>
      </w:divBdr>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0992">
      <w:bodyDiv w:val="1"/>
      <w:marLeft w:val="0"/>
      <w:marRight w:val="0"/>
      <w:marTop w:val="0"/>
      <w:marBottom w:val="0"/>
      <w:divBdr>
        <w:top w:val="none" w:sz="0" w:space="0" w:color="auto"/>
        <w:left w:val="none" w:sz="0" w:space="0" w:color="auto"/>
        <w:bottom w:val="none" w:sz="0" w:space="0" w:color="auto"/>
        <w:right w:val="none" w:sz="0" w:space="0" w:color="auto"/>
      </w:divBdr>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523135228">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87377">
      <w:bodyDiv w:val="1"/>
      <w:marLeft w:val="0"/>
      <w:marRight w:val="0"/>
      <w:marTop w:val="0"/>
      <w:marBottom w:val="0"/>
      <w:divBdr>
        <w:top w:val="none" w:sz="0" w:space="0" w:color="auto"/>
        <w:left w:val="none" w:sz="0" w:space="0" w:color="auto"/>
        <w:bottom w:val="none" w:sz="0" w:space="0" w:color="auto"/>
        <w:right w:val="none" w:sz="0" w:space="0" w:color="auto"/>
      </w:divBdr>
    </w:div>
    <w:div w:id="1316565575">
      <w:bodyDiv w:val="1"/>
      <w:marLeft w:val="0"/>
      <w:marRight w:val="0"/>
      <w:marTop w:val="0"/>
      <w:marBottom w:val="0"/>
      <w:divBdr>
        <w:top w:val="none" w:sz="0" w:space="0" w:color="auto"/>
        <w:left w:val="none" w:sz="0" w:space="0" w:color="auto"/>
        <w:bottom w:val="none" w:sz="0" w:space="0" w:color="auto"/>
        <w:right w:val="none" w:sz="0" w:space="0" w:color="auto"/>
      </w:divBdr>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93472">
      <w:bodyDiv w:val="1"/>
      <w:marLeft w:val="0"/>
      <w:marRight w:val="0"/>
      <w:marTop w:val="0"/>
      <w:marBottom w:val="0"/>
      <w:divBdr>
        <w:top w:val="none" w:sz="0" w:space="0" w:color="auto"/>
        <w:left w:val="none" w:sz="0" w:space="0" w:color="auto"/>
        <w:bottom w:val="none" w:sz="0" w:space="0" w:color="auto"/>
        <w:right w:val="none" w:sz="0" w:space="0" w:color="auto"/>
      </w:divBdr>
    </w:div>
    <w:div w:id="1536694711">
      <w:bodyDiv w:val="1"/>
      <w:marLeft w:val="0"/>
      <w:marRight w:val="0"/>
      <w:marTop w:val="0"/>
      <w:marBottom w:val="0"/>
      <w:divBdr>
        <w:top w:val="none" w:sz="0" w:space="0" w:color="auto"/>
        <w:left w:val="none" w:sz="0" w:space="0" w:color="auto"/>
        <w:bottom w:val="none" w:sz="0" w:space="0" w:color="auto"/>
        <w:right w:val="none" w:sz="0" w:space="0" w:color="auto"/>
      </w:divBdr>
    </w:div>
    <w:div w:id="1583563318">
      <w:bodyDiv w:val="1"/>
      <w:marLeft w:val="0"/>
      <w:marRight w:val="0"/>
      <w:marTop w:val="0"/>
      <w:marBottom w:val="0"/>
      <w:divBdr>
        <w:top w:val="none" w:sz="0" w:space="0" w:color="auto"/>
        <w:left w:val="none" w:sz="0" w:space="0" w:color="auto"/>
        <w:bottom w:val="none" w:sz="0" w:space="0" w:color="auto"/>
        <w:right w:val="none" w:sz="0" w:space="0" w:color="auto"/>
      </w:divBdr>
    </w:div>
    <w:div w:id="1590043565">
      <w:bodyDiv w:val="1"/>
      <w:marLeft w:val="0"/>
      <w:marRight w:val="0"/>
      <w:marTop w:val="0"/>
      <w:marBottom w:val="0"/>
      <w:divBdr>
        <w:top w:val="none" w:sz="0" w:space="0" w:color="auto"/>
        <w:left w:val="none" w:sz="0" w:space="0" w:color="auto"/>
        <w:bottom w:val="none" w:sz="0" w:space="0" w:color="auto"/>
        <w:right w:val="none" w:sz="0" w:space="0" w:color="auto"/>
      </w:divBdr>
    </w:div>
    <w:div w:id="1633829428">
      <w:bodyDiv w:val="1"/>
      <w:marLeft w:val="0"/>
      <w:marRight w:val="0"/>
      <w:marTop w:val="0"/>
      <w:marBottom w:val="0"/>
      <w:divBdr>
        <w:top w:val="none" w:sz="0" w:space="0" w:color="auto"/>
        <w:left w:val="none" w:sz="0" w:space="0" w:color="auto"/>
        <w:bottom w:val="none" w:sz="0" w:space="0" w:color="auto"/>
        <w:right w:val="none" w:sz="0" w:space="0" w:color="auto"/>
      </w:divBdr>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 w:id="1919290800">
      <w:bodyDiv w:val="1"/>
      <w:marLeft w:val="0"/>
      <w:marRight w:val="0"/>
      <w:marTop w:val="0"/>
      <w:marBottom w:val="0"/>
      <w:divBdr>
        <w:top w:val="none" w:sz="0" w:space="0" w:color="auto"/>
        <w:left w:val="none" w:sz="0" w:space="0" w:color="auto"/>
        <w:bottom w:val="none" w:sz="0" w:space="0" w:color="auto"/>
        <w:right w:val="none" w:sz="0" w:space="0" w:color="auto"/>
      </w:divBdr>
    </w:div>
    <w:div w:id="195239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Planilha1!$A$6</c:f>
              <c:strCache>
                <c:ptCount val="1"/>
                <c:pt idx="0">
                  <c:v>Do 1º ao 4º período</c:v>
                </c:pt>
              </c:strCache>
            </c:strRef>
          </c:tx>
          <c:spPr>
            <a:solidFill>
              <a:schemeClr val="bg1">
                <a:lumMod val="95000"/>
              </a:schemeClr>
            </a:solidFill>
            <a:ln>
              <a:solidFill>
                <a:schemeClr val="tx1"/>
              </a:solidFill>
            </a:ln>
            <a:effectLst/>
          </c:spPr>
          <c:invertIfNegative val="0"/>
          <c:cat>
            <c:strRef>
              <c:f>Planilha1!$B$5:$C$5</c:f>
              <c:strCache>
                <c:ptCount val="2"/>
                <c:pt idx="0">
                  <c:v>Usa</c:v>
                </c:pt>
                <c:pt idx="1">
                  <c:v>Não usa</c:v>
                </c:pt>
              </c:strCache>
            </c:strRef>
          </c:cat>
          <c:val>
            <c:numRef>
              <c:f>Planilha1!$B$6:$C$6</c:f>
              <c:numCache>
                <c:formatCode>General</c:formatCode>
                <c:ptCount val="2"/>
                <c:pt idx="0">
                  <c:v>24</c:v>
                </c:pt>
                <c:pt idx="1">
                  <c:v>12</c:v>
                </c:pt>
              </c:numCache>
            </c:numRef>
          </c:val>
          <c:extLst>
            <c:ext xmlns:c16="http://schemas.microsoft.com/office/drawing/2014/chart" uri="{C3380CC4-5D6E-409C-BE32-E72D297353CC}">
              <c16:uniqueId val="{00000000-6F82-4357-99CD-6427AEE8755C}"/>
            </c:ext>
          </c:extLst>
        </c:ser>
        <c:ser>
          <c:idx val="1"/>
          <c:order val="1"/>
          <c:tx>
            <c:strRef>
              <c:f>Planilha1!$A$7</c:f>
              <c:strCache>
                <c:ptCount val="1"/>
                <c:pt idx="0">
                  <c:v>Do 5º período em diante</c:v>
                </c:pt>
              </c:strCache>
            </c:strRef>
          </c:tx>
          <c:spPr>
            <a:solidFill>
              <a:schemeClr val="bg1">
                <a:lumMod val="50000"/>
              </a:schemeClr>
            </a:solidFill>
            <a:ln>
              <a:noFill/>
            </a:ln>
            <a:effectLst/>
          </c:spPr>
          <c:invertIfNegative val="0"/>
          <c:dPt>
            <c:idx val="0"/>
            <c:invertIfNegative val="0"/>
            <c:bubble3D val="0"/>
            <c:spPr>
              <a:solidFill>
                <a:schemeClr val="bg1">
                  <a:lumMod val="50000"/>
                </a:schemeClr>
              </a:solidFill>
              <a:ln>
                <a:solidFill>
                  <a:schemeClr val="tx1"/>
                </a:solidFill>
              </a:ln>
              <a:effectLst/>
            </c:spPr>
            <c:extLst>
              <c:ext xmlns:c16="http://schemas.microsoft.com/office/drawing/2014/chart" uri="{C3380CC4-5D6E-409C-BE32-E72D297353CC}">
                <c16:uniqueId val="{00000002-6F82-4357-99CD-6427AEE8755C}"/>
              </c:ext>
            </c:extLst>
          </c:dPt>
          <c:cat>
            <c:strRef>
              <c:f>Planilha1!$B$5:$C$5</c:f>
              <c:strCache>
                <c:ptCount val="2"/>
                <c:pt idx="0">
                  <c:v>Usa</c:v>
                </c:pt>
                <c:pt idx="1">
                  <c:v>Não usa</c:v>
                </c:pt>
              </c:strCache>
            </c:strRef>
          </c:cat>
          <c:val>
            <c:numRef>
              <c:f>Planilha1!$B$7:$C$7</c:f>
              <c:numCache>
                <c:formatCode>General</c:formatCode>
                <c:ptCount val="2"/>
                <c:pt idx="0">
                  <c:v>56</c:v>
                </c:pt>
                <c:pt idx="1">
                  <c:v>18</c:v>
                </c:pt>
              </c:numCache>
            </c:numRef>
          </c:val>
          <c:extLst>
            <c:ext xmlns:c16="http://schemas.microsoft.com/office/drawing/2014/chart" uri="{C3380CC4-5D6E-409C-BE32-E72D297353CC}">
              <c16:uniqueId val="{00000003-6F82-4357-99CD-6427AEE8755C}"/>
            </c:ext>
          </c:extLst>
        </c:ser>
        <c:dLbls>
          <c:showLegendKey val="0"/>
          <c:showVal val="0"/>
          <c:showCatName val="0"/>
          <c:showSerName val="0"/>
          <c:showPercent val="0"/>
          <c:showBubbleSize val="0"/>
        </c:dLbls>
        <c:gapWidth val="300"/>
        <c:axId val="408467952"/>
        <c:axId val="408470032"/>
      </c:barChart>
      <c:catAx>
        <c:axId val="408467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Perfil</a:t>
                </a:r>
                <a:r>
                  <a:rPr lang="pt-BR" baseline="0">
                    <a:solidFill>
                      <a:schemeClr val="tx1"/>
                    </a:solidFill>
                  </a:rPr>
                  <a:t> de uso de descongestionantes</a:t>
                </a:r>
                <a:endParaRPr lang="pt-BR">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08470032"/>
        <c:crosses val="autoZero"/>
        <c:auto val="1"/>
        <c:lblAlgn val="ctr"/>
        <c:lblOffset val="100"/>
        <c:noMultiLvlLbl val="0"/>
      </c:catAx>
      <c:valAx>
        <c:axId val="408470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Frequência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084679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Planilha1!$A$2</c:f>
              <c:strCache>
                <c:ptCount val="1"/>
                <c:pt idx="0">
                  <c:v>Sexo feminino</c:v>
                </c:pt>
              </c:strCache>
            </c:strRef>
          </c:tx>
          <c:spPr>
            <a:solidFill>
              <a:schemeClr val="bg1">
                <a:lumMod val="95000"/>
              </a:schemeClr>
            </a:solidFill>
            <a:ln>
              <a:solidFill>
                <a:schemeClr val="tx1"/>
              </a:solidFill>
            </a:ln>
            <a:effectLst/>
          </c:spPr>
          <c:invertIfNegative val="0"/>
          <c:cat>
            <c:strRef>
              <c:f>Planilha1!$B$1:$C$1</c:f>
              <c:strCache>
                <c:ptCount val="2"/>
                <c:pt idx="0">
                  <c:v>Usa</c:v>
                </c:pt>
                <c:pt idx="1">
                  <c:v>Não usa</c:v>
                </c:pt>
              </c:strCache>
            </c:strRef>
          </c:cat>
          <c:val>
            <c:numRef>
              <c:f>Planilha1!$B$2:$C$2</c:f>
              <c:numCache>
                <c:formatCode>General</c:formatCode>
                <c:ptCount val="2"/>
                <c:pt idx="0">
                  <c:v>60</c:v>
                </c:pt>
                <c:pt idx="1">
                  <c:v>22</c:v>
                </c:pt>
              </c:numCache>
            </c:numRef>
          </c:val>
          <c:extLst>
            <c:ext xmlns:c16="http://schemas.microsoft.com/office/drawing/2014/chart" uri="{C3380CC4-5D6E-409C-BE32-E72D297353CC}">
              <c16:uniqueId val="{00000000-2C7D-47CA-81AE-FB7382960648}"/>
            </c:ext>
          </c:extLst>
        </c:ser>
        <c:ser>
          <c:idx val="1"/>
          <c:order val="1"/>
          <c:tx>
            <c:strRef>
              <c:f>Planilha1!$A$3</c:f>
              <c:strCache>
                <c:ptCount val="1"/>
                <c:pt idx="0">
                  <c:v>Sexo masculino</c:v>
                </c:pt>
              </c:strCache>
            </c:strRef>
          </c:tx>
          <c:spPr>
            <a:solidFill>
              <a:schemeClr val="bg1">
                <a:lumMod val="50000"/>
              </a:schemeClr>
            </a:solidFill>
            <a:ln>
              <a:solidFill>
                <a:schemeClr val="tx1"/>
              </a:solidFill>
            </a:ln>
            <a:effectLst/>
          </c:spPr>
          <c:invertIfNegative val="0"/>
          <c:cat>
            <c:strRef>
              <c:f>Planilha1!$B$1:$C$1</c:f>
              <c:strCache>
                <c:ptCount val="2"/>
                <c:pt idx="0">
                  <c:v>Usa</c:v>
                </c:pt>
                <c:pt idx="1">
                  <c:v>Não usa</c:v>
                </c:pt>
              </c:strCache>
            </c:strRef>
          </c:cat>
          <c:val>
            <c:numRef>
              <c:f>Planilha1!$B$3:$C$3</c:f>
              <c:numCache>
                <c:formatCode>General</c:formatCode>
                <c:ptCount val="2"/>
                <c:pt idx="0">
                  <c:v>20</c:v>
                </c:pt>
                <c:pt idx="1">
                  <c:v>8</c:v>
                </c:pt>
              </c:numCache>
            </c:numRef>
          </c:val>
          <c:extLst>
            <c:ext xmlns:c16="http://schemas.microsoft.com/office/drawing/2014/chart" uri="{C3380CC4-5D6E-409C-BE32-E72D297353CC}">
              <c16:uniqueId val="{00000001-2C7D-47CA-81AE-FB7382960648}"/>
            </c:ext>
          </c:extLst>
        </c:ser>
        <c:dLbls>
          <c:showLegendKey val="0"/>
          <c:showVal val="0"/>
          <c:showCatName val="0"/>
          <c:showSerName val="0"/>
          <c:showPercent val="0"/>
          <c:showBubbleSize val="0"/>
        </c:dLbls>
        <c:gapWidth val="300"/>
        <c:axId val="477690496"/>
        <c:axId val="477690080"/>
      </c:barChart>
      <c:catAx>
        <c:axId val="477690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Perfil</a:t>
                </a:r>
                <a:r>
                  <a:rPr lang="pt-BR" baseline="0">
                    <a:solidFill>
                      <a:schemeClr val="tx1"/>
                    </a:solidFill>
                  </a:rPr>
                  <a:t> de uso de descongestionantes</a:t>
                </a:r>
                <a:endParaRPr lang="pt-BR">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77690080"/>
        <c:crosses val="autoZero"/>
        <c:auto val="1"/>
        <c:lblAlgn val="ctr"/>
        <c:lblOffset val="100"/>
        <c:noMultiLvlLbl val="0"/>
      </c:catAx>
      <c:valAx>
        <c:axId val="477690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Frequência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77690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Planilha1!$A$14</c:f>
              <c:strCache>
                <c:ptCount val="1"/>
                <c:pt idx="0">
                  <c:v>≤5 vezes ao dia</c:v>
                </c:pt>
              </c:strCache>
            </c:strRef>
          </c:tx>
          <c:spPr>
            <a:solidFill>
              <a:schemeClr val="bg1">
                <a:lumMod val="95000"/>
              </a:schemeClr>
            </a:solidFill>
            <a:ln>
              <a:solidFill>
                <a:schemeClr val="tx1"/>
              </a:solidFill>
            </a:ln>
            <a:effectLst/>
          </c:spPr>
          <c:invertIfNegative val="0"/>
          <c:cat>
            <c:strRef>
              <c:f>Planilha1!$B$13:$C$13</c:f>
              <c:strCache>
                <c:ptCount val="2"/>
                <c:pt idx="0">
                  <c:v>Com EC</c:v>
                </c:pt>
                <c:pt idx="1">
                  <c:v>Sem EC</c:v>
                </c:pt>
              </c:strCache>
            </c:strRef>
          </c:cat>
          <c:val>
            <c:numRef>
              <c:f>Planilha1!$B$14:$C$14</c:f>
              <c:numCache>
                <c:formatCode>General</c:formatCode>
                <c:ptCount val="2"/>
                <c:pt idx="0">
                  <c:v>6</c:v>
                </c:pt>
                <c:pt idx="1">
                  <c:v>17</c:v>
                </c:pt>
              </c:numCache>
            </c:numRef>
          </c:val>
          <c:extLst>
            <c:ext xmlns:c16="http://schemas.microsoft.com/office/drawing/2014/chart" uri="{C3380CC4-5D6E-409C-BE32-E72D297353CC}">
              <c16:uniqueId val="{00000000-307F-4633-BBB6-E4BB9C0E2681}"/>
            </c:ext>
          </c:extLst>
        </c:ser>
        <c:ser>
          <c:idx val="1"/>
          <c:order val="1"/>
          <c:tx>
            <c:strRef>
              <c:f>Planilha1!$A$15</c:f>
              <c:strCache>
                <c:ptCount val="1"/>
                <c:pt idx="0">
                  <c:v>&gt;5 vezes ao dia</c:v>
                </c:pt>
              </c:strCache>
            </c:strRef>
          </c:tx>
          <c:spPr>
            <a:solidFill>
              <a:schemeClr val="bg1">
                <a:lumMod val="50000"/>
              </a:schemeClr>
            </a:solidFill>
            <a:ln>
              <a:solidFill>
                <a:schemeClr val="tx1"/>
              </a:solidFill>
            </a:ln>
            <a:effectLst/>
          </c:spPr>
          <c:invertIfNegative val="0"/>
          <c:cat>
            <c:strRef>
              <c:f>Planilha1!$B$13:$C$13</c:f>
              <c:strCache>
                <c:ptCount val="2"/>
                <c:pt idx="0">
                  <c:v>Com EC</c:v>
                </c:pt>
                <c:pt idx="1">
                  <c:v>Sem EC</c:v>
                </c:pt>
              </c:strCache>
            </c:strRef>
          </c:cat>
          <c:val>
            <c:numRef>
              <c:f>Planilha1!$B$15:$C$15</c:f>
              <c:numCache>
                <c:formatCode>General</c:formatCode>
                <c:ptCount val="2"/>
                <c:pt idx="0">
                  <c:v>6</c:v>
                </c:pt>
                <c:pt idx="1">
                  <c:v>49</c:v>
                </c:pt>
              </c:numCache>
            </c:numRef>
          </c:val>
          <c:extLst>
            <c:ext xmlns:c16="http://schemas.microsoft.com/office/drawing/2014/chart" uri="{C3380CC4-5D6E-409C-BE32-E72D297353CC}">
              <c16:uniqueId val="{00000001-307F-4633-BBB6-E4BB9C0E2681}"/>
            </c:ext>
          </c:extLst>
        </c:ser>
        <c:dLbls>
          <c:showLegendKey val="0"/>
          <c:showVal val="0"/>
          <c:showCatName val="0"/>
          <c:showSerName val="0"/>
          <c:showPercent val="0"/>
          <c:showBubbleSize val="0"/>
        </c:dLbls>
        <c:gapWidth val="300"/>
        <c:axId val="477950512"/>
        <c:axId val="477949264"/>
      </c:barChart>
      <c:catAx>
        <c:axId val="477950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Padrão de uso de descongestionantes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77949264"/>
        <c:crosses val="autoZero"/>
        <c:auto val="1"/>
        <c:lblAlgn val="ctr"/>
        <c:lblOffset val="100"/>
        <c:noMultiLvlLbl val="0"/>
      </c:catAx>
      <c:valAx>
        <c:axId val="4779492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Frequência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77950512"/>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Planilha1!$G$2</c:f>
              <c:strCache>
                <c:ptCount val="1"/>
                <c:pt idx="0">
                  <c:v>Prescrito</c:v>
                </c:pt>
              </c:strCache>
            </c:strRef>
          </c:tx>
          <c:spPr>
            <a:solidFill>
              <a:schemeClr val="bg1">
                <a:lumMod val="95000"/>
              </a:schemeClr>
            </a:solidFill>
            <a:ln>
              <a:solidFill>
                <a:schemeClr val="tx1"/>
              </a:solidFill>
            </a:ln>
            <a:effectLst/>
          </c:spPr>
          <c:invertIfNegative val="0"/>
          <c:cat>
            <c:strRef>
              <c:f>Planilha1!$H$1:$I$1</c:f>
              <c:strCache>
                <c:ptCount val="2"/>
                <c:pt idx="0">
                  <c:v>Com EC</c:v>
                </c:pt>
                <c:pt idx="1">
                  <c:v>Sem EC</c:v>
                </c:pt>
              </c:strCache>
            </c:strRef>
          </c:cat>
          <c:val>
            <c:numRef>
              <c:f>Planilha1!$H$2:$I$2</c:f>
              <c:numCache>
                <c:formatCode>General</c:formatCode>
                <c:ptCount val="2"/>
                <c:pt idx="0">
                  <c:v>1</c:v>
                </c:pt>
                <c:pt idx="1">
                  <c:v>26</c:v>
                </c:pt>
              </c:numCache>
            </c:numRef>
          </c:val>
          <c:extLst>
            <c:ext xmlns:c16="http://schemas.microsoft.com/office/drawing/2014/chart" uri="{C3380CC4-5D6E-409C-BE32-E72D297353CC}">
              <c16:uniqueId val="{00000000-C02A-4F8E-BCE3-C37510131F62}"/>
            </c:ext>
          </c:extLst>
        </c:ser>
        <c:ser>
          <c:idx val="1"/>
          <c:order val="1"/>
          <c:tx>
            <c:strRef>
              <c:f>Planilha1!$G$3</c:f>
              <c:strCache>
                <c:ptCount val="1"/>
                <c:pt idx="0">
                  <c:v>Não prescrito</c:v>
                </c:pt>
              </c:strCache>
            </c:strRef>
          </c:tx>
          <c:spPr>
            <a:solidFill>
              <a:schemeClr val="bg1">
                <a:lumMod val="50000"/>
              </a:schemeClr>
            </a:solidFill>
            <a:ln>
              <a:solidFill>
                <a:schemeClr val="tx1"/>
              </a:solidFill>
            </a:ln>
            <a:effectLst/>
          </c:spPr>
          <c:invertIfNegative val="0"/>
          <c:cat>
            <c:strRef>
              <c:f>Planilha1!$H$1:$I$1</c:f>
              <c:strCache>
                <c:ptCount val="2"/>
                <c:pt idx="0">
                  <c:v>Com EC</c:v>
                </c:pt>
                <c:pt idx="1">
                  <c:v>Sem EC</c:v>
                </c:pt>
              </c:strCache>
            </c:strRef>
          </c:cat>
          <c:val>
            <c:numRef>
              <c:f>Planilha1!$H$3:$I$3</c:f>
              <c:numCache>
                <c:formatCode>General</c:formatCode>
                <c:ptCount val="2"/>
                <c:pt idx="0">
                  <c:v>12</c:v>
                </c:pt>
                <c:pt idx="1">
                  <c:v>41</c:v>
                </c:pt>
              </c:numCache>
            </c:numRef>
          </c:val>
          <c:extLst>
            <c:ext xmlns:c16="http://schemas.microsoft.com/office/drawing/2014/chart" uri="{C3380CC4-5D6E-409C-BE32-E72D297353CC}">
              <c16:uniqueId val="{00000001-C02A-4F8E-BCE3-C37510131F62}"/>
            </c:ext>
          </c:extLst>
        </c:ser>
        <c:dLbls>
          <c:showLegendKey val="0"/>
          <c:showVal val="0"/>
          <c:showCatName val="0"/>
          <c:showSerName val="0"/>
          <c:showPercent val="0"/>
          <c:showBubbleSize val="0"/>
        </c:dLbls>
        <c:gapWidth val="300"/>
        <c:axId val="546332752"/>
        <c:axId val="546336912"/>
      </c:barChart>
      <c:catAx>
        <c:axId val="546332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Padrão de uso de descongestionantes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546336912"/>
        <c:crosses val="autoZero"/>
        <c:auto val="1"/>
        <c:lblAlgn val="ctr"/>
        <c:lblOffset val="100"/>
        <c:noMultiLvlLbl val="0"/>
      </c:catAx>
      <c:valAx>
        <c:axId val="5463369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Frequência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546332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Planilha1!$A$10</c:f>
              <c:strCache>
                <c:ptCount val="1"/>
                <c:pt idx="0">
                  <c:v>≤6 meses</c:v>
                </c:pt>
              </c:strCache>
            </c:strRef>
          </c:tx>
          <c:spPr>
            <a:solidFill>
              <a:schemeClr val="bg1">
                <a:lumMod val="95000"/>
              </a:schemeClr>
            </a:solidFill>
            <a:ln>
              <a:solidFill>
                <a:schemeClr val="tx1"/>
              </a:solidFill>
            </a:ln>
            <a:effectLst/>
          </c:spPr>
          <c:invertIfNegative val="0"/>
          <c:cat>
            <c:strRef>
              <c:f>Planilha1!$B$9:$C$9</c:f>
              <c:strCache>
                <c:ptCount val="2"/>
                <c:pt idx="0">
                  <c:v>Com EC</c:v>
                </c:pt>
                <c:pt idx="1">
                  <c:v>Sem EC</c:v>
                </c:pt>
              </c:strCache>
            </c:strRef>
          </c:cat>
          <c:val>
            <c:numRef>
              <c:f>Planilha1!$B$10:$C$10</c:f>
              <c:numCache>
                <c:formatCode>General</c:formatCode>
                <c:ptCount val="2"/>
                <c:pt idx="0">
                  <c:v>2</c:v>
                </c:pt>
                <c:pt idx="1">
                  <c:v>6</c:v>
                </c:pt>
              </c:numCache>
            </c:numRef>
          </c:val>
          <c:extLst>
            <c:ext xmlns:c16="http://schemas.microsoft.com/office/drawing/2014/chart" uri="{C3380CC4-5D6E-409C-BE32-E72D297353CC}">
              <c16:uniqueId val="{00000000-23B9-49AC-8318-3A64E441FB36}"/>
            </c:ext>
          </c:extLst>
        </c:ser>
        <c:ser>
          <c:idx val="1"/>
          <c:order val="1"/>
          <c:tx>
            <c:strRef>
              <c:f>Planilha1!$A$11</c:f>
              <c:strCache>
                <c:ptCount val="1"/>
                <c:pt idx="0">
                  <c:v>&gt;6 meses</c:v>
                </c:pt>
              </c:strCache>
            </c:strRef>
          </c:tx>
          <c:spPr>
            <a:solidFill>
              <a:schemeClr val="bg1">
                <a:lumMod val="50000"/>
              </a:schemeClr>
            </a:solidFill>
            <a:ln>
              <a:noFill/>
            </a:ln>
            <a:effectLst/>
          </c:spPr>
          <c:invertIfNegative val="0"/>
          <c:dPt>
            <c:idx val="0"/>
            <c:invertIfNegative val="0"/>
            <c:bubble3D val="0"/>
            <c:spPr>
              <a:solidFill>
                <a:schemeClr val="bg1">
                  <a:lumMod val="50000"/>
                </a:schemeClr>
              </a:solidFill>
              <a:ln>
                <a:solidFill>
                  <a:schemeClr val="tx1"/>
                </a:solidFill>
              </a:ln>
              <a:effectLst/>
            </c:spPr>
            <c:extLst>
              <c:ext xmlns:c16="http://schemas.microsoft.com/office/drawing/2014/chart" uri="{C3380CC4-5D6E-409C-BE32-E72D297353CC}">
                <c16:uniqueId val="{00000002-23B9-49AC-8318-3A64E441FB36}"/>
              </c:ext>
            </c:extLst>
          </c:dPt>
          <c:cat>
            <c:strRef>
              <c:f>Planilha1!$B$9:$C$9</c:f>
              <c:strCache>
                <c:ptCount val="2"/>
                <c:pt idx="0">
                  <c:v>Com EC</c:v>
                </c:pt>
                <c:pt idx="1">
                  <c:v>Sem EC</c:v>
                </c:pt>
              </c:strCache>
            </c:strRef>
          </c:cat>
          <c:val>
            <c:numRef>
              <c:f>Planilha1!$B$11:$C$11</c:f>
              <c:numCache>
                <c:formatCode>General</c:formatCode>
                <c:ptCount val="2"/>
                <c:pt idx="0">
                  <c:v>11</c:v>
                </c:pt>
                <c:pt idx="1">
                  <c:v>38</c:v>
                </c:pt>
              </c:numCache>
            </c:numRef>
          </c:val>
          <c:extLst>
            <c:ext xmlns:c16="http://schemas.microsoft.com/office/drawing/2014/chart" uri="{C3380CC4-5D6E-409C-BE32-E72D297353CC}">
              <c16:uniqueId val="{00000003-23B9-49AC-8318-3A64E441FB36}"/>
            </c:ext>
          </c:extLst>
        </c:ser>
        <c:dLbls>
          <c:showLegendKey val="0"/>
          <c:showVal val="0"/>
          <c:showCatName val="0"/>
          <c:showSerName val="0"/>
          <c:showPercent val="0"/>
          <c:showBubbleSize val="0"/>
        </c:dLbls>
        <c:gapWidth val="300"/>
        <c:axId val="600836944"/>
        <c:axId val="600837776"/>
      </c:barChart>
      <c:catAx>
        <c:axId val="600836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t-BR">
                    <a:solidFill>
                      <a:schemeClr val="tx1"/>
                    </a:solidFill>
                  </a:rPr>
                  <a:t>Padrão</a:t>
                </a:r>
                <a:r>
                  <a:rPr lang="pt-BR" baseline="0">
                    <a:solidFill>
                      <a:schemeClr val="tx1"/>
                    </a:solidFill>
                  </a:rPr>
                  <a:t> de uso de descongestionantes</a:t>
                </a:r>
                <a:endParaRPr lang="pt-BR">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600837776"/>
        <c:crosses val="autoZero"/>
        <c:auto val="1"/>
        <c:lblAlgn val="ctr"/>
        <c:lblOffset val="100"/>
        <c:noMultiLvlLbl val="0"/>
      </c:catAx>
      <c:valAx>
        <c:axId val="6008377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Frequência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600836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Planilha1!$G$6</c:f>
              <c:strCache>
                <c:ptCount val="1"/>
                <c:pt idx="0">
                  <c:v>Segue a bula</c:v>
                </c:pt>
              </c:strCache>
            </c:strRef>
          </c:tx>
          <c:spPr>
            <a:solidFill>
              <a:schemeClr val="bg1">
                <a:lumMod val="95000"/>
              </a:schemeClr>
            </a:solidFill>
            <a:ln>
              <a:solidFill>
                <a:schemeClr val="tx1"/>
              </a:solidFill>
            </a:ln>
            <a:effectLst/>
          </c:spPr>
          <c:invertIfNegative val="0"/>
          <c:cat>
            <c:strRef>
              <c:f>Planilha1!$H$5:$I$5</c:f>
              <c:strCache>
                <c:ptCount val="2"/>
                <c:pt idx="0">
                  <c:v>Com EC</c:v>
                </c:pt>
                <c:pt idx="1">
                  <c:v>Sem EC</c:v>
                </c:pt>
              </c:strCache>
            </c:strRef>
          </c:cat>
          <c:val>
            <c:numRef>
              <c:f>Planilha1!$H$6:$I$6</c:f>
              <c:numCache>
                <c:formatCode>General</c:formatCode>
                <c:ptCount val="2"/>
                <c:pt idx="0">
                  <c:v>0</c:v>
                </c:pt>
                <c:pt idx="1">
                  <c:v>7</c:v>
                </c:pt>
              </c:numCache>
            </c:numRef>
          </c:val>
          <c:extLst>
            <c:ext xmlns:c16="http://schemas.microsoft.com/office/drawing/2014/chart" uri="{C3380CC4-5D6E-409C-BE32-E72D297353CC}">
              <c16:uniqueId val="{00000000-E5D6-45A2-9C47-A252F842896C}"/>
            </c:ext>
          </c:extLst>
        </c:ser>
        <c:ser>
          <c:idx val="1"/>
          <c:order val="1"/>
          <c:tx>
            <c:strRef>
              <c:f>Planilha1!$G$7</c:f>
              <c:strCache>
                <c:ptCount val="1"/>
                <c:pt idx="0">
                  <c:v>Não segue</c:v>
                </c:pt>
              </c:strCache>
            </c:strRef>
          </c:tx>
          <c:spPr>
            <a:solidFill>
              <a:schemeClr val="bg1">
                <a:lumMod val="50000"/>
              </a:schemeClr>
            </a:solidFill>
            <a:ln>
              <a:solidFill>
                <a:schemeClr val="tx1"/>
              </a:solidFill>
            </a:ln>
            <a:effectLst/>
          </c:spPr>
          <c:invertIfNegative val="0"/>
          <c:cat>
            <c:strRef>
              <c:f>Planilha1!$H$5:$I$5</c:f>
              <c:strCache>
                <c:ptCount val="2"/>
                <c:pt idx="0">
                  <c:v>Com EC</c:v>
                </c:pt>
                <c:pt idx="1">
                  <c:v>Sem EC</c:v>
                </c:pt>
              </c:strCache>
            </c:strRef>
          </c:cat>
          <c:val>
            <c:numRef>
              <c:f>Planilha1!$H$7:$I$7</c:f>
              <c:numCache>
                <c:formatCode>General</c:formatCode>
                <c:ptCount val="2"/>
                <c:pt idx="0">
                  <c:v>12</c:v>
                </c:pt>
                <c:pt idx="1">
                  <c:v>34</c:v>
                </c:pt>
              </c:numCache>
            </c:numRef>
          </c:val>
          <c:extLst>
            <c:ext xmlns:c16="http://schemas.microsoft.com/office/drawing/2014/chart" uri="{C3380CC4-5D6E-409C-BE32-E72D297353CC}">
              <c16:uniqueId val="{00000001-E5D6-45A2-9C47-A252F842896C}"/>
            </c:ext>
          </c:extLst>
        </c:ser>
        <c:dLbls>
          <c:showLegendKey val="0"/>
          <c:showVal val="0"/>
          <c:showCatName val="0"/>
          <c:showSerName val="0"/>
          <c:showPercent val="0"/>
          <c:showBubbleSize val="0"/>
        </c:dLbls>
        <c:gapWidth val="300"/>
        <c:axId val="597304336"/>
        <c:axId val="597305584"/>
      </c:barChart>
      <c:catAx>
        <c:axId val="597304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Padrão de uso de descongestionantes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597305584"/>
        <c:crosses val="autoZero"/>
        <c:auto val="1"/>
        <c:lblAlgn val="ctr"/>
        <c:lblOffset val="100"/>
        <c:noMultiLvlLbl val="0"/>
      </c:catAx>
      <c:valAx>
        <c:axId val="597305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Frequência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5973043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861D-4754-4331-8B26-68EF2948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9507</Words>
  <Characters>51344</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2021-01-11T05:35:00Z</dcterms:created>
  <dcterms:modified xsi:type="dcterms:W3CDTF">2021-12-17T01:15:00Z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aa5eea72-0de0-3ea3-9cdc-bf1d7b6babef</vt:lpwstr>
  </property>
  <property fmtid="{D5CDD505-2E9C-101B-9397-08002B2CF9AE}" pid="24" name="Mendeley Citation Style_1">
    <vt:lpwstr>http://www.zotero.org/styles/associacao-brasileira-de-normas-tecnicas</vt:lpwstr>
  </property>
</Properties>
</file>