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2D62" w14:textId="77777777" w:rsidR="00740DA2" w:rsidRDefault="006B546F">
      <w:pPr>
        <w:spacing w:after="145" w:line="259" w:lineRule="auto"/>
        <w:ind w:left="3900" w:right="0" w:firstLine="0"/>
        <w:jc w:val="left"/>
      </w:pPr>
      <w:r>
        <w:rPr>
          <w:noProof/>
        </w:rPr>
        <w:drawing>
          <wp:inline distT="0" distB="0" distL="0" distR="0" wp14:anchorId="56ACA8DF" wp14:editId="7B82AE06">
            <wp:extent cx="1209675" cy="17621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5"/>
                    <a:stretch>
                      <a:fillRect/>
                    </a:stretch>
                  </pic:blipFill>
                  <pic:spPr>
                    <a:xfrm>
                      <a:off x="0" y="0"/>
                      <a:ext cx="1209675" cy="1762125"/>
                    </a:xfrm>
                    <a:prstGeom prst="rect">
                      <a:avLst/>
                    </a:prstGeom>
                  </pic:spPr>
                </pic:pic>
              </a:graphicData>
            </a:graphic>
          </wp:inline>
        </w:drawing>
      </w:r>
    </w:p>
    <w:p w14:paraId="4D28C644" w14:textId="77777777" w:rsidR="00740DA2" w:rsidRDefault="006B546F">
      <w:pPr>
        <w:spacing w:after="160" w:line="259" w:lineRule="auto"/>
        <w:ind w:left="0" w:right="0" w:firstLine="0"/>
        <w:jc w:val="left"/>
      </w:pPr>
      <w:r>
        <w:t xml:space="preserve"> </w:t>
      </w:r>
    </w:p>
    <w:p w14:paraId="304B0B5A" w14:textId="77777777" w:rsidR="00740DA2" w:rsidRDefault="006B546F">
      <w:pPr>
        <w:spacing w:after="160" w:line="259" w:lineRule="auto"/>
        <w:ind w:left="0" w:right="0" w:firstLine="0"/>
        <w:jc w:val="left"/>
      </w:pPr>
      <w:r>
        <w:t xml:space="preserve"> </w:t>
      </w:r>
    </w:p>
    <w:p w14:paraId="49FF3DB5" w14:textId="77777777" w:rsidR="00740DA2" w:rsidRDefault="006B546F">
      <w:pPr>
        <w:spacing w:after="274" w:line="259" w:lineRule="auto"/>
        <w:jc w:val="center"/>
      </w:pPr>
      <w:r>
        <w:t xml:space="preserve">PONTIFÍCIA UNIVERSIDADE CATÓLICA DE GOIÁS </w:t>
      </w:r>
    </w:p>
    <w:p w14:paraId="5FEF2391" w14:textId="77777777" w:rsidR="00740DA2" w:rsidRDefault="006B546F">
      <w:pPr>
        <w:spacing w:after="274" w:line="259" w:lineRule="auto"/>
        <w:ind w:right="7"/>
        <w:jc w:val="center"/>
      </w:pPr>
      <w:r>
        <w:t xml:space="preserve">ESCOLA DE CIÊNCIAS MÉDICAS, FARMACÊUTICAS E BIOMÉDICAS </w:t>
      </w:r>
    </w:p>
    <w:p w14:paraId="161C4ECD" w14:textId="2D10DE83" w:rsidR="00740DA2" w:rsidRDefault="006B546F" w:rsidP="008A524A">
      <w:pPr>
        <w:spacing w:after="276" w:line="259" w:lineRule="auto"/>
        <w:ind w:left="61" w:right="0" w:firstLine="0"/>
        <w:jc w:val="center"/>
      </w:pPr>
      <w:r>
        <w:t xml:space="preserve">  </w:t>
      </w:r>
    </w:p>
    <w:p w14:paraId="5707BB5B" w14:textId="77777777" w:rsidR="00740DA2" w:rsidRDefault="006B546F">
      <w:pPr>
        <w:spacing w:after="276" w:line="259" w:lineRule="auto"/>
        <w:ind w:left="61" w:right="0" w:firstLine="0"/>
        <w:jc w:val="center"/>
      </w:pPr>
      <w:r>
        <w:t xml:space="preserve"> </w:t>
      </w:r>
    </w:p>
    <w:p w14:paraId="5EAB6454" w14:textId="77777777" w:rsidR="00740DA2" w:rsidRDefault="006B546F">
      <w:pPr>
        <w:spacing w:after="276" w:line="259" w:lineRule="auto"/>
        <w:ind w:left="61" w:right="0" w:firstLine="0"/>
        <w:jc w:val="center"/>
      </w:pPr>
      <w:r>
        <w:t xml:space="preserve"> </w:t>
      </w:r>
    </w:p>
    <w:p w14:paraId="7034D549" w14:textId="77777777" w:rsidR="00740DA2" w:rsidRDefault="006B546F">
      <w:pPr>
        <w:pStyle w:val="Ttulo3"/>
        <w:spacing w:after="159" w:line="361" w:lineRule="auto"/>
        <w:jc w:val="center"/>
      </w:pPr>
      <w:r>
        <w:t xml:space="preserve">Síndrome de Burnout em estudantes de Medicina da PUC GOIÁS no cenário de pandemia por COVID-19 </w:t>
      </w:r>
    </w:p>
    <w:p w14:paraId="35E74B81" w14:textId="77777777" w:rsidR="00740DA2" w:rsidRDefault="006B546F">
      <w:pPr>
        <w:spacing w:after="276" w:line="259" w:lineRule="auto"/>
        <w:ind w:left="61" w:right="0" w:firstLine="0"/>
        <w:jc w:val="center"/>
      </w:pPr>
      <w:r>
        <w:rPr>
          <w:b/>
        </w:rPr>
        <w:t xml:space="preserve"> </w:t>
      </w:r>
    </w:p>
    <w:p w14:paraId="0548629E" w14:textId="77777777" w:rsidR="00740DA2" w:rsidRDefault="006B546F">
      <w:pPr>
        <w:spacing w:after="276" w:line="259" w:lineRule="auto"/>
        <w:ind w:left="61" w:right="0" w:firstLine="0"/>
        <w:jc w:val="center"/>
      </w:pPr>
      <w:r>
        <w:rPr>
          <w:b/>
        </w:rPr>
        <w:t xml:space="preserve"> </w:t>
      </w:r>
    </w:p>
    <w:p w14:paraId="44FBF734" w14:textId="77777777" w:rsidR="00740DA2" w:rsidRDefault="006B546F">
      <w:pPr>
        <w:spacing w:after="278" w:line="259" w:lineRule="auto"/>
        <w:ind w:left="61" w:right="0" w:firstLine="0"/>
        <w:jc w:val="center"/>
      </w:pPr>
      <w:r>
        <w:rPr>
          <w:b/>
        </w:rPr>
        <w:t xml:space="preserve"> </w:t>
      </w:r>
    </w:p>
    <w:p w14:paraId="11475B63" w14:textId="77777777" w:rsidR="00740DA2" w:rsidRDefault="006B546F">
      <w:pPr>
        <w:spacing w:after="274" w:line="259" w:lineRule="auto"/>
        <w:jc w:val="center"/>
      </w:pPr>
      <w:r>
        <w:t xml:space="preserve">ANA CLARA DA CUNHA E CRUZ CORDEIRO </w:t>
      </w:r>
    </w:p>
    <w:p w14:paraId="7989A21A" w14:textId="77777777" w:rsidR="00740DA2" w:rsidRDefault="006B546F">
      <w:pPr>
        <w:spacing w:after="274" w:line="259" w:lineRule="auto"/>
        <w:jc w:val="center"/>
      </w:pPr>
      <w:r>
        <w:t xml:space="preserve">GIOVANNA PEREIRA BERTHOLUCCI </w:t>
      </w:r>
    </w:p>
    <w:p w14:paraId="301CC80A" w14:textId="77777777" w:rsidR="00740DA2" w:rsidRDefault="006B546F">
      <w:pPr>
        <w:spacing w:after="161" w:line="259" w:lineRule="auto"/>
        <w:ind w:left="61" w:right="0" w:firstLine="0"/>
        <w:jc w:val="center"/>
      </w:pPr>
      <w:r>
        <w:t xml:space="preserve"> </w:t>
      </w:r>
    </w:p>
    <w:p w14:paraId="4F8FC7D6" w14:textId="7B350823" w:rsidR="00740DA2" w:rsidRDefault="006B546F" w:rsidP="008A524A">
      <w:pPr>
        <w:spacing w:after="158" w:line="259" w:lineRule="auto"/>
        <w:ind w:left="61" w:right="0" w:firstLine="0"/>
        <w:jc w:val="center"/>
      </w:pPr>
      <w:r>
        <w:t xml:space="preserve">  </w:t>
      </w:r>
    </w:p>
    <w:p w14:paraId="59F22A71" w14:textId="77777777" w:rsidR="00740DA2" w:rsidRDefault="006B546F">
      <w:pPr>
        <w:spacing w:after="160" w:line="259" w:lineRule="auto"/>
        <w:ind w:left="61" w:right="0" w:firstLine="0"/>
        <w:jc w:val="center"/>
      </w:pPr>
      <w:r>
        <w:t xml:space="preserve"> </w:t>
      </w:r>
    </w:p>
    <w:p w14:paraId="20E96694" w14:textId="4305C7D3" w:rsidR="00740DA2" w:rsidRDefault="006B546F" w:rsidP="00ED6FAE">
      <w:pPr>
        <w:spacing w:after="160" w:line="259" w:lineRule="auto"/>
        <w:ind w:left="0" w:right="0" w:firstLine="0"/>
        <w:jc w:val="left"/>
      </w:pPr>
      <w:r>
        <w:t xml:space="preserve">  </w:t>
      </w:r>
    </w:p>
    <w:p w14:paraId="3510F3AA" w14:textId="77777777" w:rsidR="00740DA2" w:rsidRDefault="006B546F">
      <w:pPr>
        <w:pStyle w:val="Ttulo3"/>
        <w:spacing w:after="161"/>
        <w:ind w:right="32"/>
        <w:jc w:val="center"/>
      </w:pPr>
      <w:r>
        <w:t xml:space="preserve">GOIÂNIA – GO </w:t>
      </w:r>
    </w:p>
    <w:p w14:paraId="66608790" w14:textId="01776842" w:rsidR="00740DA2" w:rsidRDefault="006B546F">
      <w:pPr>
        <w:pStyle w:val="Ttulo4"/>
        <w:spacing w:after="115"/>
        <w:ind w:right="35"/>
        <w:jc w:val="center"/>
      </w:pPr>
      <w:r>
        <w:t>202</w:t>
      </w:r>
      <w:r w:rsidR="008A524A">
        <w:t>1</w:t>
      </w:r>
      <w:r>
        <w:t xml:space="preserve"> </w:t>
      </w:r>
    </w:p>
    <w:p w14:paraId="6E104706" w14:textId="77777777" w:rsidR="00ED6FAE" w:rsidRPr="00ED6FAE" w:rsidRDefault="00ED6FAE" w:rsidP="00ED6FAE"/>
    <w:p w14:paraId="203D921B" w14:textId="3C8E4A34" w:rsidR="00740DA2" w:rsidRDefault="006B546F">
      <w:pPr>
        <w:spacing w:after="274" w:line="259" w:lineRule="auto"/>
        <w:jc w:val="center"/>
      </w:pPr>
      <w:r>
        <w:lastRenderedPageBreak/>
        <w:t xml:space="preserve">ANA CLARA DA CUNHA E CRUZ CORDEIRO </w:t>
      </w:r>
    </w:p>
    <w:p w14:paraId="751AD3C5" w14:textId="38CB97C2" w:rsidR="00740DA2" w:rsidRDefault="006B546F">
      <w:pPr>
        <w:spacing w:after="274" w:line="259" w:lineRule="auto"/>
        <w:jc w:val="center"/>
      </w:pPr>
      <w:r>
        <w:t xml:space="preserve">GIOVANNA PEREIRA BERTHOLUCCI </w:t>
      </w:r>
    </w:p>
    <w:p w14:paraId="213B3517" w14:textId="6039D9B5" w:rsidR="00740DA2" w:rsidRDefault="006B546F">
      <w:pPr>
        <w:spacing w:after="160" w:line="259" w:lineRule="auto"/>
        <w:ind w:left="61" w:right="0" w:firstLine="0"/>
        <w:jc w:val="center"/>
      </w:pPr>
      <w:r>
        <w:rPr>
          <w:b/>
        </w:rPr>
        <w:t xml:space="preserve"> </w:t>
      </w:r>
    </w:p>
    <w:p w14:paraId="77706508" w14:textId="368D8DC4" w:rsidR="00740DA2" w:rsidRDefault="006B546F">
      <w:pPr>
        <w:spacing w:after="160" w:line="259" w:lineRule="auto"/>
        <w:ind w:left="61" w:right="0" w:firstLine="0"/>
        <w:jc w:val="center"/>
      </w:pPr>
      <w:r>
        <w:t xml:space="preserve"> </w:t>
      </w:r>
    </w:p>
    <w:p w14:paraId="2DE0CE28" w14:textId="3EC71ADA" w:rsidR="00740DA2" w:rsidRDefault="006B546F">
      <w:pPr>
        <w:spacing w:after="160" w:line="259" w:lineRule="auto"/>
        <w:ind w:left="61" w:right="0" w:firstLine="0"/>
        <w:jc w:val="center"/>
      </w:pPr>
      <w:r>
        <w:t xml:space="preserve"> </w:t>
      </w:r>
    </w:p>
    <w:p w14:paraId="24519DE3" w14:textId="2722C80C" w:rsidR="00740DA2" w:rsidRDefault="006B546F">
      <w:pPr>
        <w:spacing w:after="158" w:line="259" w:lineRule="auto"/>
        <w:ind w:left="61" w:right="0" w:firstLine="0"/>
        <w:jc w:val="center"/>
      </w:pPr>
      <w:r>
        <w:t xml:space="preserve"> </w:t>
      </w:r>
    </w:p>
    <w:p w14:paraId="6A22E0A2" w14:textId="278DEEBE" w:rsidR="00740DA2" w:rsidRDefault="006B546F">
      <w:pPr>
        <w:spacing w:after="160" w:line="259" w:lineRule="auto"/>
        <w:ind w:left="61" w:right="0" w:firstLine="0"/>
        <w:jc w:val="center"/>
      </w:pPr>
      <w:r>
        <w:t xml:space="preserve"> </w:t>
      </w:r>
    </w:p>
    <w:p w14:paraId="57109884" w14:textId="739029BA" w:rsidR="00740DA2" w:rsidRDefault="006B546F">
      <w:pPr>
        <w:spacing w:after="161" w:line="259" w:lineRule="auto"/>
        <w:ind w:left="61" w:right="0" w:firstLine="0"/>
        <w:jc w:val="center"/>
      </w:pPr>
      <w:r>
        <w:t xml:space="preserve"> </w:t>
      </w:r>
    </w:p>
    <w:p w14:paraId="32B7EED9" w14:textId="1D4230D4" w:rsidR="00740DA2" w:rsidRDefault="006B546F">
      <w:pPr>
        <w:spacing w:after="160" w:line="259" w:lineRule="auto"/>
        <w:ind w:left="61" w:right="0" w:firstLine="0"/>
        <w:jc w:val="center"/>
      </w:pPr>
      <w:r>
        <w:t xml:space="preserve"> </w:t>
      </w:r>
    </w:p>
    <w:p w14:paraId="5552CE14" w14:textId="5CD842C0" w:rsidR="00740DA2" w:rsidRDefault="006B546F">
      <w:pPr>
        <w:spacing w:after="158" w:line="259" w:lineRule="auto"/>
        <w:ind w:left="61" w:right="0" w:firstLine="0"/>
        <w:jc w:val="center"/>
      </w:pPr>
      <w:r>
        <w:t xml:space="preserve"> </w:t>
      </w:r>
    </w:p>
    <w:p w14:paraId="64B8A789" w14:textId="20B71DD0" w:rsidR="00740DA2" w:rsidRDefault="006B546F">
      <w:pPr>
        <w:spacing w:after="160" w:line="259" w:lineRule="auto"/>
        <w:ind w:left="61" w:right="0" w:firstLine="0"/>
        <w:jc w:val="center"/>
      </w:pPr>
      <w:r>
        <w:t xml:space="preserve"> </w:t>
      </w:r>
    </w:p>
    <w:p w14:paraId="1B001D8C" w14:textId="3DC92ACD" w:rsidR="00740DA2" w:rsidRDefault="006B546F">
      <w:pPr>
        <w:spacing w:after="160" w:line="259" w:lineRule="auto"/>
        <w:ind w:left="61" w:right="0" w:firstLine="0"/>
        <w:jc w:val="center"/>
      </w:pPr>
      <w:r>
        <w:t xml:space="preserve"> </w:t>
      </w:r>
    </w:p>
    <w:p w14:paraId="6E7A311D" w14:textId="0A82CC12" w:rsidR="00740DA2" w:rsidRDefault="006B546F">
      <w:pPr>
        <w:pStyle w:val="Ttulo4"/>
        <w:spacing w:after="163" w:line="359" w:lineRule="auto"/>
        <w:jc w:val="center"/>
      </w:pPr>
      <w:r>
        <w:t xml:space="preserve">Síndrome de Burnout em estudantes de Medicina da PUC GOIÁS no cenário de pandemia por COVID-19 </w:t>
      </w:r>
    </w:p>
    <w:p w14:paraId="60BB1AA5" w14:textId="33F35A82" w:rsidR="00740DA2" w:rsidRDefault="006B546F">
      <w:pPr>
        <w:spacing w:after="0" w:line="259" w:lineRule="auto"/>
        <w:ind w:left="2113" w:right="0" w:firstLine="0"/>
        <w:jc w:val="left"/>
      </w:pPr>
      <w:r>
        <w:t xml:space="preserve"> </w:t>
      </w:r>
    </w:p>
    <w:p w14:paraId="43746072" w14:textId="2C88830E" w:rsidR="00740DA2" w:rsidRDefault="00740DA2">
      <w:pPr>
        <w:spacing w:after="160" w:line="259" w:lineRule="auto"/>
        <w:ind w:left="2113" w:right="0" w:firstLine="0"/>
        <w:jc w:val="left"/>
      </w:pPr>
    </w:p>
    <w:p w14:paraId="62A4CB21" w14:textId="3FE7E408" w:rsidR="00740DA2" w:rsidRDefault="006B546F">
      <w:pPr>
        <w:spacing w:after="159" w:line="259" w:lineRule="auto"/>
        <w:ind w:left="61" w:right="0" w:firstLine="0"/>
        <w:jc w:val="center"/>
      </w:pPr>
      <w:r>
        <w:t xml:space="preserve"> </w:t>
      </w:r>
    </w:p>
    <w:p w14:paraId="6711A965" w14:textId="1A4013D0" w:rsidR="00740DA2" w:rsidRDefault="006B546F">
      <w:pPr>
        <w:spacing w:after="160" w:line="259" w:lineRule="auto"/>
        <w:ind w:left="61" w:right="0" w:firstLine="0"/>
        <w:jc w:val="center"/>
      </w:pPr>
      <w:r>
        <w:t xml:space="preserve"> </w:t>
      </w:r>
    </w:p>
    <w:p w14:paraId="2B9C83ED" w14:textId="5849A36F" w:rsidR="00740DA2" w:rsidRDefault="006B546F">
      <w:pPr>
        <w:spacing w:after="160" w:line="259" w:lineRule="auto"/>
        <w:ind w:left="61" w:right="0" w:firstLine="0"/>
        <w:jc w:val="center"/>
      </w:pPr>
      <w:r>
        <w:t xml:space="preserve"> </w:t>
      </w:r>
    </w:p>
    <w:p w14:paraId="2E7DD4B8" w14:textId="6E32AFD4" w:rsidR="00740DA2" w:rsidRDefault="006B546F">
      <w:pPr>
        <w:spacing w:after="160" w:line="259" w:lineRule="auto"/>
        <w:ind w:left="61" w:right="0" w:firstLine="0"/>
        <w:jc w:val="center"/>
      </w:pPr>
      <w:r>
        <w:t xml:space="preserve"> </w:t>
      </w:r>
    </w:p>
    <w:p w14:paraId="29904843" w14:textId="5F20CD49" w:rsidR="00ED6FAE" w:rsidRDefault="00ED6FAE">
      <w:pPr>
        <w:spacing w:after="160" w:line="259" w:lineRule="auto"/>
        <w:ind w:left="61" w:right="0" w:firstLine="0"/>
        <w:jc w:val="center"/>
      </w:pPr>
    </w:p>
    <w:p w14:paraId="08704B3B" w14:textId="5702C483" w:rsidR="00ED6FAE" w:rsidRDefault="00ED6FAE">
      <w:pPr>
        <w:spacing w:after="160" w:line="259" w:lineRule="auto"/>
        <w:ind w:left="61" w:right="0" w:firstLine="0"/>
        <w:jc w:val="center"/>
      </w:pPr>
    </w:p>
    <w:p w14:paraId="2039CAA1" w14:textId="641F51B0" w:rsidR="00ED6FAE" w:rsidRDefault="00ED6FAE">
      <w:pPr>
        <w:spacing w:after="160" w:line="259" w:lineRule="auto"/>
        <w:ind w:left="61" w:right="0" w:firstLine="0"/>
        <w:jc w:val="center"/>
      </w:pPr>
    </w:p>
    <w:p w14:paraId="208DA68E" w14:textId="753B525A" w:rsidR="00ED6FAE" w:rsidRDefault="00ED6FAE">
      <w:pPr>
        <w:spacing w:after="160" w:line="259" w:lineRule="auto"/>
        <w:ind w:left="61" w:right="0" w:firstLine="0"/>
        <w:jc w:val="center"/>
      </w:pPr>
    </w:p>
    <w:p w14:paraId="7FD32C72" w14:textId="635D0507" w:rsidR="00ED6FAE" w:rsidRDefault="00ED6FAE">
      <w:pPr>
        <w:spacing w:after="160" w:line="259" w:lineRule="auto"/>
        <w:ind w:left="61" w:right="0" w:firstLine="0"/>
        <w:jc w:val="center"/>
      </w:pPr>
    </w:p>
    <w:p w14:paraId="0296C1E0" w14:textId="6C986A2A" w:rsidR="00ED6FAE" w:rsidRDefault="00ED6FAE">
      <w:pPr>
        <w:spacing w:after="160" w:line="259" w:lineRule="auto"/>
        <w:ind w:left="61" w:right="0" w:firstLine="0"/>
        <w:jc w:val="center"/>
      </w:pPr>
    </w:p>
    <w:p w14:paraId="51D0B3A9" w14:textId="77777777" w:rsidR="00ED6FAE" w:rsidRDefault="00ED6FAE">
      <w:pPr>
        <w:spacing w:after="160" w:line="259" w:lineRule="auto"/>
        <w:ind w:left="61" w:right="0" w:firstLine="0"/>
        <w:jc w:val="center"/>
      </w:pPr>
    </w:p>
    <w:p w14:paraId="2C566479" w14:textId="77777777" w:rsidR="00740DA2" w:rsidRDefault="006B546F">
      <w:pPr>
        <w:spacing w:after="161" w:line="259" w:lineRule="auto"/>
        <w:ind w:left="0" w:right="0" w:firstLine="0"/>
        <w:jc w:val="left"/>
      </w:pPr>
      <w:r>
        <w:t xml:space="preserve"> </w:t>
      </w:r>
    </w:p>
    <w:p w14:paraId="09593054" w14:textId="25CED7B5" w:rsidR="00740DA2" w:rsidRDefault="006B546F">
      <w:pPr>
        <w:spacing w:after="161" w:line="259" w:lineRule="auto"/>
        <w:ind w:right="4"/>
        <w:jc w:val="center"/>
      </w:pPr>
      <w:r>
        <w:t xml:space="preserve">GOIÂNIA – GO </w:t>
      </w:r>
    </w:p>
    <w:p w14:paraId="3D9FCD19" w14:textId="7D0AAE9F" w:rsidR="00740DA2" w:rsidRDefault="006B546F">
      <w:pPr>
        <w:spacing w:after="274" w:line="259" w:lineRule="auto"/>
        <w:ind w:right="5"/>
        <w:jc w:val="center"/>
      </w:pPr>
      <w:r>
        <w:t>202</w:t>
      </w:r>
      <w:r w:rsidR="008A524A">
        <w:t>1</w:t>
      </w:r>
    </w:p>
    <w:p w14:paraId="368C15F8" w14:textId="069C3389" w:rsidR="00740DA2" w:rsidRDefault="006B546F">
      <w:pPr>
        <w:pStyle w:val="Ttulo1"/>
        <w:numPr>
          <w:ilvl w:val="0"/>
          <w:numId w:val="0"/>
        </w:numPr>
        <w:spacing w:after="115"/>
        <w:ind w:right="34"/>
        <w:jc w:val="center"/>
      </w:pPr>
      <w:bookmarkStart w:id="0" w:name="_Toc90483714"/>
      <w:r>
        <w:lastRenderedPageBreak/>
        <w:t>RESUMO</w:t>
      </w:r>
      <w:bookmarkEnd w:id="0"/>
      <w:r>
        <w:t xml:space="preserve"> </w:t>
      </w:r>
    </w:p>
    <w:p w14:paraId="7E94AEF1" w14:textId="190B4396" w:rsidR="008A524A" w:rsidRPr="008A524A" w:rsidRDefault="008A524A" w:rsidP="008A524A">
      <w:pPr>
        <w:spacing w:after="160" w:line="360" w:lineRule="auto"/>
        <w:ind w:left="113" w:right="113"/>
        <w:rPr>
          <w:sz w:val="32"/>
          <w:szCs w:val="28"/>
        </w:rPr>
      </w:pPr>
      <w:r w:rsidRPr="008A524A">
        <w:rPr>
          <w:b/>
          <w:szCs w:val="24"/>
        </w:rPr>
        <w:t xml:space="preserve">Objetivo: </w:t>
      </w:r>
      <w:r w:rsidRPr="008A524A">
        <w:rPr>
          <w:szCs w:val="24"/>
        </w:rPr>
        <w:t xml:space="preserve">Determinar o nível de esgotamento laboral do acadêmico de medicina da </w:t>
      </w:r>
      <w:r>
        <w:rPr>
          <w:szCs w:val="24"/>
        </w:rPr>
        <w:t>PUC Goiás</w:t>
      </w:r>
      <w:r w:rsidRPr="008A524A">
        <w:rPr>
          <w:szCs w:val="24"/>
        </w:rPr>
        <w:t xml:space="preserve"> referente ao cenário da pandemia por covid-19. </w:t>
      </w:r>
      <w:r w:rsidRPr="008A524A">
        <w:rPr>
          <w:b/>
          <w:szCs w:val="24"/>
        </w:rPr>
        <w:t xml:space="preserve">Métodos: </w:t>
      </w:r>
      <w:r w:rsidRPr="008A524A">
        <w:rPr>
          <w:szCs w:val="24"/>
        </w:rPr>
        <w:t xml:space="preserve">Foi realizado um estudo transversal com 74 estudantes de medicina da PUC Goiás via formulário online em maio a agosto de 2021. Para a análise dos dados, foi empregado o teste do </w:t>
      </w:r>
      <w:r w:rsidRPr="008A524A">
        <w:rPr>
          <w:i/>
          <w:iCs/>
          <w:szCs w:val="24"/>
        </w:rPr>
        <w:t xml:space="preserve">X² </w:t>
      </w:r>
      <w:r w:rsidRPr="008A524A">
        <w:rPr>
          <w:szCs w:val="24"/>
        </w:rPr>
        <w:t xml:space="preserve">utilizando o software </w:t>
      </w:r>
      <w:proofErr w:type="spellStart"/>
      <w:r w:rsidRPr="008A524A">
        <w:rPr>
          <w:szCs w:val="24"/>
        </w:rPr>
        <w:t>Past</w:t>
      </w:r>
      <w:proofErr w:type="spellEnd"/>
      <w:r w:rsidRPr="008A524A">
        <w:rPr>
          <w:szCs w:val="24"/>
        </w:rPr>
        <w:t xml:space="preserve"> versão 4.03. </w:t>
      </w:r>
      <w:r w:rsidRPr="008A524A">
        <w:rPr>
          <w:b/>
          <w:szCs w:val="24"/>
        </w:rPr>
        <w:t>Resultados:</w:t>
      </w:r>
      <w:r w:rsidRPr="008A524A">
        <w:rPr>
          <w:szCs w:val="24"/>
        </w:rPr>
        <w:t xml:space="preserve"> Observou-se que 68,9% (n=51) da amostra de estudantes de medicina da PUC Goiás, encontram-se na fase inicial da Burnout e 17,6% (n=13), já se encontram em um estágio considerado Síndrome de Burnout instalada. Além disso, a possibilidade do desenvolvimento da síndrome é realidade para 13,5% (n=10) da amostra. </w:t>
      </w:r>
      <w:r w:rsidRPr="008A524A">
        <w:rPr>
          <w:b/>
          <w:szCs w:val="24"/>
        </w:rPr>
        <w:t>Considerações finais:</w:t>
      </w:r>
      <w:r w:rsidRPr="008A524A">
        <w:rPr>
          <w:szCs w:val="24"/>
        </w:rPr>
        <w:t xml:space="preserve"> O nível de esgotamento laboral entre acadêmicos de medicina da PUC Goiás durante a pandemia por COVID-19 foi elevado, já que 86,5% (n=64) dos acadêmicos entrevistados apresentam algum grau de Burnout, o que gera preocupação por interferir diretamente na </w:t>
      </w:r>
      <w:r w:rsidRPr="008A524A">
        <w:rPr>
          <w:rFonts w:eastAsia="Times New Roman"/>
          <w:szCs w:val="24"/>
        </w:rPr>
        <w:t>qualidade de vida e na saúde mental dessa população</w:t>
      </w:r>
      <w:r w:rsidRPr="008A524A">
        <w:rPr>
          <w:szCs w:val="24"/>
        </w:rPr>
        <w:t xml:space="preserve">. </w:t>
      </w:r>
    </w:p>
    <w:p w14:paraId="2908601E" w14:textId="77777777" w:rsidR="008A524A" w:rsidRPr="008A524A" w:rsidRDefault="008A524A" w:rsidP="008A524A">
      <w:pPr>
        <w:spacing w:after="120" w:line="276" w:lineRule="auto"/>
        <w:rPr>
          <w:bCs/>
          <w:szCs w:val="24"/>
        </w:rPr>
      </w:pPr>
      <w:r w:rsidRPr="008A524A">
        <w:rPr>
          <w:b/>
          <w:szCs w:val="24"/>
        </w:rPr>
        <w:t xml:space="preserve">Palavras-chave: </w:t>
      </w:r>
      <w:r w:rsidRPr="008A524A">
        <w:rPr>
          <w:szCs w:val="24"/>
        </w:rPr>
        <w:t xml:space="preserve">Síndrome de </w:t>
      </w:r>
      <w:r w:rsidRPr="008A524A">
        <w:rPr>
          <w:i/>
          <w:szCs w:val="24"/>
        </w:rPr>
        <w:t xml:space="preserve">Burnout, </w:t>
      </w:r>
      <w:r w:rsidRPr="008A524A">
        <w:rPr>
          <w:szCs w:val="24"/>
        </w:rPr>
        <w:t>antidepressivos, ansiolíticos, pandemia, COVID-19, acadêmicos de medicina.</w:t>
      </w:r>
    </w:p>
    <w:p w14:paraId="5C86E028" w14:textId="77777777" w:rsidR="00740DA2" w:rsidRDefault="006B546F">
      <w:pPr>
        <w:spacing w:after="276" w:line="259" w:lineRule="auto"/>
        <w:ind w:left="708" w:right="0" w:firstLine="0"/>
        <w:jc w:val="left"/>
      </w:pPr>
      <w:r>
        <w:t xml:space="preserve"> </w:t>
      </w:r>
    </w:p>
    <w:p w14:paraId="3D52524C" w14:textId="77777777" w:rsidR="00740DA2" w:rsidRDefault="006B546F">
      <w:pPr>
        <w:spacing w:after="160" w:line="259" w:lineRule="auto"/>
        <w:ind w:left="0" w:right="0" w:firstLine="0"/>
        <w:jc w:val="left"/>
      </w:pPr>
      <w:r>
        <w:t xml:space="preserve"> </w:t>
      </w:r>
    </w:p>
    <w:p w14:paraId="1A2BF970" w14:textId="77777777" w:rsidR="00740DA2" w:rsidRDefault="006B546F">
      <w:pPr>
        <w:spacing w:after="160" w:line="259" w:lineRule="auto"/>
        <w:ind w:left="0" w:right="0" w:firstLine="0"/>
        <w:jc w:val="left"/>
      </w:pPr>
      <w:r>
        <w:t xml:space="preserve"> </w:t>
      </w:r>
    </w:p>
    <w:p w14:paraId="240D10A3" w14:textId="77777777" w:rsidR="00740DA2" w:rsidRDefault="006B546F">
      <w:pPr>
        <w:spacing w:after="160" w:line="259" w:lineRule="auto"/>
        <w:ind w:left="0" w:right="0" w:firstLine="0"/>
        <w:jc w:val="left"/>
      </w:pPr>
      <w:r>
        <w:t xml:space="preserve"> </w:t>
      </w:r>
    </w:p>
    <w:p w14:paraId="2443F39D" w14:textId="77777777" w:rsidR="00740DA2" w:rsidRDefault="006B546F">
      <w:pPr>
        <w:spacing w:after="158" w:line="259" w:lineRule="auto"/>
        <w:ind w:left="0" w:right="0" w:firstLine="0"/>
        <w:jc w:val="left"/>
      </w:pPr>
      <w:r>
        <w:t xml:space="preserve"> </w:t>
      </w:r>
    </w:p>
    <w:p w14:paraId="5DE5A2ED" w14:textId="77777777" w:rsidR="00740DA2" w:rsidRDefault="006B546F">
      <w:pPr>
        <w:spacing w:after="160" w:line="259" w:lineRule="auto"/>
        <w:ind w:left="0" w:right="0" w:firstLine="0"/>
        <w:jc w:val="left"/>
      </w:pPr>
      <w:r>
        <w:t xml:space="preserve"> </w:t>
      </w:r>
    </w:p>
    <w:p w14:paraId="4DA85695" w14:textId="77777777" w:rsidR="00740DA2" w:rsidRDefault="006B546F">
      <w:pPr>
        <w:spacing w:after="160" w:line="259" w:lineRule="auto"/>
        <w:ind w:left="0" w:right="0" w:firstLine="0"/>
        <w:jc w:val="left"/>
      </w:pPr>
      <w:r>
        <w:t xml:space="preserve"> </w:t>
      </w:r>
    </w:p>
    <w:p w14:paraId="4E0E6EF7" w14:textId="77777777" w:rsidR="00740DA2" w:rsidRDefault="006B546F">
      <w:pPr>
        <w:spacing w:after="161" w:line="259" w:lineRule="auto"/>
        <w:ind w:left="0" w:right="0" w:firstLine="0"/>
        <w:jc w:val="left"/>
      </w:pPr>
      <w:r>
        <w:t xml:space="preserve"> </w:t>
      </w:r>
    </w:p>
    <w:p w14:paraId="1AC3D598" w14:textId="77777777" w:rsidR="00740DA2" w:rsidRDefault="006B546F">
      <w:pPr>
        <w:spacing w:after="158" w:line="259" w:lineRule="auto"/>
        <w:ind w:left="0" w:right="0" w:firstLine="0"/>
        <w:jc w:val="left"/>
      </w:pPr>
      <w:r>
        <w:t xml:space="preserve"> </w:t>
      </w:r>
    </w:p>
    <w:p w14:paraId="65E5F638" w14:textId="77777777" w:rsidR="00740DA2" w:rsidRDefault="006B546F">
      <w:pPr>
        <w:spacing w:after="160" w:line="259" w:lineRule="auto"/>
        <w:ind w:left="0" w:right="0" w:firstLine="0"/>
        <w:jc w:val="left"/>
      </w:pPr>
      <w:r>
        <w:t xml:space="preserve"> </w:t>
      </w:r>
    </w:p>
    <w:p w14:paraId="42239F8E" w14:textId="77777777" w:rsidR="00740DA2" w:rsidRDefault="006B546F">
      <w:pPr>
        <w:spacing w:after="160" w:line="259" w:lineRule="auto"/>
        <w:ind w:left="0" w:right="0" w:firstLine="0"/>
        <w:jc w:val="left"/>
      </w:pPr>
      <w:r>
        <w:t xml:space="preserve"> </w:t>
      </w:r>
    </w:p>
    <w:p w14:paraId="6BACE2ED" w14:textId="77777777" w:rsidR="00740DA2" w:rsidRDefault="006B546F">
      <w:pPr>
        <w:spacing w:after="160" w:line="259" w:lineRule="auto"/>
        <w:ind w:left="0" w:right="0" w:firstLine="0"/>
        <w:jc w:val="left"/>
      </w:pPr>
      <w:r>
        <w:t xml:space="preserve"> </w:t>
      </w:r>
    </w:p>
    <w:p w14:paraId="628A7DDB" w14:textId="77777777" w:rsidR="00740DA2" w:rsidRDefault="006B546F">
      <w:pPr>
        <w:spacing w:after="160" w:line="259" w:lineRule="auto"/>
        <w:ind w:left="0" w:right="0" w:firstLine="0"/>
        <w:jc w:val="left"/>
      </w:pPr>
      <w:r>
        <w:t xml:space="preserve"> </w:t>
      </w:r>
    </w:p>
    <w:p w14:paraId="760B19CA" w14:textId="77777777" w:rsidR="00740DA2" w:rsidRDefault="006B546F">
      <w:pPr>
        <w:spacing w:after="0" w:line="259" w:lineRule="auto"/>
        <w:ind w:left="0" w:right="0" w:firstLine="0"/>
        <w:jc w:val="left"/>
      </w:pPr>
      <w:r>
        <w:t xml:space="preserve"> </w:t>
      </w:r>
    </w:p>
    <w:p w14:paraId="22E9556B" w14:textId="77777777" w:rsidR="00740DA2" w:rsidRPr="00F46129" w:rsidRDefault="006B546F">
      <w:pPr>
        <w:pStyle w:val="Ttulo1"/>
        <w:numPr>
          <w:ilvl w:val="0"/>
          <w:numId w:val="0"/>
        </w:numPr>
        <w:spacing w:after="115"/>
        <w:ind w:right="37"/>
        <w:jc w:val="center"/>
        <w:rPr>
          <w:lang w:val="en-US"/>
        </w:rPr>
      </w:pPr>
      <w:bookmarkStart w:id="1" w:name="_Toc90483715"/>
      <w:r w:rsidRPr="00F46129">
        <w:rPr>
          <w:lang w:val="en-US"/>
        </w:rPr>
        <w:lastRenderedPageBreak/>
        <w:t>ABSTRACT</w:t>
      </w:r>
      <w:bookmarkEnd w:id="1"/>
      <w:r w:rsidRPr="00F46129">
        <w:rPr>
          <w:lang w:val="en-US"/>
        </w:rPr>
        <w:t xml:space="preserve"> </w:t>
      </w:r>
    </w:p>
    <w:p w14:paraId="3DADE598" w14:textId="77777777" w:rsidR="0093114E" w:rsidRDefault="008A524A">
      <w:pPr>
        <w:ind w:left="-5" w:right="0"/>
        <w:rPr>
          <w:lang w:val="en-US"/>
        </w:rPr>
      </w:pPr>
      <w:r w:rsidRPr="008A524A">
        <w:rPr>
          <w:b/>
          <w:bCs/>
          <w:lang w:val="en-US"/>
        </w:rPr>
        <w:t>Objective</w:t>
      </w:r>
      <w:r w:rsidRPr="008A524A">
        <w:rPr>
          <w:lang w:val="en-US"/>
        </w:rPr>
        <w:t xml:space="preserve">: To determine the level of labor exhaustion of medical students at the </w:t>
      </w:r>
      <w:r>
        <w:rPr>
          <w:lang w:val="en-US"/>
        </w:rPr>
        <w:t xml:space="preserve">PUC </w:t>
      </w:r>
      <w:proofErr w:type="spellStart"/>
      <w:r w:rsidRPr="008A524A">
        <w:rPr>
          <w:lang w:val="en-US"/>
        </w:rPr>
        <w:t>Goiás</w:t>
      </w:r>
      <w:proofErr w:type="spellEnd"/>
      <w:r w:rsidRPr="008A524A">
        <w:rPr>
          <w:lang w:val="en-US"/>
        </w:rPr>
        <w:t xml:space="preserve"> regarding the covid-19 pandemic scenario. </w:t>
      </w:r>
      <w:r w:rsidRPr="008A524A">
        <w:rPr>
          <w:b/>
          <w:bCs/>
          <w:lang w:val="en-US"/>
        </w:rPr>
        <w:t>Methods</w:t>
      </w:r>
      <w:r w:rsidRPr="008A524A">
        <w:rPr>
          <w:lang w:val="en-US"/>
        </w:rPr>
        <w:t xml:space="preserve">: </w:t>
      </w:r>
      <w:r>
        <w:rPr>
          <w:lang w:val="en-US"/>
        </w:rPr>
        <w:t>The present study is a</w:t>
      </w:r>
      <w:r w:rsidRPr="008A524A">
        <w:rPr>
          <w:lang w:val="en-US"/>
        </w:rPr>
        <w:t xml:space="preserve"> cross-sectional study with 74 medical students </w:t>
      </w:r>
      <w:r>
        <w:rPr>
          <w:lang w:val="en-US"/>
        </w:rPr>
        <w:t>from</w:t>
      </w:r>
      <w:r w:rsidRPr="008A524A">
        <w:rPr>
          <w:lang w:val="en-US"/>
        </w:rPr>
        <w:t xml:space="preserve"> PUC </w:t>
      </w:r>
      <w:proofErr w:type="spellStart"/>
      <w:r w:rsidRPr="008A524A">
        <w:rPr>
          <w:lang w:val="en-US"/>
        </w:rPr>
        <w:t>Goiás</w:t>
      </w:r>
      <w:proofErr w:type="spellEnd"/>
      <w:r w:rsidR="0093114E">
        <w:rPr>
          <w:lang w:val="en-US"/>
        </w:rPr>
        <w:t>,</w:t>
      </w:r>
      <w:r w:rsidRPr="008A524A">
        <w:rPr>
          <w:lang w:val="en-US"/>
        </w:rPr>
        <w:t xml:space="preserve"> </w:t>
      </w:r>
      <w:r w:rsidR="0093114E">
        <w:rPr>
          <w:lang w:val="en-US"/>
        </w:rPr>
        <w:t>which</w:t>
      </w:r>
      <w:r>
        <w:rPr>
          <w:lang w:val="en-US"/>
        </w:rPr>
        <w:t xml:space="preserve"> was </w:t>
      </w:r>
      <w:r w:rsidR="0093114E">
        <w:rPr>
          <w:lang w:val="en-US"/>
        </w:rPr>
        <w:t xml:space="preserve">accomplished by an </w:t>
      </w:r>
      <w:r w:rsidRPr="008A524A">
        <w:rPr>
          <w:lang w:val="en-US"/>
        </w:rPr>
        <w:t xml:space="preserve">online form from May to August 2021. For data analysis, the X² test was used using the Past software version 4.03. </w:t>
      </w:r>
      <w:r w:rsidRPr="0093114E">
        <w:rPr>
          <w:b/>
          <w:bCs/>
          <w:lang w:val="en-US"/>
        </w:rPr>
        <w:t>Results</w:t>
      </w:r>
      <w:r w:rsidRPr="008A524A">
        <w:rPr>
          <w:lang w:val="en-US"/>
        </w:rPr>
        <w:t xml:space="preserve">: It was observed that 68.9% (n=51) of the sample of medical students </w:t>
      </w:r>
      <w:r w:rsidR="0093114E">
        <w:rPr>
          <w:lang w:val="en-US"/>
        </w:rPr>
        <w:t>from</w:t>
      </w:r>
      <w:r w:rsidRPr="008A524A">
        <w:rPr>
          <w:lang w:val="en-US"/>
        </w:rPr>
        <w:t xml:space="preserve"> PUC </w:t>
      </w:r>
      <w:proofErr w:type="spellStart"/>
      <w:r w:rsidRPr="008A524A">
        <w:rPr>
          <w:lang w:val="en-US"/>
        </w:rPr>
        <w:t>Goiás</w:t>
      </w:r>
      <w:proofErr w:type="spellEnd"/>
      <w:r w:rsidRPr="008A524A">
        <w:rPr>
          <w:lang w:val="en-US"/>
        </w:rPr>
        <w:t xml:space="preserve"> are in the initial stage of Burnout and 17.6% (n=13) are already </w:t>
      </w:r>
      <w:r w:rsidR="0093114E">
        <w:rPr>
          <w:lang w:val="en-US"/>
        </w:rPr>
        <w:t>with the</w:t>
      </w:r>
      <w:r w:rsidRPr="008A524A">
        <w:rPr>
          <w:lang w:val="en-US"/>
        </w:rPr>
        <w:t xml:space="preserve"> Burnout Syndrome</w:t>
      </w:r>
      <w:r w:rsidR="0093114E">
        <w:rPr>
          <w:lang w:val="en-US"/>
        </w:rPr>
        <w:t xml:space="preserve"> installed</w:t>
      </w:r>
      <w:r w:rsidRPr="008A524A">
        <w:rPr>
          <w:lang w:val="en-US"/>
        </w:rPr>
        <w:t xml:space="preserve">. In addition, the possibility of developing the syndrome is </w:t>
      </w:r>
      <w:r w:rsidR="0093114E">
        <w:rPr>
          <w:lang w:val="en-US"/>
        </w:rPr>
        <w:t>real</w:t>
      </w:r>
      <w:r w:rsidRPr="008A524A">
        <w:rPr>
          <w:lang w:val="en-US"/>
        </w:rPr>
        <w:t xml:space="preserve"> for 13.5% (n=10) of the sample. </w:t>
      </w:r>
      <w:r w:rsidRPr="0093114E">
        <w:rPr>
          <w:b/>
          <w:bCs/>
          <w:lang w:val="en-US"/>
        </w:rPr>
        <w:t>Final considerations</w:t>
      </w:r>
      <w:r w:rsidRPr="008A524A">
        <w:rPr>
          <w:lang w:val="en-US"/>
        </w:rPr>
        <w:t xml:space="preserve">: The level of work exhaustion among medical students </w:t>
      </w:r>
      <w:r w:rsidR="0093114E">
        <w:rPr>
          <w:lang w:val="en-US"/>
        </w:rPr>
        <w:t>from</w:t>
      </w:r>
      <w:r w:rsidRPr="008A524A">
        <w:rPr>
          <w:lang w:val="en-US"/>
        </w:rPr>
        <w:t xml:space="preserve"> PUC </w:t>
      </w:r>
      <w:proofErr w:type="spellStart"/>
      <w:r w:rsidRPr="008A524A">
        <w:rPr>
          <w:lang w:val="en-US"/>
        </w:rPr>
        <w:t>Goiás</w:t>
      </w:r>
      <w:proofErr w:type="spellEnd"/>
      <w:r w:rsidRPr="008A524A">
        <w:rPr>
          <w:lang w:val="en-US"/>
        </w:rPr>
        <w:t xml:space="preserve"> during the COVID-19 pandemic was high, since 86.5% (n=64) of the interviewed students have some degree of Burnout, which raises concerns about directly interfere in the quality of life and mental health of this population.</w:t>
      </w:r>
    </w:p>
    <w:p w14:paraId="51E29FEF" w14:textId="2DC019E3" w:rsidR="00740DA2" w:rsidRPr="00F46129" w:rsidRDefault="006B546F">
      <w:pPr>
        <w:ind w:left="-5" w:right="0"/>
        <w:rPr>
          <w:lang w:val="en-US"/>
        </w:rPr>
      </w:pPr>
      <w:proofErr w:type="gramStart"/>
      <w:r w:rsidRPr="00F46129">
        <w:rPr>
          <w:b/>
          <w:lang w:val="en-US"/>
        </w:rPr>
        <w:t>Key-words</w:t>
      </w:r>
      <w:proofErr w:type="gramEnd"/>
      <w:r w:rsidRPr="00F46129">
        <w:rPr>
          <w:lang w:val="en-US"/>
        </w:rPr>
        <w:t xml:space="preserve">: </w:t>
      </w:r>
      <w:r w:rsidRPr="00F46129">
        <w:rPr>
          <w:i/>
          <w:lang w:val="en-US"/>
        </w:rPr>
        <w:t>Burnout</w:t>
      </w:r>
      <w:r w:rsidRPr="00F46129">
        <w:rPr>
          <w:lang w:val="en-US"/>
        </w:rPr>
        <w:t xml:space="preserve"> Syndrome, antidepressants, anxiolytics, pandemic, COVID-19, coronavirus, medical academics. </w:t>
      </w:r>
    </w:p>
    <w:p w14:paraId="7E1E6677" w14:textId="75CBDF30" w:rsidR="00740DA2" w:rsidRPr="00F46129" w:rsidRDefault="006B546F">
      <w:pPr>
        <w:spacing w:after="129" w:line="259" w:lineRule="auto"/>
        <w:ind w:left="708" w:right="0" w:firstLine="0"/>
        <w:jc w:val="left"/>
        <w:rPr>
          <w:lang w:val="en-US"/>
        </w:rPr>
      </w:pPr>
      <w:r w:rsidRPr="00F46129">
        <w:rPr>
          <w:rFonts w:ascii="Calibri" w:eastAsia="Calibri" w:hAnsi="Calibri" w:cs="Calibri"/>
          <w:sz w:val="22"/>
          <w:lang w:val="en-US"/>
        </w:rPr>
        <w:t xml:space="preserve"> </w:t>
      </w:r>
    </w:p>
    <w:p w14:paraId="6F4DF0D8" w14:textId="77777777" w:rsidR="00740DA2" w:rsidRPr="00F46129" w:rsidRDefault="006B546F">
      <w:pPr>
        <w:spacing w:after="158" w:line="259" w:lineRule="auto"/>
        <w:ind w:left="0" w:right="0" w:firstLine="0"/>
        <w:jc w:val="left"/>
        <w:rPr>
          <w:lang w:val="en-US"/>
        </w:rPr>
      </w:pPr>
      <w:r w:rsidRPr="00F46129">
        <w:rPr>
          <w:lang w:val="en-US"/>
        </w:rPr>
        <w:t xml:space="preserve"> </w:t>
      </w:r>
    </w:p>
    <w:p w14:paraId="1C1D7400"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30F7DC46"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2FCA2CB7"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7A2246A9" w14:textId="77777777" w:rsidR="00740DA2" w:rsidRPr="00F46129" w:rsidRDefault="006B546F">
      <w:pPr>
        <w:spacing w:after="158" w:line="259" w:lineRule="auto"/>
        <w:ind w:left="0" w:right="0" w:firstLine="0"/>
        <w:jc w:val="left"/>
        <w:rPr>
          <w:lang w:val="en-US"/>
        </w:rPr>
      </w:pPr>
      <w:r w:rsidRPr="00F46129">
        <w:rPr>
          <w:lang w:val="en-US"/>
        </w:rPr>
        <w:t xml:space="preserve"> </w:t>
      </w:r>
    </w:p>
    <w:p w14:paraId="0FFDCDF7"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16D326EB"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3D88C2F6" w14:textId="77777777" w:rsidR="00740DA2" w:rsidRPr="00F46129" w:rsidRDefault="006B546F">
      <w:pPr>
        <w:spacing w:after="161" w:line="259" w:lineRule="auto"/>
        <w:ind w:left="0" w:right="0" w:firstLine="0"/>
        <w:jc w:val="left"/>
        <w:rPr>
          <w:lang w:val="en-US"/>
        </w:rPr>
      </w:pPr>
      <w:r w:rsidRPr="00F46129">
        <w:rPr>
          <w:lang w:val="en-US"/>
        </w:rPr>
        <w:t xml:space="preserve"> </w:t>
      </w:r>
    </w:p>
    <w:p w14:paraId="42AC3D0C" w14:textId="77777777" w:rsidR="00740DA2" w:rsidRPr="00F46129" w:rsidRDefault="006B546F">
      <w:pPr>
        <w:spacing w:after="158" w:line="259" w:lineRule="auto"/>
        <w:ind w:left="0" w:right="0" w:firstLine="0"/>
        <w:jc w:val="left"/>
        <w:rPr>
          <w:lang w:val="en-US"/>
        </w:rPr>
      </w:pPr>
      <w:r w:rsidRPr="00F46129">
        <w:rPr>
          <w:lang w:val="en-US"/>
        </w:rPr>
        <w:t xml:space="preserve"> </w:t>
      </w:r>
    </w:p>
    <w:p w14:paraId="64AEBB7E"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1E5BAB37"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3DC419AC"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2719BA45" w14:textId="77777777" w:rsidR="00740DA2" w:rsidRPr="00F46129" w:rsidRDefault="006B546F">
      <w:pPr>
        <w:spacing w:after="160" w:line="259" w:lineRule="auto"/>
        <w:ind w:left="0" w:right="0" w:firstLine="0"/>
        <w:jc w:val="left"/>
        <w:rPr>
          <w:lang w:val="en-US"/>
        </w:rPr>
      </w:pPr>
      <w:r w:rsidRPr="00F46129">
        <w:rPr>
          <w:lang w:val="en-US"/>
        </w:rPr>
        <w:t xml:space="preserve"> </w:t>
      </w:r>
    </w:p>
    <w:p w14:paraId="210BBA4A" w14:textId="77777777" w:rsidR="00740DA2" w:rsidRPr="00F46129" w:rsidRDefault="006B546F">
      <w:pPr>
        <w:spacing w:after="158" w:line="259" w:lineRule="auto"/>
        <w:ind w:left="0" w:right="0" w:firstLine="0"/>
        <w:jc w:val="left"/>
        <w:rPr>
          <w:lang w:val="en-US"/>
        </w:rPr>
      </w:pPr>
      <w:r w:rsidRPr="00F46129">
        <w:rPr>
          <w:lang w:val="en-US"/>
        </w:rPr>
        <w:t xml:space="preserve"> </w:t>
      </w:r>
    </w:p>
    <w:p w14:paraId="59F67ED3" w14:textId="77777777" w:rsidR="00740DA2" w:rsidRPr="00F46129" w:rsidRDefault="006B546F">
      <w:pPr>
        <w:spacing w:after="0" w:line="259" w:lineRule="auto"/>
        <w:ind w:left="0" w:right="0" w:firstLine="0"/>
        <w:jc w:val="left"/>
        <w:rPr>
          <w:lang w:val="en-US"/>
        </w:rPr>
      </w:pPr>
      <w:r w:rsidRPr="00F46129">
        <w:rPr>
          <w:lang w:val="en-US"/>
        </w:rPr>
        <w:t xml:space="preserve"> </w:t>
      </w:r>
    </w:p>
    <w:p w14:paraId="606C4B9A" w14:textId="77777777" w:rsidR="00740DA2" w:rsidRPr="00F46129" w:rsidRDefault="006B546F">
      <w:pPr>
        <w:spacing w:after="240" w:line="259" w:lineRule="auto"/>
        <w:ind w:left="0" w:right="0" w:firstLine="0"/>
        <w:jc w:val="left"/>
        <w:rPr>
          <w:lang w:val="en-US"/>
        </w:rPr>
      </w:pPr>
      <w:r w:rsidRPr="00F46129">
        <w:rPr>
          <w:lang w:val="en-US"/>
        </w:rPr>
        <w:t xml:space="preserve"> </w:t>
      </w:r>
    </w:p>
    <w:p w14:paraId="359D42D0" w14:textId="293E2428" w:rsidR="00740DA2" w:rsidRPr="004F23EC" w:rsidRDefault="006B546F">
      <w:pPr>
        <w:pStyle w:val="Ttulo3"/>
        <w:spacing w:after="13"/>
        <w:ind w:right="38"/>
        <w:jc w:val="center"/>
        <w:rPr>
          <w:szCs w:val="24"/>
        </w:rPr>
      </w:pPr>
      <w:r w:rsidRPr="004F23EC">
        <w:rPr>
          <w:szCs w:val="24"/>
        </w:rPr>
        <w:lastRenderedPageBreak/>
        <w:t xml:space="preserve">SUMÁRIO </w:t>
      </w:r>
    </w:p>
    <w:sdt>
      <w:sdtPr>
        <w:rPr>
          <w:rFonts w:ascii="Arial" w:eastAsia="Arial" w:hAnsi="Arial" w:cs="Arial"/>
          <w:sz w:val="24"/>
          <w:szCs w:val="24"/>
        </w:rPr>
        <w:id w:val="-1163309257"/>
        <w:docPartObj>
          <w:docPartGallery w:val="Table of Contents"/>
        </w:docPartObj>
      </w:sdtPr>
      <w:sdtEndPr>
        <w:rPr>
          <w:szCs w:val="22"/>
        </w:rPr>
      </w:sdtEndPr>
      <w:sdtContent>
        <w:p w14:paraId="352A9648" w14:textId="077AE2CC" w:rsidR="00282BA6" w:rsidRPr="004F23EC" w:rsidRDefault="006B546F">
          <w:pPr>
            <w:pStyle w:val="Sumrio1"/>
            <w:tabs>
              <w:tab w:val="right" w:leader="dot" w:pos="9024"/>
            </w:tabs>
            <w:rPr>
              <w:rFonts w:ascii="Arial" w:eastAsiaTheme="minorEastAsia" w:hAnsi="Arial" w:cs="Arial"/>
              <w:noProof/>
              <w:color w:val="auto"/>
              <w:sz w:val="24"/>
              <w:szCs w:val="24"/>
            </w:rPr>
          </w:pPr>
          <w:r w:rsidRPr="004F23EC">
            <w:rPr>
              <w:rFonts w:ascii="Arial" w:hAnsi="Arial" w:cs="Arial"/>
              <w:sz w:val="24"/>
              <w:szCs w:val="24"/>
            </w:rPr>
            <w:fldChar w:fldCharType="begin"/>
          </w:r>
          <w:r w:rsidRPr="004F23EC">
            <w:rPr>
              <w:rFonts w:ascii="Arial" w:hAnsi="Arial" w:cs="Arial"/>
              <w:sz w:val="24"/>
              <w:szCs w:val="24"/>
            </w:rPr>
            <w:instrText xml:space="preserve"> TOC \o "1-2" \h \z \u </w:instrText>
          </w:r>
          <w:r w:rsidRPr="004F23EC">
            <w:rPr>
              <w:rFonts w:ascii="Arial" w:hAnsi="Arial" w:cs="Arial"/>
              <w:sz w:val="24"/>
              <w:szCs w:val="24"/>
            </w:rPr>
            <w:fldChar w:fldCharType="separate"/>
          </w:r>
          <w:hyperlink w:anchor="_Toc90483714" w:history="1">
            <w:r w:rsidR="00282BA6" w:rsidRPr="004F23EC">
              <w:rPr>
                <w:rStyle w:val="Hyperlink"/>
                <w:rFonts w:ascii="Arial" w:hAnsi="Arial" w:cs="Arial"/>
                <w:noProof/>
                <w:sz w:val="24"/>
                <w:szCs w:val="24"/>
              </w:rPr>
              <w:t>RESUMO</w:t>
            </w:r>
            <w:r w:rsidR="00282BA6" w:rsidRPr="004F23EC">
              <w:rPr>
                <w:rFonts w:ascii="Arial" w:hAnsi="Arial" w:cs="Arial"/>
                <w:noProof/>
                <w:webHidden/>
                <w:sz w:val="24"/>
                <w:szCs w:val="24"/>
              </w:rPr>
              <w:tab/>
            </w:r>
            <w:r w:rsidR="00282BA6" w:rsidRPr="004F23EC">
              <w:rPr>
                <w:rFonts w:ascii="Arial" w:hAnsi="Arial" w:cs="Arial"/>
                <w:noProof/>
                <w:webHidden/>
                <w:sz w:val="24"/>
                <w:szCs w:val="24"/>
              </w:rPr>
              <w:fldChar w:fldCharType="begin"/>
            </w:r>
            <w:r w:rsidR="00282BA6" w:rsidRPr="004F23EC">
              <w:rPr>
                <w:rFonts w:ascii="Arial" w:hAnsi="Arial" w:cs="Arial"/>
                <w:noProof/>
                <w:webHidden/>
                <w:sz w:val="24"/>
                <w:szCs w:val="24"/>
              </w:rPr>
              <w:instrText xml:space="preserve"> PAGEREF _Toc90483714 \h </w:instrText>
            </w:r>
            <w:r w:rsidR="00282BA6" w:rsidRPr="004F23EC">
              <w:rPr>
                <w:rFonts w:ascii="Arial" w:hAnsi="Arial" w:cs="Arial"/>
                <w:noProof/>
                <w:webHidden/>
                <w:sz w:val="24"/>
                <w:szCs w:val="24"/>
              </w:rPr>
            </w:r>
            <w:r w:rsidR="00282BA6" w:rsidRPr="004F23EC">
              <w:rPr>
                <w:rFonts w:ascii="Arial" w:hAnsi="Arial" w:cs="Arial"/>
                <w:noProof/>
                <w:webHidden/>
                <w:sz w:val="24"/>
                <w:szCs w:val="24"/>
              </w:rPr>
              <w:fldChar w:fldCharType="separate"/>
            </w:r>
            <w:r w:rsidR="007060E9" w:rsidRPr="004F23EC">
              <w:rPr>
                <w:rFonts w:ascii="Arial" w:hAnsi="Arial" w:cs="Arial"/>
                <w:noProof/>
                <w:webHidden/>
                <w:sz w:val="24"/>
                <w:szCs w:val="24"/>
              </w:rPr>
              <w:t>3</w:t>
            </w:r>
            <w:r w:rsidR="00282BA6" w:rsidRPr="004F23EC">
              <w:rPr>
                <w:rFonts w:ascii="Arial" w:hAnsi="Arial" w:cs="Arial"/>
                <w:noProof/>
                <w:webHidden/>
                <w:sz w:val="24"/>
                <w:szCs w:val="24"/>
              </w:rPr>
              <w:fldChar w:fldCharType="end"/>
            </w:r>
          </w:hyperlink>
        </w:p>
        <w:p w14:paraId="3DD40E37" w14:textId="202563D4" w:rsidR="00282BA6" w:rsidRPr="004F23EC" w:rsidRDefault="00282BA6">
          <w:pPr>
            <w:pStyle w:val="Sumrio1"/>
            <w:tabs>
              <w:tab w:val="right" w:leader="dot" w:pos="9024"/>
            </w:tabs>
            <w:rPr>
              <w:rFonts w:ascii="Arial" w:eastAsiaTheme="minorEastAsia" w:hAnsi="Arial" w:cs="Arial"/>
              <w:noProof/>
              <w:color w:val="auto"/>
              <w:sz w:val="24"/>
              <w:szCs w:val="24"/>
            </w:rPr>
          </w:pPr>
          <w:hyperlink w:anchor="_Toc90483715" w:history="1">
            <w:r w:rsidRPr="004F23EC">
              <w:rPr>
                <w:rStyle w:val="Hyperlink"/>
                <w:rFonts w:ascii="Arial" w:hAnsi="Arial" w:cs="Arial"/>
                <w:noProof/>
                <w:sz w:val="24"/>
                <w:szCs w:val="24"/>
                <w:lang w:val="en-US"/>
              </w:rPr>
              <w:t>ABSTRACT</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_Toc90483715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4</w:t>
            </w:r>
            <w:r w:rsidRPr="004F23EC">
              <w:rPr>
                <w:rFonts w:ascii="Arial" w:hAnsi="Arial" w:cs="Arial"/>
                <w:noProof/>
                <w:webHidden/>
                <w:sz w:val="24"/>
                <w:szCs w:val="24"/>
              </w:rPr>
              <w:fldChar w:fldCharType="end"/>
            </w:r>
          </w:hyperlink>
        </w:p>
        <w:p w14:paraId="0B322774" w14:textId="48B9E43F" w:rsidR="00282BA6" w:rsidRPr="004F23EC" w:rsidRDefault="00282BA6">
          <w:pPr>
            <w:pStyle w:val="Sumrio1"/>
            <w:tabs>
              <w:tab w:val="left" w:pos="440"/>
              <w:tab w:val="right" w:leader="dot" w:pos="9024"/>
            </w:tabs>
            <w:rPr>
              <w:rFonts w:ascii="Arial" w:eastAsiaTheme="minorEastAsia" w:hAnsi="Arial" w:cs="Arial"/>
              <w:noProof/>
              <w:color w:val="auto"/>
              <w:sz w:val="24"/>
              <w:szCs w:val="24"/>
            </w:rPr>
          </w:pPr>
          <w:hyperlink w:anchor="_Toc90483716" w:history="1">
            <w:r w:rsidRPr="004F23EC">
              <w:rPr>
                <w:rStyle w:val="Hyperlink"/>
                <w:rFonts w:ascii="Arial" w:hAnsi="Arial" w:cs="Arial"/>
                <w:bCs/>
                <w:noProof/>
                <w:sz w:val="24"/>
                <w:szCs w:val="24"/>
              </w:rPr>
              <w:t>1.</w:t>
            </w:r>
            <w:r w:rsidRPr="004F23EC">
              <w:rPr>
                <w:rFonts w:ascii="Arial" w:eastAsiaTheme="minorEastAsia" w:hAnsi="Arial" w:cs="Arial"/>
                <w:noProof/>
                <w:color w:val="auto"/>
                <w:sz w:val="24"/>
                <w:szCs w:val="24"/>
              </w:rPr>
              <w:tab/>
            </w:r>
            <w:r w:rsidRPr="004F23EC">
              <w:rPr>
                <w:rStyle w:val="Hyperlink"/>
                <w:rFonts w:ascii="Arial" w:hAnsi="Arial" w:cs="Arial"/>
                <w:noProof/>
                <w:sz w:val="24"/>
                <w:szCs w:val="24"/>
              </w:rPr>
              <w:t>INTRODUÇÃO</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_Toc90483716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6</w:t>
            </w:r>
            <w:r w:rsidRPr="004F23EC">
              <w:rPr>
                <w:rFonts w:ascii="Arial" w:hAnsi="Arial" w:cs="Arial"/>
                <w:noProof/>
                <w:webHidden/>
                <w:sz w:val="24"/>
                <w:szCs w:val="24"/>
              </w:rPr>
              <w:fldChar w:fldCharType="end"/>
            </w:r>
          </w:hyperlink>
        </w:p>
        <w:p w14:paraId="1E204DF5" w14:textId="35742C82" w:rsidR="00282BA6" w:rsidRPr="004F23EC" w:rsidRDefault="00282BA6">
          <w:pPr>
            <w:pStyle w:val="Sumrio1"/>
            <w:tabs>
              <w:tab w:val="left" w:pos="440"/>
              <w:tab w:val="right" w:leader="dot" w:pos="9024"/>
            </w:tabs>
            <w:rPr>
              <w:rFonts w:ascii="Arial" w:eastAsiaTheme="minorEastAsia" w:hAnsi="Arial" w:cs="Arial"/>
              <w:noProof/>
              <w:color w:val="auto"/>
              <w:sz w:val="24"/>
              <w:szCs w:val="24"/>
            </w:rPr>
          </w:pPr>
          <w:hyperlink w:anchor="_Toc90483717" w:history="1">
            <w:r w:rsidRPr="004F23EC">
              <w:rPr>
                <w:rStyle w:val="Hyperlink"/>
                <w:rFonts w:ascii="Arial" w:hAnsi="Arial" w:cs="Arial"/>
                <w:bCs/>
                <w:noProof/>
                <w:sz w:val="24"/>
                <w:szCs w:val="24"/>
              </w:rPr>
              <w:t>2.</w:t>
            </w:r>
            <w:r w:rsidRPr="004F23EC">
              <w:rPr>
                <w:rFonts w:ascii="Arial" w:eastAsiaTheme="minorEastAsia" w:hAnsi="Arial" w:cs="Arial"/>
                <w:noProof/>
                <w:color w:val="auto"/>
                <w:sz w:val="24"/>
                <w:szCs w:val="24"/>
              </w:rPr>
              <w:tab/>
            </w:r>
            <w:r w:rsidRPr="004F23EC">
              <w:rPr>
                <w:rStyle w:val="Hyperlink"/>
                <w:rFonts w:ascii="Arial" w:hAnsi="Arial" w:cs="Arial"/>
                <w:noProof/>
                <w:sz w:val="24"/>
                <w:szCs w:val="24"/>
              </w:rPr>
              <w:t>OBJETIVO</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_Toc90483717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7</w:t>
            </w:r>
            <w:r w:rsidRPr="004F23EC">
              <w:rPr>
                <w:rFonts w:ascii="Arial" w:hAnsi="Arial" w:cs="Arial"/>
                <w:noProof/>
                <w:webHidden/>
                <w:sz w:val="24"/>
                <w:szCs w:val="24"/>
              </w:rPr>
              <w:fldChar w:fldCharType="end"/>
            </w:r>
          </w:hyperlink>
        </w:p>
        <w:p w14:paraId="585B680D" w14:textId="53892610" w:rsidR="00282BA6" w:rsidRPr="004F23EC" w:rsidRDefault="00282BA6">
          <w:pPr>
            <w:pStyle w:val="Sumrio1"/>
            <w:tabs>
              <w:tab w:val="left" w:pos="440"/>
              <w:tab w:val="right" w:leader="dot" w:pos="9024"/>
            </w:tabs>
            <w:rPr>
              <w:rFonts w:ascii="Arial" w:eastAsiaTheme="minorEastAsia" w:hAnsi="Arial" w:cs="Arial"/>
              <w:noProof/>
              <w:color w:val="auto"/>
              <w:sz w:val="24"/>
              <w:szCs w:val="24"/>
            </w:rPr>
          </w:pPr>
          <w:hyperlink w:anchor="_Toc90483718" w:history="1">
            <w:r w:rsidRPr="004F23EC">
              <w:rPr>
                <w:rStyle w:val="Hyperlink"/>
                <w:rFonts w:ascii="Arial" w:hAnsi="Arial" w:cs="Arial"/>
                <w:bCs/>
                <w:noProof/>
                <w:sz w:val="24"/>
                <w:szCs w:val="24"/>
              </w:rPr>
              <w:t>3.</w:t>
            </w:r>
            <w:r w:rsidRPr="004F23EC">
              <w:rPr>
                <w:rFonts w:ascii="Arial" w:eastAsiaTheme="minorEastAsia" w:hAnsi="Arial" w:cs="Arial"/>
                <w:noProof/>
                <w:color w:val="auto"/>
                <w:sz w:val="24"/>
                <w:szCs w:val="24"/>
              </w:rPr>
              <w:tab/>
            </w:r>
            <w:r w:rsidRPr="004F23EC">
              <w:rPr>
                <w:rStyle w:val="Hyperlink"/>
                <w:rFonts w:ascii="Arial" w:hAnsi="Arial" w:cs="Arial"/>
                <w:noProof/>
                <w:sz w:val="24"/>
                <w:szCs w:val="24"/>
              </w:rPr>
              <w:t>MÉTODOS</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_Toc90483718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8</w:t>
            </w:r>
            <w:r w:rsidRPr="004F23EC">
              <w:rPr>
                <w:rFonts w:ascii="Arial" w:hAnsi="Arial" w:cs="Arial"/>
                <w:noProof/>
                <w:webHidden/>
                <w:sz w:val="24"/>
                <w:szCs w:val="24"/>
              </w:rPr>
              <w:fldChar w:fldCharType="end"/>
            </w:r>
          </w:hyperlink>
        </w:p>
        <w:p w14:paraId="45B38F77" w14:textId="64DAB06F" w:rsidR="00282BA6" w:rsidRPr="004F23EC" w:rsidRDefault="00282BA6">
          <w:pPr>
            <w:pStyle w:val="Sumrio1"/>
            <w:tabs>
              <w:tab w:val="left" w:pos="440"/>
              <w:tab w:val="right" w:leader="dot" w:pos="9024"/>
            </w:tabs>
            <w:rPr>
              <w:rFonts w:ascii="Arial" w:eastAsiaTheme="minorEastAsia" w:hAnsi="Arial" w:cs="Arial"/>
              <w:noProof/>
              <w:color w:val="auto"/>
              <w:sz w:val="24"/>
              <w:szCs w:val="24"/>
            </w:rPr>
          </w:pPr>
          <w:hyperlink w:anchor="_Toc90483719" w:history="1">
            <w:r w:rsidRPr="004F23EC">
              <w:rPr>
                <w:rStyle w:val="Hyperlink"/>
                <w:rFonts w:ascii="Arial" w:hAnsi="Arial" w:cs="Arial"/>
                <w:bCs/>
                <w:noProof/>
                <w:sz w:val="24"/>
                <w:szCs w:val="24"/>
              </w:rPr>
              <w:t>4.</w:t>
            </w:r>
            <w:r w:rsidRPr="004F23EC">
              <w:rPr>
                <w:rFonts w:ascii="Arial" w:eastAsiaTheme="minorEastAsia" w:hAnsi="Arial" w:cs="Arial"/>
                <w:noProof/>
                <w:color w:val="auto"/>
                <w:sz w:val="24"/>
                <w:szCs w:val="24"/>
              </w:rPr>
              <w:tab/>
            </w:r>
            <w:r w:rsidRPr="004F23EC">
              <w:rPr>
                <w:rStyle w:val="Hyperlink"/>
                <w:rFonts w:ascii="Arial" w:hAnsi="Arial" w:cs="Arial"/>
                <w:noProof/>
                <w:sz w:val="24"/>
                <w:szCs w:val="24"/>
              </w:rPr>
              <w:t>RESULTADOS</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_Toc90483719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9</w:t>
            </w:r>
            <w:r w:rsidRPr="004F23EC">
              <w:rPr>
                <w:rFonts w:ascii="Arial" w:hAnsi="Arial" w:cs="Arial"/>
                <w:noProof/>
                <w:webHidden/>
                <w:sz w:val="24"/>
                <w:szCs w:val="24"/>
              </w:rPr>
              <w:fldChar w:fldCharType="end"/>
            </w:r>
          </w:hyperlink>
        </w:p>
        <w:p w14:paraId="1493B2C8" w14:textId="4A312948" w:rsidR="00282BA6" w:rsidRPr="004F23EC" w:rsidRDefault="00282BA6">
          <w:pPr>
            <w:pStyle w:val="Sumrio1"/>
            <w:tabs>
              <w:tab w:val="left" w:pos="440"/>
              <w:tab w:val="right" w:leader="dot" w:pos="9024"/>
            </w:tabs>
            <w:rPr>
              <w:rFonts w:ascii="Arial" w:eastAsiaTheme="minorEastAsia" w:hAnsi="Arial" w:cs="Arial"/>
              <w:noProof/>
              <w:color w:val="auto"/>
              <w:sz w:val="24"/>
              <w:szCs w:val="24"/>
            </w:rPr>
          </w:pPr>
          <w:hyperlink w:anchor="_Toc90483720" w:history="1">
            <w:r w:rsidRPr="004F23EC">
              <w:rPr>
                <w:rStyle w:val="Hyperlink"/>
                <w:rFonts w:ascii="Arial" w:hAnsi="Arial" w:cs="Arial"/>
                <w:bCs/>
                <w:noProof/>
                <w:sz w:val="24"/>
                <w:szCs w:val="24"/>
              </w:rPr>
              <w:t>5.</w:t>
            </w:r>
            <w:r w:rsidRPr="004F23EC">
              <w:rPr>
                <w:rFonts w:ascii="Arial" w:eastAsiaTheme="minorEastAsia" w:hAnsi="Arial" w:cs="Arial"/>
                <w:noProof/>
                <w:color w:val="auto"/>
                <w:sz w:val="24"/>
                <w:szCs w:val="24"/>
              </w:rPr>
              <w:tab/>
            </w:r>
            <w:r w:rsidRPr="004F23EC">
              <w:rPr>
                <w:rStyle w:val="Hyperlink"/>
                <w:rFonts w:ascii="Arial" w:hAnsi="Arial" w:cs="Arial"/>
                <w:noProof/>
                <w:sz w:val="24"/>
                <w:szCs w:val="24"/>
              </w:rPr>
              <w:t>DISCUSSÃO</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_Toc90483720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14</w:t>
            </w:r>
            <w:r w:rsidRPr="004F23EC">
              <w:rPr>
                <w:rFonts w:ascii="Arial" w:hAnsi="Arial" w:cs="Arial"/>
                <w:noProof/>
                <w:webHidden/>
                <w:sz w:val="24"/>
                <w:szCs w:val="24"/>
              </w:rPr>
              <w:fldChar w:fldCharType="end"/>
            </w:r>
          </w:hyperlink>
        </w:p>
        <w:p w14:paraId="013E6160" w14:textId="17CB10F5" w:rsidR="00282BA6" w:rsidRPr="004F23EC" w:rsidRDefault="00282BA6">
          <w:pPr>
            <w:pStyle w:val="Sumrio1"/>
            <w:tabs>
              <w:tab w:val="left" w:pos="440"/>
              <w:tab w:val="right" w:leader="dot" w:pos="9024"/>
            </w:tabs>
            <w:rPr>
              <w:rFonts w:ascii="Arial" w:eastAsiaTheme="minorEastAsia" w:hAnsi="Arial" w:cs="Arial"/>
              <w:noProof/>
              <w:color w:val="auto"/>
              <w:sz w:val="24"/>
              <w:szCs w:val="24"/>
            </w:rPr>
          </w:pPr>
          <w:hyperlink w:anchor="_Toc90483721" w:history="1">
            <w:r w:rsidRPr="004F23EC">
              <w:rPr>
                <w:rStyle w:val="Hyperlink"/>
                <w:rFonts w:ascii="Arial" w:hAnsi="Arial" w:cs="Arial"/>
                <w:bCs/>
                <w:noProof/>
                <w:sz w:val="24"/>
                <w:szCs w:val="24"/>
              </w:rPr>
              <w:t>6.</w:t>
            </w:r>
            <w:r w:rsidRPr="004F23EC">
              <w:rPr>
                <w:rFonts w:ascii="Arial" w:eastAsiaTheme="minorEastAsia" w:hAnsi="Arial" w:cs="Arial"/>
                <w:noProof/>
                <w:color w:val="auto"/>
                <w:sz w:val="24"/>
                <w:szCs w:val="24"/>
              </w:rPr>
              <w:tab/>
            </w:r>
            <w:r w:rsidRPr="004F23EC">
              <w:rPr>
                <w:rStyle w:val="Hyperlink"/>
                <w:rFonts w:ascii="Arial" w:hAnsi="Arial" w:cs="Arial"/>
                <w:noProof/>
                <w:sz w:val="24"/>
                <w:szCs w:val="24"/>
                <w:shd w:val="clear" w:color="auto" w:fill="FFFFFF"/>
              </w:rPr>
              <w:t>CONSIDERAÇÕES FINAS</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_Toc90483721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16</w:t>
            </w:r>
            <w:r w:rsidRPr="004F23EC">
              <w:rPr>
                <w:rFonts w:ascii="Arial" w:hAnsi="Arial" w:cs="Arial"/>
                <w:noProof/>
                <w:webHidden/>
                <w:sz w:val="24"/>
                <w:szCs w:val="24"/>
              </w:rPr>
              <w:fldChar w:fldCharType="end"/>
            </w:r>
          </w:hyperlink>
        </w:p>
        <w:p w14:paraId="512A54A0" w14:textId="5E138F91" w:rsidR="00282BA6" w:rsidRPr="004F23EC" w:rsidRDefault="00282BA6">
          <w:pPr>
            <w:pStyle w:val="Sumrio1"/>
            <w:tabs>
              <w:tab w:val="left" w:pos="440"/>
              <w:tab w:val="right" w:leader="dot" w:pos="9024"/>
            </w:tabs>
            <w:rPr>
              <w:rFonts w:ascii="Arial" w:eastAsiaTheme="minorEastAsia" w:hAnsi="Arial" w:cs="Arial"/>
              <w:noProof/>
              <w:color w:val="auto"/>
              <w:sz w:val="24"/>
              <w:szCs w:val="24"/>
            </w:rPr>
          </w:pPr>
          <w:hyperlink w:anchor="_Toc90483722" w:history="1">
            <w:r w:rsidRPr="004F23EC">
              <w:rPr>
                <w:rStyle w:val="Hyperlink"/>
                <w:rFonts w:ascii="Arial" w:hAnsi="Arial" w:cs="Arial"/>
                <w:bCs/>
                <w:noProof/>
                <w:sz w:val="24"/>
                <w:szCs w:val="24"/>
              </w:rPr>
              <w:t>7.</w:t>
            </w:r>
            <w:r w:rsidRPr="004F23EC">
              <w:rPr>
                <w:rFonts w:ascii="Arial" w:eastAsiaTheme="minorEastAsia" w:hAnsi="Arial" w:cs="Arial"/>
                <w:noProof/>
                <w:color w:val="auto"/>
                <w:sz w:val="24"/>
                <w:szCs w:val="24"/>
              </w:rPr>
              <w:tab/>
            </w:r>
            <w:r w:rsidRPr="004F23EC">
              <w:rPr>
                <w:rStyle w:val="Hyperlink"/>
                <w:rFonts w:ascii="Arial" w:hAnsi="Arial" w:cs="Arial"/>
                <w:noProof/>
                <w:sz w:val="24"/>
                <w:szCs w:val="24"/>
              </w:rPr>
              <w:t>REFERÊNCIAS</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_Toc90483722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17</w:t>
            </w:r>
            <w:r w:rsidRPr="004F23EC">
              <w:rPr>
                <w:rFonts w:ascii="Arial" w:hAnsi="Arial" w:cs="Arial"/>
                <w:noProof/>
                <w:webHidden/>
                <w:sz w:val="24"/>
                <w:szCs w:val="24"/>
              </w:rPr>
              <w:fldChar w:fldCharType="end"/>
            </w:r>
          </w:hyperlink>
        </w:p>
        <w:p w14:paraId="5FFD532B" w14:textId="181DBE8D" w:rsidR="00282BA6" w:rsidRPr="004F23EC" w:rsidRDefault="00282BA6">
          <w:pPr>
            <w:pStyle w:val="Sumrio1"/>
            <w:tabs>
              <w:tab w:val="right" w:leader="dot" w:pos="9024"/>
            </w:tabs>
            <w:rPr>
              <w:rFonts w:ascii="Arial" w:eastAsiaTheme="minorEastAsia" w:hAnsi="Arial" w:cs="Arial"/>
              <w:noProof/>
              <w:color w:val="auto"/>
              <w:sz w:val="24"/>
              <w:szCs w:val="24"/>
            </w:rPr>
          </w:pPr>
          <w:hyperlink w:anchor="_Toc90483723" w:history="1">
            <w:r w:rsidRPr="004F23EC">
              <w:rPr>
                <w:rStyle w:val="Hyperlink"/>
                <w:rFonts w:ascii="Arial" w:hAnsi="Arial" w:cs="Arial"/>
                <w:noProof/>
                <w:sz w:val="24"/>
                <w:szCs w:val="24"/>
              </w:rPr>
              <w:t>ANEXOS</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_Toc90483723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20</w:t>
            </w:r>
            <w:r w:rsidRPr="004F23EC">
              <w:rPr>
                <w:rFonts w:ascii="Arial" w:hAnsi="Arial" w:cs="Arial"/>
                <w:noProof/>
                <w:webHidden/>
                <w:sz w:val="24"/>
                <w:szCs w:val="24"/>
              </w:rPr>
              <w:fldChar w:fldCharType="end"/>
            </w:r>
          </w:hyperlink>
        </w:p>
        <w:p w14:paraId="146C8425" w14:textId="2230BAB6" w:rsidR="00282BA6" w:rsidRPr="004F23EC" w:rsidRDefault="00282BA6" w:rsidP="00282BA6">
          <w:pPr>
            <w:pStyle w:val="Sumrio2"/>
            <w:tabs>
              <w:tab w:val="right" w:leader="dot" w:pos="9024"/>
            </w:tabs>
            <w:ind w:left="0" w:firstLine="0"/>
            <w:rPr>
              <w:rFonts w:ascii="Arial" w:eastAsiaTheme="minorEastAsia" w:hAnsi="Arial" w:cs="Arial"/>
              <w:noProof/>
              <w:color w:val="auto"/>
              <w:sz w:val="24"/>
              <w:szCs w:val="24"/>
            </w:rPr>
          </w:pPr>
          <w:hyperlink w:anchor="_Toc90483724" w:history="1">
            <w:r w:rsidRPr="004F23EC">
              <w:rPr>
                <w:rStyle w:val="Hyperlink"/>
                <w:rFonts w:ascii="Arial" w:hAnsi="Arial" w:cs="Arial"/>
                <w:noProof/>
                <w:sz w:val="24"/>
                <w:szCs w:val="24"/>
              </w:rPr>
              <w:t>ANEXO 1 – TERMO DE CONSENTIMENTO LIVRE E ESCLARECIDO (TCLE)</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_Toc90483724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20</w:t>
            </w:r>
            <w:r w:rsidRPr="004F23EC">
              <w:rPr>
                <w:rFonts w:ascii="Arial" w:hAnsi="Arial" w:cs="Arial"/>
                <w:noProof/>
                <w:webHidden/>
                <w:sz w:val="24"/>
                <w:szCs w:val="24"/>
              </w:rPr>
              <w:fldChar w:fldCharType="end"/>
            </w:r>
          </w:hyperlink>
        </w:p>
        <w:p w14:paraId="22164C05" w14:textId="0107A2D1" w:rsidR="00282BA6" w:rsidRPr="004F23EC" w:rsidRDefault="00282BA6">
          <w:pPr>
            <w:pStyle w:val="Sumrio1"/>
            <w:tabs>
              <w:tab w:val="right" w:leader="dot" w:pos="9024"/>
            </w:tabs>
            <w:rPr>
              <w:rFonts w:ascii="Arial" w:eastAsiaTheme="minorEastAsia" w:hAnsi="Arial" w:cs="Arial"/>
              <w:noProof/>
              <w:color w:val="auto"/>
              <w:sz w:val="24"/>
              <w:szCs w:val="24"/>
            </w:rPr>
          </w:pPr>
          <w:hyperlink w:anchor="_Toc90483725" w:history="1">
            <w:r w:rsidRPr="004F23EC">
              <w:rPr>
                <w:rStyle w:val="Hyperlink"/>
                <w:rFonts w:ascii="Arial" w:hAnsi="Arial" w:cs="Arial"/>
                <w:noProof/>
                <w:sz w:val="24"/>
                <w:szCs w:val="24"/>
              </w:rPr>
              <w:t>ANEXO 2 – QUESTIONÁRIO</w:t>
            </w:r>
            <w:r w:rsidRPr="004F23EC">
              <w:rPr>
                <w:rFonts w:ascii="Arial" w:hAnsi="Arial" w:cs="Arial"/>
                <w:noProof/>
                <w:webHidden/>
                <w:sz w:val="24"/>
                <w:szCs w:val="24"/>
              </w:rPr>
              <w:tab/>
            </w:r>
            <w:r w:rsidRPr="004F23EC">
              <w:rPr>
                <w:rFonts w:ascii="Arial" w:hAnsi="Arial" w:cs="Arial"/>
                <w:noProof/>
                <w:webHidden/>
                <w:sz w:val="24"/>
                <w:szCs w:val="24"/>
              </w:rPr>
              <w:fldChar w:fldCharType="begin"/>
            </w:r>
            <w:r w:rsidRPr="004F23EC">
              <w:rPr>
                <w:rFonts w:ascii="Arial" w:hAnsi="Arial" w:cs="Arial"/>
                <w:noProof/>
                <w:webHidden/>
                <w:sz w:val="24"/>
                <w:szCs w:val="24"/>
              </w:rPr>
              <w:instrText xml:space="preserve"> PAGEREF _Toc90483725 \h </w:instrText>
            </w:r>
            <w:r w:rsidRPr="004F23EC">
              <w:rPr>
                <w:rFonts w:ascii="Arial" w:hAnsi="Arial" w:cs="Arial"/>
                <w:noProof/>
                <w:webHidden/>
                <w:sz w:val="24"/>
                <w:szCs w:val="24"/>
              </w:rPr>
            </w:r>
            <w:r w:rsidRPr="004F23EC">
              <w:rPr>
                <w:rFonts w:ascii="Arial" w:hAnsi="Arial" w:cs="Arial"/>
                <w:noProof/>
                <w:webHidden/>
                <w:sz w:val="24"/>
                <w:szCs w:val="24"/>
              </w:rPr>
              <w:fldChar w:fldCharType="separate"/>
            </w:r>
            <w:r w:rsidR="007060E9" w:rsidRPr="004F23EC">
              <w:rPr>
                <w:rFonts w:ascii="Arial" w:hAnsi="Arial" w:cs="Arial"/>
                <w:noProof/>
                <w:webHidden/>
                <w:sz w:val="24"/>
                <w:szCs w:val="24"/>
              </w:rPr>
              <w:t>23</w:t>
            </w:r>
            <w:r w:rsidRPr="004F23EC">
              <w:rPr>
                <w:rFonts w:ascii="Arial" w:hAnsi="Arial" w:cs="Arial"/>
                <w:noProof/>
                <w:webHidden/>
                <w:sz w:val="24"/>
                <w:szCs w:val="24"/>
              </w:rPr>
              <w:fldChar w:fldCharType="end"/>
            </w:r>
          </w:hyperlink>
        </w:p>
        <w:p w14:paraId="1DB13EF3" w14:textId="4C6F27B8" w:rsidR="00740DA2" w:rsidRDefault="006B546F">
          <w:r w:rsidRPr="004F23EC">
            <w:rPr>
              <w:szCs w:val="24"/>
            </w:rPr>
            <w:fldChar w:fldCharType="end"/>
          </w:r>
        </w:p>
      </w:sdtContent>
    </w:sdt>
    <w:p w14:paraId="33C8B0F1" w14:textId="77777777" w:rsidR="00740DA2" w:rsidRDefault="006B546F">
      <w:pPr>
        <w:spacing w:after="160" w:line="259" w:lineRule="auto"/>
        <w:ind w:left="0" w:right="0" w:firstLine="0"/>
        <w:jc w:val="left"/>
      </w:pPr>
      <w:r>
        <w:t xml:space="preserve"> </w:t>
      </w:r>
    </w:p>
    <w:p w14:paraId="3538DE06" w14:textId="77777777" w:rsidR="00740DA2" w:rsidRDefault="006B546F">
      <w:pPr>
        <w:spacing w:after="158" w:line="259" w:lineRule="auto"/>
        <w:ind w:left="61" w:right="0" w:firstLine="0"/>
        <w:jc w:val="center"/>
      </w:pPr>
      <w:r>
        <w:rPr>
          <w:b/>
        </w:rPr>
        <w:t xml:space="preserve"> </w:t>
      </w:r>
    </w:p>
    <w:p w14:paraId="61AA692A" w14:textId="77777777" w:rsidR="00740DA2" w:rsidRDefault="006B546F">
      <w:pPr>
        <w:spacing w:after="160" w:line="259" w:lineRule="auto"/>
        <w:ind w:left="61" w:right="0" w:firstLine="0"/>
        <w:jc w:val="center"/>
      </w:pPr>
      <w:r>
        <w:rPr>
          <w:b/>
        </w:rPr>
        <w:t xml:space="preserve"> </w:t>
      </w:r>
    </w:p>
    <w:p w14:paraId="61915A0E" w14:textId="77777777" w:rsidR="00740DA2" w:rsidRDefault="006B546F">
      <w:pPr>
        <w:spacing w:after="160" w:line="259" w:lineRule="auto"/>
        <w:ind w:left="61" w:right="0" w:firstLine="0"/>
        <w:jc w:val="center"/>
      </w:pPr>
      <w:r>
        <w:rPr>
          <w:b/>
        </w:rPr>
        <w:t xml:space="preserve"> </w:t>
      </w:r>
    </w:p>
    <w:p w14:paraId="2038B736" w14:textId="77777777" w:rsidR="00740DA2" w:rsidRDefault="006B546F">
      <w:pPr>
        <w:spacing w:after="160" w:line="259" w:lineRule="auto"/>
        <w:ind w:left="61" w:right="0" w:firstLine="0"/>
        <w:jc w:val="center"/>
      </w:pPr>
      <w:r>
        <w:rPr>
          <w:b/>
        </w:rPr>
        <w:t xml:space="preserve"> </w:t>
      </w:r>
    </w:p>
    <w:p w14:paraId="3AD94A37" w14:textId="77777777" w:rsidR="00740DA2" w:rsidRDefault="006B546F">
      <w:pPr>
        <w:spacing w:after="159" w:line="259" w:lineRule="auto"/>
        <w:ind w:left="61" w:right="0" w:firstLine="0"/>
        <w:jc w:val="center"/>
      </w:pPr>
      <w:r>
        <w:rPr>
          <w:b/>
        </w:rPr>
        <w:t xml:space="preserve"> </w:t>
      </w:r>
    </w:p>
    <w:p w14:paraId="3D00F147" w14:textId="77777777" w:rsidR="00740DA2" w:rsidRDefault="006B546F">
      <w:pPr>
        <w:spacing w:after="160" w:line="259" w:lineRule="auto"/>
        <w:ind w:left="61" w:right="0" w:firstLine="0"/>
        <w:jc w:val="center"/>
      </w:pPr>
      <w:r>
        <w:rPr>
          <w:b/>
        </w:rPr>
        <w:t xml:space="preserve"> </w:t>
      </w:r>
    </w:p>
    <w:p w14:paraId="68350DB4" w14:textId="77777777" w:rsidR="00740DA2" w:rsidRDefault="006B546F">
      <w:pPr>
        <w:spacing w:after="160" w:line="259" w:lineRule="auto"/>
        <w:ind w:left="61" w:right="0" w:firstLine="0"/>
        <w:jc w:val="center"/>
      </w:pPr>
      <w:r>
        <w:rPr>
          <w:b/>
        </w:rPr>
        <w:t xml:space="preserve"> </w:t>
      </w:r>
    </w:p>
    <w:p w14:paraId="565B9538" w14:textId="77777777" w:rsidR="00740DA2" w:rsidRDefault="006B546F">
      <w:pPr>
        <w:spacing w:after="160" w:line="259" w:lineRule="auto"/>
        <w:ind w:left="61" w:right="0" w:firstLine="0"/>
        <w:jc w:val="center"/>
      </w:pPr>
      <w:r>
        <w:rPr>
          <w:b/>
        </w:rPr>
        <w:t xml:space="preserve"> </w:t>
      </w:r>
    </w:p>
    <w:p w14:paraId="6219CD65" w14:textId="77777777" w:rsidR="00594B5E" w:rsidRDefault="00594B5E" w:rsidP="00ED6FAE">
      <w:pPr>
        <w:spacing w:after="158" w:line="259" w:lineRule="auto"/>
        <w:ind w:left="61" w:right="0" w:firstLine="0"/>
        <w:jc w:val="center"/>
        <w:rPr>
          <w:b/>
        </w:rPr>
      </w:pPr>
    </w:p>
    <w:p w14:paraId="239919B3" w14:textId="77777777" w:rsidR="00594B5E" w:rsidRDefault="00594B5E" w:rsidP="00ED6FAE">
      <w:pPr>
        <w:spacing w:after="158" w:line="259" w:lineRule="auto"/>
        <w:ind w:left="61" w:right="0" w:firstLine="0"/>
        <w:jc w:val="center"/>
        <w:rPr>
          <w:b/>
        </w:rPr>
      </w:pPr>
    </w:p>
    <w:p w14:paraId="7876B09E" w14:textId="77777777" w:rsidR="00594B5E" w:rsidRDefault="00594B5E" w:rsidP="00ED6FAE">
      <w:pPr>
        <w:spacing w:after="158" w:line="259" w:lineRule="auto"/>
        <w:ind w:left="61" w:right="0" w:firstLine="0"/>
        <w:jc w:val="center"/>
        <w:rPr>
          <w:b/>
        </w:rPr>
      </w:pPr>
    </w:p>
    <w:p w14:paraId="6DBAF4E6" w14:textId="77777777" w:rsidR="00594B5E" w:rsidRDefault="00594B5E" w:rsidP="00ED6FAE">
      <w:pPr>
        <w:spacing w:after="158" w:line="259" w:lineRule="auto"/>
        <w:ind w:left="61" w:right="0" w:firstLine="0"/>
        <w:jc w:val="center"/>
        <w:rPr>
          <w:b/>
        </w:rPr>
      </w:pPr>
    </w:p>
    <w:p w14:paraId="3D22DFB6" w14:textId="77777777" w:rsidR="00594B5E" w:rsidRDefault="00594B5E" w:rsidP="00ED6FAE">
      <w:pPr>
        <w:spacing w:after="158" w:line="259" w:lineRule="auto"/>
        <w:ind w:left="61" w:right="0" w:firstLine="0"/>
        <w:jc w:val="center"/>
        <w:rPr>
          <w:b/>
        </w:rPr>
      </w:pPr>
    </w:p>
    <w:p w14:paraId="0E17FA88" w14:textId="77777777" w:rsidR="00594B5E" w:rsidRDefault="00594B5E" w:rsidP="00ED6FAE">
      <w:pPr>
        <w:spacing w:after="158" w:line="259" w:lineRule="auto"/>
        <w:ind w:left="61" w:right="0" w:firstLine="0"/>
        <w:jc w:val="center"/>
        <w:rPr>
          <w:b/>
        </w:rPr>
      </w:pPr>
    </w:p>
    <w:p w14:paraId="2AD7EF08" w14:textId="77777777" w:rsidR="00594B5E" w:rsidRDefault="00594B5E" w:rsidP="00ED6FAE">
      <w:pPr>
        <w:spacing w:after="158" w:line="259" w:lineRule="auto"/>
        <w:ind w:left="61" w:right="0" w:firstLine="0"/>
        <w:jc w:val="center"/>
        <w:rPr>
          <w:b/>
        </w:rPr>
      </w:pPr>
    </w:p>
    <w:p w14:paraId="3EC27C25" w14:textId="48F2EF6C" w:rsidR="00740DA2" w:rsidRDefault="006B546F" w:rsidP="00ED6FAE">
      <w:pPr>
        <w:spacing w:after="158" w:line="259" w:lineRule="auto"/>
        <w:ind w:left="61" w:right="0" w:firstLine="0"/>
        <w:jc w:val="center"/>
      </w:pPr>
      <w:r>
        <w:rPr>
          <w:b/>
        </w:rPr>
        <w:t xml:space="preserve"> </w:t>
      </w:r>
    </w:p>
    <w:p w14:paraId="46217879" w14:textId="77777777" w:rsidR="00740DA2" w:rsidRDefault="006B546F">
      <w:pPr>
        <w:pStyle w:val="Ttulo1"/>
        <w:ind w:left="705" w:hanging="360"/>
      </w:pPr>
      <w:bookmarkStart w:id="2" w:name="_Toc90483716"/>
      <w:r>
        <w:lastRenderedPageBreak/>
        <w:t>INTRODUÇÃO</w:t>
      </w:r>
      <w:bookmarkEnd w:id="2"/>
      <w:r>
        <w:t xml:space="preserve"> </w:t>
      </w:r>
    </w:p>
    <w:p w14:paraId="76F67C3B" w14:textId="77777777" w:rsidR="0093114E" w:rsidRPr="00594B5E" w:rsidRDefault="0093114E" w:rsidP="00594B5E">
      <w:pPr>
        <w:spacing w:line="360" w:lineRule="auto"/>
        <w:ind w:left="-15" w:firstLine="360"/>
        <w:rPr>
          <w:szCs w:val="24"/>
        </w:rPr>
      </w:pPr>
      <w:r w:rsidRPr="00594B5E">
        <w:rPr>
          <w:szCs w:val="24"/>
        </w:rPr>
        <w:t>O Ministério da Saúde (MS) publicou o Boletim Epidemiológico nº 15 e o Ministério da Educação (MEC) a Portaria nº 343. Ambos solicitaram o distanciamento social e paralisação de encontros presenciais nas instituições de ensino devido à pandemia do COVID-19. (CARNEIRO; RODRIGUES &amp; PRATA, 2020). Atendendo a todas essas recomendações, as atividades acadêmicas foram suspensas e o distanciamento social revelou a necessidade da reestruturação do processo ensino aprendizagem em instituições acadêmicas</w:t>
      </w:r>
      <w:r w:rsidRPr="00594B5E">
        <w:rPr>
          <w:szCs w:val="24"/>
        </w:rPr>
        <w:t xml:space="preserve"> </w:t>
      </w:r>
      <w:r w:rsidRPr="00594B5E">
        <w:rPr>
          <w:szCs w:val="24"/>
        </w:rPr>
        <w:t xml:space="preserve">de medicina por todo o território nacional, as quais adotaram tecnologias da informação e comunicação (TIC) para continuar a rotina de estudos (GOMES et al., 2020). Apesar desse método de educação a distância já existir, grande parte do ensino era presencial e essencialmente prático, resultando em uma grande parte de discentes e docentes com dificuldade acerca da viabilidade das ferramentas tecnológicas digitais nesse horizonte da educação à distância (CARNEIRO; RODRIGUES &amp; PRATA, 2020). </w:t>
      </w:r>
    </w:p>
    <w:p w14:paraId="6908D8D8" w14:textId="77777777" w:rsidR="0093114E" w:rsidRPr="00594B5E" w:rsidRDefault="0093114E" w:rsidP="00594B5E">
      <w:pPr>
        <w:spacing w:line="360" w:lineRule="auto"/>
        <w:ind w:left="-15" w:firstLine="360"/>
        <w:rPr>
          <w:szCs w:val="24"/>
        </w:rPr>
      </w:pPr>
      <w:r w:rsidRPr="00594B5E">
        <w:rPr>
          <w:szCs w:val="24"/>
        </w:rPr>
        <w:t xml:space="preserve">A interrupção das aulas presenciais revelou uma realidade desafiadora ao acadêmico de medicina, a qual ainda não se sabe se está produzindo efeitos negativos ou até mesmo traços de esgotamento laboral sobre os estudantes. O conceito de </w:t>
      </w:r>
      <w:r w:rsidRPr="00594B5E">
        <w:rPr>
          <w:i/>
          <w:szCs w:val="24"/>
        </w:rPr>
        <w:t>burnout</w:t>
      </w:r>
      <w:r w:rsidRPr="00594B5E">
        <w:rPr>
          <w:szCs w:val="24"/>
        </w:rPr>
        <w:t xml:space="preserve"> foi introduzido na década de 1970 pelo psicólogo germânico Herbert </w:t>
      </w:r>
      <w:proofErr w:type="spellStart"/>
      <w:r w:rsidRPr="00594B5E">
        <w:rPr>
          <w:szCs w:val="24"/>
        </w:rPr>
        <w:t>Freudenberger</w:t>
      </w:r>
      <w:proofErr w:type="spellEnd"/>
      <w:r w:rsidRPr="00594B5E">
        <w:rPr>
          <w:szCs w:val="24"/>
        </w:rPr>
        <w:t xml:space="preserve"> (1926-1999). A sua definição consiste na exaustão consequente da excessiva exigência de energia, força ou recurso na realização de determinada atividade. Posteriormente, o assunto foi exaustivamente estudado pela pesquisadora Christina </w:t>
      </w:r>
      <w:proofErr w:type="spellStart"/>
      <w:r w:rsidRPr="00594B5E">
        <w:rPr>
          <w:szCs w:val="24"/>
        </w:rPr>
        <w:t>Maslach</w:t>
      </w:r>
      <w:proofErr w:type="spellEnd"/>
      <w:r w:rsidRPr="00594B5E">
        <w:rPr>
          <w:szCs w:val="24"/>
        </w:rPr>
        <w:t xml:space="preserve">, que definiu a síndrome de </w:t>
      </w:r>
      <w:r w:rsidRPr="00594B5E">
        <w:rPr>
          <w:i/>
          <w:szCs w:val="24"/>
        </w:rPr>
        <w:t>burnout (SB)</w:t>
      </w:r>
      <w:r w:rsidRPr="00594B5E">
        <w:rPr>
          <w:szCs w:val="24"/>
        </w:rPr>
        <w:t xml:space="preserve"> da maneira mais conhecida e empregada atualmente: uma síndrome tridimensional, constituída por exaustão emocional, despersonalização e reduzida realização profissional, que ocorre em resposta ao estresse laboral crônico (BOND et al., 2018). </w:t>
      </w:r>
    </w:p>
    <w:p w14:paraId="1373C896" w14:textId="77777777" w:rsidR="0093114E" w:rsidRPr="00594B5E" w:rsidRDefault="0093114E" w:rsidP="00594B5E">
      <w:pPr>
        <w:spacing w:line="360" w:lineRule="auto"/>
        <w:ind w:left="-15" w:firstLine="360"/>
        <w:rPr>
          <w:szCs w:val="24"/>
        </w:rPr>
      </w:pPr>
      <w:r w:rsidRPr="00594B5E">
        <w:rPr>
          <w:szCs w:val="24"/>
        </w:rPr>
        <w:t xml:space="preserve">Em sua definição, o </w:t>
      </w:r>
      <w:r w:rsidRPr="00594B5E">
        <w:rPr>
          <w:i/>
          <w:szCs w:val="24"/>
        </w:rPr>
        <w:t>burnout</w:t>
      </w:r>
      <w:r w:rsidRPr="00594B5E">
        <w:rPr>
          <w:szCs w:val="24"/>
        </w:rPr>
        <w:t xml:space="preserve"> é constituído por três dimensões independentes, que podem se relacionar entre si. A primeira consiste na exaustão emocional, marcada pela carência de entusiasmo e energia, levando à sensação de esgotamento de recursos. Despersonalização, que caracteriza a segunda dimensão, é constituída pela insensibilidade emocional, que reflete o desenvolvimento de atitudes negativas direcionadas ao serviço prestado, culminando na intolerância e no tratamento impessoal para com clientes, colegas e superiores. Por fim, a última dimensão é a falta de realização profissional, na qual os indivíduos tendem a acreditar que seus </w:t>
      </w:r>
      <w:r w:rsidRPr="00594B5E">
        <w:rPr>
          <w:szCs w:val="24"/>
        </w:rPr>
        <w:lastRenderedPageBreak/>
        <w:t xml:space="preserve">objetivos profissionais não foram atingidos, vivenciando uma sensação de insuficiência e baixa autoestima (BOND et al., 2018; CRUZ et al., 2019). </w:t>
      </w:r>
    </w:p>
    <w:p w14:paraId="5BE2EE78" w14:textId="77777777" w:rsidR="0093114E" w:rsidRPr="00594B5E" w:rsidRDefault="0093114E" w:rsidP="00594B5E">
      <w:pPr>
        <w:spacing w:line="360" w:lineRule="auto"/>
        <w:ind w:left="-15" w:firstLine="360"/>
        <w:rPr>
          <w:szCs w:val="24"/>
        </w:rPr>
      </w:pPr>
      <w:r w:rsidRPr="00594B5E">
        <w:rPr>
          <w:szCs w:val="24"/>
        </w:rPr>
        <w:t xml:space="preserve">Os sintomas físicos podem se manifestar, nos profissionais, de diversas formas, incluindo alterações do apetite, fadiga, cefaleia, distúrbios gastrointestinais e doenças cardiovasculares. Entre os sintomas psíquicos, destacam-se mau humor, irritabilidade, diminuição da concentração, insônia e depressão, afetando também os relacionamentos interpessoais. A ocorrência dessa síndrome também está associada ao aumento do consumo de álcool ou drogas e à ideação suicida (BARBOSA, 2017; BOND et al., 2019).  </w:t>
      </w:r>
    </w:p>
    <w:p w14:paraId="2BE3527A" w14:textId="77777777" w:rsidR="0093114E" w:rsidRPr="00594B5E" w:rsidRDefault="0093114E" w:rsidP="00594B5E">
      <w:pPr>
        <w:spacing w:line="360" w:lineRule="auto"/>
        <w:ind w:left="-15" w:firstLine="360"/>
        <w:rPr>
          <w:szCs w:val="24"/>
        </w:rPr>
      </w:pPr>
      <w:r w:rsidRPr="00594B5E">
        <w:rPr>
          <w:szCs w:val="24"/>
        </w:rPr>
        <w:t xml:space="preserve">A população médica encontra-se particularmente sujeita a este tipo de relação negativa com o ambiente laboral em virtude de elevadas cargas horárias, turnos extensos em regime de plantão, incluindo jornadas de trabalho noturnas, envolvimento interpessoal com pacientes, frustrações terapêuticas e, por vezes, ausência de recursos para o bom exercício da profissão. (BARBOSA, 2017). O </w:t>
      </w:r>
      <w:r w:rsidRPr="00594B5E">
        <w:rPr>
          <w:i/>
          <w:szCs w:val="24"/>
        </w:rPr>
        <w:t>burnout</w:t>
      </w:r>
      <w:r w:rsidRPr="00594B5E">
        <w:rPr>
          <w:szCs w:val="24"/>
        </w:rPr>
        <w:t xml:space="preserve"> se inicia durante a universidade, continua durante a residência médica e amadurece na atividade diária dos médicos atuantes após a residência (RODRIGUES FILHO; JUNGES, 2020).  </w:t>
      </w:r>
    </w:p>
    <w:p w14:paraId="118A8A9F" w14:textId="2F1358CB" w:rsidR="00594B5E" w:rsidRPr="004F23EC" w:rsidRDefault="0093114E" w:rsidP="004F23EC">
      <w:pPr>
        <w:spacing w:line="360" w:lineRule="auto"/>
        <w:ind w:left="-15" w:firstLine="360"/>
        <w:rPr>
          <w:szCs w:val="24"/>
        </w:rPr>
      </w:pPr>
      <w:r w:rsidRPr="00594B5E">
        <w:rPr>
          <w:szCs w:val="24"/>
        </w:rPr>
        <w:t xml:space="preserve">Sendo, assim, com a mudança do perfil de estudantes de medicina e das instituições de ensino, nunca foi tão necessário diversificar os métodos de ensino aprendizagem. Assim, no contexto da pandemia da COVID-19, existe a necessidade de uma diversidade de suportes e métodos para apoiar a criação de uma rotina positiva para os estudantes de medicina. Para que os estudantes de medicina consigam superar as barreiras educacionais impostas pela pandemia, é necessário que haja resiliência e que as instituições de ensino garantam um cenário de aprendizagem com metodologias ativas e inovadoras; assim, poderemos herdar um legado no pós-pandemia que possa contribuir na formação de novos médicos (GOMES et al., 2020). </w:t>
      </w:r>
    </w:p>
    <w:p w14:paraId="66AB9F3A" w14:textId="77777777" w:rsidR="00594B5E" w:rsidRDefault="00594B5E" w:rsidP="00594B5E">
      <w:pPr>
        <w:spacing w:after="115" w:line="259" w:lineRule="auto"/>
        <w:ind w:left="0" w:right="0" w:firstLine="0"/>
        <w:jc w:val="left"/>
      </w:pPr>
    </w:p>
    <w:p w14:paraId="4DD048F5" w14:textId="2D497735" w:rsidR="00740DA2" w:rsidRDefault="006B546F" w:rsidP="00ED6FAE">
      <w:pPr>
        <w:spacing w:after="115" w:line="259" w:lineRule="auto"/>
        <w:ind w:left="360" w:right="0" w:firstLine="0"/>
        <w:jc w:val="left"/>
      </w:pPr>
      <w:r>
        <w:t xml:space="preserve"> </w:t>
      </w:r>
    </w:p>
    <w:p w14:paraId="27C30CE9" w14:textId="3A02FB3A" w:rsidR="0093114E" w:rsidRDefault="0093114E">
      <w:pPr>
        <w:pStyle w:val="Ttulo1"/>
        <w:spacing w:after="8"/>
        <w:ind w:left="705" w:hanging="360"/>
      </w:pPr>
      <w:bookmarkStart w:id="3" w:name="_Toc90483717"/>
      <w:r>
        <w:t>OBJETIVO</w:t>
      </w:r>
      <w:bookmarkEnd w:id="3"/>
    </w:p>
    <w:p w14:paraId="1F6CAAA1" w14:textId="77777777" w:rsidR="0093114E" w:rsidRPr="0093114E" w:rsidRDefault="0093114E" w:rsidP="0093114E"/>
    <w:p w14:paraId="014A819E" w14:textId="2FA55062" w:rsidR="00ED6FAE" w:rsidRPr="004F23EC" w:rsidRDefault="0093114E" w:rsidP="004F23EC">
      <w:pPr>
        <w:spacing w:after="120" w:line="360" w:lineRule="auto"/>
        <w:ind w:firstLine="284"/>
        <w:rPr>
          <w:b/>
          <w:sz w:val="20"/>
          <w:szCs w:val="20"/>
        </w:rPr>
      </w:pPr>
      <w:r w:rsidRPr="00594B5E">
        <w:rPr>
          <w:szCs w:val="24"/>
        </w:rPr>
        <w:t xml:space="preserve">O objetivo deste trabalho foi determinar o nível de esgotamento laboral do acadêmico de medicina da Pontifícia Universidade Católica de Goiás (PUC Goiás) referente ao cenário da pandemia por </w:t>
      </w:r>
      <w:r w:rsidR="004F23EC">
        <w:rPr>
          <w:szCs w:val="24"/>
        </w:rPr>
        <w:t>C</w:t>
      </w:r>
      <w:r w:rsidRPr="00594B5E">
        <w:rPr>
          <w:szCs w:val="24"/>
        </w:rPr>
        <w:t>ovid-19.</w:t>
      </w:r>
    </w:p>
    <w:p w14:paraId="15A70ABD" w14:textId="0BA43AD7" w:rsidR="00740DA2" w:rsidRDefault="0093114E">
      <w:pPr>
        <w:pStyle w:val="Ttulo1"/>
        <w:ind w:left="705" w:hanging="360"/>
      </w:pPr>
      <w:bookmarkStart w:id="4" w:name="_Toc90483718"/>
      <w:r>
        <w:lastRenderedPageBreak/>
        <w:t>MÉTODOS</w:t>
      </w:r>
      <w:bookmarkEnd w:id="4"/>
      <w:r w:rsidR="006B546F">
        <w:t xml:space="preserve"> </w:t>
      </w:r>
    </w:p>
    <w:p w14:paraId="00C44824" w14:textId="77777777" w:rsidR="0093114E" w:rsidRPr="00594B5E" w:rsidRDefault="0093114E" w:rsidP="0093114E">
      <w:pPr>
        <w:pStyle w:val="SemEspaamento"/>
        <w:spacing w:line="360" w:lineRule="auto"/>
        <w:ind w:left="113" w:right="113" w:firstLine="709"/>
        <w:rPr>
          <w:szCs w:val="28"/>
        </w:rPr>
      </w:pPr>
      <w:r w:rsidRPr="00594B5E">
        <w:rPr>
          <w:szCs w:val="28"/>
        </w:rPr>
        <w:t xml:space="preserve">O presente trabalho trata-se de um estudo de levantamento de dados com base em informações contidas em questionários aplicados em estudantes de Medicina do primeiro ao décimo segundo período da PUC Goiás. O questionário de identificação levantou as informações de: gênero, idade, período, uso de antidepressivos e/ou ansiolíticos, regularidade e motivação do uso. O questionário para diagnóstico de Burnout aplicado foi o </w:t>
      </w:r>
      <w:proofErr w:type="spellStart"/>
      <w:r w:rsidRPr="00594B5E">
        <w:rPr>
          <w:i/>
          <w:iCs/>
          <w:szCs w:val="28"/>
        </w:rPr>
        <w:t>Maslach</w:t>
      </w:r>
      <w:proofErr w:type="spellEnd"/>
      <w:r w:rsidRPr="00594B5E">
        <w:rPr>
          <w:i/>
          <w:iCs/>
          <w:szCs w:val="28"/>
        </w:rPr>
        <w:t xml:space="preserve"> Burnout </w:t>
      </w:r>
      <w:proofErr w:type="spellStart"/>
      <w:r w:rsidRPr="00594B5E">
        <w:rPr>
          <w:i/>
          <w:iCs/>
          <w:szCs w:val="28"/>
        </w:rPr>
        <w:t>Inventory</w:t>
      </w:r>
      <w:proofErr w:type="spellEnd"/>
      <w:r w:rsidRPr="00594B5E">
        <w:rPr>
          <w:i/>
          <w:iCs/>
          <w:szCs w:val="28"/>
        </w:rPr>
        <w:t xml:space="preserve"> (</w:t>
      </w:r>
      <w:r w:rsidRPr="00594B5E">
        <w:rPr>
          <w:szCs w:val="28"/>
        </w:rPr>
        <w:t xml:space="preserve">MBI) </w:t>
      </w:r>
      <w:r w:rsidRPr="00594B5E">
        <w:rPr>
          <w:szCs w:val="28"/>
        </w:rPr>
        <w:fldChar w:fldCharType="begin" w:fldLock="1"/>
      </w:r>
      <w:r w:rsidRPr="00594B5E">
        <w:rPr>
          <w:szCs w:val="28"/>
        </w:rPr>
        <w:instrText>ADDIN CSL_CITATION {"citationItems":[{"id":"ITEM-1","itemData":{"author":[{"dropping-particle":"","family":"Jbeili","given":"Chafic","non-dropping-particle":"","parse-names":false,"suffix":""}],"container-title":"Elaborado e adapitado por Chafic Jbeili, inspirado no Maslach Burnout Inventory","id":"ITEM-1","issued":{"date-parts":[["2013"]]},"page":"100","title":"Questionário Jbeili Para Identificação Preliminar Da Burnout","type":"article-journal"},"uris":["http://www.mendeley.com/documents/?uuid=57628514-bba2-4a41-b6b3-cf4d9d5f9e1f"]}],"mendeley":{"formattedCitation":"(JBEILI, 2013)","plainTextFormattedCitation":"(JBEILI, 2013)","previouslyFormattedCitation":"(JBEILI, 2013)"},"properties":{"noteIndex":0},"schema":"https://github.com/citation-style-language/schema/raw/master/csl-citation.json"}</w:instrText>
      </w:r>
      <w:r w:rsidRPr="00594B5E">
        <w:rPr>
          <w:szCs w:val="28"/>
        </w:rPr>
        <w:fldChar w:fldCharType="separate"/>
      </w:r>
      <w:r w:rsidRPr="00594B5E">
        <w:rPr>
          <w:noProof/>
          <w:szCs w:val="28"/>
        </w:rPr>
        <w:t>(JBEILI, 2013)</w:t>
      </w:r>
      <w:r w:rsidRPr="00594B5E">
        <w:rPr>
          <w:szCs w:val="28"/>
        </w:rPr>
        <w:fldChar w:fldCharType="end"/>
      </w:r>
      <w:r w:rsidRPr="00594B5E">
        <w:rPr>
          <w:szCs w:val="28"/>
        </w:rPr>
        <w:t xml:space="preserve">, que avalia o esgotamento emocional, exaustão, disposição, sensação de vitalidade, realização profissional, amor à profissão (no caso dos acadêmicos: amor ao curso), e nível de estresse. Ademais, foram aplicadas perguntas complementares referentes à qualidade de vida do acadêmico frente à pandemia, assim como o uso de medicamentos para a depressão e ansiedade.  </w:t>
      </w:r>
    </w:p>
    <w:p w14:paraId="0510449B" w14:textId="77777777" w:rsidR="0093114E" w:rsidRPr="00594B5E" w:rsidRDefault="0093114E" w:rsidP="0093114E">
      <w:pPr>
        <w:pStyle w:val="SemEspaamento"/>
        <w:spacing w:line="360" w:lineRule="auto"/>
        <w:ind w:left="123" w:right="113"/>
        <w:rPr>
          <w:szCs w:val="28"/>
        </w:rPr>
      </w:pPr>
      <w:r w:rsidRPr="00594B5E">
        <w:rPr>
          <w:szCs w:val="28"/>
        </w:rPr>
        <w:tab/>
      </w:r>
      <w:r w:rsidRPr="00594B5E">
        <w:rPr>
          <w:szCs w:val="28"/>
        </w:rPr>
        <w:tab/>
        <w:t xml:space="preserve">Após aprovação do Comitê de ética em Pesquisa da PUC Goiás, os questionários foram aplicados de maio a agosto de 2021 e, em seguida, foi feita uma análise das informações obtidas. Os alunos receberão o convite para preenchimento do questionário, via e-mail, de maneira individual e oculta, de forma que o destinatário não conseguirá visualizar dados que permitam a identificação dos demais destinatários que receberão o convite. Junto ao convite, foi encaminhado o link da plataforma Google </w:t>
      </w:r>
      <w:proofErr w:type="spellStart"/>
      <w:r w:rsidRPr="00594B5E">
        <w:rPr>
          <w:szCs w:val="28"/>
        </w:rPr>
        <w:t>Forms</w:t>
      </w:r>
      <w:proofErr w:type="spellEnd"/>
      <w:r w:rsidRPr="00594B5E">
        <w:rPr>
          <w:szCs w:val="28"/>
        </w:rPr>
        <w:t xml:space="preserve">, no qual está contido o questionário virtual. Além disso, o convite contém informações ao acadêmico, esclarecendo que antes do preenchimento do questionário virtual, foi apresentado a ele o Termo de Consentimento Livre e Esclarecido (TCLE). Assim, o acadêmico que concordou em participar da pesquisa, acessou o link e visualizou o TCLE. Para minimização dos riscos os nomes não foram utilizados sob nenhum aspecto, nem mesmo por siglas por não se tratar de um dado relevante para pesquisa, pois somente informações sobre o grau de exaustão física e emocional, sobre o uso de medicamentos antidepressivos e/ou ansiolíticos e sobre a qualidade de vida do acadêmico frente à pandemia contidas nos questionários serão coletadas. Todas as demais informações colhidas nos questionários serão mantidas sob o mais absoluto sigilo. </w:t>
      </w:r>
    </w:p>
    <w:p w14:paraId="5C249246" w14:textId="4B9F4AB3" w:rsidR="0093114E" w:rsidRPr="00594B5E" w:rsidRDefault="0093114E" w:rsidP="0093114E">
      <w:pPr>
        <w:pStyle w:val="SemEspaamento"/>
        <w:spacing w:line="360" w:lineRule="auto"/>
        <w:ind w:left="123" w:right="113" w:firstLine="597"/>
        <w:rPr>
          <w:rFonts w:eastAsia="Times New Roman"/>
          <w:szCs w:val="24"/>
        </w:rPr>
      </w:pPr>
      <w:r w:rsidRPr="00594B5E">
        <w:rPr>
          <w:rFonts w:eastAsia="Times New Roman"/>
          <w:szCs w:val="24"/>
        </w:rPr>
        <w:t xml:space="preserve">Os dados foram </w:t>
      </w:r>
      <w:proofErr w:type="gramStart"/>
      <w:r w:rsidRPr="00594B5E">
        <w:rPr>
          <w:rFonts w:eastAsia="Times New Roman"/>
          <w:szCs w:val="24"/>
        </w:rPr>
        <w:t>tabulados  e</w:t>
      </w:r>
      <w:proofErr w:type="gramEnd"/>
      <w:r w:rsidRPr="00594B5E">
        <w:rPr>
          <w:rFonts w:eastAsia="Times New Roman"/>
          <w:szCs w:val="24"/>
        </w:rPr>
        <w:t xml:space="preserve">  posteriormente  os  gráficos  e  a  análise  estatística  descritiva  foram  feitos utilizando o software Excel. Para a avaliação da associação entre a presença ou não de Burnout e as variáveis independentes, foi </w:t>
      </w:r>
      <w:proofErr w:type="gramStart"/>
      <w:r w:rsidRPr="00594B5E">
        <w:rPr>
          <w:rFonts w:eastAsia="Times New Roman"/>
          <w:szCs w:val="24"/>
        </w:rPr>
        <w:lastRenderedPageBreak/>
        <w:t>empregado  o</w:t>
      </w:r>
      <w:proofErr w:type="gramEnd"/>
      <w:r w:rsidRPr="00594B5E">
        <w:rPr>
          <w:rFonts w:eastAsia="Times New Roman"/>
          <w:szCs w:val="24"/>
        </w:rPr>
        <w:t xml:space="preserve"> teste </w:t>
      </w:r>
      <w:r w:rsidRPr="00594B5E">
        <w:rPr>
          <w:szCs w:val="24"/>
        </w:rPr>
        <w:t xml:space="preserve">do </w:t>
      </w:r>
      <w:r w:rsidRPr="00594B5E">
        <w:rPr>
          <w:i/>
          <w:iCs/>
          <w:szCs w:val="24"/>
        </w:rPr>
        <w:t xml:space="preserve">X² </w:t>
      </w:r>
      <w:r w:rsidRPr="00594B5E">
        <w:rPr>
          <w:rFonts w:eastAsia="Times New Roman"/>
          <w:szCs w:val="24"/>
        </w:rPr>
        <w:t xml:space="preserve">  utilizando  o  software  </w:t>
      </w:r>
      <w:proofErr w:type="spellStart"/>
      <w:r w:rsidRPr="00594B5E">
        <w:rPr>
          <w:rFonts w:eastAsia="Times New Roman"/>
          <w:szCs w:val="24"/>
        </w:rPr>
        <w:t>Past</w:t>
      </w:r>
      <w:proofErr w:type="spellEnd"/>
      <w:r w:rsidRPr="00594B5E">
        <w:rPr>
          <w:rFonts w:eastAsia="Times New Roman"/>
          <w:szCs w:val="24"/>
        </w:rPr>
        <w:t xml:space="preserve">  versão  4.03  9.  Foi adotado para os testes estatísticos um nível de significância de 5%.</w:t>
      </w:r>
    </w:p>
    <w:p w14:paraId="3901916A" w14:textId="4731DE7C" w:rsidR="005B6E32" w:rsidRDefault="005B6E32" w:rsidP="0093114E">
      <w:pPr>
        <w:pStyle w:val="SemEspaamento"/>
        <w:spacing w:line="360" w:lineRule="auto"/>
        <w:ind w:left="123" w:right="113" w:firstLine="597"/>
        <w:rPr>
          <w:rFonts w:eastAsia="Times New Roman"/>
          <w:sz w:val="20"/>
          <w:szCs w:val="20"/>
        </w:rPr>
      </w:pPr>
    </w:p>
    <w:p w14:paraId="5F312358" w14:textId="77777777" w:rsidR="005B6E32" w:rsidRPr="00E60F37" w:rsidRDefault="005B6E32" w:rsidP="0093114E">
      <w:pPr>
        <w:pStyle w:val="SemEspaamento"/>
        <w:spacing w:line="360" w:lineRule="auto"/>
        <w:ind w:left="123" w:right="113" w:firstLine="597"/>
        <w:rPr>
          <w:sz w:val="20"/>
          <w:szCs w:val="20"/>
        </w:rPr>
      </w:pPr>
    </w:p>
    <w:p w14:paraId="26973DC7" w14:textId="1108D22F" w:rsidR="005B6E32" w:rsidRDefault="006B546F" w:rsidP="005B6E32">
      <w:pPr>
        <w:pStyle w:val="Ttulo1"/>
        <w:spacing w:after="0"/>
        <w:ind w:left="705" w:hanging="360"/>
      </w:pPr>
      <w:bookmarkStart w:id="5" w:name="_Toc90483719"/>
      <w:r>
        <w:t>R</w:t>
      </w:r>
      <w:r w:rsidR="005B6E32">
        <w:t>ESULTADOS</w:t>
      </w:r>
      <w:bookmarkEnd w:id="5"/>
    </w:p>
    <w:p w14:paraId="1A741597" w14:textId="77777777" w:rsidR="005B6E32" w:rsidRPr="005B6E32" w:rsidRDefault="005B6E32" w:rsidP="005B6E32"/>
    <w:p w14:paraId="5BB35E00" w14:textId="77777777" w:rsidR="005B6E32" w:rsidRPr="00594B5E" w:rsidRDefault="005B6E32" w:rsidP="005B6E32">
      <w:pPr>
        <w:pStyle w:val="SemEspaamento"/>
        <w:spacing w:line="360" w:lineRule="auto"/>
        <w:ind w:firstLine="698"/>
        <w:rPr>
          <w:szCs w:val="24"/>
        </w:rPr>
      </w:pPr>
      <w:r w:rsidRPr="00594B5E">
        <w:rPr>
          <w:szCs w:val="24"/>
        </w:rPr>
        <w:t xml:space="preserve">Foram aplicados 74 questionários por meio de formulários gerados pelo Google </w:t>
      </w:r>
      <w:proofErr w:type="spellStart"/>
      <w:r w:rsidRPr="00594B5E">
        <w:rPr>
          <w:szCs w:val="24"/>
        </w:rPr>
        <w:t>Forms</w:t>
      </w:r>
      <w:proofErr w:type="spellEnd"/>
      <w:r w:rsidRPr="00594B5E">
        <w:rPr>
          <w:szCs w:val="24"/>
        </w:rPr>
        <w:t>. A distribuição de respostas variou conforme período do curso, sendo o 12º excluído, pois no momento da aplicação, os acadêmicos deste período já haviam graduado, excepcionalmente, antes do previsto devido às condições de pandemia do COVID -19.</w:t>
      </w:r>
    </w:p>
    <w:p w14:paraId="0B2A0F47" w14:textId="77777777" w:rsidR="005B6E32" w:rsidRPr="00594B5E" w:rsidRDefault="005B6E32" w:rsidP="005B6E32">
      <w:pPr>
        <w:pStyle w:val="SemEspaamento"/>
        <w:spacing w:line="360" w:lineRule="auto"/>
        <w:ind w:firstLine="698"/>
        <w:rPr>
          <w:szCs w:val="24"/>
        </w:rPr>
      </w:pPr>
      <w:r w:rsidRPr="00594B5E">
        <w:rPr>
          <w:szCs w:val="24"/>
        </w:rPr>
        <w:t>Das respostas obtidas, 75,7% (n=56) foram de estudantes do sexo feminino e 24,3% (n=18) do sexo masculino. Quanto à distribuição de idade dos acadêmicos que responderam ao questionário, a maioria, 83,8% (n=62) possuem entre 21 e 25 anos. Em relação à distribuição de respostas entre os períodos cursados, houve uma variação de 1 (6º e 9º períodos) a 35 respostas (7º período) (</w:t>
      </w:r>
      <w:r w:rsidRPr="00594B5E">
        <w:rPr>
          <w:b/>
          <w:bCs/>
          <w:szCs w:val="24"/>
        </w:rPr>
        <w:t>Tabela 1</w:t>
      </w:r>
      <w:r w:rsidRPr="00594B5E">
        <w:rPr>
          <w:szCs w:val="24"/>
        </w:rPr>
        <w:t>).</w:t>
      </w:r>
    </w:p>
    <w:p w14:paraId="4A9521B7" w14:textId="77777777" w:rsidR="00282BA6" w:rsidRPr="00E60F37" w:rsidRDefault="00282BA6" w:rsidP="004F23EC">
      <w:pPr>
        <w:pStyle w:val="SemEspaamento"/>
        <w:spacing w:line="360" w:lineRule="auto"/>
        <w:ind w:left="0" w:firstLine="0"/>
        <w:rPr>
          <w:sz w:val="20"/>
          <w:szCs w:val="20"/>
        </w:rPr>
      </w:pPr>
    </w:p>
    <w:p w14:paraId="6CC25D28" w14:textId="315F733E" w:rsidR="005B6E32" w:rsidRDefault="005B6E32" w:rsidP="005B6E32">
      <w:pPr>
        <w:pStyle w:val="SemEspaamento"/>
        <w:spacing w:line="360" w:lineRule="auto"/>
        <w:rPr>
          <w:sz w:val="20"/>
          <w:szCs w:val="20"/>
        </w:rPr>
      </w:pPr>
      <w:r w:rsidRPr="00E60F37">
        <w:rPr>
          <w:b/>
          <w:bCs/>
          <w:sz w:val="20"/>
          <w:szCs w:val="20"/>
        </w:rPr>
        <w:t>Tabela1</w:t>
      </w:r>
      <w:r w:rsidRPr="00E60F37">
        <w:rPr>
          <w:sz w:val="20"/>
          <w:szCs w:val="20"/>
        </w:rPr>
        <w:t xml:space="preserve"> – Distribuição da amostra de acadêmicos de </w:t>
      </w:r>
      <w:r>
        <w:rPr>
          <w:sz w:val="20"/>
          <w:szCs w:val="20"/>
        </w:rPr>
        <w:t>Medicina de uma Universidade da região central do estado de Goiás</w:t>
      </w:r>
      <w:r w:rsidRPr="00E60F37">
        <w:rPr>
          <w:sz w:val="20"/>
          <w:szCs w:val="20"/>
        </w:rPr>
        <w:t>.</w:t>
      </w:r>
    </w:p>
    <w:tbl>
      <w:tblPr>
        <w:tblStyle w:val="Tabelacomgrade"/>
        <w:tblW w:w="0" w:type="auto"/>
        <w:tblLook w:val="04A0" w:firstRow="1" w:lastRow="0" w:firstColumn="1" w:lastColumn="0" w:noHBand="0" w:noVBand="1"/>
      </w:tblPr>
      <w:tblGrid>
        <w:gridCol w:w="2254"/>
        <w:gridCol w:w="2254"/>
        <w:gridCol w:w="2254"/>
        <w:gridCol w:w="2254"/>
      </w:tblGrid>
      <w:tr w:rsidR="005B6E32" w:rsidRPr="00E60F37" w14:paraId="0B31D9D4" w14:textId="77777777" w:rsidTr="00D26E19">
        <w:tc>
          <w:tcPr>
            <w:tcW w:w="4508" w:type="dxa"/>
            <w:gridSpan w:val="2"/>
            <w:tcBorders>
              <w:left w:val="nil"/>
              <w:right w:val="nil"/>
            </w:tcBorders>
          </w:tcPr>
          <w:p w14:paraId="37A00B03"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Variável</w:t>
            </w:r>
            <w:proofErr w:type="spellEnd"/>
          </w:p>
        </w:tc>
        <w:tc>
          <w:tcPr>
            <w:tcW w:w="2254" w:type="dxa"/>
            <w:tcBorders>
              <w:left w:val="nil"/>
              <w:right w:val="nil"/>
            </w:tcBorders>
          </w:tcPr>
          <w:p w14:paraId="11D33800" w14:textId="77777777" w:rsidR="005B6E32" w:rsidRPr="00E60F37" w:rsidRDefault="005B6E32" w:rsidP="00D26E19">
            <w:pPr>
              <w:pStyle w:val="SemEspaamento"/>
              <w:spacing w:line="360" w:lineRule="auto"/>
              <w:rPr>
                <w:b/>
                <w:bCs/>
                <w:sz w:val="20"/>
                <w:szCs w:val="20"/>
              </w:rPr>
            </w:pPr>
            <w:r w:rsidRPr="00E60F37">
              <w:rPr>
                <w:b/>
                <w:bCs/>
                <w:sz w:val="20"/>
                <w:szCs w:val="20"/>
              </w:rPr>
              <w:t>N</w:t>
            </w:r>
          </w:p>
        </w:tc>
        <w:tc>
          <w:tcPr>
            <w:tcW w:w="2254" w:type="dxa"/>
            <w:tcBorders>
              <w:left w:val="nil"/>
              <w:right w:val="nil"/>
            </w:tcBorders>
          </w:tcPr>
          <w:p w14:paraId="6F181D88" w14:textId="77777777" w:rsidR="005B6E32" w:rsidRPr="00E60F37" w:rsidRDefault="005B6E32" w:rsidP="00D26E19">
            <w:pPr>
              <w:pStyle w:val="SemEspaamento"/>
              <w:spacing w:line="360" w:lineRule="auto"/>
              <w:rPr>
                <w:b/>
                <w:bCs/>
                <w:sz w:val="20"/>
                <w:szCs w:val="20"/>
              </w:rPr>
            </w:pPr>
            <w:r w:rsidRPr="00E60F37">
              <w:rPr>
                <w:b/>
                <w:bCs/>
                <w:sz w:val="20"/>
                <w:szCs w:val="20"/>
              </w:rPr>
              <w:t>%</w:t>
            </w:r>
          </w:p>
        </w:tc>
      </w:tr>
      <w:tr w:rsidR="005B6E32" w:rsidRPr="00E60F37" w14:paraId="220B03C1" w14:textId="77777777" w:rsidTr="00D26E19">
        <w:tc>
          <w:tcPr>
            <w:tcW w:w="2254" w:type="dxa"/>
            <w:vMerge w:val="restart"/>
            <w:tcBorders>
              <w:left w:val="nil"/>
              <w:right w:val="nil"/>
            </w:tcBorders>
            <w:vAlign w:val="center"/>
          </w:tcPr>
          <w:p w14:paraId="127E5164"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Sexo</w:t>
            </w:r>
            <w:proofErr w:type="spellEnd"/>
          </w:p>
        </w:tc>
        <w:tc>
          <w:tcPr>
            <w:tcW w:w="2254" w:type="dxa"/>
            <w:tcBorders>
              <w:top w:val="nil"/>
              <w:left w:val="nil"/>
              <w:bottom w:val="nil"/>
              <w:right w:val="nil"/>
            </w:tcBorders>
          </w:tcPr>
          <w:p w14:paraId="130525B9" w14:textId="77777777" w:rsidR="005B6E32" w:rsidRPr="00E60F37" w:rsidRDefault="005B6E32" w:rsidP="00D26E19">
            <w:pPr>
              <w:pStyle w:val="SemEspaamento"/>
              <w:spacing w:line="360" w:lineRule="auto"/>
              <w:rPr>
                <w:sz w:val="20"/>
                <w:szCs w:val="20"/>
              </w:rPr>
            </w:pPr>
            <w:proofErr w:type="spellStart"/>
            <w:r w:rsidRPr="00E60F37">
              <w:rPr>
                <w:sz w:val="20"/>
                <w:szCs w:val="20"/>
              </w:rPr>
              <w:t>Feminino</w:t>
            </w:r>
            <w:proofErr w:type="spellEnd"/>
          </w:p>
        </w:tc>
        <w:tc>
          <w:tcPr>
            <w:tcW w:w="2254" w:type="dxa"/>
            <w:tcBorders>
              <w:top w:val="nil"/>
              <w:left w:val="nil"/>
              <w:bottom w:val="nil"/>
              <w:right w:val="nil"/>
            </w:tcBorders>
          </w:tcPr>
          <w:p w14:paraId="4784ED1E" w14:textId="77777777" w:rsidR="005B6E32" w:rsidRPr="00E60F37" w:rsidRDefault="005B6E32" w:rsidP="00D26E19">
            <w:pPr>
              <w:pStyle w:val="SemEspaamento"/>
              <w:spacing w:line="360" w:lineRule="auto"/>
              <w:rPr>
                <w:sz w:val="20"/>
                <w:szCs w:val="20"/>
              </w:rPr>
            </w:pPr>
            <w:r w:rsidRPr="00E60F37">
              <w:rPr>
                <w:sz w:val="20"/>
                <w:szCs w:val="20"/>
              </w:rPr>
              <w:t>56</w:t>
            </w:r>
          </w:p>
        </w:tc>
        <w:tc>
          <w:tcPr>
            <w:tcW w:w="2254" w:type="dxa"/>
            <w:tcBorders>
              <w:top w:val="nil"/>
              <w:left w:val="nil"/>
              <w:bottom w:val="nil"/>
              <w:right w:val="nil"/>
            </w:tcBorders>
          </w:tcPr>
          <w:p w14:paraId="5189799B" w14:textId="77777777" w:rsidR="005B6E32" w:rsidRPr="00E60F37" w:rsidRDefault="005B6E32" w:rsidP="00D26E19">
            <w:pPr>
              <w:pStyle w:val="SemEspaamento"/>
              <w:spacing w:line="360" w:lineRule="auto"/>
              <w:rPr>
                <w:sz w:val="20"/>
                <w:szCs w:val="20"/>
              </w:rPr>
            </w:pPr>
            <w:r w:rsidRPr="00E60F37">
              <w:rPr>
                <w:sz w:val="20"/>
                <w:szCs w:val="20"/>
              </w:rPr>
              <w:t>75,5%</w:t>
            </w:r>
          </w:p>
        </w:tc>
      </w:tr>
      <w:tr w:rsidR="005B6E32" w:rsidRPr="00E60F37" w14:paraId="7D5C83EB" w14:textId="77777777" w:rsidTr="00D26E19">
        <w:tc>
          <w:tcPr>
            <w:tcW w:w="2254" w:type="dxa"/>
            <w:vMerge/>
            <w:tcBorders>
              <w:left w:val="nil"/>
              <w:right w:val="nil"/>
            </w:tcBorders>
          </w:tcPr>
          <w:p w14:paraId="1B9BD1CA" w14:textId="77777777" w:rsidR="005B6E32" w:rsidRPr="00E60F37" w:rsidRDefault="005B6E32" w:rsidP="00D26E19">
            <w:pPr>
              <w:pStyle w:val="SemEspaamento"/>
              <w:spacing w:line="360" w:lineRule="auto"/>
              <w:rPr>
                <w:sz w:val="20"/>
                <w:szCs w:val="20"/>
              </w:rPr>
            </w:pPr>
          </w:p>
        </w:tc>
        <w:tc>
          <w:tcPr>
            <w:tcW w:w="2254" w:type="dxa"/>
            <w:tcBorders>
              <w:top w:val="nil"/>
              <w:left w:val="nil"/>
              <w:bottom w:val="single" w:sz="4" w:space="0" w:color="auto"/>
              <w:right w:val="nil"/>
            </w:tcBorders>
          </w:tcPr>
          <w:p w14:paraId="43CC0195" w14:textId="77777777" w:rsidR="005B6E32" w:rsidRPr="00E60F37" w:rsidRDefault="005B6E32" w:rsidP="00D26E19">
            <w:pPr>
              <w:pStyle w:val="SemEspaamento"/>
              <w:spacing w:line="360" w:lineRule="auto"/>
              <w:rPr>
                <w:sz w:val="20"/>
                <w:szCs w:val="20"/>
              </w:rPr>
            </w:pPr>
            <w:proofErr w:type="spellStart"/>
            <w:r w:rsidRPr="00E60F37">
              <w:rPr>
                <w:sz w:val="20"/>
                <w:szCs w:val="20"/>
              </w:rPr>
              <w:t>Masculino</w:t>
            </w:r>
            <w:proofErr w:type="spellEnd"/>
          </w:p>
        </w:tc>
        <w:tc>
          <w:tcPr>
            <w:tcW w:w="2254" w:type="dxa"/>
            <w:tcBorders>
              <w:top w:val="nil"/>
              <w:left w:val="nil"/>
              <w:bottom w:val="single" w:sz="4" w:space="0" w:color="auto"/>
              <w:right w:val="nil"/>
            </w:tcBorders>
          </w:tcPr>
          <w:p w14:paraId="04658ABF" w14:textId="77777777" w:rsidR="005B6E32" w:rsidRPr="00E60F37" w:rsidRDefault="005B6E32" w:rsidP="00D26E19">
            <w:pPr>
              <w:pStyle w:val="SemEspaamento"/>
              <w:spacing w:line="360" w:lineRule="auto"/>
              <w:rPr>
                <w:sz w:val="20"/>
                <w:szCs w:val="20"/>
              </w:rPr>
            </w:pPr>
            <w:r w:rsidRPr="00E60F37">
              <w:rPr>
                <w:sz w:val="20"/>
                <w:szCs w:val="20"/>
              </w:rPr>
              <w:t>18</w:t>
            </w:r>
          </w:p>
        </w:tc>
        <w:tc>
          <w:tcPr>
            <w:tcW w:w="2254" w:type="dxa"/>
            <w:tcBorders>
              <w:top w:val="nil"/>
              <w:left w:val="nil"/>
              <w:bottom w:val="single" w:sz="4" w:space="0" w:color="auto"/>
              <w:right w:val="nil"/>
            </w:tcBorders>
          </w:tcPr>
          <w:p w14:paraId="46887E27" w14:textId="77777777" w:rsidR="005B6E32" w:rsidRPr="00E60F37" w:rsidRDefault="005B6E32" w:rsidP="00D26E19">
            <w:pPr>
              <w:pStyle w:val="SemEspaamento"/>
              <w:spacing w:line="360" w:lineRule="auto"/>
              <w:rPr>
                <w:sz w:val="20"/>
                <w:szCs w:val="20"/>
              </w:rPr>
            </w:pPr>
            <w:r w:rsidRPr="00E60F37">
              <w:rPr>
                <w:sz w:val="20"/>
                <w:szCs w:val="20"/>
              </w:rPr>
              <w:t>24,3%</w:t>
            </w:r>
          </w:p>
        </w:tc>
      </w:tr>
      <w:tr w:rsidR="005B6E32" w:rsidRPr="00E60F37" w14:paraId="6244652E" w14:textId="77777777" w:rsidTr="00D26E19">
        <w:tc>
          <w:tcPr>
            <w:tcW w:w="2254" w:type="dxa"/>
            <w:vMerge w:val="restart"/>
            <w:tcBorders>
              <w:left w:val="nil"/>
              <w:right w:val="nil"/>
            </w:tcBorders>
            <w:vAlign w:val="center"/>
          </w:tcPr>
          <w:p w14:paraId="613DC1D5"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Período</w:t>
            </w:r>
            <w:proofErr w:type="spellEnd"/>
          </w:p>
        </w:tc>
        <w:tc>
          <w:tcPr>
            <w:tcW w:w="2254" w:type="dxa"/>
            <w:tcBorders>
              <w:top w:val="single" w:sz="4" w:space="0" w:color="auto"/>
              <w:left w:val="nil"/>
              <w:bottom w:val="nil"/>
              <w:right w:val="nil"/>
            </w:tcBorders>
          </w:tcPr>
          <w:p w14:paraId="19420523" w14:textId="77777777" w:rsidR="005B6E32" w:rsidRPr="00E60F37" w:rsidRDefault="005B6E32" w:rsidP="00D26E19">
            <w:pPr>
              <w:pStyle w:val="SemEspaamento"/>
              <w:spacing w:line="360" w:lineRule="auto"/>
              <w:rPr>
                <w:sz w:val="20"/>
                <w:szCs w:val="20"/>
              </w:rPr>
            </w:pPr>
            <w:r w:rsidRPr="00E60F37">
              <w:rPr>
                <w:sz w:val="20"/>
                <w:szCs w:val="20"/>
              </w:rPr>
              <w:t>1</w:t>
            </w:r>
          </w:p>
        </w:tc>
        <w:tc>
          <w:tcPr>
            <w:tcW w:w="2254" w:type="dxa"/>
            <w:tcBorders>
              <w:top w:val="single" w:sz="4" w:space="0" w:color="auto"/>
              <w:left w:val="nil"/>
              <w:bottom w:val="nil"/>
              <w:right w:val="nil"/>
            </w:tcBorders>
          </w:tcPr>
          <w:p w14:paraId="14CBD3C1" w14:textId="77777777" w:rsidR="005B6E32" w:rsidRPr="00E60F37" w:rsidRDefault="005B6E32" w:rsidP="00D26E19">
            <w:pPr>
              <w:pStyle w:val="SemEspaamento"/>
              <w:spacing w:line="360" w:lineRule="auto"/>
              <w:rPr>
                <w:sz w:val="20"/>
                <w:szCs w:val="20"/>
              </w:rPr>
            </w:pPr>
            <w:r w:rsidRPr="00E60F37">
              <w:rPr>
                <w:sz w:val="20"/>
                <w:szCs w:val="20"/>
              </w:rPr>
              <w:t>0</w:t>
            </w:r>
          </w:p>
        </w:tc>
        <w:tc>
          <w:tcPr>
            <w:tcW w:w="2254" w:type="dxa"/>
            <w:tcBorders>
              <w:top w:val="single" w:sz="4" w:space="0" w:color="auto"/>
              <w:left w:val="nil"/>
              <w:bottom w:val="nil"/>
              <w:right w:val="nil"/>
            </w:tcBorders>
          </w:tcPr>
          <w:p w14:paraId="6A8743E4" w14:textId="77777777" w:rsidR="005B6E32" w:rsidRPr="00E60F37" w:rsidRDefault="005B6E32" w:rsidP="00D26E19">
            <w:pPr>
              <w:pStyle w:val="SemEspaamento"/>
              <w:spacing w:line="360" w:lineRule="auto"/>
              <w:rPr>
                <w:sz w:val="20"/>
                <w:szCs w:val="20"/>
              </w:rPr>
            </w:pPr>
            <w:r w:rsidRPr="00E60F37">
              <w:rPr>
                <w:sz w:val="20"/>
                <w:szCs w:val="20"/>
              </w:rPr>
              <w:t>¨0%</w:t>
            </w:r>
          </w:p>
        </w:tc>
      </w:tr>
      <w:tr w:rsidR="005B6E32" w:rsidRPr="00E60F37" w14:paraId="2DEB976F" w14:textId="77777777" w:rsidTr="00D26E19">
        <w:tc>
          <w:tcPr>
            <w:tcW w:w="2254" w:type="dxa"/>
            <w:vMerge/>
            <w:tcBorders>
              <w:left w:val="nil"/>
              <w:right w:val="nil"/>
            </w:tcBorders>
          </w:tcPr>
          <w:p w14:paraId="74EA905E"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65B14D3F" w14:textId="77777777" w:rsidR="005B6E32" w:rsidRPr="00E60F37" w:rsidRDefault="005B6E32" w:rsidP="00D26E19">
            <w:pPr>
              <w:pStyle w:val="SemEspaamento"/>
              <w:spacing w:line="360" w:lineRule="auto"/>
              <w:rPr>
                <w:sz w:val="20"/>
                <w:szCs w:val="20"/>
              </w:rPr>
            </w:pPr>
            <w:r w:rsidRPr="00E60F37">
              <w:rPr>
                <w:sz w:val="20"/>
                <w:szCs w:val="20"/>
              </w:rPr>
              <w:t>2</w:t>
            </w:r>
          </w:p>
        </w:tc>
        <w:tc>
          <w:tcPr>
            <w:tcW w:w="2254" w:type="dxa"/>
            <w:tcBorders>
              <w:top w:val="nil"/>
              <w:left w:val="nil"/>
              <w:bottom w:val="nil"/>
              <w:right w:val="nil"/>
            </w:tcBorders>
          </w:tcPr>
          <w:p w14:paraId="5DED67B1" w14:textId="77777777" w:rsidR="005B6E32" w:rsidRPr="00E60F37" w:rsidRDefault="005B6E32" w:rsidP="00D26E19">
            <w:pPr>
              <w:pStyle w:val="SemEspaamento"/>
              <w:spacing w:line="360" w:lineRule="auto"/>
              <w:rPr>
                <w:sz w:val="20"/>
                <w:szCs w:val="20"/>
              </w:rPr>
            </w:pPr>
            <w:r w:rsidRPr="00E60F37">
              <w:rPr>
                <w:sz w:val="20"/>
                <w:szCs w:val="20"/>
              </w:rPr>
              <w:t>0</w:t>
            </w:r>
          </w:p>
        </w:tc>
        <w:tc>
          <w:tcPr>
            <w:tcW w:w="2254" w:type="dxa"/>
            <w:tcBorders>
              <w:top w:val="nil"/>
              <w:left w:val="nil"/>
              <w:bottom w:val="nil"/>
              <w:right w:val="nil"/>
            </w:tcBorders>
          </w:tcPr>
          <w:p w14:paraId="77AFCA2A" w14:textId="77777777" w:rsidR="005B6E32" w:rsidRPr="00E60F37" w:rsidRDefault="005B6E32" w:rsidP="00D26E19">
            <w:pPr>
              <w:pStyle w:val="SemEspaamento"/>
              <w:spacing w:line="360" w:lineRule="auto"/>
              <w:rPr>
                <w:sz w:val="20"/>
                <w:szCs w:val="20"/>
              </w:rPr>
            </w:pPr>
            <w:r w:rsidRPr="00E60F37">
              <w:rPr>
                <w:sz w:val="20"/>
                <w:szCs w:val="20"/>
              </w:rPr>
              <w:t>0%</w:t>
            </w:r>
          </w:p>
        </w:tc>
      </w:tr>
      <w:tr w:rsidR="005B6E32" w:rsidRPr="00E60F37" w14:paraId="315513FF" w14:textId="77777777" w:rsidTr="00D26E19">
        <w:tc>
          <w:tcPr>
            <w:tcW w:w="2254" w:type="dxa"/>
            <w:vMerge/>
            <w:tcBorders>
              <w:left w:val="nil"/>
              <w:right w:val="nil"/>
            </w:tcBorders>
          </w:tcPr>
          <w:p w14:paraId="421D3FA3"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771F2089" w14:textId="77777777" w:rsidR="005B6E32" w:rsidRPr="00E60F37" w:rsidRDefault="005B6E32" w:rsidP="00D26E19">
            <w:pPr>
              <w:pStyle w:val="SemEspaamento"/>
              <w:spacing w:line="360" w:lineRule="auto"/>
              <w:rPr>
                <w:sz w:val="20"/>
                <w:szCs w:val="20"/>
              </w:rPr>
            </w:pPr>
            <w:r w:rsidRPr="00E60F37">
              <w:rPr>
                <w:sz w:val="20"/>
                <w:szCs w:val="20"/>
              </w:rPr>
              <w:t>3</w:t>
            </w:r>
          </w:p>
        </w:tc>
        <w:tc>
          <w:tcPr>
            <w:tcW w:w="2254" w:type="dxa"/>
            <w:tcBorders>
              <w:top w:val="nil"/>
              <w:left w:val="nil"/>
              <w:bottom w:val="nil"/>
              <w:right w:val="nil"/>
            </w:tcBorders>
          </w:tcPr>
          <w:p w14:paraId="00301D30" w14:textId="77777777" w:rsidR="005B6E32" w:rsidRPr="00E60F37" w:rsidRDefault="005B6E32" w:rsidP="00D26E19">
            <w:pPr>
              <w:pStyle w:val="SemEspaamento"/>
              <w:spacing w:line="360" w:lineRule="auto"/>
              <w:rPr>
                <w:sz w:val="20"/>
                <w:szCs w:val="20"/>
              </w:rPr>
            </w:pPr>
            <w:r w:rsidRPr="00E60F37">
              <w:rPr>
                <w:sz w:val="20"/>
                <w:szCs w:val="20"/>
              </w:rPr>
              <w:t>9</w:t>
            </w:r>
          </w:p>
        </w:tc>
        <w:tc>
          <w:tcPr>
            <w:tcW w:w="2254" w:type="dxa"/>
            <w:tcBorders>
              <w:top w:val="nil"/>
              <w:left w:val="nil"/>
              <w:bottom w:val="nil"/>
              <w:right w:val="nil"/>
            </w:tcBorders>
          </w:tcPr>
          <w:p w14:paraId="50DC5FD3" w14:textId="77777777" w:rsidR="005B6E32" w:rsidRPr="00E60F37" w:rsidRDefault="005B6E32" w:rsidP="00D26E19">
            <w:pPr>
              <w:pStyle w:val="SemEspaamento"/>
              <w:spacing w:line="360" w:lineRule="auto"/>
              <w:rPr>
                <w:sz w:val="20"/>
                <w:szCs w:val="20"/>
              </w:rPr>
            </w:pPr>
            <w:r w:rsidRPr="00E60F37">
              <w:rPr>
                <w:sz w:val="20"/>
                <w:szCs w:val="20"/>
              </w:rPr>
              <w:t>12,16%</w:t>
            </w:r>
          </w:p>
        </w:tc>
      </w:tr>
      <w:tr w:rsidR="005B6E32" w:rsidRPr="00E60F37" w14:paraId="529E4DE8" w14:textId="77777777" w:rsidTr="00D26E19">
        <w:tc>
          <w:tcPr>
            <w:tcW w:w="2254" w:type="dxa"/>
            <w:vMerge/>
            <w:tcBorders>
              <w:left w:val="nil"/>
              <w:right w:val="nil"/>
            </w:tcBorders>
          </w:tcPr>
          <w:p w14:paraId="27ECE68B"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46553238" w14:textId="77777777" w:rsidR="005B6E32" w:rsidRPr="00E60F37" w:rsidRDefault="005B6E32" w:rsidP="00D26E19">
            <w:pPr>
              <w:pStyle w:val="SemEspaamento"/>
              <w:spacing w:line="360" w:lineRule="auto"/>
              <w:rPr>
                <w:sz w:val="20"/>
                <w:szCs w:val="20"/>
              </w:rPr>
            </w:pPr>
            <w:r w:rsidRPr="00E60F37">
              <w:rPr>
                <w:sz w:val="20"/>
                <w:szCs w:val="20"/>
              </w:rPr>
              <w:t>4</w:t>
            </w:r>
          </w:p>
        </w:tc>
        <w:tc>
          <w:tcPr>
            <w:tcW w:w="2254" w:type="dxa"/>
            <w:tcBorders>
              <w:top w:val="nil"/>
              <w:left w:val="nil"/>
              <w:bottom w:val="nil"/>
              <w:right w:val="nil"/>
            </w:tcBorders>
          </w:tcPr>
          <w:p w14:paraId="4D74725F" w14:textId="77777777" w:rsidR="005B6E32" w:rsidRPr="00E60F37" w:rsidRDefault="005B6E32" w:rsidP="00D26E19">
            <w:pPr>
              <w:pStyle w:val="SemEspaamento"/>
              <w:spacing w:line="360" w:lineRule="auto"/>
              <w:rPr>
                <w:sz w:val="20"/>
                <w:szCs w:val="20"/>
              </w:rPr>
            </w:pPr>
            <w:r w:rsidRPr="00E60F37">
              <w:rPr>
                <w:sz w:val="20"/>
                <w:szCs w:val="20"/>
              </w:rPr>
              <w:t>5</w:t>
            </w:r>
          </w:p>
        </w:tc>
        <w:tc>
          <w:tcPr>
            <w:tcW w:w="2254" w:type="dxa"/>
            <w:tcBorders>
              <w:top w:val="nil"/>
              <w:left w:val="nil"/>
              <w:bottom w:val="nil"/>
              <w:right w:val="nil"/>
            </w:tcBorders>
          </w:tcPr>
          <w:p w14:paraId="07549329" w14:textId="77777777" w:rsidR="005B6E32" w:rsidRPr="00E60F37" w:rsidRDefault="005B6E32" w:rsidP="00D26E19">
            <w:pPr>
              <w:pStyle w:val="SemEspaamento"/>
              <w:spacing w:line="360" w:lineRule="auto"/>
              <w:rPr>
                <w:sz w:val="20"/>
                <w:szCs w:val="20"/>
              </w:rPr>
            </w:pPr>
            <w:r w:rsidRPr="00E60F37">
              <w:rPr>
                <w:sz w:val="20"/>
                <w:szCs w:val="20"/>
              </w:rPr>
              <w:t>6,76%</w:t>
            </w:r>
          </w:p>
        </w:tc>
      </w:tr>
      <w:tr w:rsidR="005B6E32" w:rsidRPr="00E60F37" w14:paraId="1F7717CE" w14:textId="77777777" w:rsidTr="00D26E19">
        <w:tc>
          <w:tcPr>
            <w:tcW w:w="2254" w:type="dxa"/>
            <w:vMerge/>
            <w:tcBorders>
              <w:left w:val="nil"/>
              <w:right w:val="nil"/>
            </w:tcBorders>
          </w:tcPr>
          <w:p w14:paraId="1E1F9819"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3D1AB041" w14:textId="77777777" w:rsidR="005B6E32" w:rsidRPr="00E60F37" w:rsidRDefault="005B6E32" w:rsidP="00D26E19">
            <w:pPr>
              <w:pStyle w:val="SemEspaamento"/>
              <w:spacing w:line="360" w:lineRule="auto"/>
              <w:rPr>
                <w:sz w:val="20"/>
                <w:szCs w:val="20"/>
              </w:rPr>
            </w:pPr>
            <w:r w:rsidRPr="00E60F37">
              <w:rPr>
                <w:sz w:val="20"/>
                <w:szCs w:val="20"/>
              </w:rPr>
              <w:t>5</w:t>
            </w:r>
          </w:p>
        </w:tc>
        <w:tc>
          <w:tcPr>
            <w:tcW w:w="2254" w:type="dxa"/>
            <w:tcBorders>
              <w:top w:val="nil"/>
              <w:left w:val="nil"/>
              <w:bottom w:val="nil"/>
              <w:right w:val="nil"/>
            </w:tcBorders>
          </w:tcPr>
          <w:p w14:paraId="43E877CB" w14:textId="77777777" w:rsidR="005B6E32" w:rsidRPr="00E60F37" w:rsidRDefault="005B6E32" w:rsidP="00D26E19">
            <w:pPr>
              <w:pStyle w:val="SemEspaamento"/>
              <w:spacing w:line="360" w:lineRule="auto"/>
              <w:rPr>
                <w:sz w:val="20"/>
                <w:szCs w:val="20"/>
              </w:rPr>
            </w:pPr>
            <w:r w:rsidRPr="00E60F37">
              <w:rPr>
                <w:sz w:val="20"/>
                <w:szCs w:val="20"/>
              </w:rPr>
              <w:t>10</w:t>
            </w:r>
          </w:p>
        </w:tc>
        <w:tc>
          <w:tcPr>
            <w:tcW w:w="2254" w:type="dxa"/>
            <w:tcBorders>
              <w:top w:val="nil"/>
              <w:left w:val="nil"/>
              <w:bottom w:val="nil"/>
              <w:right w:val="nil"/>
            </w:tcBorders>
          </w:tcPr>
          <w:p w14:paraId="484879D7" w14:textId="77777777" w:rsidR="005B6E32" w:rsidRPr="00E60F37" w:rsidRDefault="005B6E32" w:rsidP="00D26E19">
            <w:pPr>
              <w:pStyle w:val="SemEspaamento"/>
              <w:spacing w:line="360" w:lineRule="auto"/>
              <w:rPr>
                <w:sz w:val="20"/>
                <w:szCs w:val="20"/>
              </w:rPr>
            </w:pPr>
            <w:r w:rsidRPr="00E60F37">
              <w:rPr>
                <w:sz w:val="20"/>
                <w:szCs w:val="20"/>
              </w:rPr>
              <w:t>13,51%</w:t>
            </w:r>
          </w:p>
        </w:tc>
      </w:tr>
      <w:tr w:rsidR="005B6E32" w:rsidRPr="00E60F37" w14:paraId="3403E8FE" w14:textId="77777777" w:rsidTr="00D26E19">
        <w:tc>
          <w:tcPr>
            <w:tcW w:w="2254" w:type="dxa"/>
            <w:vMerge/>
            <w:tcBorders>
              <w:left w:val="nil"/>
              <w:right w:val="nil"/>
            </w:tcBorders>
          </w:tcPr>
          <w:p w14:paraId="36D9067D"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3EDABC48" w14:textId="77777777" w:rsidR="005B6E32" w:rsidRPr="00E60F37" w:rsidRDefault="005B6E32" w:rsidP="00D26E19">
            <w:pPr>
              <w:pStyle w:val="SemEspaamento"/>
              <w:spacing w:line="360" w:lineRule="auto"/>
              <w:rPr>
                <w:sz w:val="20"/>
                <w:szCs w:val="20"/>
              </w:rPr>
            </w:pPr>
            <w:r w:rsidRPr="00E60F37">
              <w:rPr>
                <w:sz w:val="20"/>
                <w:szCs w:val="20"/>
              </w:rPr>
              <w:t>6</w:t>
            </w:r>
          </w:p>
        </w:tc>
        <w:tc>
          <w:tcPr>
            <w:tcW w:w="2254" w:type="dxa"/>
            <w:tcBorders>
              <w:top w:val="nil"/>
              <w:left w:val="nil"/>
              <w:bottom w:val="nil"/>
              <w:right w:val="nil"/>
            </w:tcBorders>
          </w:tcPr>
          <w:p w14:paraId="6875EBF2" w14:textId="77777777" w:rsidR="005B6E32" w:rsidRPr="00E60F37" w:rsidRDefault="005B6E32" w:rsidP="00D26E19">
            <w:pPr>
              <w:pStyle w:val="SemEspaamento"/>
              <w:spacing w:line="360" w:lineRule="auto"/>
              <w:rPr>
                <w:sz w:val="20"/>
                <w:szCs w:val="20"/>
              </w:rPr>
            </w:pPr>
            <w:r w:rsidRPr="00E60F37">
              <w:rPr>
                <w:sz w:val="20"/>
                <w:szCs w:val="20"/>
              </w:rPr>
              <w:t>1</w:t>
            </w:r>
          </w:p>
        </w:tc>
        <w:tc>
          <w:tcPr>
            <w:tcW w:w="2254" w:type="dxa"/>
            <w:tcBorders>
              <w:top w:val="nil"/>
              <w:left w:val="nil"/>
              <w:bottom w:val="nil"/>
              <w:right w:val="nil"/>
            </w:tcBorders>
          </w:tcPr>
          <w:p w14:paraId="0EE9A24C" w14:textId="77777777" w:rsidR="005B6E32" w:rsidRPr="00E60F37" w:rsidRDefault="005B6E32" w:rsidP="00D26E19">
            <w:pPr>
              <w:pStyle w:val="SemEspaamento"/>
              <w:spacing w:line="360" w:lineRule="auto"/>
              <w:rPr>
                <w:sz w:val="20"/>
                <w:szCs w:val="20"/>
              </w:rPr>
            </w:pPr>
            <w:r w:rsidRPr="00E60F37">
              <w:rPr>
                <w:sz w:val="20"/>
                <w:szCs w:val="20"/>
              </w:rPr>
              <w:t>1,35%</w:t>
            </w:r>
          </w:p>
        </w:tc>
      </w:tr>
      <w:tr w:rsidR="005B6E32" w:rsidRPr="00E60F37" w14:paraId="51DE147A" w14:textId="77777777" w:rsidTr="00D26E19">
        <w:tc>
          <w:tcPr>
            <w:tcW w:w="2254" w:type="dxa"/>
            <w:vMerge/>
            <w:tcBorders>
              <w:left w:val="nil"/>
              <w:right w:val="nil"/>
            </w:tcBorders>
          </w:tcPr>
          <w:p w14:paraId="150E38A2"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5D9F68F4" w14:textId="77777777" w:rsidR="005B6E32" w:rsidRPr="00E60F37" w:rsidRDefault="005B6E32" w:rsidP="00D26E19">
            <w:pPr>
              <w:pStyle w:val="SemEspaamento"/>
              <w:spacing w:line="360" w:lineRule="auto"/>
              <w:rPr>
                <w:sz w:val="20"/>
                <w:szCs w:val="20"/>
              </w:rPr>
            </w:pPr>
            <w:r w:rsidRPr="00E60F37">
              <w:rPr>
                <w:sz w:val="20"/>
                <w:szCs w:val="20"/>
              </w:rPr>
              <w:t>7</w:t>
            </w:r>
          </w:p>
        </w:tc>
        <w:tc>
          <w:tcPr>
            <w:tcW w:w="2254" w:type="dxa"/>
            <w:tcBorders>
              <w:top w:val="nil"/>
              <w:left w:val="nil"/>
              <w:bottom w:val="nil"/>
              <w:right w:val="nil"/>
            </w:tcBorders>
          </w:tcPr>
          <w:p w14:paraId="478A4B22" w14:textId="77777777" w:rsidR="005B6E32" w:rsidRPr="00E60F37" w:rsidRDefault="005B6E32" w:rsidP="00D26E19">
            <w:pPr>
              <w:pStyle w:val="SemEspaamento"/>
              <w:spacing w:line="360" w:lineRule="auto"/>
              <w:rPr>
                <w:sz w:val="20"/>
                <w:szCs w:val="20"/>
              </w:rPr>
            </w:pPr>
            <w:r w:rsidRPr="00E60F37">
              <w:rPr>
                <w:sz w:val="20"/>
                <w:szCs w:val="20"/>
              </w:rPr>
              <w:t>35</w:t>
            </w:r>
          </w:p>
        </w:tc>
        <w:tc>
          <w:tcPr>
            <w:tcW w:w="2254" w:type="dxa"/>
            <w:tcBorders>
              <w:top w:val="nil"/>
              <w:left w:val="nil"/>
              <w:bottom w:val="nil"/>
              <w:right w:val="nil"/>
            </w:tcBorders>
          </w:tcPr>
          <w:p w14:paraId="1F711FCF" w14:textId="77777777" w:rsidR="005B6E32" w:rsidRPr="00E60F37" w:rsidRDefault="005B6E32" w:rsidP="00D26E19">
            <w:pPr>
              <w:pStyle w:val="SemEspaamento"/>
              <w:spacing w:line="360" w:lineRule="auto"/>
              <w:rPr>
                <w:sz w:val="20"/>
                <w:szCs w:val="20"/>
              </w:rPr>
            </w:pPr>
            <w:r w:rsidRPr="00E60F37">
              <w:rPr>
                <w:sz w:val="20"/>
                <w:szCs w:val="20"/>
              </w:rPr>
              <w:t>47,29%</w:t>
            </w:r>
          </w:p>
        </w:tc>
      </w:tr>
      <w:tr w:rsidR="005B6E32" w:rsidRPr="00E60F37" w14:paraId="457F8232" w14:textId="77777777" w:rsidTr="00D26E19">
        <w:tc>
          <w:tcPr>
            <w:tcW w:w="2254" w:type="dxa"/>
            <w:vMerge/>
            <w:tcBorders>
              <w:left w:val="nil"/>
              <w:right w:val="nil"/>
            </w:tcBorders>
          </w:tcPr>
          <w:p w14:paraId="4FC462B6"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3C0BCA84" w14:textId="77777777" w:rsidR="005B6E32" w:rsidRPr="00E60F37" w:rsidRDefault="005B6E32" w:rsidP="00D26E19">
            <w:pPr>
              <w:pStyle w:val="SemEspaamento"/>
              <w:spacing w:line="360" w:lineRule="auto"/>
              <w:rPr>
                <w:sz w:val="20"/>
                <w:szCs w:val="20"/>
              </w:rPr>
            </w:pPr>
            <w:r w:rsidRPr="00E60F37">
              <w:rPr>
                <w:sz w:val="20"/>
                <w:szCs w:val="20"/>
              </w:rPr>
              <w:t>8</w:t>
            </w:r>
          </w:p>
        </w:tc>
        <w:tc>
          <w:tcPr>
            <w:tcW w:w="2254" w:type="dxa"/>
            <w:tcBorders>
              <w:top w:val="nil"/>
              <w:left w:val="nil"/>
              <w:bottom w:val="nil"/>
              <w:right w:val="nil"/>
            </w:tcBorders>
          </w:tcPr>
          <w:p w14:paraId="2B650119" w14:textId="77777777" w:rsidR="005B6E32" w:rsidRPr="00E60F37" w:rsidRDefault="005B6E32" w:rsidP="00D26E19">
            <w:pPr>
              <w:pStyle w:val="SemEspaamento"/>
              <w:spacing w:line="360" w:lineRule="auto"/>
              <w:rPr>
                <w:sz w:val="20"/>
                <w:szCs w:val="20"/>
              </w:rPr>
            </w:pPr>
            <w:r w:rsidRPr="00E60F37">
              <w:rPr>
                <w:sz w:val="20"/>
                <w:szCs w:val="20"/>
              </w:rPr>
              <w:t>4</w:t>
            </w:r>
          </w:p>
        </w:tc>
        <w:tc>
          <w:tcPr>
            <w:tcW w:w="2254" w:type="dxa"/>
            <w:tcBorders>
              <w:top w:val="nil"/>
              <w:left w:val="nil"/>
              <w:bottom w:val="nil"/>
              <w:right w:val="nil"/>
            </w:tcBorders>
          </w:tcPr>
          <w:p w14:paraId="5CE7D912" w14:textId="77777777" w:rsidR="005B6E32" w:rsidRPr="00E60F37" w:rsidRDefault="005B6E32" w:rsidP="00D26E19">
            <w:pPr>
              <w:pStyle w:val="SemEspaamento"/>
              <w:spacing w:line="360" w:lineRule="auto"/>
              <w:rPr>
                <w:sz w:val="20"/>
                <w:szCs w:val="20"/>
              </w:rPr>
            </w:pPr>
            <w:r w:rsidRPr="00E60F37">
              <w:rPr>
                <w:sz w:val="20"/>
                <w:szCs w:val="20"/>
              </w:rPr>
              <w:t>5,40%</w:t>
            </w:r>
          </w:p>
        </w:tc>
      </w:tr>
      <w:tr w:rsidR="005B6E32" w:rsidRPr="00E60F37" w14:paraId="6FB0D0D3" w14:textId="77777777" w:rsidTr="00D26E19">
        <w:tc>
          <w:tcPr>
            <w:tcW w:w="2254" w:type="dxa"/>
            <w:vMerge/>
            <w:tcBorders>
              <w:left w:val="nil"/>
              <w:right w:val="nil"/>
            </w:tcBorders>
          </w:tcPr>
          <w:p w14:paraId="47B29F44" w14:textId="77777777" w:rsidR="005B6E32" w:rsidRPr="00E60F37" w:rsidRDefault="005B6E32" w:rsidP="00D26E19">
            <w:pPr>
              <w:pStyle w:val="SemEspaamento"/>
              <w:spacing w:line="360" w:lineRule="auto"/>
              <w:rPr>
                <w:sz w:val="20"/>
                <w:szCs w:val="20"/>
              </w:rPr>
            </w:pPr>
          </w:p>
        </w:tc>
        <w:tc>
          <w:tcPr>
            <w:tcW w:w="2254" w:type="dxa"/>
            <w:tcBorders>
              <w:top w:val="nil"/>
              <w:left w:val="nil"/>
              <w:bottom w:val="nil"/>
              <w:right w:val="nil"/>
            </w:tcBorders>
          </w:tcPr>
          <w:p w14:paraId="2A94CB25" w14:textId="77777777" w:rsidR="005B6E32" w:rsidRPr="00E60F37" w:rsidRDefault="005B6E32" w:rsidP="00D26E19">
            <w:pPr>
              <w:pStyle w:val="SemEspaamento"/>
              <w:spacing w:line="360" w:lineRule="auto"/>
              <w:rPr>
                <w:sz w:val="20"/>
                <w:szCs w:val="20"/>
              </w:rPr>
            </w:pPr>
            <w:r w:rsidRPr="00E60F37">
              <w:rPr>
                <w:sz w:val="20"/>
                <w:szCs w:val="20"/>
              </w:rPr>
              <w:t>9</w:t>
            </w:r>
          </w:p>
        </w:tc>
        <w:tc>
          <w:tcPr>
            <w:tcW w:w="2254" w:type="dxa"/>
            <w:tcBorders>
              <w:top w:val="nil"/>
              <w:left w:val="nil"/>
              <w:bottom w:val="nil"/>
              <w:right w:val="nil"/>
            </w:tcBorders>
          </w:tcPr>
          <w:p w14:paraId="2942234F" w14:textId="77777777" w:rsidR="005B6E32" w:rsidRPr="00E60F37" w:rsidRDefault="005B6E32" w:rsidP="00D26E19">
            <w:pPr>
              <w:pStyle w:val="SemEspaamento"/>
              <w:spacing w:line="360" w:lineRule="auto"/>
              <w:rPr>
                <w:sz w:val="20"/>
                <w:szCs w:val="20"/>
              </w:rPr>
            </w:pPr>
            <w:r w:rsidRPr="00E60F37">
              <w:rPr>
                <w:sz w:val="20"/>
                <w:szCs w:val="20"/>
              </w:rPr>
              <w:t>1</w:t>
            </w:r>
          </w:p>
        </w:tc>
        <w:tc>
          <w:tcPr>
            <w:tcW w:w="2254" w:type="dxa"/>
            <w:tcBorders>
              <w:top w:val="nil"/>
              <w:left w:val="nil"/>
              <w:bottom w:val="nil"/>
              <w:right w:val="nil"/>
            </w:tcBorders>
          </w:tcPr>
          <w:p w14:paraId="69515182" w14:textId="77777777" w:rsidR="005B6E32" w:rsidRPr="00E60F37" w:rsidRDefault="005B6E32" w:rsidP="00D26E19">
            <w:pPr>
              <w:pStyle w:val="SemEspaamento"/>
              <w:spacing w:line="360" w:lineRule="auto"/>
              <w:rPr>
                <w:sz w:val="20"/>
                <w:szCs w:val="20"/>
              </w:rPr>
            </w:pPr>
            <w:r w:rsidRPr="00E60F37">
              <w:rPr>
                <w:sz w:val="20"/>
                <w:szCs w:val="20"/>
              </w:rPr>
              <w:t>1,35%</w:t>
            </w:r>
          </w:p>
        </w:tc>
      </w:tr>
      <w:tr w:rsidR="005B6E32" w:rsidRPr="00E60F37" w14:paraId="73566868" w14:textId="77777777" w:rsidTr="00D26E19">
        <w:tc>
          <w:tcPr>
            <w:tcW w:w="2254" w:type="dxa"/>
            <w:vMerge/>
            <w:tcBorders>
              <w:left w:val="nil"/>
              <w:right w:val="nil"/>
            </w:tcBorders>
          </w:tcPr>
          <w:p w14:paraId="6D481E5E" w14:textId="77777777" w:rsidR="005B6E32" w:rsidRPr="00E60F37" w:rsidRDefault="005B6E32" w:rsidP="00D26E19">
            <w:pPr>
              <w:pStyle w:val="SemEspaamento"/>
              <w:spacing w:line="360" w:lineRule="auto"/>
              <w:rPr>
                <w:sz w:val="20"/>
                <w:szCs w:val="20"/>
              </w:rPr>
            </w:pPr>
          </w:p>
        </w:tc>
        <w:tc>
          <w:tcPr>
            <w:tcW w:w="2254" w:type="dxa"/>
            <w:tcBorders>
              <w:top w:val="nil"/>
              <w:left w:val="nil"/>
              <w:bottom w:val="single" w:sz="4" w:space="0" w:color="auto"/>
              <w:right w:val="nil"/>
            </w:tcBorders>
          </w:tcPr>
          <w:p w14:paraId="02C1F5C3" w14:textId="77777777" w:rsidR="005B6E32" w:rsidRPr="00E60F37" w:rsidRDefault="005B6E32" w:rsidP="00D26E19">
            <w:pPr>
              <w:pStyle w:val="SemEspaamento"/>
              <w:spacing w:line="360" w:lineRule="auto"/>
              <w:rPr>
                <w:sz w:val="20"/>
                <w:szCs w:val="20"/>
              </w:rPr>
            </w:pPr>
            <w:r w:rsidRPr="00E60F37">
              <w:rPr>
                <w:sz w:val="20"/>
                <w:szCs w:val="20"/>
              </w:rPr>
              <w:t>10</w:t>
            </w:r>
          </w:p>
        </w:tc>
        <w:tc>
          <w:tcPr>
            <w:tcW w:w="2254" w:type="dxa"/>
            <w:tcBorders>
              <w:top w:val="nil"/>
              <w:left w:val="nil"/>
              <w:bottom w:val="single" w:sz="4" w:space="0" w:color="auto"/>
              <w:right w:val="nil"/>
            </w:tcBorders>
          </w:tcPr>
          <w:p w14:paraId="65FDE5D2" w14:textId="77777777" w:rsidR="005B6E32" w:rsidRPr="00E60F37" w:rsidRDefault="005B6E32" w:rsidP="00D26E19">
            <w:pPr>
              <w:pStyle w:val="SemEspaamento"/>
              <w:spacing w:line="360" w:lineRule="auto"/>
              <w:rPr>
                <w:sz w:val="20"/>
                <w:szCs w:val="20"/>
              </w:rPr>
            </w:pPr>
            <w:r w:rsidRPr="00E60F37">
              <w:rPr>
                <w:sz w:val="20"/>
                <w:szCs w:val="20"/>
              </w:rPr>
              <w:t>9</w:t>
            </w:r>
          </w:p>
        </w:tc>
        <w:tc>
          <w:tcPr>
            <w:tcW w:w="2254" w:type="dxa"/>
            <w:tcBorders>
              <w:top w:val="nil"/>
              <w:left w:val="nil"/>
              <w:bottom w:val="single" w:sz="4" w:space="0" w:color="auto"/>
              <w:right w:val="nil"/>
            </w:tcBorders>
          </w:tcPr>
          <w:p w14:paraId="58669B08" w14:textId="77777777" w:rsidR="005B6E32" w:rsidRPr="00E60F37" w:rsidRDefault="005B6E32" w:rsidP="00D26E19">
            <w:pPr>
              <w:pStyle w:val="SemEspaamento"/>
              <w:spacing w:line="360" w:lineRule="auto"/>
              <w:rPr>
                <w:sz w:val="20"/>
                <w:szCs w:val="20"/>
              </w:rPr>
            </w:pPr>
            <w:r w:rsidRPr="00E60F37">
              <w:rPr>
                <w:sz w:val="20"/>
                <w:szCs w:val="20"/>
              </w:rPr>
              <w:t>12,16</w:t>
            </w:r>
          </w:p>
        </w:tc>
      </w:tr>
    </w:tbl>
    <w:p w14:paraId="1693A5E3" w14:textId="740997DD" w:rsidR="005B6E32" w:rsidRDefault="005B6E32" w:rsidP="004F23EC">
      <w:pPr>
        <w:pStyle w:val="SemEspaamento"/>
        <w:spacing w:line="360" w:lineRule="auto"/>
        <w:ind w:left="0" w:firstLine="0"/>
        <w:rPr>
          <w:sz w:val="20"/>
          <w:szCs w:val="20"/>
        </w:rPr>
      </w:pPr>
      <w:r w:rsidRPr="00E60F37">
        <w:rPr>
          <w:sz w:val="20"/>
          <w:szCs w:val="20"/>
        </w:rPr>
        <w:t xml:space="preserve">Fonte: </w:t>
      </w:r>
      <w:proofErr w:type="spellStart"/>
      <w:r>
        <w:rPr>
          <w:sz w:val="20"/>
          <w:szCs w:val="20"/>
        </w:rPr>
        <w:t>Bertholucci</w:t>
      </w:r>
      <w:proofErr w:type="spellEnd"/>
      <w:r>
        <w:rPr>
          <w:sz w:val="20"/>
          <w:szCs w:val="20"/>
        </w:rPr>
        <w:t xml:space="preserve"> </w:t>
      </w:r>
      <w:r w:rsidRPr="00E60F37">
        <w:rPr>
          <w:sz w:val="20"/>
          <w:szCs w:val="20"/>
        </w:rPr>
        <w:t>GP, et al., 2021.</w:t>
      </w:r>
    </w:p>
    <w:p w14:paraId="04613235" w14:textId="77777777" w:rsidR="005B6E32" w:rsidRPr="00282BA6" w:rsidRDefault="005B6E32" w:rsidP="005B6E32">
      <w:pPr>
        <w:pStyle w:val="SemEspaamento"/>
        <w:spacing w:line="360" w:lineRule="auto"/>
        <w:rPr>
          <w:szCs w:val="24"/>
        </w:rPr>
      </w:pPr>
      <w:r>
        <w:rPr>
          <w:sz w:val="20"/>
          <w:szCs w:val="20"/>
        </w:rPr>
        <w:tab/>
      </w:r>
      <w:r w:rsidRPr="00E60F37">
        <w:rPr>
          <w:sz w:val="20"/>
          <w:szCs w:val="20"/>
        </w:rPr>
        <w:tab/>
      </w:r>
      <w:r w:rsidRPr="00282BA6">
        <w:rPr>
          <w:szCs w:val="24"/>
        </w:rPr>
        <w:t xml:space="preserve">Quanto aos parâmetros associados à qualidade de vida, alguns aspectos principais foram avaliados: a percepção de qualidade de vida, saúde e energia disposta para a realização das atividades diárias. A maioria dos estudantes, 56,8% (n=42), avaliaram sua qualidade de vida como boa, em uma escala que varia de muito </w:t>
      </w:r>
      <w:r w:rsidRPr="00282BA6">
        <w:rPr>
          <w:szCs w:val="24"/>
        </w:rPr>
        <w:lastRenderedPageBreak/>
        <w:t>ruim a muito boa. 27% (n=20) pontuaram sua qualidade de vida como muito boa, 12,2% (n=9) como nem ruim e nem boa, nível intermediário da escala, e apenas 4,1% (n=3) avaliaram como ruim (</w:t>
      </w:r>
      <w:r w:rsidRPr="00282BA6">
        <w:rPr>
          <w:b/>
          <w:bCs/>
          <w:szCs w:val="24"/>
        </w:rPr>
        <w:t>Tabela 2</w:t>
      </w:r>
      <w:r w:rsidRPr="00282BA6">
        <w:rPr>
          <w:szCs w:val="24"/>
        </w:rPr>
        <w:t>).</w:t>
      </w:r>
    </w:p>
    <w:p w14:paraId="64A71EF7" w14:textId="2F13F871" w:rsidR="005B6E32" w:rsidRPr="004F23EC" w:rsidRDefault="005B6E32" w:rsidP="004F23EC">
      <w:pPr>
        <w:pStyle w:val="SemEspaamento"/>
        <w:spacing w:line="360" w:lineRule="auto"/>
        <w:ind w:firstLine="698"/>
        <w:rPr>
          <w:szCs w:val="24"/>
        </w:rPr>
      </w:pPr>
      <w:r w:rsidRPr="00282BA6">
        <w:rPr>
          <w:szCs w:val="24"/>
        </w:rPr>
        <w:t>Quanto à percepção sobre a saúde, a maioria, 37,8% (28) encontram-se satisfeitos com a própria saúde, 28,4% (n=21) encontram-se nem satisfeitos nem insatisfeitos, nível intermediário de uma escala que varia de muito insatisfeito a muito satisfeito, 17,6% (n=13) muito satisfeitos e 14,9% (n=11) insatisfeitos. Apenas1,4% (n=1) responderam que estão muito insatisfeitos. Em relação à disposição de energia para as atividades diárias, metade da amostra, 50% (n=37), respondeu como “média” – nível intermediário de uma escala que varia de muito pouco a completamente - 2,7% (n=2) possuem completamente a energia necessária para suas atividades diárias, 29,7% (n=22) apresentam muita energia, 16,2% (n=12) muito pouca energia, e 1,4% (n=1) nada de energia (</w:t>
      </w:r>
      <w:r w:rsidRPr="00282BA6">
        <w:rPr>
          <w:b/>
          <w:bCs/>
          <w:szCs w:val="24"/>
        </w:rPr>
        <w:t>Tabela 2</w:t>
      </w:r>
      <w:r w:rsidRPr="00282BA6">
        <w:rPr>
          <w:szCs w:val="24"/>
        </w:rPr>
        <w:t>).</w:t>
      </w:r>
    </w:p>
    <w:p w14:paraId="7A5BE848" w14:textId="77777777" w:rsidR="005B6E32" w:rsidRPr="00E60F37" w:rsidRDefault="005B6E32" w:rsidP="005B6E32">
      <w:pPr>
        <w:pStyle w:val="SemEspaamento"/>
        <w:spacing w:line="360" w:lineRule="auto"/>
        <w:rPr>
          <w:sz w:val="20"/>
          <w:szCs w:val="20"/>
        </w:rPr>
      </w:pPr>
      <w:r w:rsidRPr="00E60F37">
        <w:rPr>
          <w:b/>
          <w:bCs/>
          <w:sz w:val="20"/>
          <w:szCs w:val="20"/>
        </w:rPr>
        <w:t>Tabela 2</w:t>
      </w:r>
      <w:r w:rsidRPr="00E60F37">
        <w:rPr>
          <w:sz w:val="20"/>
          <w:szCs w:val="20"/>
        </w:rPr>
        <w:t xml:space="preserve"> – Perfil da percepção de qualidade de vida, saúde e energia da amostra de acadêmicos de Medicina </w:t>
      </w:r>
      <w:r>
        <w:rPr>
          <w:sz w:val="20"/>
          <w:szCs w:val="20"/>
        </w:rPr>
        <w:t>de uma Universidade da região central do estado de Goiás</w:t>
      </w:r>
      <w:r w:rsidRPr="00E60F37">
        <w:rPr>
          <w:sz w:val="20"/>
          <w:szCs w:val="20"/>
        </w:rPr>
        <w:t>.</w:t>
      </w:r>
    </w:p>
    <w:p w14:paraId="32EB0A58" w14:textId="77777777" w:rsidR="005B6E32" w:rsidRPr="00E60F37" w:rsidRDefault="005B6E32" w:rsidP="005B6E32">
      <w:pPr>
        <w:pStyle w:val="SemEspaamento"/>
        <w:spacing w:line="360" w:lineRule="auto"/>
        <w:rPr>
          <w:sz w:val="20"/>
          <w:szCs w:val="20"/>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105"/>
        <w:gridCol w:w="2403"/>
        <w:gridCol w:w="2192"/>
        <w:gridCol w:w="2326"/>
      </w:tblGrid>
      <w:tr w:rsidR="005B6E32" w:rsidRPr="00E60F37" w14:paraId="1AED0B12" w14:textId="77777777" w:rsidTr="00D26E19">
        <w:tc>
          <w:tcPr>
            <w:tcW w:w="4508" w:type="dxa"/>
            <w:gridSpan w:val="2"/>
            <w:tcBorders>
              <w:bottom w:val="single" w:sz="4" w:space="0" w:color="auto"/>
              <w:right w:val="nil"/>
            </w:tcBorders>
          </w:tcPr>
          <w:p w14:paraId="7DF892EE"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Variável</w:t>
            </w:r>
            <w:proofErr w:type="spellEnd"/>
          </w:p>
        </w:tc>
        <w:tc>
          <w:tcPr>
            <w:tcW w:w="2192" w:type="dxa"/>
            <w:tcBorders>
              <w:left w:val="nil"/>
              <w:bottom w:val="single" w:sz="4" w:space="0" w:color="auto"/>
              <w:right w:val="nil"/>
            </w:tcBorders>
          </w:tcPr>
          <w:p w14:paraId="4429A0CF" w14:textId="77777777" w:rsidR="005B6E32" w:rsidRPr="00E60F37" w:rsidRDefault="005B6E32" w:rsidP="00D26E19">
            <w:pPr>
              <w:pStyle w:val="SemEspaamento"/>
              <w:spacing w:line="360" w:lineRule="auto"/>
              <w:rPr>
                <w:b/>
                <w:bCs/>
                <w:sz w:val="20"/>
                <w:szCs w:val="20"/>
              </w:rPr>
            </w:pPr>
            <w:r w:rsidRPr="00E60F37">
              <w:rPr>
                <w:b/>
                <w:bCs/>
                <w:sz w:val="20"/>
                <w:szCs w:val="20"/>
              </w:rPr>
              <w:t>N</w:t>
            </w:r>
          </w:p>
        </w:tc>
        <w:tc>
          <w:tcPr>
            <w:tcW w:w="2326" w:type="dxa"/>
            <w:tcBorders>
              <w:left w:val="nil"/>
              <w:bottom w:val="single" w:sz="4" w:space="0" w:color="auto"/>
            </w:tcBorders>
          </w:tcPr>
          <w:p w14:paraId="0C0AF1DB" w14:textId="77777777" w:rsidR="005B6E32" w:rsidRPr="00E60F37" w:rsidRDefault="005B6E32" w:rsidP="00D26E19">
            <w:pPr>
              <w:pStyle w:val="SemEspaamento"/>
              <w:spacing w:line="360" w:lineRule="auto"/>
              <w:rPr>
                <w:b/>
                <w:bCs/>
                <w:sz w:val="20"/>
                <w:szCs w:val="20"/>
              </w:rPr>
            </w:pPr>
            <w:r w:rsidRPr="00E60F37">
              <w:rPr>
                <w:b/>
                <w:bCs/>
                <w:sz w:val="20"/>
                <w:szCs w:val="20"/>
              </w:rPr>
              <w:t>%</w:t>
            </w:r>
          </w:p>
        </w:tc>
      </w:tr>
      <w:tr w:rsidR="005B6E32" w:rsidRPr="00E60F37" w14:paraId="220BF50A" w14:textId="77777777" w:rsidTr="00D26E19">
        <w:tc>
          <w:tcPr>
            <w:tcW w:w="2105" w:type="dxa"/>
            <w:vMerge w:val="restart"/>
            <w:tcBorders>
              <w:top w:val="single" w:sz="4" w:space="0" w:color="auto"/>
              <w:right w:val="nil"/>
            </w:tcBorders>
            <w:vAlign w:val="center"/>
          </w:tcPr>
          <w:p w14:paraId="12CE60F9"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Qualidade</w:t>
            </w:r>
            <w:proofErr w:type="spellEnd"/>
            <w:r w:rsidRPr="00E60F37">
              <w:rPr>
                <w:b/>
                <w:bCs/>
                <w:sz w:val="20"/>
                <w:szCs w:val="20"/>
              </w:rPr>
              <w:t xml:space="preserve"> de Vida</w:t>
            </w:r>
          </w:p>
        </w:tc>
        <w:tc>
          <w:tcPr>
            <w:tcW w:w="2403" w:type="dxa"/>
            <w:tcBorders>
              <w:top w:val="single" w:sz="4" w:space="0" w:color="auto"/>
              <w:left w:val="nil"/>
              <w:bottom w:val="nil"/>
              <w:right w:val="nil"/>
            </w:tcBorders>
          </w:tcPr>
          <w:p w14:paraId="126AE31D" w14:textId="77777777" w:rsidR="005B6E32" w:rsidRPr="00E60F37" w:rsidRDefault="005B6E32" w:rsidP="00D26E19">
            <w:pPr>
              <w:pStyle w:val="SemEspaamento"/>
              <w:spacing w:line="360" w:lineRule="auto"/>
              <w:rPr>
                <w:sz w:val="20"/>
                <w:szCs w:val="20"/>
              </w:rPr>
            </w:pPr>
            <w:proofErr w:type="spellStart"/>
            <w:r w:rsidRPr="00E60F37">
              <w:rPr>
                <w:sz w:val="20"/>
                <w:szCs w:val="20"/>
              </w:rPr>
              <w:t>Muito</w:t>
            </w:r>
            <w:proofErr w:type="spellEnd"/>
            <w:r w:rsidRPr="00E60F37">
              <w:rPr>
                <w:sz w:val="20"/>
                <w:szCs w:val="20"/>
              </w:rPr>
              <w:t xml:space="preserve"> Boa</w:t>
            </w:r>
          </w:p>
        </w:tc>
        <w:tc>
          <w:tcPr>
            <w:tcW w:w="2192" w:type="dxa"/>
            <w:tcBorders>
              <w:top w:val="single" w:sz="4" w:space="0" w:color="auto"/>
              <w:left w:val="nil"/>
              <w:bottom w:val="nil"/>
              <w:right w:val="nil"/>
            </w:tcBorders>
          </w:tcPr>
          <w:p w14:paraId="29977AEC" w14:textId="77777777" w:rsidR="005B6E32" w:rsidRPr="00E60F37" w:rsidRDefault="005B6E32" w:rsidP="00D26E19">
            <w:pPr>
              <w:pStyle w:val="SemEspaamento"/>
              <w:spacing w:line="360" w:lineRule="auto"/>
              <w:rPr>
                <w:sz w:val="20"/>
                <w:szCs w:val="20"/>
              </w:rPr>
            </w:pPr>
            <w:r w:rsidRPr="00E60F37">
              <w:rPr>
                <w:sz w:val="20"/>
                <w:szCs w:val="20"/>
              </w:rPr>
              <w:t>20</w:t>
            </w:r>
          </w:p>
        </w:tc>
        <w:tc>
          <w:tcPr>
            <w:tcW w:w="2326" w:type="dxa"/>
            <w:tcBorders>
              <w:top w:val="single" w:sz="4" w:space="0" w:color="auto"/>
              <w:left w:val="nil"/>
              <w:bottom w:val="nil"/>
            </w:tcBorders>
          </w:tcPr>
          <w:p w14:paraId="335369BB" w14:textId="77777777" w:rsidR="005B6E32" w:rsidRPr="00E60F37" w:rsidRDefault="005B6E32" w:rsidP="00D26E19">
            <w:pPr>
              <w:pStyle w:val="SemEspaamento"/>
              <w:spacing w:line="360" w:lineRule="auto"/>
              <w:rPr>
                <w:sz w:val="20"/>
                <w:szCs w:val="20"/>
              </w:rPr>
            </w:pPr>
            <w:r w:rsidRPr="00E60F37">
              <w:rPr>
                <w:sz w:val="20"/>
                <w:szCs w:val="20"/>
              </w:rPr>
              <w:t>27%</w:t>
            </w:r>
          </w:p>
        </w:tc>
      </w:tr>
      <w:tr w:rsidR="005B6E32" w:rsidRPr="00E60F37" w14:paraId="56AEE5F5" w14:textId="77777777" w:rsidTr="00D26E19">
        <w:tc>
          <w:tcPr>
            <w:tcW w:w="2105" w:type="dxa"/>
            <w:vMerge/>
            <w:tcBorders>
              <w:right w:val="nil"/>
            </w:tcBorders>
          </w:tcPr>
          <w:p w14:paraId="3FC44CC3" w14:textId="77777777" w:rsidR="005B6E32" w:rsidRPr="00E60F37" w:rsidRDefault="005B6E32" w:rsidP="00D26E19">
            <w:pPr>
              <w:pStyle w:val="SemEspaamento"/>
              <w:spacing w:line="360" w:lineRule="auto"/>
              <w:rPr>
                <w:b/>
                <w:bCs/>
                <w:sz w:val="20"/>
                <w:szCs w:val="20"/>
              </w:rPr>
            </w:pPr>
          </w:p>
        </w:tc>
        <w:tc>
          <w:tcPr>
            <w:tcW w:w="2403" w:type="dxa"/>
            <w:tcBorders>
              <w:top w:val="nil"/>
              <w:left w:val="nil"/>
              <w:bottom w:val="nil"/>
              <w:right w:val="nil"/>
            </w:tcBorders>
          </w:tcPr>
          <w:p w14:paraId="68C19D4B" w14:textId="77777777" w:rsidR="005B6E32" w:rsidRPr="00E60F37" w:rsidRDefault="005B6E32" w:rsidP="00D26E19">
            <w:pPr>
              <w:pStyle w:val="SemEspaamento"/>
              <w:spacing w:line="360" w:lineRule="auto"/>
              <w:rPr>
                <w:sz w:val="20"/>
                <w:szCs w:val="20"/>
              </w:rPr>
            </w:pPr>
            <w:r w:rsidRPr="00E60F37">
              <w:rPr>
                <w:sz w:val="20"/>
                <w:szCs w:val="20"/>
              </w:rPr>
              <w:t>Boa</w:t>
            </w:r>
          </w:p>
        </w:tc>
        <w:tc>
          <w:tcPr>
            <w:tcW w:w="2192" w:type="dxa"/>
            <w:tcBorders>
              <w:top w:val="nil"/>
              <w:left w:val="nil"/>
              <w:bottom w:val="nil"/>
              <w:right w:val="nil"/>
            </w:tcBorders>
          </w:tcPr>
          <w:p w14:paraId="66BC38E2" w14:textId="77777777" w:rsidR="005B6E32" w:rsidRPr="00E60F37" w:rsidRDefault="005B6E32" w:rsidP="00D26E19">
            <w:pPr>
              <w:pStyle w:val="SemEspaamento"/>
              <w:spacing w:line="360" w:lineRule="auto"/>
              <w:rPr>
                <w:sz w:val="20"/>
                <w:szCs w:val="20"/>
              </w:rPr>
            </w:pPr>
            <w:r w:rsidRPr="00E60F37">
              <w:rPr>
                <w:sz w:val="20"/>
                <w:szCs w:val="20"/>
              </w:rPr>
              <w:t>42</w:t>
            </w:r>
          </w:p>
        </w:tc>
        <w:tc>
          <w:tcPr>
            <w:tcW w:w="2326" w:type="dxa"/>
            <w:tcBorders>
              <w:top w:val="nil"/>
              <w:left w:val="nil"/>
              <w:bottom w:val="nil"/>
            </w:tcBorders>
          </w:tcPr>
          <w:p w14:paraId="5DDF32DB" w14:textId="77777777" w:rsidR="005B6E32" w:rsidRPr="00E60F37" w:rsidRDefault="005B6E32" w:rsidP="00D26E19">
            <w:pPr>
              <w:pStyle w:val="SemEspaamento"/>
              <w:spacing w:line="360" w:lineRule="auto"/>
              <w:rPr>
                <w:sz w:val="20"/>
                <w:szCs w:val="20"/>
              </w:rPr>
            </w:pPr>
            <w:r w:rsidRPr="00E60F37">
              <w:rPr>
                <w:sz w:val="20"/>
                <w:szCs w:val="20"/>
              </w:rPr>
              <w:t>56,8%</w:t>
            </w:r>
          </w:p>
        </w:tc>
      </w:tr>
      <w:tr w:rsidR="005B6E32" w:rsidRPr="00E60F37" w14:paraId="738A2EC1" w14:textId="77777777" w:rsidTr="00D26E19">
        <w:tc>
          <w:tcPr>
            <w:tcW w:w="2105" w:type="dxa"/>
            <w:vMerge/>
            <w:tcBorders>
              <w:right w:val="nil"/>
            </w:tcBorders>
          </w:tcPr>
          <w:p w14:paraId="0EB8BF26" w14:textId="77777777" w:rsidR="005B6E32" w:rsidRPr="00E60F37" w:rsidRDefault="005B6E32" w:rsidP="00D26E19">
            <w:pPr>
              <w:pStyle w:val="SemEspaamento"/>
              <w:spacing w:line="360" w:lineRule="auto"/>
              <w:rPr>
                <w:b/>
                <w:bCs/>
                <w:sz w:val="20"/>
                <w:szCs w:val="20"/>
              </w:rPr>
            </w:pPr>
          </w:p>
        </w:tc>
        <w:tc>
          <w:tcPr>
            <w:tcW w:w="2403" w:type="dxa"/>
            <w:tcBorders>
              <w:top w:val="nil"/>
              <w:left w:val="nil"/>
              <w:bottom w:val="nil"/>
              <w:right w:val="nil"/>
            </w:tcBorders>
          </w:tcPr>
          <w:p w14:paraId="6089D1CB" w14:textId="77777777" w:rsidR="005B6E32" w:rsidRPr="00E60F37" w:rsidRDefault="005B6E32" w:rsidP="00D26E19">
            <w:pPr>
              <w:pStyle w:val="SemEspaamento"/>
              <w:spacing w:line="360" w:lineRule="auto"/>
              <w:rPr>
                <w:sz w:val="20"/>
                <w:szCs w:val="20"/>
              </w:rPr>
            </w:pPr>
            <w:proofErr w:type="spellStart"/>
            <w:r w:rsidRPr="00E60F37">
              <w:rPr>
                <w:sz w:val="20"/>
                <w:szCs w:val="20"/>
              </w:rPr>
              <w:t>Nem</w:t>
            </w:r>
            <w:proofErr w:type="spellEnd"/>
            <w:r w:rsidRPr="00E60F37">
              <w:rPr>
                <w:sz w:val="20"/>
                <w:szCs w:val="20"/>
              </w:rPr>
              <w:t xml:space="preserve"> </w:t>
            </w:r>
            <w:proofErr w:type="spellStart"/>
            <w:r w:rsidRPr="00E60F37">
              <w:rPr>
                <w:sz w:val="20"/>
                <w:szCs w:val="20"/>
              </w:rPr>
              <w:t>ruim</w:t>
            </w:r>
            <w:proofErr w:type="spellEnd"/>
            <w:r w:rsidRPr="00E60F37">
              <w:rPr>
                <w:sz w:val="20"/>
                <w:szCs w:val="20"/>
              </w:rPr>
              <w:t xml:space="preserve"> </w:t>
            </w:r>
            <w:proofErr w:type="spellStart"/>
            <w:r w:rsidRPr="00E60F37">
              <w:rPr>
                <w:sz w:val="20"/>
                <w:szCs w:val="20"/>
              </w:rPr>
              <w:t>nem</w:t>
            </w:r>
            <w:proofErr w:type="spellEnd"/>
            <w:r w:rsidRPr="00E60F37">
              <w:rPr>
                <w:sz w:val="20"/>
                <w:szCs w:val="20"/>
              </w:rPr>
              <w:t xml:space="preserve"> boa</w:t>
            </w:r>
          </w:p>
        </w:tc>
        <w:tc>
          <w:tcPr>
            <w:tcW w:w="2192" w:type="dxa"/>
            <w:tcBorders>
              <w:top w:val="nil"/>
              <w:left w:val="nil"/>
              <w:bottom w:val="nil"/>
              <w:right w:val="nil"/>
            </w:tcBorders>
          </w:tcPr>
          <w:p w14:paraId="22425368" w14:textId="77777777" w:rsidR="005B6E32" w:rsidRPr="00E60F37" w:rsidRDefault="005B6E32" w:rsidP="00D26E19">
            <w:pPr>
              <w:pStyle w:val="SemEspaamento"/>
              <w:spacing w:line="360" w:lineRule="auto"/>
              <w:rPr>
                <w:sz w:val="20"/>
                <w:szCs w:val="20"/>
              </w:rPr>
            </w:pPr>
            <w:r w:rsidRPr="00E60F37">
              <w:rPr>
                <w:sz w:val="20"/>
                <w:szCs w:val="20"/>
              </w:rPr>
              <w:t>9</w:t>
            </w:r>
          </w:p>
        </w:tc>
        <w:tc>
          <w:tcPr>
            <w:tcW w:w="2326" w:type="dxa"/>
            <w:tcBorders>
              <w:top w:val="nil"/>
              <w:left w:val="nil"/>
              <w:bottom w:val="nil"/>
            </w:tcBorders>
          </w:tcPr>
          <w:p w14:paraId="65867D84" w14:textId="77777777" w:rsidR="005B6E32" w:rsidRPr="00E60F37" w:rsidRDefault="005B6E32" w:rsidP="00D26E19">
            <w:pPr>
              <w:pStyle w:val="SemEspaamento"/>
              <w:spacing w:line="360" w:lineRule="auto"/>
              <w:rPr>
                <w:sz w:val="20"/>
                <w:szCs w:val="20"/>
              </w:rPr>
            </w:pPr>
            <w:r w:rsidRPr="00E60F37">
              <w:rPr>
                <w:sz w:val="20"/>
                <w:szCs w:val="20"/>
              </w:rPr>
              <w:t>12,2%</w:t>
            </w:r>
          </w:p>
        </w:tc>
      </w:tr>
      <w:tr w:rsidR="005B6E32" w:rsidRPr="00E60F37" w14:paraId="5B651A6F" w14:textId="77777777" w:rsidTr="00D26E19">
        <w:tc>
          <w:tcPr>
            <w:tcW w:w="2105" w:type="dxa"/>
            <w:vMerge/>
            <w:tcBorders>
              <w:right w:val="nil"/>
            </w:tcBorders>
          </w:tcPr>
          <w:p w14:paraId="1730A158" w14:textId="77777777" w:rsidR="005B6E32" w:rsidRPr="00E60F37" w:rsidRDefault="005B6E32" w:rsidP="00D26E19">
            <w:pPr>
              <w:pStyle w:val="SemEspaamento"/>
              <w:spacing w:line="360" w:lineRule="auto"/>
              <w:rPr>
                <w:b/>
                <w:bCs/>
                <w:sz w:val="20"/>
                <w:szCs w:val="20"/>
              </w:rPr>
            </w:pPr>
          </w:p>
        </w:tc>
        <w:tc>
          <w:tcPr>
            <w:tcW w:w="2403" w:type="dxa"/>
            <w:tcBorders>
              <w:top w:val="nil"/>
              <w:left w:val="nil"/>
              <w:bottom w:val="nil"/>
              <w:right w:val="nil"/>
            </w:tcBorders>
          </w:tcPr>
          <w:p w14:paraId="3FAA70EE" w14:textId="77777777" w:rsidR="005B6E32" w:rsidRPr="00E60F37" w:rsidRDefault="005B6E32" w:rsidP="00D26E19">
            <w:pPr>
              <w:pStyle w:val="SemEspaamento"/>
              <w:spacing w:line="360" w:lineRule="auto"/>
              <w:rPr>
                <w:sz w:val="20"/>
                <w:szCs w:val="20"/>
              </w:rPr>
            </w:pPr>
            <w:proofErr w:type="spellStart"/>
            <w:r w:rsidRPr="00E60F37">
              <w:rPr>
                <w:sz w:val="20"/>
                <w:szCs w:val="20"/>
              </w:rPr>
              <w:t>Ruim</w:t>
            </w:r>
            <w:proofErr w:type="spellEnd"/>
          </w:p>
        </w:tc>
        <w:tc>
          <w:tcPr>
            <w:tcW w:w="2192" w:type="dxa"/>
            <w:tcBorders>
              <w:top w:val="nil"/>
              <w:left w:val="nil"/>
              <w:bottom w:val="nil"/>
              <w:right w:val="nil"/>
            </w:tcBorders>
          </w:tcPr>
          <w:p w14:paraId="08BB2AA3" w14:textId="77777777" w:rsidR="005B6E32" w:rsidRPr="00E60F37" w:rsidRDefault="005B6E32" w:rsidP="00D26E19">
            <w:pPr>
              <w:pStyle w:val="SemEspaamento"/>
              <w:spacing w:line="360" w:lineRule="auto"/>
              <w:rPr>
                <w:sz w:val="20"/>
                <w:szCs w:val="20"/>
              </w:rPr>
            </w:pPr>
            <w:r w:rsidRPr="00E60F37">
              <w:rPr>
                <w:sz w:val="20"/>
                <w:szCs w:val="20"/>
              </w:rPr>
              <w:t>3</w:t>
            </w:r>
          </w:p>
        </w:tc>
        <w:tc>
          <w:tcPr>
            <w:tcW w:w="2326" w:type="dxa"/>
            <w:tcBorders>
              <w:top w:val="nil"/>
              <w:left w:val="nil"/>
              <w:bottom w:val="nil"/>
            </w:tcBorders>
          </w:tcPr>
          <w:p w14:paraId="0F5F7055" w14:textId="77777777" w:rsidR="005B6E32" w:rsidRPr="00E60F37" w:rsidRDefault="005B6E32" w:rsidP="00D26E19">
            <w:pPr>
              <w:pStyle w:val="SemEspaamento"/>
              <w:spacing w:line="360" w:lineRule="auto"/>
              <w:rPr>
                <w:sz w:val="20"/>
                <w:szCs w:val="20"/>
              </w:rPr>
            </w:pPr>
            <w:r w:rsidRPr="00E60F37">
              <w:rPr>
                <w:sz w:val="20"/>
                <w:szCs w:val="20"/>
              </w:rPr>
              <w:t>4,1%</w:t>
            </w:r>
          </w:p>
        </w:tc>
      </w:tr>
      <w:tr w:rsidR="005B6E32" w:rsidRPr="00E60F37" w14:paraId="7F0917A3" w14:textId="77777777" w:rsidTr="00D26E19">
        <w:tc>
          <w:tcPr>
            <w:tcW w:w="2105" w:type="dxa"/>
            <w:vMerge/>
            <w:tcBorders>
              <w:bottom w:val="single" w:sz="4" w:space="0" w:color="auto"/>
              <w:right w:val="nil"/>
            </w:tcBorders>
          </w:tcPr>
          <w:p w14:paraId="50B3FEF2" w14:textId="77777777" w:rsidR="005B6E32" w:rsidRPr="00E60F37" w:rsidRDefault="005B6E32" w:rsidP="00D26E19">
            <w:pPr>
              <w:pStyle w:val="SemEspaamento"/>
              <w:spacing w:line="360" w:lineRule="auto"/>
              <w:rPr>
                <w:b/>
                <w:bCs/>
                <w:sz w:val="20"/>
                <w:szCs w:val="20"/>
              </w:rPr>
            </w:pPr>
          </w:p>
        </w:tc>
        <w:tc>
          <w:tcPr>
            <w:tcW w:w="2403" w:type="dxa"/>
            <w:tcBorders>
              <w:top w:val="nil"/>
              <w:left w:val="nil"/>
              <w:bottom w:val="single" w:sz="4" w:space="0" w:color="auto"/>
              <w:right w:val="nil"/>
            </w:tcBorders>
          </w:tcPr>
          <w:p w14:paraId="244875F6" w14:textId="77777777" w:rsidR="005B6E32" w:rsidRPr="00E60F37" w:rsidRDefault="005B6E32" w:rsidP="00D26E19">
            <w:pPr>
              <w:pStyle w:val="SemEspaamento"/>
              <w:spacing w:line="360" w:lineRule="auto"/>
              <w:rPr>
                <w:sz w:val="20"/>
                <w:szCs w:val="20"/>
              </w:rPr>
            </w:pPr>
            <w:proofErr w:type="spellStart"/>
            <w:r w:rsidRPr="00E60F37">
              <w:rPr>
                <w:sz w:val="20"/>
                <w:szCs w:val="20"/>
              </w:rPr>
              <w:t>Muito</w:t>
            </w:r>
            <w:proofErr w:type="spellEnd"/>
            <w:r w:rsidRPr="00E60F37">
              <w:rPr>
                <w:sz w:val="20"/>
                <w:szCs w:val="20"/>
              </w:rPr>
              <w:t xml:space="preserve"> </w:t>
            </w:r>
            <w:proofErr w:type="spellStart"/>
            <w:r w:rsidRPr="00E60F37">
              <w:rPr>
                <w:sz w:val="20"/>
                <w:szCs w:val="20"/>
              </w:rPr>
              <w:t>Ruim</w:t>
            </w:r>
            <w:proofErr w:type="spellEnd"/>
          </w:p>
        </w:tc>
        <w:tc>
          <w:tcPr>
            <w:tcW w:w="2192" w:type="dxa"/>
            <w:tcBorders>
              <w:top w:val="nil"/>
              <w:left w:val="nil"/>
              <w:bottom w:val="single" w:sz="4" w:space="0" w:color="auto"/>
              <w:right w:val="nil"/>
            </w:tcBorders>
          </w:tcPr>
          <w:p w14:paraId="0AE2355D" w14:textId="77777777" w:rsidR="005B6E32" w:rsidRPr="00E60F37" w:rsidRDefault="005B6E32" w:rsidP="00D26E19">
            <w:pPr>
              <w:pStyle w:val="SemEspaamento"/>
              <w:spacing w:line="360" w:lineRule="auto"/>
              <w:rPr>
                <w:sz w:val="20"/>
                <w:szCs w:val="20"/>
              </w:rPr>
            </w:pPr>
            <w:r w:rsidRPr="00E60F37">
              <w:rPr>
                <w:sz w:val="20"/>
                <w:szCs w:val="20"/>
              </w:rPr>
              <w:t>0</w:t>
            </w:r>
          </w:p>
        </w:tc>
        <w:tc>
          <w:tcPr>
            <w:tcW w:w="2326" w:type="dxa"/>
            <w:tcBorders>
              <w:top w:val="nil"/>
              <w:left w:val="nil"/>
              <w:bottom w:val="single" w:sz="4" w:space="0" w:color="auto"/>
            </w:tcBorders>
          </w:tcPr>
          <w:p w14:paraId="2325DFD8" w14:textId="77777777" w:rsidR="005B6E32" w:rsidRPr="00E60F37" w:rsidRDefault="005B6E32" w:rsidP="00D26E19">
            <w:pPr>
              <w:pStyle w:val="SemEspaamento"/>
              <w:spacing w:line="360" w:lineRule="auto"/>
              <w:rPr>
                <w:sz w:val="20"/>
                <w:szCs w:val="20"/>
              </w:rPr>
            </w:pPr>
            <w:r w:rsidRPr="00E60F37">
              <w:rPr>
                <w:sz w:val="20"/>
                <w:szCs w:val="20"/>
              </w:rPr>
              <w:t>0%</w:t>
            </w:r>
          </w:p>
        </w:tc>
      </w:tr>
      <w:tr w:rsidR="005B6E32" w:rsidRPr="00E60F37" w14:paraId="079C1A29" w14:textId="77777777" w:rsidTr="00D26E19">
        <w:tc>
          <w:tcPr>
            <w:tcW w:w="2105" w:type="dxa"/>
            <w:vMerge w:val="restart"/>
            <w:tcBorders>
              <w:top w:val="single" w:sz="4" w:space="0" w:color="auto"/>
              <w:right w:val="nil"/>
            </w:tcBorders>
            <w:vAlign w:val="center"/>
          </w:tcPr>
          <w:p w14:paraId="1ADCD4EF"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Saúde</w:t>
            </w:r>
            <w:proofErr w:type="spellEnd"/>
          </w:p>
        </w:tc>
        <w:tc>
          <w:tcPr>
            <w:tcW w:w="2403" w:type="dxa"/>
            <w:tcBorders>
              <w:top w:val="single" w:sz="4" w:space="0" w:color="auto"/>
              <w:left w:val="nil"/>
              <w:bottom w:val="nil"/>
              <w:right w:val="nil"/>
            </w:tcBorders>
          </w:tcPr>
          <w:p w14:paraId="24E18D19" w14:textId="77777777" w:rsidR="005B6E32" w:rsidRPr="00E60F37" w:rsidRDefault="005B6E32" w:rsidP="00D26E19">
            <w:pPr>
              <w:pStyle w:val="SemEspaamento"/>
              <w:spacing w:line="360" w:lineRule="auto"/>
              <w:rPr>
                <w:sz w:val="20"/>
                <w:szCs w:val="20"/>
              </w:rPr>
            </w:pPr>
            <w:proofErr w:type="spellStart"/>
            <w:r w:rsidRPr="00E60F37">
              <w:rPr>
                <w:sz w:val="20"/>
                <w:szCs w:val="20"/>
              </w:rPr>
              <w:t>Muito</w:t>
            </w:r>
            <w:proofErr w:type="spellEnd"/>
            <w:r w:rsidRPr="00E60F37">
              <w:rPr>
                <w:sz w:val="20"/>
                <w:szCs w:val="20"/>
              </w:rPr>
              <w:t xml:space="preserve"> </w:t>
            </w:r>
            <w:proofErr w:type="spellStart"/>
            <w:r w:rsidRPr="00E60F37">
              <w:rPr>
                <w:sz w:val="20"/>
                <w:szCs w:val="20"/>
              </w:rPr>
              <w:t>Satisfeito</w:t>
            </w:r>
            <w:proofErr w:type="spellEnd"/>
          </w:p>
        </w:tc>
        <w:tc>
          <w:tcPr>
            <w:tcW w:w="2192" w:type="dxa"/>
            <w:tcBorders>
              <w:top w:val="single" w:sz="4" w:space="0" w:color="auto"/>
              <w:left w:val="nil"/>
              <w:bottom w:val="nil"/>
              <w:right w:val="nil"/>
            </w:tcBorders>
          </w:tcPr>
          <w:p w14:paraId="7BEEBB5D" w14:textId="77777777" w:rsidR="005B6E32" w:rsidRPr="00E60F37" w:rsidRDefault="005B6E32" w:rsidP="00D26E19">
            <w:pPr>
              <w:pStyle w:val="SemEspaamento"/>
              <w:spacing w:line="360" w:lineRule="auto"/>
              <w:rPr>
                <w:sz w:val="20"/>
                <w:szCs w:val="20"/>
              </w:rPr>
            </w:pPr>
            <w:r w:rsidRPr="00E60F37">
              <w:rPr>
                <w:sz w:val="20"/>
                <w:szCs w:val="20"/>
              </w:rPr>
              <w:t>13</w:t>
            </w:r>
          </w:p>
        </w:tc>
        <w:tc>
          <w:tcPr>
            <w:tcW w:w="2326" w:type="dxa"/>
            <w:tcBorders>
              <w:top w:val="single" w:sz="4" w:space="0" w:color="auto"/>
              <w:left w:val="nil"/>
              <w:bottom w:val="nil"/>
            </w:tcBorders>
          </w:tcPr>
          <w:p w14:paraId="1096E356" w14:textId="77777777" w:rsidR="005B6E32" w:rsidRPr="00E60F37" w:rsidRDefault="005B6E32" w:rsidP="00D26E19">
            <w:pPr>
              <w:pStyle w:val="SemEspaamento"/>
              <w:spacing w:line="360" w:lineRule="auto"/>
              <w:rPr>
                <w:sz w:val="20"/>
                <w:szCs w:val="20"/>
              </w:rPr>
            </w:pPr>
            <w:r w:rsidRPr="00E60F37">
              <w:rPr>
                <w:sz w:val="20"/>
                <w:szCs w:val="20"/>
              </w:rPr>
              <w:t>17,6%</w:t>
            </w:r>
          </w:p>
        </w:tc>
      </w:tr>
      <w:tr w:rsidR="005B6E32" w:rsidRPr="00E60F37" w14:paraId="00472AE6" w14:textId="77777777" w:rsidTr="00D26E19">
        <w:tc>
          <w:tcPr>
            <w:tcW w:w="2105" w:type="dxa"/>
            <w:vMerge/>
            <w:tcBorders>
              <w:right w:val="nil"/>
            </w:tcBorders>
          </w:tcPr>
          <w:p w14:paraId="0AA4480D" w14:textId="77777777" w:rsidR="005B6E32" w:rsidRPr="00E60F37" w:rsidRDefault="005B6E32" w:rsidP="00D26E19">
            <w:pPr>
              <w:pStyle w:val="SemEspaamento"/>
              <w:spacing w:line="360" w:lineRule="auto"/>
              <w:rPr>
                <w:sz w:val="20"/>
                <w:szCs w:val="20"/>
              </w:rPr>
            </w:pPr>
          </w:p>
        </w:tc>
        <w:tc>
          <w:tcPr>
            <w:tcW w:w="2403" w:type="dxa"/>
            <w:tcBorders>
              <w:top w:val="nil"/>
              <w:left w:val="nil"/>
              <w:bottom w:val="nil"/>
              <w:right w:val="nil"/>
            </w:tcBorders>
          </w:tcPr>
          <w:p w14:paraId="5B6CD431" w14:textId="77777777" w:rsidR="005B6E32" w:rsidRPr="00E60F37" w:rsidRDefault="005B6E32" w:rsidP="00D26E19">
            <w:pPr>
              <w:pStyle w:val="SemEspaamento"/>
              <w:spacing w:line="360" w:lineRule="auto"/>
              <w:rPr>
                <w:sz w:val="20"/>
                <w:szCs w:val="20"/>
              </w:rPr>
            </w:pPr>
            <w:proofErr w:type="spellStart"/>
            <w:r w:rsidRPr="00E60F37">
              <w:rPr>
                <w:sz w:val="20"/>
                <w:szCs w:val="20"/>
              </w:rPr>
              <w:t>Satisfeito</w:t>
            </w:r>
            <w:proofErr w:type="spellEnd"/>
          </w:p>
        </w:tc>
        <w:tc>
          <w:tcPr>
            <w:tcW w:w="2192" w:type="dxa"/>
            <w:tcBorders>
              <w:top w:val="nil"/>
              <w:left w:val="nil"/>
              <w:bottom w:val="nil"/>
              <w:right w:val="nil"/>
            </w:tcBorders>
          </w:tcPr>
          <w:p w14:paraId="791541DA" w14:textId="77777777" w:rsidR="005B6E32" w:rsidRPr="00E60F37" w:rsidRDefault="005B6E32" w:rsidP="00D26E19">
            <w:pPr>
              <w:pStyle w:val="SemEspaamento"/>
              <w:spacing w:line="360" w:lineRule="auto"/>
              <w:rPr>
                <w:sz w:val="20"/>
                <w:szCs w:val="20"/>
              </w:rPr>
            </w:pPr>
            <w:r w:rsidRPr="00E60F37">
              <w:rPr>
                <w:sz w:val="20"/>
                <w:szCs w:val="20"/>
              </w:rPr>
              <w:t>28</w:t>
            </w:r>
          </w:p>
        </w:tc>
        <w:tc>
          <w:tcPr>
            <w:tcW w:w="2326" w:type="dxa"/>
            <w:tcBorders>
              <w:top w:val="nil"/>
              <w:left w:val="nil"/>
              <w:bottom w:val="nil"/>
            </w:tcBorders>
          </w:tcPr>
          <w:p w14:paraId="3F8C312C" w14:textId="77777777" w:rsidR="005B6E32" w:rsidRPr="00E60F37" w:rsidRDefault="005B6E32" w:rsidP="00D26E19">
            <w:pPr>
              <w:pStyle w:val="SemEspaamento"/>
              <w:spacing w:line="360" w:lineRule="auto"/>
              <w:rPr>
                <w:sz w:val="20"/>
                <w:szCs w:val="20"/>
              </w:rPr>
            </w:pPr>
            <w:r w:rsidRPr="00E60F37">
              <w:rPr>
                <w:sz w:val="20"/>
                <w:szCs w:val="20"/>
              </w:rPr>
              <w:t>37,8%</w:t>
            </w:r>
          </w:p>
        </w:tc>
      </w:tr>
      <w:tr w:rsidR="005B6E32" w:rsidRPr="00E60F37" w14:paraId="326BF83D" w14:textId="77777777" w:rsidTr="00D26E19">
        <w:tc>
          <w:tcPr>
            <w:tcW w:w="2105" w:type="dxa"/>
            <w:vMerge/>
            <w:tcBorders>
              <w:right w:val="nil"/>
            </w:tcBorders>
          </w:tcPr>
          <w:p w14:paraId="454558BA" w14:textId="77777777" w:rsidR="005B6E32" w:rsidRPr="00E60F37" w:rsidRDefault="005B6E32" w:rsidP="00D26E19">
            <w:pPr>
              <w:pStyle w:val="SemEspaamento"/>
              <w:spacing w:line="360" w:lineRule="auto"/>
              <w:rPr>
                <w:sz w:val="20"/>
                <w:szCs w:val="20"/>
              </w:rPr>
            </w:pPr>
          </w:p>
        </w:tc>
        <w:tc>
          <w:tcPr>
            <w:tcW w:w="2403" w:type="dxa"/>
            <w:tcBorders>
              <w:top w:val="nil"/>
              <w:left w:val="nil"/>
              <w:bottom w:val="nil"/>
              <w:right w:val="nil"/>
            </w:tcBorders>
          </w:tcPr>
          <w:p w14:paraId="1069A0A1" w14:textId="77777777" w:rsidR="005B6E32" w:rsidRPr="00E60F37" w:rsidRDefault="005B6E32" w:rsidP="00D26E19">
            <w:pPr>
              <w:pStyle w:val="SemEspaamento"/>
              <w:spacing w:line="360" w:lineRule="auto"/>
              <w:rPr>
                <w:sz w:val="20"/>
                <w:szCs w:val="20"/>
              </w:rPr>
            </w:pPr>
            <w:proofErr w:type="spellStart"/>
            <w:r w:rsidRPr="00E60F37">
              <w:rPr>
                <w:sz w:val="20"/>
                <w:szCs w:val="20"/>
              </w:rPr>
              <w:t>Nem</w:t>
            </w:r>
            <w:proofErr w:type="spellEnd"/>
            <w:r w:rsidRPr="00E60F37">
              <w:rPr>
                <w:sz w:val="20"/>
                <w:szCs w:val="20"/>
              </w:rPr>
              <w:t xml:space="preserve"> </w:t>
            </w:r>
            <w:proofErr w:type="spellStart"/>
            <w:r w:rsidRPr="00E60F37">
              <w:rPr>
                <w:sz w:val="20"/>
                <w:szCs w:val="20"/>
              </w:rPr>
              <w:t>satisfeito</w:t>
            </w:r>
            <w:proofErr w:type="spellEnd"/>
            <w:r w:rsidRPr="00E60F37">
              <w:rPr>
                <w:sz w:val="20"/>
                <w:szCs w:val="20"/>
              </w:rPr>
              <w:t xml:space="preserve"> </w:t>
            </w:r>
            <w:proofErr w:type="spellStart"/>
            <w:r w:rsidRPr="00E60F37">
              <w:rPr>
                <w:sz w:val="20"/>
                <w:szCs w:val="20"/>
              </w:rPr>
              <w:t>nem</w:t>
            </w:r>
            <w:proofErr w:type="spellEnd"/>
            <w:r w:rsidRPr="00E60F37">
              <w:rPr>
                <w:sz w:val="20"/>
                <w:szCs w:val="20"/>
              </w:rPr>
              <w:t xml:space="preserve"> </w:t>
            </w:r>
            <w:proofErr w:type="spellStart"/>
            <w:r w:rsidRPr="00E60F37">
              <w:rPr>
                <w:sz w:val="20"/>
                <w:szCs w:val="20"/>
              </w:rPr>
              <w:t>insatisfeito</w:t>
            </w:r>
            <w:proofErr w:type="spellEnd"/>
          </w:p>
        </w:tc>
        <w:tc>
          <w:tcPr>
            <w:tcW w:w="2192" w:type="dxa"/>
            <w:tcBorders>
              <w:top w:val="nil"/>
              <w:left w:val="nil"/>
              <w:bottom w:val="nil"/>
              <w:right w:val="nil"/>
            </w:tcBorders>
            <w:vAlign w:val="center"/>
          </w:tcPr>
          <w:p w14:paraId="3F44062C" w14:textId="77777777" w:rsidR="005B6E32" w:rsidRPr="00E60F37" w:rsidRDefault="005B6E32" w:rsidP="00D26E19">
            <w:pPr>
              <w:pStyle w:val="SemEspaamento"/>
              <w:spacing w:line="360" w:lineRule="auto"/>
              <w:rPr>
                <w:sz w:val="20"/>
                <w:szCs w:val="20"/>
              </w:rPr>
            </w:pPr>
            <w:r w:rsidRPr="00E60F37">
              <w:rPr>
                <w:sz w:val="20"/>
                <w:szCs w:val="20"/>
              </w:rPr>
              <w:t>21</w:t>
            </w:r>
          </w:p>
        </w:tc>
        <w:tc>
          <w:tcPr>
            <w:tcW w:w="2326" w:type="dxa"/>
            <w:tcBorders>
              <w:top w:val="nil"/>
              <w:left w:val="nil"/>
              <w:bottom w:val="nil"/>
            </w:tcBorders>
            <w:vAlign w:val="center"/>
          </w:tcPr>
          <w:p w14:paraId="2FAD9CFA" w14:textId="77777777" w:rsidR="005B6E32" w:rsidRPr="00E60F37" w:rsidRDefault="005B6E32" w:rsidP="00D26E19">
            <w:pPr>
              <w:pStyle w:val="SemEspaamento"/>
              <w:spacing w:line="360" w:lineRule="auto"/>
              <w:rPr>
                <w:sz w:val="20"/>
                <w:szCs w:val="20"/>
              </w:rPr>
            </w:pPr>
            <w:r w:rsidRPr="00E60F37">
              <w:rPr>
                <w:sz w:val="20"/>
                <w:szCs w:val="20"/>
              </w:rPr>
              <w:t>28,4%</w:t>
            </w:r>
          </w:p>
        </w:tc>
      </w:tr>
      <w:tr w:rsidR="005B6E32" w:rsidRPr="00E60F37" w14:paraId="29BA61C4" w14:textId="77777777" w:rsidTr="00D26E19">
        <w:tc>
          <w:tcPr>
            <w:tcW w:w="2105" w:type="dxa"/>
            <w:vMerge/>
            <w:tcBorders>
              <w:right w:val="nil"/>
            </w:tcBorders>
          </w:tcPr>
          <w:p w14:paraId="731F18B2" w14:textId="77777777" w:rsidR="005B6E32" w:rsidRPr="00E60F37" w:rsidRDefault="005B6E32" w:rsidP="00D26E19">
            <w:pPr>
              <w:pStyle w:val="SemEspaamento"/>
              <w:spacing w:line="360" w:lineRule="auto"/>
              <w:rPr>
                <w:sz w:val="20"/>
                <w:szCs w:val="20"/>
              </w:rPr>
            </w:pPr>
          </w:p>
        </w:tc>
        <w:tc>
          <w:tcPr>
            <w:tcW w:w="2403" w:type="dxa"/>
            <w:tcBorders>
              <w:top w:val="nil"/>
              <w:left w:val="nil"/>
              <w:bottom w:val="nil"/>
              <w:right w:val="nil"/>
            </w:tcBorders>
          </w:tcPr>
          <w:p w14:paraId="0B034B05" w14:textId="77777777" w:rsidR="005B6E32" w:rsidRPr="00E60F37" w:rsidRDefault="005B6E32" w:rsidP="00D26E19">
            <w:pPr>
              <w:pStyle w:val="SemEspaamento"/>
              <w:spacing w:line="360" w:lineRule="auto"/>
              <w:rPr>
                <w:sz w:val="20"/>
                <w:szCs w:val="20"/>
              </w:rPr>
            </w:pPr>
            <w:proofErr w:type="spellStart"/>
            <w:r w:rsidRPr="00E60F37">
              <w:rPr>
                <w:sz w:val="20"/>
                <w:szCs w:val="20"/>
              </w:rPr>
              <w:t>Insatisfeito</w:t>
            </w:r>
            <w:proofErr w:type="spellEnd"/>
          </w:p>
        </w:tc>
        <w:tc>
          <w:tcPr>
            <w:tcW w:w="2192" w:type="dxa"/>
            <w:tcBorders>
              <w:top w:val="nil"/>
              <w:left w:val="nil"/>
              <w:bottom w:val="nil"/>
              <w:right w:val="nil"/>
            </w:tcBorders>
          </w:tcPr>
          <w:p w14:paraId="1861B717" w14:textId="77777777" w:rsidR="005B6E32" w:rsidRPr="00E60F37" w:rsidRDefault="005B6E32" w:rsidP="00D26E19">
            <w:pPr>
              <w:pStyle w:val="SemEspaamento"/>
              <w:spacing w:line="360" w:lineRule="auto"/>
              <w:rPr>
                <w:sz w:val="20"/>
                <w:szCs w:val="20"/>
              </w:rPr>
            </w:pPr>
            <w:r w:rsidRPr="00E60F37">
              <w:rPr>
                <w:sz w:val="20"/>
                <w:szCs w:val="20"/>
              </w:rPr>
              <w:t>11</w:t>
            </w:r>
          </w:p>
        </w:tc>
        <w:tc>
          <w:tcPr>
            <w:tcW w:w="2326" w:type="dxa"/>
            <w:tcBorders>
              <w:top w:val="nil"/>
              <w:left w:val="nil"/>
              <w:bottom w:val="nil"/>
            </w:tcBorders>
          </w:tcPr>
          <w:p w14:paraId="77B9B0A3" w14:textId="77777777" w:rsidR="005B6E32" w:rsidRPr="00E60F37" w:rsidRDefault="005B6E32" w:rsidP="00D26E19">
            <w:pPr>
              <w:pStyle w:val="SemEspaamento"/>
              <w:spacing w:line="360" w:lineRule="auto"/>
              <w:rPr>
                <w:sz w:val="20"/>
                <w:szCs w:val="20"/>
              </w:rPr>
            </w:pPr>
            <w:r w:rsidRPr="00E60F37">
              <w:rPr>
                <w:sz w:val="20"/>
                <w:szCs w:val="20"/>
              </w:rPr>
              <w:t>14,9%</w:t>
            </w:r>
          </w:p>
        </w:tc>
      </w:tr>
      <w:tr w:rsidR="005B6E32" w:rsidRPr="00E60F37" w14:paraId="7307E4F3" w14:textId="77777777" w:rsidTr="00D26E19">
        <w:tc>
          <w:tcPr>
            <w:tcW w:w="2105" w:type="dxa"/>
            <w:vMerge/>
            <w:tcBorders>
              <w:bottom w:val="single" w:sz="4" w:space="0" w:color="auto"/>
              <w:right w:val="nil"/>
            </w:tcBorders>
          </w:tcPr>
          <w:p w14:paraId="6E455C1D" w14:textId="77777777" w:rsidR="005B6E32" w:rsidRPr="00E60F37" w:rsidRDefault="005B6E32" w:rsidP="00D26E19">
            <w:pPr>
              <w:pStyle w:val="SemEspaamento"/>
              <w:spacing w:line="360" w:lineRule="auto"/>
              <w:rPr>
                <w:sz w:val="20"/>
                <w:szCs w:val="20"/>
              </w:rPr>
            </w:pPr>
          </w:p>
        </w:tc>
        <w:tc>
          <w:tcPr>
            <w:tcW w:w="2403" w:type="dxa"/>
            <w:tcBorders>
              <w:top w:val="nil"/>
              <w:left w:val="nil"/>
              <w:bottom w:val="single" w:sz="4" w:space="0" w:color="auto"/>
              <w:right w:val="nil"/>
            </w:tcBorders>
          </w:tcPr>
          <w:p w14:paraId="75EBC269" w14:textId="77777777" w:rsidR="005B6E32" w:rsidRPr="00E60F37" w:rsidRDefault="005B6E32" w:rsidP="00D26E19">
            <w:pPr>
              <w:pStyle w:val="SemEspaamento"/>
              <w:spacing w:line="360" w:lineRule="auto"/>
              <w:rPr>
                <w:sz w:val="20"/>
                <w:szCs w:val="20"/>
              </w:rPr>
            </w:pPr>
            <w:proofErr w:type="spellStart"/>
            <w:r w:rsidRPr="00E60F37">
              <w:rPr>
                <w:sz w:val="20"/>
                <w:szCs w:val="20"/>
              </w:rPr>
              <w:t>Muito</w:t>
            </w:r>
            <w:proofErr w:type="spellEnd"/>
            <w:r w:rsidRPr="00E60F37">
              <w:rPr>
                <w:sz w:val="20"/>
                <w:szCs w:val="20"/>
              </w:rPr>
              <w:t xml:space="preserve"> </w:t>
            </w:r>
            <w:proofErr w:type="spellStart"/>
            <w:r w:rsidRPr="00E60F37">
              <w:rPr>
                <w:sz w:val="20"/>
                <w:szCs w:val="20"/>
              </w:rPr>
              <w:t>Insatisfeito</w:t>
            </w:r>
            <w:proofErr w:type="spellEnd"/>
          </w:p>
        </w:tc>
        <w:tc>
          <w:tcPr>
            <w:tcW w:w="2192" w:type="dxa"/>
            <w:tcBorders>
              <w:top w:val="nil"/>
              <w:left w:val="nil"/>
              <w:bottom w:val="single" w:sz="4" w:space="0" w:color="auto"/>
              <w:right w:val="nil"/>
            </w:tcBorders>
          </w:tcPr>
          <w:p w14:paraId="708E3C57" w14:textId="77777777" w:rsidR="005B6E32" w:rsidRPr="00E60F37" w:rsidRDefault="005B6E32" w:rsidP="00D26E19">
            <w:pPr>
              <w:pStyle w:val="SemEspaamento"/>
              <w:spacing w:line="360" w:lineRule="auto"/>
              <w:rPr>
                <w:sz w:val="20"/>
                <w:szCs w:val="20"/>
              </w:rPr>
            </w:pPr>
            <w:r w:rsidRPr="00E60F37">
              <w:rPr>
                <w:sz w:val="20"/>
                <w:szCs w:val="20"/>
              </w:rPr>
              <w:t>1</w:t>
            </w:r>
          </w:p>
        </w:tc>
        <w:tc>
          <w:tcPr>
            <w:tcW w:w="2326" w:type="dxa"/>
            <w:tcBorders>
              <w:top w:val="nil"/>
              <w:left w:val="nil"/>
              <w:bottom w:val="single" w:sz="4" w:space="0" w:color="auto"/>
            </w:tcBorders>
          </w:tcPr>
          <w:p w14:paraId="1BADBBBC" w14:textId="77777777" w:rsidR="005B6E32" w:rsidRPr="00E60F37" w:rsidRDefault="005B6E32" w:rsidP="00D26E19">
            <w:pPr>
              <w:pStyle w:val="SemEspaamento"/>
              <w:spacing w:line="360" w:lineRule="auto"/>
              <w:rPr>
                <w:sz w:val="20"/>
                <w:szCs w:val="20"/>
              </w:rPr>
            </w:pPr>
            <w:r w:rsidRPr="00E60F37">
              <w:rPr>
                <w:sz w:val="20"/>
                <w:szCs w:val="20"/>
              </w:rPr>
              <w:t>1,4%</w:t>
            </w:r>
          </w:p>
        </w:tc>
      </w:tr>
      <w:tr w:rsidR="005B6E32" w:rsidRPr="00E60F37" w14:paraId="24D9C706" w14:textId="77777777" w:rsidTr="00D26E19">
        <w:tc>
          <w:tcPr>
            <w:tcW w:w="2105" w:type="dxa"/>
            <w:tcBorders>
              <w:bottom w:val="nil"/>
              <w:right w:val="nil"/>
            </w:tcBorders>
          </w:tcPr>
          <w:p w14:paraId="10E72D53" w14:textId="77777777" w:rsidR="005B6E32" w:rsidRPr="00E60F37" w:rsidRDefault="005B6E32" w:rsidP="00D26E19">
            <w:pPr>
              <w:pStyle w:val="SemEspaamento"/>
              <w:spacing w:line="360" w:lineRule="auto"/>
              <w:rPr>
                <w:sz w:val="20"/>
                <w:szCs w:val="20"/>
              </w:rPr>
            </w:pPr>
          </w:p>
        </w:tc>
        <w:tc>
          <w:tcPr>
            <w:tcW w:w="2403" w:type="dxa"/>
            <w:tcBorders>
              <w:top w:val="single" w:sz="4" w:space="0" w:color="auto"/>
              <w:left w:val="nil"/>
              <w:bottom w:val="nil"/>
              <w:right w:val="nil"/>
            </w:tcBorders>
          </w:tcPr>
          <w:p w14:paraId="0FC28420" w14:textId="77777777" w:rsidR="005B6E32" w:rsidRPr="00E60F37" w:rsidRDefault="005B6E32" w:rsidP="00D26E19">
            <w:pPr>
              <w:pStyle w:val="SemEspaamento"/>
              <w:spacing w:line="360" w:lineRule="auto"/>
              <w:rPr>
                <w:sz w:val="20"/>
                <w:szCs w:val="20"/>
              </w:rPr>
            </w:pPr>
            <w:proofErr w:type="spellStart"/>
            <w:r w:rsidRPr="00E60F37">
              <w:rPr>
                <w:sz w:val="20"/>
                <w:szCs w:val="20"/>
              </w:rPr>
              <w:t>Completamente</w:t>
            </w:r>
            <w:proofErr w:type="spellEnd"/>
          </w:p>
        </w:tc>
        <w:tc>
          <w:tcPr>
            <w:tcW w:w="2192" w:type="dxa"/>
            <w:tcBorders>
              <w:top w:val="single" w:sz="4" w:space="0" w:color="auto"/>
              <w:left w:val="nil"/>
              <w:bottom w:val="nil"/>
              <w:right w:val="nil"/>
            </w:tcBorders>
          </w:tcPr>
          <w:p w14:paraId="3453713B" w14:textId="77777777" w:rsidR="005B6E32" w:rsidRPr="00E60F37" w:rsidRDefault="005B6E32" w:rsidP="00D26E19">
            <w:pPr>
              <w:pStyle w:val="SemEspaamento"/>
              <w:spacing w:line="360" w:lineRule="auto"/>
              <w:rPr>
                <w:sz w:val="20"/>
                <w:szCs w:val="20"/>
              </w:rPr>
            </w:pPr>
            <w:r w:rsidRPr="00E60F37">
              <w:rPr>
                <w:sz w:val="20"/>
                <w:szCs w:val="20"/>
              </w:rPr>
              <w:t>2</w:t>
            </w:r>
          </w:p>
        </w:tc>
        <w:tc>
          <w:tcPr>
            <w:tcW w:w="2326" w:type="dxa"/>
            <w:tcBorders>
              <w:top w:val="single" w:sz="4" w:space="0" w:color="auto"/>
              <w:left w:val="nil"/>
              <w:bottom w:val="nil"/>
            </w:tcBorders>
          </w:tcPr>
          <w:p w14:paraId="002BA15B" w14:textId="77777777" w:rsidR="005B6E32" w:rsidRPr="00E60F37" w:rsidRDefault="005B6E32" w:rsidP="00D26E19">
            <w:pPr>
              <w:pStyle w:val="SemEspaamento"/>
              <w:spacing w:line="360" w:lineRule="auto"/>
              <w:rPr>
                <w:sz w:val="20"/>
                <w:szCs w:val="20"/>
              </w:rPr>
            </w:pPr>
            <w:r w:rsidRPr="00E60F37">
              <w:rPr>
                <w:sz w:val="20"/>
                <w:szCs w:val="20"/>
              </w:rPr>
              <w:t>2,7%</w:t>
            </w:r>
          </w:p>
        </w:tc>
      </w:tr>
      <w:tr w:rsidR="005B6E32" w:rsidRPr="00E60F37" w14:paraId="4101E864" w14:textId="77777777" w:rsidTr="00D26E19">
        <w:tc>
          <w:tcPr>
            <w:tcW w:w="2105" w:type="dxa"/>
            <w:tcBorders>
              <w:top w:val="nil"/>
              <w:bottom w:val="nil"/>
              <w:right w:val="nil"/>
            </w:tcBorders>
          </w:tcPr>
          <w:p w14:paraId="51B4F60A" w14:textId="77777777" w:rsidR="005B6E32" w:rsidRPr="00E60F37" w:rsidRDefault="005B6E32" w:rsidP="00D26E19">
            <w:pPr>
              <w:pStyle w:val="SemEspaamento"/>
              <w:spacing w:line="360" w:lineRule="auto"/>
              <w:rPr>
                <w:sz w:val="20"/>
                <w:szCs w:val="20"/>
              </w:rPr>
            </w:pPr>
          </w:p>
        </w:tc>
        <w:tc>
          <w:tcPr>
            <w:tcW w:w="2403" w:type="dxa"/>
            <w:tcBorders>
              <w:top w:val="nil"/>
              <w:left w:val="nil"/>
              <w:bottom w:val="nil"/>
              <w:right w:val="nil"/>
            </w:tcBorders>
          </w:tcPr>
          <w:p w14:paraId="264FC316" w14:textId="77777777" w:rsidR="005B6E32" w:rsidRPr="00E60F37" w:rsidRDefault="005B6E32" w:rsidP="00D26E19">
            <w:pPr>
              <w:pStyle w:val="SemEspaamento"/>
              <w:spacing w:line="360" w:lineRule="auto"/>
              <w:rPr>
                <w:sz w:val="20"/>
                <w:szCs w:val="20"/>
              </w:rPr>
            </w:pPr>
            <w:proofErr w:type="spellStart"/>
            <w:r w:rsidRPr="00E60F37">
              <w:rPr>
                <w:sz w:val="20"/>
                <w:szCs w:val="20"/>
              </w:rPr>
              <w:t>Muito</w:t>
            </w:r>
            <w:proofErr w:type="spellEnd"/>
          </w:p>
        </w:tc>
        <w:tc>
          <w:tcPr>
            <w:tcW w:w="2192" w:type="dxa"/>
            <w:tcBorders>
              <w:top w:val="nil"/>
              <w:left w:val="nil"/>
              <w:bottom w:val="nil"/>
              <w:right w:val="nil"/>
            </w:tcBorders>
          </w:tcPr>
          <w:p w14:paraId="5CFBFA95" w14:textId="77777777" w:rsidR="005B6E32" w:rsidRPr="00E60F37" w:rsidRDefault="005B6E32" w:rsidP="00D26E19">
            <w:pPr>
              <w:pStyle w:val="SemEspaamento"/>
              <w:spacing w:line="360" w:lineRule="auto"/>
              <w:rPr>
                <w:sz w:val="20"/>
                <w:szCs w:val="20"/>
              </w:rPr>
            </w:pPr>
            <w:r w:rsidRPr="00E60F37">
              <w:rPr>
                <w:sz w:val="20"/>
                <w:szCs w:val="20"/>
              </w:rPr>
              <w:t>22</w:t>
            </w:r>
          </w:p>
        </w:tc>
        <w:tc>
          <w:tcPr>
            <w:tcW w:w="2326" w:type="dxa"/>
            <w:tcBorders>
              <w:top w:val="nil"/>
              <w:left w:val="nil"/>
              <w:bottom w:val="nil"/>
            </w:tcBorders>
          </w:tcPr>
          <w:p w14:paraId="49C90CEE" w14:textId="77777777" w:rsidR="005B6E32" w:rsidRPr="00E60F37" w:rsidRDefault="005B6E32" w:rsidP="00D26E19">
            <w:pPr>
              <w:pStyle w:val="SemEspaamento"/>
              <w:spacing w:line="360" w:lineRule="auto"/>
              <w:rPr>
                <w:sz w:val="20"/>
                <w:szCs w:val="20"/>
              </w:rPr>
            </w:pPr>
            <w:r w:rsidRPr="00E60F37">
              <w:rPr>
                <w:sz w:val="20"/>
                <w:szCs w:val="20"/>
              </w:rPr>
              <w:t>29,7%</w:t>
            </w:r>
          </w:p>
        </w:tc>
      </w:tr>
      <w:tr w:rsidR="005B6E32" w:rsidRPr="00E60F37" w14:paraId="7B049E71" w14:textId="77777777" w:rsidTr="00D26E19">
        <w:tc>
          <w:tcPr>
            <w:tcW w:w="2105" w:type="dxa"/>
            <w:tcBorders>
              <w:top w:val="nil"/>
              <w:bottom w:val="nil"/>
              <w:right w:val="nil"/>
            </w:tcBorders>
            <w:vAlign w:val="center"/>
          </w:tcPr>
          <w:p w14:paraId="013D2DAE"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Energia</w:t>
            </w:r>
            <w:proofErr w:type="spellEnd"/>
          </w:p>
        </w:tc>
        <w:tc>
          <w:tcPr>
            <w:tcW w:w="2403" w:type="dxa"/>
            <w:tcBorders>
              <w:top w:val="nil"/>
              <w:left w:val="nil"/>
              <w:bottom w:val="nil"/>
              <w:right w:val="nil"/>
            </w:tcBorders>
          </w:tcPr>
          <w:p w14:paraId="230E2E86" w14:textId="77777777" w:rsidR="005B6E32" w:rsidRPr="00E60F37" w:rsidRDefault="005B6E32" w:rsidP="00D26E19">
            <w:pPr>
              <w:pStyle w:val="SemEspaamento"/>
              <w:spacing w:line="360" w:lineRule="auto"/>
              <w:rPr>
                <w:sz w:val="20"/>
                <w:szCs w:val="20"/>
              </w:rPr>
            </w:pPr>
            <w:proofErr w:type="spellStart"/>
            <w:r w:rsidRPr="00E60F37">
              <w:rPr>
                <w:sz w:val="20"/>
                <w:szCs w:val="20"/>
              </w:rPr>
              <w:t>Médio</w:t>
            </w:r>
            <w:proofErr w:type="spellEnd"/>
          </w:p>
        </w:tc>
        <w:tc>
          <w:tcPr>
            <w:tcW w:w="2192" w:type="dxa"/>
            <w:tcBorders>
              <w:top w:val="nil"/>
              <w:left w:val="nil"/>
              <w:bottom w:val="nil"/>
              <w:right w:val="nil"/>
            </w:tcBorders>
          </w:tcPr>
          <w:p w14:paraId="721B9B00" w14:textId="77777777" w:rsidR="005B6E32" w:rsidRPr="00E60F37" w:rsidRDefault="005B6E32" w:rsidP="00D26E19">
            <w:pPr>
              <w:pStyle w:val="SemEspaamento"/>
              <w:spacing w:line="360" w:lineRule="auto"/>
              <w:rPr>
                <w:sz w:val="20"/>
                <w:szCs w:val="20"/>
              </w:rPr>
            </w:pPr>
            <w:r w:rsidRPr="00E60F37">
              <w:rPr>
                <w:sz w:val="20"/>
                <w:szCs w:val="20"/>
              </w:rPr>
              <w:t>37</w:t>
            </w:r>
          </w:p>
        </w:tc>
        <w:tc>
          <w:tcPr>
            <w:tcW w:w="2326" w:type="dxa"/>
            <w:tcBorders>
              <w:top w:val="nil"/>
              <w:left w:val="nil"/>
              <w:bottom w:val="nil"/>
            </w:tcBorders>
          </w:tcPr>
          <w:p w14:paraId="28164FEA" w14:textId="77777777" w:rsidR="005B6E32" w:rsidRPr="00E60F37" w:rsidRDefault="005B6E32" w:rsidP="00D26E19">
            <w:pPr>
              <w:pStyle w:val="SemEspaamento"/>
              <w:spacing w:line="360" w:lineRule="auto"/>
              <w:rPr>
                <w:sz w:val="20"/>
                <w:szCs w:val="20"/>
              </w:rPr>
            </w:pPr>
            <w:r w:rsidRPr="00E60F37">
              <w:rPr>
                <w:sz w:val="20"/>
                <w:szCs w:val="20"/>
              </w:rPr>
              <w:t>50%</w:t>
            </w:r>
          </w:p>
        </w:tc>
      </w:tr>
      <w:tr w:rsidR="005B6E32" w:rsidRPr="00E60F37" w14:paraId="3F1C9473" w14:textId="77777777" w:rsidTr="00D26E19">
        <w:tc>
          <w:tcPr>
            <w:tcW w:w="2105" w:type="dxa"/>
            <w:tcBorders>
              <w:top w:val="nil"/>
              <w:bottom w:val="nil"/>
              <w:right w:val="nil"/>
            </w:tcBorders>
          </w:tcPr>
          <w:p w14:paraId="7B3F5E77" w14:textId="77777777" w:rsidR="005B6E32" w:rsidRPr="00E60F37" w:rsidRDefault="005B6E32" w:rsidP="00D26E19">
            <w:pPr>
              <w:pStyle w:val="SemEspaamento"/>
              <w:spacing w:line="360" w:lineRule="auto"/>
              <w:rPr>
                <w:sz w:val="20"/>
                <w:szCs w:val="20"/>
              </w:rPr>
            </w:pPr>
          </w:p>
        </w:tc>
        <w:tc>
          <w:tcPr>
            <w:tcW w:w="2403" w:type="dxa"/>
            <w:tcBorders>
              <w:top w:val="nil"/>
              <w:left w:val="nil"/>
              <w:bottom w:val="nil"/>
              <w:right w:val="nil"/>
            </w:tcBorders>
          </w:tcPr>
          <w:p w14:paraId="49180087" w14:textId="77777777" w:rsidR="005B6E32" w:rsidRPr="00E60F37" w:rsidRDefault="005B6E32" w:rsidP="00D26E19">
            <w:pPr>
              <w:pStyle w:val="SemEspaamento"/>
              <w:spacing w:line="360" w:lineRule="auto"/>
              <w:rPr>
                <w:sz w:val="20"/>
                <w:szCs w:val="20"/>
              </w:rPr>
            </w:pPr>
            <w:proofErr w:type="spellStart"/>
            <w:r w:rsidRPr="00E60F37">
              <w:rPr>
                <w:sz w:val="20"/>
                <w:szCs w:val="20"/>
              </w:rPr>
              <w:t>Muito</w:t>
            </w:r>
            <w:proofErr w:type="spellEnd"/>
            <w:r w:rsidRPr="00E60F37">
              <w:rPr>
                <w:sz w:val="20"/>
                <w:szCs w:val="20"/>
              </w:rPr>
              <w:t xml:space="preserve"> </w:t>
            </w:r>
            <w:proofErr w:type="spellStart"/>
            <w:r w:rsidRPr="00E60F37">
              <w:rPr>
                <w:sz w:val="20"/>
                <w:szCs w:val="20"/>
              </w:rPr>
              <w:t>Pouco</w:t>
            </w:r>
            <w:proofErr w:type="spellEnd"/>
          </w:p>
        </w:tc>
        <w:tc>
          <w:tcPr>
            <w:tcW w:w="2192" w:type="dxa"/>
            <w:tcBorders>
              <w:top w:val="nil"/>
              <w:left w:val="nil"/>
              <w:bottom w:val="nil"/>
              <w:right w:val="nil"/>
            </w:tcBorders>
          </w:tcPr>
          <w:p w14:paraId="38D91A47" w14:textId="77777777" w:rsidR="005B6E32" w:rsidRPr="00E60F37" w:rsidRDefault="005B6E32" w:rsidP="00D26E19">
            <w:pPr>
              <w:pStyle w:val="SemEspaamento"/>
              <w:spacing w:line="360" w:lineRule="auto"/>
              <w:rPr>
                <w:sz w:val="20"/>
                <w:szCs w:val="20"/>
              </w:rPr>
            </w:pPr>
            <w:r w:rsidRPr="00E60F37">
              <w:rPr>
                <w:sz w:val="20"/>
                <w:szCs w:val="20"/>
              </w:rPr>
              <w:t>12</w:t>
            </w:r>
          </w:p>
        </w:tc>
        <w:tc>
          <w:tcPr>
            <w:tcW w:w="2326" w:type="dxa"/>
            <w:tcBorders>
              <w:top w:val="nil"/>
              <w:left w:val="nil"/>
              <w:bottom w:val="nil"/>
            </w:tcBorders>
          </w:tcPr>
          <w:p w14:paraId="7BD1EA75" w14:textId="77777777" w:rsidR="005B6E32" w:rsidRPr="00E60F37" w:rsidRDefault="005B6E32" w:rsidP="00D26E19">
            <w:pPr>
              <w:pStyle w:val="SemEspaamento"/>
              <w:spacing w:line="360" w:lineRule="auto"/>
              <w:rPr>
                <w:sz w:val="20"/>
                <w:szCs w:val="20"/>
              </w:rPr>
            </w:pPr>
            <w:r w:rsidRPr="00E60F37">
              <w:rPr>
                <w:sz w:val="20"/>
                <w:szCs w:val="20"/>
              </w:rPr>
              <w:t>16,2%</w:t>
            </w:r>
          </w:p>
        </w:tc>
      </w:tr>
      <w:tr w:rsidR="005B6E32" w:rsidRPr="00E60F37" w14:paraId="473CFBA6" w14:textId="77777777" w:rsidTr="00D26E19">
        <w:tc>
          <w:tcPr>
            <w:tcW w:w="2105" w:type="dxa"/>
            <w:tcBorders>
              <w:top w:val="nil"/>
              <w:bottom w:val="single" w:sz="4" w:space="0" w:color="auto"/>
              <w:right w:val="nil"/>
            </w:tcBorders>
          </w:tcPr>
          <w:p w14:paraId="4677C2B0" w14:textId="77777777" w:rsidR="005B6E32" w:rsidRPr="00E60F37" w:rsidRDefault="005B6E32" w:rsidP="00D26E19">
            <w:pPr>
              <w:pStyle w:val="SemEspaamento"/>
              <w:spacing w:line="360" w:lineRule="auto"/>
              <w:rPr>
                <w:sz w:val="20"/>
                <w:szCs w:val="20"/>
              </w:rPr>
            </w:pPr>
          </w:p>
        </w:tc>
        <w:tc>
          <w:tcPr>
            <w:tcW w:w="2403" w:type="dxa"/>
            <w:tcBorders>
              <w:top w:val="nil"/>
              <w:left w:val="nil"/>
              <w:bottom w:val="single" w:sz="4" w:space="0" w:color="auto"/>
              <w:right w:val="nil"/>
            </w:tcBorders>
          </w:tcPr>
          <w:p w14:paraId="7B74BBA4" w14:textId="77777777" w:rsidR="005B6E32" w:rsidRPr="00E60F37" w:rsidRDefault="005B6E32" w:rsidP="00D26E19">
            <w:pPr>
              <w:pStyle w:val="SemEspaamento"/>
              <w:spacing w:line="360" w:lineRule="auto"/>
              <w:rPr>
                <w:sz w:val="20"/>
                <w:szCs w:val="20"/>
              </w:rPr>
            </w:pPr>
            <w:r w:rsidRPr="00E60F37">
              <w:rPr>
                <w:sz w:val="20"/>
                <w:szCs w:val="20"/>
              </w:rPr>
              <w:t>Nada</w:t>
            </w:r>
          </w:p>
        </w:tc>
        <w:tc>
          <w:tcPr>
            <w:tcW w:w="2192" w:type="dxa"/>
            <w:tcBorders>
              <w:top w:val="nil"/>
              <w:left w:val="nil"/>
              <w:bottom w:val="single" w:sz="4" w:space="0" w:color="auto"/>
              <w:right w:val="nil"/>
            </w:tcBorders>
          </w:tcPr>
          <w:p w14:paraId="484F7D63" w14:textId="77777777" w:rsidR="005B6E32" w:rsidRPr="00E60F37" w:rsidRDefault="005B6E32" w:rsidP="00D26E19">
            <w:pPr>
              <w:pStyle w:val="SemEspaamento"/>
              <w:spacing w:line="360" w:lineRule="auto"/>
              <w:rPr>
                <w:sz w:val="20"/>
                <w:szCs w:val="20"/>
              </w:rPr>
            </w:pPr>
            <w:r w:rsidRPr="00E60F37">
              <w:rPr>
                <w:sz w:val="20"/>
                <w:szCs w:val="20"/>
              </w:rPr>
              <w:t>1</w:t>
            </w:r>
          </w:p>
        </w:tc>
        <w:tc>
          <w:tcPr>
            <w:tcW w:w="2326" w:type="dxa"/>
            <w:tcBorders>
              <w:top w:val="nil"/>
              <w:left w:val="nil"/>
              <w:bottom w:val="single" w:sz="4" w:space="0" w:color="auto"/>
            </w:tcBorders>
          </w:tcPr>
          <w:p w14:paraId="2C8A0DB7" w14:textId="77777777" w:rsidR="005B6E32" w:rsidRPr="00E60F37" w:rsidRDefault="005B6E32" w:rsidP="00D26E19">
            <w:pPr>
              <w:pStyle w:val="SemEspaamento"/>
              <w:spacing w:line="360" w:lineRule="auto"/>
              <w:rPr>
                <w:sz w:val="20"/>
                <w:szCs w:val="20"/>
              </w:rPr>
            </w:pPr>
            <w:r w:rsidRPr="00E60F37">
              <w:rPr>
                <w:sz w:val="20"/>
                <w:szCs w:val="20"/>
              </w:rPr>
              <w:t>1,4%</w:t>
            </w:r>
          </w:p>
        </w:tc>
      </w:tr>
    </w:tbl>
    <w:p w14:paraId="49EC499D" w14:textId="2C2EC3F8" w:rsidR="005B6E32" w:rsidRPr="00E60F37" w:rsidRDefault="005B6E32" w:rsidP="004F23EC">
      <w:pPr>
        <w:pStyle w:val="SemEspaamento"/>
        <w:spacing w:line="360" w:lineRule="auto"/>
        <w:rPr>
          <w:sz w:val="20"/>
          <w:szCs w:val="20"/>
        </w:rPr>
      </w:pPr>
      <w:r w:rsidRPr="00E60F37">
        <w:rPr>
          <w:b/>
          <w:bCs/>
          <w:sz w:val="20"/>
          <w:szCs w:val="20"/>
        </w:rPr>
        <w:t>Fonte</w:t>
      </w:r>
      <w:r w:rsidRPr="00E60F37">
        <w:rPr>
          <w:sz w:val="20"/>
          <w:szCs w:val="20"/>
        </w:rPr>
        <w:t xml:space="preserve">: </w:t>
      </w:r>
      <w:proofErr w:type="spellStart"/>
      <w:r w:rsidRPr="00E60F37">
        <w:rPr>
          <w:sz w:val="20"/>
          <w:szCs w:val="20"/>
        </w:rPr>
        <w:t>Bertholucci</w:t>
      </w:r>
      <w:proofErr w:type="spellEnd"/>
      <w:r w:rsidRPr="00E60F37">
        <w:rPr>
          <w:sz w:val="20"/>
          <w:szCs w:val="20"/>
        </w:rPr>
        <w:t>, GP, et al., 2021.</w:t>
      </w:r>
    </w:p>
    <w:p w14:paraId="52518590" w14:textId="1920CE6C" w:rsidR="005B6E32" w:rsidRPr="004F23EC" w:rsidRDefault="005B6E32" w:rsidP="004F23EC">
      <w:pPr>
        <w:pStyle w:val="SemEspaamento"/>
        <w:spacing w:line="360" w:lineRule="auto"/>
        <w:rPr>
          <w:szCs w:val="24"/>
        </w:rPr>
      </w:pPr>
      <w:r>
        <w:rPr>
          <w:sz w:val="20"/>
          <w:szCs w:val="20"/>
        </w:rPr>
        <w:tab/>
      </w:r>
      <w:r w:rsidRPr="00E60F37">
        <w:rPr>
          <w:sz w:val="20"/>
          <w:szCs w:val="20"/>
        </w:rPr>
        <w:tab/>
      </w:r>
      <w:r w:rsidRPr="00282BA6">
        <w:rPr>
          <w:szCs w:val="24"/>
        </w:rPr>
        <w:t xml:space="preserve">Além da qualidade de vida, o questionário também avaliou, a partir da ferramenta diagnóstica </w:t>
      </w:r>
      <w:proofErr w:type="spellStart"/>
      <w:r w:rsidRPr="00282BA6">
        <w:rPr>
          <w:szCs w:val="24"/>
        </w:rPr>
        <w:t>Maslach</w:t>
      </w:r>
      <w:proofErr w:type="spellEnd"/>
      <w:r w:rsidRPr="00282BA6">
        <w:rPr>
          <w:szCs w:val="24"/>
        </w:rPr>
        <w:t xml:space="preserve"> Burnout </w:t>
      </w:r>
      <w:proofErr w:type="spellStart"/>
      <w:r w:rsidRPr="00282BA6">
        <w:rPr>
          <w:szCs w:val="24"/>
        </w:rPr>
        <w:t>Inventory</w:t>
      </w:r>
      <w:proofErr w:type="spellEnd"/>
      <w:r w:rsidRPr="00282BA6">
        <w:rPr>
          <w:szCs w:val="24"/>
        </w:rPr>
        <w:t xml:space="preserve"> (MBI), a identificação preliminar da Síndrome de Burnout nos acadêmicos de medicina da PUC-GO, no contexto da </w:t>
      </w:r>
      <w:r w:rsidRPr="00282BA6">
        <w:rPr>
          <w:szCs w:val="24"/>
        </w:rPr>
        <w:lastRenderedPageBreak/>
        <w:t>pandemia pelo COVID-19. Segundo o MBI, a maioria dos estudantes, 68,9% (n=51), encontram-se na fase inicial da Burnout, estágio em que é recomendado procurar ajuda profissional para debelar os sintomas e garantir a qualidade no seu desempenho profissional e a sua qualidade de vida. Em 17,6% (n=13), já é considerado Síndrome de Burnout instalada, estágio em que a recomendação de procurar ajuda profissional visa prevenir o agravamento dos sintomas. Além disso, a possibilidade do desenvolvimento da síndrome é realidade para 13,5% (n=10) da amostra (</w:t>
      </w:r>
      <w:r w:rsidRPr="00282BA6">
        <w:rPr>
          <w:b/>
          <w:bCs/>
          <w:szCs w:val="24"/>
        </w:rPr>
        <w:t>Tabela 3</w:t>
      </w:r>
      <w:r w:rsidRPr="00282BA6">
        <w:rPr>
          <w:szCs w:val="24"/>
        </w:rPr>
        <w:t>).</w:t>
      </w:r>
    </w:p>
    <w:p w14:paraId="1C7DBD81" w14:textId="77777777" w:rsidR="005B6E32" w:rsidRPr="00E60F37" w:rsidRDefault="005B6E32" w:rsidP="005B6E32">
      <w:pPr>
        <w:pStyle w:val="SemEspaamento"/>
        <w:spacing w:line="360" w:lineRule="auto"/>
        <w:rPr>
          <w:sz w:val="20"/>
          <w:szCs w:val="20"/>
        </w:rPr>
      </w:pPr>
      <w:r w:rsidRPr="00E60F37">
        <w:rPr>
          <w:b/>
          <w:bCs/>
          <w:sz w:val="20"/>
          <w:szCs w:val="20"/>
        </w:rPr>
        <w:t>Tabela 3</w:t>
      </w:r>
      <w:r w:rsidRPr="00E60F37">
        <w:rPr>
          <w:sz w:val="20"/>
          <w:szCs w:val="20"/>
        </w:rPr>
        <w:t xml:space="preserve"> – Perfil de indicadores de Burnout na amostra de acadêmicos de Medicina </w:t>
      </w:r>
      <w:r>
        <w:rPr>
          <w:sz w:val="20"/>
          <w:szCs w:val="20"/>
        </w:rPr>
        <w:t>de uma Universidade da região central do estado de Goiás</w:t>
      </w:r>
      <w:r w:rsidRPr="00E60F37">
        <w:rPr>
          <w:sz w:val="20"/>
          <w:szCs w:val="20"/>
        </w:rPr>
        <w:t>.</w:t>
      </w:r>
    </w:p>
    <w:tbl>
      <w:tblPr>
        <w:tblStyle w:val="Tabelacomgrade"/>
        <w:tblW w:w="0" w:type="auto"/>
        <w:tblInd w:w="10" w:type="dxa"/>
        <w:tblLook w:val="04A0" w:firstRow="1" w:lastRow="0" w:firstColumn="1" w:lastColumn="0" w:noHBand="0" w:noVBand="1"/>
      </w:tblPr>
      <w:tblGrid>
        <w:gridCol w:w="3005"/>
        <w:gridCol w:w="3005"/>
        <w:gridCol w:w="3006"/>
      </w:tblGrid>
      <w:tr w:rsidR="005B6E32" w:rsidRPr="00E60F37" w14:paraId="09738C93" w14:textId="77777777" w:rsidTr="00D26E19">
        <w:tc>
          <w:tcPr>
            <w:tcW w:w="3005" w:type="dxa"/>
            <w:tcBorders>
              <w:left w:val="nil"/>
              <w:bottom w:val="single" w:sz="4" w:space="0" w:color="auto"/>
              <w:right w:val="nil"/>
            </w:tcBorders>
          </w:tcPr>
          <w:p w14:paraId="1EDBCFB0"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Variável</w:t>
            </w:r>
            <w:proofErr w:type="spellEnd"/>
          </w:p>
        </w:tc>
        <w:tc>
          <w:tcPr>
            <w:tcW w:w="3005" w:type="dxa"/>
            <w:tcBorders>
              <w:left w:val="nil"/>
              <w:bottom w:val="single" w:sz="4" w:space="0" w:color="auto"/>
              <w:right w:val="nil"/>
            </w:tcBorders>
          </w:tcPr>
          <w:p w14:paraId="71BB53E6" w14:textId="77777777" w:rsidR="005B6E32" w:rsidRPr="00E60F37" w:rsidRDefault="005B6E32" w:rsidP="00D26E19">
            <w:pPr>
              <w:pStyle w:val="SemEspaamento"/>
              <w:spacing w:line="360" w:lineRule="auto"/>
              <w:rPr>
                <w:b/>
                <w:bCs/>
                <w:sz w:val="20"/>
                <w:szCs w:val="20"/>
              </w:rPr>
            </w:pPr>
            <w:r w:rsidRPr="00E60F37">
              <w:rPr>
                <w:b/>
                <w:bCs/>
                <w:sz w:val="20"/>
                <w:szCs w:val="20"/>
              </w:rPr>
              <w:t>N</w:t>
            </w:r>
          </w:p>
        </w:tc>
        <w:tc>
          <w:tcPr>
            <w:tcW w:w="3006" w:type="dxa"/>
            <w:tcBorders>
              <w:left w:val="nil"/>
              <w:bottom w:val="single" w:sz="4" w:space="0" w:color="auto"/>
              <w:right w:val="nil"/>
            </w:tcBorders>
          </w:tcPr>
          <w:p w14:paraId="3A8E8AE7" w14:textId="77777777" w:rsidR="005B6E32" w:rsidRPr="00E60F37" w:rsidRDefault="005B6E32" w:rsidP="00D26E19">
            <w:pPr>
              <w:pStyle w:val="SemEspaamento"/>
              <w:spacing w:line="360" w:lineRule="auto"/>
              <w:rPr>
                <w:b/>
                <w:bCs/>
                <w:sz w:val="20"/>
                <w:szCs w:val="20"/>
              </w:rPr>
            </w:pPr>
            <w:r w:rsidRPr="00E60F37">
              <w:rPr>
                <w:b/>
                <w:bCs/>
                <w:sz w:val="20"/>
                <w:szCs w:val="20"/>
              </w:rPr>
              <w:t>%</w:t>
            </w:r>
          </w:p>
        </w:tc>
      </w:tr>
      <w:tr w:rsidR="005B6E32" w:rsidRPr="00E60F37" w14:paraId="7FD9C612" w14:textId="77777777" w:rsidTr="00D26E19">
        <w:tc>
          <w:tcPr>
            <w:tcW w:w="3005" w:type="dxa"/>
            <w:tcBorders>
              <w:left w:val="nil"/>
              <w:bottom w:val="nil"/>
              <w:right w:val="nil"/>
            </w:tcBorders>
          </w:tcPr>
          <w:p w14:paraId="30E48FE9" w14:textId="77777777" w:rsidR="005B6E32" w:rsidRPr="005B6E32" w:rsidRDefault="005B6E32" w:rsidP="00D26E19">
            <w:pPr>
              <w:pStyle w:val="SemEspaamento"/>
              <w:spacing w:line="360" w:lineRule="auto"/>
              <w:rPr>
                <w:b/>
                <w:bCs/>
                <w:sz w:val="20"/>
                <w:szCs w:val="20"/>
                <w:lang w:val="pt-BR"/>
              </w:rPr>
            </w:pPr>
            <w:r w:rsidRPr="005B6E32">
              <w:rPr>
                <w:b/>
                <w:bCs/>
                <w:sz w:val="20"/>
                <w:szCs w:val="20"/>
                <w:lang w:val="pt-BR"/>
              </w:rPr>
              <w:t xml:space="preserve">Possibilidade de desenvolver Burnout </w:t>
            </w:r>
          </w:p>
          <w:p w14:paraId="4B71B370" w14:textId="77777777" w:rsidR="005B6E32" w:rsidRPr="005B6E32" w:rsidRDefault="005B6E32" w:rsidP="00D26E19">
            <w:pPr>
              <w:pStyle w:val="SemEspaamento"/>
              <w:spacing w:line="360" w:lineRule="auto"/>
              <w:rPr>
                <w:sz w:val="20"/>
                <w:szCs w:val="20"/>
                <w:lang w:val="pt-BR"/>
              </w:rPr>
            </w:pPr>
            <w:r w:rsidRPr="005B6E32">
              <w:rPr>
                <w:sz w:val="20"/>
                <w:szCs w:val="20"/>
                <w:lang w:val="pt-BR"/>
              </w:rPr>
              <w:t>(21-40 pontos no questionário)</w:t>
            </w:r>
          </w:p>
        </w:tc>
        <w:tc>
          <w:tcPr>
            <w:tcW w:w="3005" w:type="dxa"/>
            <w:tcBorders>
              <w:left w:val="nil"/>
              <w:bottom w:val="nil"/>
              <w:right w:val="nil"/>
            </w:tcBorders>
          </w:tcPr>
          <w:p w14:paraId="63FDA8B3" w14:textId="77777777" w:rsidR="005B6E32" w:rsidRPr="00E60F37" w:rsidRDefault="005B6E32" w:rsidP="00D26E19">
            <w:pPr>
              <w:pStyle w:val="SemEspaamento"/>
              <w:spacing w:line="360" w:lineRule="auto"/>
              <w:rPr>
                <w:sz w:val="20"/>
                <w:szCs w:val="20"/>
              </w:rPr>
            </w:pPr>
            <w:r w:rsidRPr="00E60F37">
              <w:rPr>
                <w:sz w:val="20"/>
                <w:szCs w:val="20"/>
              </w:rPr>
              <w:t>10</w:t>
            </w:r>
          </w:p>
        </w:tc>
        <w:tc>
          <w:tcPr>
            <w:tcW w:w="3006" w:type="dxa"/>
            <w:tcBorders>
              <w:left w:val="nil"/>
              <w:bottom w:val="nil"/>
              <w:right w:val="nil"/>
            </w:tcBorders>
          </w:tcPr>
          <w:p w14:paraId="153DD324" w14:textId="77777777" w:rsidR="005B6E32" w:rsidRPr="00E60F37" w:rsidRDefault="005B6E32" w:rsidP="00D26E19">
            <w:pPr>
              <w:pStyle w:val="SemEspaamento"/>
              <w:spacing w:line="360" w:lineRule="auto"/>
              <w:rPr>
                <w:sz w:val="20"/>
                <w:szCs w:val="20"/>
              </w:rPr>
            </w:pPr>
            <w:r w:rsidRPr="00E60F37">
              <w:rPr>
                <w:sz w:val="20"/>
                <w:szCs w:val="20"/>
              </w:rPr>
              <w:t>13,5%</w:t>
            </w:r>
          </w:p>
        </w:tc>
      </w:tr>
      <w:tr w:rsidR="005B6E32" w:rsidRPr="00E60F37" w14:paraId="012FA088" w14:textId="77777777" w:rsidTr="00D26E19">
        <w:tc>
          <w:tcPr>
            <w:tcW w:w="3005" w:type="dxa"/>
            <w:tcBorders>
              <w:top w:val="nil"/>
              <w:left w:val="nil"/>
              <w:bottom w:val="nil"/>
              <w:right w:val="nil"/>
            </w:tcBorders>
          </w:tcPr>
          <w:p w14:paraId="60909101" w14:textId="77777777" w:rsidR="005B6E32" w:rsidRPr="005B6E32" w:rsidRDefault="005B6E32" w:rsidP="00D26E19">
            <w:pPr>
              <w:pStyle w:val="SemEspaamento"/>
              <w:spacing w:line="360" w:lineRule="auto"/>
              <w:rPr>
                <w:b/>
                <w:bCs/>
                <w:sz w:val="20"/>
                <w:szCs w:val="20"/>
                <w:lang w:val="pt-BR"/>
              </w:rPr>
            </w:pPr>
            <w:r w:rsidRPr="005B6E32">
              <w:rPr>
                <w:b/>
                <w:bCs/>
                <w:sz w:val="20"/>
                <w:szCs w:val="20"/>
                <w:lang w:val="pt-BR"/>
              </w:rPr>
              <w:t>Fase Inicial de Burnout</w:t>
            </w:r>
          </w:p>
          <w:p w14:paraId="2517C5EE" w14:textId="77777777" w:rsidR="005B6E32" w:rsidRPr="005B6E32" w:rsidRDefault="005B6E32" w:rsidP="00D26E19">
            <w:pPr>
              <w:pStyle w:val="SemEspaamento"/>
              <w:spacing w:line="360" w:lineRule="auto"/>
              <w:rPr>
                <w:sz w:val="20"/>
                <w:szCs w:val="20"/>
                <w:lang w:val="pt-BR"/>
              </w:rPr>
            </w:pPr>
            <w:r w:rsidRPr="005B6E32">
              <w:rPr>
                <w:sz w:val="20"/>
                <w:szCs w:val="20"/>
                <w:lang w:val="pt-BR"/>
              </w:rPr>
              <w:t>(41-60 pontos no questionário)</w:t>
            </w:r>
          </w:p>
        </w:tc>
        <w:tc>
          <w:tcPr>
            <w:tcW w:w="3005" w:type="dxa"/>
            <w:tcBorders>
              <w:top w:val="nil"/>
              <w:left w:val="nil"/>
              <w:bottom w:val="nil"/>
              <w:right w:val="nil"/>
            </w:tcBorders>
          </w:tcPr>
          <w:p w14:paraId="1C110AE3" w14:textId="77777777" w:rsidR="005B6E32" w:rsidRPr="00E60F37" w:rsidRDefault="005B6E32" w:rsidP="00D26E19">
            <w:pPr>
              <w:pStyle w:val="SemEspaamento"/>
              <w:spacing w:line="360" w:lineRule="auto"/>
              <w:rPr>
                <w:sz w:val="20"/>
                <w:szCs w:val="20"/>
              </w:rPr>
            </w:pPr>
            <w:r w:rsidRPr="00E60F37">
              <w:rPr>
                <w:sz w:val="20"/>
                <w:szCs w:val="20"/>
              </w:rPr>
              <w:t>51</w:t>
            </w:r>
          </w:p>
        </w:tc>
        <w:tc>
          <w:tcPr>
            <w:tcW w:w="3006" w:type="dxa"/>
            <w:tcBorders>
              <w:top w:val="nil"/>
              <w:left w:val="nil"/>
              <w:bottom w:val="nil"/>
              <w:right w:val="nil"/>
            </w:tcBorders>
          </w:tcPr>
          <w:p w14:paraId="54DB6E9F" w14:textId="77777777" w:rsidR="005B6E32" w:rsidRPr="00E60F37" w:rsidRDefault="005B6E32" w:rsidP="00D26E19">
            <w:pPr>
              <w:pStyle w:val="SemEspaamento"/>
              <w:spacing w:line="360" w:lineRule="auto"/>
              <w:rPr>
                <w:sz w:val="20"/>
                <w:szCs w:val="20"/>
              </w:rPr>
            </w:pPr>
            <w:r w:rsidRPr="00E60F37">
              <w:rPr>
                <w:sz w:val="20"/>
                <w:szCs w:val="20"/>
              </w:rPr>
              <w:t>68,9%</w:t>
            </w:r>
          </w:p>
        </w:tc>
      </w:tr>
      <w:tr w:rsidR="005B6E32" w:rsidRPr="00E60F37" w14:paraId="4620B990" w14:textId="77777777" w:rsidTr="00D26E19">
        <w:tc>
          <w:tcPr>
            <w:tcW w:w="3005" w:type="dxa"/>
            <w:tcBorders>
              <w:top w:val="nil"/>
              <w:left w:val="nil"/>
              <w:right w:val="nil"/>
            </w:tcBorders>
          </w:tcPr>
          <w:p w14:paraId="1B2E41EC" w14:textId="77777777" w:rsidR="005B6E32" w:rsidRPr="005B6E32" w:rsidRDefault="005B6E32" w:rsidP="00D26E19">
            <w:pPr>
              <w:pStyle w:val="SemEspaamento"/>
              <w:spacing w:line="360" w:lineRule="auto"/>
              <w:rPr>
                <w:b/>
                <w:bCs/>
                <w:sz w:val="20"/>
                <w:szCs w:val="20"/>
                <w:lang w:val="pt-BR"/>
              </w:rPr>
            </w:pPr>
            <w:r w:rsidRPr="005B6E32">
              <w:rPr>
                <w:b/>
                <w:bCs/>
                <w:sz w:val="20"/>
                <w:szCs w:val="20"/>
                <w:lang w:val="pt-BR"/>
              </w:rPr>
              <w:t xml:space="preserve">Síndrome de Burnout instalada </w:t>
            </w:r>
          </w:p>
          <w:p w14:paraId="58A3BD45" w14:textId="77777777" w:rsidR="005B6E32" w:rsidRPr="005B6E32" w:rsidRDefault="005B6E32" w:rsidP="00D26E19">
            <w:pPr>
              <w:pStyle w:val="SemEspaamento"/>
              <w:spacing w:line="360" w:lineRule="auto"/>
              <w:rPr>
                <w:sz w:val="20"/>
                <w:szCs w:val="20"/>
                <w:lang w:val="pt-BR"/>
              </w:rPr>
            </w:pPr>
            <w:r w:rsidRPr="005B6E32">
              <w:rPr>
                <w:sz w:val="20"/>
                <w:szCs w:val="20"/>
                <w:lang w:val="pt-BR"/>
              </w:rPr>
              <w:t>(&gt;61 pontos no questionário)</w:t>
            </w:r>
          </w:p>
        </w:tc>
        <w:tc>
          <w:tcPr>
            <w:tcW w:w="3005" w:type="dxa"/>
            <w:tcBorders>
              <w:top w:val="nil"/>
              <w:left w:val="nil"/>
              <w:right w:val="nil"/>
            </w:tcBorders>
          </w:tcPr>
          <w:p w14:paraId="1CA0F0CC" w14:textId="77777777" w:rsidR="005B6E32" w:rsidRPr="00E60F37" w:rsidRDefault="005B6E32" w:rsidP="00D26E19">
            <w:pPr>
              <w:pStyle w:val="SemEspaamento"/>
              <w:spacing w:line="360" w:lineRule="auto"/>
              <w:rPr>
                <w:sz w:val="20"/>
                <w:szCs w:val="20"/>
              </w:rPr>
            </w:pPr>
            <w:r w:rsidRPr="00E60F37">
              <w:rPr>
                <w:sz w:val="20"/>
                <w:szCs w:val="20"/>
              </w:rPr>
              <w:t>13</w:t>
            </w:r>
          </w:p>
        </w:tc>
        <w:tc>
          <w:tcPr>
            <w:tcW w:w="3006" w:type="dxa"/>
            <w:tcBorders>
              <w:top w:val="nil"/>
              <w:left w:val="nil"/>
              <w:right w:val="nil"/>
            </w:tcBorders>
          </w:tcPr>
          <w:p w14:paraId="6542937B" w14:textId="77777777" w:rsidR="005B6E32" w:rsidRPr="00E60F37" w:rsidRDefault="005B6E32" w:rsidP="00D26E19">
            <w:pPr>
              <w:pStyle w:val="SemEspaamento"/>
              <w:spacing w:line="360" w:lineRule="auto"/>
              <w:rPr>
                <w:sz w:val="20"/>
                <w:szCs w:val="20"/>
              </w:rPr>
            </w:pPr>
            <w:r w:rsidRPr="00E60F37">
              <w:rPr>
                <w:sz w:val="20"/>
                <w:szCs w:val="20"/>
              </w:rPr>
              <w:t>17,6%</w:t>
            </w:r>
          </w:p>
        </w:tc>
      </w:tr>
    </w:tbl>
    <w:p w14:paraId="52E9B86F" w14:textId="7F10E867" w:rsidR="005B6E32" w:rsidRPr="00E60F37" w:rsidRDefault="005B6E32" w:rsidP="004F23EC">
      <w:pPr>
        <w:pStyle w:val="SemEspaamento"/>
        <w:spacing w:line="360" w:lineRule="auto"/>
        <w:rPr>
          <w:sz w:val="20"/>
          <w:szCs w:val="20"/>
        </w:rPr>
      </w:pPr>
      <w:r w:rsidRPr="00E60F37">
        <w:rPr>
          <w:b/>
          <w:bCs/>
          <w:sz w:val="20"/>
          <w:szCs w:val="20"/>
        </w:rPr>
        <w:t>Fonte</w:t>
      </w:r>
      <w:r w:rsidRPr="00E60F37">
        <w:rPr>
          <w:sz w:val="20"/>
          <w:szCs w:val="20"/>
        </w:rPr>
        <w:t xml:space="preserve">: </w:t>
      </w:r>
      <w:proofErr w:type="spellStart"/>
      <w:r w:rsidRPr="00E60F37">
        <w:rPr>
          <w:sz w:val="20"/>
          <w:szCs w:val="20"/>
        </w:rPr>
        <w:t>Bertholucci</w:t>
      </w:r>
      <w:proofErr w:type="spellEnd"/>
      <w:r w:rsidRPr="00E60F37">
        <w:rPr>
          <w:sz w:val="20"/>
          <w:szCs w:val="20"/>
        </w:rPr>
        <w:t>, GP, et al., 2021.</w:t>
      </w:r>
    </w:p>
    <w:p w14:paraId="4396206A" w14:textId="46B0B632" w:rsidR="005B6E32" w:rsidRPr="004F23EC" w:rsidRDefault="005B6E32" w:rsidP="004F23EC">
      <w:pPr>
        <w:pStyle w:val="SemEspaamento"/>
        <w:spacing w:line="360" w:lineRule="auto"/>
        <w:ind w:firstLine="698"/>
        <w:rPr>
          <w:szCs w:val="24"/>
        </w:rPr>
      </w:pPr>
      <w:r w:rsidRPr="00282BA6">
        <w:rPr>
          <w:szCs w:val="24"/>
        </w:rPr>
        <w:t>Ademais, foi perguntado aos acadêmicos a respeito do uso de antidepressivos e/ou ansiolíticos, sendo que a maioria, 75,7% (n=56), não usa nenhuma das opções, 10,8% (n=8) usam apenas ansiolíticos, 6,8% (n=5) usam apenas antidepressivos e 6,8% (n=5) usam ambos. Dentre os estudantes que fazem uso de pelo menos uma dessas medicações, 44,4% (n=8) iniciaram o uso da medicação há menos de 1 ano, 22,2% (n=4) há menos de 1 ano e 6 meses, 11,1% (n=2) há menos de 2 anos e 22,2% (n=4) há mais de dois anos. Ou seja, 66,7% (n= 12) desses estudantes, iniciaram o uso de antidepressivos e/ou ansiolíticos durante o período da pandemia, apesar de 77,8% (n=14) afirmar que o início da medicação não estava relacionado ao contexto da pandemia (</w:t>
      </w:r>
      <w:r w:rsidRPr="00282BA6">
        <w:rPr>
          <w:b/>
          <w:bCs/>
          <w:szCs w:val="24"/>
        </w:rPr>
        <w:t>Tabela 4</w:t>
      </w:r>
      <w:r w:rsidRPr="00282BA6">
        <w:rPr>
          <w:szCs w:val="24"/>
        </w:rPr>
        <w:t xml:space="preserve">).  </w:t>
      </w:r>
    </w:p>
    <w:p w14:paraId="71664B8F" w14:textId="77777777" w:rsidR="005B6E32" w:rsidRPr="00E60F37" w:rsidRDefault="005B6E32" w:rsidP="005B6E32">
      <w:pPr>
        <w:pStyle w:val="SemEspaamento"/>
        <w:spacing w:line="360" w:lineRule="auto"/>
        <w:rPr>
          <w:sz w:val="20"/>
          <w:szCs w:val="20"/>
        </w:rPr>
      </w:pPr>
      <w:r w:rsidRPr="00E60F37">
        <w:rPr>
          <w:b/>
          <w:bCs/>
          <w:sz w:val="20"/>
          <w:szCs w:val="20"/>
        </w:rPr>
        <w:t>Tabela 4</w:t>
      </w:r>
      <w:r w:rsidRPr="00E60F37">
        <w:rPr>
          <w:sz w:val="20"/>
          <w:szCs w:val="20"/>
        </w:rPr>
        <w:t xml:space="preserve"> – Perfil do uso de antidepressivos e/ou ansiolíticos da amostra de acadêmicos de Medicina </w:t>
      </w:r>
      <w:r>
        <w:rPr>
          <w:sz w:val="20"/>
          <w:szCs w:val="20"/>
        </w:rPr>
        <w:t>de uma Universidade da região central do estado de Goiás</w:t>
      </w:r>
      <w:r w:rsidRPr="00E60F37">
        <w:rPr>
          <w:sz w:val="20"/>
          <w:szCs w:val="20"/>
        </w:rPr>
        <w:t>.</w:t>
      </w:r>
    </w:p>
    <w:tbl>
      <w:tblPr>
        <w:tblStyle w:val="Tabelacomgrade"/>
        <w:tblW w:w="9199" w:type="dxa"/>
        <w:tblInd w:w="10" w:type="dxa"/>
        <w:tblLook w:val="04A0" w:firstRow="1" w:lastRow="0" w:firstColumn="1" w:lastColumn="0" w:noHBand="0" w:noVBand="1"/>
      </w:tblPr>
      <w:tblGrid>
        <w:gridCol w:w="2253"/>
        <w:gridCol w:w="2253"/>
        <w:gridCol w:w="2250"/>
        <w:gridCol w:w="2443"/>
      </w:tblGrid>
      <w:tr w:rsidR="005B6E32" w:rsidRPr="00E60F37" w14:paraId="0380C35C" w14:textId="77777777" w:rsidTr="00D26E19">
        <w:tc>
          <w:tcPr>
            <w:tcW w:w="4506" w:type="dxa"/>
            <w:gridSpan w:val="2"/>
            <w:tcBorders>
              <w:left w:val="nil"/>
              <w:bottom w:val="single" w:sz="4" w:space="0" w:color="auto"/>
              <w:right w:val="nil"/>
            </w:tcBorders>
            <w:vAlign w:val="center"/>
          </w:tcPr>
          <w:p w14:paraId="7C6DB0F8" w14:textId="77777777" w:rsidR="005B6E32" w:rsidRPr="00E60F37" w:rsidRDefault="005B6E32" w:rsidP="00D26E19">
            <w:pPr>
              <w:pStyle w:val="SemEspaamento"/>
              <w:spacing w:line="360" w:lineRule="auto"/>
              <w:rPr>
                <w:b/>
                <w:bCs/>
                <w:sz w:val="20"/>
                <w:szCs w:val="20"/>
              </w:rPr>
            </w:pPr>
            <w:proofErr w:type="spellStart"/>
            <w:r w:rsidRPr="00E60F37">
              <w:rPr>
                <w:b/>
                <w:bCs/>
                <w:sz w:val="20"/>
                <w:szCs w:val="20"/>
              </w:rPr>
              <w:t>Variável</w:t>
            </w:r>
            <w:proofErr w:type="spellEnd"/>
          </w:p>
        </w:tc>
        <w:tc>
          <w:tcPr>
            <w:tcW w:w="2250" w:type="dxa"/>
            <w:tcBorders>
              <w:left w:val="nil"/>
              <w:bottom w:val="single" w:sz="4" w:space="0" w:color="auto"/>
              <w:right w:val="nil"/>
            </w:tcBorders>
            <w:vAlign w:val="center"/>
          </w:tcPr>
          <w:p w14:paraId="172B1C66" w14:textId="77777777" w:rsidR="005B6E32" w:rsidRPr="00E60F37" w:rsidRDefault="005B6E32" w:rsidP="00D26E19">
            <w:pPr>
              <w:pStyle w:val="SemEspaamento"/>
              <w:spacing w:line="360" w:lineRule="auto"/>
              <w:rPr>
                <w:b/>
                <w:bCs/>
                <w:sz w:val="20"/>
                <w:szCs w:val="20"/>
              </w:rPr>
            </w:pPr>
            <w:r w:rsidRPr="00E60F37">
              <w:rPr>
                <w:b/>
                <w:bCs/>
                <w:sz w:val="20"/>
                <w:szCs w:val="20"/>
              </w:rPr>
              <w:t>N</w:t>
            </w:r>
          </w:p>
        </w:tc>
        <w:tc>
          <w:tcPr>
            <w:tcW w:w="2443" w:type="dxa"/>
            <w:tcBorders>
              <w:left w:val="nil"/>
              <w:bottom w:val="single" w:sz="4" w:space="0" w:color="auto"/>
              <w:right w:val="nil"/>
            </w:tcBorders>
            <w:vAlign w:val="center"/>
          </w:tcPr>
          <w:p w14:paraId="6BED23BC" w14:textId="77777777" w:rsidR="005B6E32" w:rsidRPr="00E60F37" w:rsidRDefault="005B6E32" w:rsidP="00D26E19">
            <w:pPr>
              <w:pStyle w:val="SemEspaamento"/>
              <w:spacing w:line="360" w:lineRule="auto"/>
              <w:rPr>
                <w:b/>
                <w:bCs/>
                <w:sz w:val="20"/>
                <w:szCs w:val="20"/>
              </w:rPr>
            </w:pPr>
            <w:r w:rsidRPr="00E60F37">
              <w:rPr>
                <w:b/>
                <w:bCs/>
                <w:sz w:val="20"/>
                <w:szCs w:val="20"/>
              </w:rPr>
              <w:t>%</w:t>
            </w:r>
          </w:p>
        </w:tc>
      </w:tr>
      <w:tr w:rsidR="005B6E32" w:rsidRPr="00E60F37" w14:paraId="7A30F64F" w14:textId="77777777" w:rsidTr="00D26E19">
        <w:tc>
          <w:tcPr>
            <w:tcW w:w="2253" w:type="dxa"/>
            <w:vMerge w:val="restart"/>
            <w:tcBorders>
              <w:top w:val="single" w:sz="4" w:space="0" w:color="auto"/>
              <w:left w:val="nil"/>
              <w:bottom w:val="nil"/>
              <w:right w:val="nil"/>
            </w:tcBorders>
            <w:vAlign w:val="center"/>
          </w:tcPr>
          <w:p w14:paraId="7DD34ECD" w14:textId="77777777" w:rsidR="005B6E32" w:rsidRPr="005B6E32" w:rsidRDefault="005B6E32" w:rsidP="00D26E19">
            <w:pPr>
              <w:pStyle w:val="SemEspaamento"/>
              <w:spacing w:line="360" w:lineRule="auto"/>
              <w:rPr>
                <w:b/>
                <w:bCs/>
                <w:sz w:val="20"/>
                <w:szCs w:val="20"/>
                <w:lang w:val="pt-BR"/>
              </w:rPr>
            </w:pPr>
            <w:r w:rsidRPr="005B6E32">
              <w:rPr>
                <w:b/>
                <w:bCs/>
                <w:sz w:val="20"/>
                <w:szCs w:val="20"/>
                <w:lang w:val="pt-BR"/>
              </w:rPr>
              <w:t>Uso de antidepressivos e/ou ansiolíticos</w:t>
            </w:r>
          </w:p>
        </w:tc>
        <w:tc>
          <w:tcPr>
            <w:tcW w:w="2253" w:type="dxa"/>
            <w:tcBorders>
              <w:top w:val="single" w:sz="4" w:space="0" w:color="auto"/>
              <w:left w:val="nil"/>
              <w:bottom w:val="nil"/>
              <w:right w:val="nil"/>
            </w:tcBorders>
            <w:vAlign w:val="center"/>
          </w:tcPr>
          <w:p w14:paraId="2E82F906" w14:textId="77777777" w:rsidR="005B6E32" w:rsidRPr="00E60F37" w:rsidRDefault="005B6E32" w:rsidP="00D26E19">
            <w:pPr>
              <w:pStyle w:val="SemEspaamento"/>
              <w:spacing w:line="360" w:lineRule="auto"/>
              <w:rPr>
                <w:sz w:val="20"/>
                <w:szCs w:val="20"/>
              </w:rPr>
            </w:pPr>
            <w:r w:rsidRPr="00E60F37">
              <w:rPr>
                <w:sz w:val="20"/>
                <w:szCs w:val="20"/>
              </w:rPr>
              <w:t>Sim</w:t>
            </w:r>
          </w:p>
        </w:tc>
        <w:tc>
          <w:tcPr>
            <w:tcW w:w="2250" w:type="dxa"/>
            <w:tcBorders>
              <w:top w:val="single" w:sz="4" w:space="0" w:color="auto"/>
              <w:left w:val="nil"/>
              <w:bottom w:val="nil"/>
              <w:right w:val="nil"/>
            </w:tcBorders>
            <w:vAlign w:val="center"/>
          </w:tcPr>
          <w:p w14:paraId="71981A0B" w14:textId="77777777" w:rsidR="005B6E32" w:rsidRPr="00E60F37" w:rsidRDefault="005B6E32" w:rsidP="00D26E19">
            <w:pPr>
              <w:pStyle w:val="SemEspaamento"/>
              <w:spacing w:line="360" w:lineRule="auto"/>
              <w:rPr>
                <w:sz w:val="20"/>
                <w:szCs w:val="20"/>
              </w:rPr>
            </w:pPr>
            <w:r w:rsidRPr="00E60F37">
              <w:rPr>
                <w:sz w:val="20"/>
                <w:szCs w:val="20"/>
              </w:rPr>
              <w:t>18</w:t>
            </w:r>
          </w:p>
        </w:tc>
        <w:tc>
          <w:tcPr>
            <w:tcW w:w="2443" w:type="dxa"/>
            <w:tcBorders>
              <w:top w:val="single" w:sz="4" w:space="0" w:color="auto"/>
              <w:left w:val="nil"/>
              <w:bottom w:val="nil"/>
              <w:right w:val="nil"/>
            </w:tcBorders>
            <w:vAlign w:val="center"/>
          </w:tcPr>
          <w:p w14:paraId="732C010B" w14:textId="77777777" w:rsidR="005B6E32" w:rsidRPr="00E60F37" w:rsidRDefault="005B6E32" w:rsidP="00D26E19">
            <w:pPr>
              <w:pStyle w:val="SemEspaamento"/>
              <w:spacing w:line="360" w:lineRule="auto"/>
              <w:rPr>
                <w:sz w:val="20"/>
                <w:szCs w:val="20"/>
              </w:rPr>
            </w:pPr>
            <w:r w:rsidRPr="00E60F37">
              <w:rPr>
                <w:sz w:val="20"/>
                <w:szCs w:val="20"/>
              </w:rPr>
              <w:t xml:space="preserve">24,3% (da </w:t>
            </w:r>
            <w:proofErr w:type="spellStart"/>
            <w:r w:rsidRPr="00E60F37">
              <w:rPr>
                <w:sz w:val="20"/>
                <w:szCs w:val="20"/>
              </w:rPr>
              <w:t>amostra</w:t>
            </w:r>
            <w:proofErr w:type="spellEnd"/>
            <w:r w:rsidRPr="00E60F37">
              <w:rPr>
                <w:sz w:val="20"/>
                <w:szCs w:val="20"/>
              </w:rPr>
              <w:t>)</w:t>
            </w:r>
          </w:p>
        </w:tc>
      </w:tr>
      <w:tr w:rsidR="005B6E32" w:rsidRPr="00E60F37" w14:paraId="7FF792E1" w14:textId="77777777" w:rsidTr="00D26E19">
        <w:tc>
          <w:tcPr>
            <w:tcW w:w="2253" w:type="dxa"/>
            <w:vMerge/>
            <w:tcBorders>
              <w:top w:val="nil"/>
              <w:left w:val="nil"/>
              <w:bottom w:val="single" w:sz="4" w:space="0" w:color="auto"/>
              <w:right w:val="nil"/>
            </w:tcBorders>
          </w:tcPr>
          <w:p w14:paraId="43662385" w14:textId="77777777" w:rsidR="005B6E32" w:rsidRPr="00E60F37" w:rsidRDefault="005B6E32" w:rsidP="00D26E19">
            <w:pPr>
              <w:pStyle w:val="SemEspaamento"/>
              <w:spacing w:line="360" w:lineRule="auto"/>
              <w:rPr>
                <w:b/>
                <w:bCs/>
                <w:sz w:val="20"/>
                <w:szCs w:val="20"/>
              </w:rPr>
            </w:pPr>
          </w:p>
        </w:tc>
        <w:tc>
          <w:tcPr>
            <w:tcW w:w="2253" w:type="dxa"/>
            <w:tcBorders>
              <w:top w:val="nil"/>
              <w:left w:val="nil"/>
              <w:bottom w:val="single" w:sz="4" w:space="0" w:color="auto"/>
              <w:right w:val="nil"/>
            </w:tcBorders>
            <w:vAlign w:val="center"/>
          </w:tcPr>
          <w:p w14:paraId="406D71AB" w14:textId="77777777" w:rsidR="005B6E32" w:rsidRPr="00E60F37" w:rsidRDefault="005B6E32" w:rsidP="00D26E19">
            <w:pPr>
              <w:pStyle w:val="SemEspaamento"/>
              <w:spacing w:line="360" w:lineRule="auto"/>
              <w:rPr>
                <w:sz w:val="20"/>
                <w:szCs w:val="20"/>
              </w:rPr>
            </w:pPr>
            <w:proofErr w:type="spellStart"/>
            <w:r w:rsidRPr="00E60F37">
              <w:rPr>
                <w:sz w:val="20"/>
                <w:szCs w:val="20"/>
              </w:rPr>
              <w:t>Não</w:t>
            </w:r>
            <w:proofErr w:type="spellEnd"/>
          </w:p>
        </w:tc>
        <w:tc>
          <w:tcPr>
            <w:tcW w:w="2250" w:type="dxa"/>
            <w:tcBorders>
              <w:top w:val="nil"/>
              <w:left w:val="nil"/>
              <w:bottom w:val="single" w:sz="4" w:space="0" w:color="auto"/>
              <w:right w:val="nil"/>
            </w:tcBorders>
            <w:vAlign w:val="center"/>
          </w:tcPr>
          <w:p w14:paraId="41AE8A7B" w14:textId="77777777" w:rsidR="005B6E32" w:rsidRPr="00E60F37" w:rsidRDefault="005B6E32" w:rsidP="00D26E19">
            <w:pPr>
              <w:pStyle w:val="SemEspaamento"/>
              <w:spacing w:line="360" w:lineRule="auto"/>
              <w:rPr>
                <w:sz w:val="20"/>
                <w:szCs w:val="20"/>
              </w:rPr>
            </w:pPr>
            <w:r w:rsidRPr="00E60F37">
              <w:rPr>
                <w:sz w:val="20"/>
                <w:szCs w:val="20"/>
              </w:rPr>
              <w:t>56</w:t>
            </w:r>
          </w:p>
        </w:tc>
        <w:tc>
          <w:tcPr>
            <w:tcW w:w="2443" w:type="dxa"/>
            <w:tcBorders>
              <w:top w:val="nil"/>
              <w:left w:val="nil"/>
              <w:bottom w:val="single" w:sz="4" w:space="0" w:color="auto"/>
              <w:right w:val="nil"/>
            </w:tcBorders>
            <w:vAlign w:val="center"/>
          </w:tcPr>
          <w:p w14:paraId="600376F6" w14:textId="77777777" w:rsidR="005B6E32" w:rsidRPr="00E60F37" w:rsidRDefault="005B6E32" w:rsidP="00D26E19">
            <w:pPr>
              <w:pStyle w:val="SemEspaamento"/>
              <w:spacing w:line="360" w:lineRule="auto"/>
              <w:rPr>
                <w:sz w:val="20"/>
                <w:szCs w:val="20"/>
              </w:rPr>
            </w:pPr>
            <w:r w:rsidRPr="00E60F37">
              <w:rPr>
                <w:sz w:val="20"/>
                <w:szCs w:val="20"/>
              </w:rPr>
              <w:t xml:space="preserve">75,7% (da </w:t>
            </w:r>
            <w:proofErr w:type="spellStart"/>
            <w:r w:rsidRPr="00E60F37">
              <w:rPr>
                <w:sz w:val="20"/>
                <w:szCs w:val="20"/>
              </w:rPr>
              <w:t>amostra</w:t>
            </w:r>
            <w:proofErr w:type="spellEnd"/>
            <w:r w:rsidRPr="00E60F37">
              <w:rPr>
                <w:sz w:val="20"/>
                <w:szCs w:val="20"/>
              </w:rPr>
              <w:t>)</w:t>
            </w:r>
          </w:p>
        </w:tc>
      </w:tr>
      <w:tr w:rsidR="005B6E32" w:rsidRPr="00E60F37" w14:paraId="4514392D" w14:textId="77777777" w:rsidTr="00D26E19">
        <w:tc>
          <w:tcPr>
            <w:tcW w:w="2253" w:type="dxa"/>
            <w:vMerge w:val="restart"/>
            <w:tcBorders>
              <w:top w:val="single" w:sz="4" w:space="0" w:color="auto"/>
              <w:left w:val="nil"/>
              <w:bottom w:val="nil"/>
              <w:right w:val="nil"/>
            </w:tcBorders>
            <w:vAlign w:val="center"/>
          </w:tcPr>
          <w:p w14:paraId="57CAC7EF" w14:textId="77777777" w:rsidR="005B6E32" w:rsidRPr="005B6E32" w:rsidRDefault="005B6E32" w:rsidP="00D26E19">
            <w:pPr>
              <w:pStyle w:val="SemEspaamento"/>
              <w:spacing w:line="360" w:lineRule="auto"/>
              <w:rPr>
                <w:b/>
                <w:bCs/>
                <w:sz w:val="20"/>
                <w:szCs w:val="20"/>
                <w:lang w:val="pt-BR"/>
              </w:rPr>
            </w:pPr>
            <w:r w:rsidRPr="005B6E32">
              <w:rPr>
                <w:b/>
                <w:bCs/>
                <w:sz w:val="20"/>
                <w:szCs w:val="20"/>
                <w:lang w:val="pt-BR"/>
              </w:rPr>
              <w:lastRenderedPageBreak/>
              <w:t>Qual das medicações faz uso</w:t>
            </w:r>
          </w:p>
        </w:tc>
        <w:tc>
          <w:tcPr>
            <w:tcW w:w="2253" w:type="dxa"/>
            <w:tcBorders>
              <w:top w:val="single" w:sz="4" w:space="0" w:color="auto"/>
              <w:left w:val="nil"/>
              <w:bottom w:val="nil"/>
              <w:right w:val="nil"/>
            </w:tcBorders>
            <w:vAlign w:val="center"/>
          </w:tcPr>
          <w:p w14:paraId="196501F4" w14:textId="77777777" w:rsidR="005B6E32" w:rsidRPr="00E60F37" w:rsidRDefault="005B6E32" w:rsidP="00D26E19">
            <w:pPr>
              <w:pStyle w:val="SemEspaamento"/>
              <w:spacing w:line="360" w:lineRule="auto"/>
              <w:rPr>
                <w:sz w:val="20"/>
                <w:szCs w:val="20"/>
              </w:rPr>
            </w:pPr>
            <w:proofErr w:type="spellStart"/>
            <w:r w:rsidRPr="00E60F37">
              <w:rPr>
                <w:sz w:val="20"/>
                <w:szCs w:val="20"/>
              </w:rPr>
              <w:t>Apenas</w:t>
            </w:r>
            <w:proofErr w:type="spellEnd"/>
            <w:r w:rsidRPr="00E60F37">
              <w:rPr>
                <w:sz w:val="20"/>
                <w:szCs w:val="20"/>
              </w:rPr>
              <w:t xml:space="preserve"> </w:t>
            </w:r>
            <w:proofErr w:type="spellStart"/>
            <w:r w:rsidRPr="00E60F37">
              <w:rPr>
                <w:sz w:val="20"/>
                <w:szCs w:val="20"/>
              </w:rPr>
              <w:t>Ansiolíticos</w:t>
            </w:r>
            <w:proofErr w:type="spellEnd"/>
          </w:p>
        </w:tc>
        <w:tc>
          <w:tcPr>
            <w:tcW w:w="2250" w:type="dxa"/>
            <w:tcBorders>
              <w:top w:val="single" w:sz="4" w:space="0" w:color="auto"/>
              <w:left w:val="nil"/>
              <w:bottom w:val="nil"/>
              <w:right w:val="nil"/>
            </w:tcBorders>
            <w:vAlign w:val="center"/>
          </w:tcPr>
          <w:p w14:paraId="5308B738" w14:textId="77777777" w:rsidR="005B6E32" w:rsidRPr="00E60F37" w:rsidRDefault="005B6E32" w:rsidP="00D26E19">
            <w:pPr>
              <w:pStyle w:val="SemEspaamento"/>
              <w:spacing w:line="360" w:lineRule="auto"/>
              <w:rPr>
                <w:sz w:val="20"/>
                <w:szCs w:val="20"/>
              </w:rPr>
            </w:pPr>
            <w:r w:rsidRPr="00E60F37">
              <w:rPr>
                <w:sz w:val="20"/>
                <w:szCs w:val="20"/>
              </w:rPr>
              <w:t>8</w:t>
            </w:r>
          </w:p>
        </w:tc>
        <w:tc>
          <w:tcPr>
            <w:tcW w:w="2443" w:type="dxa"/>
            <w:tcBorders>
              <w:top w:val="single" w:sz="4" w:space="0" w:color="auto"/>
              <w:left w:val="nil"/>
              <w:bottom w:val="nil"/>
              <w:right w:val="nil"/>
            </w:tcBorders>
            <w:vAlign w:val="center"/>
          </w:tcPr>
          <w:p w14:paraId="1069C76C" w14:textId="77777777" w:rsidR="005B6E32" w:rsidRPr="00E60F37" w:rsidRDefault="005B6E32" w:rsidP="00D26E19">
            <w:pPr>
              <w:pStyle w:val="SemEspaamento"/>
              <w:spacing w:line="360" w:lineRule="auto"/>
              <w:rPr>
                <w:sz w:val="20"/>
                <w:szCs w:val="20"/>
              </w:rPr>
            </w:pPr>
            <w:r w:rsidRPr="00E60F37">
              <w:rPr>
                <w:sz w:val="20"/>
                <w:szCs w:val="20"/>
              </w:rPr>
              <w:t xml:space="preserve">44,4% (dos que </w:t>
            </w:r>
            <w:proofErr w:type="spellStart"/>
            <w:r w:rsidRPr="00E60F37">
              <w:rPr>
                <w:sz w:val="20"/>
                <w:szCs w:val="20"/>
              </w:rPr>
              <w:t>fazem</w:t>
            </w:r>
            <w:proofErr w:type="spellEnd"/>
            <w:r w:rsidRPr="00E60F37">
              <w:rPr>
                <w:sz w:val="20"/>
                <w:szCs w:val="20"/>
              </w:rPr>
              <w:t xml:space="preserve"> </w:t>
            </w:r>
            <w:proofErr w:type="spellStart"/>
            <w:r w:rsidRPr="00E60F37">
              <w:rPr>
                <w:sz w:val="20"/>
                <w:szCs w:val="20"/>
              </w:rPr>
              <w:t>uso</w:t>
            </w:r>
            <w:proofErr w:type="spellEnd"/>
            <w:r w:rsidRPr="00E60F37">
              <w:rPr>
                <w:sz w:val="20"/>
                <w:szCs w:val="20"/>
              </w:rPr>
              <w:t>)</w:t>
            </w:r>
          </w:p>
        </w:tc>
      </w:tr>
      <w:tr w:rsidR="005B6E32" w:rsidRPr="00E60F37" w14:paraId="2F6DEB2F" w14:textId="77777777" w:rsidTr="00D26E19">
        <w:tc>
          <w:tcPr>
            <w:tcW w:w="2253" w:type="dxa"/>
            <w:vMerge/>
            <w:tcBorders>
              <w:top w:val="nil"/>
              <w:left w:val="nil"/>
              <w:bottom w:val="nil"/>
              <w:right w:val="nil"/>
            </w:tcBorders>
          </w:tcPr>
          <w:p w14:paraId="33E23D01" w14:textId="77777777" w:rsidR="005B6E32" w:rsidRPr="00E60F37" w:rsidRDefault="005B6E32" w:rsidP="00D26E19">
            <w:pPr>
              <w:pStyle w:val="SemEspaamento"/>
              <w:spacing w:line="360" w:lineRule="auto"/>
              <w:rPr>
                <w:b/>
                <w:bCs/>
                <w:sz w:val="20"/>
                <w:szCs w:val="20"/>
              </w:rPr>
            </w:pPr>
          </w:p>
        </w:tc>
        <w:tc>
          <w:tcPr>
            <w:tcW w:w="2253" w:type="dxa"/>
            <w:tcBorders>
              <w:top w:val="nil"/>
              <w:left w:val="nil"/>
              <w:bottom w:val="nil"/>
              <w:right w:val="nil"/>
            </w:tcBorders>
            <w:vAlign w:val="center"/>
          </w:tcPr>
          <w:p w14:paraId="094B180C" w14:textId="77777777" w:rsidR="005B6E32" w:rsidRPr="00E60F37" w:rsidRDefault="005B6E32" w:rsidP="00D26E19">
            <w:pPr>
              <w:pStyle w:val="SemEspaamento"/>
              <w:spacing w:line="360" w:lineRule="auto"/>
              <w:rPr>
                <w:sz w:val="20"/>
                <w:szCs w:val="20"/>
              </w:rPr>
            </w:pPr>
            <w:proofErr w:type="spellStart"/>
            <w:r w:rsidRPr="00E60F37">
              <w:rPr>
                <w:sz w:val="20"/>
                <w:szCs w:val="20"/>
              </w:rPr>
              <w:t>Apenas</w:t>
            </w:r>
            <w:proofErr w:type="spellEnd"/>
            <w:r w:rsidRPr="00E60F37">
              <w:rPr>
                <w:sz w:val="20"/>
                <w:szCs w:val="20"/>
              </w:rPr>
              <w:t xml:space="preserve"> </w:t>
            </w:r>
            <w:proofErr w:type="spellStart"/>
            <w:r w:rsidRPr="00E60F37">
              <w:rPr>
                <w:sz w:val="20"/>
                <w:szCs w:val="20"/>
              </w:rPr>
              <w:t>Antidepressivos</w:t>
            </w:r>
            <w:proofErr w:type="spellEnd"/>
          </w:p>
        </w:tc>
        <w:tc>
          <w:tcPr>
            <w:tcW w:w="2250" w:type="dxa"/>
            <w:tcBorders>
              <w:top w:val="nil"/>
              <w:left w:val="nil"/>
              <w:bottom w:val="nil"/>
              <w:right w:val="nil"/>
            </w:tcBorders>
            <w:vAlign w:val="center"/>
          </w:tcPr>
          <w:p w14:paraId="20E63F2E" w14:textId="77777777" w:rsidR="005B6E32" w:rsidRPr="00E60F37" w:rsidRDefault="005B6E32" w:rsidP="00D26E19">
            <w:pPr>
              <w:pStyle w:val="SemEspaamento"/>
              <w:spacing w:line="360" w:lineRule="auto"/>
              <w:rPr>
                <w:sz w:val="20"/>
                <w:szCs w:val="20"/>
              </w:rPr>
            </w:pPr>
            <w:r w:rsidRPr="00E60F37">
              <w:rPr>
                <w:sz w:val="20"/>
                <w:szCs w:val="20"/>
              </w:rPr>
              <w:t>5</w:t>
            </w:r>
          </w:p>
        </w:tc>
        <w:tc>
          <w:tcPr>
            <w:tcW w:w="2443" w:type="dxa"/>
            <w:tcBorders>
              <w:top w:val="nil"/>
              <w:left w:val="nil"/>
              <w:bottom w:val="nil"/>
              <w:right w:val="nil"/>
            </w:tcBorders>
            <w:vAlign w:val="center"/>
          </w:tcPr>
          <w:p w14:paraId="3C1291BE" w14:textId="77777777" w:rsidR="005B6E32" w:rsidRPr="00E60F37" w:rsidRDefault="005B6E32" w:rsidP="00D26E19">
            <w:pPr>
              <w:pStyle w:val="SemEspaamento"/>
              <w:spacing w:line="360" w:lineRule="auto"/>
              <w:rPr>
                <w:sz w:val="20"/>
                <w:szCs w:val="20"/>
              </w:rPr>
            </w:pPr>
            <w:r w:rsidRPr="00E60F37">
              <w:rPr>
                <w:sz w:val="20"/>
                <w:szCs w:val="20"/>
              </w:rPr>
              <w:t xml:space="preserve">27,8% (dos que </w:t>
            </w:r>
            <w:proofErr w:type="spellStart"/>
            <w:r w:rsidRPr="00E60F37">
              <w:rPr>
                <w:sz w:val="20"/>
                <w:szCs w:val="20"/>
              </w:rPr>
              <w:t>fazem</w:t>
            </w:r>
            <w:proofErr w:type="spellEnd"/>
            <w:r w:rsidRPr="00E60F37">
              <w:rPr>
                <w:sz w:val="20"/>
                <w:szCs w:val="20"/>
              </w:rPr>
              <w:t xml:space="preserve"> </w:t>
            </w:r>
            <w:proofErr w:type="spellStart"/>
            <w:r w:rsidRPr="00E60F37">
              <w:rPr>
                <w:sz w:val="20"/>
                <w:szCs w:val="20"/>
              </w:rPr>
              <w:t>uso</w:t>
            </w:r>
            <w:proofErr w:type="spellEnd"/>
            <w:r w:rsidRPr="00E60F37">
              <w:rPr>
                <w:sz w:val="20"/>
                <w:szCs w:val="20"/>
              </w:rPr>
              <w:t>)</w:t>
            </w:r>
          </w:p>
        </w:tc>
      </w:tr>
      <w:tr w:rsidR="005B6E32" w:rsidRPr="00E60F37" w14:paraId="050DFE6E" w14:textId="77777777" w:rsidTr="00D26E19">
        <w:tc>
          <w:tcPr>
            <w:tcW w:w="2253" w:type="dxa"/>
            <w:vMerge/>
            <w:tcBorders>
              <w:top w:val="nil"/>
              <w:left w:val="nil"/>
              <w:bottom w:val="single" w:sz="4" w:space="0" w:color="auto"/>
              <w:right w:val="nil"/>
            </w:tcBorders>
          </w:tcPr>
          <w:p w14:paraId="26E436A7" w14:textId="77777777" w:rsidR="005B6E32" w:rsidRPr="00E60F37" w:rsidRDefault="005B6E32" w:rsidP="00D26E19">
            <w:pPr>
              <w:pStyle w:val="SemEspaamento"/>
              <w:spacing w:line="360" w:lineRule="auto"/>
              <w:rPr>
                <w:b/>
                <w:bCs/>
                <w:sz w:val="20"/>
                <w:szCs w:val="20"/>
              </w:rPr>
            </w:pPr>
          </w:p>
        </w:tc>
        <w:tc>
          <w:tcPr>
            <w:tcW w:w="2253" w:type="dxa"/>
            <w:tcBorders>
              <w:top w:val="nil"/>
              <w:left w:val="nil"/>
              <w:bottom w:val="single" w:sz="4" w:space="0" w:color="auto"/>
              <w:right w:val="nil"/>
            </w:tcBorders>
            <w:vAlign w:val="center"/>
          </w:tcPr>
          <w:p w14:paraId="1C117093" w14:textId="77777777" w:rsidR="005B6E32" w:rsidRPr="00E60F37" w:rsidRDefault="005B6E32" w:rsidP="00D26E19">
            <w:pPr>
              <w:pStyle w:val="SemEspaamento"/>
              <w:spacing w:line="360" w:lineRule="auto"/>
              <w:rPr>
                <w:sz w:val="20"/>
                <w:szCs w:val="20"/>
              </w:rPr>
            </w:pPr>
            <w:r w:rsidRPr="00E60F37">
              <w:rPr>
                <w:sz w:val="20"/>
                <w:szCs w:val="20"/>
              </w:rPr>
              <w:t>Ambos</w:t>
            </w:r>
          </w:p>
        </w:tc>
        <w:tc>
          <w:tcPr>
            <w:tcW w:w="2250" w:type="dxa"/>
            <w:tcBorders>
              <w:top w:val="nil"/>
              <w:left w:val="nil"/>
              <w:bottom w:val="single" w:sz="4" w:space="0" w:color="auto"/>
              <w:right w:val="nil"/>
            </w:tcBorders>
            <w:vAlign w:val="center"/>
          </w:tcPr>
          <w:p w14:paraId="64186AF3" w14:textId="77777777" w:rsidR="005B6E32" w:rsidRPr="00E60F37" w:rsidRDefault="005B6E32" w:rsidP="00D26E19">
            <w:pPr>
              <w:pStyle w:val="SemEspaamento"/>
              <w:spacing w:line="360" w:lineRule="auto"/>
              <w:rPr>
                <w:sz w:val="20"/>
                <w:szCs w:val="20"/>
              </w:rPr>
            </w:pPr>
            <w:r w:rsidRPr="00E60F37">
              <w:rPr>
                <w:sz w:val="20"/>
                <w:szCs w:val="20"/>
              </w:rPr>
              <w:t>5</w:t>
            </w:r>
          </w:p>
        </w:tc>
        <w:tc>
          <w:tcPr>
            <w:tcW w:w="2443" w:type="dxa"/>
            <w:tcBorders>
              <w:top w:val="nil"/>
              <w:left w:val="nil"/>
              <w:bottom w:val="single" w:sz="4" w:space="0" w:color="auto"/>
              <w:right w:val="nil"/>
            </w:tcBorders>
            <w:vAlign w:val="center"/>
          </w:tcPr>
          <w:p w14:paraId="17CBEB49" w14:textId="77777777" w:rsidR="005B6E32" w:rsidRPr="00E60F37" w:rsidRDefault="005B6E32" w:rsidP="00D26E19">
            <w:pPr>
              <w:pStyle w:val="SemEspaamento"/>
              <w:spacing w:line="360" w:lineRule="auto"/>
              <w:rPr>
                <w:sz w:val="20"/>
                <w:szCs w:val="20"/>
              </w:rPr>
            </w:pPr>
            <w:r w:rsidRPr="00E60F37">
              <w:rPr>
                <w:sz w:val="20"/>
                <w:szCs w:val="20"/>
              </w:rPr>
              <w:t xml:space="preserve">27,8% (dos que </w:t>
            </w:r>
            <w:proofErr w:type="spellStart"/>
            <w:r w:rsidRPr="00E60F37">
              <w:rPr>
                <w:sz w:val="20"/>
                <w:szCs w:val="20"/>
              </w:rPr>
              <w:t>fazem</w:t>
            </w:r>
            <w:proofErr w:type="spellEnd"/>
            <w:r w:rsidRPr="00E60F37">
              <w:rPr>
                <w:sz w:val="20"/>
                <w:szCs w:val="20"/>
              </w:rPr>
              <w:t xml:space="preserve"> </w:t>
            </w:r>
            <w:proofErr w:type="spellStart"/>
            <w:r w:rsidRPr="00E60F37">
              <w:rPr>
                <w:sz w:val="20"/>
                <w:szCs w:val="20"/>
              </w:rPr>
              <w:t>uso</w:t>
            </w:r>
            <w:proofErr w:type="spellEnd"/>
            <w:r w:rsidRPr="00E60F37">
              <w:rPr>
                <w:sz w:val="20"/>
                <w:szCs w:val="20"/>
              </w:rPr>
              <w:t>)</w:t>
            </w:r>
          </w:p>
        </w:tc>
      </w:tr>
      <w:tr w:rsidR="005B6E32" w:rsidRPr="00E60F37" w14:paraId="5D7C0DC9" w14:textId="77777777" w:rsidTr="00D26E19">
        <w:tc>
          <w:tcPr>
            <w:tcW w:w="2253" w:type="dxa"/>
            <w:vMerge w:val="restart"/>
            <w:tcBorders>
              <w:top w:val="single" w:sz="4" w:space="0" w:color="auto"/>
              <w:left w:val="nil"/>
              <w:bottom w:val="nil"/>
              <w:right w:val="nil"/>
            </w:tcBorders>
            <w:vAlign w:val="center"/>
          </w:tcPr>
          <w:p w14:paraId="04E66A34" w14:textId="77777777" w:rsidR="005B6E32" w:rsidRPr="005B6E32" w:rsidRDefault="005B6E32" w:rsidP="00D26E19">
            <w:pPr>
              <w:pStyle w:val="SemEspaamento"/>
              <w:spacing w:line="360" w:lineRule="auto"/>
              <w:rPr>
                <w:b/>
                <w:bCs/>
                <w:sz w:val="20"/>
                <w:szCs w:val="20"/>
                <w:lang w:val="pt-BR"/>
              </w:rPr>
            </w:pPr>
            <w:r w:rsidRPr="005B6E32">
              <w:rPr>
                <w:b/>
                <w:bCs/>
                <w:sz w:val="20"/>
                <w:szCs w:val="20"/>
                <w:lang w:val="pt-BR"/>
              </w:rPr>
              <w:t>Há quanto tempo faz uso</w:t>
            </w:r>
          </w:p>
        </w:tc>
        <w:tc>
          <w:tcPr>
            <w:tcW w:w="2253" w:type="dxa"/>
            <w:tcBorders>
              <w:top w:val="single" w:sz="4" w:space="0" w:color="auto"/>
              <w:left w:val="nil"/>
              <w:bottom w:val="nil"/>
              <w:right w:val="nil"/>
            </w:tcBorders>
            <w:vAlign w:val="center"/>
          </w:tcPr>
          <w:p w14:paraId="1684EEC3" w14:textId="77777777" w:rsidR="005B6E32" w:rsidRPr="00E60F37" w:rsidRDefault="005B6E32" w:rsidP="00D26E19">
            <w:pPr>
              <w:pStyle w:val="SemEspaamento"/>
              <w:spacing w:line="360" w:lineRule="auto"/>
              <w:rPr>
                <w:sz w:val="20"/>
                <w:szCs w:val="20"/>
              </w:rPr>
            </w:pPr>
            <w:proofErr w:type="spellStart"/>
            <w:r w:rsidRPr="00E60F37">
              <w:rPr>
                <w:sz w:val="20"/>
                <w:szCs w:val="20"/>
              </w:rPr>
              <w:t>Há</w:t>
            </w:r>
            <w:proofErr w:type="spellEnd"/>
            <w:r w:rsidRPr="00E60F37">
              <w:rPr>
                <w:sz w:val="20"/>
                <w:szCs w:val="20"/>
              </w:rPr>
              <w:t xml:space="preserve"> </w:t>
            </w:r>
            <w:proofErr w:type="spellStart"/>
            <w:r w:rsidRPr="00E60F37">
              <w:rPr>
                <w:sz w:val="20"/>
                <w:szCs w:val="20"/>
              </w:rPr>
              <w:t>menos</w:t>
            </w:r>
            <w:proofErr w:type="spellEnd"/>
            <w:r w:rsidRPr="00E60F37">
              <w:rPr>
                <w:sz w:val="20"/>
                <w:szCs w:val="20"/>
              </w:rPr>
              <w:t xml:space="preserve"> de 1 </w:t>
            </w:r>
            <w:proofErr w:type="spellStart"/>
            <w:r w:rsidRPr="00E60F37">
              <w:rPr>
                <w:sz w:val="20"/>
                <w:szCs w:val="20"/>
              </w:rPr>
              <w:t>ano</w:t>
            </w:r>
            <w:proofErr w:type="spellEnd"/>
          </w:p>
        </w:tc>
        <w:tc>
          <w:tcPr>
            <w:tcW w:w="2250" w:type="dxa"/>
            <w:tcBorders>
              <w:top w:val="single" w:sz="4" w:space="0" w:color="auto"/>
              <w:left w:val="nil"/>
              <w:bottom w:val="nil"/>
              <w:right w:val="nil"/>
            </w:tcBorders>
            <w:vAlign w:val="center"/>
          </w:tcPr>
          <w:p w14:paraId="04C86637" w14:textId="77777777" w:rsidR="005B6E32" w:rsidRPr="00E60F37" w:rsidRDefault="005B6E32" w:rsidP="00D26E19">
            <w:pPr>
              <w:pStyle w:val="SemEspaamento"/>
              <w:spacing w:line="360" w:lineRule="auto"/>
              <w:rPr>
                <w:sz w:val="20"/>
                <w:szCs w:val="20"/>
              </w:rPr>
            </w:pPr>
            <w:r w:rsidRPr="00E60F37">
              <w:rPr>
                <w:sz w:val="20"/>
                <w:szCs w:val="20"/>
              </w:rPr>
              <w:t>8</w:t>
            </w:r>
          </w:p>
        </w:tc>
        <w:tc>
          <w:tcPr>
            <w:tcW w:w="2443" w:type="dxa"/>
            <w:tcBorders>
              <w:top w:val="single" w:sz="4" w:space="0" w:color="auto"/>
              <w:left w:val="nil"/>
              <w:bottom w:val="nil"/>
              <w:right w:val="nil"/>
            </w:tcBorders>
            <w:vAlign w:val="center"/>
          </w:tcPr>
          <w:p w14:paraId="17060860" w14:textId="77777777" w:rsidR="005B6E32" w:rsidRPr="00E60F37" w:rsidRDefault="005B6E32" w:rsidP="00D26E19">
            <w:pPr>
              <w:pStyle w:val="SemEspaamento"/>
              <w:spacing w:line="360" w:lineRule="auto"/>
              <w:rPr>
                <w:sz w:val="20"/>
                <w:szCs w:val="20"/>
              </w:rPr>
            </w:pPr>
            <w:r w:rsidRPr="00E60F37">
              <w:rPr>
                <w:sz w:val="20"/>
                <w:szCs w:val="20"/>
              </w:rPr>
              <w:t xml:space="preserve">44,4% (dos que </w:t>
            </w:r>
            <w:proofErr w:type="spellStart"/>
            <w:r w:rsidRPr="00E60F37">
              <w:rPr>
                <w:sz w:val="20"/>
                <w:szCs w:val="20"/>
              </w:rPr>
              <w:t>fazem</w:t>
            </w:r>
            <w:proofErr w:type="spellEnd"/>
            <w:r w:rsidRPr="00E60F37">
              <w:rPr>
                <w:sz w:val="20"/>
                <w:szCs w:val="20"/>
              </w:rPr>
              <w:t xml:space="preserve"> </w:t>
            </w:r>
            <w:proofErr w:type="spellStart"/>
            <w:r w:rsidRPr="00E60F37">
              <w:rPr>
                <w:sz w:val="20"/>
                <w:szCs w:val="20"/>
              </w:rPr>
              <w:t>uso</w:t>
            </w:r>
            <w:proofErr w:type="spellEnd"/>
            <w:r w:rsidRPr="00E60F37">
              <w:rPr>
                <w:sz w:val="20"/>
                <w:szCs w:val="20"/>
              </w:rPr>
              <w:t>)</w:t>
            </w:r>
          </w:p>
        </w:tc>
      </w:tr>
      <w:tr w:rsidR="005B6E32" w:rsidRPr="00E60F37" w14:paraId="63ACC6F1" w14:textId="77777777" w:rsidTr="00D26E19">
        <w:tc>
          <w:tcPr>
            <w:tcW w:w="2253" w:type="dxa"/>
            <w:vMerge/>
            <w:tcBorders>
              <w:top w:val="nil"/>
              <w:left w:val="nil"/>
              <w:bottom w:val="nil"/>
              <w:right w:val="nil"/>
            </w:tcBorders>
          </w:tcPr>
          <w:p w14:paraId="7B29B9B9" w14:textId="77777777" w:rsidR="005B6E32" w:rsidRPr="00E60F37" w:rsidRDefault="005B6E32" w:rsidP="00D26E19">
            <w:pPr>
              <w:pStyle w:val="SemEspaamento"/>
              <w:spacing w:line="360" w:lineRule="auto"/>
              <w:rPr>
                <w:sz w:val="20"/>
                <w:szCs w:val="20"/>
              </w:rPr>
            </w:pPr>
          </w:p>
        </w:tc>
        <w:tc>
          <w:tcPr>
            <w:tcW w:w="2253" w:type="dxa"/>
            <w:tcBorders>
              <w:top w:val="nil"/>
              <w:left w:val="nil"/>
              <w:bottom w:val="nil"/>
              <w:right w:val="nil"/>
            </w:tcBorders>
            <w:vAlign w:val="center"/>
          </w:tcPr>
          <w:p w14:paraId="0AC6E905" w14:textId="77777777" w:rsidR="005B6E32" w:rsidRPr="005B6E32" w:rsidRDefault="005B6E32" w:rsidP="00D26E19">
            <w:pPr>
              <w:pStyle w:val="SemEspaamento"/>
              <w:spacing w:line="360" w:lineRule="auto"/>
              <w:rPr>
                <w:sz w:val="20"/>
                <w:szCs w:val="20"/>
                <w:lang w:val="pt-BR"/>
              </w:rPr>
            </w:pPr>
            <w:r w:rsidRPr="005B6E32">
              <w:rPr>
                <w:sz w:val="20"/>
                <w:szCs w:val="20"/>
                <w:lang w:val="pt-BR"/>
              </w:rPr>
              <w:t>Há 1 ano a 1 ano e 6 meses</w:t>
            </w:r>
          </w:p>
        </w:tc>
        <w:tc>
          <w:tcPr>
            <w:tcW w:w="2250" w:type="dxa"/>
            <w:tcBorders>
              <w:top w:val="nil"/>
              <w:left w:val="nil"/>
              <w:bottom w:val="nil"/>
              <w:right w:val="nil"/>
            </w:tcBorders>
            <w:vAlign w:val="center"/>
          </w:tcPr>
          <w:p w14:paraId="0BE60D35" w14:textId="77777777" w:rsidR="005B6E32" w:rsidRPr="00E60F37" w:rsidRDefault="005B6E32" w:rsidP="00D26E19">
            <w:pPr>
              <w:pStyle w:val="SemEspaamento"/>
              <w:spacing w:line="360" w:lineRule="auto"/>
              <w:rPr>
                <w:sz w:val="20"/>
                <w:szCs w:val="20"/>
              </w:rPr>
            </w:pPr>
            <w:r w:rsidRPr="00E60F37">
              <w:rPr>
                <w:sz w:val="20"/>
                <w:szCs w:val="20"/>
              </w:rPr>
              <w:t>4</w:t>
            </w:r>
          </w:p>
        </w:tc>
        <w:tc>
          <w:tcPr>
            <w:tcW w:w="2443" w:type="dxa"/>
            <w:tcBorders>
              <w:top w:val="nil"/>
              <w:left w:val="nil"/>
              <w:bottom w:val="nil"/>
              <w:right w:val="nil"/>
            </w:tcBorders>
            <w:vAlign w:val="center"/>
          </w:tcPr>
          <w:p w14:paraId="13955A10" w14:textId="77777777" w:rsidR="005B6E32" w:rsidRPr="00E60F37" w:rsidRDefault="005B6E32" w:rsidP="00D26E19">
            <w:pPr>
              <w:pStyle w:val="SemEspaamento"/>
              <w:spacing w:line="360" w:lineRule="auto"/>
              <w:rPr>
                <w:sz w:val="20"/>
                <w:szCs w:val="20"/>
              </w:rPr>
            </w:pPr>
            <w:r w:rsidRPr="00E60F37">
              <w:rPr>
                <w:sz w:val="20"/>
                <w:szCs w:val="20"/>
              </w:rPr>
              <w:t xml:space="preserve">22,2% (dos que </w:t>
            </w:r>
            <w:proofErr w:type="spellStart"/>
            <w:r w:rsidRPr="00E60F37">
              <w:rPr>
                <w:sz w:val="20"/>
                <w:szCs w:val="20"/>
              </w:rPr>
              <w:t>fazem</w:t>
            </w:r>
            <w:proofErr w:type="spellEnd"/>
            <w:r w:rsidRPr="00E60F37">
              <w:rPr>
                <w:sz w:val="20"/>
                <w:szCs w:val="20"/>
              </w:rPr>
              <w:t xml:space="preserve"> </w:t>
            </w:r>
            <w:proofErr w:type="spellStart"/>
            <w:r w:rsidRPr="00E60F37">
              <w:rPr>
                <w:sz w:val="20"/>
                <w:szCs w:val="20"/>
              </w:rPr>
              <w:t>uso</w:t>
            </w:r>
            <w:proofErr w:type="spellEnd"/>
            <w:r w:rsidRPr="00E60F37">
              <w:rPr>
                <w:sz w:val="20"/>
                <w:szCs w:val="20"/>
              </w:rPr>
              <w:t>)</w:t>
            </w:r>
          </w:p>
        </w:tc>
      </w:tr>
      <w:tr w:rsidR="005B6E32" w:rsidRPr="00E60F37" w14:paraId="0705C1D5" w14:textId="77777777" w:rsidTr="00D26E19">
        <w:tc>
          <w:tcPr>
            <w:tcW w:w="2253" w:type="dxa"/>
            <w:vMerge/>
            <w:tcBorders>
              <w:top w:val="nil"/>
              <w:left w:val="nil"/>
              <w:bottom w:val="nil"/>
              <w:right w:val="nil"/>
            </w:tcBorders>
          </w:tcPr>
          <w:p w14:paraId="7658EF0D" w14:textId="77777777" w:rsidR="005B6E32" w:rsidRPr="00E60F37" w:rsidRDefault="005B6E32" w:rsidP="00D26E19">
            <w:pPr>
              <w:pStyle w:val="SemEspaamento"/>
              <w:spacing w:line="360" w:lineRule="auto"/>
              <w:rPr>
                <w:sz w:val="20"/>
                <w:szCs w:val="20"/>
              </w:rPr>
            </w:pPr>
          </w:p>
        </w:tc>
        <w:tc>
          <w:tcPr>
            <w:tcW w:w="2253" w:type="dxa"/>
            <w:tcBorders>
              <w:top w:val="nil"/>
              <w:left w:val="nil"/>
              <w:bottom w:val="nil"/>
              <w:right w:val="nil"/>
            </w:tcBorders>
            <w:vAlign w:val="center"/>
          </w:tcPr>
          <w:p w14:paraId="4CD7CE51" w14:textId="77777777" w:rsidR="005B6E32" w:rsidRPr="005B6E32" w:rsidRDefault="005B6E32" w:rsidP="00D26E19">
            <w:pPr>
              <w:pStyle w:val="SemEspaamento"/>
              <w:spacing w:line="360" w:lineRule="auto"/>
              <w:rPr>
                <w:sz w:val="20"/>
                <w:szCs w:val="20"/>
                <w:lang w:val="pt-BR"/>
              </w:rPr>
            </w:pPr>
            <w:r w:rsidRPr="005B6E32">
              <w:rPr>
                <w:sz w:val="20"/>
                <w:szCs w:val="20"/>
                <w:lang w:val="pt-BR"/>
              </w:rPr>
              <w:t>Há 1 ano e 7 meses a 2 anos</w:t>
            </w:r>
          </w:p>
        </w:tc>
        <w:tc>
          <w:tcPr>
            <w:tcW w:w="2250" w:type="dxa"/>
            <w:tcBorders>
              <w:top w:val="nil"/>
              <w:left w:val="nil"/>
              <w:bottom w:val="nil"/>
              <w:right w:val="nil"/>
            </w:tcBorders>
            <w:vAlign w:val="center"/>
          </w:tcPr>
          <w:p w14:paraId="0E12D85D" w14:textId="77777777" w:rsidR="005B6E32" w:rsidRPr="00E60F37" w:rsidRDefault="005B6E32" w:rsidP="00D26E19">
            <w:pPr>
              <w:pStyle w:val="SemEspaamento"/>
              <w:spacing w:line="360" w:lineRule="auto"/>
              <w:rPr>
                <w:sz w:val="20"/>
                <w:szCs w:val="20"/>
              </w:rPr>
            </w:pPr>
            <w:r w:rsidRPr="00E60F37">
              <w:rPr>
                <w:sz w:val="20"/>
                <w:szCs w:val="20"/>
              </w:rPr>
              <w:t>2</w:t>
            </w:r>
          </w:p>
        </w:tc>
        <w:tc>
          <w:tcPr>
            <w:tcW w:w="2443" w:type="dxa"/>
            <w:tcBorders>
              <w:top w:val="nil"/>
              <w:left w:val="nil"/>
              <w:bottom w:val="nil"/>
              <w:right w:val="nil"/>
            </w:tcBorders>
            <w:vAlign w:val="center"/>
          </w:tcPr>
          <w:p w14:paraId="04032096" w14:textId="77777777" w:rsidR="005B6E32" w:rsidRPr="00E60F37" w:rsidRDefault="005B6E32" w:rsidP="00D26E19">
            <w:pPr>
              <w:pStyle w:val="SemEspaamento"/>
              <w:spacing w:line="360" w:lineRule="auto"/>
              <w:rPr>
                <w:sz w:val="20"/>
                <w:szCs w:val="20"/>
              </w:rPr>
            </w:pPr>
            <w:r w:rsidRPr="00E60F37">
              <w:rPr>
                <w:sz w:val="20"/>
                <w:szCs w:val="20"/>
              </w:rPr>
              <w:t xml:space="preserve">11,1% (dos que </w:t>
            </w:r>
            <w:proofErr w:type="spellStart"/>
            <w:r w:rsidRPr="00E60F37">
              <w:rPr>
                <w:sz w:val="20"/>
                <w:szCs w:val="20"/>
              </w:rPr>
              <w:t>fazem</w:t>
            </w:r>
            <w:proofErr w:type="spellEnd"/>
            <w:r w:rsidRPr="00E60F37">
              <w:rPr>
                <w:sz w:val="20"/>
                <w:szCs w:val="20"/>
              </w:rPr>
              <w:t xml:space="preserve"> </w:t>
            </w:r>
            <w:proofErr w:type="spellStart"/>
            <w:r w:rsidRPr="00E60F37">
              <w:rPr>
                <w:sz w:val="20"/>
                <w:szCs w:val="20"/>
              </w:rPr>
              <w:t>uso</w:t>
            </w:r>
            <w:proofErr w:type="spellEnd"/>
            <w:r w:rsidRPr="00E60F37">
              <w:rPr>
                <w:sz w:val="20"/>
                <w:szCs w:val="20"/>
              </w:rPr>
              <w:t>)</w:t>
            </w:r>
          </w:p>
        </w:tc>
      </w:tr>
      <w:tr w:rsidR="005B6E32" w:rsidRPr="00E60F37" w14:paraId="4A49E50D" w14:textId="77777777" w:rsidTr="00D26E19">
        <w:tc>
          <w:tcPr>
            <w:tcW w:w="2253" w:type="dxa"/>
            <w:vMerge/>
            <w:tcBorders>
              <w:top w:val="nil"/>
              <w:left w:val="nil"/>
              <w:bottom w:val="single" w:sz="4" w:space="0" w:color="auto"/>
              <w:right w:val="nil"/>
            </w:tcBorders>
          </w:tcPr>
          <w:p w14:paraId="02E9C9B8" w14:textId="77777777" w:rsidR="005B6E32" w:rsidRPr="00E60F37" w:rsidRDefault="005B6E32" w:rsidP="00D26E19">
            <w:pPr>
              <w:pStyle w:val="SemEspaamento"/>
              <w:spacing w:line="360" w:lineRule="auto"/>
              <w:rPr>
                <w:sz w:val="20"/>
                <w:szCs w:val="20"/>
              </w:rPr>
            </w:pPr>
          </w:p>
        </w:tc>
        <w:tc>
          <w:tcPr>
            <w:tcW w:w="2253" w:type="dxa"/>
            <w:tcBorders>
              <w:top w:val="nil"/>
              <w:left w:val="nil"/>
              <w:bottom w:val="single" w:sz="4" w:space="0" w:color="auto"/>
              <w:right w:val="nil"/>
            </w:tcBorders>
            <w:vAlign w:val="center"/>
          </w:tcPr>
          <w:p w14:paraId="5DEC5A4E" w14:textId="77777777" w:rsidR="005B6E32" w:rsidRPr="00E60F37" w:rsidRDefault="005B6E32" w:rsidP="00D26E19">
            <w:pPr>
              <w:pStyle w:val="SemEspaamento"/>
              <w:spacing w:line="360" w:lineRule="auto"/>
              <w:rPr>
                <w:sz w:val="20"/>
                <w:szCs w:val="20"/>
              </w:rPr>
            </w:pPr>
            <w:proofErr w:type="spellStart"/>
            <w:r w:rsidRPr="00E60F37">
              <w:rPr>
                <w:sz w:val="20"/>
                <w:szCs w:val="20"/>
              </w:rPr>
              <w:t>Há</w:t>
            </w:r>
            <w:proofErr w:type="spellEnd"/>
            <w:r w:rsidRPr="00E60F37">
              <w:rPr>
                <w:sz w:val="20"/>
                <w:szCs w:val="20"/>
              </w:rPr>
              <w:t xml:space="preserve"> </w:t>
            </w:r>
            <w:proofErr w:type="spellStart"/>
            <w:r w:rsidRPr="00E60F37">
              <w:rPr>
                <w:sz w:val="20"/>
                <w:szCs w:val="20"/>
              </w:rPr>
              <w:t>mais</w:t>
            </w:r>
            <w:proofErr w:type="spellEnd"/>
            <w:r w:rsidRPr="00E60F37">
              <w:rPr>
                <w:sz w:val="20"/>
                <w:szCs w:val="20"/>
              </w:rPr>
              <w:t xml:space="preserve"> de 2 </w:t>
            </w:r>
            <w:proofErr w:type="spellStart"/>
            <w:r w:rsidRPr="00E60F37">
              <w:rPr>
                <w:sz w:val="20"/>
                <w:szCs w:val="20"/>
              </w:rPr>
              <w:t>anos</w:t>
            </w:r>
            <w:proofErr w:type="spellEnd"/>
          </w:p>
        </w:tc>
        <w:tc>
          <w:tcPr>
            <w:tcW w:w="2250" w:type="dxa"/>
            <w:tcBorders>
              <w:top w:val="nil"/>
              <w:left w:val="nil"/>
              <w:bottom w:val="single" w:sz="4" w:space="0" w:color="auto"/>
              <w:right w:val="nil"/>
            </w:tcBorders>
            <w:vAlign w:val="center"/>
          </w:tcPr>
          <w:p w14:paraId="4F514099" w14:textId="77777777" w:rsidR="005B6E32" w:rsidRPr="00E60F37" w:rsidRDefault="005B6E32" w:rsidP="00D26E19">
            <w:pPr>
              <w:pStyle w:val="SemEspaamento"/>
              <w:spacing w:line="360" w:lineRule="auto"/>
              <w:rPr>
                <w:sz w:val="20"/>
                <w:szCs w:val="20"/>
              </w:rPr>
            </w:pPr>
            <w:r w:rsidRPr="00E60F37">
              <w:rPr>
                <w:sz w:val="20"/>
                <w:szCs w:val="20"/>
              </w:rPr>
              <w:t>4</w:t>
            </w:r>
          </w:p>
        </w:tc>
        <w:tc>
          <w:tcPr>
            <w:tcW w:w="2443" w:type="dxa"/>
            <w:tcBorders>
              <w:top w:val="nil"/>
              <w:left w:val="nil"/>
              <w:bottom w:val="single" w:sz="4" w:space="0" w:color="auto"/>
              <w:right w:val="nil"/>
            </w:tcBorders>
            <w:vAlign w:val="center"/>
          </w:tcPr>
          <w:p w14:paraId="7B280B64" w14:textId="77777777" w:rsidR="005B6E32" w:rsidRPr="00E60F37" w:rsidRDefault="005B6E32" w:rsidP="00D26E19">
            <w:pPr>
              <w:pStyle w:val="SemEspaamento"/>
              <w:spacing w:line="360" w:lineRule="auto"/>
              <w:rPr>
                <w:sz w:val="20"/>
                <w:szCs w:val="20"/>
              </w:rPr>
            </w:pPr>
            <w:r w:rsidRPr="00E60F37">
              <w:rPr>
                <w:sz w:val="20"/>
                <w:szCs w:val="20"/>
              </w:rPr>
              <w:t xml:space="preserve">22,2% (dos que </w:t>
            </w:r>
            <w:proofErr w:type="spellStart"/>
            <w:r w:rsidRPr="00E60F37">
              <w:rPr>
                <w:sz w:val="20"/>
                <w:szCs w:val="20"/>
              </w:rPr>
              <w:t>fazem</w:t>
            </w:r>
            <w:proofErr w:type="spellEnd"/>
            <w:r w:rsidRPr="00E60F37">
              <w:rPr>
                <w:sz w:val="20"/>
                <w:szCs w:val="20"/>
              </w:rPr>
              <w:t xml:space="preserve"> </w:t>
            </w:r>
            <w:proofErr w:type="spellStart"/>
            <w:r w:rsidRPr="00E60F37">
              <w:rPr>
                <w:sz w:val="20"/>
                <w:szCs w:val="20"/>
              </w:rPr>
              <w:t>uso</w:t>
            </w:r>
            <w:proofErr w:type="spellEnd"/>
            <w:r w:rsidRPr="00E60F37">
              <w:rPr>
                <w:sz w:val="20"/>
                <w:szCs w:val="20"/>
              </w:rPr>
              <w:t>)</w:t>
            </w:r>
          </w:p>
        </w:tc>
      </w:tr>
    </w:tbl>
    <w:p w14:paraId="60953B53" w14:textId="044A82E5" w:rsidR="005B6E32" w:rsidRPr="00E60F37" w:rsidRDefault="005B6E32" w:rsidP="004F23EC">
      <w:pPr>
        <w:pStyle w:val="SemEspaamento"/>
        <w:spacing w:line="360" w:lineRule="auto"/>
        <w:rPr>
          <w:sz w:val="20"/>
          <w:szCs w:val="20"/>
        </w:rPr>
      </w:pPr>
      <w:r w:rsidRPr="00E60F37">
        <w:rPr>
          <w:b/>
          <w:bCs/>
          <w:sz w:val="20"/>
          <w:szCs w:val="20"/>
        </w:rPr>
        <w:t>Fonte</w:t>
      </w:r>
      <w:r w:rsidRPr="00E60F37">
        <w:rPr>
          <w:sz w:val="20"/>
          <w:szCs w:val="20"/>
        </w:rPr>
        <w:t xml:space="preserve">: </w:t>
      </w:r>
      <w:proofErr w:type="spellStart"/>
      <w:r w:rsidRPr="00E60F37">
        <w:rPr>
          <w:sz w:val="20"/>
          <w:szCs w:val="20"/>
        </w:rPr>
        <w:t>Bertholucci</w:t>
      </w:r>
      <w:proofErr w:type="spellEnd"/>
      <w:r w:rsidRPr="00E60F37">
        <w:rPr>
          <w:sz w:val="20"/>
          <w:szCs w:val="20"/>
        </w:rPr>
        <w:t>, GP, et al., 2021.</w:t>
      </w:r>
    </w:p>
    <w:p w14:paraId="3EBE4E3C" w14:textId="398C3FCB" w:rsidR="005B6E32" w:rsidRPr="004F23EC" w:rsidRDefault="005B6E32" w:rsidP="004F23EC">
      <w:pPr>
        <w:pStyle w:val="SemEspaamento"/>
        <w:spacing w:line="360" w:lineRule="auto"/>
        <w:ind w:firstLine="698"/>
        <w:rPr>
          <w:noProof/>
          <w:szCs w:val="24"/>
        </w:rPr>
      </w:pPr>
      <w:r w:rsidRPr="00282BA6">
        <w:rPr>
          <w:szCs w:val="24"/>
        </w:rPr>
        <w:t xml:space="preserve">Após a aplicação do teste </w:t>
      </w:r>
      <w:proofErr w:type="spellStart"/>
      <w:r w:rsidRPr="00282BA6">
        <w:rPr>
          <w:szCs w:val="24"/>
        </w:rPr>
        <w:t>qui</w:t>
      </w:r>
      <w:proofErr w:type="spellEnd"/>
      <w:r w:rsidRPr="00282BA6">
        <w:rPr>
          <w:szCs w:val="24"/>
        </w:rPr>
        <w:t>-quadrado para a verificação da associação entre as variáveis sexo e Burnout (pontuação igual ou superior a 41 pontos no questionário MBI), o sexo feminino apresentou maior incidência de Burnout (92,9% das mulheres, n=52) em relação aos homens (66,7% do sexo masculino, n=12). Existe uma associação significativo ao nível de 5% entre as variáveis Burnout e sexo (p=0,0046916) (</w:t>
      </w:r>
      <w:r w:rsidRPr="00282BA6">
        <w:rPr>
          <w:b/>
          <w:bCs/>
          <w:szCs w:val="24"/>
        </w:rPr>
        <w:t>Figura 1A</w:t>
      </w:r>
      <w:r w:rsidRPr="00282BA6">
        <w:rPr>
          <w:szCs w:val="24"/>
        </w:rPr>
        <w:t>).</w:t>
      </w:r>
      <w:r w:rsidRPr="00282BA6">
        <w:rPr>
          <w:noProof/>
          <w:szCs w:val="24"/>
        </w:rPr>
        <w:t xml:space="preserve"> </w:t>
      </w:r>
    </w:p>
    <w:p w14:paraId="25CC2159" w14:textId="77777777" w:rsidR="005B6E32" w:rsidRPr="00E60F37" w:rsidRDefault="005B6E32" w:rsidP="005B6E32">
      <w:pPr>
        <w:pStyle w:val="SemEspaamento"/>
        <w:spacing w:line="360" w:lineRule="auto"/>
        <w:ind w:firstLine="698"/>
        <w:rPr>
          <w:sz w:val="20"/>
          <w:szCs w:val="20"/>
        </w:rPr>
      </w:pPr>
      <w:r w:rsidRPr="00E60F37">
        <w:rPr>
          <w:b/>
          <w:bCs/>
          <w:noProof/>
          <w:sz w:val="20"/>
          <w:szCs w:val="20"/>
        </w:rPr>
        <w:t>Figura 1</w:t>
      </w:r>
      <w:r w:rsidRPr="00E60F37">
        <w:rPr>
          <w:noProof/>
          <w:sz w:val="20"/>
          <w:szCs w:val="20"/>
        </w:rPr>
        <w:t xml:space="preserve"> – Resultados da incidência de Burnout e do perfil do uso de antidepressivos e/ou ansiolíticos em acadêmicos de Medicina </w:t>
      </w:r>
      <w:r>
        <w:rPr>
          <w:sz w:val="20"/>
          <w:szCs w:val="20"/>
        </w:rPr>
        <w:t>de uma Universidade da região central do estado de Goiás</w:t>
      </w:r>
      <w:r w:rsidRPr="00E60F37">
        <w:rPr>
          <w:sz w:val="20"/>
          <w:szCs w:val="20"/>
        </w:rPr>
        <w:t>.</w:t>
      </w:r>
      <w:r w:rsidRPr="00E60F37">
        <w:rPr>
          <w:noProof/>
          <w:sz w:val="20"/>
          <w:szCs w:val="20"/>
        </w:rPr>
        <w:drawing>
          <wp:inline distT="0" distB="0" distL="0" distR="0" wp14:anchorId="31092F0F" wp14:editId="485F192E">
            <wp:extent cx="3305175" cy="2514600"/>
            <wp:effectExtent l="0" t="0" r="0" b="0"/>
            <wp:docPr id="2" name="Gráfico 2">
              <a:extLst xmlns:a="http://schemas.openxmlformats.org/drawingml/2006/main">
                <a:ext uri="{FF2B5EF4-FFF2-40B4-BE49-F238E27FC236}">
                  <a16:creationId xmlns:a16="http://schemas.microsoft.com/office/drawing/2014/main" id="{DDD05681-E3B5-479A-94A8-5F4319C3DC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3282D19" w14:textId="77777777" w:rsidR="005B6E32" w:rsidRPr="00E60F37" w:rsidRDefault="005B6E32" w:rsidP="005B6E32">
      <w:pPr>
        <w:pStyle w:val="SemEspaamento"/>
        <w:spacing w:line="360" w:lineRule="auto"/>
        <w:ind w:firstLine="698"/>
        <w:rPr>
          <w:sz w:val="20"/>
          <w:szCs w:val="20"/>
        </w:rPr>
      </w:pPr>
    </w:p>
    <w:p w14:paraId="5756E2C9" w14:textId="77777777" w:rsidR="005B6E32" w:rsidRPr="00E60F37" w:rsidRDefault="005B6E32" w:rsidP="005B6E32">
      <w:pPr>
        <w:pStyle w:val="SemEspaamento"/>
        <w:spacing w:line="360" w:lineRule="auto"/>
        <w:ind w:firstLine="698"/>
        <w:rPr>
          <w:sz w:val="20"/>
          <w:szCs w:val="20"/>
        </w:rPr>
      </w:pPr>
      <w:r w:rsidRPr="00E60F37">
        <w:rPr>
          <w:noProof/>
          <w:sz w:val="20"/>
          <w:szCs w:val="20"/>
        </w:rPr>
        <w:lastRenderedPageBreak/>
        <w:drawing>
          <wp:inline distT="0" distB="0" distL="0" distR="0" wp14:anchorId="0355E589" wp14:editId="11537ADC">
            <wp:extent cx="3457575" cy="2886075"/>
            <wp:effectExtent l="0" t="0" r="0" b="0"/>
            <wp:docPr id="1" name="Gráfico 1">
              <a:extLst xmlns:a="http://schemas.openxmlformats.org/drawingml/2006/main">
                <a:ext uri="{FF2B5EF4-FFF2-40B4-BE49-F238E27FC236}">
                  <a16:creationId xmlns:a16="http://schemas.microsoft.com/office/drawing/2014/main" id="{2CBF5846-1506-45D3-AA93-60DF3521C3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471688" w14:textId="77777777" w:rsidR="005B6E32" w:rsidRPr="00E60F37" w:rsidRDefault="005B6E32" w:rsidP="005B6E32">
      <w:pPr>
        <w:pStyle w:val="SemEspaamento"/>
        <w:spacing w:line="360" w:lineRule="auto"/>
        <w:ind w:firstLine="698"/>
        <w:rPr>
          <w:sz w:val="20"/>
          <w:szCs w:val="20"/>
        </w:rPr>
      </w:pPr>
      <w:r w:rsidRPr="00E60F37">
        <w:rPr>
          <w:b/>
          <w:bCs/>
          <w:sz w:val="20"/>
          <w:szCs w:val="20"/>
        </w:rPr>
        <w:t>Legenda: A-</w:t>
      </w:r>
      <w:r w:rsidRPr="00E60F37">
        <w:rPr>
          <w:sz w:val="20"/>
          <w:szCs w:val="20"/>
        </w:rPr>
        <w:t xml:space="preserve"> Distribuição de alunos que apresentam Burnout inicial ou Síndrome de Burnout já instalada de acordo com o sexo (p=0,0046916). </w:t>
      </w:r>
      <w:r w:rsidRPr="00E60F37">
        <w:rPr>
          <w:b/>
          <w:bCs/>
          <w:sz w:val="20"/>
          <w:szCs w:val="20"/>
        </w:rPr>
        <w:t>B-</w:t>
      </w:r>
      <w:r w:rsidRPr="00E60F37">
        <w:rPr>
          <w:sz w:val="20"/>
          <w:szCs w:val="20"/>
        </w:rPr>
        <w:t xml:space="preserve"> Distribuição dos acadêmicos que fazem uso de antidepressivos e/ou ansiolíticos de acordo com a qualidade de vida (p= 0,0027).</w:t>
      </w:r>
    </w:p>
    <w:p w14:paraId="31382D42" w14:textId="77777777" w:rsidR="005B6E32" w:rsidRPr="00E60F37" w:rsidRDefault="005B6E32" w:rsidP="005B6E32">
      <w:pPr>
        <w:pStyle w:val="SemEspaamento"/>
        <w:spacing w:line="360" w:lineRule="auto"/>
        <w:ind w:firstLine="698"/>
        <w:rPr>
          <w:sz w:val="20"/>
          <w:szCs w:val="20"/>
        </w:rPr>
      </w:pPr>
      <w:r w:rsidRPr="00E60F37">
        <w:rPr>
          <w:b/>
          <w:bCs/>
          <w:sz w:val="20"/>
          <w:szCs w:val="20"/>
        </w:rPr>
        <w:t>Fonte:</w:t>
      </w:r>
      <w:r w:rsidRPr="00E60F37">
        <w:rPr>
          <w:sz w:val="20"/>
          <w:szCs w:val="20"/>
        </w:rPr>
        <w:t xml:space="preserve"> </w:t>
      </w:r>
      <w:proofErr w:type="spellStart"/>
      <w:r w:rsidRPr="00E60F37">
        <w:rPr>
          <w:sz w:val="20"/>
          <w:szCs w:val="20"/>
        </w:rPr>
        <w:t>Bertholucci</w:t>
      </w:r>
      <w:proofErr w:type="spellEnd"/>
      <w:r w:rsidRPr="00E60F37">
        <w:rPr>
          <w:sz w:val="20"/>
          <w:szCs w:val="20"/>
        </w:rPr>
        <w:t>, GP, et al., 2021.</w:t>
      </w:r>
    </w:p>
    <w:p w14:paraId="532D0C40" w14:textId="77777777" w:rsidR="005B6E32" w:rsidRPr="00E60F37" w:rsidRDefault="005B6E32" w:rsidP="005B6E32">
      <w:pPr>
        <w:pStyle w:val="SemEspaamento"/>
        <w:spacing w:line="360" w:lineRule="auto"/>
        <w:ind w:firstLine="698"/>
        <w:rPr>
          <w:sz w:val="20"/>
          <w:szCs w:val="20"/>
        </w:rPr>
      </w:pPr>
    </w:p>
    <w:p w14:paraId="023BD3D6" w14:textId="77777777" w:rsidR="005B6E32" w:rsidRPr="00282BA6" w:rsidRDefault="005B6E32" w:rsidP="005B6E32">
      <w:pPr>
        <w:pStyle w:val="SemEspaamento"/>
        <w:spacing w:line="360" w:lineRule="auto"/>
        <w:ind w:firstLine="698"/>
        <w:rPr>
          <w:szCs w:val="24"/>
        </w:rPr>
      </w:pPr>
      <w:r w:rsidRPr="00282BA6">
        <w:rPr>
          <w:szCs w:val="24"/>
        </w:rPr>
        <w:t>O período do curso, estatisticamente, não gerou diferenças significantes em relação à presença de Burnout inicial ou Síndrome de Burnout instalada. Observou-se também que o fator percepção de qualidade de vida não teve influência estatisticamente relevante sobre a presença ou não de Burnout.</w:t>
      </w:r>
    </w:p>
    <w:p w14:paraId="4C3A7163" w14:textId="77777777" w:rsidR="005B6E32" w:rsidRPr="00282BA6" w:rsidRDefault="005B6E32" w:rsidP="005B6E32">
      <w:pPr>
        <w:pStyle w:val="SemEspaamento"/>
        <w:spacing w:line="360" w:lineRule="auto"/>
        <w:ind w:firstLine="698"/>
        <w:rPr>
          <w:szCs w:val="24"/>
        </w:rPr>
      </w:pPr>
      <w:r w:rsidRPr="00282BA6">
        <w:rPr>
          <w:szCs w:val="24"/>
        </w:rPr>
        <w:t>O uso de antidepressivos e/ou ansiolíticos foi outra variável que não apresentou relevância estatística, quando comparada à incidência de Burnout. Observou-se que dentre a parcela da amostra que faz uso de alguma das medicações, a incidência de Burnout foi de 94,4% (n=17), já a incidência na parcela da amostra que não utiliza nenhuma das medicações, foi de 83,9% (n=47), com p valor&gt;0,05</w:t>
      </w:r>
    </w:p>
    <w:p w14:paraId="791CC917" w14:textId="77777777" w:rsidR="005B6E32" w:rsidRPr="00282BA6" w:rsidRDefault="005B6E32" w:rsidP="005B6E32">
      <w:pPr>
        <w:pStyle w:val="SemEspaamento"/>
        <w:spacing w:line="360" w:lineRule="auto"/>
        <w:ind w:firstLine="698"/>
        <w:rPr>
          <w:szCs w:val="24"/>
        </w:rPr>
      </w:pPr>
      <w:r w:rsidRPr="00282BA6">
        <w:rPr>
          <w:szCs w:val="24"/>
        </w:rPr>
        <w:t xml:space="preserve">Não foi encontrada associação significativa ao nível de 5% entre as variáveis de qualidade de vida e período do curso cursado pelo acadêmico. Portanto, independente do momento em que o estudante se encontra no curso de Medicina, a qualidade de vida não é significativamente diferente (p&gt;0,05). Ademais, constatou-se também que a presença de Burnout inicial ou Síndrome de Burnout já instalada não possui influência estatisticamente importante sobre a capacidade do acadêmico de realizar tarefas no dia a dia (p&gt;0,05). </w:t>
      </w:r>
    </w:p>
    <w:p w14:paraId="605B7E4D" w14:textId="563B5766" w:rsidR="005B6E32" w:rsidRDefault="005B6E32" w:rsidP="005B6E32">
      <w:pPr>
        <w:pStyle w:val="SemEspaamento"/>
        <w:spacing w:line="360" w:lineRule="auto"/>
        <w:ind w:firstLine="698"/>
        <w:rPr>
          <w:szCs w:val="24"/>
        </w:rPr>
      </w:pPr>
      <w:r w:rsidRPr="00282BA6">
        <w:rPr>
          <w:szCs w:val="24"/>
        </w:rPr>
        <w:lastRenderedPageBreak/>
        <w:t xml:space="preserve">Dentre os 62 acadêmicos que responderam que possuem qualidade de vida boa </w:t>
      </w:r>
      <w:proofErr w:type="gramStart"/>
      <w:r w:rsidRPr="00282BA6">
        <w:rPr>
          <w:szCs w:val="24"/>
        </w:rPr>
        <w:t>a muito boa</w:t>
      </w:r>
      <w:proofErr w:type="gramEnd"/>
      <w:r w:rsidRPr="00282BA6">
        <w:rPr>
          <w:szCs w:val="24"/>
        </w:rPr>
        <w:t>, 11 participantes (17,7%) fazem uso de antidepressivos e/ou ansiolíticos. Entretanto, dentre os acadêmicos que relataram que possuem qualidade de vida ruim a média esse percentual se eleva para 58,3% (n=7). Dessa forma, observa-se uma maior prevalência de uso de medicamentos de antidepressivos e/ou ansiolíticos entre os indivíduos com menor qualidade de vida, sendo que esta associação se mostrou estatisticamente significativa (p=0,0027) (</w:t>
      </w:r>
      <w:r w:rsidRPr="00282BA6">
        <w:rPr>
          <w:b/>
          <w:bCs/>
          <w:szCs w:val="24"/>
        </w:rPr>
        <w:t>Figura 1B</w:t>
      </w:r>
      <w:r w:rsidRPr="00282BA6">
        <w:rPr>
          <w:szCs w:val="24"/>
        </w:rPr>
        <w:t>).</w:t>
      </w:r>
    </w:p>
    <w:p w14:paraId="3D94CFCD" w14:textId="77777777" w:rsidR="00282BA6" w:rsidRPr="00282BA6" w:rsidRDefault="00282BA6" w:rsidP="005B6E32">
      <w:pPr>
        <w:pStyle w:val="SemEspaamento"/>
        <w:spacing w:line="360" w:lineRule="auto"/>
        <w:ind w:firstLine="698"/>
        <w:rPr>
          <w:szCs w:val="24"/>
        </w:rPr>
      </w:pPr>
    </w:p>
    <w:p w14:paraId="2D2A2A6E" w14:textId="0A972259" w:rsidR="00740DA2" w:rsidRDefault="005B6E32" w:rsidP="005B6E32">
      <w:pPr>
        <w:pStyle w:val="Ttulo1"/>
      </w:pPr>
      <w:bookmarkStart w:id="6" w:name="_Toc90483720"/>
      <w:r>
        <w:t>DISCUSSÃO</w:t>
      </w:r>
      <w:bookmarkEnd w:id="6"/>
    </w:p>
    <w:p w14:paraId="16E28989" w14:textId="77777777" w:rsidR="005B6E32" w:rsidRPr="00282BA6" w:rsidRDefault="005B6E32" w:rsidP="005B6E32">
      <w:pPr>
        <w:shd w:val="clear" w:color="auto" w:fill="FFFFFF"/>
        <w:spacing w:after="0" w:line="360" w:lineRule="auto"/>
        <w:ind w:left="113" w:right="113" w:firstLine="709"/>
        <w:rPr>
          <w:szCs w:val="24"/>
        </w:rPr>
      </w:pPr>
      <w:r w:rsidRPr="00282BA6">
        <w:rPr>
          <w:szCs w:val="24"/>
        </w:rPr>
        <w:t xml:space="preserve">A prevalência de Burnout encontrada nesta pesquisa (86,5%, n= 64) foi maior que a prevalência de 76,7% observada por </w:t>
      </w:r>
      <w:proofErr w:type="spellStart"/>
      <w:r w:rsidRPr="00282BA6">
        <w:rPr>
          <w:szCs w:val="24"/>
        </w:rPr>
        <w:t>Calcides</w:t>
      </w:r>
      <w:proofErr w:type="spellEnd"/>
      <w:r w:rsidRPr="00282BA6">
        <w:rPr>
          <w:szCs w:val="24"/>
        </w:rPr>
        <w:t xml:space="preserve">, et al. (2019) </w:t>
      </w:r>
      <w:r w:rsidRPr="00282BA6">
        <w:rPr>
          <w:szCs w:val="24"/>
        </w:rPr>
        <w:fldChar w:fldCharType="begin" w:fldLock="1"/>
      </w:r>
      <w:r w:rsidRPr="00282BA6">
        <w:rPr>
          <w:szCs w:val="24"/>
        </w:rPr>
        <w:instrText>ADDIN CSL_CITATION {"citationItems":[{"id":"ITEM-1","itemData":{"DOI":"10.1590/1806-9282.65.11.1362","ISSN":"18069282","PMID":"31800898","abstract":"BACKGROUND: We intend to estimate the Burnout Syndrome prevalence and its associated factors among medical internship students at a public university in northeastern Brasil, besides investigating the Balint Group (BG) contribution in its prevention. METHODS: We conducted a cross-sectional study in February/2018 with Medical Internship Students at the University researched. We applied a structured questionnaire developed by the authors about socio-demographic data, educational process with BG participation, and current psycho-emotional experiences, in addition to the Maslach Burnout Inventory - Student Survey (MBI-SS), for Burnout Syndrome screening. We performed descriptive data analysis, logistic regression, and cluster analysis. RESULTS: A total of 184 students (98%) participated in the study, with a mean age of 25.9±3.9 years, of which 54.9% were men. The prevalence of Burnout Syndrome was 10.3% based on the three-dimensional criterion and 35.9% on two-dimensional criterion (Exhaustion and Cynicism); it was higher in those who thought about quitting the program (OR=2.14), were dissatisfied with the teaching strategies (OR=2.67) and their performance (OR=2.64) and made use of licit drugs (OR=2.37). The variables associated with Burnout Syndrome allowed individuals to be discriminated, classifying them into three subgroups. Burnout Syndrome prevalence decreased, and vulnerability factors were attenuated when there was a higher frequency of students participating in BG. CONCLUSIONS: The prevalence of two-dimensional Burnout Syndrome was high, with factors associated with the educational process. Participation in BG was associated with a lower Burnout rate prevalence. Longitudinal studies should be conducted.","author":[{"dropping-particle":"","family":"Calcides","given":"Dâmaris Alejandra Paula","non-dropping-particle":"","parse-names":false,"suffix":""},{"dropping-particle":"","family":"Didou","given":"Rayssa da Nóbrega","non-dropping-particle":"","parse-names":false,"suffix":""},{"dropping-particle":"de","family":"Melo","given":"Enaldo Vieira","non-dropping-particle":"","parse-names":false,"suffix":""},{"dropping-particle":"de","family":"Oliva-Costa","given":"Edméa Fontes","non-dropping-particle":"","parse-names":false,"suffix":""}],"container-title":"Revista da Associacao Medica Brasileira (1992)","id":"ITEM-1","issue":"11","issued":{"date-parts":[["2019"]]},"page":"1362-1367","title":"Burnout Syndrome in medical internship students and its prevention with Balint Group","type":"article-journal","volume":"65"},"uris":["http://www.mendeley.com/documents/?uuid=3b292021-bac6-42bb-8be5-a9c228a6b109"]}],"mendeley":{"formattedCitation":"(CALCIDES et al., 2019)","plainTextFormattedCitation":"(CALCIDES et al., 2019)","previouslyFormattedCitation":"(CALCIDES et al., 2019)"},"properties":{"noteIndex":0},"schema":"https://github.com/citation-style-language/schema/raw/master/csl-citation.json"}</w:instrText>
      </w:r>
      <w:r w:rsidRPr="00282BA6">
        <w:rPr>
          <w:szCs w:val="24"/>
        </w:rPr>
        <w:fldChar w:fldCharType="separate"/>
      </w:r>
      <w:r w:rsidRPr="00282BA6">
        <w:rPr>
          <w:noProof/>
          <w:szCs w:val="24"/>
        </w:rPr>
        <w:t>(CALCIDES et al., 2019)</w:t>
      </w:r>
      <w:r w:rsidRPr="00282BA6">
        <w:rPr>
          <w:szCs w:val="24"/>
        </w:rPr>
        <w:fldChar w:fldCharType="end"/>
      </w:r>
      <w:r w:rsidRPr="00282BA6">
        <w:rPr>
          <w:szCs w:val="24"/>
        </w:rPr>
        <w:t xml:space="preserve"> </w:t>
      </w:r>
      <w:r w:rsidRPr="00282BA6">
        <w:rPr>
          <w:szCs w:val="24"/>
          <w:vertAlign w:val="superscript"/>
        </w:rPr>
        <w:t xml:space="preserve"> </w:t>
      </w:r>
      <w:r w:rsidRPr="00282BA6">
        <w:rPr>
          <w:szCs w:val="24"/>
        </w:rPr>
        <w:t xml:space="preserve">em alunos do internato de uma faculdade pública de Medicina do nordeste do Brasil e também foi superior a prevalência encontrada por Pacheco et al. (2017) </w:t>
      </w:r>
      <w:r w:rsidRPr="00282BA6">
        <w:rPr>
          <w:szCs w:val="24"/>
        </w:rPr>
        <w:fldChar w:fldCharType="begin" w:fldLock="1"/>
      </w:r>
      <w:r w:rsidRPr="00282BA6">
        <w:rPr>
          <w:szCs w:val="24"/>
        </w:rPr>
        <w:instrText>ADDIN CSL_CITATION {"citationItems":[{"id":"ITEM-1","itemData":{"DOI":"10.1590/1516-4446-2017-2223","ISBN":"1516444620","ISSN":"15164446","PMID":"28876408","abstract":"Objective: To provide a comprehensive picture of mental health problems (MHPs) in Brazilian medical students by documenting their prevalence and association with co-factors. Methods: We systematically searched the MEDLINE/PubMed, SciELO, LILACS, and PsycINFO databases for cross-sectional studies on the prevalence of MHPs among medical students in Brazil published before September 29, 2016. We pooled prevalences using a random-effects meta-analysis, and summarized factors associated with MHP. Results: We included 59 studies in the analysis. For meta-analyses, we identified the summary prevalence of different MHPs, including depression (25 studies, prevalence 30.6%), common mental disorders (13 studies, prevalence 31.5%), burnout (three studies, prevalence 13.1%), problematic alcohol use (three studies, prevalence 32.9%), stress (six studies, prevalence 49.9%), low sleep quality (four studies, prevalence 51.5%), excessive daytime sleepiness (four studies, prevalence 46.1%), and anxiety (six studies, prevalence 32.9%). Signs of lack of motivation, emotional support, and academic overload correlated with MHPs. Conclusion: Several MHPs are highly prevalent among future physicians in Brazil. Evidence-based interventions and psychosocial support are needed to promote mental health among Brazilian medical students.","author":[{"dropping-particle":"","family":"Pacheco","given":"João Pedro Gonçalves","non-dropping-particle":"","parse-names":false,"suffix":""},{"dropping-particle":"","family":"Giacomin","given":"Henrique T.","non-dropping-particle":"","parse-names":false,"suffix":""},{"dropping-particle":"","family":"Tam","given":"Wilson W.","non-dropping-particle":"","parse-names":false,"suffix":""},{"dropping-particle":"","family":"Ribeiro","given":"Tássia B.","non-dropping-particle":"","parse-names":false,"suffix":""},{"dropping-particle":"","family":"Arab","given":"Claudia","non-dropping-particle":"","parse-names":false,"suffix":""},{"dropping-particle":"","family":"Bezerra","given":"Italla M.","non-dropping-particle":"","parse-names":false,"suffix":""},{"dropping-particle":"","family":"Pinasco","given":"Gustavo C.","non-dropping-particle":"","parse-names":false,"suffix":""}],"container-title":"Revista Brasileira de Psiquiatria","id":"ITEM-1","issue":"4","issued":{"date-parts":[["2017"]]},"page":"369-378","title":"Mental health problems among medical students in Brazil: A systematic review and meta-analysis","type":"article-journal","volume":"39"},"uris":["http://www.mendeley.com/documents/?uuid=3efaaf72-f8fa-4d47-b823-21e679f737f4"]}],"mendeley":{"formattedCitation":"(PACHECO et al., 2017)","plainTextFormattedCitation":"(PACHECO et al., 2017)","previouslyFormattedCitation":"(PACHECO et al., 2017)"},"properties":{"noteIndex":0},"schema":"https://github.com/citation-style-language/schema/raw/master/csl-citation.json"}</w:instrText>
      </w:r>
      <w:r w:rsidRPr="00282BA6">
        <w:rPr>
          <w:szCs w:val="24"/>
        </w:rPr>
        <w:fldChar w:fldCharType="separate"/>
      </w:r>
      <w:r w:rsidRPr="00282BA6">
        <w:rPr>
          <w:noProof/>
          <w:szCs w:val="24"/>
        </w:rPr>
        <w:t>(PACHECO et al., 2017)</w:t>
      </w:r>
      <w:r w:rsidRPr="00282BA6">
        <w:rPr>
          <w:szCs w:val="24"/>
        </w:rPr>
        <w:fldChar w:fldCharType="end"/>
      </w:r>
      <w:r w:rsidRPr="00282BA6">
        <w:rPr>
          <w:szCs w:val="24"/>
        </w:rPr>
        <w:t xml:space="preserve">, que desenvolveu uma revisão sistemática, a partir da qual a análise de três estudos resultou em uma prevalência resumida de Burnout de 13,1%(IC95% 10,2-16,4) entre estudantes de medicina no Brasil. </w:t>
      </w:r>
    </w:p>
    <w:p w14:paraId="0BC2F8AE" w14:textId="77777777" w:rsidR="005B6E32" w:rsidRPr="00282BA6" w:rsidRDefault="005B6E32" w:rsidP="005B6E32">
      <w:pPr>
        <w:shd w:val="clear" w:color="auto" w:fill="FFFFFF"/>
        <w:spacing w:after="0" w:line="360" w:lineRule="auto"/>
        <w:ind w:left="113" w:right="113" w:firstLine="709"/>
        <w:rPr>
          <w:szCs w:val="24"/>
        </w:rPr>
      </w:pPr>
      <w:r w:rsidRPr="00282BA6">
        <w:rPr>
          <w:szCs w:val="24"/>
        </w:rPr>
        <w:t xml:space="preserve">Outrossim, a prevalência de Burnout encontrada nesta pesquisa mostrou-se superior às demais prevalências descritas em estudos desenvolvidos em universidades de medicina internacionais, por </w:t>
      </w:r>
      <w:proofErr w:type="spellStart"/>
      <w:r w:rsidRPr="00282BA6">
        <w:rPr>
          <w:szCs w:val="24"/>
        </w:rPr>
        <w:t>Wilkes</w:t>
      </w:r>
      <w:proofErr w:type="spellEnd"/>
      <w:r w:rsidRPr="00282BA6">
        <w:rPr>
          <w:szCs w:val="24"/>
        </w:rPr>
        <w:t xml:space="preserve"> et al (2019) (WILKES et al.,2019)</w:t>
      </w:r>
      <w:r w:rsidRPr="00282BA6">
        <w:rPr>
          <w:szCs w:val="24"/>
          <w:vertAlign w:val="superscript"/>
        </w:rPr>
        <w:t xml:space="preserve"> </w:t>
      </w:r>
      <w:r w:rsidRPr="00282BA6">
        <w:rPr>
          <w:szCs w:val="24"/>
        </w:rPr>
        <w:t xml:space="preserve">, cujo estudo abrangeu estudantes de medicina da </w:t>
      </w:r>
      <w:r w:rsidRPr="00282BA6">
        <w:rPr>
          <w:color w:val="212121"/>
          <w:szCs w:val="24"/>
          <w:shd w:val="clear" w:color="auto" w:fill="FFFFFF"/>
        </w:rPr>
        <w:t xml:space="preserve">Escola de Medicina </w:t>
      </w:r>
      <w:proofErr w:type="spellStart"/>
      <w:r w:rsidRPr="00282BA6">
        <w:rPr>
          <w:color w:val="212121"/>
          <w:szCs w:val="24"/>
          <w:shd w:val="clear" w:color="auto" w:fill="FFFFFF"/>
        </w:rPr>
        <w:t>Cumming</w:t>
      </w:r>
      <w:proofErr w:type="spellEnd"/>
      <w:r w:rsidRPr="00282BA6">
        <w:rPr>
          <w:color w:val="212121"/>
          <w:szCs w:val="24"/>
          <w:shd w:val="clear" w:color="auto" w:fill="FFFFFF"/>
        </w:rPr>
        <w:t xml:space="preserve">, no Canadá, com 70% dos estudantes preenchendo os critérios para Burnout; por </w:t>
      </w:r>
      <w:proofErr w:type="spellStart"/>
      <w:r w:rsidRPr="00282BA6">
        <w:rPr>
          <w:color w:val="212121"/>
          <w:szCs w:val="24"/>
          <w:shd w:val="clear" w:color="auto" w:fill="FFFFFF"/>
        </w:rPr>
        <w:t>Farrel</w:t>
      </w:r>
      <w:proofErr w:type="spellEnd"/>
      <w:r w:rsidRPr="00282BA6">
        <w:rPr>
          <w:color w:val="212121"/>
          <w:szCs w:val="24"/>
          <w:shd w:val="clear" w:color="auto" w:fill="FFFFFF"/>
        </w:rPr>
        <w:t xml:space="preserve"> et al. (2019) (FARREL et al.,2019), cujo estudo detectou que 85% dos estudantes de medicina da Inglaterra presentes na amostra, preencheram os mesmos critérios; e por Nakandakari et al. (2015) (NAKANDAKARI et al.,2015), cujo </w:t>
      </w:r>
      <w:r w:rsidRPr="00282BA6">
        <w:rPr>
          <w:rFonts w:eastAsia="Times New Roman"/>
          <w:szCs w:val="24"/>
        </w:rPr>
        <w:t xml:space="preserve">estudo em uma faculdade de medicina chilena relatou uma prevalência de 14,3% de Burnout entre os estudantes desta universidade em questão. </w:t>
      </w:r>
    </w:p>
    <w:p w14:paraId="51CAEF9F" w14:textId="77777777" w:rsidR="005B6E32" w:rsidRPr="00282BA6" w:rsidRDefault="005B6E32" w:rsidP="005B6E32">
      <w:pPr>
        <w:spacing w:after="0" w:line="360" w:lineRule="auto"/>
        <w:ind w:left="113" w:right="113" w:firstLine="709"/>
        <w:rPr>
          <w:szCs w:val="24"/>
          <w:shd w:val="clear" w:color="auto" w:fill="FFFFFF"/>
        </w:rPr>
      </w:pPr>
      <w:r w:rsidRPr="00282BA6">
        <w:rPr>
          <w:szCs w:val="24"/>
        </w:rPr>
        <w:t xml:space="preserve">A associação estatisticamente significante entre o sexo feminino e a presença de Burnout encontrada neste estudo, por um p&lt;0,05, não concorda com o descrito por </w:t>
      </w:r>
      <w:proofErr w:type="spellStart"/>
      <w:r w:rsidRPr="00282BA6">
        <w:rPr>
          <w:szCs w:val="24"/>
        </w:rPr>
        <w:t>Villwock</w:t>
      </w:r>
      <w:proofErr w:type="spellEnd"/>
      <w:r w:rsidRPr="00282BA6">
        <w:rPr>
          <w:szCs w:val="24"/>
        </w:rPr>
        <w:t xml:space="preserve"> et al. (2016) </w:t>
      </w:r>
      <w:r w:rsidRPr="00282BA6">
        <w:rPr>
          <w:noProof/>
          <w:szCs w:val="24"/>
        </w:rPr>
        <w:t>(VILLWOCK et al., 2016)</w:t>
      </w:r>
      <w:r w:rsidRPr="00282BA6">
        <w:rPr>
          <w:szCs w:val="24"/>
        </w:rPr>
        <w:t xml:space="preserve">, estudo que demonstra que o gênero feminino não é associado significativamente aos componentes do Burnout, mas sim à Síndrome de Impostor; nem com o descrito por </w:t>
      </w:r>
      <w:proofErr w:type="spellStart"/>
      <w:r w:rsidRPr="00282BA6">
        <w:rPr>
          <w:szCs w:val="24"/>
        </w:rPr>
        <w:t>Frajerman</w:t>
      </w:r>
      <w:proofErr w:type="spellEnd"/>
      <w:r w:rsidRPr="00282BA6">
        <w:rPr>
          <w:szCs w:val="24"/>
        </w:rPr>
        <w:t xml:space="preserve"> et al. (2019) (FRAJERMAN et al., 2019), </w:t>
      </w:r>
      <w:r w:rsidRPr="00282BA6">
        <w:rPr>
          <w:szCs w:val="24"/>
          <w:shd w:val="clear" w:color="auto" w:fill="FFFFFF"/>
        </w:rPr>
        <w:t xml:space="preserve">cuja meta-análise recente demonstrou que não há diferença significativa entre os sexos. No entanto, em estudo realizado por </w:t>
      </w:r>
      <w:proofErr w:type="spellStart"/>
      <w:r w:rsidRPr="00282BA6">
        <w:rPr>
          <w:szCs w:val="24"/>
          <w:shd w:val="clear" w:color="auto" w:fill="FFFFFF"/>
        </w:rPr>
        <w:lastRenderedPageBreak/>
        <w:t>Dyrbye</w:t>
      </w:r>
      <w:proofErr w:type="spellEnd"/>
      <w:r w:rsidRPr="00282BA6">
        <w:rPr>
          <w:szCs w:val="24"/>
          <w:shd w:val="clear" w:color="auto" w:fill="FFFFFF"/>
        </w:rPr>
        <w:t xml:space="preserve"> et al. (2006) (DYRBYE et al., 2006), com estudantes de medicina nos Estados Unidos e Canadá, evidenciou-se que as mulheres eram mais propensas a relatar sintomas de ansiedade em comparação aos homens, o que pode refletir as diferenças de gênero encontradas no neste estudo em questão. </w:t>
      </w:r>
    </w:p>
    <w:p w14:paraId="71577A61" w14:textId="77777777" w:rsidR="005B6E32" w:rsidRPr="00282BA6" w:rsidRDefault="005B6E32" w:rsidP="005B6E32">
      <w:pPr>
        <w:pStyle w:val="SemEspaamento"/>
        <w:spacing w:line="360" w:lineRule="auto"/>
        <w:ind w:left="11" w:right="11" w:firstLine="709"/>
        <w:rPr>
          <w:szCs w:val="24"/>
          <w:shd w:val="clear" w:color="auto" w:fill="FFFFFF"/>
        </w:rPr>
      </w:pPr>
      <w:r w:rsidRPr="00282BA6">
        <w:rPr>
          <w:szCs w:val="24"/>
        </w:rPr>
        <w:t xml:space="preserve">A prevalência do uso de medicações psiquiátricas (antidepressivos e/ou ansiolíticos) encontrada por esta pesquisa (24,3%, n=18) foi maior à descrita por </w:t>
      </w:r>
      <w:proofErr w:type="spellStart"/>
      <w:r w:rsidRPr="00282BA6">
        <w:rPr>
          <w:szCs w:val="24"/>
        </w:rPr>
        <w:t>Calcides</w:t>
      </w:r>
      <w:proofErr w:type="spellEnd"/>
      <w:r w:rsidRPr="00282BA6">
        <w:rPr>
          <w:szCs w:val="24"/>
        </w:rPr>
        <w:t xml:space="preserve"> et al. (2019) (CALCIDES et al.,2019), que apontou que 16,8% de sua amostra faz uso desse tipo de medicação; e menor à descrita por </w:t>
      </w:r>
      <w:proofErr w:type="spellStart"/>
      <w:r w:rsidRPr="00282BA6">
        <w:rPr>
          <w:szCs w:val="24"/>
        </w:rPr>
        <w:t>Fond</w:t>
      </w:r>
      <w:proofErr w:type="spellEnd"/>
      <w:r w:rsidRPr="00282BA6">
        <w:rPr>
          <w:szCs w:val="24"/>
        </w:rPr>
        <w:t xml:space="preserve"> et al. (2018) (FOND et al., 2018), cujo estudo evidenciou 37,7% dos estudantes de 35 universidades de medicina francesas utilizavam esse tipo de medicação. Apesar deste estudo não ter evidenciado uma associação significativa ao nível de 5% entre a variável Burnout e a variável uso de medicação, estudos </w:t>
      </w:r>
      <w:r w:rsidRPr="00282BA6">
        <w:rPr>
          <w:szCs w:val="24"/>
          <w:shd w:val="clear" w:color="auto" w:fill="FFFFFF"/>
        </w:rPr>
        <w:t xml:space="preserve">longitudinais, realizados por </w:t>
      </w:r>
      <w:proofErr w:type="spellStart"/>
      <w:r w:rsidRPr="00282BA6">
        <w:rPr>
          <w:szCs w:val="24"/>
          <w:shd w:val="clear" w:color="auto" w:fill="FFFFFF"/>
        </w:rPr>
        <w:t>Madsen</w:t>
      </w:r>
      <w:proofErr w:type="spellEnd"/>
      <w:r w:rsidRPr="00282BA6">
        <w:rPr>
          <w:szCs w:val="24"/>
          <w:shd w:val="clear" w:color="auto" w:fill="FFFFFF"/>
        </w:rPr>
        <w:t xml:space="preserve"> et al. (2015) (MADSEN et al.,2015), apontaram que o tratamento com antidepressivos pode ser um fator de risco para o agravamento da síndrome de Burnout, uma vez que pode mascarar os sintomas do Burnout inicial e retardar uma abordagem mais adequada no início dessa síndrome. Esse risco é aumentado, principalmente, em indivíduos do sexo masculino.</w:t>
      </w:r>
    </w:p>
    <w:p w14:paraId="43FED05A" w14:textId="77777777" w:rsidR="005B6E32" w:rsidRPr="00282BA6" w:rsidRDefault="005B6E32" w:rsidP="005B6E32">
      <w:pPr>
        <w:spacing w:after="0" w:line="360" w:lineRule="auto"/>
        <w:ind w:left="113" w:right="113" w:firstLine="709"/>
        <w:rPr>
          <w:szCs w:val="24"/>
          <w:shd w:val="clear" w:color="auto" w:fill="FFFFFF"/>
        </w:rPr>
      </w:pPr>
      <w:r w:rsidRPr="00282BA6">
        <w:rPr>
          <w:szCs w:val="24"/>
        </w:rPr>
        <w:t xml:space="preserve">Neste estudo também não houve associação significativa ao nível de 5% entre as variáveis de qualidade de vida ou Burnout e período do curso cursado pelo acadêmico, salientando que independente do momento em que o estudante se encontra no curso de Medicina, a qualidade de vida não é significativamente diferente. Contudo, tal afirmação vai de encontro às elucidações feitas por Silva et al. (2020) (SILVA et al., 2020) e Moura et al. (2019) (MOURA et al., 2019), cujas afirmações </w:t>
      </w:r>
      <w:r w:rsidRPr="00282BA6">
        <w:rPr>
          <w:szCs w:val="24"/>
          <w:shd w:val="clear" w:color="auto" w:fill="FFFFFF"/>
        </w:rPr>
        <w:t>apontam que as interações com os pacientes são interessantes e gratificantes, fazendo, em geral, as pontuações no questionário de Burnout serem melhores em alunos internos do que em outros alunos.</w:t>
      </w:r>
    </w:p>
    <w:p w14:paraId="218BE2F1" w14:textId="77777777" w:rsidR="005B6E32" w:rsidRPr="00282BA6" w:rsidRDefault="005B6E32" w:rsidP="005B6E32">
      <w:pPr>
        <w:spacing w:after="0" w:line="360" w:lineRule="auto"/>
        <w:ind w:left="113" w:right="113" w:firstLine="709"/>
        <w:rPr>
          <w:color w:val="212121"/>
          <w:szCs w:val="24"/>
          <w:shd w:val="clear" w:color="auto" w:fill="FFFFFF"/>
        </w:rPr>
      </w:pPr>
      <w:r w:rsidRPr="00282BA6">
        <w:rPr>
          <w:szCs w:val="24"/>
          <w:shd w:val="clear" w:color="auto" w:fill="FFFFFF"/>
        </w:rPr>
        <w:t xml:space="preserve">Embora a maioria dos estudantes analisados neste estudo tenham </w:t>
      </w:r>
      <w:r w:rsidRPr="00282BA6">
        <w:rPr>
          <w:szCs w:val="24"/>
        </w:rPr>
        <w:t xml:space="preserve">afirmado que o início do uso de medicação ansiolítica/antidepressiva não esteve relacionado ao contexto da pandemia, sabe-se que a pandemia pode exercer </w:t>
      </w:r>
      <w:r w:rsidRPr="00282BA6">
        <w:rPr>
          <w:color w:val="212121"/>
          <w:szCs w:val="24"/>
          <w:shd w:val="clear" w:color="auto" w:fill="FFFFFF"/>
        </w:rPr>
        <w:t xml:space="preserve">efeitos educacionais e psicológicos nos estudantes, não só de medicina, mas de qualquer área do conhecimento, principalmente associados aos desafios da aprendizagem online. </w:t>
      </w:r>
      <w:proofErr w:type="spellStart"/>
      <w:r w:rsidRPr="00282BA6">
        <w:rPr>
          <w:szCs w:val="24"/>
          <w:shd w:val="clear" w:color="auto" w:fill="FFFFFF"/>
        </w:rPr>
        <w:t>Mheidly</w:t>
      </w:r>
      <w:proofErr w:type="spellEnd"/>
      <w:r w:rsidRPr="00282BA6">
        <w:rPr>
          <w:szCs w:val="24"/>
          <w:shd w:val="clear" w:color="auto" w:fill="FFFFFF"/>
        </w:rPr>
        <w:t xml:space="preserve"> et al. (2020) (MHEIDLY et al., 2020), </w:t>
      </w:r>
      <w:r w:rsidRPr="00282BA6">
        <w:rPr>
          <w:color w:val="212121"/>
          <w:szCs w:val="24"/>
          <w:shd w:val="clear" w:color="auto" w:fill="FFFFFF"/>
        </w:rPr>
        <w:t xml:space="preserve">salienta que tempo prolongado diante de telas, tablets e dispositivos inteligentes aumenta o estresse e a </w:t>
      </w:r>
      <w:r w:rsidRPr="00282BA6">
        <w:rPr>
          <w:color w:val="212121"/>
          <w:szCs w:val="24"/>
          <w:shd w:val="clear" w:color="auto" w:fill="FFFFFF"/>
        </w:rPr>
        <w:lastRenderedPageBreak/>
        <w:t xml:space="preserve">ansiedade. Os estressores da saúde mental associados à telecomunicação podem se somar a outros estressores relacionados ao tempo de quarentena e, eventualmente, levar à exaustão e esgotamento. </w:t>
      </w:r>
    </w:p>
    <w:p w14:paraId="0E8DEDA7" w14:textId="0183F186" w:rsidR="005B6E32" w:rsidRPr="00282BA6" w:rsidRDefault="005B6E32" w:rsidP="005B6E32">
      <w:pPr>
        <w:pStyle w:val="SemEspaamento"/>
        <w:spacing w:line="360" w:lineRule="auto"/>
        <w:ind w:firstLine="698"/>
        <w:rPr>
          <w:szCs w:val="24"/>
          <w:shd w:val="clear" w:color="auto" w:fill="FFFFFF"/>
        </w:rPr>
      </w:pPr>
      <w:r w:rsidRPr="00282BA6">
        <w:rPr>
          <w:szCs w:val="24"/>
          <w:shd w:val="clear" w:color="auto" w:fill="FFFFFF"/>
        </w:rPr>
        <w:t xml:space="preserve">Algumas limitações deste estudo merecem consideração. Devido à ausência de estudantes cursando o décimo primeiro e décimo segundo período que responderam ao questionário, exige-se que consideremos a possibilidade de haver mais casos de Burnout entre os alunos do que os demonstrados. Vale ressaltar também que, devido ao estudo possuir um desenho transversal, este não possui dados comparativos </w:t>
      </w:r>
      <w:proofErr w:type="spellStart"/>
      <w:r w:rsidRPr="00282BA6">
        <w:rPr>
          <w:szCs w:val="24"/>
          <w:shd w:val="clear" w:color="auto" w:fill="FFFFFF"/>
        </w:rPr>
        <w:t>pré</w:t>
      </w:r>
      <w:proofErr w:type="spellEnd"/>
      <w:r w:rsidRPr="00282BA6">
        <w:rPr>
          <w:szCs w:val="24"/>
          <w:shd w:val="clear" w:color="auto" w:fill="FFFFFF"/>
        </w:rPr>
        <w:t xml:space="preserve"> e pós pandemia, não sendo possível, assim, estabelecer associações causais entre a síndrome de Burnout nos estudantes de medicina da PUC Goiás e a pandemia por COVID-19. </w:t>
      </w:r>
    </w:p>
    <w:p w14:paraId="6C24A44E" w14:textId="54C03268" w:rsidR="00594B5E" w:rsidRDefault="00594B5E" w:rsidP="00594B5E">
      <w:pPr>
        <w:pStyle w:val="SemEspaamento"/>
        <w:spacing w:line="360" w:lineRule="auto"/>
        <w:rPr>
          <w:sz w:val="20"/>
          <w:szCs w:val="20"/>
          <w:shd w:val="clear" w:color="auto" w:fill="FFFFFF"/>
        </w:rPr>
      </w:pPr>
    </w:p>
    <w:p w14:paraId="6C5A932D" w14:textId="2883A861" w:rsidR="00594B5E" w:rsidRDefault="00594B5E" w:rsidP="00594B5E">
      <w:pPr>
        <w:pStyle w:val="Ttulo1"/>
        <w:rPr>
          <w:shd w:val="clear" w:color="auto" w:fill="FFFFFF"/>
        </w:rPr>
      </w:pPr>
      <w:bookmarkStart w:id="7" w:name="_Toc90483721"/>
      <w:r>
        <w:rPr>
          <w:shd w:val="clear" w:color="auto" w:fill="FFFFFF"/>
        </w:rPr>
        <w:t>CONSIDERAÇÕES FINAS</w:t>
      </w:r>
      <w:bookmarkEnd w:id="7"/>
    </w:p>
    <w:p w14:paraId="2ECA98EA" w14:textId="77777777" w:rsidR="00740DA2" w:rsidRDefault="00594B5E" w:rsidP="00594B5E">
      <w:pPr>
        <w:pStyle w:val="SemEspaamento"/>
        <w:spacing w:line="360" w:lineRule="auto"/>
        <w:ind w:left="113" w:right="11" w:firstLine="709"/>
        <w:rPr>
          <w:rFonts w:eastAsia="Times New Roman"/>
          <w:szCs w:val="24"/>
        </w:rPr>
      </w:pPr>
      <w:bookmarkStart w:id="8" w:name="_Hlk85451588"/>
      <w:r w:rsidRPr="00750B21">
        <w:rPr>
          <w:szCs w:val="24"/>
        </w:rPr>
        <w:t>O nível de esgotamento laboral entre acadêmicos de medicina da PUC-GO durante a pandemia por COVID-19 foi elevado, já que 86,5% (</w:t>
      </w:r>
      <w:r w:rsidRPr="00802FA3">
        <w:rPr>
          <w:szCs w:val="24"/>
        </w:rPr>
        <w:t>n=64) dos acadêmicos entrevistados apresentam algum grau de Burnout</w:t>
      </w:r>
      <w:bookmarkEnd w:id="8"/>
      <w:r w:rsidRPr="00750B21">
        <w:rPr>
          <w:szCs w:val="24"/>
        </w:rPr>
        <w:t>, seja ele na fase inicial ou na síndrome já instalada</w:t>
      </w:r>
      <w:r>
        <w:rPr>
          <w:szCs w:val="24"/>
        </w:rPr>
        <w:t xml:space="preserve">. </w:t>
      </w:r>
      <w:r w:rsidRPr="00750B21">
        <w:rPr>
          <w:rFonts w:eastAsia="Times New Roman"/>
          <w:szCs w:val="24"/>
        </w:rPr>
        <w:t xml:space="preserve">Este resultado gera preocupação devido ao risco elevado que o acadêmico de medicina já possui de desenvolver </w:t>
      </w:r>
      <w:r w:rsidRPr="00750B21">
        <w:t>este tipo de relação negativa com o ambiente laboral</w:t>
      </w:r>
      <w:r w:rsidRPr="00750B21">
        <w:rPr>
          <w:rFonts w:eastAsia="Times New Roman"/>
          <w:szCs w:val="24"/>
        </w:rPr>
        <w:t xml:space="preserve">, o que interfere diretamente na </w:t>
      </w:r>
      <w:bookmarkStart w:id="9" w:name="_Hlk85451652"/>
      <w:r w:rsidRPr="00750B21">
        <w:rPr>
          <w:rFonts w:eastAsia="Times New Roman"/>
          <w:szCs w:val="24"/>
        </w:rPr>
        <w:t>qualidade de vida e na saúde mental dessa população</w:t>
      </w:r>
      <w:bookmarkEnd w:id="9"/>
      <w:r w:rsidRPr="00750B21">
        <w:rPr>
          <w:rFonts w:eastAsia="Times New Roman"/>
          <w:szCs w:val="24"/>
        </w:rPr>
        <w:t>.</w:t>
      </w:r>
    </w:p>
    <w:p w14:paraId="2D03665C" w14:textId="77777777" w:rsidR="00594B5E" w:rsidRDefault="00594B5E" w:rsidP="00594B5E">
      <w:pPr>
        <w:pStyle w:val="SemEspaamento"/>
        <w:spacing w:line="360" w:lineRule="auto"/>
        <w:ind w:left="0" w:right="11" w:firstLine="0"/>
        <w:rPr>
          <w:rFonts w:eastAsia="Times New Roman"/>
          <w:szCs w:val="24"/>
        </w:rPr>
      </w:pPr>
    </w:p>
    <w:p w14:paraId="5965863D" w14:textId="77777777" w:rsidR="00594B5E" w:rsidRDefault="00594B5E" w:rsidP="00594B5E">
      <w:pPr>
        <w:pStyle w:val="SemEspaamento"/>
        <w:spacing w:line="360" w:lineRule="auto"/>
        <w:ind w:left="0" w:right="11" w:firstLine="0"/>
        <w:rPr>
          <w:rFonts w:eastAsia="Times New Roman"/>
          <w:szCs w:val="24"/>
        </w:rPr>
      </w:pPr>
    </w:p>
    <w:p w14:paraId="1FECC0BB" w14:textId="77777777" w:rsidR="00594B5E" w:rsidRDefault="00594B5E" w:rsidP="00594B5E">
      <w:pPr>
        <w:pStyle w:val="Ttulo1"/>
      </w:pPr>
      <w:bookmarkStart w:id="10" w:name="_Toc90483722"/>
      <w:r>
        <w:t>REFERÊNCIAS</w:t>
      </w:r>
      <w:bookmarkEnd w:id="10"/>
    </w:p>
    <w:p w14:paraId="2247DD0E" w14:textId="77777777" w:rsidR="00594B5E" w:rsidRPr="00282BA6" w:rsidRDefault="00594B5E" w:rsidP="00594B5E">
      <w:pPr>
        <w:rPr>
          <w:color w:val="auto"/>
          <w:szCs w:val="24"/>
        </w:rPr>
      </w:pPr>
    </w:p>
    <w:p w14:paraId="28A9F29E" w14:textId="77777777" w:rsidR="00594B5E" w:rsidRPr="00282BA6" w:rsidRDefault="00594B5E" w:rsidP="00594B5E">
      <w:pPr>
        <w:pStyle w:val="PargrafodaLista"/>
        <w:numPr>
          <w:ilvl w:val="0"/>
          <w:numId w:val="6"/>
        </w:numPr>
        <w:spacing w:after="0" w:line="360" w:lineRule="auto"/>
        <w:ind w:right="0"/>
        <w:rPr>
          <w:color w:val="auto"/>
          <w:szCs w:val="24"/>
        </w:rPr>
      </w:pPr>
      <w:r w:rsidRPr="00282BA6">
        <w:rPr>
          <w:color w:val="auto"/>
          <w:szCs w:val="24"/>
        </w:rPr>
        <w:t xml:space="preserve">Barbosa Fabiano Timbó, </w:t>
      </w:r>
      <w:proofErr w:type="spellStart"/>
      <w:r w:rsidRPr="00282BA6">
        <w:rPr>
          <w:color w:val="auto"/>
          <w:szCs w:val="24"/>
        </w:rPr>
        <w:t>Eloi</w:t>
      </w:r>
      <w:proofErr w:type="spellEnd"/>
      <w:r w:rsidRPr="00282BA6">
        <w:rPr>
          <w:color w:val="auto"/>
          <w:szCs w:val="24"/>
        </w:rPr>
        <w:t xml:space="preserve"> Raissa </w:t>
      </w:r>
      <w:proofErr w:type="spellStart"/>
      <w:r w:rsidRPr="00282BA6">
        <w:rPr>
          <w:color w:val="auto"/>
          <w:szCs w:val="24"/>
        </w:rPr>
        <w:t>Jardelino</w:t>
      </w:r>
      <w:proofErr w:type="spellEnd"/>
      <w:r w:rsidRPr="00282BA6">
        <w:rPr>
          <w:color w:val="auto"/>
          <w:szCs w:val="24"/>
        </w:rPr>
        <w:t xml:space="preserve">, Santos Luciano Menezes dos, Leão Bruna Acioly, Lima Fernando José Camelo de, Sousa-Rodrigues Célio Fernando de. Correlação entre horário de trabalho semanal e síndrome de burnout entre anestesiologistas de </w:t>
      </w:r>
      <w:proofErr w:type="spellStart"/>
      <w:r w:rsidRPr="00282BA6">
        <w:rPr>
          <w:color w:val="auto"/>
          <w:szCs w:val="24"/>
        </w:rPr>
        <w:t>Maceió-AL</w:t>
      </w:r>
      <w:proofErr w:type="spellEnd"/>
      <w:r w:rsidRPr="00282BA6">
        <w:rPr>
          <w:color w:val="auto"/>
          <w:szCs w:val="24"/>
        </w:rPr>
        <w:t xml:space="preserve">. Rev. Bras. </w:t>
      </w:r>
      <w:proofErr w:type="spellStart"/>
      <w:r w:rsidRPr="00282BA6">
        <w:rPr>
          <w:color w:val="auto"/>
          <w:szCs w:val="24"/>
        </w:rPr>
        <w:t>Anestesiol</w:t>
      </w:r>
      <w:proofErr w:type="spellEnd"/>
      <w:r w:rsidRPr="00282BA6">
        <w:rPr>
          <w:color w:val="auto"/>
          <w:szCs w:val="24"/>
        </w:rPr>
        <w:t xml:space="preserve">. [Internet]. 2017 </w:t>
      </w:r>
      <w:proofErr w:type="spellStart"/>
      <w:r w:rsidRPr="00282BA6">
        <w:rPr>
          <w:color w:val="auto"/>
          <w:szCs w:val="24"/>
        </w:rPr>
        <w:t>abr</w:t>
      </w:r>
      <w:proofErr w:type="spellEnd"/>
      <w:r w:rsidRPr="00282BA6">
        <w:rPr>
          <w:color w:val="auto"/>
          <w:szCs w:val="24"/>
        </w:rPr>
        <w:t xml:space="preserve"> [citado 2020 </w:t>
      </w:r>
      <w:proofErr w:type="spellStart"/>
      <w:r w:rsidRPr="00282BA6">
        <w:rPr>
          <w:color w:val="auto"/>
          <w:szCs w:val="24"/>
        </w:rPr>
        <w:t>fev</w:t>
      </w:r>
      <w:proofErr w:type="spellEnd"/>
      <w:r w:rsidRPr="00282BA6">
        <w:rPr>
          <w:color w:val="auto"/>
          <w:szCs w:val="24"/>
        </w:rPr>
        <w:t xml:space="preserve"> 13]; 67 (2): 115-121. Disponível em: http://www.scielo.br/scielo.php?script=sci_arttext&amp;pid=S003470942017000200115&amp;lng=en.</w:t>
      </w:r>
      <w:hyperlink r:id="rId8">
        <w:r w:rsidRPr="00282BA6">
          <w:rPr>
            <w:color w:val="auto"/>
            <w:szCs w:val="24"/>
          </w:rPr>
          <w:t xml:space="preserve"> </w:t>
        </w:r>
      </w:hyperlink>
      <w:hyperlink r:id="rId9">
        <w:r w:rsidRPr="00282BA6">
          <w:rPr>
            <w:color w:val="auto"/>
            <w:szCs w:val="24"/>
          </w:rPr>
          <w:t>http://dx.doi.org/10.1016/j.bjane.2015.06.001</w:t>
        </w:r>
      </w:hyperlink>
      <w:hyperlink r:id="rId10">
        <w:r w:rsidRPr="00282BA6">
          <w:rPr>
            <w:color w:val="auto"/>
            <w:szCs w:val="24"/>
          </w:rPr>
          <w:t>.</w:t>
        </w:r>
      </w:hyperlink>
      <w:r w:rsidRPr="00282BA6">
        <w:rPr>
          <w:color w:val="auto"/>
          <w:szCs w:val="24"/>
        </w:rPr>
        <w:t xml:space="preserve"> </w:t>
      </w:r>
    </w:p>
    <w:p w14:paraId="1ACD5D89" w14:textId="77777777" w:rsidR="00594B5E" w:rsidRPr="00282BA6" w:rsidRDefault="00594B5E" w:rsidP="00594B5E">
      <w:pPr>
        <w:pStyle w:val="PargrafodaLista"/>
        <w:numPr>
          <w:ilvl w:val="0"/>
          <w:numId w:val="6"/>
        </w:numPr>
        <w:spacing w:after="0" w:line="360" w:lineRule="auto"/>
        <w:ind w:right="0"/>
        <w:rPr>
          <w:color w:val="auto"/>
          <w:szCs w:val="24"/>
        </w:rPr>
      </w:pPr>
      <w:r w:rsidRPr="00282BA6">
        <w:rPr>
          <w:color w:val="auto"/>
          <w:szCs w:val="24"/>
        </w:rPr>
        <w:t xml:space="preserve">Bond, Marina Macedo </w:t>
      </w:r>
      <w:proofErr w:type="spellStart"/>
      <w:r w:rsidRPr="00282BA6">
        <w:rPr>
          <w:color w:val="auto"/>
          <w:szCs w:val="24"/>
        </w:rPr>
        <w:t>Kuenzer</w:t>
      </w:r>
      <w:proofErr w:type="spellEnd"/>
      <w:r w:rsidRPr="00282BA6">
        <w:rPr>
          <w:color w:val="auto"/>
          <w:szCs w:val="24"/>
        </w:rPr>
        <w:t xml:space="preserve">, Oliveira, Michele </w:t>
      </w:r>
      <w:proofErr w:type="spellStart"/>
      <w:r w:rsidRPr="00282BA6">
        <w:rPr>
          <w:color w:val="auto"/>
          <w:szCs w:val="24"/>
        </w:rPr>
        <w:t>Salibe</w:t>
      </w:r>
      <w:proofErr w:type="spellEnd"/>
      <w:r w:rsidRPr="00282BA6">
        <w:rPr>
          <w:color w:val="auto"/>
          <w:szCs w:val="24"/>
        </w:rPr>
        <w:t xml:space="preserve"> </w:t>
      </w:r>
      <w:proofErr w:type="gramStart"/>
      <w:r w:rsidRPr="00282BA6">
        <w:rPr>
          <w:color w:val="auto"/>
          <w:szCs w:val="24"/>
        </w:rPr>
        <w:t xml:space="preserve">de, </w:t>
      </w:r>
      <w:proofErr w:type="spellStart"/>
      <w:r w:rsidRPr="00282BA6">
        <w:rPr>
          <w:color w:val="auto"/>
          <w:szCs w:val="24"/>
        </w:rPr>
        <w:t>Bressan</w:t>
      </w:r>
      <w:proofErr w:type="spellEnd"/>
      <w:proofErr w:type="gramEnd"/>
      <w:r w:rsidRPr="00282BA6">
        <w:rPr>
          <w:color w:val="auto"/>
          <w:szCs w:val="24"/>
        </w:rPr>
        <w:t xml:space="preserve">, Bruno Júnior, Bond, Marisa Macedo </w:t>
      </w:r>
      <w:proofErr w:type="spellStart"/>
      <w:r w:rsidRPr="00282BA6">
        <w:rPr>
          <w:color w:val="auto"/>
          <w:szCs w:val="24"/>
        </w:rPr>
        <w:t>Kuenzer</w:t>
      </w:r>
      <w:proofErr w:type="spellEnd"/>
      <w:r w:rsidRPr="00282BA6">
        <w:rPr>
          <w:color w:val="auto"/>
          <w:szCs w:val="24"/>
        </w:rPr>
        <w:t xml:space="preserve">, Silva, André </w:t>
      </w:r>
      <w:proofErr w:type="spellStart"/>
      <w:r w:rsidRPr="00282BA6">
        <w:rPr>
          <w:color w:val="auto"/>
          <w:szCs w:val="24"/>
        </w:rPr>
        <w:t>Luis</w:t>
      </w:r>
      <w:proofErr w:type="spellEnd"/>
      <w:r w:rsidRPr="00282BA6">
        <w:rPr>
          <w:color w:val="auto"/>
          <w:szCs w:val="24"/>
        </w:rPr>
        <w:t xml:space="preserve"> Ferreira Azeredo da, &amp; </w:t>
      </w:r>
      <w:proofErr w:type="spellStart"/>
      <w:r w:rsidRPr="00282BA6">
        <w:rPr>
          <w:color w:val="auto"/>
          <w:szCs w:val="24"/>
        </w:rPr>
        <w:t>Merlo</w:t>
      </w:r>
      <w:proofErr w:type="spellEnd"/>
      <w:r w:rsidRPr="00282BA6">
        <w:rPr>
          <w:color w:val="auto"/>
          <w:szCs w:val="24"/>
        </w:rPr>
        <w:t xml:space="preserve">, Álvaro Roberto Crespo. (2018). Prevalência de Burnout entre Médicos </w:t>
      </w:r>
      <w:r w:rsidRPr="00282BA6">
        <w:rPr>
          <w:color w:val="auto"/>
          <w:szCs w:val="24"/>
        </w:rPr>
        <w:lastRenderedPageBreak/>
        <w:t xml:space="preserve">Residentes de um Hospital Universitário. </w:t>
      </w:r>
      <w:r w:rsidRPr="00282BA6">
        <w:rPr>
          <w:i/>
          <w:color w:val="auto"/>
          <w:szCs w:val="24"/>
        </w:rPr>
        <w:t>Revista Brasileira de Educação Médica</w:t>
      </w:r>
      <w:r w:rsidRPr="00282BA6">
        <w:rPr>
          <w:color w:val="auto"/>
          <w:szCs w:val="24"/>
        </w:rPr>
        <w:t xml:space="preserve">, </w:t>
      </w:r>
      <w:r w:rsidRPr="00282BA6">
        <w:rPr>
          <w:i/>
          <w:color w:val="auto"/>
          <w:szCs w:val="24"/>
        </w:rPr>
        <w:t>42</w:t>
      </w:r>
      <w:r w:rsidRPr="00282BA6">
        <w:rPr>
          <w:color w:val="auto"/>
          <w:szCs w:val="24"/>
        </w:rPr>
        <w:t xml:space="preserve">(3), 97-107. </w:t>
      </w:r>
      <w:hyperlink r:id="rId11">
        <w:r w:rsidRPr="00282BA6">
          <w:rPr>
            <w:color w:val="auto"/>
            <w:szCs w:val="24"/>
          </w:rPr>
          <w:t>https://dx.doi.org/10.1590/1981</w:t>
        </w:r>
      </w:hyperlink>
      <w:hyperlink r:id="rId12"/>
      <w:hyperlink r:id="rId13">
        <w:r w:rsidRPr="00282BA6">
          <w:rPr>
            <w:color w:val="auto"/>
            <w:szCs w:val="24"/>
          </w:rPr>
          <w:t>52712015v42n3rb20170034.r3</w:t>
        </w:r>
      </w:hyperlink>
      <w:hyperlink r:id="rId14">
        <w:r w:rsidRPr="00282BA6">
          <w:rPr>
            <w:color w:val="auto"/>
            <w:szCs w:val="24"/>
          </w:rPr>
          <w:t xml:space="preserve"> </w:t>
        </w:r>
      </w:hyperlink>
    </w:p>
    <w:p w14:paraId="538A04D8" w14:textId="77777777" w:rsidR="00594B5E" w:rsidRPr="00282BA6" w:rsidRDefault="00594B5E" w:rsidP="00594B5E">
      <w:pPr>
        <w:pStyle w:val="PargrafodaLista"/>
        <w:numPr>
          <w:ilvl w:val="0"/>
          <w:numId w:val="6"/>
        </w:numPr>
        <w:spacing w:after="0" w:line="360" w:lineRule="auto"/>
        <w:ind w:right="0"/>
        <w:rPr>
          <w:color w:val="auto"/>
          <w:szCs w:val="24"/>
          <w:lang w:val="en-US"/>
        </w:rPr>
      </w:pPr>
      <w:proofErr w:type="spellStart"/>
      <w:r w:rsidRPr="00282BA6">
        <w:rPr>
          <w:color w:val="auto"/>
          <w:szCs w:val="24"/>
          <w:shd w:val="clear" w:color="auto" w:fill="FFFFFF"/>
        </w:rPr>
        <w:t>Calcides</w:t>
      </w:r>
      <w:proofErr w:type="spellEnd"/>
      <w:r w:rsidRPr="00282BA6">
        <w:rPr>
          <w:color w:val="auto"/>
          <w:szCs w:val="24"/>
          <w:shd w:val="clear" w:color="auto" w:fill="FFFFFF"/>
        </w:rPr>
        <w:t xml:space="preserve">, </w:t>
      </w:r>
      <w:proofErr w:type="spellStart"/>
      <w:r w:rsidRPr="00282BA6">
        <w:rPr>
          <w:color w:val="auto"/>
          <w:szCs w:val="24"/>
          <w:shd w:val="clear" w:color="auto" w:fill="FFFFFF"/>
        </w:rPr>
        <w:t>Dâmaris</w:t>
      </w:r>
      <w:proofErr w:type="spellEnd"/>
      <w:r w:rsidRPr="00282BA6">
        <w:rPr>
          <w:color w:val="auto"/>
          <w:szCs w:val="24"/>
          <w:shd w:val="clear" w:color="auto" w:fill="FFFFFF"/>
        </w:rPr>
        <w:t xml:space="preserve"> </w:t>
      </w:r>
      <w:proofErr w:type="spellStart"/>
      <w:r w:rsidRPr="00282BA6">
        <w:rPr>
          <w:color w:val="auto"/>
          <w:szCs w:val="24"/>
          <w:shd w:val="clear" w:color="auto" w:fill="FFFFFF"/>
        </w:rPr>
        <w:t>Alejandra</w:t>
      </w:r>
      <w:proofErr w:type="spellEnd"/>
      <w:r w:rsidRPr="00282BA6">
        <w:rPr>
          <w:color w:val="auto"/>
          <w:szCs w:val="24"/>
          <w:shd w:val="clear" w:color="auto" w:fill="FFFFFF"/>
        </w:rPr>
        <w:t xml:space="preserve"> Paula et al. </w:t>
      </w:r>
      <w:r w:rsidRPr="00282BA6">
        <w:rPr>
          <w:color w:val="auto"/>
          <w:szCs w:val="24"/>
          <w:shd w:val="clear" w:color="auto" w:fill="FFFFFF"/>
          <w:lang w:val="en-US"/>
        </w:rPr>
        <w:t xml:space="preserve">Burnout Syndrome in medical internship students and its prevention with Balint Group. </w:t>
      </w:r>
      <w:r w:rsidRPr="00282BA6">
        <w:rPr>
          <w:color w:val="auto"/>
          <w:szCs w:val="24"/>
          <w:shd w:val="clear" w:color="auto" w:fill="FFFFFF"/>
        </w:rPr>
        <w:t>Revista da Associação Médica Brasileira [online]. 2019, v. 65, n. 11 [</w:t>
      </w:r>
      <w:proofErr w:type="spellStart"/>
      <w:r w:rsidRPr="00282BA6">
        <w:rPr>
          <w:color w:val="auto"/>
          <w:szCs w:val="24"/>
          <w:shd w:val="clear" w:color="auto" w:fill="FFFFFF"/>
        </w:rPr>
        <w:t>Accessed</w:t>
      </w:r>
      <w:proofErr w:type="spellEnd"/>
      <w:r w:rsidRPr="00282BA6">
        <w:rPr>
          <w:color w:val="auto"/>
          <w:szCs w:val="24"/>
          <w:shd w:val="clear" w:color="auto" w:fill="FFFFFF"/>
        </w:rPr>
        <w:t xml:space="preserve"> 18 </w:t>
      </w:r>
      <w:proofErr w:type="spellStart"/>
      <w:r w:rsidRPr="00282BA6">
        <w:rPr>
          <w:color w:val="auto"/>
          <w:szCs w:val="24"/>
          <w:shd w:val="clear" w:color="auto" w:fill="FFFFFF"/>
        </w:rPr>
        <w:t>October</w:t>
      </w:r>
      <w:proofErr w:type="spellEnd"/>
      <w:r w:rsidRPr="00282BA6">
        <w:rPr>
          <w:color w:val="auto"/>
          <w:szCs w:val="24"/>
          <w:shd w:val="clear" w:color="auto" w:fill="FFFFFF"/>
        </w:rPr>
        <w:t xml:space="preserve"> 2021</w:t>
      </w:r>
      <w:proofErr w:type="gramStart"/>
      <w:r w:rsidRPr="00282BA6">
        <w:rPr>
          <w:color w:val="auto"/>
          <w:szCs w:val="24"/>
          <w:shd w:val="clear" w:color="auto" w:fill="FFFFFF"/>
        </w:rPr>
        <w:t>] ,</w:t>
      </w:r>
      <w:proofErr w:type="gramEnd"/>
      <w:r w:rsidRPr="00282BA6">
        <w:rPr>
          <w:color w:val="auto"/>
          <w:szCs w:val="24"/>
          <w:shd w:val="clear" w:color="auto" w:fill="FFFFFF"/>
        </w:rPr>
        <w:t xml:space="preserve"> pp. 1362-1367. </w:t>
      </w:r>
      <w:r w:rsidRPr="00282BA6">
        <w:rPr>
          <w:color w:val="auto"/>
          <w:szCs w:val="24"/>
          <w:shd w:val="clear" w:color="auto" w:fill="FFFFFF"/>
          <w:lang w:val="en-US"/>
        </w:rPr>
        <w:t xml:space="preserve">Available from: &lt;https://doi.org/10.1590/1806-9282.65.11.1362&gt;. </w:t>
      </w:r>
      <w:proofErr w:type="spellStart"/>
      <w:r w:rsidRPr="00282BA6">
        <w:rPr>
          <w:color w:val="auto"/>
          <w:szCs w:val="24"/>
          <w:shd w:val="clear" w:color="auto" w:fill="FFFFFF"/>
          <w:lang w:val="en-US"/>
        </w:rPr>
        <w:t>Epub</w:t>
      </w:r>
      <w:proofErr w:type="spellEnd"/>
      <w:r w:rsidRPr="00282BA6">
        <w:rPr>
          <w:color w:val="auto"/>
          <w:szCs w:val="24"/>
          <w:shd w:val="clear" w:color="auto" w:fill="FFFFFF"/>
          <w:lang w:val="en-US"/>
        </w:rPr>
        <w:t xml:space="preserve"> 02 Dec 2019. ISSN 1806-9282. </w:t>
      </w:r>
      <w:hyperlink r:id="rId15" w:history="1">
        <w:r w:rsidRPr="00282BA6">
          <w:rPr>
            <w:rStyle w:val="Hyperlink"/>
            <w:color w:val="auto"/>
            <w:szCs w:val="24"/>
            <w:shd w:val="clear" w:color="auto" w:fill="FFFFFF"/>
            <w:lang w:val="en-US"/>
          </w:rPr>
          <w:t>https://doi.org/10.1590/1806-9282.65.11.1362</w:t>
        </w:r>
      </w:hyperlink>
      <w:r w:rsidRPr="00282BA6">
        <w:rPr>
          <w:color w:val="auto"/>
          <w:szCs w:val="24"/>
          <w:shd w:val="clear" w:color="auto" w:fill="FFFFFF"/>
          <w:lang w:val="en-US"/>
        </w:rPr>
        <w:t>.</w:t>
      </w:r>
    </w:p>
    <w:p w14:paraId="70E8B585" w14:textId="77777777" w:rsidR="00594B5E" w:rsidRPr="00282BA6" w:rsidRDefault="00594B5E" w:rsidP="00594B5E">
      <w:pPr>
        <w:pStyle w:val="PargrafodaLista"/>
        <w:numPr>
          <w:ilvl w:val="0"/>
          <w:numId w:val="6"/>
        </w:numPr>
        <w:spacing w:after="0" w:line="360" w:lineRule="auto"/>
        <w:ind w:right="0"/>
        <w:rPr>
          <w:color w:val="auto"/>
          <w:szCs w:val="24"/>
        </w:rPr>
      </w:pPr>
      <w:r w:rsidRPr="00282BA6">
        <w:rPr>
          <w:color w:val="auto"/>
          <w:szCs w:val="24"/>
        </w:rPr>
        <w:t xml:space="preserve">Carneiro, L. de A., Rodrigues, W., França, G., &amp; Prata, D. N. (2020). Uso de tecnologias no ensino superior público brasileiro em tempos de pandemia COVID-19. </w:t>
      </w:r>
      <w:proofErr w:type="spellStart"/>
      <w:r w:rsidRPr="00282BA6">
        <w:rPr>
          <w:color w:val="auto"/>
          <w:szCs w:val="24"/>
        </w:rPr>
        <w:t>Research</w:t>
      </w:r>
      <w:proofErr w:type="spellEnd"/>
      <w:r w:rsidRPr="00282BA6">
        <w:rPr>
          <w:color w:val="auto"/>
          <w:szCs w:val="24"/>
        </w:rPr>
        <w:t xml:space="preserve">, Society </w:t>
      </w:r>
      <w:proofErr w:type="spellStart"/>
      <w:r w:rsidRPr="00282BA6">
        <w:rPr>
          <w:color w:val="auto"/>
          <w:szCs w:val="24"/>
        </w:rPr>
        <w:t>and</w:t>
      </w:r>
      <w:proofErr w:type="spellEnd"/>
      <w:r w:rsidRPr="00282BA6">
        <w:rPr>
          <w:color w:val="auto"/>
          <w:szCs w:val="24"/>
        </w:rPr>
        <w:t xml:space="preserve"> </w:t>
      </w:r>
      <w:proofErr w:type="spellStart"/>
      <w:r w:rsidRPr="00282BA6">
        <w:rPr>
          <w:color w:val="auto"/>
          <w:szCs w:val="24"/>
        </w:rPr>
        <w:t>Development</w:t>
      </w:r>
      <w:proofErr w:type="spellEnd"/>
      <w:r w:rsidRPr="00282BA6">
        <w:rPr>
          <w:color w:val="auto"/>
          <w:szCs w:val="24"/>
        </w:rPr>
        <w:t>, 9(8), e267985485. doi:10.33448/rsd-v9i8.5485</w:t>
      </w:r>
    </w:p>
    <w:p w14:paraId="2A88B477" w14:textId="77777777" w:rsidR="00594B5E" w:rsidRPr="00282BA6" w:rsidRDefault="00594B5E" w:rsidP="00594B5E">
      <w:pPr>
        <w:pStyle w:val="PargrafodaLista"/>
        <w:numPr>
          <w:ilvl w:val="0"/>
          <w:numId w:val="6"/>
        </w:numPr>
        <w:spacing w:after="0" w:line="360" w:lineRule="auto"/>
        <w:ind w:right="0"/>
        <w:rPr>
          <w:color w:val="auto"/>
          <w:szCs w:val="24"/>
        </w:rPr>
      </w:pPr>
      <w:r w:rsidRPr="00282BA6">
        <w:rPr>
          <w:color w:val="auto"/>
          <w:szCs w:val="24"/>
        </w:rPr>
        <w:t xml:space="preserve">Cruz Silvia </w:t>
      </w:r>
      <w:proofErr w:type="spellStart"/>
      <w:r w:rsidRPr="00282BA6">
        <w:rPr>
          <w:color w:val="auto"/>
          <w:szCs w:val="24"/>
        </w:rPr>
        <w:t>Portero</w:t>
      </w:r>
      <w:proofErr w:type="spellEnd"/>
      <w:r w:rsidRPr="00282BA6">
        <w:rPr>
          <w:color w:val="auto"/>
          <w:szCs w:val="24"/>
        </w:rPr>
        <w:t xml:space="preserve"> de </w:t>
      </w:r>
      <w:proofErr w:type="spellStart"/>
      <w:r w:rsidRPr="00282BA6">
        <w:rPr>
          <w:color w:val="auto"/>
          <w:szCs w:val="24"/>
        </w:rPr>
        <w:t>la</w:t>
      </w:r>
      <w:proofErr w:type="spellEnd"/>
      <w:r w:rsidRPr="00282BA6">
        <w:rPr>
          <w:color w:val="auto"/>
          <w:szCs w:val="24"/>
        </w:rPr>
        <w:t xml:space="preserve">, Cruz </w:t>
      </w:r>
      <w:proofErr w:type="spellStart"/>
      <w:r w:rsidRPr="00282BA6">
        <w:rPr>
          <w:color w:val="auto"/>
          <w:szCs w:val="24"/>
        </w:rPr>
        <w:t>Jesús</w:t>
      </w:r>
      <w:proofErr w:type="spellEnd"/>
      <w:r w:rsidRPr="00282BA6">
        <w:rPr>
          <w:color w:val="auto"/>
          <w:szCs w:val="24"/>
        </w:rPr>
        <w:t xml:space="preserve"> </w:t>
      </w:r>
      <w:proofErr w:type="spellStart"/>
      <w:r w:rsidRPr="00282BA6">
        <w:rPr>
          <w:color w:val="auto"/>
          <w:szCs w:val="24"/>
        </w:rPr>
        <w:t>Cebrino</w:t>
      </w:r>
      <w:proofErr w:type="spellEnd"/>
      <w:r w:rsidRPr="00282BA6">
        <w:rPr>
          <w:color w:val="auto"/>
          <w:szCs w:val="24"/>
        </w:rPr>
        <w:t xml:space="preserve">, Cabrera Javier </w:t>
      </w:r>
      <w:proofErr w:type="spellStart"/>
      <w:r w:rsidRPr="00282BA6">
        <w:rPr>
          <w:color w:val="auto"/>
          <w:szCs w:val="24"/>
        </w:rPr>
        <w:t>Herruzo</w:t>
      </w:r>
      <w:proofErr w:type="spellEnd"/>
      <w:r w:rsidRPr="00282BA6">
        <w:rPr>
          <w:color w:val="auto"/>
          <w:szCs w:val="24"/>
        </w:rPr>
        <w:t xml:space="preserve">, </w:t>
      </w:r>
      <w:proofErr w:type="spellStart"/>
      <w:r w:rsidRPr="00282BA6">
        <w:rPr>
          <w:color w:val="auto"/>
          <w:szCs w:val="24"/>
        </w:rPr>
        <w:t>Abellán</w:t>
      </w:r>
      <w:proofErr w:type="spellEnd"/>
      <w:r w:rsidRPr="00282BA6">
        <w:rPr>
          <w:color w:val="auto"/>
          <w:szCs w:val="24"/>
        </w:rPr>
        <w:t xml:space="preserve"> Manuel </w:t>
      </w:r>
      <w:proofErr w:type="spellStart"/>
      <w:r w:rsidRPr="00282BA6">
        <w:rPr>
          <w:color w:val="auto"/>
          <w:szCs w:val="24"/>
        </w:rPr>
        <w:t>Vaquero</w:t>
      </w:r>
      <w:proofErr w:type="spellEnd"/>
      <w:r w:rsidRPr="00282BA6">
        <w:rPr>
          <w:color w:val="auto"/>
          <w:szCs w:val="24"/>
        </w:rPr>
        <w:t xml:space="preserve">. Fatores relacionados à probabilidade de sofrer problemas de saúde mental em profissionais de emergência. </w:t>
      </w:r>
      <w:r w:rsidRPr="00282BA6">
        <w:rPr>
          <w:color w:val="auto"/>
          <w:szCs w:val="24"/>
          <w:lang w:val="en-US"/>
        </w:rPr>
        <w:t xml:space="preserve">Rev. Latino-Am. </w:t>
      </w:r>
      <w:proofErr w:type="spellStart"/>
      <w:proofErr w:type="gramStart"/>
      <w:r w:rsidRPr="00282BA6">
        <w:rPr>
          <w:color w:val="auto"/>
          <w:szCs w:val="24"/>
          <w:lang w:val="en-US"/>
        </w:rPr>
        <w:t>Enfermagem</w:t>
      </w:r>
      <w:proofErr w:type="spellEnd"/>
      <w:r w:rsidRPr="00282BA6">
        <w:rPr>
          <w:color w:val="auto"/>
          <w:szCs w:val="24"/>
          <w:lang w:val="en-US"/>
        </w:rPr>
        <w:t xml:space="preserve">  [</w:t>
      </w:r>
      <w:proofErr w:type="gramEnd"/>
      <w:r w:rsidRPr="00282BA6">
        <w:rPr>
          <w:color w:val="auto"/>
          <w:szCs w:val="24"/>
          <w:lang w:val="en-US"/>
        </w:rPr>
        <w:t xml:space="preserve">Internet]. </w:t>
      </w:r>
      <w:proofErr w:type="gramStart"/>
      <w:r w:rsidRPr="00282BA6">
        <w:rPr>
          <w:color w:val="auto"/>
          <w:szCs w:val="24"/>
          <w:lang w:val="en-US"/>
        </w:rPr>
        <w:t>2019  [</w:t>
      </w:r>
      <w:proofErr w:type="gramEnd"/>
      <w:r w:rsidRPr="00282BA6">
        <w:rPr>
          <w:color w:val="auto"/>
          <w:szCs w:val="24"/>
          <w:lang w:val="en-US"/>
        </w:rPr>
        <w:t xml:space="preserve">cited  2020  Feb  13] ;  27: e3144. Available from: http://www.scielo.br/scielo.php?script=sci_arttext&amp;pid=S01041169201900010331&amp;lng=en. </w:t>
      </w:r>
      <w:proofErr w:type="spellStart"/>
      <w:r w:rsidRPr="00282BA6">
        <w:rPr>
          <w:color w:val="auto"/>
          <w:szCs w:val="24"/>
        </w:rPr>
        <w:t>Epub</w:t>
      </w:r>
      <w:proofErr w:type="spellEnd"/>
      <w:r w:rsidRPr="00282BA6">
        <w:rPr>
          <w:color w:val="auto"/>
          <w:szCs w:val="24"/>
        </w:rPr>
        <w:t xml:space="preserve"> </w:t>
      </w:r>
      <w:proofErr w:type="spellStart"/>
      <w:r w:rsidRPr="00282BA6">
        <w:rPr>
          <w:color w:val="auto"/>
          <w:szCs w:val="24"/>
        </w:rPr>
        <w:t>Apr</w:t>
      </w:r>
      <w:proofErr w:type="spellEnd"/>
      <w:r w:rsidRPr="00282BA6">
        <w:rPr>
          <w:color w:val="auto"/>
          <w:szCs w:val="24"/>
        </w:rPr>
        <w:t xml:space="preserve"> 29, 2019. </w:t>
      </w:r>
      <w:hyperlink r:id="rId16">
        <w:r w:rsidRPr="00282BA6">
          <w:rPr>
            <w:color w:val="auto"/>
            <w:szCs w:val="24"/>
          </w:rPr>
          <w:t xml:space="preserve"> </w:t>
        </w:r>
      </w:hyperlink>
      <w:hyperlink r:id="rId17">
        <w:r w:rsidRPr="00282BA6">
          <w:rPr>
            <w:color w:val="auto"/>
            <w:szCs w:val="24"/>
          </w:rPr>
          <w:t>http://dx.doi.org/10.1590/1518</w:t>
        </w:r>
      </w:hyperlink>
      <w:hyperlink r:id="rId18">
        <w:r w:rsidRPr="00282BA6">
          <w:rPr>
            <w:color w:val="auto"/>
            <w:szCs w:val="24"/>
          </w:rPr>
          <w:t>-</w:t>
        </w:r>
      </w:hyperlink>
      <w:hyperlink r:id="rId19">
        <w:r w:rsidRPr="00282BA6">
          <w:rPr>
            <w:color w:val="auto"/>
            <w:szCs w:val="24"/>
          </w:rPr>
          <w:t>8345.3079</w:t>
        </w:r>
      </w:hyperlink>
      <w:hyperlink r:id="rId20">
        <w:r w:rsidRPr="00282BA6">
          <w:rPr>
            <w:color w:val="auto"/>
            <w:szCs w:val="24"/>
          </w:rPr>
          <w:t>-</w:t>
        </w:r>
      </w:hyperlink>
      <w:hyperlink r:id="rId21">
        <w:r w:rsidRPr="00282BA6">
          <w:rPr>
            <w:color w:val="auto"/>
            <w:szCs w:val="24"/>
          </w:rPr>
          <w:t>3144</w:t>
        </w:r>
      </w:hyperlink>
      <w:hyperlink r:id="rId22">
        <w:r w:rsidRPr="00282BA6">
          <w:rPr>
            <w:color w:val="auto"/>
            <w:szCs w:val="24"/>
          </w:rPr>
          <w:t>.</w:t>
        </w:r>
      </w:hyperlink>
      <w:r w:rsidRPr="00282BA6">
        <w:rPr>
          <w:color w:val="auto"/>
          <w:szCs w:val="24"/>
        </w:rPr>
        <w:t xml:space="preserve"> </w:t>
      </w:r>
    </w:p>
    <w:p w14:paraId="59800A87" w14:textId="77777777" w:rsidR="00594B5E" w:rsidRPr="00282BA6" w:rsidRDefault="00594B5E" w:rsidP="00594B5E">
      <w:pPr>
        <w:pStyle w:val="PargrafodaLista"/>
        <w:numPr>
          <w:ilvl w:val="0"/>
          <w:numId w:val="6"/>
        </w:numPr>
        <w:spacing w:after="0" w:line="360" w:lineRule="auto"/>
        <w:ind w:right="0"/>
        <w:rPr>
          <w:color w:val="auto"/>
          <w:szCs w:val="24"/>
        </w:rPr>
      </w:pPr>
      <w:r w:rsidRPr="00282BA6">
        <w:rPr>
          <w:color w:val="auto"/>
          <w:szCs w:val="24"/>
        </w:rPr>
        <w:fldChar w:fldCharType="begin" w:fldLock="1"/>
      </w:r>
      <w:r w:rsidRPr="00282BA6">
        <w:rPr>
          <w:color w:val="auto"/>
          <w:szCs w:val="24"/>
          <w:lang w:val="en-US"/>
        </w:rPr>
        <w:instrText xml:space="preserve">ADDIN Mendeley Bibliography CSL_BIBLIOGRAPHY </w:instrText>
      </w:r>
      <w:r w:rsidRPr="00282BA6">
        <w:rPr>
          <w:color w:val="auto"/>
          <w:szCs w:val="24"/>
        </w:rPr>
        <w:fldChar w:fldCharType="separate"/>
      </w:r>
      <w:proofErr w:type="spellStart"/>
      <w:r w:rsidRPr="00282BA6">
        <w:rPr>
          <w:color w:val="auto"/>
          <w:szCs w:val="24"/>
          <w:shd w:val="clear" w:color="auto" w:fill="FFFFFF"/>
          <w:lang w:val="en-US"/>
        </w:rPr>
        <w:t>Dyrbye</w:t>
      </w:r>
      <w:proofErr w:type="spellEnd"/>
      <w:r w:rsidRPr="00282BA6">
        <w:rPr>
          <w:color w:val="auto"/>
          <w:szCs w:val="24"/>
          <w:shd w:val="clear" w:color="auto" w:fill="FFFFFF"/>
          <w:lang w:val="en-US"/>
        </w:rPr>
        <w:t xml:space="preserve"> LN, Thomas MR, </w:t>
      </w:r>
      <w:proofErr w:type="spellStart"/>
      <w:r w:rsidRPr="00282BA6">
        <w:rPr>
          <w:color w:val="auto"/>
          <w:szCs w:val="24"/>
          <w:shd w:val="clear" w:color="auto" w:fill="FFFFFF"/>
          <w:lang w:val="en-US"/>
        </w:rPr>
        <w:t>Shanafelt</w:t>
      </w:r>
      <w:proofErr w:type="spellEnd"/>
      <w:r w:rsidRPr="00282BA6">
        <w:rPr>
          <w:color w:val="auto"/>
          <w:szCs w:val="24"/>
          <w:shd w:val="clear" w:color="auto" w:fill="FFFFFF"/>
          <w:lang w:val="en-US"/>
        </w:rPr>
        <w:t xml:space="preserve"> TD. </w:t>
      </w:r>
      <w:r w:rsidRPr="00282BA6">
        <w:rPr>
          <w:color w:val="auto"/>
          <w:szCs w:val="24"/>
          <w:shd w:val="clear" w:color="auto" w:fill="FFFFFF"/>
        </w:rPr>
        <w:t>Revisão sistemática da depressão, ansiedade e outros indicadores de sofrimento psicológico entre estudantes de medicina nos Estados Unidos e Canadá. </w:t>
      </w:r>
      <w:proofErr w:type="spellStart"/>
      <w:r w:rsidRPr="00282BA6">
        <w:rPr>
          <w:rStyle w:val="ref-journal"/>
          <w:i/>
          <w:iCs/>
          <w:color w:val="auto"/>
          <w:szCs w:val="24"/>
          <w:shd w:val="clear" w:color="auto" w:fill="FFFFFF"/>
        </w:rPr>
        <w:t>Acad</w:t>
      </w:r>
      <w:proofErr w:type="spellEnd"/>
      <w:r w:rsidRPr="00282BA6">
        <w:rPr>
          <w:rStyle w:val="ref-journal"/>
          <w:i/>
          <w:iCs/>
          <w:color w:val="auto"/>
          <w:szCs w:val="24"/>
          <w:shd w:val="clear" w:color="auto" w:fill="FFFFFF"/>
        </w:rPr>
        <w:t xml:space="preserve"> Med. </w:t>
      </w:r>
      <w:r w:rsidRPr="00282BA6">
        <w:rPr>
          <w:color w:val="auto"/>
          <w:szCs w:val="24"/>
          <w:shd w:val="clear" w:color="auto" w:fill="FFFFFF"/>
        </w:rPr>
        <w:t>2006; </w:t>
      </w:r>
      <w:r w:rsidRPr="00282BA6">
        <w:rPr>
          <w:rStyle w:val="ref-vol"/>
          <w:b/>
          <w:bCs/>
          <w:color w:val="auto"/>
          <w:szCs w:val="24"/>
          <w:shd w:val="clear" w:color="auto" w:fill="FFFFFF"/>
        </w:rPr>
        <w:t>81</w:t>
      </w:r>
      <w:r w:rsidRPr="00282BA6">
        <w:rPr>
          <w:color w:val="auto"/>
          <w:szCs w:val="24"/>
          <w:shd w:val="clear" w:color="auto" w:fill="FFFFFF"/>
        </w:rPr>
        <w:t> (4): 354–373.</w:t>
      </w:r>
    </w:p>
    <w:p w14:paraId="2020B9F5" w14:textId="77777777" w:rsidR="00594B5E" w:rsidRPr="00282BA6" w:rsidRDefault="00594B5E" w:rsidP="00594B5E">
      <w:pPr>
        <w:pStyle w:val="PargrafodaLista"/>
        <w:numPr>
          <w:ilvl w:val="0"/>
          <w:numId w:val="6"/>
        </w:numPr>
        <w:spacing w:after="0" w:line="360" w:lineRule="auto"/>
        <w:ind w:right="0"/>
        <w:rPr>
          <w:color w:val="auto"/>
          <w:szCs w:val="24"/>
        </w:rPr>
      </w:pPr>
      <w:r w:rsidRPr="00282BA6">
        <w:rPr>
          <w:color w:val="auto"/>
          <w:szCs w:val="24"/>
          <w:shd w:val="clear" w:color="auto" w:fill="FFFFFF"/>
          <w:lang w:val="en-US"/>
        </w:rPr>
        <w:t xml:space="preserve">Farrell SM, </w:t>
      </w:r>
      <w:proofErr w:type="spellStart"/>
      <w:r w:rsidRPr="00282BA6">
        <w:rPr>
          <w:color w:val="auto"/>
          <w:szCs w:val="24"/>
          <w:shd w:val="clear" w:color="auto" w:fill="FFFFFF"/>
          <w:lang w:val="en-US"/>
        </w:rPr>
        <w:t>Kadhum</w:t>
      </w:r>
      <w:proofErr w:type="spellEnd"/>
      <w:r w:rsidRPr="00282BA6">
        <w:rPr>
          <w:color w:val="auto"/>
          <w:szCs w:val="24"/>
          <w:shd w:val="clear" w:color="auto" w:fill="FFFFFF"/>
          <w:lang w:val="en-US"/>
        </w:rPr>
        <w:t xml:space="preserve"> M, Lewis T, Singh G, </w:t>
      </w:r>
      <w:proofErr w:type="spellStart"/>
      <w:r w:rsidRPr="00282BA6">
        <w:rPr>
          <w:color w:val="auto"/>
          <w:szCs w:val="24"/>
          <w:shd w:val="clear" w:color="auto" w:fill="FFFFFF"/>
          <w:lang w:val="en-US"/>
        </w:rPr>
        <w:t>Penzenstadler</w:t>
      </w:r>
      <w:proofErr w:type="spellEnd"/>
      <w:r w:rsidRPr="00282BA6">
        <w:rPr>
          <w:color w:val="auto"/>
          <w:szCs w:val="24"/>
          <w:shd w:val="clear" w:color="auto" w:fill="FFFFFF"/>
          <w:lang w:val="en-US"/>
        </w:rPr>
        <w:t xml:space="preserve"> L, </w:t>
      </w:r>
      <w:proofErr w:type="spellStart"/>
      <w:r w:rsidRPr="00282BA6">
        <w:rPr>
          <w:color w:val="auto"/>
          <w:szCs w:val="24"/>
          <w:shd w:val="clear" w:color="auto" w:fill="FFFFFF"/>
          <w:lang w:val="en-US"/>
        </w:rPr>
        <w:t>Molodynski</w:t>
      </w:r>
      <w:proofErr w:type="spellEnd"/>
      <w:r w:rsidRPr="00282BA6">
        <w:rPr>
          <w:color w:val="auto"/>
          <w:szCs w:val="24"/>
          <w:shd w:val="clear" w:color="auto" w:fill="FFFFFF"/>
          <w:lang w:val="en-US"/>
        </w:rPr>
        <w:t xml:space="preserve"> A. </w:t>
      </w:r>
      <w:proofErr w:type="gramStart"/>
      <w:r w:rsidRPr="00282BA6">
        <w:rPr>
          <w:color w:val="auto"/>
          <w:szCs w:val="24"/>
          <w:shd w:val="clear" w:color="auto" w:fill="FFFFFF"/>
          <w:lang w:val="en-US"/>
        </w:rPr>
        <w:t>Wellbeing</w:t>
      </w:r>
      <w:proofErr w:type="gramEnd"/>
      <w:r w:rsidRPr="00282BA6">
        <w:rPr>
          <w:color w:val="auto"/>
          <w:szCs w:val="24"/>
          <w:shd w:val="clear" w:color="auto" w:fill="FFFFFF"/>
          <w:lang w:val="en-US"/>
        </w:rPr>
        <w:t xml:space="preserve"> and burnout amongst medical students in England. </w:t>
      </w:r>
      <w:proofErr w:type="spellStart"/>
      <w:r w:rsidRPr="00282BA6">
        <w:rPr>
          <w:color w:val="auto"/>
          <w:szCs w:val="24"/>
          <w:shd w:val="clear" w:color="auto" w:fill="FFFFFF"/>
        </w:rPr>
        <w:t>Int</w:t>
      </w:r>
      <w:proofErr w:type="spellEnd"/>
      <w:r w:rsidRPr="00282BA6">
        <w:rPr>
          <w:color w:val="auto"/>
          <w:szCs w:val="24"/>
          <w:shd w:val="clear" w:color="auto" w:fill="FFFFFF"/>
        </w:rPr>
        <w:t xml:space="preserve"> </w:t>
      </w:r>
      <w:proofErr w:type="spellStart"/>
      <w:r w:rsidRPr="00282BA6">
        <w:rPr>
          <w:color w:val="auto"/>
          <w:szCs w:val="24"/>
          <w:shd w:val="clear" w:color="auto" w:fill="FFFFFF"/>
        </w:rPr>
        <w:t>Rev</w:t>
      </w:r>
      <w:proofErr w:type="spellEnd"/>
      <w:r w:rsidRPr="00282BA6">
        <w:rPr>
          <w:color w:val="auto"/>
          <w:szCs w:val="24"/>
          <w:shd w:val="clear" w:color="auto" w:fill="FFFFFF"/>
        </w:rPr>
        <w:t xml:space="preserve"> </w:t>
      </w:r>
      <w:proofErr w:type="spellStart"/>
      <w:r w:rsidRPr="00282BA6">
        <w:rPr>
          <w:color w:val="auto"/>
          <w:szCs w:val="24"/>
          <w:shd w:val="clear" w:color="auto" w:fill="FFFFFF"/>
        </w:rPr>
        <w:t>Psychiatry</w:t>
      </w:r>
      <w:proofErr w:type="spellEnd"/>
      <w:r w:rsidRPr="00282BA6">
        <w:rPr>
          <w:color w:val="auto"/>
          <w:szCs w:val="24"/>
          <w:shd w:val="clear" w:color="auto" w:fill="FFFFFF"/>
        </w:rPr>
        <w:t xml:space="preserve">. 2019 Nov-Dec;31(7-8):579-583. </w:t>
      </w:r>
      <w:proofErr w:type="spellStart"/>
      <w:r w:rsidRPr="00282BA6">
        <w:rPr>
          <w:color w:val="auto"/>
          <w:szCs w:val="24"/>
          <w:shd w:val="clear" w:color="auto" w:fill="FFFFFF"/>
        </w:rPr>
        <w:t>doi</w:t>
      </w:r>
      <w:proofErr w:type="spellEnd"/>
      <w:r w:rsidRPr="00282BA6">
        <w:rPr>
          <w:color w:val="auto"/>
          <w:szCs w:val="24"/>
          <w:shd w:val="clear" w:color="auto" w:fill="FFFFFF"/>
        </w:rPr>
        <w:t xml:space="preserve">: 10.1080/09540261.2019.1675960. </w:t>
      </w:r>
      <w:proofErr w:type="spellStart"/>
      <w:r w:rsidRPr="00282BA6">
        <w:rPr>
          <w:color w:val="auto"/>
          <w:szCs w:val="24"/>
          <w:shd w:val="clear" w:color="auto" w:fill="FFFFFF"/>
        </w:rPr>
        <w:t>Epub</w:t>
      </w:r>
      <w:proofErr w:type="spellEnd"/>
      <w:r w:rsidRPr="00282BA6">
        <w:rPr>
          <w:color w:val="auto"/>
          <w:szCs w:val="24"/>
          <w:shd w:val="clear" w:color="auto" w:fill="FFFFFF"/>
        </w:rPr>
        <w:t xml:space="preserve"> 2019 </w:t>
      </w:r>
      <w:proofErr w:type="spellStart"/>
      <w:r w:rsidRPr="00282BA6">
        <w:rPr>
          <w:color w:val="auto"/>
          <w:szCs w:val="24"/>
          <w:shd w:val="clear" w:color="auto" w:fill="FFFFFF"/>
        </w:rPr>
        <w:t>Nov</w:t>
      </w:r>
      <w:proofErr w:type="spellEnd"/>
      <w:r w:rsidRPr="00282BA6">
        <w:rPr>
          <w:color w:val="auto"/>
          <w:szCs w:val="24"/>
          <w:shd w:val="clear" w:color="auto" w:fill="FFFFFF"/>
        </w:rPr>
        <w:t xml:space="preserve"> 6. PMID: 31692396.</w:t>
      </w:r>
    </w:p>
    <w:p w14:paraId="228AA879" w14:textId="77777777" w:rsidR="00594B5E" w:rsidRPr="00282BA6" w:rsidRDefault="00594B5E" w:rsidP="00594B5E">
      <w:pPr>
        <w:pStyle w:val="PargrafodaLista"/>
        <w:numPr>
          <w:ilvl w:val="0"/>
          <w:numId w:val="6"/>
        </w:numPr>
        <w:spacing w:after="0" w:line="360" w:lineRule="auto"/>
        <w:ind w:right="0"/>
        <w:rPr>
          <w:color w:val="auto"/>
          <w:szCs w:val="24"/>
        </w:rPr>
      </w:pPr>
      <w:r w:rsidRPr="00282BA6">
        <w:rPr>
          <w:color w:val="auto"/>
          <w:szCs w:val="24"/>
          <w:shd w:val="clear" w:color="auto" w:fill="FFFFFF"/>
          <w:lang w:val="en-US"/>
        </w:rPr>
        <w:t xml:space="preserve">Fond G, Bourbon A, </w:t>
      </w:r>
      <w:proofErr w:type="spellStart"/>
      <w:r w:rsidRPr="00282BA6">
        <w:rPr>
          <w:color w:val="auto"/>
          <w:szCs w:val="24"/>
          <w:shd w:val="clear" w:color="auto" w:fill="FFFFFF"/>
          <w:lang w:val="en-US"/>
        </w:rPr>
        <w:t>Lançon</w:t>
      </w:r>
      <w:proofErr w:type="spellEnd"/>
      <w:r w:rsidRPr="00282BA6">
        <w:rPr>
          <w:color w:val="auto"/>
          <w:szCs w:val="24"/>
          <w:shd w:val="clear" w:color="auto" w:fill="FFFFFF"/>
          <w:lang w:val="en-US"/>
        </w:rPr>
        <w:t xml:space="preserve"> C, </w:t>
      </w:r>
      <w:proofErr w:type="spellStart"/>
      <w:r w:rsidRPr="00282BA6">
        <w:rPr>
          <w:color w:val="auto"/>
          <w:szCs w:val="24"/>
          <w:shd w:val="clear" w:color="auto" w:fill="FFFFFF"/>
          <w:lang w:val="en-US"/>
        </w:rPr>
        <w:t>Boucekine</w:t>
      </w:r>
      <w:proofErr w:type="spellEnd"/>
      <w:r w:rsidRPr="00282BA6">
        <w:rPr>
          <w:color w:val="auto"/>
          <w:szCs w:val="24"/>
          <w:shd w:val="clear" w:color="auto" w:fill="FFFFFF"/>
          <w:lang w:val="en-US"/>
        </w:rPr>
        <w:t xml:space="preserve"> M, </w:t>
      </w:r>
      <w:proofErr w:type="spellStart"/>
      <w:r w:rsidRPr="00282BA6">
        <w:rPr>
          <w:color w:val="auto"/>
          <w:szCs w:val="24"/>
          <w:shd w:val="clear" w:color="auto" w:fill="FFFFFF"/>
          <w:lang w:val="en-US"/>
        </w:rPr>
        <w:t>Micoulaud</w:t>
      </w:r>
      <w:proofErr w:type="spellEnd"/>
      <w:r w:rsidRPr="00282BA6">
        <w:rPr>
          <w:color w:val="auto"/>
          <w:szCs w:val="24"/>
          <w:shd w:val="clear" w:color="auto" w:fill="FFFFFF"/>
          <w:lang w:val="en-US"/>
        </w:rPr>
        <w:t xml:space="preserve">-Franchi JA, </w:t>
      </w:r>
      <w:proofErr w:type="spellStart"/>
      <w:r w:rsidRPr="00282BA6">
        <w:rPr>
          <w:color w:val="auto"/>
          <w:szCs w:val="24"/>
          <w:shd w:val="clear" w:color="auto" w:fill="FFFFFF"/>
          <w:lang w:val="en-US"/>
        </w:rPr>
        <w:t>Auquier</w:t>
      </w:r>
      <w:proofErr w:type="spellEnd"/>
      <w:r w:rsidRPr="00282BA6">
        <w:rPr>
          <w:color w:val="auto"/>
          <w:szCs w:val="24"/>
          <w:shd w:val="clear" w:color="auto" w:fill="FFFFFF"/>
          <w:lang w:val="en-US"/>
        </w:rPr>
        <w:t xml:space="preserve"> P, Boyer L. Psychiatric and psychological follow-up of undergraduate and postgraduate medical students: Prevalence and associated factors. Results from the national BOURBON study. Psychiatry Res. 2019 </w:t>
      </w:r>
      <w:proofErr w:type="gramStart"/>
      <w:r w:rsidRPr="00282BA6">
        <w:rPr>
          <w:color w:val="auto"/>
          <w:szCs w:val="24"/>
          <w:shd w:val="clear" w:color="auto" w:fill="FFFFFF"/>
          <w:lang w:val="en-US"/>
        </w:rPr>
        <w:t>Feb;272:425</w:t>
      </w:r>
      <w:proofErr w:type="gramEnd"/>
      <w:r w:rsidRPr="00282BA6">
        <w:rPr>
          <w:color w:val="auto"/>
          <w:szCs w:val="24"/>
          <w:shd w:val="clear" w:color="auto" w:fill="FFFFFF"/>
          <w:lang w:val="en-US"/>
        </w:rPr>
        <w:t xml:space="preserve">-430. </w:t>
      </w:r>
      <w:proofErr w:type="spellStart"/>
      <w:r w:rsidRPr="00282BA6">
        <w:rPr>
          <w:color w:val="auto"/>
          <w:szCs w:val="24"/>
          <w:shd w:val="clear" w:color="auto" w:fill="FFFFFF"/>
          <w:lang w:val="en-US"/>
        </w:rPr>
        <w:t>doi</w:t>
      </w:r>
      <w:proofErr w:type="spellEnd"/>
      <w:r w:rsidRPr="00282BA6">
        <w:rPr>
          <w:color w:val="auto"/>
          <w:szCs w:val="24"/>
          <w:shd w:val="clear" w:color="auto" w:fill="FFFFFF"/>
          <w:lang w:val="en-US"/>
        </w:rPr>
        <w:t xml:space="preserve">: 10.1016/j.psychres.2018.12.174. </w:t>
      </w:r>
      <w:proofErr w:type="spellStart"/>
      <w:r w:rsidRPr="00282BA6">
        <w:rPr>
          <w:color w:val="auto"/>
          <w:szCs w:val="24"/>
          <w:shd w:val="clear" w:color="auto" w:fill="FFFFFF"/>
        </w:rPr>
        <w:t>Epub</w:t>
      </w:r>
      <w:proofErr w:type="spellEnd"/>
      <w:r w:rsidRPr="00282BA6">
        <w:rPr>
          <w:color w:val="auto"/>
          <w:szCs w:val="24"/>
          <w:shd w:val="clear" w:color="auto" w:fill="FFFFFF"/>
        </w:rPr>
        <w:t xml:space="preserve"> 2018 </w:t>
      </w:r>
      <w:proofErr w:type="spellStart"/>
      <w:r w:rsidRPr="00282BA6">
        <w:rPr>
          <w:color w:val="auto"/>
          <w:szCs w:val="24"/>
          <w:shd w:val="clear" w:color="auto" w:fill="FFFFFF"/>
        </w:rPr>
        <w:t>Dec</w:t>
      </w:r>
      <w:proofErr w:type="spellEnd"/>
      <w:r w:rsidRPr="00282BA6">
        <w:rPr>
          <w:color w:val="auto"/>
          <w:szCs w:val="24"/>
          <w:shd w:val="clear" w:color="auto" w:fill="FFFFFF"/>
        </w:rPr>
        <w:t xml:space="preserve"> 31. PMID: 30611959.</w:t>
      </w:r>
    </w:p>
    <w:p w14:paraId="3C6DF3D6" w14:textId="77777777" w:rsidR="00594B5E" w:rsidRPr="00282BA6" w:rsidRDefault="00594B5E" w:rsidP="00594B5E">
      <w:pPr>
        <w:pStyle w:val="PargrafodaLista"/>
        <w:numPr>
          <w:ilvl w:val="0"/>
          <w:numId w:val="6"/>
        </w:numPr>
        <w:spacing w:after="0" w:line="360" w:lineRule="auto"/>
        <w:ind w:right="0"/>
        <w:rPr>
          <w:color w:val="auto"/>
          <w:szCs w:val="24"/>
        </w:rPr>
      </w:pPr>
      <w:proofErr w:type="spellStart"/>
      <w:r w:rsidRPr="00282BA6">
        <w:rPr>
          <w:color w:val="auto"/>
          <w:szCs w:val="24"/>
          <w:shd w:val="clear" w:color="auto" w:fill="FFFFFF"/>
          <w:lang w:val="en-US"/>
        </w:rPr>
        <w:lastRenderedPageBreak/>
        <w:t>Frajerman</w:t>
      </w:r>
      <w:proofErr w:type="spellEnd"/>
      <w:r w:rsidRPr="00282BA6">
        <w:rPr>
          <w:color w:val="auto"/>
          <w:szCs w:val="24"/>
          <w:shd w:val="clear" w:color="auto" w:fill="FFFFFF"/>
          <w:lang w:val="en-US"/>
        </w:rPr>
        <w:t xml:space="preserve"> A, </w:t>
      </w:r>
      <w:proofErr w:type="spellStart"/>
      <w:r w:rsidRPr="00282BA6">
        <w:rPr>
          <w:color w:val="auto"/>
          <w:szCs w:val="24"/>
          <w:shd w:val="clear" w:color="auto" w:fill="FFFFFF"/>
          <w:lang w:val="en-US"/>
        </w:rPr>
        <w:t>Morvan</w:t>
      </w:r>
      <w:proofErr w:type="spellEnd"/>
      <w:r w:rsidRPr="00282BA6">
        <w:rPr>
          <w:color w:val="auto"/>
          <w:szCs w:val="24"/>
          <w:shd w:val="clear" w:color="auto" w:fill="FFFFFF"/>
          <w:lang w:val="en-US"/>
        </w:rPr>
        <w:t xml:space="preserve"> Y, Krebs MO, </w:t>
      </w:r>
      <w:proofErr w:type="spellStart"/>
      <w:r w:rsidRPr="00282BA6">
        <w:rPr>
          <w:color w:val="auto"/>
          <w:szCs w:val="24"/>
          <w:shd w:val="clear" w:color="auto" w:fill="FFFFFF"/>
          <w:lang w:val="en-US"/>
        </w:rPr>
        <w:t>Gorwood</w:t>
      </w:r>
      <w:proofErr w:type="spellEnd"/>
      <w:r w:rsidRPr="00282BA6">
        <w:rPr>
          <w:color w:val="auto"/>
          <w:szCs w:val="24"/>
          <w:shd w:val="clear" w:color="auto" w:fill="FFFFFF"/>
          <w:lang w:val="en-US"/>
        </w:rPr>
        <w:t xml:space="preserve"> P, </w:t>
      </w:r>
      <w:proofErr w:type="spellStart"/>
      <w:r w:rsidRPr="00282BA6">
        <w:rPr>
          <w:color w:val="auto"/>
          <w:szCs w:val="24"/>
          <w:shd w:val="clear" w:color="auto" w:fill="FFFFFF"/>
          <w:lang w:val="en-US"/>
        </w:rPr>
        <w:t>Chaumette</w:t>
      </w:r>
      <w:proofErr w:type="spellEnd"/>
      <w:r w:rsidRPr="00282BA6">
        <w:rPr>
          <w:color w:val="auto"/>
          <w:szCs w:val="24"/>
          <w:shd w:val="clear" w:color="auto" w:fill="FFFFFF"/>
          <w:lang w:val="en-US"/>
        </w:rPr>
        <w:t xml:space="preserve"> B. Burnout in medical students before residency: A systematic review and meta-analysis. </w:t>
      </w:r>
      <w:proofErr w:type="spellStart"/>
      <w:r w:rsidRPr="00282BA6">
        <w:rPr>
          <w:color w:val="auto"/>
          <w:szCs w:val="24"/>
          <w:shd w:val="clear" w:color="auto" w:fill="FFFFFF"/>
        </w:rPr>
        <w:t>Eur</w:t>
      </w:r>
      <w:proofErr w:type="spellEnd"/>
      <w:r w:rsidRPr="00282BA6">
        <w:rPr>
          <w:color w:val="auto"/>
          <w:szCs w:val="24"/>
          <w:shd w:val="clear" w:color="auto" w:fill="FFFFFF"/>
        </w:rPr>
        <w:t xml:space="preserve"> </w:t>
      </w:r>
      <w:proofErr w:type="spellStart"/>
      <w:r w:rsidRPr="00282BA6">
        <w:rPr>
          <w:color w:val="auto"/>
          <w:szCs w:val="24"/>
          <w:shd w:val="clear" w:color="auto" w:fill="FFFFFF"/>
        </w:rPr>
        <w:t>Psychiatry</w:t>
      </w:r>
      <w:proofErr w:type="spellEnd"/>
      <w:r w:rsidRPr="00282BA6">
        <w:rPr>
          <w:color w:val="auto"/>
          <w:szCs w:val="24"/>
          <w:shd w:val="clear" w:color="auto" w:fill="FFFFFF"/>
        </w:rPr>
        <w:t xml:space="preserve">. 2019 </w:t>
      </w:r>
      <w:proofErr w:type="gramStart"/>
      <w:r w:rsidRPr="00282BA6">
        <w:rPr>
          <w:color w:val="auto"/>
          <w:szCs w:val="24"/>
          <w:shd w:val="clear" w:color="auto" w:fill="FFFFFF"/>
        </w:rPr>
        <w:t>Jan;55:36</w:t>
      </w:r>
      <w:proofErr w:type="gramEnd"/>
      <w:r w:rsidRPr="00282BA6">
        <w:rPr>
          <w:color w:val="auto"/>
          <w:szCs w:val="24"/>
          <w:shd w:val="clear" w:color="auto" w:fill="FFFFFF"/>
        </w:rPr>
        <w:t xml:space="preserve">-42. </w:t>
      </w:r>
      <w:proofErr w:type="spellStart"/>
      <w:r w:rsidRPr="00282BA6">
        <w:rPr>
          <w:color w:val="auto"/>
          <w:szCs w:val="24"/>
          <w:shd w:val="clear" w:color="auto" w:fill="FFFFFF"/>
        </w:rPr>
        <w:t>doi</w:t>
      </w:r>
      <w:proofErr w:type="spellEnd"/>
      <w:r w:rsidRPr="00282BA6">
        <w:rPr>
          <w:color w:val="auto"/>
          <w:szCs w:val="24"/>
          <w:shd w:val="clear" w:color="auto" w:fill="FFFFFF"/>
        </w:rPr>
        <w:t xml:space="preserve">: 10.1016/j.eurpsy.2018.08.006. </w:t>
      </w:r>
      <w:proofErr w:type="spellStart"/>
      <w:r w:rsidRPr="00282BA6">
        <w:rPr>
          <w:color w:val="auto"/>
          <w:szCs w:val="24"/>
          <w:shd w:val="clear" w:color="auto" w:fill="FFFFFF"/>
        </w:rPr>
        <w:t>Epub</w:t>
      </w:r>
      <w:proofErr w:type="spellEnd"/>
      <w:r w:rsidRPr="00282BA6">
        <w:rPr>
          <w:color w:val="auto"/>
          <w:szCs w:val="24"/>
          <w:shd w:val="clear" w:color="auto" w:fill="FFFFFF"/>
        </w:rPr>
        <w:t xml:space="preserve"> 2018 </w:t>
      </w:r>
      <w:proofErr w:type="spellStart"/>
      <w:r w:rsidRPr="00282BA6">
        <w:rPr>
          <w:color w:val="auto"/>
          <w:szCs w:val="24"/>
          <w:shd w:val="clear" w:color="auto" w:fill="FFFFFF"/>
        </w:rPr>
        <w:t>Oct</w:t>
      </w:r>
      <w:proofErr w:type="spellEnd"/>
      <w:r w:rsidRPr="00282BA6">
        <w:rPr>
          <w:color w:val="auto"/>
          <w:szCs w:val="24"/>
          <w:shd w:val="clear" w:color="auto" w:fill="FFFFFF"/>
        </w:rPr>
        <w:t xml:space="preserve"> 29. PMID: 30384110</w:t>
      </w:r>
    </w:p>
    <w:p w14:paraId="61303653"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rPr>
        <w:fldChar w:fldCharType="end"/>
      </w:r>
      <w:r w:rsidRPr="00282BA6">
        <w:rPr>
          <w:color w:val="auto"/>
          <w:szCs w:val="24"/>
        </w:rPr>
        <w:t xml:space="preserve">GOMES, Vânia Thais Silva et </w:t>
      </w:r>
      <w:proofErr w:type="gramStart"/>
      <w:r w:rsidRPr="00282BA6">
        <w:rPr>
          <w:color w:val="auto"/>
          <w:szCs w:val="24"/>
        </w:rPr>
        <w:t>al .</w:t>
      </w:r>
      <w:proofErr w:type="gramEnd"/>
      <w:r w:rsidRPr="00282BA6">
        <w:rPr>
          <w:color w:val="auto"/>
          <w:szCs w:val="24"/>
        </w:rPr>
        <w:t xml:space="preserve"> A Pandemia da Covid-19: Repercussões do Ensino Remoto na Formação Médica.</w:t>
      </w:r>
      <w:r w:rsidRPr="00282BA6">
        <w:rPr>
          <w:b/>
          <w:color w:val="auto"/>
          <w:szCs w:val="24"/>
        </w:rPr>
        <w:t xml:space="preserve"> Rev. bras. educ. med.</w:t>
      </w:r>
      <w:r w:rsidRPr="00282BA6">
        <w:rPr>
          <w:color w:val="auto"/>
          <w:szCs w:val="24"/>
        </w:rPr>
        <w:t xml:space="preserve"> Brasília, v. 44, n. 4, e 114, 2020. </w:t>
      </w:r>
      <w:proofErr w:type="spellStart"/>
      <w:r w:rsidRPr="00282BA6">
        <w:rPr>
          <w:color w:val="auto"/>
          <w:szCs w:val="24"/>
        </w:rPr>
        <w:t>Available</w:t>
      </w:r>
      <w:proofErr w:type="spellEnd"/>
      <w:r w:rsidRPr="00282BA6">
        <w:rPr>
          <w:color w:val="auto"/>
          <w:szCs w:val="24"/>
        </w:rPr>
        <w:t xml:space="preserve"> </w:t>
      </w:r>
      <w:proofErr w:type="spellStart"/>
      <w:r w:rsidRPr="00282BA6">
        <w:rPr>
          <w:color w:val="auto"/>
          <w:szCs w:val="24"/>
        </w:rPr>
        <w:t>from</w:t>
      </w:r>
      <w:proofErr w:type="spellEnd"/>
      <w:r w:rsidRPr="00282BA6">
        <w:rPr>
          <w:color w:val="auto"/>
          <w:szCs w:val="24"/>
        </w:rPr>
        <w:t xml:space="preserve"> &lt;http://www.scielo.br/scielo.php?script=sci_arttext&amp;pid=S0100-55022020000400602&amp;lng=en&amp;nrm=iso&gt;. </w:t>
      </w:r>
      <w:r w:rsidRPr="00282BA6">
        <w:rPr>
          <w:color w:val="auto"/>
          <w:szCs w:val="24"/>
        </w:rPr>
        <w:tab/>
      </w:r>
      <w:proofErr w:type="spellStart"/>
      <w:r w:rsidRPr="00282BA6">
        <w:rPr>
          <w:color w:val="auto"/>
          <w:szCs w:val="24"/>
        </w:rPr>
        <w:t>access</w:t>
      </w:r>
      <w:proofErr w:type="spellEnd"/>
      <w:r w:rsidRPr="00282BA6">
        <w:rPr>
          <w:color w:val="auto"/>
          <w:szCs w:val="24"/>
        </w:rPr>
        <w:t xml:space="preserve"> </w:t>
      </w:r>
      <w:proofErr w:type="spellStart"/>
      <w:r w:rsidRPr="00282BA6">
        <w:rPr>
          <w:color w:val="auto"/>
          <w:szCs w:val="24"/>
        </w:rPr>
        <w:t>on</w:t>
      </w:r>
      <w:proofErr w:type="spellEnd"/>
      <w:r w:rsidRPr="00282BA6">
        <w:rPr>
          <w:color w:val="auto"/>
          <w:szCs w:val="24"/>
        </w:rPr>
        <w:t xml:space="preserve"> </w:t>
      </w:r>
      <w:proofErr w:type="gramStart"/>
      <w:r w:rsidRPr="00282BA6">
        <w:rPr>
          <w:color w:val="auto"/>
          <w:szCs w:val="24"/>
        </w:rPr>
        <w:t>17  Nov.</w:t>
      </w:r>
      <w:proofErr w:type="gramEnd"/>
      <w:r w:rsidRPr="00282BA6">
        <w:rPr>
          <w:color w:val="auto"/>
          <w:szCs w:val="24"/>
        </w:rPr>
        <w:t xml:space="preserve">  2020.  </w:t>
      </w:r>
      <w:proofErr w:type="spellStart"/>
      <w:r w:rsidRPr="00282BA6">
        <w:rPr>
          <w:color w:val="auto"/>
          <w:szCs w:val="24"/>
        </w:rPr>
        <w:t>Epub</w:t>
      </w:r>
      <w:proofErr w:type="spellEnd"/>
      <w:r w:rsidRPr="00282BA6">
        <w:rPr>
          <w:color w:val="auto"/>
          <w:szCs w:val="24"/>
        </w:rPr>
        <w:t xml:space="preserve"> </w:t>
      </w:r>
      <w:proofErr w:type="spellStart"/>
      <w:r w:rsidRPr="00282BA6">
        <w:rPr>
          <w:color w:val="auto"/>
          <w:szCs w:val="24"/>
        </w:rPr>
        <w:t>Aug</w:t>
      </w:r>
      <w:proofErr w:type="spellEnd"/>
      <w:r w:rsidRPr="00282BA6">
        <w:rPr>
          <w:color w:val="auto"/>
          <w:szCs w:val="24"/>
        </w:rPr>
        <w:t xml:space="preserve"> 21, 2020.  </w:t>
      </w:r>
      <w:hyperlink r:id="rId23">
        <w:r w:rsidRPr="00282BA6">
          <w:rPr>
            <w:color w:val="auto"/>
            <w:szCs w:val="24"/>
          </w:rPr>
          <w:t>https://doi.org/10.1590/1981</w:t>
        </w:r>
      </w:hyperlink>
      <w:hyperlink r:id="rId24"/>
      <w:hyperlink r:id="rId25">
        <w:r w:rsidRPr="00282BA6">
          <w:rPr>
            <w:color w:val="auto"/>
            <w:szCs w:val="24"/>
          </w:rPr>
          <w:t>5271v44.4</w:t>
        </w:r>
      </w:hyperlink>
      <w:hyperlink r:id="rId26">
        <w:r w:rsidRPr="00282BA6">
          <w:rPr>
            <w:color w:val="auto"/>
            <w:szCs w:val="24"/>
          </w:rPr>
          <w:t>-</w:t>
        </w:r>
      </w:hyperlink>
      <w:hyperlink r:id="rId27">
        <w:r w:rsidRPr="00282BA6">
          <w:rPr>
            <w:color w:val="auto"/>
            <w:szCs w:val="24"/>
          </w:rPr>
          <w:t>20200258</w:t>
        </w:r>
      </w:hyperlink>
      <w:hyperlink r:id="rId28">
        <w:r w:rsidRPr="00282BA6">
          <w:rPr>
            <w:color w:val="auto"/>
            <w:szCs w:val="24"/>
          </w:rPr>
          <w:t>.</w:t>
        </w:r>
      </w:hyperlink>
      <w:r w:rsidRPr="00282BA6">
        <w:rPr>
          <w:color w:val="auto"/>
          <w:szCs w:val="24"/>
        </w:rPr>
        <w:t xml:space="preserve"> </w:t>
      </w:r>
    </w:p>
    <w:p w14:paraId="11A10956"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noProof/>
          <w:color w:val="auto"/>
          <w:szCs w:val="24"/>
        </w:rPr>
        <w:t xml:space="preserve">JBEILI, C. Questionário Jbeili Para Identificação Preliminar Da Burnout. </w:t>
      </w:r>
      <w:r w:rsidRPr="00282BA6">
        <w:rPr>
          <w:b/>
          <w:bCs/>
          <w:noProof/>
          <w:color w:val="auto"/>
          <w:szCs w:val="24"/>
        </w:rPr>
        <w:t>Elaborado e adapitado por Chafic Jbeili, inspirado no Maslach Burnout Inventory</w:t>
      </w:r>
      <w:r w:rsidRPr="00282BA6">
        <w:rPr>
          <w:noProof/>
          <w:color w:val="auto"/>
          <w:szCs w:val="24"/>
        </w:rPr>
        <w:t xml:space="preserve">, p. 100, 2013. </w:t>
      </w:r>
    </w:p>
    <w:p w14:paraId="69EFF365"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shd w:val="clear" w:color="auto" w:fill="FFFFFF"/>
          <w:lang w:val="en-US"/>
        </w:rPr>
        <w:t xml:space="preserve">Madsen IE, Lange T, </w:t>
      </w:r>
      <w:proofErr w:type="spellStart"/>
      <w:r w:rsidRPr="00282BA6">
        <w:rPr>
          <w:color w:val="auto"/>
          <w:szCs w:val="24"/>
          <w:shd w:val="clear" w:color="auto" w:fill="FFFFFF"/>
          <w:lang w:val="en-US"/>
        </w:rPr>
        <w:t>Borritz</w:t>
      </w:r>
      <w:proofErr w:type="spellEnd"/>
      <w:r w:rsidRPr="00282BA6">
        <w:rPr>
          <w:color w:val="auto"/>
          <w:szCs w:val="24"/>
          <w:shd w:val="clear" w:color="auto" w:fill="FFFFFF"/>
          <w:lang w:val="en-US"/>
        </w:rPr>
        <w:t xml:space="preserve"> M, </w:t>
      </w:r>
      <w:proofErr w:type="spellStart"/>
      <w:r w:rsidRPr="00282BA6">
        <w:rPr>
          <w:color w:val="auto"/>
          <w:szCs w:val="24"/>
          <w:shd w:val="clear" w:color="auto" w:fill="FFFFFF"/>
          <w:lang w:val="en-US"/>
        </w:rPr>
        <w:t>Rugulies</w:t>
      </w:r>
      <w:proofErr w:type="spellEnd"/>
      <w:r w:rsidRPr="00282BA6">
        <w:rPr>
          <w:color w:val="auto"/>
          <w:szCs w:val="24"/>
          <w:shd w:val="clear" w:color="auto" w:fill="FFFFFF"/>
          <w:lang w:val="en-US"/>
        </w:rPr>
        <w:t xml:space="preserve"> R. Burnout as a risk factor for antidepressant treatment - a repeated measures time-to-event analysis of 2936 Danish human service workers. </w:t>
      </w:r>
      <w:r w:rsidRPr="00282BA6">
        <w:rPr>
          <w:color w:val="auto"/>
          <w:szCs w:val="24"/>
          <w:shd w:val="clear" w:color="auto" w:fill="FFFFFF"/>
        </w:rPr>
        <w:t xml:space="preserve">J </w:t>
      </w:r>
      <w:proofErr w:type="spellStart"/>
      <w:r w:rsidRPr="00282BA6">
        <w:rPr>
          <w:color w:val="auto"/>
          <w:szCs w:val="24"/>
          <w:shd w:val="clear" w:color="auto" w:fill="FFFFFF"/>
        </w:rPr>
        <w:t>Psychiatr</w:t>
      </w:r>
      <w:proofErr w:type="spellEnd"/>
      <w:r w:rsidRPr="00282BA6">
        <w:rPr>
          <w:color w:val="auto"/>
          <w:szCs w:val="24"/>
          <w:shd w:val="clear" w:color="auto" w:fill="FFFFFF"/>
        </w:rPr>
        <w:t xml:space="preserve"> Res. </w:t>
      </w:r>
      <w:proofErr w:type="gramStart"/>
      <w:r w:rsidRPr="00282BA6">
        <w:rPr>
          <w:color w:val="auto"/>
          <w:szCs w:val="24"/>
          <w:shd w:val="clear" w:color="auto" w:fill="FFFFFF"/>
        </w:rPr>
        <w:t>2015;65:47</w:t>
      </w:r>
      <w:proofErr w:type="gramEnd"/>
      <w:r w:rsidRPr="00282BA6">
        <w:rPr>
          <w:color w:val="auto"/>
          <w:szCs w:val="24"/>
          <w:shd w:val="clear" w:color="auto" w:fill="FFFFFF"/>
        </w:rPr>
        <w:t>-52.</w:t>
      </w:r>
    </w:p>
    <w:p w14:paraId="35594AA6" w14:textId="77777777" w:rsidR="00594B5E" w:rsidRPr="00282BA6" w:rsidRDefault="00594B5E" w:rsidP="00594B5E">
      <w:pPr>
        <w:pStyle w:val="PargrafodaLista"/>
        <w:numPr>
          <w:ilvl w:val="0"/>
          <w:numId w:val="6"/>
        </w:numPr>
        <w:spacing w:after="200" w:line="360" w:lineRule="auto"/>
        <w:ind w:right="0"/>
        <w:rPr>
          <w:color w:val="auto"/>
          <w:szCs w:val="24"/>
        </w:rPr>
      </w:pPr>
      <w:proofErr w:type="spellStart"/>
      <w:r w:rsidRPr="00282BA6">
        <w:rPr>
          <w:color w:val="auto"/>
          <w:szCs w:val="24"/>
          <w:shd w:val="clear" w:color="auto" w:fill="FFFFFF"/>
          <w:lang w:val="en-US"/>
        </w:rPr>
        <w:t>Mheidly</w:t>
      </w:r>
      <w:proofErr w:type="spellEnd"/>
      <w:r w:rsidRPr="00282BA6">
        <w:rPr>
          <w:color w:val="auto"/>
          <w:szCs w:val="24"/>
          <w:shd w:val="clear" w:color="auto" w:fill="FFFFFF"/>
          <w:lang w:val="en-US"/>
        </w:rPr>
        <w:t xml:space="preserve"> N, Fares MY, Fares J. Coping </w:t>
      </w:r>
      <w:proofErr w:type="gramStart"/>
      <w:r w:rsidRPr="00282BA6">
        <w:rPr>
          <w:color w:val="auto"/>
          <w:szCs w:val="24"/>
          <w:shd w:val="clear" w:color="auto" w:fill="FFFFFF"/>
          <w:lang w:val="en-US"/>
        </w:rPr>
        <w:t>With</w:t>
      </w:r>
      <w:proofErr w:type="gramEnd"/>
      <w:r w:rsidRPr="00282BA6">
        <w:rPr>
          <w:color w:val="auto"/>
          <w:szCs w:val="24"/>
          <w:shd w:val="clear" w:color="auto" w:fill="FFFFFF"/>
          <w:lang w:val="en-US"/>
        </w:rPr>
        <w:t xml:space="preserve"> Stress and Burnout Associated With Telecommunication and Online Learning. </w:t>
      </w:r>
      <w:r w:rsidRPr="00282BA6">
        <w:rPr>
          <w:color w:val="auto"/>
          <w:szCs w:val="24"/>
          <w:shd w:val="clear" w:color="auto" w:fill="FFFFFF"/>
        </w:rPr>
        <w:t xml:space="preserve">Front </w:t>
      </w:r>
      <w:proofErr w:type="spellStart"/>
      <w:r w:rsidRPr="00282BA6">
        <w:rPr>
          <w:color w:val="auto"/>
          <w:szCs w:val="24"/>
          <w:shd w:val="clear" w:color="auto" w:fill="FFFFFF"/>
        </w:rPr>
        <w:t>Public</w:t>
      </w:r>
      <w:proofErr w:type="spellEnd"/>
      <w:r w:rsidRPr="00282BA6">
        <w:rPr>
          <w:color w:val="auto"/>
          <w:szCs w:val="24"/>
          <w:shd w:val="clear" w:color="auto" w:fill="FFFFFF"/>
        </w:rPr>
        <w:t xml:space="preserve"> Health. 2020 </w:t>
      </w:r>
      <w:proofErr w:type="spellStart"/>
      <w:r w:rsidRPr="00282BA6">
        <w:rPr>
          <w:color w:val="auto"/>
          <w:szCs w:val="24"/>
          <w:shd w:val="clear" w:color="auto" w:fill="FFFFFF"/>
        </w:rPr>
        <w:t>Nov</w:t>
      </w:r>
      <w:proofErr w:type="spellEnd"/>
      <w:r w:rsidRPr="00282BA6">
        <w:rPr>
          <w:color w:val="auto"/>
          <w:szCs w:val="24"/>
          <w:shd w:val="clear" w:color="auto" w:fill="FFFFFF"/>
        </w:rPr>
        <w:t xml:space="preserve"> </w:t>
      </w:r>
      <w:proofErr w:type="gramStart"/>
      <w:r w:rsidRPr="00282BA6">
        <w:rPr>
          <w:color w:val="auto"/>
          <w:szCs w:val="24"/>
          <w:shd w:val="clear" w:color="auto" w:fill="FFFFFF"/>
        </w:rPr>
        <w:t>11;8:574969</w:t>
      </w:r>
      <w:proofErr w:type="gramEnd"/>
      <w:r w:rsidRPr="00282BA6">
        <w:rPr>
          <w:color w:val="auto"/>
          <w:szCs w:val="24"/>
          <w:shd w:val="clear" w:color="auto" w:fill="FFFFFF"/>
        </w:rPr>
        <w:t xml:space="preserve">. </w:t>
      </w:r>
      <w:proofErr w:type="spellStart"/>
      <w:r w:rsidRPr="00282BA6">
        <w:rPr>
          <w:color w:val="auto"/>
          <w:szCs w:val="24"/>
          <w:shd w:val="clear" w:color="auto" w:fill="FFFFFF"/>
        </w:rPr>
        <w:t>doi</w:t>
      </w:r>
      <w:proofErr w:type="spellEnd"/>
      <w:r w:rsidRPr="00282BA6">
        <w:rPr>
          <w:color w:val="auto"/>
          <w:szCs w:val="24"/>
          <w:shd w:val="clear" w:color="auto" w:fill="FFFFFF"/>
        </w:rPr>
        <w:t>: 10.3389/fpubh.2020.574969. PMID: 33262967; PMCID: PMC7686031.</w:t>
      </w:r>
    </w:p>
    <w:p w14:paraId="3D919DCB"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shd w:val="clear" w:color="auto" w:fill="FFFFFF"/>
          <w:lang w:val="en-US"/>
        </w:rPr>
        <w:t xml:space="preserve">Moura G, Brito MP, Souza L, </w:t>
      </w:r>
      <w:proofErr w:type="spellStart"/>
      <w:r w:rsidRPr="00282BA6">
        <w:rPr>
          <w:color w:val="auto"/>
          <w:szCs w:val="24"/>
          <w:shd w:val="clear" w:color="auto" w:fill="FFFFFF"/>
          <w:lang w:val="en-US"/>
        </w:rPr>
        <w:t>Magalhães</w:t>
      </w:r>
      <w:proofErr w:type="spellEnd"/>
      <w:r w:rsidRPr="00282BA6">
        <w:rPr>
          <w:color w:val="auto"/>
          <w:szCs w:val="24"/>
          <w:shd w:val="clear" w:color="auto" w:fill="FFFFFF"/>
          <w:lang w:val="en-US"/>
        </w:rPr>
        <w:t xml:space="preserve"> T. </w:t>
      </w:r>
      <w:proofErr w:type="gramStart"/>
      <w:r w:rsidRPr="00282BA6">
        <w:rPr>
          <w:color w:val="auto"/>
          <w:szCs w:val="24"/>
          <w:shd w:val="clear" w:color="auto" w:fill="FFFFFF"/>
          <w:lang w:val="en-US"/>
        </w:rPr>
        <w:t>Prevalence</w:t>
      </w:r>
      <w:proofErr w:type="gramEnd"/>
      <w:r w:rsidRPr="00282BA6">
        <w:rPr>
          <w:color w:val="auto"/>
          <w:szCs w:val="24"/>
          <w:shd w:val="clear" w:color="auto" w:fill="FFFFFF"/>
          <w:lang w:val="en-US"/>
        </w:rPr>
        <w:t xml:space="preserve"> and factors associated with burnout syndrome among university students: literature review. </w:t>
      </w:r>
      <w:r w:rsidRPr="00282BA6">
        <w:rPr>
          <w:color w:val="auto"/>
          <w:szCs w:val="24"/>
          <w:shd w:val="clear" w:color="auto" w:fill="FFFFFF"/>
        </w:rPr>
        <w:t>Mundo da Saúde. 2019;20(2):280-289.</w:t>
      </w:r>
    </w:p>
    <w:p w14:paraId="165F4645"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rPr>
        <w:t xml:space="preserve">Nakandakari, MD et al. Síndrome de burnout </w:t>
      </w:r>
      <w:proofErr w:type="spellStart"/>
      <w:r w:rsidRPr="00282BA6">
        <w:rPr>
          <w:color w:val="auto"/>
          <w:szCs w:val="24"/>
        </w:rPr>
        <w:t>en</w:t>
      </w:r>
      <w:proofErr w:type="spellEnd"/>
      <w:r w:rsidRPr="00282BA6">
        <w:rPr>
          <w:color w:val="auto"/>
          <w:szCs w:val="24"/>
        </w:rPr>
        <w:t xml:space="preserve"> </w:t>
      </w:r>
      <w:proofErr w:type="spellStart"/>
      <w:r w:rsidRPr="00282BA6">
        <w:rPr>
          <w:color w:val="auto"/>
          <w:szCs w:val="24"/>
        </w:rPr>
        <w:t>estudiantes</w:t>
      </w:r>
      <w:proofErr w:type="spellEnd"/>
      <w:r w:rsidRPr="00282BA6">
        <w:rPr>
          <w:color w:val="auto"/>
          <w:szCs w:val="24"/>
        </w:rPr>
        <w:t xml:space="preserve"> de medicina </w:t>
      </w:r>
      <w:proofErr w:type="spellStart"/>
      <w:r w:rsidRPr="00282BA6">
        <w:rPr>
          <w:color w:val="auto"/>
          <w:szCs w:val="24"/>
        </w:rPr>
        <w:t>pertenecientes</w:t>
      </w:r>
      <w:proofErr w:type="spellEnd"/>
      <w:r w:rsidRPr="00282BA6">
        <w:rPr>
          <w:color w:val="auto"/>
          <w:szCs w:val="24"/>
        </w:rPr>
        <w:t xml:space="preserve"> a sociedades científicas peruanas: Un </w:t>
      </w:r>
      <w:proofErr w:type="spellStart"/>
      <w:r w:rsidRPr="00282BA6">
        <w:rPr>
          <w:color w:val="auto"/>
          <w:szCs w:val="24"/>
        </w:rPr>
        <w:t>estudio</w:t>
      </w:r>
      <w:proofErr w:type="spellEnd"/>
      <w:r w:rsidRPr="00282BA6">
        <w:rPr>
          <w:color w:val="auto"/>
          <w:szCs w:val="24"/>
        </w:rPr>
        <w:t xml:space="preserve"> </w:t>
      </w:r>
      <w:proofErr w:type="spellStart"/>
      <w:r w:rsidRPr="00282BA6">
        <w:rPr>
          <w:color w:val="auto"/>
          <w:szCs w:val="24"/>
        </w:rPr>
        <w:t>multicéntrico</w:t>
      </w:r>
      <w:proofErr w:type="spellEnd"/>
      <w:r w:rsidRPr="00282BA6">
        <w:rPr>
          <w:color w:val="auto"/>
          <w:szCs w:val="24"/>
        </w:rPr>
        <w:t xml:space="preserve">. </w:t>
      </w:r>
      <w:proofErr w:type="spellStart"/>
      <w:r w:rsidRPr="00282BA6">
        <w:rPr>
          <w:color w:val="auto"/>
          <w:szCs w:val="24"/>
        </w:rPr>
        <w:t>Rev</w:t>
      </w:r>
      <w:proofErr w:type="spellEnd"/>
      <w:r w:rsidRPr="00282BA6">
        <w:rPr>
          <w:color w:val="auto"/>
          <w:szCs w:val="24"/>
        </w:rPr>
        <w:t xml:space="preserve"> </w:t>
      </w:r>
      <w:proofErr w:type="spellStart"/>
      <w:r w:rsidRPr="00282BA6">
        <w:rPr>
          <w:color w:val="auto"/>
          <w:szCs w:val="24"/>
        </w:rPr>
        <w:t>Neuropsiquiatr</w:t>
      </w:r>
      <w:proofErr w:type="spellEnd"/>
      <w:r w:rsidRPr="00282BA6">
        <w:rPr>
          <w:color w:val="auto"/>
          <w:szCs w:val="24"/>
        </w:rPr>
        <w:t xml:space="preserve"> [online]. 2015, vol.78, n.4 pp.203-210. </w:t>
      </w:r>
      <w:proofErr w:type="spellStart"/>
      <w:r w:rsidRPr="00282BA6">
        <w:rPr>
          <w:color w:val="auto"/>
          <w:szCs w:val="24"/>
        </w:rPr>
        <w:t>Disponible</w:t>
      </w:r>
      <w:proofErr w:type="spellEnd"/>
      <w:r w:rsidRPr="00282BA6">
        <w:rPr>
          <w:color w:val="auto"/>
          <w:szCs w:val="24"/>
        </w:rPr>
        <w:t xml:space="preserve"> </w:t>
      </w:r>
      <w:proofErr w:type="spellStart"/>
      <w:r w:rsidRPr="00282BA6">
        <w:rPr>
          <w:color w:val="auto"/>
          <w:szCs w:val="24"/>
        </w:rPr>
        <w:t>en</w:t>
      </w:r>
      <w:proofErr w:type="spellEnd"/>
      <w:proofErr w:type="gramStart"/>
      <w:r w:rsidRPr="00282BA6">
        <w:rPr>
          <w:color w:val="auto"/>
          <w:szCs w:val="24"/>
        </w:rPr>
        <w:t>: .</w:t>
      </w:r>
      <w:proofErr w:type="gramEnd"/>
      <w:r w:rsidRPr="00282BA6">
        <w:rPr>
          <w:color w:val="auto"/>
          <w:szCs w:val="24"/>
        </w:rPr>
        <w:t xml:space="preserve"> ISSN 0034-8597.</w:t>
      </w:r>
    </w:p>
    <w:p w14:paraId="60179084"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shd w:val="clear" w:color="auto" w:fill="FFFFFF"/>
        </w:rPr>
        <w:t xml:space="preserve">Pacheco JP, </w:t>
      </w:r>
      <w:proofErr w:type="spellStart"/>
      <w:r w:rsidRPr="00282BA6">
        <w:rPr>
          <w:color w:val="auto"/>
          <w:szCs w:val="24"/>
          <w:shd w:val="clear" w:color="auto" w:fill="FFFFFF"/>
        </w:rPr>
        <w:t>Giacomin</w:t>
      </w:r>
      <w:proofErr w:type="spellEnd"/>
      <w:r w:rsidRPr="00282BA6">
        <w:rPr>
          <w:color w:val="auto"/>
          <w:szCs w:val="24"/>
          <w:shd w:val="clear" w:color="auto" w:fill="FFFFFF"/>
        </w:rPr>
        <w:t xml:space="preserve"> HT, </w:t>
      </w:r>
      <w:proofErr w:type="spellStart"/>
      <w:r w:rsidRPr="00282BA6">
        <w:rPr>
          <w:color w:val="auto"/>
          <w:szCs w:val="24"/>
          <w:shd w:val="clear" w:color="auto" w:fill="FFFFFF"/>
        </w:rPr>
        <w:t>Tam</w:t>
      </w:r>
      <w:proofErr w:type="spellEnd"/>
      <w:r w:rsidRPr="00282BA6">
        <w:rPr>
          <w:color w:val="auto"/>
          <w:szCs w:val="24"/>
          <w:shd w:val="clear" w:color="auto" w:fill="FFFFFF"/>
        </w:rPr>
        <w:t xml:space="preserve"> WW, Ribeiro TB, </w:t>
      </w:r>
      <w:proofErr w:type="spellStart"/>
      <w:r w:rsidRPr="00282BA6">
        <w:rPr>
          <w:color w:val="auto"/>
          <w:szCs w:val="24"/>
          <w:shd w:val="clear" w:color="auto" w:fill="FFFFFF"/>
        </w:rPr>
        <w:t>Arab</w:t>
      </w:r>
      <w:proofErr w:type="spellEnd"/>
      <w:r w:rsidRPr="00282BA6">
        <w:rPr>
          <w:color w:val="auto"/>
          <w:szCs w:val="24"/>
          <w:shd w:val="clear" w:color="auto" w:fill="FFFFFF"/>
        </w:rPr>
        <w:t xml:space="preserve"> C, Bezerra IM, </w:t>
      </w:r>
      <w:proofErr w:type="spellStart"/>
      <w:r w:rsidRPr="00282BA6">
        <w:rPr>
          <w:color w:val="auto"/>
          <w:szCs w:val="24"/>
          <w:shd w:val="clear" w:color="auto" w:fill="FFFFFF"/>
        </w:rPr>
        <w:t>Pinasco</w:t>
      </w:r>
      <w:proofErr w:type="spellEnd"/>
      <w:r w:rsidRPr="00282BA6">
        <w:rPr>
          <w:color w:val="auto"/>
          <w:szCs w:val="24"/>
          <w:shd w:val="clear" w:color="auto" w:fill="FFFFFF"/>
        </w:rPr>
        <w:t xml:space="preserve"> GC. Problemas de saúde mental em estudantes de medicina no Brasil: uma revisão sistemática e meta-análise. Braz J </w:t>
      </w:r>
      <w:proofErr w:type="spellStart"/>
      <w:r w:rsidRPr="00282BA6">
        <w:rPr>
          <w:color w:val="auto"/>
          <w:szCs w:val="24"/>
          <w:shd w:val="clear" w:color="auto" w:fill="FFFFFF"/>
        </w:rPr>
        <w:t>Psychiatry</w:t>
      </w:r>
      <w:proofErr w:type="spellEnd"/>
      <w:r w:rsidRPr="00282BA6">
        <w:rPr>
          <w:color w:val="auto"/>
          <w:szCs w:val="24"/>
          <w:shd w:val="clear" w:color="auto" w:fill="FFFFFF"/>
        </w:rPr>
        <w:t>. 2017 Out-Dez; 39 (4): 369-378. </w:t>
      </w:r>
      <w:proofErr w:type="spellStart"/>
      <w:r w:rsidRPr="00282BA6">
        <w:rPr>
          <w:color w:val="auto"/>
          <w:szCs w:val="24"/>
          <w:shd w:val="clear" w:color="auto" w:fill="FFFFFF"/>
        </w:rPr>
        <w:t>doi</w:t>
      </w:r>
      <w:proofErr w:type="spellEnd"/>
      <w:r w:rsidRPr="00282BA6">
        <w:rPr>
          <w:color w:val="auto"/>
          <w:szCs w:val="24"/>
          <w:shd w:val="clear" w:color="auto" w:fill="FFFFFF"/>
        </w:rPr>
        <w:t>: 10.1590 / 1516-4446-2017-2223. </w:t>
      </w:r>
      <w:proofErr w:type="spellStart"/>
      <w:r w:rsidRPr="00282BA6">
        <w:rPr>
          <w:color w:val="auto"/>
          <w:szCs w:val="24"/>
          <w:shd w:val="clear" w:color="auto" w:fill="FFFFFF"/>
        </w:rPr>
        <w:t>Epub</w:t>
      </w:r>
      <w:proofErr w:type="spellEnd"/>
      <w:r w:rsidRPr="00282BA6">
        <w:rPr>
          <w:color w:val="auto"/>
          <w:szCs w:val="24"/>
          <w:shd w:val="clear" w:color="auto" w:fill="FFFFFF"/>
        </w:rPr>
        <w:t xml:space="preserve"> 2017, 31 de agosto. PMID: 28876408; PMCID: PMC7111407.</w:t>
      </w:r>
    </w:p>
    <w:p w14:paraId="031014CA"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rPr>
        <w:lastRenderedPageBreak/>
        <w:t xml:space="preserve">Rodrigues Filho Edison Moraes, Junges José Roque. Burnout entre médicos intensivistas ou Sociedade do burnout. </w:t>
      </w:r>
      <w:proofErr w:type="spellStart"/>
      <w:r w:rsidRPr="00282BA6">
        <w:rPr>
          <w:color w:val="auto"/>
          <w:szCs w:val="24"/>
        </w:rPr>
        <w:t>Saude</w:t>
      </w:r>
      <w:proofErr w:type="spellEnd"/>
      <w:r w:rsidRPr="00282BA6">
        <w:rPr>
          <w:color w:val="auto"/>
          <w:szCs w:val="24"/>
        </w:rPr>
        <w:t xml:space="preserve"> soc. [Internet]. 2018 </w:t>
      </w:r>
      <w:proofErr w:type="spellStart"/>
      <w:r w:rsidRPr="00282BA6">
        <w:rPr>
          <w:color w:val="auto"/>
          <w:szCs w:val="24"/>
        </w:rPr>
        <w:t>Sep</w:t>
      </w:r>
      <w:proofErr w:type="spellEnd"/>
      <w:r w:rsidRPr="00282BA6">
        <w:rPr>
          <w:color w:val="auto"/>
          <w:szCs w:val="24"/>
        </w:rPr>
        <w:t xml:space="preserve"> [</w:t>
      </w:r>
      <w:proofErr w:type="spellStart"/>
      <w:r w:rsidRPr="00282BA6">
        <w:rPr>
          <w:color w:val="auto"/>
          <w:szCs w:val="24"/>
        </w:rPr>
        <w:t>cited</w:t>
      </w:r>
      <w:proofErr w:type="spellEnd"/>
      <w:r w:rsidRPr="00282BA6">
        <w:rPr>
          <w:color w:val="auto"/>
          <w:szCs w:val="24"/>
        </w:rPr>
        <w:t xml:space="preserve"> 2020 </w:t>
      </w:r>
      <w:proofErr w:type="spellStart"/>
      <w:r w:rsidRPr="00282BA6">
        <w:rPr>
          <w:color w:val="auto"/>
          <w:szCs w:val="24"/>
        </w:rPr>
        <w:t>Feb</w:t>
      </w:r>
      <w:proofErr w:type="spellEnd"/>
      <w:r w:rsidRPr="00282BA6">
        <w:rPr>
          <w:color w:val="auto"/>
          <w:szCs w:val="24"/>
        </w:rPr>
        <w:t xml:space="preserve"> 13]; 27 (3): 809-819. Disponível em: http://www.scielo.br/scielo.php?script=sci_arttext&amp;pid=S010412902018000300809&amp;lng=en.</w:t>
      </w:r>
      <w:hyperlink r:id="rId29">
        <w:r w:rsidRPr="00282BA6">
          <w:rPr>
            <w:color w:val="auto"/>
            <w:szCs w:val="24"/>
          </w:rPr>
          <w:t xml:space="preserve"> </w:t>
        </w:r>
      </w:hyperlink>
      <w:hyperlink r:id="rId30">
        <w:r w:rsidRPr="00282BA6">
          <w:rPr>
            <w:color w:val="auto"/>
            <w:szCs w:val="24"/>
          </w:rPr>
          <w:t>http://dx.doi.org/10.1590/s0104</w:t>
        </w:r>
      </w:hyperlink>
      <w:hyperlink r:id="rId31"/>
      <w:hyperlink r:id="rId32">
        <w:r w:rsidRPr="00282BA6">
          <w:rPr>
            <w:color w:val="auto"/>
            <w:szCs w:val="24"/>
          </w:rPr>
          <w:t>12902018180007</w:t>
        </w:r>
      </w:hyperlink>
      <w:hyperlink r:id="rId33">
        <w:r w:rsidRPr="00282BA6">
          <w:rPr>
            <w:color w:val="auto"/>
            <w:szCs w:val="24"/>
          </w:rPr>
          <w:t>.</w:t>
        </w:r>
      </w:hyperlink>
      <w:r w:rsidRPr="00282BA6">
        <w:rPr>
          <w:color w:val="auto"/>
          <w:szCs w:val="24"/>
        </w:rPr>
        <w:t xml:space="preserve"> </w:t>
      </w:r>
    </w:p>
    <w:p w14:paraId="1AFA2E06"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shd w:val="clear" w:color="auto" w:fill="FFFFFF"/>
        </w:rPr>
        <w:t xml:space="preserve">Silva CE, Oliveira A, Nascimento IJB, Couto MH, Simões </w:t>
      </w:r>
      <w:proofErr w:type="spellStart"/>
      <w:r w:rsidRPr="00282BA6">
        <w:rPr>
          <w:color w:val="auto"/>
          <w:szCs w:val="24"/>
          <w:shd w:val="clear" w:color="auto" w:fill="FFFFFF"/>
        </w:rPr>
        <w:t>Hf</w:t>
      </w:r>
      <w:proofErr w:type="spellEnd"/>
      <w:r w:rsidRPr="00282BA6">
        <w:rPr>
          <w:color w:val="auto"/>
          <w:szCs w:val="24"/>
          <w:shd w:val="clear" w:color="auto" w:fill="FFFFFF"/>
        </w:rPr>
        <w:t xml:space="preserve">, Souza L, Cunha KC. Saúde Mental de Alunos de Medicina Submetidos à Aprendizagem Baseada em Problemas: Revisão Sistemática da Literatura. </w:t>
      </w:r>
      <w:proofErr w:type="spellStart"/>
      <w:r w:rsidRPr="00282BA6">
        <w:rPr>
          <w:color w:val="auto"/>
          <w:szCs w:val="24"/>
          <w:shd w:val="clear" w:color="auto" w:fill="FFFFFF"/>
        </w:rPr>
        <w:t>Rev</w:t>
      </w:r>
      <w:proofErr w:type="spellEnd"/>
      <w:r w:rsidRPr="00282BA6">
        <w:rPr>
          <w:color w:val="auto"/>
          <w:szCs w:val="24"/>
          <w:shd w:val="clear" w:color="auto" w:fill="FFFFFF"/>
        </w:rPr>
        <w:t xml:space="preserve"> </w:t>
      </w:r>
      <w:proofErr w:type="spellStart"/>
      <w:r w:rsidRPr="00282BA6">
        <w:rPr>
          <w:color w:val="auto"/>
          <w:szCs w:val="24"/>
          <w:shd w:val="clear" w:color="auto" w:fill="FFFFFF"/>
        </w:rPr>
        <w:t>Bras</w:t>
      </w:r>
      <w:proofErr w:type="spellEnd"/>
      <w:r w:rsidRPr="00282BA6">
        <w:rPr>
          <w:color w:val="auto"/>
          <w:szCs w:val="24"/>
          <w:shd w:val="clear" w:color="auto" w:fill="FFFFFF"/>
        </w:rPr>
        <w:t xml:space="preserve"> </w:t>
      </w:r>
      <w:proofErr w:type="spellStart"/>
      <w:r w:rsidRPr="00282BA6">
        <w:rPr>
          <w:color w:val="auto"/>
          <w:szCs w:val="24"/>
          <w:shd w:val="clear" w:color="auto" w:fill="FFFFFF"/>
        </w:rPr>
        <w:t>Educ</w:t>
      </w:r>
      <w:proofErr w:type="spellEnd"/>
      <w:r w:rsidRPr="00282BA6">
        <w:rPr>
          <w:color w:val="auto"/>
          <w:szCs w:val="24"/>
          <w:shd w:val="clear" w:color="auto" w:fill="FFFFFF"/>
        </w:rPr>
        <w:t xml:space="preserve"> Med. 2020;44(4):e115.</w:t>
      </w:r>
    </w:p>
    <w:p w14:paraId="0AC46F35" w14:textId="77777777" w:rsidR="00594B5E" w:rsidRPr="00282BA6" w:rsidRDefault="00594B5E" w:rsidP="00594B5E">
      <w:pPr>
        <w:pStyle w:val="PargrafodaLista"/>
        <w:numPr>
          <w:ilvl w:val="0"/>
          <w:numId w:val="6"/>
        </w:numPr>
        <w:spacing w:after="200" w:line="360" w:lineRule="auto"/>
        <w:ind w:right="0"/>
        <w:rPr>
          <w:color w:val="auto"/>
          <w:szCs w:val="24"/>
        </w:rPr>
      </w:pPr>
      <w:proofErr w:type="spellStart"/>
      <w:r w:rsidRPr="00282BA6">
        <w:rPr>
          <w:color w:val="auto"/>
          <w:szCs w:val="24"/>
          <w:shd w:val="clear" w:color="auto" w:fill="FFFFFF"/>
          <w:lang w:val="en-US"/>
        </w:rPr>
        <w:t>Villwock</w:t>
      </w:r>
      <w:proofErr w:type="spellEnd"/>
      <w:r w:rsidRPr="00282BA6">
        <w:rPr>
          <w:color w:val="auto"/>
          <w:szCs w:val="24"/>
          <w:shd w:val="clear" w:color="auto" w:fill="FFFFFF"/>
          <w:lang w:val="en-US"/>
        </w:rPr>
        <w:t xml:space="preserve"> JA, </w:t>
      </w:r>
      <w:proofErr w:type="spellStart"/>
      <w:r w:rsidRPr="00282BA6">
        <w:rPr>
          <w:color w:val="auto"/>
          <w:szCs w:val="24"/>
          <w:shd w:val="clear" w:color="auto" w:fill="FFFFFF"/>
          <w:lang w:val="en-US"/>
        </w:rPr>
        <w:t>Sobin</w:t>
      </w:r>
      <w:proofErr w:type="spellEnd"/>
      <w:r w:rsidRPr="00282BA6">
        <w:rPr>
          <w:color w:val="auto"/>
          <w:szCs w:val="24"/>
          <w:shd w:val="clear" w:color="auto" w:fill="FFFFFF"/>
          <w:lang w:val="en-US"/>
        </w:rPr>
        <w:t xml:space="preserve"> LB, Koester LA, Harris TM. </w:t>
      </w:r>
      <w:r w:rsidRPr="00282BA6">
        <w:rPr>
          <w:color w:val="auto"/>
          <w:szCs w:val="24"/>
          <w:shd w:val="clear" w:color="auto" w:fill="FFFFFF"/>
        </w:rPr>
        <w:t>Síndrome do impostor e burnout entre estudantes de medicina americanos: um estudo piloto. </w:t>
      </w:r>
      <w:proofErr w:type="spellStart"/>
      <w:r w:rsidRPr="00282BA6">
        <w:rPr>
          <w:color w:val="auto"/>
          <w:szCs w:val="24"/>
          <w:shd w:val="clear" w:color="auto" w:fill="FFFFFF"/>
        </w:rPr>
        <w:t>Int</w:t>
      </w:r>
      <w:proofErr w:type="spellEnd"/>
      <w:r w:rsidRPr="00282BA6">
        <w:rPr>
          <w:color w:val="auto"/>
          <w:szCs w:val="24"/>
          <w:shd w:val="clear" w:color="auto" w:fill="FFFFFF"/>
        </w:rPr>
        <w:t xml:space="preserve"> J Med Educ. 31 de outubro de 2016; 7: 364-369. </w:t>
      </w:r>
      <w:proofErr w:type="spellStart"/>
      <w:r w:rsidRPr="00282BA6">
        <w:rPr>
          <w:color w:val="auto"/>
          <w:szCs w:val="24"/>
          <w:shd w:val="clear" w:color="auto" w:fill="FFFFFF"/>
        </w:rPr>
        <w:t>doi</w:t>
      </w:r>
      <w:proofErr w:type="spellEnd"/>
      <w:r w:rsidRPr="00282BA6">
        <w:rPr>
          <w:color w:val="auto"/>
          <w:szCs w:val="24"/>
          <w:shd w:val="clear" w:color="auto" w:fill="FFFFFF"/>
        </w:rPr>
        <w:t xml:space="preserve">: 10.5116 / </w:t>
      </w:r>
      <w:proofErr w:type="gramStart"/>
      <w:r w:rsidRPr="00282BA6">
        <w:rPr>
          <w:color w:val="auto"/>
          <w:szCs w:val="24"/>
          <w:shd w:val="clear" w:color="auto" w:fill="FFFFFF"/>
        </w:rPr>
        <w:t>ijme.5801.eac</w:t>
      </w:r>
      <w:proofErr w:type="gramEnd"/>
      <w:r w:rsidRPr="00282BA6">
        <w:rPr>
          <w:color w:val="auto"/>
          <w:szCs w:val="24"/>
          <w:shd w:val="clear" w:color="auto" w:fill="FFFFFF"/>
        </w:rPr>
        <w:t>4. PMID: 27802178; PMCID: PMC5116369.</w:t>
      </w:r>
    </w:p>
    <w:p w14:paraId="2CEAF243" w14:textId="77777777" w:rsidR="00594B5E" w:rsidRPr="00282BA6" w:rsidRDefault="00594B5E" w:rsidP="00594B5E">
      <w:pPr>
        <w:pStyle w:val="PargrafodaLista"/>
        <w:numPr>
          <w:ilvl w:val="0"/>
          <w:numId w:val="6"/>
        </w:numPr>
        <w:spacing w:after="200" w:line="360" w:lineRule="auto"/>
        <w:ind w:right="0"/>
        <w:rPr>
          <w:color w:val="auto"/>
          <w:szCs w:val="24"/>
        </w:rPr>
      </w:pPr>
      <w:r w:rsidRPr="00282BA6">
        <w:rPr>
          <w:color w:val="auto"/>
          <w:szCs w:val="24"/>
          <w:shd w:val="clear" w:color="auto" w:fill="FFFFFF"/>
          <w:lang w:val="en-US"/>
        </w:rPr>
        <w:t xml:space="preserve">Wilkes C, Lewis T, </w:t>
      </w:r>
      <w:proofErr w:type="spellStart"/>
      <w:r w:rsidRPr="00282BA6">
        <w:rPr>
          <w:color w:val="auto"/>
          <w:szCs w:val="24"/>
          <w:shd w:val="clear" w:color="auto" w:fill="FFFFFF"/>
          <w:lang w:val="en-US"/>
        </w:rPr>
        <w:t>Brager</w:t>
      </w:r>
      <w:proofErr w:type="spellEnd"/>
      <w:r w:rsidRPr="00282BA6">
        <w:rPr>
          <w:color w:val="auto"/>
          <w:szCs w:val="24"/>
          <w:shd w:val="clear" w:color="auto" w:fill="FFFFFF"/>
          <w:lang w:val="en-US"/>
        </w:rPr>
        <w:t xml:space="preserve"> N, Bulloch A, </w:t>
      </w:r>
      <w:proofErr w:type="spellStart"/>
      <w:r w:rsidRPr="00282BA6">
        <w:rPr>
          <w:color w:val="auto"/>
          <w:szCs w:val="24"/>
          <w:shd w:val="clear" w:color="auto" w:fill="FFFFFF"/>
          <w:lang w:val="en-US"/>
        </w:rPr>
        <w:t>MacMaster</w:t>
      </w:r>
      <w:proofErr w:type="spellEnd"/>
      <w:r w:rsidRPr="00282BA6">
        <w:rPr>
          <w:color w:val="auto"/>
          <w:szCs w:val="24"/>
          <w:shd w:val="clear" w:color="auto" w:fill="FFFFFF"/>
          <w:lang w:val="en-US"/>
        </w:rPr>
        <w:t xml:space="preserve"> F, Paget M, Holm J, Farrell SM, </w:t>
      </w:r>
      <w:proofErr w:type="spellStart"/>
      <w:r w:rsidRPr="00282BA6">
        <w:rPr>
          <w:color w:val="auto"/>
          <w:szCs w:val="24"/>
          <w:shd w:val="clear" w:color="auto" w:fill="FFFFFF"/>
          <w:lang w:val="en-US"/>
        </w:rPr>
        <w:t>Ventriglio</w:t>
      </w:r>
      <w:proofErr w:type="spellEnd"/>
      <w:r w:rsidRPr="00282BA6">
        <w:rPr>
          <w:color w:val="auto"/>
          <w:szCs w:val="24"/>
          <w:shd w:val="clear" w:color="auto" w:fill="FFFFFF"/>
          <w:lang w:val="en-US"/>
        </w:rPr>
        <w:t xml:space="preserve"> A. </w:t>
      </w:r>
      <w:proofErr w:type="gramStart"/>
      <w:r w:rsidRPr="00282BA6">
        <w:rPr>
          <w:color w:val="auto"/>
          <w:szCs w:val="24"/>
          <w:shd w:val="clear" w:color="auto" w:fill="FFFFFF"/>
          <w:lang w:val="en-US"/>
        </w:rPr>
        <w:t>Wellbeing</w:t>
      </w:r>
      <w:proofErr w:type="gramEnd"/>
      <w:r w:rsidRPr="00282BA6">
        <w:rPr>
          <w:color w:val="auto"/>
          <w:szCs w:val="24"/>
          <w:shd w:val="clear" w:color="auto" w:fill="FFFFFF"/>
          <w:lang w:val="en-US"/>
        </w:rPr>
        <w:t xml:space="preserve"> and mental health amongst medical students in Canada. </w:t>
      </w:r>
      <w:proofErr w:type="spellStart"/>
      <w:r w:rsidRPr="00282BA6">
        <w:rPr>
          <w:color w:val="auto"/>
          <w:szCs w:val="24"/>
          <w:shd w:val="clear" w:color="auto" w:fill="FFFFFF"/>
        </w:rPr>
        <w:t>Int</w:t>
      </w:r>
      <w:proofErr w:type="spellEnd"/>
      <w:r w:rsidRPr="00282BA6">
        <w:rPr>
          <w:color w:val="auto"/>
          <w:szCs w:val="24"/>
          <w:shd w:val="clear" w:color="auto" w:fill="FFFFFF"/>
        </w:rPr>
        <w:t xml:space="preserve"> </w:t>
      </w:r>
      <w:proofErr w:type="spellStart"/>
      <w:r w:rsidRPr="00282BA6">
        <w:rPr>
          <w:color w:val="auto"/>
          <w:szCs w:val="24"/>
          <w:shd w:val="clear" w:color="auto" w:fill="FFFFFF"/>
        </w:rPr>
        <w:t>Rev</w:t>
      </w:r>
      <w:proofErr w:type="spellEnd"/>
      <w:r w:rsidRPr="00282BA6">
        <w:rPr>
          <w:color w:val="auto"/>
          <w:szCs w:val="24"/>
          <w:shd w:val="clear" w:color="auto" w:fill="FFFFFF"/>
        </w:rPr>
        <w:t xml:space="preserve"> </w:t>
      </w:r>
      <w:proofErr w:type="spellStart"/>
      <w:r w:rsidRPr="00282BA6">
        <w:rPr>
          <w:color w:val="auto"/>
          <w:szCs w:val="24"/>
          <w:shd w:val="clear" w:color="auto" w:fill="FFFFFF"/>
        </w:rPr>
        <w:t>Psychiatry</w:t>
      </w:r>
      <w:proofErr w:type="spellEnd"/>
      <w:r w:rsidRPr="00282BA6">
        <w:rPr>
          <w:color w:val="auto"/>
          <w:szCs w:val="24"/>
          <w:shd w:val="clear" w:color="auto" w:fill="FFFFFF"/>
        </w:rPr>
        <w:t xml:space="preserve">. 2019 Nov-Dec;31(7-8):584-587. </w:t>
      </w:r>
      <w:proofErr w:type="spellStart"/>
      <w:r w:rsidRPr="00282BA6">
        <w:rPr>
          <w:color w:val="auto"/>
          <w:szCs w:val="24"/>
          <w:shd w:val="clear" w:color="auto" w:fill="FFFFFF"/>
        </w:rPr>
        <w:t>doi</w:t>
      </w:r>
      <w:proofErr w:type="spellEnd"/>
      <w:r w:rsidRPr="00282BA6">
        <w:rPr>
          <w:color w:val="auto"/>
          <w:szCs w:val="24"/>
          <w:shd w:val="clear" w:color="auto" w:fill="FFFFFF"/>
        </w:rPr>
        <w:t xml:space="preserve">: 10.1080/09540261.2019.1675927. </w:t>
      </w:r>
      <w:proofErr w:type="spellStart"/>
      <w:r w:rsidRPr="00282BA6">
        <w:rPr>
          <w:color w:val="auto"/>
          <w:szCs w:val="24"/>
          <w:shd w:val="clear" w:color="auto" w:fill="FFFFFF"/>
        </w:rPr>
        <w:t>Epub</w:t>
      </w:r>
      <w:proofErr w:type="spellEnd"/>
      <w:r w:rsidRPr="00282BA6">
        <w:rPr>
          <w:color w:val="auto"/>
          <w:szCs w:val="24"/>
          <w:shd w:val="clear" w:color="auto" w:fill="FFFFFF"/>
        </w:rPr>
        <w:t xml:space="preserve"> 2019 </w:t>
      </w:r>
      <w:proofErr w:type="spellStart"/>
      <w:r w:rsidRPr="00282BA6">
        <w:rPr>
          <w:color w:val="auto"/>
          <w:szCs w:val="24"/>
          <w:shd w:val="clear" w:color="auto" w:fill="FFFFFF"/>
        </w:rPr>
        <w:t>Oct</w:t>
      </w:r>
      <w:proofErr w:type="spellEnd"/>
      <w:r w:rsidRPr="00282BA6">
        <w:rPr>
          <w:color w:val="auto"/>
          <w:szCs w:val="24"/>
          <w:shd w:val="clear" w:color="auto" w:fill="FFFFFF"/>
        </w:rPr>
        <w:t xml:space="preserve"> 22. PMID: 31638441.</w:t>
      </w:r>
    </w:p>
    <w:p w14:paraId="17495E3C" w14:textId="77777777" w:rsidR="00594B5E" w:rsidRDefault="00594B5E" w:rsidP="00594B5E"/>
    <w:p w14:paraId="415BD1CA" w14:textId="77777777" w:rsidR="00594B5E" w:rsidRDefault="00594B5E" w:rsidP="00594B5E"/>
    <w:p w14:paraId="6892C5D4" w14:textId="77777777" w:rsidR="00594B5E" w:rsidRDefault="00594B5E" w:rsidP="00594B5E"/>
    <w:p w14:paraId="1D36E621" w14:textId="77777777" w:rsidR="00594B5E" w:rsidRDefault="00594B5E" w:rsidP="00594B5E"/>
    <w:p w14:paraId="2324746D" w14:textId="712B3240" w:rsidR="00594B5E" w:rsidRDefault="00594B5E" w:rsidP="00594B5E"/>
    <w:p w14:paraId="2133BB76" w14:textId="58AB5B3B" w:rsidR="00282BA6" w:rsidRDefault="00282BA6" w:rsidP="00594B5E"/>
    <w:p w14:paraId="40D7DD92" w14:textId="73DB2C3F" w:rsidR="00282BA6" w:rsidRDefault="00282BA6" w:rsidP="00594B5E"/>
    <w:p w14:paraId="3A3D6320" w14:textId="1A767DDE" w:rsidR="00282BA6" w:rsidRDefault="00282BA6" w:rsidP="00594B5E"/>
    <w:p w14:paraId="4EC75BE1" w14:textId="4A753308" w:rsidR="00282BA6" w:rsidRDefault="00282BA6" w:rsidP="00594B5E"/>
    <w:p w14:paraId="0D3395FF" w14:textId="00FABC6B" w:rsidR="00282BA6" w:rsidRDefault="00282BA6" w:rsidP="00594B5E"/>
    <w:p w14:paraId="2E1B03B4" w14:textId="1DD2BCF5" w:rsidR="00282BA6" w:rsidRDefault="00282BA6" w:rsidP="00594B5E"/>
    <w:p w14:paraId="38A7B3A2" w14:textId="2610FC4D" w:rsidR="00282BA6" w:rsidRDefault="00282BA6" w:rsidP="00594B5E"/>
    <w:p w14:paraId="74ABCE17" w14:textId="0D2E6F7F" w:rsidR="00282BA6" w:rsidRDefault="00282BA6" w:rsidP="00594B5E"/>
    <w:p w14:paraId="49781355" w14:textId="481EE971" w:rsidR="00282BA6" w:rsidRDefault="00282BA6" w:rsidP="00594B5E"/>
    <w:p w14:paraId="64EE681E" w14:textId="77777777" w:rsidR="00282BA6" w:rsidRDefault="00282BA6" w:rsidP="00594B5E"/>
    <w:p w14:paraId="48934CC5" w14:textId="77777777" w:rsidR="00594B5E" w:rsidRDefault="00594B5E" w:rsidP="00594B5E">
      <w:pPr>
        <w:pStyle w:val="Ttulo1"/>
        <w:numPr>
          <w:ilvl w:val="0"/>
          <w:numId w:val="0"/>
        </w:numPr>
        <w:spacing w:after="0"/>
        <w:ind w:right="37"/>
        <w:jc w:val="center"/>
      </w:pPr>
      <w:bookmarkStart w:id="11" w:name="_Toc90483723"/>
      <w:r>
        <w:lastRenderedPageBreak/>
        <w:t>ANEXOS</w:t>
      </w:r>
      <w:bookmarkEnd w:id="11"/>
      <w:r>
        <w:t xml:space="preserve"> </w:t>
      </w:r>
    </w:p>
    <w:p w14:paraId="55F4ECDE" w14:textId="77777777" w:rsidR="00594B5E" w:rsidRDefault="00594B5E" w:rsidP="00594B5E">
      <w:pPr>
        <w:spacing w:after="178" w:line="259" w:lineRule="auto"/>
        <w:ind w:left="0" w:right="0" w:firstLine="0"/>
        <w:jc w:val="left"/>
      </w:pPr>
      <w:r>
        <w:rPr>
          <w:rFonts w:ascii="Calibri" w:eastAsia="Calibri" w:hAnsi="Calibri" w:cs="Calibri"/>
          <w:sz w:val="22"/>
        </w:rPr>
        <w:t xml:space="preserve"> </w:t>
      </w:r>
    </w:p>
    <w:p w14:paraId="302FEF8B" w14:textId="77777777" w:rsidR="00594B5E" w:rsidRDefault="00594B5E" w:rsidP="00282BA6">
      <w:pPr>
        <w:pStyle w:val="Ttulo2"/>
        <w:numPr>
          <w:ilvl w:val="0"/>
          <w:numId w:val="0"/>
        </w:numPr>
        <w:ind w:left="40"/>
      </w:pPr>
      <w:bookmarkStart w:id="12" w:name="_Toc90483724"/>
      <w:r>
        <w:t>ANEXO 1 – TERMO DE CONSENTIMENTO LIVRE E ESCLARECIDO (TCLE)</w:t>
      </w:r>
      <w:bookmarkEnd w:id="12"/>
      <w:r>
        <w:t xml:space="preserve"> </w:t>
      </w:r>
    </w:p>
    <w:p w14:paraId="3A057ABE" w14:textId="3501014A" w:rsidR="00594B5E" w:rsidRDefault="00594B5E" w:rsidP="00282BA6">
      <w:pPr>
        <w:jc w:val="center"/>
      </w:pPr>
      <w:r>
        <w:t>TERMO DE CONSENTIMENTO LIVRE E ESCLARECIDO (TCLE)</w:t>
      </w:r>
    </w:p>
    <w:p w14:paraId="7F429D4B" w14:textId="77777777" w:rsidR="00594B5E" w:rsidRDefault="00594B5E" w:rsidP="00594B5E">
      <w:pPr>
        <w:spacing w:after="115" w:line="259" w:lineRule="auto"/>
        <w:ind w:left="0" w:right="12" w:firstLine="0"/>
        <w:jc w:val="right"/>
      </w:pPr>
      <w:r>
        <w:t xml:space="preserve">Você está sendo convidado (a) a participar, como voluntário (a), do Projeto de </w:t>
      </w:r>
    </w:p>
    <w:p w14:paraId="39993105" w14:textId="77777777" w:rsidR="00594B5E" w:rsidRDefault="00594B5E" w:rsidP="00594B5E">
      <w:pPr>
        <w:spacing w:after="159"/>
        <w:ind w:left="-5" w:right="0"/>
      </w:pPr>
      <w:r>
        <w:t xml:space="preserve">Pesquisa sob o título: “Síndrome de Burnout em estudantes de Medicina da PUC GOIÁS no cenário de pandemia por COVID-19”, que tem como objetivo determinar o nível de esgotamento laboral do acadêmico de medicina da Pontifícia Universidade Católica de Goiás referente ao cenário da pandemia por covid-19. O pesquisador responsável pelo projeto é o Prof. Dr. Leonardo Luiz Borges juntamente com a equipe formada pelas acadêmicas Ana Clara da Cunha Cordeiro e Giovanna </w:t>
      </w:r>
      <w:proofErr w:type="spellStart"/>
      <w:r>
        <w:t>Bertholucci</w:t>
      </w:r>
      <w:proofErr w:type="spellEnd"/>
      <w:r>
        <w:t xml:space="preserve">. Após receber os esclarecimentos e as informações a seguir, caso aceite voluntariamente participar deste estudo, você deve clicar na opção CONCORDO, para que continue e responda o questionário. Caso haja a recusa da participação da pesquisa, clique em NÃO CONCORDO e o questionário será finalizado. Em caso de dúvidas sobre a pesquisa, você poderá entrar em contato com os pesquisadores responsáveis: Prof. Dr. Leonardo Luiz Borges - TEL: (62) 98168-6477 / e-mail: leonardoquimica@gmail.com; Ana Clara da Cunha Cordeiro – TEL: (62) 98281-8410 / e-mail: </w:t>
      </w:r>
      <w:proofErr w:type="gramStart"/>
      <w:r>
        <w:t>anacordeiro507@gmail.com ;</w:t>
      </w:r>
      <w:proofErr w:type="gramEnd"/>
      <w:r>
        <w:t xml:space="preserve"> e Giovanna Pereira </w:t>
      </w:r>
      <w:proofErr w:type="spellStart"/>
      <w:r>
        <w:t>Bertholucci</w:t>
      </w:r>
      <w:proofErr w:type="spellEnd"/>
      <w:r>
        <w:t xml:space="preserve"> – TEL: (62) 99277-3940 / e-mail: giovannabertholucci@gmail.com. Qualquer um dos pesquisadores poderá ser localizado no seguinte endereço: Escola de Ciências Médicas, Farmacêuticas e Biomédicas, R. 235, 15 - Setor Leste Universitário, Goiânia - GO, 74605-050. Em caso de dúvida sobre a ética aplicada a pesquisa, você poderá entrar em contato com o Comitê de Ética em Pesquisa (CEP) da PUC Goiás, telefone: (62) 3946-1512, localizado na Avenida Universitária, N° 1069, St. Universitário, Goiânia/GO. Funcionamento: das 8 às 12 horas e das 13 às 17 horas de segunda a sexta-feira. O CEP é uma instância vinculada à Comissão Nacional de Ética em Pesquisa (CONEP) que por sua vez é subordinado ao Ministério da Saúde (MS). O CEP é responsável por realizar a análise ética de projetos de pesquisa, sendo aprovado aquele que segue os princípios estabelecidos pelas resoluções, normativas e complementares. O motivo que nos leva a propor essa pesquisa consiste em verificar a prevalência de Burnout nos acadêmicos de medicina do primeiro ao décimo segundo período da Pontifícia Universidade Católica de Goiás; bem como analisar a frequência do uso de antidepressivos e/ou ansiolíticos por esses acadêmicos. Além </w:t>
      </w:r>
      <w:r>
        <w:lastRenderedPageBreak/>
        <w:t xml:space="preserve">de avaliar a repercussão da exaustão emocional e física na qualidade de vida desses estudantes. </w:t>
      </w:r>
    </w:p>
    <w:p w14:paraId="44FA6083" w14:textId="77777777" w:rsidR="00594B5E" w:rsidRDefault="00594B5E" w:rsidP="00594B5E">
      <w:pPr>
        <w:ind w:left="-15" w:right="0" w:firstLine="708"/>
      </w:pPr>
      <w:r>
        <w:t xml:space="preserve">Você responderá a 3 questionários, sendo um de identificação do uso de antidepressivos e/ou ansiolíticos, um de sinais e/ou sintomas da Síndrome de Burnout e outro sobre qualidade de vida. A presente pesquisa oferece riscos mínimos como o constrangimento em responder aos questionamentos indagados e a perda de confidencialidade e risco de perda de informações. Para minimização dos riscos os nomes não serão utilizados sob nenhum aspecto, nem mesmo por siglas por não se tratar de dado relevante para pesquisa. Todas as demais informações colhidas nos questionários serão mantidas sob o mais absoluto sigilo. Esta pesquisa terá com benefícios o levantamento de dados que permitam avaliar a prevalência da Síndrome de Burnout nos estudantes do curso de Medicina da PUC Goiás. A partir dos dados obtidos, espera-se gerar subsídios para a tomada de decisões por parte da instituição de ensino, no sentido de minimizar os impactos da pandemia na saúde mental de seus acadêmicos. Não há necessidade de identificação, ficando assegurados o sigilo e a privacidade. Caso você se sinta desconfortável por qualquer motivo, poderemos interromper a entrevista a qualquer momento e esta decisão não produzirá qualquer penalização ou prejuízo. Você poderá solicitar a retirada de seus dados coletados na pesquisa a qualquer momento, deixando de participar deste estudo, sem prejuízo. Os resultados desta pesquisa serão amplamente divulgados e, caso seja de seu interesse, seus resultados podem ser encaminhados a você, bastando entrar em contato com o pesquisador responsável. Você não receberá nenhum tipo de compensação financeira por sua participação neste estudo, mas caso tenha algum gasto decorrente do mesmo este será ressarcido pelo pesquisador responsável. Adicionalmente, em qualquer etapa do estudo você terá acesso ao pesquisador responsável pela pesquisa para esclarecimentos de eventuais dúvidas.  </w:t>
      </w:r>
    </w:p>
    <w:p w14:paraId="5455574F" w14:textId="77777777" w:rsidR="00594B5E" w:rsidRDefault="00594B5E" w:rsidP="00594B5E">
      <w:pPr>
        <w:ind w:left="-15" w:right="0" w:firstLine="708"/>
      </w:pPr>
      <w:r>
        <w:t xml:space="preserve">Uma via deste documento para download que comprova sua participação e resguardo de seus direitos pode ser acessada no seguinte link:   </w:t>
      </w:r>
      <w:r w:rsidRPr="006B546F">
        <w:rPr>
          <w:color w:val="202124"/>
        </w:rPr>
        <w:t>https://docs.google.com/forms/d/e/1FAIpQLSeK1R7VzNw-waHT-JvNx6KweTs_c7o_k0pXQISPmsMSN0LHlQ/viewform?vc=0&amp;c=0&amp;w=1&amp;flr=0&amp;gxids=7628</w:t>
      </w:r>
    </w:p>
    <w:p w14:paraId="690343BE" w14:textId="77777777" w:rsidR="00594B5E" w:rsidRDefault="00594B5E" w:rsidP="00594B5E">
      <w:pPr>
        <w:ind w:left="-15" w:right="0" w:firstLine="708"/>
      </w:pPr>
      <w:r>
        <w:t xml:space="preserve">Se você sofrer qualquer tipo de dano resultante de sua participação na pesquisa, previsto ou não no Termo de Consentimento Livre e Esclarecido, tem direito </w:t>
      </w:r>
      <w:r>
        <w:lastRenderedPageBreak/>
        <w:t xml:space="preserve">a indenização. Os participantes desta pesquisa terão total acesso aos resultados obtidos.  </w:t>
      </w:r>
    </w:p>
    <w:p w14:paraId="3D4ACC41" w14:textId="77777777" w:rsidR="00594B5E" w:rsidRDefault="00594B5E" w:rsidP="00594B5E">
      <w:pPr>
        <w:pStyle w:val="Ttulo4"/>
        <w:spacing w:after="115"/>
        <w:ind w:left="711"/>
        <w:jc w:val="center"/>
      </w:pPr>
      <w:r>
        <w:t>Declaração dos Pesquisadores</w:t>
      </w:r>
      <w:r>
        <w:rPr>
          <w:b w:val="0"/>
        </w:rPr>
        <w:t xml:space="preserve"> </w:t>
      </w:r>
    </w:p>
    <w:p w14:paraId="798AB998" w14:textId="77777777" w:rsidR="00594B5E" w:rsidRDefault="00594B5E" w:rsidP="00594B5E">
      <w:pPr>
        <w:ind w:left="-15" w:right="0" w:firstLine="708"/>
      </w:pPr>
      <w:r>
        <w:t xml:space="preserve">O pesquisador responsável por este estudo e sua equipe de pesquisa declara que cumprirão com todas as informações acima; que você terá acesso, se necessário, 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  </w:t>
      </w:r>
    </w:p>
    <w:p w14:paraId="59FEF035" w14:textId="77777777" w:rsidR="00594B5E" w:rsidRDefault="00594B5E" w:rsidP="00594B5E">
      <w:pPr>
        <w:pStyle w:val="Ttulo4"/>
        <w:spacing w:after="115"/>
        <w:ind w:left="711"/>
        <w:jc w:val="center"/>
      </w:pPr>
      <w:r>
        <w:t xml:space="preserve">Declaração do Participante </w:t>
      </w:r>
    </w:p>
    <w:p w14:paraId="245201FD" w14:textId="77777777" w:rsidR="00594B5E" w:rsidRDefault="00594B5E" w:rsidP="00594B5E">
      <w:pPr>
        <w:spacing w:after="115" w:line="259" w:lineRule="auto"/>
        <w:ind w:left="718" w:right="0"/>
      </w:pPr>
      <w:proofErr w:type="gramStart"/>
      <w:r>
        <w:t>( )</w:t>
      </w:r>
      <w:proofErr w:type="gramEnd"/>
      <w:r>
        <w:t xml:space="preserve"> CONCORDO </w:t>
      </w:r>
    </w:p>
    <w:p w14:paraId="79230D7D" w14:textId="77777777" w:rsidR="00594B5E" w:rsidRDefault="00594B5E" w:rsidP="00594B5E">
      <w:pPr>
        <w:spacing w:after="117" w:line="259" w:lineRule="auto"/>
        <w:ind w:left="718" w:right="0"/>
      </w:pPr>
      <w:proofErr w:type="gramStart"/>
      <w:r>
        <w:t>( )</w:t>
      </w:r>
      <w:proofErr w:type="gramEnd"/>
      <w:r>
        <w:t xml:space="preserve"> NÃO CONCORDO </w:t>
      </w:r>
    </w:p>
    <w:p w14:paraId="50C978A8" w14:textId="77777777" w:rsidR="00594B5E" w:rsidRDefault="00594B5E" w:rsidP="00594B5E">
      <w:pPr>
        <w:spacing w:after="276" w:line="259" w:lineRule="auto"/>
        <w:ind w:left="0" w:right="0" w:firstLine="0"/>
        <w:jc w:val="left"/>
      </w:pPr>
      <w:r>
        <w:t xml:space="preserve"> </w:t>
      </w:r>
    </w:p>
    <w:p w14:paraId="5C26B5CC" w14:textId="77777777" w:rsidR="00594B5E" w:rsidRDefault="00594B5E" w:rsidP="00594B5E">
      <w:pPr>
        <w:spacing w:after="276" w:line="259" w:lineRule="auto"/>
        <w:ind w:left="0" w:right="0" w:firstLine="0"/>
        <w:jc w:val="left"/>
      </w:pPr>
      <w:r>
        <w:t xml:space="preserve"> </w:t>
      </w:r>
    </w:p>
    <w:p w14:paraId="54193B1C" w14:textId="77777777" w:rsidR="00594B5E" w:rsidRDefault="00594B5E" w:rsidP="00594B5E">
      <w:pPr>
        <w:spacing w:after="276" w:line="259" w:lineRule="auto"/>
        <w:ind w:left="0" w:right="0" w:firstLine="0"/>
        <w:jc w:val="left"/>
      </w:pPr>
      <w:r>
        <w:t xml:space="preserve"> </w:t>
      </w:r>
    </w:p>
    <w:p w14:paraId="66FD7F81" w14:textId="77777777" w:rsidR="00594B5E" w:rsidRDefault="00594B5E" w:rsidP="00594B5E">
      <w:pPr>
        <w:spacing w:after="276" w:line="259" w:lineRule="auto"/>
        <w:ind w:left="0" w:right="0" w:firstLine="0"/>
        <w:jc w:val="left"/>
      </w:pPr>
      <w:r>
        <w:t xml:space="preserve"> </w:t>
      </w:r>
    </w:p>
    <w:p w14:paraId="26116C01" w14:textId="77777777" w:rsidR="00594B5E" w:rsidRDefault="00594B5E" w:rsidP="00594B5E">
      <w:pPr>
        <w:spacing w:after="278" w:line="259" w:lineRule="auto"/>
        <w:ind w:left="0" w:right="0" w:firstLine="0"/>
        <w:jc w:val="left"/>
      </w:pPr>
      <w:r>
        <w:t xml:space="preserve"> </w:t>
      </w:r>
    </w:p>
    <w:p w14:paraId="05692AAC" w14:textId="77777777" w:rsidR="00594B5E" w:rsidRDefault="00594B5E" w:rsidP="00594B5E">
      <w:pPr>
        <w:spacing w:after="276" w:line="259" w:lineRule="auto"/>
        <w:ind w:left="0" w:right="0" w:firstLine="0"/>
        <w:jc w:val="left"/>
      </w:pPr>
      <w:r>
        <w:t xml:space="preserve"> </w:t>
      </w:r>
    </w:p>
    <w:p w14:paraId="2E96C6D3" w14:textId="77777777" w:rsidR="00594B5E" w:rsidRDefault="00594B5E" w:rsidP="00594B5E">
      <w:pPr>
        <w:spacing w:after="276" w:line="259" w:lineRule="auto"/>
        <w:ind w:left="0" w:right="0" w:firstLine="0"/>
        <w:jc w:val="left"/>
      </w:pPr>
      <w:r>
        <w:t xml:space="preserve"> </w:t>
      </w:r>
    </w:p>
    <w:p w14:paraId="69566B49" w14:textId="77777777" w:rsidR="00594B5E" w:rsidRDefault="00594B5E" w:rsidP="00594B5E">
      <w:pPr>
        <w:spacing w:after="276" w:line="259" w:lineRule="auto"/>
        <w:ind w:left="0" w:right="0" w:firstLine="0"/>
        <w:jc w:val="left"/>
      </w:pPr>
      <w:r>
        <w:t xml:space="preserve"> </w:t>
      </w:r>
    </w:p>
    <w:p w14:paraId="335EB92B" w14:textId="77777777" w:rsidR="00594B5E" w:rsidRDefault="00594B5E" w:rsidP="00594B5E">
      <w:pPr>
        <w:spacing w:after="276" w:line="259" w:lineRule="auto"/>
        <w:ind w:left="0" w:right="0" w:firstLine="0"/>
        <w:jc w:val="left"/>
      </w:pPr>
      <w:r>
        <w:t xml:space="preserve"> </w:t>
      </w:r>
    </w:p>
    <w:p w14:paraId="53F284CE" w14:textId="77777777" w:rsidR="00594B5E" w:rsidRDefault="00594B5E" w:rsidP="00594B5E">
      <w:pPr>
        <w:spacing w:after="276" w:line="259" w:lineRule="auto"/>
        <w:ind w:left="0" w:right="0" w:firstLine="0"/>
        <w:jc w:val="left"/>
      </w:pPr>
      <w:r>
        <w:t xml:space="preserve"> </w:t>
      </w:r>
    </w:p>
    <w:p w14:paraId="19DDB90A" w14:textId="77777777" w:rsidR="00594B5E" w:rsidRDefault="00594B5E" w:rsidP="00594B5E">
      <w:pPr>
        <w:spacing w:after="276" w:line="259" w:lineRule="auto"/>
        <w:ind w:left="0" w:right="0" w:firstLine="0"/>
        <w:jc w:val="left"/>
      </w:pPr>
      <w:r>
        <w:t xml:space="preserve"> </w:t>
      </w:r>
    </w:p>
    <w:p w14:paraId="6A10852E" w14:textId="77777777" w:rsidR="00594B5E" w:rsidRDefault="00594B5E" w:rsidP="00594B5E">
      <w:pPr>
        <w:spacing w:after="278" w:line="259" w:lineRule="auto"/>
        <w:ind w:left="0" w:right="0" w:firstLine="0"/>
        <w:jc w:val="left"/>
      </w:pPr>
      <w:r>
        <w:t xml:space="preserve"> </w:t>
      </w:r>
    </w:p>
    <w:p w14:paraId="16D219AB" w14:textId="77777777" w:rsidR="00594B5E" w:rsidRDefault="00594B5E" w:rsidP="00594B5E">
      <w:pPr>
        <w:spacing w:after="276" w:line="259" w:lineRule="auto"/>
        <w:ind w:left="0" w:right="0" w:firstLine="0"/>
        <w:jc w:val="left"/>
      </w:pPr>
      <w:r>
        <w:t xml:space="preserve"> </w:t>
      </w:r>
    </w:p>
    <w:p w14:paraId="152F7470" w14:textId="77777777" w:rsidR="00594B5E" w:rsidRDefault="00594B5E" w:rsidP="00594B5E">
      <w:pPr>
        <w:pStyle w:val="Ttulo1"/>
        <w:numPr>
          <w:ilvl w:val="0"/>
          <w:numId w:val="0"/>
        </w:numPr>
        <w:spacing w:after="115"/>
        <w:ind w:right="39"/>
        <w:jc w:val="center"/>
      </w:pPr>
      <w:bookmarkStart w:id="13" w:name="_Toc90483725"/>
      <w:r>
        <w:lastRenderedPageBreak/>
        <w:t>ANEXO 2 – QUESTIONÁRIO</w:t>
      </w:r>
      <w:bookmarkEnd w:id="13"/>
      <w:r>
        <w:rPr>
          <w:b w:val="0"/>
        </w:rPr>
        <w:t xml:space="preserve"> </w:t>
      </w:r>
    </w:p>
    <w:p w14:paraId="5892B2D2" w14:textId="77777777" w:rsidR="00594B5E" w:rsidRDefault="00594B5E" w:rsidP="00594B5E">
      <w:pPr>
        <w:numPr>
          <w:ilvl w:val="0"/>
          <w:numId w:val="2"/>
        </w:numPr>
        <w:spacing w:after="278" w:line="360" w:lineRule="auto"/>
        <w:ind w:right="0" w:hanging="360"/>
      </w:pPr>
      <w:r>
        <w:rPr>
          <w:color w:val="202124"/>
        </w:rPr>
        <w:t>Sua idade é:</w:t>
      </w:r>
      <w:r>
        <w:rPr>
          <w:color w:val="D93025"/>
        </w:rPr>
        <w:t xml:space="preserve"> </w:t>
      </w:r>
      <w:r>
        <w:rPr>
          <w:color w:val="202124"/>
        </w:rPr>
        <w:t xml:space="preserve"> </w:t>
      </w:r>
    </w:p>
    <w:p w14:paraId="0EE2FCBB" w14:textId="77777777" w:rsidR="00594B5E" w:rsidRDefault="00594B5E" w:rsidP="00594B5E">
      <w:pPr>
        <w:spacing w:before="240" w:after="115" w:line="360" w:lineRule="auto"/>
        <w:ind w:left="370" w:right="0"/>
        <w:rPr>
          <w:color w:val="202124"/>
        </w:rPr>
      </w:pPr>
      <w:r>
        <w:rPr>
          <w:color w:val="202124"/>
        </w:rPr>
        <w:t xml:space="preserve"> </w:t>
      </w:r>
      <w:proofErr w:type="gramStart"/>
      <w:r>
        <w:rPr>
          <w:color w:val="202124"/>
        </w:rPr>
        <w:t>( )</w:t>
      </w:r>
      <w:proofErr w:type="gramEnd"/>
      <w:r>
        <w:rPr>
          <w:color w:val="202124"/>
        </w:rPr>
        <w:t xml:space="preserve"> Menor de 18 anos.   </w:t>
      </w:r>
    </w:p>
    <w:p w14:paraId="35064EA0" w14:textId="77777777" w:rsidR="00594B5E" w:rsidRDefault="00594B5E" w:rsidP="00594B5E">
      <w:pPr>
        <w:spacing w:before="240" w:after="115" w:line="360" w:lineRule="auto"/>
        <w:ind w:left="370" w:right="0"/>
        <w:rPr>
          <w:color w:val="202124"/>
        </w:rPr>
      </w:pPr>
      <w:proofErr w:type="gramStart"/>
      <w:r>
        <w:rPr>
          <w:color w:val="202124"/>
        </w:rPr>
        <w:t>( )</w:t>
      </w:r>
      <w:proofErr w:type="gramEnd"/>
      <w:r>
        <w:rPr>
          <w:color w:val="202124"/>
        </w:rPr>
        <w:t xml:space="preserve"> 18 a 20 anos.  </w:t>
      </w:r>
    </w:p>
    <w:p w14:paraId="4E032EE9" w14:textId="77777777" w:rsidR="00594B5E" w:rsidRDefault="00594B5E" w:rsidP="00594B5E">
      <w:pPr>
        <w:spacing w:before="240" w:after="115" w:line="360" w:lineRule="auto"/>
        <w:ind w:left="370" w:right="0"/>
        <w:rPr>
          <w:color w:val="202124"/>
        </w:rPr>
      </w:pPr>
      <w:proofErr w:type="gramStart"/>
      <w:r>
        <w:rPr>
          <w:color w:val="202124"/>
        </w:rPr>
        <w:t>( )</w:t>
      </w:r>
      <w:proofErr w:type="gramEnd"/>
      <w:r>
        <w:rPr>
          <w:color w:val="202124"/>
        </w:rPr>
        <w:t xml:space="preserve"> 21 a 25 anos.   </w:t>
      </w:r>
    </w:p>
    <w:p w14:paraId="6B2B71DD" w14:textId="77777777" w:rsidR="00594B5E" w:rsidRDefault="00594B5E" w:rsidP="00594B5E">
      <w:pPr>
        <w:spacing w:before="240" w:after="115" w:line="360" w:lineRule="auto"/>
        <w:ind w:left="370" w:right="0"/>
        <w:rPr>
          <w:color w:val="202124"/>
        </w:rPr>
      </w:pPr>
      <w:proofErr w:type="gramStart"/>
      <w:r>
        <w:rPr>
          <w:color w:val="202124"/>
        </w:rPr>
        <w:t>( )</w:t>
      </w:r>
      <w:proofErr w:type="gramEnd"/>
      <w:r>
        <w:rPr>
          <w:color w:val="202124"/>
        </w:rPr>
        <w:t xml:space="preserve"> 26 a 30 anos.   </w:t>
      </w:r>
    </w:p>
    <w:p w14:paraId="7CBC2796" w14:textId="77777777" w:rsidR="00594B5E" w:rsidRDefault="00594B5E" w:rsidP="00594B5E">
      <w:pPr>
        <w:spacing w:before="240" w:after="115" w:line="360" w:lineRule="auto"/>
        <w:ind w:left="370" w:right="0"/>
      </w:pPr>
      <w:proofErr w:type="gramStart"/>
      <w:r>
        <w:rPr>
          <w:color w:val="202124"/>
        </w:rPr>
        <w:t>( )</w:t>
      </w:r>
      <w:proofErr w:type="gramEnd"/>
      <w:r>
        <w:rPr>
          <w:color w:val="202124"/>
        </w:rPr>
        <w:t xml:space="preserve"> Acima de 30 anos.  </w:t>
      </w:r>
    </w:p>
    <w:p w14:paraId="5947B2E1" w14:textId="77777777" w:rsidR="00594B5E" w:rsidRDefault="00594B5E" w:rsidP="00594B5E">
      <w:pPr>
        <w:spacing w:after="117" w:line="360" w:lineRule="auto"/>
        <w:ind w:left="360" w:right="0" w:firstLine="0"/>
      </w:pPr>
      <w:r>
        <w:rPr>
          <w:color w:val="202124"/>
        </w:rPr>
        <w:t xml:space="preserve"> </w:t>
      </w:r>
    </w:p>
    <w:p w14:paraId="2EA658A7" w14:textId="77777777" w:rsidR="00594B5E" w:rsidRDefault="00594B5E" w:rsidP="00594B5E">
      <w:pPr>
        <w:numPr>
          <w:ilvl w:val="0"/>
          <w:numId w:val="2"/>
        </w:numPr>
        <w:spacing w:after="276" w:line="360" w:lineRule="auto"/>
        <w:ind w:right="0" w:hanging="360"/>
      </w:pPr>
      <w:r>
        <w:rPr>
          <w:color w:val="202124"/>
        </w:rPr>
        <w:t>Sexo</w:t>
      </w:r>
      <w:r>
        <w:rPr>
          <w:color w:val="D93025"/>
        </w:rPr>
        <w:t xml:space="preserve"> </w:t>
      </w:r>
      <w:r>
        <w:rPr>
          <w:color w:val="202124"/>
        </w:rPr>
        <w:t xml:space="preserve"> </w:t>
      </w:r>
    </w:p>
    <w:p w14:paraId="3EA3BC42" w14:textId="77777777" w:rsidR="00594B5E" w:rsidRDefault="00594B5E" w:rsidP="00594B5E">
      <w:pPr>
        <w:spacing w:after="115" w:line="360" w:lineRule="auto"/>
        <w:ind w:left="370" w:right="0"/>
        <w:rPr>
          <w:color w:val="202124"/>
        </w:rPr>
      </w:pPr>
      <w:proofErr w:type="gramStart"/>
      <w:r>
        <w:rPr>
          <w:color w:val="202124"/>
        </w:rPr>
        <w:t>( )</w:t>
      </w:r>
      <w:proofErr w:type="gramEnd"/>
      <w:r>
        <w:rPr>
          <w:color w:val="202124"/>
        </w:rPr>
        <w:t xml:space="preserve"> Masculino </w:t>
      </w:r>
    </w:p>
    <w:p w14:paraId="2A7A15A8" w14:textId="77777777" w:rsidR="00594B5E" w:rsidRDefault="00594B5E" w:rsidP="00594B5E">
      <w:pPr>
        <w:spacing w:after="115" w:line="360" w:lineRule="auto"/>
        <w:ind w:left="370" w:right="0"/>
      </w:pPr>
      <w:proofErr w:type="gramStart"/>
      <w:r>
        <w:rPr>
          <w:color w:val="202124"/>
        </w:rPr>
        <w:t>( )</w:t>
      </w:r>
      <w:proofErr w:type="gramEnd"/>
      <w:r>
        <w:rPr>
          <w:color w:val="202124"/>
        </w:rPr>
        <w:t xml:space="preserve"> Feminino </w:t>
      </w:r>
    </w:p>
    <w:p w14:paraId="289D942A" w14:textId="77777777" w:rsidR="00594B5E" w:rsidRDefault="00594B5E" w:rsidP="00594B5E">
      <w:pPr>
        <w:spacing w:after="117" w:line="360" w:lineRule="auto"/>
        <w:ind w:left="720" w:right="0" w:firstLine="0"/>
      </w:pPr>
      <w:r>
        <w:rPr>
          <w:color w:val="202124"/>
        </w:rPr>
        <w:t xml:space="preserve"> </w:t>
      </w:r>
    </w:p>
    <w:p w14:paraId="4049E9B2" w14:textId="77777777" w:rsidR="00594B5E" w:rsidRDefault="00594B5E" w:rsidP="00594B5E">
      <w:pPr>
        <w:numPr>
          <w:ilvl w:val="0"/>
          <w:numId w:val="2"/>
        </w:numPr>
        <w:spacing w:after="276" w:line="360" w:lineRule="auto"/>
        <w:ind w:right="0" w:hanging="360"/>
      </w:pPr>
      <w:r>
        <w:rPr>
          <w:color w:val="202124"/>
        </w:rPr>
        <w:t xml:space="preserve">Qual o período/módulo está cursando?  </w:t>
      </w:r>
    </w:p>
    <w:p w14:paraId="6E9734B7" w14:textId="77777777" w:rsidR="00594B5E" w:rsidRDefault="00594B5E" w:rsidP="00594B5E">
      <w:pPr>
        <w:spacing w:after="115" w:line="360" w:lineRule="auto"/>
        <w:ind w:left="370" w:right="0"/>
      </w:pPr>
      <w:proofErr w:type="gramStart"/>
      <w:r>
        <w:rPr>
          <w:color w:val="202124"/>
        </w:rPr>
        <w:t>( )</w:t>
      </w:r>
      <w:proofErr w:type="gramEnd"/>
      <w:r>
        <w:rPr>
          <w:color w:val="202124"/>
        </w:rPr>
        <w:t xml:space="preserve"> 1  ( ) 2  ( ) 3  ( ) 4  ( ) 5  ( ) 6  ( ) 7  ( ) 8  ( ) 9  ( ) 10  ( ) 11  ( ) 12 </w:t>
      </w:r>
    </w:p>
    <w:p w14:paraId="39CE55A1" w14:textId="77777777" w:rsidR="00594B5E" w:rsidRDefault="00594B5E" w:rsidP="00594B5E">
      <w:pPr>
        <w:spacing w:after="117" w:line="360" w:lineRule="auto"/>
        <w:ind w:left="360" w:right="0" w:firstLine="0"/>
      </w:pPr>
      <w:r>
        <w:rPr>
          <w:color w:val="202124"/>
        </w:rPr>
        <w:t xml:space="preserve"> </w:t>
      </w:r>
    </w:p>
    <w:p w14:paraId="3BB7D2C9" w14:textId="77777777" w:rsidR="00594B5E" w:rsidRDefault="00594B5E" w:rsidP="00594B5E">
      <w:pPr>
        <w:numPr>
          <w:ilvl w:val="0"/>
          <w:numId w:val="2"/>
        </w:numPr>
        <w:spacing w:after="276" w:line="360" w:lineRule="auto"/>
        <w:ind w:right="0" w:hanging="360"/>
      </w:pPr>
      <w:r>
        <w:rPr>
          <w:color w:val="202124"/>
        </w:rPr>
        <w:t>Você faz uso de antidepressivos e/ou ansiolíticos?</w:t>
      </w:r>
      <w:r>
        <w:rPr>
          <w:color w:val="D93025"/>
        </w:rPr>
        <w:t xml:space="preserve"> </w:t>
      </w:r>
      <w:r>
        <w:rPr>
          <w:color w:val="202124"/>
        </w:rPr>
        <w:t xml:space="preserve"> </w:t>
      </w:r>
    </w:p>
    <w:p w14:paraId="161E45EF" w14:textId="77777777" w:rsidR="00594B5E" w:rsidRDefault="00594B5E" w:rsidP="00594B5E">
      <w:pPr>
        <w:spacing w:after="115" w:line="360" w:lineRule="auto"/>
        <w:ind w:left="370" w:right="0"/>
        <w:rPr>
          <w:color w:val="202124"/>
        </w:rPr>
      </w:pPr>
      <w:proofErr w:type="gramStart"/>
      <w:r>
        <w:rPr>
          <w:color w:val="202124"/>
        </w:rPr>
        <w:t>( )</w:t>
      </w:r>
      <w:proofErr w:type="gramEnd"/>
      <w:r>
        <w:rPr>
          <w:color w:val="202124"/>
        </w:rPr>
        <w:t xml:space="preserve"> Sim, uso ambos.   </w:t>
      </w:r>
    </w:p>
    <w:p w14:paraId="226D9E4B" w14:textId="77777777" w:rsidR="00594B5E" w:rsidRDefault="00594B5E" w:rsidP="00594B5E">
      <w:pPr>
        <w:spacing w:after="115" w:line="360" w:lineRule="auto"/>
        <w:ind w:left="370" w:right="0"/>
        <w:rPr>
          <w:color w:val="202124"/>
        </w:rPr>
      </w:pPr>
      <w:proofErr w:type="gramStart"/>
      <w:r>
        <w:rPr>
          <w:color w:val="202124"/>
        </w:rPr>
        <w:t>( )</w:t>
      </w:r>
      <w:proofErr w:type="gramEnd"/>
      <w:r>
        <w:rPr>
          <w:color w:val="202124"/>
        </w:rPr>
        <w:t xml:space="preserve"> Sim, uso apenas antidepressivos.   </w:t>
      </w:r>
    </w:p>
    <w:p w14:paraId="625E6D20" w14:textId="77777777" w:rsidR="00594B5E" w:rsidRDefault="00594B5E" w:rsidP="00594B5E">
      <w:pPr>
        <w:spacing w:after="115" w:line="360" w:lineRule="auto"/>
        <w:ind w:left="370" w:right="0"/>
        <w:rPr>
          <w:color w:val="202124"/>
        </w:rPr>
      </w:pPr>
      <w:proofErr w:type="gramStart"/>
      <w:r>
        <w:rPr>
          <w:color w:val="202124"/>
        </w:rPr>
        <w:t>( )</w:t>
      </w:r>
      <w:proofErr w:type="gramEnd"/>
      <w:r>
        <w:rPr>
          <w:color w:val="202124"/>
        </w:rPr>
        <w:t xml:space="preserve"> Sim, uso apenas ansiolíticos.   </w:t>
      </w:r>
    </w:p>
    <w:p w14:paraId="5B8D4236" w14:textId="77777777" w:rsidR="00594B5E" w:rsidRPr="00F46129" w:rsidRDefault="00594B5E" w:rsidP="00594B5E">
      <w:pPr>
        <w:spacing w:after="115" w:line="360" w:lineRule="auto"/>
        <w:ind w:left="370" w:right="0"/>
        <w:rPr>
          <w:color w:val="202124"/>
        </w:rPr>
      </w:pPr>
      <w:proofErr w:type="gramStart"/>
      <w:r>
        <w:rPr>
          <w:color w:val="202124"/>
        </w:rPr>
        <w:t>( )</w:t>
      </w:r>
      <w:proofErr w:type="gramEnd"/>
      <w:r>
        <w:rPr>
          <w:color w:val="202124"/>
        </w:rPr>
        <w:t xml:space="preserve"> Não uso nenhuma das duas opções.  </w:t>
      </w:r>
    </w:p>
    <w:p w14:paraId="5531E66F" w14:textId="77777777" w:rsidR="00594B5E" w:rsidRDefault="00594B5E" w:rsidP="00594B5E">
      <w:pPr>
        <w:spacing w:after="115" w:line="360" w:lineRule="auto"/>
        <w:ind w:left="360" w:right="0" w:firstLine="0"/>
      </w:pPr>
      <w:r>
        <w:rPr>
          <w:color w:val="202124"/>
        </w:rPr>
        <w:t xml:space="preserve"> </w:t>
      </w:r>
    </w:p>
    <w:p w14:paraId="766221D6" w14:textId="77777777" w:rsidR="00594B5E" w:rsidRPr="00F46129" w:rsidRDefault="00594B5E" w:rsidP="00594B5E">
      <w:pPr>
        <w:numPr>
          <w:ilvl w:val="0"/>
          <w:numId w:val="2"/>
        </w:numPr>
        <w:spacing w:after="276" w:line="360" w:lineRule="auto"/>
        <w:ind w:right="0" w:hanging="360"/>
      </w:pPr>
      <w:r>
        <w:rPr>
          <w:color w:val="202124"/>
        </w:rPr>
        <w:t xml:space="preserve">Há quanto tempo você faz uso de antidepressivos e/ou ansiolíticos? </w:t>
      </w:r>
    </w:p>
    <w:p w14:paraId="2DB91610" w14:textId="77777777" w:rsidR="00594B5E" w:rsidRDefault="00594B5E" w:rsidP="00594B5E">
      <w:pPr>
        <w:spacing w:before="240" w:after="276" w:line="360" w:lineRule="auto"/>
        <w:ind w:left="360" w:right="0" w:firstLine="0"/>
        <w:rPr>
          <w:color w:val="202124"/>
        </w:rPr>
      </w:pPr>
      <w:proofErr w:type="gramStart"/>
      <w:r>
        <w:rPr>
          <w:color w:val="202124"/>
        </w:rPr>
        <w:t>( )</w:t>
      </w:r>
      <w:proofErr w:type="gramEnd"/>
      <w:r>
        <w:rPr>
          <w:color w:val="202124"/>
        </w:rPr>
        <w:t xml:space="preserve"> Menos de 1 ano.   </w:t>
      </w:r>
    </w:p>
    <w:p w14:paraId="30903F73" w14:textId="77777777" w:rsidR="00594B5E" w:rsidRDefault="00594B5E" w:rsidP="00594B5E">
      <w:pPr>
        <w:spacing w:before="240" w:after="276" w:line="360" w:lineRule="auto"/>
        <w:ind w:left="360" w:right="0" w:firstLine="0"/>
        <w:rPr>
          <w:color w:val="202124"/>
        </w:rPr>
      </w:pPr>
      <w:proofErr w:type="gramStart"/>
      <w:r>
        <w:rPr>
          <w:color w:val="202124"/>
        </w:rPr>
        <w:t>( )</w:t>
      </w:r>
      <w:proofErr w:type="gramEnd"/>
      <w:r>
        <w:rPr>
          <w:color w:val="202124"/>
        </w:rPr>
        <w:t xml:space="preserve"> 1 ano a 1 ano e 6 meses.   </w:t>
      </w:r>
    </w:p>
    <w:p w14:paraId="28DEFE3D" w14:textId="77777777" w:rsidR="00594B5E" w:rsidRDefault="00594B5E" w:rsidP="00594B5E">
      <w:pPr>
        <w:spacing w:before="240" w:after="276" w:line="360" w:lineRule="auto"/>
        <w:ind w:left="360" w:right="0" w:firstLine="0"/>
        <w:rPr>
          <w:color w:val="202124"/>
        </w:rPr>
      </w:pPr>
      <w:proofErr w:type="gramStart"/>
      <w:r>
        <w:rPr>
          <w:color w:val="202124"/>
        </w:rPr>
        <w:lastRenderedPageBreak/>
        <w:t>( )</w:t>
      </w:r>
      <w:proofErr w:type="gramEnd"/>
      <w:r>
        <w:rPr>
          <w:color w:val="202124"/>
        </w:rPr>
        <w:t xml:space="preserve"> 1 ano e 7 meses a 2 anos.   </w:t>
      </w:r>
    </w:p>
    <w:p w14:paraId="0DCC2D60" w14:textId="77777777" w:rsidR="00594B5E" w:rsidRDefault="00594B5E" w:rsidP="00594B5E">
      <w:pPr>
        <w:spacing w:before="240" w:after="276" w:line="360" w:lineRule="auto"/>
        <w:ind w:left="360" w:right="0" w:firstLine="0"/>
        <w:rPr>
          <w:color w:val="202124"/>
        </w:rPr>
      </w:pPr>
      <w:proofErr w:type="gramStart"/>
      <w:r>
        <w:rPr>
          <w:color w:val="202124"/>
        </w:rPr>
        <w:t>( )</w:t>
      </w:r>
      <w:proofErr w:type="gramEnd"/>
      <w:r>
        <w:rPr>
          <w:color w:val="202124"/>
        </w:rPr>
        <w:t xml:space="preserve"> Mais de 2 anos.</w:t>
      </w:r>
    </w:p>
    <w:p w14:paraId="6CF56CBA" w14:textId="77777777" w:rsidR="00594B5E" w:rsidRPr="00F46129" w:rsidRDefault="00594B5E" w:rsidP="00594B5E">
      <w:pPr>
        <w:spacing w:before="240" w:after="276" w:line="360" w:lineRule="auto"/>
        <w:ind w:left="360" w:right="0" w:firstLine="0"/>
      </w:pPr>
    </w:p>
    <w:p w14:paraId="1E5905E5" w14:textId="77777777" w:rsidR="00594B5E" w:rsidRDefault="00594B5E" w:rsidP="00594B5E">
      <w:pPr>
        <w:numPr>
          <w:ilvl w:val="0"/>
          <w:numId w:val="2"/>
        </w:numPr>
        <w:spacing w:after="276" w:line="360" w:lineRule="auto"/>
        <w:ind w:right="0" w:hanging="360"/>
      </w:pPr>
      <w:r>
        <w:t xml:space="preserve">Com que frequência você faz uso de antidepressivos e/ou ansiolíticos? </w:t>
      </w:r>
    </w:p>
    <w:p w14:paraId="5843F270" w14:textId="77777777" w:rsidR="00594B5E" w:rsidRDefault="00594B5E" w:rsidP="00594B5E">
      <w:pPr>
        <w:spacing w:after="276" w:line="360" w:lineRule="auto"/>
        <w:ind w:left="360" w:right="0" w:firstLine="0"/>
      </w:pPr>
      <w:proofErr w:type="gramStart"/>
      <w:r>
        <w:t>( )</w:t>
      </w:r>
      <w:proofErr w:type="gramEnd"/>
      <w:r>
        <w:t xml:space="preserve"> </w:t>
      </w:r>
      <w:r w:rsidRPr="00F3027B">
        <w:t>Uso diariamente apenas antidepressivos.</w:t>
      </w:r>
      <w:r>
        <w:t xml:space="preserve">  </w:t>
      </w:r>
    </w:p>
    <w:p w14:paraId="41B8A122" w14:textId="77777777" w:rsidR="00594B5E" w:rsidRDefault="00594B5E" w:rsidP="00594B5E">
      <w:pPr>
        <w:spacing w:after="276" w:line="360" w:lineRule="auto"/>
        <w:ind w:left="360" w:right="0" w:firstLine="0"/>
      </w:pPr>
      <w:r>
        <w:t xml:space="preserve"> </w:t>
      </w:r>
      <w:proofErr w:type="gramStart"/>
      <w:r>
        <w:t>( )</w:t>
      </w:r>
      <w:proofErr w:type="gramEnd"/>
      <w:r>
        <w:t xml:space="preserve"> </w:t>
      </w:r>
      <w:r w:rsidRPr="00F3027B">
        <w:t>Uso diariamente apenas ansiolíticos.</w:t>
      </w:r>
      <w:r>
        <w:t xml:space="preserve">   </w:t>
      </w:r>
    </w:p>
    <w:p w14:paraId="630A6526" w14:textId="77777777" w:rsidR="00594B5E" w:rsidRDefault="00594B5E" w:rsidP="00594B5E">
      <w:pPr>
        <w:spacing w:after="276" w:line="360" w:lineRule="auto"/>
        <w:ind w:left="360" w:right="0" w:firstLine="0"/>
      </w:pPr>
      <w:proofErr w:type="gramStart"/>
      <w:r>
        <w:t>( )</w:t>
      </w:r>
      <w:proofErr w:type="gramEnd"/>
      <w:r>
        <w:t xml:space="preserve"> </w:t>
      </w:r>
      <w:r w:rsidRPr="00F3027B">
        <w:t>Uso diariamente ambos.</w:t>
      </w:r>
      <w:r>
        <w:t xml:space="preserve">   </w:t>
      </w:r>
    </w:p>
    <w:p w14:paraId="20D74DCE" w14:textId="77777777" w:rsidR="00594B5E" w:rsidRDefault="00594B5E" w:rsidP="00594B5E">
      <w:pPr>
        <w:spacing w:after="276" w:line="360" w:lineRule="auto"/>
        <w:ind w:left="360" w:right="0" w:firstLine="0"/>
      </w:pPr>
      <w:proofErr w:type="gramStart"/>
      <w:r>
        <w:t>( )</w:t>
      </w:r>
      <w:proofErr w:type="gramEnd"/>
      <w:r>
        <w:t xml:space="preserve"> </w:t>
      </w:r>
      <w:r w:rsidRPr="00F3027B">
        <w:t>Uso diariamente antidepressivos e faço uso de ansiolíticos esporadicamente.</w:t>
      </w:r>
      <w:r>
        <w:t xml:space="preserve">   </w:t>
      </w:r>
    </w:p>
    <w:p w14:paraId="7ED099FE" w14:textId="77777777" w:rsidR="00594B5E" w:rsidRDefault="00594B5E" w:rsidP="00594B5E">
      <w:pPr>
        <w:spacing w:after="276" w:line="360" w:lineRule="auto"/>
        <w:ind w:left="360" w:right="0" w:firstLine="0"/>
      </w:pPr>
      <w:proofErr w:type="gramStart"/>
      <w:r>
        <w:t>( )</w:t>
      </w:r>
      <w:proofErr w:type="gramEnd"/>
      <w:r>
        <w:t xml:space="preserve"> </w:t>
      </w:r>
      <w:r w:rsidRPr="00F3027B">
        <w:t>Uso apenas ansiolíticos esporadicamente.</w:t>
      </w:r>
      <w:r>
        <w:t xml:space="preserve">   </w:t>
      </w:r>
    </w:p>
    <w:p w14:paraId="23B0B463" w14:textId="77777777" w:rsidR="00594B5E" w:rsidRDefault="00594B5E" w:rsidP="00594B5E">
      <w:pPr>
        <w:spacing w:after="276" w:line="360" w:lineRule="auto"/>
        <w:ind w:left="360" w:right="0" w:firstLine="0"/>
      </w:pPr>
      <w:proofErr w:type="gramStart"/>
      <w:r>
        <w:t>( )</w:t>
      </w:r>
      <w:proofErr w:type="gramEnd"/>
      <w:r>
        <w:t xml:space="preserve"> </w:t>
      </w:r>
      <w:r w:rsidRPr="00F3027B">
        <w:t>Uso esporadicamente ambos.</w:t>
      </w:r>
    </w:p>
    <w:p w14:paraId="4D051168" w14:textId="77777777" w:rsidR="00594B5E" w:rsidRDefault="00594B5E" w:rsidP="00594B5E">
      <w:pPr>
        <w:spacing w:after="276" w:line="360" w:lineRule="auto"/>
        <w:ind w:left="360" w:right="0" w:firstLine="0"/>
      </w:pPr>
    </w:p>
    <w:p w14:paraId="56799BA5" w14:textId="77777777" w:rsidR="00594B5E" w:rsidRDefault="00594B5E" w:rsidP="00594B5E">
      <w:pPr>
        <w:numPr>
          <w:ilvl w:val="0"/>
          <w:numId w:val="2"/>
        </w:numPr>
        <w:spacing w:after="276" w:line="360" w:lineRule="auto"/>
        <w:ind w:right="0" w:hanging="360"/>
      </w:pPr>
      <w:r w:rsidRPr="00F3027B">
        <w:t>Sua motivação para início do uso de antidepressivos e/ou ansiolíticos esteve relacionada à pandemia por COVID-19?</w:t>
      </w:r>
    </w:p>
    <w:p w14:paraId="1254F31E" w14:textId="77777777" w:rsidR="00594B5E" w:rsidRDefault="00594B5E" w:rsidP="00594B5E">
      <w:pPr>
        <w:spacing w:after="276" w:line="360" w:lineRule="auto"/>
        <w:ind w:left="360" w:right="0" w:firstLine="0"/>
      </w:pPr>
      <w:proofErr w:type="gramStart"/>
      <w:r>
        <w:t>( )</w:t>
      </w:r>
      <w:proofErr w:type="gramEnd"/>
      <w:r>
        <w:t xml:space="preserve"> Sim   ( ) Não </w:t>
      </w:r>
    </w:p>
    <w:p w14:paraId="5FFF8822" w14:textId="77777777" w:rsidR="00594B5E" w:rsidRDefault="00594B5E" w:rsidP="00594B5E">
      <w:pPr>
        <w:spacing w:after="276" w:line="360" w:lineRule="auto"/>
        <w:ind w:right="0"/>
      </w:pPr>
    </w:p>
    <w:p w14:paraId="69167011" w14:textId="77777777" w:rsidR="00594B5E" w:rsidRDefault="00594B5E" w:rsidP="00594B5E">
      <w:pPr>
        <w:spacing w:after="276" w:line="360" w:lineRule="auto"/>
        <w:ind w:left="0" w:right="0" w:firstLine="0"/>
      </w:pPr>
      <w:r>
        <w:rPr>
          <w:color w:val="202124"/>
        </w:rPr>
        <w:t xml:space="preserve"> </w:t>
      </w:r>
    </w:p>
    <w:p w14:paraId="1CD635B6" w14:textId="77777777" w:rsidR="00594B5E" w:rsidRDefault="00594B5E" w:rsidP="00594B5E">
      <w:pPr>
        <w:pStyle w:val="Ttulo4"/>
        <w:spacing w:after="117" w:line="360" w:lineRule="auto"/>
        <w:ind w:left="-5"/>
        <w:jc w:val="center"/>
      </w:pPr>
      <w:r>
        <w:rPr>
          <w:color w:val="202124"/>
        </w:rPr>
        <w:t xml:space="preserve">Questionário </w:t>
      </w:r>
      <w:proofErr w:type="spellStart"/>
      <w:r>
        <w:rPr>
          <w:color w:val="202124"/>
        </w:rPr>
        <w:t>Maslach</w:t>
      </w:r>
      <w:proofErr w:type="spellEnd"/>
      <w:r>
        <w:rPr>
          <w:color w:val="202124"/>
        </w:rPr>
        <w:t xml:space="preserve"> Burnout </w:t>
      </w:r>
      <w:proofErr w:type="spellStart"/>
      <w:r>
        <w:rPr>
          <w:color w:val="202124"/>
        </w:rPr>
        <w:t>Inventory</w:t>
      </w:r>
      <w:proofErr w:type="spellEnd"/>
      <w:r>
        <w:rPr>
          <w:color w:val="202124"/>
        </w:rPr>
        <w:t xml:space="preserve"> – MBI (modificado)</w:t>
      </w:r>
    </w:p>
    <w:p w14:paraId="60D7526B" w14:textId="77777777" w:rsidR="00594B5E" w:rsidRDefault="00594B5E" w:rsidP="00594B5E">
      <w:pPr>
        <w:spacing w:after="2" w:line="360" w:lineRule="auto"/>
        <w:ind w:right="0"/>
      </w:pPr>
      <w:r>
        <w:rPr>
          <w:color w:val="202124"/>
        </w:rPr>
        <w:t xml:space="preserve">Responda as perguntas a seguir de acordo com a frequência em que cada afirmação é verdadeira para você. Sendo que: </w:t>
      </w:r>
    </w:p>
    <w:p w14:paraId="3F81C1C4" w14:textId="77777777" w:rsidR="00594B5E" w:rsidRDefault="00594B5E" w:rsidP="00594B5E">
      <w:pPr>
        <w:pStyle w:val="SemEspaamento"/>
        <w:spacing w:line="276" w:lineRule="auto"/>
      </w:pPr>
      <w:r>
        <w:t xml:space="preserve">1 = nunca </w:t>
      </w:r>
    </w:p>
    <w:p w14:paraId="6FF34F72" w14:textId="77777777" w:rsidR="00594B5E" w:rsidRDefault="00594B5E" w:rsidP="00594B5E">
      <w:pPr>
        <w:pStyle w:val="SemEspaamento"/>
        <w:spacing w:line="276" w:lineRule="auto"/>
      </w:pPr>
      <w:r>
        <w:t xml:space="preserve">2 = anualmente </w:t>
      </w:r>
    </w:p>
    <w:p w14:paraId="643BC10C" w14:textId="77777777" w:rsidR="00594B5E" w:rsidRDefault="00594B5E" w:rsidP="00594B5E">
      <w:pPr>
        <w:pStyle w:val="SemEspaamento"/>
        <w:spacing w:line="276" w:lineRule="auto"/>
      </w:pPr>
      <w:r>
        <w:t xml:space="preserve">3 = mensalmente </w:t>
      </w:r>
    </w:p>
    <w:p w14:paraId="6369D448" w14:textId="77777777" w:rsidR="00594B5E" w:rsidRDefault="00594B5E" w:rsidP="00594B5E">
      <w:pPr>
        <w:pStyle w:val="SemEspaamento"/>
        <w:spacing w:line="276" w:lineRule="auto"/>
      </w:pPr>
      <w:r>
        <w:t xml:space="preserve">4 = semanalmente </w:t>
      </w:r>
    </w:p>
    <w:p w14:paraId="6E01AFB6" w14:textId="77777777" w:rsidR="00594B5E" w:rsidRDefault="00594B5E" w:rsidP="00594B5E">
      <w:pPr>
        <w:pStyle w:val="SemEspaamento"/>
        <w:spacing w:line="276" w:lineRule="auto"/>
      </w:pPr>
      <w:r>
        <w:t xml:space="preserve">5 = diariamente </w:t>
      </w:r>
    </w:p>
    <w:p w14:paraId="51BEC5FD" w14:textId="77777777" w:rsidR="00594B5E" w:rsidRDefault="00594B5E" w:rsidP="00594B5E">
      <w:pPr>
        <w:spacing w:after="276" w:line="360" w:lineRule="auto"/>
        <w:ind w:left="0" w:right="0" w:firstLine="0"/>
      </w:pPr>
      <w:r>
        <w:rPr>
          <w:color w:val="202124"/>
        </w:rPr>
        <w:lastRenderedPageBreak/>
        <w:t xml:space="preserve"> </w:t>
      </w:r>
    </w:p>
    <w:p w14:paraId="1EBE51E7" w14:textId="77777777" w:rsidR="00594B5E" w:rsidRDefault="00594B5E" w:rsidP="00594B5E">
      <w:pPr>
        <w:numPr>
          <w:ilvl w:val="1"/>
          <w:numId w:val="3"/>
        </w:numPr>
        <w:spacing w:after="0" w:line="360" w:lineRule="auto"/>
        <w:ind w:right="0" w:hanging="360"/>
      </w:pPr>
      <w:r>
        <w:rPr>
          <w:color w:val="202124"/>
        </w:rPr>
        <w:t>Sinto-me esgotado(a) emocionalmente em relação às minhas atividades acadêmicas.</w:t>
      </w:r>
      <w:r>
        <w:rPr>
          <w:color w:val="D93025"/>
        </w:rPr>
        <w:t xml:space="preserve"> *</w:t>
      </w:r>
      <w:r>
        <w:rPr>
          <w:color w:val="202124"/>
        </w:rPr>
        <w:t xml:space="preserve"> </w:t>
      </w:r>
    </w:p>
    <w:p w14:paraId="0658E057"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 2 ( ) 3 ( ) 4 ( ) 5 </w:t>
      </w:r>
    </w:p>
    <w:p w14:paraId="1AA31FC8" w14:textId="77777777" w:rsidR="00594B5E" w:rsidRDefault="00594B5E" w:rsidP="00594B5E">
      <w:pPr>
        <w:numPr>
          <w:ilvl w:val="1"/>
          <w:numId w:val="3"/>
        </w:numPr>
        <w:spacing w:after="115" w:line="360" w:lineRule="auto"/>
        <w:ind w:right="0" w:hanging="360"/>
      </w:pPr>
      <w:r>
        <w:rPr>
          <w:color w:val="202124"/>
        </w:rPr>
        <w:t>Sinto-me excessivamente exausto ao final do meu dia de estudo.</w:t>
      </w:r>
      <w:r>
        <w:rPr>
          <w:color w:val="D93025"/>
        </w:rPr>
        <w:t xml:space="preserve"> *</w:t>
      </w:r>
      <w:r>
        <w:rPr>
          <w:color w:val="202124"/>
        </w:rPr>
        <w:t xml:space="preserve"> </w:t>
      </w:r>
    </w:p>
    <w:p w14:paraId="7F06FBA4"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49F0C76D" w14:textId="77777777" w:rsidR="00594B5E" w:rsidRDefault="00594B5E" w:rsidP="00594B5E">
      <w:pPr>
        <w:numPr>
          <w:ilvl w:val="1"/>
          <w:numId w:val="3"/>
        </w:numPr>
        <w:spacing w:after="115" w:line="360" w:lineRule="auto"/>
        <w:ind w:right="0" w:hanging="360"/>
      </w:pPr>
      <w:r>
        <w:rPr>
          <w:color w:val="202124"/>
        </w:rPr>
        <w:t>Levanto-me cansado(a) e sem disposição para estudar.</w:t>
      </w:r>
      <w:r>
        <w:rPr>
          <w:color w:val="D93025"/>
        </w:rPr>
        <w:t xml:space="preserve"> *</w:t>
      </w:r>
      <w:r>
        <w:rPr>
          <w:color w:val="202124"/>
        </w:rPr>
        <w:t xml:space="preserve"> </w:t>
      </w:r>
    </w:p>
    <w:p w14:paraId="351F7C63"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 2 ( ) 3 ( ) 4 ( ) 5 </w:t>
      </w:r>
    </w:p>
    <w:p w14:paraId="13F3A900" w14:textId="77777777" w:rsidR="00594B5E" w:rsidRDefault="00594B5E" w:rsidP="00594B5E">
      <w:pPr>
        <w:numPr>
          <w:ilvl w:val="1"/>
          <w:numId w:val="3"/>
        </w:numPr>
        <w:spacing w:after="115" w:line="360" w:lineRule="auto"/>
        <w:ind w:right="0" w:hanging="360"/>
      </w:pPr>
      <w:r>
        <w:rPr>
          <w:color w:val="202124"/>
        </w:rPr>
        <w:t>Envolvo-me com facilidade nos problemas dos outros.</w:t>
      </w:r>
      <w:r>
        <w:rPr>
          <w:color w:val="D93025"/>
        </w:rPr>
        <w:t xml:space="preserve"> *</w:t>
      </w:r>
      <w:r>
        <w:rPr>
          <w:color w:val="202124"/>
        </w:rPr>
        <w:t xml:space="preserve"> </w:t>
      </w:r>
    </w:p>
    <w:p w14:paraId="05A71FF9"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7782450E" w14:textId="77777777" w:rsidR="00594B5E" w:rsidRDefault="00594B5E" w:rsidP="00594B5E">
      <w:pPr>
        <w:numPr>
          <w:ilvl w:val="1"/>
          <w:numId w:val="3"/>
        </w:numPr>
        <w:spacing w:after="115" w:line="360" w:lineRule="auto"/>
        <w:ind w:right="0" w:hanging="360"/>
      </w:pPr>
      <w:r>
        <w:rPr>
          <w:color w:val="202124"/>
        </w:rPr>
        <w:t>Trato algumas pessoas como se fossem da minha família.</w:t>
      </w:r>
      <w:r>
        <w:rPr>
          <w:color w:val="D93025"/>
        </w:rPr>
        <w:t xml:space="preserve"> *</w:t>
      </w:r>
      <w:r>
        <w:rPr>
          <w:color w:val="202124"/>
        </w:rPr>
        <w:t xml:space="preserve"> </w:t>
      </w:r>
    </w:p>
    <w:p w14:paraId="5BA033BA"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BED5A56" w14:textId="77777777" w:rsidR="00594B5E" w:rsidRDefault="00594B5E" w:rsidP="00594B5E">
      <w:pPr>
        <w:numPr>
          <w:ilvl w:val="1"/>
          <w:numId w:val="3"/>
        </w:numPr>
        <w:spacing w:after="115" w:line="360" w:lineRule="auto"/>
        <w:ind w:right="0" w:hanging="360"/>
      </w:pPr>
      <w:r>
        <w:rPr>
          <w:color w:val="202124"/>
        </w:rPr>
        <w:t>Tenho que desprender grande esforço para realizar minhas tarefas laborais.</w:t>
      </w:r>
      <w:r>
        <w:rPr>
          <w:color w:val="D93025"/>
        </w:rPr>
        <w:t xml:space="preserve"> *</w:t>
      </w:r>
      <w:r>
        <w:rPr>
          <w:color w:val="202124"/>
        </w:rPr>
        <w:t xml:space="preserve"> </w:t>
      </w:r>
    </w:p>
    <w:p w14:paraId="4BAF6112"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22BC27D" w14:textId="77777777" w:rsidR="00594B5E" w:rsidRDefault="00594B5E" w:rsidP="00594B5E">
      <w:pPr>
        <w:numPr>
          <w:ilvl w:val="1"/>
          <w:numId w:val="3"/>
        </w:numPr>
        <w:spacing w:after="115" w:line="360" w:lineRule="auto"/>
        <w:ind w:right="0" w:hanging="360"/>
      </w:pPr>
      <w:r>
        <w:rPr>
          <w:color w:val="202124"/>
        </w:rPr>
        <w:t>Acredito que eu poderia fazer mais pelas pessoas assistidas por mim.</w:t>
      </w:r>
      <w:r>
        <w:rPr>
          <w:color w:val="D93025"/>
        </w:rPr>
        <w:t xml:space="preserve"> *</w:t>
      </w:r>
      <w:r>
        <w:rPr>
          <w:color w:val="202124"/>
        </w:rPr>
        <w:t xml:space="preserve"> </w:t>
      </w:r>
    </w:p>
    <w:p w14:paraId="03D0EBD0"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00F33919" w14:textId="77777777" w:rsidR="00594B5E" w:rsidRDefault="00594B5E" w:rsidP="00594B5E">
      <w:pPr>
        <w:numPr>
          <w:ilvl w:val="1"/>
          <w:numId w:val="3"/>
        </w:numPr>
        <w:spacing w:after="115" w:line="360" w:lineRule="auto"/>
        <w:ind w:right="0" w:hanging="360"/>
      </w:pPr>
      <w:r>
        <w:rPr>
          <w:color w:val="202124"/>
        </w:rPr>
        <w:t>Sinto que meu salário é desproporcional às funções que executo.</w:t>
      </w:r>
      <w:r>
        <w:rPr>
          <w:color w:val="D93025"/>
        </w:rPr>
        <w:t xml:space="preserve"> *</w:t>
      </w:r>
      <w:r>
        <w:rPr>
          <w:color w:val="202124"/>
        </w:rPr>
        <w:t xml:space="preserve"> </w:t>
      </w:r>
    </w:p>
    <w:p w14:paraId="0DE21FD8"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36EC57F2" w14:textId="77777777" w:rsidR="00594B5E" w:rsidRDefault="00594B5E" w:rsidP="00594B5E">
      <w:pPr>
        <w:numPr>
          <w:ilvl w:val="1"/>
          <w:numId w:val="3"/>
        </w:numPr>
        <w:spacing w:after="115" w:line="360" w:lineRule="auto"/>
        <w:ind w:right="0" w:hanging="360"/>
      </w:pPr>
      <w:r>
        <w:rPr>
          <w:color w:val="202124"/>
        </w:rPr>
        <w:t>Sinto que sou uma referência para as pessoas que lido diariamente.</w:t>
      </w:r>
      <w:r>
        <w:rPr>
          <w:color w:val="D93025"/>
        </w:rPr>
        <w:t xml:space="preserve"> *</w:t>
      </w:r>
      <w:r>
        <w:rPr>
          <w:color w:val="202124"/>
        </w:rPr>
        <w:t xml:space="preserve"> </w:t>
      </w:r>
    </w:p>
    <w:p w14:paraId="23F69FEB"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4761B09E" w14:textId="77777777" w:rsidR="00594B5E" w:rsidRDefault="00594B5E" w:rsidP="00594B5E">
      <w:pPr>
        <w:numPr>
          <w:ilvl w:val="1"/>
          <w:numId w:val="3"/>
        </w:numPr>
        <w:spacing w:after="115" w:line="360" w:lineRule="auto"/>
        <w:ind w:right="0" w:hanging="360"/>
      </w:pPr>
      <w:r>
        <w:rPr>
          <w:color w:val="202124"/>
        </w:rPr>
        <w:t>Sinto-me com pouca vitalidade, desanimado(a).</w:t>
      </w:r>
      <w:r>
        <w:rPr>
          <w:color w:val="D93025"/>
        </w:rPr>
        <w:t xml:space="preserve"> *</w:t>
      </w:r>
      <w:r>
        <w:rPr>
          <w:color w:val="202124"/>
        </w:rPr>
        <w:t xml:space="preserve"> </w:t>
      </w:r>
    </w:p>
    <w:p w14:paraId="09C18AB9"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60F38F35" w14:textId="77777777" w:rsidR="00594B5E" w:rsidRDefault="00594B5E" w:rsidP="00594B5E">
      <w:pPr>
        <w:numPr>
          <w:ilvl w:val="1"/>
          <w:numId w:val="3"/>
        </w:numPr>
        <w:spacing w:after="115" w:line="360" w:lineRule="auto"/>
        <w:ind w:right="0" w:hanging="360"/>
      </w:pPr>
      <w:r>
        <w:rPr>
          <w:color w:val="202124"/>
        </w:rPr>
        <w:t>Não me sinto realizado(a) com o meu curso.</w:t>
      </w:r>
      <w:r>
        <w:rPr>
          <w:color w:val="D93025"/>
        </w:rPr>
        <w:t xml:space="preserve"> *</w:t>
      </w:r>
      <w:r>
        <w:rPr>
          <w:color w:val="202124"/>
        </w:rPr>
        <w:t xml:space="preserve"> </w:t>
      </w:r>
    </w:p>
    <w:p w14:paraId="7AC9C056"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8E4AC83" w14:textId="77777777" w:rsidR="00594B5E" w:rsidRDefault="00594B5E" w:rsidP="00594B5E">
      <w:pPr>
        <w:numPr>
          <w:ilvl w:val="1"/>
          <w:numId w:val="3"/>
        </w:numPr>
        <w:spacing w:after="115" w:line="360" w:lineRule="auto"/>
        <w:ind w:right="0" w:hanging="360"/>
      </w:pPr>
      <w:r>
        <w:rPr>
          <w:color w:val="202124"/>
        </w:rPr>
        <w:t>Não sinto mais tanto amor pelo meu curso como antes.</w:t>
      </w:r>
      <w:r>
        <w:rPr>
          <w:color w:val="D93025"/>
        </w:rPr>
        <w:t xml:space="preserve"> *</w:t>
      </w:r>
      <w:r>
        <w:rPr>
          <w:color w:val="202124"/>
        </w:rPr>
        <w:t xml:space="preserve"> </w:t>
      </w:r>
    </w:p>
    <w:p w14:paraId="67BAEE6F"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095A1828" w14:textId="77777777" w:rsidR="00594B5E" w:rsidRDefault="00594B5E" w:rsidP="00594B5E">
      <w:pPr>
        <w:numPr>
          <w:ilvl w:val="1"/>
          <w:numId w:val="3"/>
        </w:numPr>
        <w:spacing w:after="115" w:line="360" w:lineRule="auto"/>
        <w:ind w:right="0" w:hanging="360"/>
      </w:pPr>
      <w:r>
        <w:rPr>
          <w:color w:val="202124"/>
        </w:rPr>
        <w:lastRenderedPageBreak/>
        <w:t>Não acredito mais naquilo que realizo profissionalmente.</w:t>
      </w:r>
      <w:r>
        <w:rPr>
          <w:color w:val="D93025"/>
        </w:rPr>
        <w:t xml:space="preserve"> *</w:t>
      </w:r>
      <w:r>
        <w:rPr>
          <w:color w:val="202124"/>
        </w:rPr>
        <w:t xml:space="preserve"> </w:t>
      </w:r>
    </w:p>
    <w:p w14:paraId="605D655C"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7A06686A" w14:textId="77777777" w:rsidR="00594B5E" w:rsidRDefault="00594B5E" w:rsidP="00594B5E">
      <w:pPr>
        <w:numPr>
          <w:ilvl w:val="1"/>
          <w:numId w:val="3"/>
        </w:numPr>
        <w:spacing w:after="115" w:line="360" w:lineRule="auto"/>
        <w:ind w:right="0" w:hanging="360"/>
      </w:pPr>
      <w:r>
        <w:rPr>
          <w:color w:val="202124"/>
        </w:rPr>
        <w:t>Sinto-me sem forças para conseguir algum resultado significante.</w:t>
      </w:r>
      <w:r>
        <w:rPr>
          <w:color w:val="D93025"/>
        </w:rPr>
        <w:t xml:space="preserve"> *</w:t>
      </w:r>
      <w:r>
        <w:rPr>
          <w:color w:val="202124"/>
        </w:rPr>
        <w:t xml:space="preserve"> </w:t>
      </w:r>
    </w:p>
    <w:p w14:paraId="62E09D39"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5DFC7124" w14:textId="77777777" w:rsidR="00594B5E" w:rsidRDefault="00594B5E" w:rsidP="00594B5E">
      <w:pPr>
        <w:numPr>
          <w:ilvl w:val="1"/>
          <w:numId w:val="3"/>
        </w:numPr>
        <w:spacing w:after="115" w:line="360" w:lineRule="auto"/>
        <w:ind w:right="0" w:hanging="360"/>
      </w:pPr>
      <w:r>
        <w:rPr>
          <w:color w:val="202124"/>
        </w:rPr>
        <w:t>Sinto que estou no curso apenas por causa do salário futuro.</w:t>
      </w:r>
      <w:r>
        <w:rPr>
          <w:color w:val="D93025"/>
        </w:rPr>
        <w:t xml:space="preserve"> *</w:t>
      </w:r>
      <w:r>
        <w:rPr>
          <w:color w:val="202124"/>
        </w:rPr>
        <w:t xml:space="preserve"> </w:t>
      </w:r>
    </w:p>
    <w:p w14:paraId="388D5F53"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28EC68D" w14:textId="77777777" w:rsidR="00594B5E" w:rsidRDefault="00594B5E" w:rsidP="00594B5E">
      <w:pPr>
        <w:numPr>
          <w:ilvl w:val="1"/>
          <w:numId w:val="3"/>
        </w:numPr>
        <w:spacing w:after="115" w:line="360" w:lineRule="auto"/>
        <w:ind w:right="0" w:hanging="360"/>
      </w:pPr>
      <w:r>
        <w:rPr>
          <w:color w:val="202124"/>
        </w:rPr>
        <w:t>Tenho me sentido mais estressado(a) com as pessoas que atendo.</w:t>
      </w:r>
      <w:r>
        <w:rPr>
          <w:color w:val="D93025"/>
        </w:rPr>
        <w:t xml:space="preserve"> *</w:t>
      </w:r>
      <w:r>
        <w:rPr>
          <w:color w:val="202124"/>
        </w:rPr>
        <w:t xml:space="preserve"> </w:t>
      </w:r>
    </w:p>
    <w:p w14:paraId="5A63C911"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412573B5" w14:textId="77777777" w:rsidR="00594B5E" w:rsidRDefault="00594B5E" w:rsidP="00594B5E">
      <w:pPr>
        <w:numPr>
          <w:ilvl w:val="1"/>
          <w:numId w:val="3"/>
        </w:numPr>
        <w:spacing w:after="115" w:line="360" w:lineRule="auto"/>
        <w:ind w:right="0" w:hanging="360"/>
      </w:pPr>
      <w:r>
        <w:rPr>
          <w:color w:val="202124"/>
        </w:rPr>
        <w:t>Sinto-me responsável pelos problemas das pessoas que atendo.</w:t>
      </w:r>
      <w:r>
        <w:rPr>
          <w:color w:val="D93025"/>
        </w:rPr>
        <w:t xml:space="preserve"> *</w:t>
      </w:r>
      <w:r>
        <w:rPr>
          <w:color w:val="202124"/>
        </w:rPr>
        <w:t xml:space="preserve"> </w:t>
      </w:r>
    </w:p>
    <w:p w14:paraId="54D4BB1F"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001B8256" w14:textId="77777777" w:rsidR="00594B5E" w:rsidRDefault="00594B5E" w:rsidP="00594B5E">
      <w:pPr>
        <w:numPr>
          <w:ilvl w:val="1"/>
          <w:numId w:val="3"/>
        </w:numPr>
        <w:spacing w:after="115" w:line="360" w:lineRule="auto"/>
        <w:ind w:right="0" w:hanging="360"/>
      </w:pPr>
      <w:r>
        <w:rPr>
          <w:color w:val="202124"/>
        </w:rPr>
        <w:t>Sinto que as pessoas me culpam pelos seus problemas.</w:t>
      </w:r>
      <w:r>
        <w:rPr>
          <w:color w:val="D93025"/>
        </w:rPr>
        <w:t xml:space="preserve"> *</w:t>
      </w:r>
      <w:r>
        <w:rPr>
          <w:color w:val="202124"/>
        </w:rPr>
        <w:t xml:space="preserve"> </w:t>
      </w:r>
    </w:p>
    <w:p w14:paraId="3A63CA33"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150DFC5" w14:textId="77777777" w:rsidR="00594B5E" w:rsidRDefault="00594B5E" w:rsidP="00594B5E">
      <w:pPr>
        <w:numPr>
          <w:ilvl w:val="1"/>
          <w:numId w:val="3"/>
        </w:numPr>
        <w:spacing w:after="115" w:line="360" w:lineRule="auto"/>
        <w:ind w:right="0" w:hanging="360"/>
      </w:pPr>
      <w:r>
        <w:rPr>
          <w:color w:val="202124"/>
        </w:rPr>
        <w:t>Penso que não importa o que eu faça, nada vai mudar no meu curso.</w:t>
      </w:r>
      <w:r>
        <w:rPr>
          <w:color w:val="D93025"/>
        </w:rPr>
        <w:t xml:space="preserve"> *</w:t>
      </w:r>
      <w:r>
        <w:rPr>
          <w:color w:val="202124"/>
        </w:rPr>
        <w:t xml:space="preserve"> </w:t>
      </w:r>
    </w:p>
    <w:p w14:paraId="36A5573E"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0010B4BA" w14:textId="77777777" w:rsidR="00594B5E" w:rsidRDefault="00594B5E" w:rsidP="00594B5E">
      <w:pPr>
        <w:numPr>
          <w:ilvl w:val="1"/>
          <w:numId w:val="3"/>
        </w:numPr>
        <w:spacing w:after="2" w:line="360" w:lineRule="auto"/>
        <w:ind w:right="0" w:hanging="360"/>
      </w:pPr>
      <w:r>
        <w:rPr>
          <w:color w:val="202124"/>
        </w:rPr>
        <w:t>Sinto que não acredito mais na profissão que vou exercer quando me formar.</w:t>
      </w:r>
      <w:r>
        <w:rPr>
          <w:color w:val="D93025"/>
        </w:rPr>
        <w:t xml:space="preserve"> *</w:t>
      </w:r>
      <w:r>
        <w:rPr>
          <w:color w:val="202124"/>
        </w:rPr>
        <w:t xml:space="preserve"> </w:t>
      </w:r>
    </w:p>
    <w:p w14:paraId="1BF1F6D3" w14:textId="77777777" w:rsidR="00594B5E" w:rsidRDefault="00594B5E" w:rsidP="00594B5E">
      <w:pPr>
        <w:spacing w:after="379" w:line="360" w:lineRule="auto"/>
        <w:ind w:left="715" w:right="0"/>
      </w:pPr>
      <w:proofErr w:type="gramStart"/>
      <w:r>
        <w:rPr>
          <w:color w:val="202124"/>
        </w:rPr>
        <w:t>( )</w:t>
      </w:r>
      <w:proofErr w:type="gramEnd"/>
      <w:r>
        <w:rPr>
          <w:color w:val="202124"/>
        </w:rPr>
        <w:t xml:space="preserve">1  ( )2  ( )3  ( )4  ( )5 </w:t>
      </w:r>
    </w:p>
    <w:p w14:paraId="2C96B96C" w14:textId="77777777" w:rsidR="00594B5E" w:rsidRDefault="00594B5E" w:rsidP="00594B5E">
      <w:pPr>
        <w:spacing w:after="139" w:line="360" w:lineRule="auto"/>
        <w:ind w:left="0" w:right="0" w:firstLine="0"/>
      </w:pPr>
      <w:r>
        <w:rPr>
          <w:color w:val="202124"/>
        </w:rPr>
        <w:t xml:space="preserve"> </w:t>
      </w:r>
    </w:p>
    <w:p w14:paraId="2D543143" w14:textId="77777777" w:rsidR="00594B5E" w:rsidRDefault="00594B5E" w:rsidP="00594B5E">
      <w:pPr>
        <w:pStyle w:val="Ttulo4"/>
        <w:spacing w:after="117" w:line="360" w:lineRule="auto"/>
        <w:ind w:left="-5"/>
        <w:jc w:val="center"/>
      </w:pPr>
      <w:r>
        <w:rPr>
          <w:color w:val="202124"/>
        </w:rPr>
        <w:t xml:space="preserve">WHOQOL: </w:t>
      </w:r>
      <w:proofErr w:type="spellStart"/>
      <w:r>
        <w:rPr>
          <w:color w:val="202124"/>
        </w:rPr>
        <w:t>Measuring</w:t>
      </w:r>
      <w:proofErr w:type="spellEnd"/>
      <w:r>
        <w:rPr>
          <w:color w:val="202124"/>
        </w:rPr>
        <w:t xml:space="preserve"> </w:t>
      </w:r>
      <w:proofErr w:type="spellStart"/>
      <w:r>
        <w:rPr>
          <w:color w:val="202124"/>
        </w:rPr>
        <w:t>Quality</w:t>
      </w:r>
      <w:proofErr w:type="spellEnd"/>
      <w:r>
        <w:rPr>
          <w:color w:val="202124"/>
        </w:rPr>
        <w:t xml:space="preserve"> </w:t>
      </w:r>
      <w:proofErr w:type="spellStart"/>
      <w:r>
        <w:rPr>
          <w:color w:val="202124"/>
        </w:rPr>
        <w:t>of</w:t>
      </w:r>
      <w:proofErr w:type="spellEnd"/>
      <w:r>
        <w:rPr>
          <w:color w:val="202124"/>
        </w:rPr>
        <w:t xml:space="preserve"> Life</w:t>
      </w:r>
    </w:p>
    <w:p w14:paraId="11F2A6B1" w14:textId="77777777" w:rsidR="00594B5E" w:rsidRDefault="00594B5E" w:rsidP="00594B5E">
      <w:pPr>
        <w:spacing w:after="2" w:line="360" w:lineRule="auto"/>
        <w:ind w:right="0"/>
      </w:pPr>
      <w:r>
        <w:rPr>
          <w:color w:val="202124"/>
        </w:rPr>
        <w:t xml:space="preserve">Responda as perguntas a seguir embasado nos acontecimentos das últimas duas semanas. </w:t>
      </w:r>
    </w:p>
    <w:p w14:paraId="24F1957E" w14:textId="77777777" w:rsidR="00594B5E" w:rsidRDefault="00594B5E" w:rsidP="00594B5E">
      <w:pPr>
        <w:numPr>
          <w:ilvl w:val="0"/>
          <w:numId w:val="4"/>
        </w:numPr>
        <w:spacing w:after="115" w:line="360" w:lineRule="auto"/>
        <w:ind w:right="0" w:hanging="360"/>
      </w:pPr>
      <w:r>
        <w:rPr>
          <w:color w:val="202124"/>
        </w:rPr>
        <w:t xml:space="preserve">Como você avaliaria sua qualidade de vida? </w:t>
      </w:r>
    </w:p>
    <w:p w14:paraId="6300B74C"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Muito ruim. </w:t>
      </w:r>
    </w:p>
    <w:p w14:paraId="2D84C51D"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Ruim. </w:t>
      </w:r>
    </w:p>
    <w:p w14:paraId="598AAF98"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Nem ruim nem boa. </w:t>
      </w:r>
    </w:p>
    <w:p w14:paraId="387F2DB1"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Boa. </w:t>
      </w:r>
    </w:p>
    <w:p w14:paraId="0208A01E"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Muito boa. </w:t>
      </w:r>
    </w:p>
    <w:p w14:paraId="1FF356F2" w14:textId="77777777" w:rsidR="00594B5E" w:rsidRDefault="00594B5E" w:rsidP="00594B5E">
      <w:pPr>
        <w:numPr>
          <w:ilvl w:val="0"/>
          <w:numId w:val="4"/>
        </w:numPr>
        <w:spacing w:after="115" w:line="360" w:lineRule="auto"/>
        <w:ind w:right="0" w:hanging="360"/>
      </w:pPr>
      <w:r>
        <w:rPr>
          <w:color w:val="202124"/>
        </w:rPr>
        <w:lastRenderedPageBreak/>
        <w:t xml:space="preserve">Quão satisfeito(a) você está com a sua saúde? </w:t>
      </w:r>
    </w:p>
    <w:p w14:paraId="555B56A9"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Muito insatisfeito. </w:t>
      </w:r>
    </w:p>
    <w:p w14:paraId="2C186C95"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Insatisfeito. </w:t>
      </w:r>
    </w:p>
    <w:p w14:paraId="400A6C24"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Nem insatisfeito nem satisfeito. </w:t>
      </w:r>
    </w:p>
    <w:p w14:paraId="6AE37D03"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Satisfeito. </w:t>
      </w:r>
    </w:p>
    <w:p w14:paraId="343FD76C" w14:textId="77777777" w:rsidR="00594B5E" w:rsidRDefault="00594B5E" w:rsidP="00594B5E">
      <w:pPr>
        <w:spacing w:after="295" w:line="360" w:lineRule="auto"/>
        <w:ind w:left="715" w:right="0"/>
      </w:pPr>
      <w:proofErr w:type="gramStart"/>
      <w:r>
        <w:rPr>
          <w:color w:val="202124"/>
        </w:rPr>
        <w:t>( )</w:t>
      </w:r>
      <w:proofErr w:type="gramEnd"/>
      <w:r>
        <w:rPr>
          <w:color w:val="202124"/>
        </w:rPr>
        <w:t xml:space="preserve"> Muito satisfeito. </w:t>
      </w:r>
    </w:p>
    <w:p w14:paraId="1038237A" w14:textId="77777777" w:rsidR="00594B5E" w:rsidRDefault="00594B5E" w:rsidP="00594B5E">
      <w:pPr>
        <w:spacing w:after="178" w:line="360" w:lineRule="auto"/>
        <w:ind w:right="0"/>
      </w:pPr>
      <w:r>
        <w:rPr>
          <w:color w:val="202124"/>
        </w:rPr>
        <w:t xml:space="preserve">As questões seguintes são sobre o quanto você tem sentido algumas coisas nas últimas duas semanas. </w:t>
      </w:r>
    </w:p>
    <w:p w14:paraId="54B5BF9C" w14:textId="77777777" w:rsidR="00594B5E" w:rsidRDefault="00594B5E" w:rsidP="00594B5E">
      <w:pPr>
        <w:spacing w:after="115" w:line="360" w:lineRule="auto"/>
        <w:ind w:left="715" w:right="0"/>
      </w:pPr>
      <w:r>
        <w:rPr>
          <w:color w:val="202124"/>
        </w:rPr>
        <w:t xml:space="preserve">Responda as questões a seguir sendo que: </w:t>
      </w:r>
    </w:p>
    <w:p w14:paraId="5B8497AA" w14:textId="77777777" w:rsidR="00594B5E" w:rsidRDefault="00594B5E" w:rsidP="00594B5E">
      <w:pPr>
        <w:pStyle w:val="SemEspaamento"/>
        <w:spacing w:line="276" w:lineRule="auto"/>
      </w:pPr>
      <w:r>
        <w:t xml:space="preserve">1 = nada </w:t>
      </w:r>
    </w:p>
    <w:p w14:paraId="08BB465A" w14:textId="77777777" w:rsidR="00594B5E" w:rsidRDefault="00594B5E" w:rsidP="00594B5E">
      <w:pPr>
        <w:pStyle w:val="SemEspaamento"/>
        <w:spacing w:line="276" w:lineRule="auto"/>
      </w:pPr>
      <w:r>
        <w:t xml:space="preserve">2 = muito pouco </w:t>
      </w:r>
    </w:p>
    <w:p w14:paraId="1386AC43" w14:textId="77777777" w:rsidR="00594B5E" w:rsidRDefault="00594B5E" w:rsidP="00594B5E">
      <w:pPr>
        <w:pStyle w:val="SemEspaamento"/>
        <w:spacing w:line="276" w:lineRule="auto"/>
      </w:pPr>
      <w:r>
        <w:t xml:space="preserve">3 = mais ou menos </w:t>
      </w:r>
    </w:p>
    <w:p w14:paraId="308B3758" w14:textId="77777777" w:rsidR="00594B5E" w:rsidRDefault="00594B5E" w:rsidP="00594B5E">
      <w:pPr>
        <w:pStyle w:val="SemEspaamento"/>
        <w:spacing w:line="276" w:lineRule="auto"/>
      </w:pPr>
      <w:r>
        <w:t xml:space="preserve">4 = bastante </w:t>
      </w:r>
    </w:p>
    <w:p w14:paraId="67D6FCDD" w14:textId="77777777" w:rsidR="00594B5E" w:rsidRDefault="00594B5E" w:rsidP="00594B5E">
      <w:pPr>
        <w:pStyle w:val="SemEspaamento"/>
        <w:spacing w:line="276" w:lineRule="auto"/>
      </w:pPr>
      <w:r>
        <w:t xml:space="preserve">5 = extremamente </w:t>
      </w:r>
    </w:p>
    <w:p w14:paraId="3DAF9894" w14:textId="77777777" w:rsidR="00594B5E" w:rsidRDefault="00594B5E" w:rsidP="00594B5E">
      <w:pPr>
        <w:spacing w:after="117" w:line="360" w:lineRule="auto"/>
        <w:ind w:left="720" w:right="0" w:firstLine="0"/>
      </w:pPr>
      <w:r>
        <w:rPr>
          <w:color w:val="202124"/>
        </w:rPr>
        <w:t xml:space="preserve"> </w:t>
      </w:r>
    </w:p>
    <w:p w14:paraId="147D4DFE" w14:textId="77777777" w:rsidR="00594B5E" w:rsidRDefault="00594B5E" w:rsidP="00594B5E">
      <w:pPr>
        <w:numPr>
          <w:ilvl w:val="0"/>
          <w:numId w:val="4"/>
        </w:numPr>
        <w:spacing w:after="115" w:line="360" w:lineRule="auto"/>
        <w:ind w:right="0" w:hanging="360"/>
      </w:pPr>
      <w:r>
        <w:rPr>
          <w:color w:val="202124"/>
        </w:rPr>
        <w:t>Em que medida você acha que sua dor (física) impede você de fazer o que você precisa?</w:t>
      </w:r>
      <w:r>
        <w:rPr>
          <w:color w:val="D93025"/>
        </w:rPr>
        <w:t xml:space="preserve"> *</w:t>
      </w:r>
      <w:r>
        <w:rPr>
          <w:color w:val="202124"/>
        </w:rPr>
        <w:t xml:space="preserve"> </w:t>
      </w:r>
    </w:p>
    <w:p w14:paraId="2625D627"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14955795" w14:textId="77777777" w:rsidR="00594B5E" w:rsidRDefault="00594B5E" w:rsidP="00594B5E">
      <w:pPr>
        <w:numPr>
          <w:ilvl w:val="0"/>
          <w:numId w:val="4"/>
        </w:numPr>
        <w:spacing w:after="0" w:line="360" w:lineRule="auto"/>
        <w:ind w:right="0" w:hanging="360"/>
      </w:pPr>
      <w:r>
        <w:rPr>
          <w:color w:val="202124"/>
        </w:rPr>
        <w:t>O quanto você precisa de algum tratamento médico para levar sua vida diária?</w:t>
      </w:r>
      <w:r>
        <w:rPr>
          <w:color w:val="D93025"/>
        </w:rPr>
        <w:t xml:space="preserve"> *</w:t>
      </w:r>
      <w:r>
        <w:rPr>
          <w:color w:val="202124"/>
        </w:rPr>
        <w:t xml:space="preserve"> </w:t>
      </w:r>
    </w:p>
    <w:p w14:paraId="404DB88F"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00AE2018" w14:textId="77777777" w:rsidR="00594B5E" w:rsidRDefault="00594B5E" w:rsidP="00594B5E">
      <w:pPr>
        <w:spacing w:after="115" w:line="360" w:lineRule="auto"/>
        <w:ind w:left="720" w:right="0" w:firstLine="0"/>
      </w:pPr>
      <w:r>
        <w:rPr>
          <w:color w:val="202124"/>
        </w:rPr>
        <w:t xml:space="preserve"> </w:t>
      </w:r>
    </w:p>
    <w:p w14:paraId="3311D98A" w14:textId="77777777" w:rsidR="00594B5E" w:rsidRDefault="00594B5E" w:rsidP="00594B5E">
      <w:pPr>
        <w:numPr>
          <w:ilvl w:val="0"/>
          <w:numId w:val="4"/>
        </w:numPr>
        <w:spacing w:after="115" w:line="360" w:lineRule="auto"/>
        <w:ind w:right="0" w:hanging="360"/>
      </w:pPr>
      <w:r>
        <w:rPr>
          <w:color w:val="202124"/>
        </w:rPr>
        <w:t xml:space="preserve">O quanto você aproveita a vida? </w:t>
      </w:r>
      <w:r>
        <w:rPr>
          <w:color w:val="D93025"/>
        </w:rPr>
        <w:t>*</w:t>
      </w:r>
      <w:r>
        <w:rPr>
          <w:color w:val="202124"/>
        </w:rPr>
        <w:t xml:space="preserve"> </w:t>
      </w:r>
    </w:p>
    <w:p w14:paraId="4ED34C0A"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1B18F6DC" w14:textId="77777777" w:rsidR="00594B5E" w:rsidRDefault="00594B5E" w:rsidP="00594B5E">
      <w:pPr>
        <w:spacing w:after="117" w:line="360" w:lineRule="auto"/>
        <w:ind w:left="720" w:right="0" w:firstLine="0"/>
      </w:pPr>
      <w:r>
        <w:rPr>
          <w:color w:val="202124"/>
        </w:rPr>
        <w:t xml:space="preserve"> </w:t>
      </w:r>
    </w:p>
    <w:p w14:paraId="27C32233" w14:textId="77777777" w:rsidR="00594B5E" w:rsidRDefault="00594B5E" w:rsidP="00594B5E">
      <w:pPr>
        <w:numPr>
          <w:ilvl w:val="0"/>
          <w:numId w:val="4"/>
        </w:numPr>
        <w:spacing w:after="115" w:line="360" w:lineRule="auto"/>
        <w:ind w:right="0" w:hanging="360"/>
      </w:pPr>
      <w:r>
        <w:rPr>
          <w:color w:val="202124"/>
        </w:rPr>
        <w:t>Em que medida você acha que a sua vida tem sentido?</w:t>
      </w:r>
      <w:r>
        <w:rPr>
          <w:color w:val="D93025"/>
        </w:rPr>
        <w:t xml:space="preserve"> *</w:t>
      </w:r>
      <w:r>
        <w:rPr>
          <w:color w:val="202124"/>
        </w:rPr>
        <w:t xml:space="preserve"> </w:t>
      </w:r>
    </w:p>
    <w:p w14:paraId="0403D4EC"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20C25C5" w14:textId="77777777" w:rsidR="00594B5E" w:rsidRDefault="00594B5E" w:rsidP="00594B5E">
      <w:pPr>
        <w:numPr>
          <w:ilvl w:val="0"/>
          <w:numId w:val="4"/>
        </w:numPr>
        <w:spacing w:after="115" w:line="360" w:lineRule="auto"/>
        <w:ind w:right="0" w:hanging="360"/>
      </w:pPr>
      <w:r>
        <w:rPr>
          <w:color w:val="202124"/>
        </w:rPr>
        <w:t>O quanto você consegue se concentrar?</w:t>
      </w:r>
      <w:r>
        <w:rPr>
          <w:color w:val="D93025"/>
        </w:rPr>
        <w:t xml:space="preserve"> *</w:t>
      </w:r>
      <w:r>
        <w:rPr>
          <w:color w:val="202124"/>
        </w:rPr>
        <w:t xml:space="preserve"> </w:t>
      </w:r>
    </w:p>
    <w:p w14:paraId="4711CDB5"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110D7C1D" w14:textId="77777777" w:rsidR="00594B5E" w:rsidRDefault="00594B5E" w:rsidP="00594B5E">
      <w:pPr>
        <w:spacing w:after="115" w:line="360" w:lineRule="auto"/>
        <w:ind w:left="720" w:right="0" w:firstLine="0"/>
      </w:pPr>
      <w:r>
        <w:rPr>
          <w:color w:val="202124"/>
        </w:rPr>
        <w:lastRenderedPageBreak/>
        <w:t xml:space="preserve"> </w:t>
      </w:r>
    </w:p>
    <w:p w14:paraId="4D5F1277" w14:textId="77777777" w:rsidR="00594B5E" w:rsidRDefault="00594B5E" w:rsidP="00594B5E">
      <w:pPr>
        <w:numPr>
          <w:ilvl w:val="0"/>
          <w:numId w:val="4"/>
        </w:numPr>
        <w:spacing w:after="115" w:line="360" w:lineRule="auto"/>
        <w:ind w:right="0" w:hanging="360"/>
      </w:pPr>
      <w:r>
        <w:rPr>
          <w:color w:val="202124"/>
        </w:rPr>
        <w:t>Quão seguro(a) você se sente em sua vida diária?</w:t>
      </w:r>
      <w:r>
        <w:rPr>
          <w:color w:val="D93025"/>
        </w:rPr>
        <w:t xml:space="preserve"> *</w:t>
      </w:r>
      <w:r>
        <w:rPr>
          <w:color w:val="202124"/>
        </w:rPr>
        <w:t xml:space="preserve"> </w:t>
      </w:r>
    </w:p>
    <w:p w14:paraId="53544655"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631B0252" w14:textId="77777777" w:rsidR="00594B5E" w:rsidRDefault="00594B5E" w:rsidP="00594B5E">
      <w:pPr>
        <w:numPr>
          <w:ilvl w:val="0"/>
          <w:numId w:val="4"/>
        </w:numPr>
        <w:spacing w:after="0" w:line="360" w:lineRule="auto"/>
        <w:ind w:right="0" w:hanging="360"/>
      </w:pPr>
      <w:r>
        <w:rPr>
          <w:color w:val="202124"/>
        </w:rPr>
        <w:t>Quão saudável é o seu ambiente físico (clima, barulho, poluição, atrativos)?</w:t>
      </w:r>
      <w:r>
        <w:rPr>
          <w:color w:val="D93025"/>
        </w:rPr>
        <w:t xml:space="preserve"> *</w:t>
      </w:r>
      <w:r>
        <w:rPr>
          <w:color w:val="202124"/>
        </w:rPr>
        <w:t xml:space="preserve"> </w:t>
      </w:r>
    </w:p>
    <w:p w14:paraId="1E34DCA8" w14:textId="77777777" w:rsidR="00594B5E" w:rsidRDefault="00594B5E" w:rsidP="00594B5E">
      <w:pPr>
        <w:spacing w:after="297" w:line="360" w:lineRule="auto"/>
        <w:ind w:left="715" w:right="0"/>
      </w:pPr>
      <w:proofErr w:type="gramStart"/>
      <w:r>
        <w:rPr>
          <w:color w:val="202124"/>
        </w:rPr>
        <w:t>( )</w:t>
      </w:r>
      <w:proofErr w:type="gramEnd"/>
      <w:r>
        <w:rPr>
          <w:color w:val="202124"/>
        </w:rPr>
        <w:t xml:space="preserve">1  ( )2  ( )3  ( )4  ( )5 </w:t>
      </w:r>
    </w:p>
    <w:p w14:paraId="6D01DCD7" w14:textId="77777777" w:rsidR="00594B5E" w:rsidRDefault="00594B5E" w:rsidP="00594B5E">
      <w:pPr>
        <w:spacing w:after="182" w:line="360" w:lineRule="auto"/>
        <w:ind w:right="0"/>
      </w:pPr>
      <w:r>
        <w:rPr>
          <w:color w:val="202124"/>
        </w:rPr>
        <w:t xml:space="preserve">As questões seguintes perguntam sobre quão completamente você tem sentido ou é capaz de fazer certas coisas nestas últimas duas semanas. </w:t>
      </w:r>
    </w:p>
    <w:p w14:paraId="7B820CB4" w14:textId="77777777" w:rsidR="00594B5E" w:rsidRDefault="00594B5E" w:rsidP="00594B5E">
      <w:pPr>
        <w:spacing w:after="115" w:line="360" w:lineRule="auto"/>
        <w:ind w:left="715" w:right="0"/>
      </w:pPr>
      <w:r>
        <w:rPr>
          <w:color w:val="202124"/>
        </w:rPr>
        <w:t xml:space="preserve">Responda as questões a seguir sendo que: </w:t>
      </w:r>
    </w:p>
    <w:p w14:paraId="472E451C" w14:textId="77777777" w:rsidR="00594B5E" w:rsidRDefault="00594B5E" w:rsidP="00594B5E">
      <w:pPr>
        <w:pStyle w:val="SemEspaamento"/>
        <w:spacing w:line="276" w:lineRule="auto"/>
      </w:pPr>
      <w:r>
        <w:t xml:space="preserve">1 = nada </w:t>
      </w:r>
    </w:p>
    <w:p w14:paraId="551E166B" w14:textId="77777777" w:rsidR="00594B5E" w:rsidRDefault="00594B5E" w:rsidP="00594B5E">
      <w:pPr>
        <w:pStyle w:val="SemEspaamento"/>
        <w:spacing w:line="276" w:lineRule="auto"/>
      </w:pPr>
      <w:r>
        <w:t xml:space="preserve">2 = muito pouco </w:t>
      </w:r>
    </w:p>
    <w:p w14:paraId="7E4ED924" w14:textId="77777777" w:rsidR="00594B5E" w:rsidRDefault="00594B5E" w:rsidP="00594B5E">
      <w:pPr>
        <w:pStyle w:val="SemEspaamento"/>
        <w:spacing w:line="276" w:lineRule="auto"/>
      </w:pPr>
      <w:r>
        <w:t xml:space="preserve">3 = médio </w:t>
      </w:r>
    </w:p>
    <w:p w14:paraId="31ED24DA" w14:textId="77777777" w:rsidR="00594B5E" w:rsidRDefault="00594B5E" w:rsidP="00594B5E">
      <w:pPr>
        <w:pStyle w:val="SemEspaamento"/>
        <w:spacing w:line="276" w:lineRule="auto"/>
      </w:pPr>
      <w:r>
        <w:t xml:space="preserve">4 = muito </w:t>
      </w:r>
    </w:p>
    <w:p w14:paraId="71AB92E3" w14:textId="77777777" w:rsidR="00594B5E" w:rsidRDefault="00594B5E" w:rsidP="00594B5E">
      <w:pPr>
        <w:pStyle w:val="SemEspaamento"/>
        <w:spacing w:line="276" w:lineRule="auto"/>
      </w:pPr>
      <w:r>
        <w:t xml:space="preserve">5 = completamente </w:t>
      </w:r>
    </w:p>
    <w:p w14:paraId="5E2F0A8B" w14:textId="77777777" w:rsidR="00594B5E" w:rsidRDefault="00594B5E" w:rsidP="00594B5E">
      <w:pPr>
        <w:pStyle w:val="SemEspaamento"/>
        <w:spacing w:line="276" w:lineRule="auto"/>
      </w:pPr>
    </w:p>
    <w:p w14:paraId="4DB46EE8" w14:textId="77777777" w:rsidR="00594B5E" w:rsidRDefault="00594B5E" w:rsidP="00594B5E">
      <w:pPr>
        <w:numPr>
          <w:ilvl w:val="0"/>
          <w:numId w:val="4"/>
        </w:numPr>
        <w:spacing w:after="115" w:line="360" w:lineRule="auto"/>
        <w:ind w:right="0" w:hanging="360"/>
      </w:pPr>
      <w:r>
        <w:rPr>
          <w:color w:val="202124"/>
        </w:rPr>
        <w:t>Você tem energia suficiente para seu dia a dia?</w:t>
      </w:r>
      <w:r>
        <w:rPr>
          <w:color w:val="D93025"/>
        </w:rPr>
        <w:t xml:space="preserve"> *</w:t>
      </w:r>
      <w:r>
        <w:rPr>
          <w:color w:val="202124"/>
        </w:rPr>
        <w:t xml:space="preserve"> </w:t>
      </w:r>
    </w:p>
    <w:p w14:paraId="1E0F9027"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5619E1C9" w14:textId="77777777" w:rsidR="00594B5E" w:rsidRDefault="00594B5E" w:rsidP="00594B5E">
      <w:pPr>
        <w:numPr>
          <w:ilvl w:val="0"/>
          <w:numId w:val="4"/>
        </w:numPr>
        <w:spacing w:after="115" w:line="360" w:lineRule="auto"/>
        <w:ind w:right="0" w:hanging="360"/>
      </w:pPr>
      <w:r>
        <w:rPr>
          <w:color w:val="202124"/>
        </w:rPr>
        <w:t>Você é capaz de aceitar sua aparência física?</w:t>
      </w:r>
      <w:r>
        <w:rPr>
          <w:color w:val="D93025"/>
        </w:rPr>
        <w:t xml:space="preserve"> *</w:t>
      </w:r>
      <w:r>
        <w:rPr>
          <w:color w:val="202124"/>
        </w:rPr>
        <w:t xml:space="preserve"> </w:t>
      </w:r>
    </w:p>
    <w:p w14:paraId="39F7D002"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72F3BD75" w14:textId="77777777" w:rsidR="00594B5E" w:rsidRDefault="00594B5E" w:rsidP="00594B5E">
      <w:pPr>
        <w:numPr>
          <w:ilvl w:val="0"/>
          <w:numId w:val="4"/>
        </w:numPr>
        <w:spacing w:after="115" w:line="360" w:lineRule="auto"/>
        <w:ind w:right="0" w:hanging="360"/>
      </w:pPr>
      <w:r>
        <w:rPr>
          <w:color w:val="202124"/>
        </w:rPr>
        <w:t>Você tem dinheiro suficiente para satisfazer suas necessidades?</w:t>
      </w:r>
      <w:r>
        <w:rPr>
          <w:color w:val="D93025"/>
        </w:rPr>
        <w:t xml:space="preserve"> *</w:t>
      </w:r>
      <w:r>
        <w:rPr>
          <w:color w:val="202124"/>
        </w:rPr>
        <w:t xml:space="preserve"> </w:t>
      </w:r>
    </w:p>
    <w:p w14:paraId="0BB81E74"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3174FFD0" w14:textId="77777777" w:rsidR="00594B5E" w:rsidRDefault="00594B5E" w:rsidP="00594B5E">
      <w:pPr>
        <w:numPr>
          <w:ilvl w:val="0"/>
          <w:numId w:val="4"/>
        </w:numPr>
        <w:spacing w:after="2" w:line="360" w:lineRule="auto"/>
        <w:ind w:right="0" w:hanging="360"/>
      </w:pPr>
      <w:r>
        <w:rPr>
          <w:color w:val="202124"/>
        </w:rPr>
        <w:t xml:space="preserve">Quão disponíveis para você estão as informações que precisa no seu </w:t>
      </w:r>
      <w:proofErr w:type="spellStart"/>
      <w:r>
        <w:rPr>
          <w:color w:val="202124"/>
        </w:rPr>
        <w:t>dia-a</w:t>
      </w:r>
      <w:proofErr w:type="spellEnd"/>
      <w:r>
        <w:rPr>
          <w:color w:val="202124"/>
        </w:rPr>
        <w:t xml:space="preserve"> dia?</w:t>
      </w:r>
      <w:r>
        <w:rPr>
          <w:color w:val="D93025"/>
        </w:rPr>
        <w:t xml:space="preserve"> *</w:t>
      </w:r>
      <w:r>
        <w:rPr>
          <w:color w:val="202124"/>
        </w:rPr>
        <w:t xml:space="preserve"> </w:t>
      </w:r>
    </w:p>
    <w:p w14:paraId="7086A6D3"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78BAEBCD" w14:textId="77777777" w:rsidR="00594B5E" w:rsidRDefault="00594B5E" w:rsidP="00594B5E">
      <w:pPr>
        <w:numPr>
          <w:ilvl w:val="0"/>
          <w:numId w:val="4"/>
        </w:numPr>
        <w:spacing w:after="115" w:line="360" w:lineRule="auto"/>
        <w:ind w:right="0" w:hanging="360"/>
      </w:pPr>
      <w:r>
        <w:rPr>
          <w:color w:val="202124"/>
        </w:rPr>
        <w:t>Em que medida você tem oportunidades de atividade de lazer?</w:t>
      </w:r>
      <w:r>
        <w:rPr>
          <w:color w:val="D93025"/>
        </w:rPr>
        <w:t xml:space="preserve"> *</w:t>
      </w:r>
      <w:r>
        <w:rPr>
          <w:color w:val="202124"/>
        </w:rPr>
        <w:t xml:space="preserve"> </w:t>
      </w:r>
    </w:p>
    <w:p w14:paraId="35F5211E"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1804494D" w14:textId="77777777" w:rsidR="00594B5E" w:rsidRDefault="00594B5E" w:rsidP="00594B5E">
      <w:pPr>
        <w:spacing w:after="297" w:line="360" w:lineRule="auto"/>
        <w:ind w:left="720" w:right="0" w:firstLine="0"/>
      </w:pPr>
      <w:r>
        <w:rPr>
          <w:color w:val="202124"/>
        </w:rPr>
        <w:t xml:space="preserve"> </w:t>
      </w:r>
    </w:p>
    <w:p w14:paraId="777CDACC" w14:textId="77777777" w:rsidR="00594B5E" w:rsidRDefault="00594B5E" w:rsidP="00594B5E">
      <w:pPr>
        <w:spacing w:after="183" w:line="360" w:lineRule="auto"/>
        <w:ind w:right="0"/>
      </w:pPr>
      <w:r>
        <w:rPr>
          <w:color w:val="202124"/>
        </w:rPr>
        <w:t xml:space="preserve">As questões seguintes perguntam sobre quão bem ou satisfeito você se sentiu a respeito de vários aspectos de sua vida nas últimas duas semanas. </w:t>
      </w:r>
    </w:p>
    <w:p w14:paraId="0BE2BD6C" w14:textId="77777777" w:rsidR="00594B5E" w:rsidRDefault="00594B5E" w:rsidP="00594B5E">
      <w:pPr>
        <w:spacing w:after="115" w:line="360" w:lineRule="auto"/>
        <w:ind w:left="715" w:right="0"/>
      </w:pPr>
      <w:r>
        <w:rPr>
          <w:color w:val="202124"/>
        </w:rPr>
        <w:t xml:space="preserve">Responda as questões a seguir, sendo que: </w:t>
      </w:r>
    </w:p>
    <w:p w14:paraId="14898EB6" w14:textId="77777777" w:rsidR="00594B5E" w:rsidRDefault="00594B5E" w:rsidP="00594B5E">
      <w:pPr>
        <w:pStyle w:val="SemEspaamento"/>
        <w:spacing w:line="276" w:lineRule="auto"/>
      </w:pPr>
      <w:r>
        <w:lastRenderedPageBreak/>
        <w:t xml:space="preserve">1 = muito ruim/ muito insatisfeito </w:t>
      </w:r>
    </w:p>
    <w:p w14:paraId="7C34919D" w14:textId="77777777" w:rsidR="00594B5E" w:rsidRDefault="00594B5E" w:rsidP="00594B5E">
      <w:pPr>
        <w:pStyle w:val="SemEspaamento"/>
        <w:spacing w:line="276" w:lineRule="auto"/>
      </w:pPr>
      <w:r>
        <w:t xml:space="preserve">2 = ruim/ insatisfeito </w:t>
      </w:r>
    </w:p>
    <w:p w14:paraId="07C32867" w14:textId="77777777" w:rsidR="00594B5E" w:rsidRDefault="00594B5E" w:rsidP="00594B5E">
      <w:pPr>
        <w:pStyle w:val="SemEspaamento"/>
        <w:spacing w:line="276" w:lineRule="auto"/>
      </w:pPr>
      <w:r>
        <w:t xml:space="preserve">3 = nem ruim nem bom/ nem insatisfeito nem satisfeito </w:t>
      </w:r>
    </w:p>
    <w:p w14:paraId="64F1AE57" w14:textId="77777777" w:rsidR="00594B5E" w:rsidRDefault="00594B5E" w:rsidP="00594B5E">
      <w:pPr>
        <w:pStyle w:val="SemEspaamento"/>
        <w:spacing w:line="276" w:lineRule="auto"/>
      </w:pPr>
      <w:r>
        <w:t xml:space="preserve">4 = bom/ satisfeito </w:t>
      </w:r>
    </w:p>
    <w:p w14:paraId="26BA1EEB" w14:textId="77777777" w:rsidR="00594B5E" w:rsidRDefault="00594B5E" w:rsidP="00594B5E">
      <w:pPr>
        <w:pStyle w:val="SemEspaamento"/>
        <w:spacing w:line="276" w:lineRule="auto"/>
      </w:pPr>
      <w:r>
        <w:t xml:space="preserve">5 = muito bom/ muito satisfeito </w:t>
      </w:r>
    </w:p>
    <w:p w14:paraId="4D40D2A5" w14:textId="77777777" w:rsidR="00594B5E" w:rsidRDefault="00594B5E" w:rsidP="00594B5E">
      <w:pPr>
        <w:pStyle w:val="SemEspaamento"/>
        <w:spacing w:line="276" w:lineRule="auto"/>
      </w:pPr>
    </w:p>
    <w:p w14:paraId="4ADDE366" w14:textId="77777777" w:rsidR="00594B5E" w:rsidRDefault="00594B5E" w:rsidP="00594B5E">
      <w:pPr>
        <w:numPr>
          <w:ilvl w:val="0"/>
          <w:numId w:val="4"/>
        </w:numPr>
        <w:spacing w:after="115" w:line="360" w:lineRule="auto"/>
        <w:ind w:right="0" w:hanging="360"/>
      </w:pPr>
      <w:r>
        <w:rPr>
          <w:color w:val="202124"/>
        </w:rPr>
        <w:t>Quão bem você é capaz de se locomover?</w:t>
      </w:r>
      <w:r>
        <w:rPr>
          <w:color w:val="D93025"/>
        </w:rPr>
        <w:t xml:space="preserve"> *</w:t>
      </w:r>
      <w:r>
        <w:rPr>
          <w:color w:val="202124"/>
        </w:rPr>
        <w:t xml:space="preserve"> </w:t>
      </w:r>
    </w:p>
    <w:p w14:paraId="3D69A9A1"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199D5CB5" w14:textId="77777777" w:rsidR="00594B5E" w:rsidRDefault="00594B5E" w:rsidP="00594B5E">
      <w:pPr>
        <w:numPr>
          <w:ilvl w:val="0"/>
          <w:numId w:val="4"/>
        </w:numPr>
        <w:spacing w:after="115" w:line="360" w:lineRule="auto"/>
        <w:ind w:right="0" w:hanging="360"/>
      </w:pPr>
      <w:r>
        <w:rPr>
          <w:color w:val="202124"/>
        </w:rPr>
        <w:t xml:space="preserve">Quão satisfeito(a) você está com o seu sono? </w:t>
      </w:r>
      <w:r>
        <w:rPr>
          <w:color w:val="D93025"/>
        </w:rPr>
        <w:t>*</w:t>
      </w:r>
      <w:r>
        <w:rPr>
          <w:color w:val="202124"/>
        </w:rPr>
        <w:t xml:space="preserve"> </w:t>
      </w:r>
    </w:p>
    <w:p w14:paraId="44FA4FB7"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51D0EFA7" w14:textId="77777777" w:rsidR="00594B5E" w:rsidRDefault="00594B5E" w:rsidP="00594B5E">
      <w:pPr>
        <w:numPr>
          <w:ilvl w:val="0"/>
          <w:numId w:val="4"/>
        </w:numPr>
        <w:spacing w:after="2" w:line="360" w:lineRule="auto"/>
        <w:ind w:right="0" w:hanging="360"/>
      </w:pPr>
      <w:r>
        <w:rPr>
          <w:color w:val="202124"/>
        </w:rPr>
        <w:t>Quão satisfeito(a) você está com sua capacidade de desempenhar as atividades do seu dia a dia?</w:t>
      </w:r>
      <w:r>
        <w:rPr>
          <w:color w:val="D93025"/>
        </w:rPr>
        <w:t xml:space="preserve"> *</w:t>
      </w:r>
      <w:r>
        <w:rPr>
          <w:color w:val="202124"/>
        </w:rPr>
        <w:t xml:space="preserve"> </w:t>
      </w:r>
    </w:p>
    <w:p w14:paraId="5786C125"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67AC7C5C" w14:textId="77777777" w:rsidR="00594B5E" w:rsidRDefault="00594B5E" w:rsidP="00594B5E">
      <w:pPr>
        <w:numPr>
          <w:ilvl w:val="0"/>
          <w:numId w:val="4"/>
        </w:numPr>
        <w:spacing w:after="115" w:line="360" w:lineRule="auto"/>
        <w:ind w:right="0" w:hanging="360"/>
      </w:pPr>
      <w:r>
        <w:rPr>
          <w:color w:val="202124"/>
        </w:rPr>
        <w:t>Quão satisfeito(a) você está com sua capacidade para o trabalho?</w:t>
      </w:r>
      <w:r>
        <w:rPr>
          <w:color w:val="D93025"/>
        </w:rPr>
        <w:t xml:space="preserve"> *</w:t>
      </w:r>
      <w:r>
        <w:rPr>
          <w:color w:val="202124"/>
        </w:rPr>
        <w:t xml:space="preserve"> </w:t>
      </w:r>
    </w:p>
    <w:p w14:paraId="5F2BC00B"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C73520B" w14:textId="77777777" w:rsidR="00594B5E" w:rsidRDefault="00594B5E" w:rsidP="00594B5E">
      <w:pPr>
        <w:numPr>
          <w:ilvl w:val="0"/>
          <w:numId w:val="4"/>
        </w:numPr>
        <w:spacing w:after="115" w:line="360" w:lineRule="auto"/>
        <w:ind w:right="0" w:hanging="360"/>
      </w:pPr>
      <w:r>
        <w:rPr>
          <w:color w:val="202124"/>
        </w:rPr>
        <w:t>Quão satisfeito(a) você está consigo mesmo?</w:t>
      </w:r>
      <w:r>
        <w:rPr>
          <w:color w:val="D93025"/>
        </w:rPr>
        <w:t xml:space="preserve"> *</w:t>
      </w:r>
      <w:r>
        <w:rPr>
          <w:color w:val="202124"/>
        </w:rPr>
        <w:t xml:space="preserve"> </w:t>
      </w:r>
    </w:p>
    <w:p w14:paraId="5F1F46FC"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4DF32D54" w14:textId="77777777" w:rsidR="00594B5E" w:rsidRDefault="00594B5E" w:rsidP="00594B5E">
      <w:pPr>
        <w:numPr>
          <w:ilvl w:val="0"/>
          <w:numId w:val="4"/>
        </w:numPr>
        <w:spacing w:after="0" w:line="360" w:lineRule="auto"/>
        <w:ind w:right="0" w:hanging="360"/>
      </w:pPr>
      <w:r>
        <w:rPr>
          <w:color w:val="202124"/>
        </w:rPr>
        <w:t xml:space="preserve">Quão satisfeito(a) você está com suas relações pessoais (amigos, parentes, conhecidos, colegas)? </w:t>
      </w:r>
      <w:r>
        <w:rPr>
          <w:color w:val="D93025"/>
        </w:rPr>
        <w:t>*</w:t>
      </w:r>
      <w:r>
        <w:rPr>
          <w:color w:val="202124"/>
        </w:rPr>
        <w:t xml:space="preserve"> </w:t>
      </w:r>
    </w:p>
    <w:p w14:paraId="051ECC0E"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0986F514" w14:textId="77777777" w:rsidR="00594B5E" w:rsidRDefault="00594B5E" w:rsidP="00594B5E">
      <w:pPr>
        <w:numPr>
          <w:ilvl w:val="0"/>
          <w:numId w:val="4"/>
        </w:numPr>
        <w:spacing w:after="115" w:line="360" w:lineRule="auto"/>
        <w:ind w:right="0" w:hanging="360"/>
      </w:pPr>
      <w:r>
        <w:rPr>
          <w:color w:val="202124"/>
        </w:rPr>
        <w:t>Quão satisfeito(a) você está com sua vida sexual?</w:t>
      </w:r>
      <w:r>
        <w:rPr>
          <w:color w:val="D93025"/>
        </w:rPr>
        <w:t xml:space="preserve"> *</w:t>
      </w:r>
      <w:r>
        <w:rPr>
          <w:color w:val="202124"/>
        </w:rPr>
        <w:t xml:space="preserve"> </w:t>
      </w:r>
    </w:p>
    <w:p w14:paraId="1974B864"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2DD289AE" w14:textId="77777777" w:rsidR="00594B5E" w:rsidRDefault="00594B5E" w:rsidP="00594B5E">
      <w:pPr>
        <w:numPr>
          <w:ilvl w:val="0"/>
          <w:numId w:val="4"/>
        </w:numPr>
        <w:spacing w:after="2" w:line="360" w:lineRule="auto"/>
        <w:ind w:right="0" w:hanging="360"/>
      </w:pPr>
      <w:r>
        <w:rPr>
          <w:color w:val="202124"/>
        </w:rPr>
        <w:t>Quão satisfeito(a) você está com o apoio que você recebe de seus amigos?</w:t>
      </w:r>
      <w:r>
        <w:rPr>
          <w:color w:val="D93025"/>
        </w:rPr>
        <w:t xml:space="preserve"> *</w:t>
      </w:r>
      <w:r>
        <w:rPr>
          <w:color w:val="202124"/>
        </w:rPr>
        <w:t xml:space="preserve"> </w:t>
      </w:r>
    </w:p>
    <w:p w14:paraId="00F89847"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5BF69AE2" w14:textId="77777777" w:rsidR="00594B5E" w:rsidRDefault="00594B5E" w:rsidP="00594B5E">
      <w:pPr>
        <w:numPr>
          <w:ilvl w:val="0"/>
          <w:numId w:val="4"/>
        </w:numPr>
        <w:spacing w:after="115" w:line="360" w:lineRule="auto"/>
        <w:ind w:right="0" w:hanging="360"/>
      </w:pPr>
      <w:r>
        <w:rPr>
          <w:color w:val="202124"/>
        </w:rPr>
        <w:t>Quão satisfeito(a) você está com as condições do local onde mora?</w:t>
      </w:r>
      <w:r>
        <w:rPr>
          <w:color w:val="D93025"/>
        </w:rPr>
        <w:t xml:space="preserve"> *</w:t>
      </w:r>
      <w:r>
        <w:rPr>
          <w:color w:val="202124"/>
        </w:rPr>
        <w:t xml:space="preserve"> </w:t>
      </w:r>
    </w:p>
    <w:p w14:paraId="1EA0A7B2"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144E2392" w14:textId="77777777" w:rsidR="00594B5E" w:rsidRDefault="00594B5E" w:rsidP="00594B5E">
      <w:pPr>
        <w:numPr>
          <w:ilvl w:val="0"/>
          <w:numId w:val="4"/>
        </w:numPr>
        <w:spacing w:after="115" w:line="360" w:lineRule="auto"/>
        <w:ind w:right="0" w:hanging="360"/>
      </w:pPr>
      <w:r>
        <w:rPr>
          <w:color w:val="202124"/>
        </w:rPr>
        <w:t>Quão satisfeito(a) você está com o seu acesso aos serviços de saúde?</w:t>
      </w:r>
      <w:r>
        <w:rPr>
          <w:color w:val="D93025"/>
        </w:rPr>
        <w:t xml:space="preserve"> *</w:t>
      </w:r>
      <w:r>
        <w:rPr>
          <w:color w:val="202124"/>
        </w:rPr>
        <w:t xml:space="preserve"> </w:t>
      </w:r>
    </w:p>
    <w:p w14:paraId="14B74B98"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56DBB87F" w14:textId="77777777" w:rsidR="00594B5E" w:rsidRDefault="00594B5E" w:rsidP="00594B5E">
      <w:pPr>
        <w:numPr>
          <w:ilvl w:val="0"/>
          <w:numId w:val="4"/>
        </w:numPr>
        <w:spacing w:after="115" w:line="360" w:lineRule="auto"/>
        <w:ind w:right="0" w:hanging="360"/>
      </w:pPr>
      <w:r>
        <w:rPr>
          <w:color w:val="202124"/>
        </w:rPr>
        <w:t>Quão satisfeito(a) você está com o seu meio de transporte?</w:t>
      </w:r>
      <w:r>
        <w:rPr>
          <w:color w:val="D93025"/>
        </w:rPr>
        <w:t xml:space="preserve"> *</w:t>
      </w:r>
      <w:r>
        <w:rPr>
          <w:color w:val="202124"/>
        </w:rPr>
        <w:t xml:space="preserve"> </w:t>
      </w:r>
    </w:p>
    <w:p w14:paraId="4641B568"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1  ( )2  ( )3  ( )4  ( )5 </w:t>
      </w:r>
    </w:p>
    <w:p w14:paraId="61D92561" w14:textId="77777777" w:rsidR="00594B5E" w:rsidRDefault="00594B5E" w:rsidP="00594B5E">
      <w:pPr>
        <w:numPr>
          <w:ilvl w:val="0"/>
          <w:numId w:val="4"/>
        </w:numPr>
        <w:spacing w:after="2" w:line="360" w:lineRule="auto"/>
        <w:ind w:right="0" w:hanging="360"/>
      </w:pPr>
      <w:r>
        <w:rPr>
          <w:color w:val="202124"/>
        </w:rPr>
        <w:lastRenderedPageBreak/>
        <w:t xml:space="preserve">Com que frequência você tem sentimentos negativos </w:t>
      </w:r>
      <w:proofErr w:type="gramStart"/>
      <w:r>
        <w:rPr>
          <w:color w:val="202124"/>
        </w:rPr>
        <w:t>tais como mau humor</w:t>
      </w:r>
      <w:proofErr w:type="gramEnd"/>
      <w:r>
        <w:rPr>
          <w:color w:val="202124"/>
        </w:rPr>
        <w:t>, desespero, ansiedade, depressão?</w:t>
      </w:r>
      <w:r>
        <w:rPr>
          <w:color w:val="D93025"/>
        </w:rPr>
        <w:t xml:space="preserve"> *</w:t>
      </w:r>
      <w:r>
        <w:rPr>
          <w:color w:val="202124"/>
        </w:rPr>
        <w:t xml:space="preserve"> </w:t>
      </w:r>
    </w:p>
    <w:p w14:paraId="627BE8D5"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Nunca </w:t>
      </w:r>
    </w:p>
    <w:p w14:paraId="46A0111D"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Algumas vezes </w:t>
      </w:r>
    </w:p>
    <w:p w14:paraId="05BD684B"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Frequentemente </w:t>
      </w:r>
    </w:p>
    <w:p w14:paraId="4E56C828" w14:textId="77777777" w:rsidR="00594B5E" w:rsidRDefault="00594B5E" w:rsidP="00594B5E">
      <w:pPr>
        <w:spacing w:after="115" w:line="360" w:lineRule="auto"/>
        <w:ind w:left="715" w:right="0"/>
      </w:pPr>
      <w:proofErr w:type="gramStart"/>
      <w:r>
        <w:rPr>
          <w:color w:val="202124"/>
        </w:rPr>
        <w:t>(  )</w:t>
      </w:r>
      <w:proofErr w:type="gramEnd"/>
      <w:r>
        <w:rPr>
          <w:color w:val="202124"/>
        </w:rPr>
        <w:t xml:space="preserve"> Muito frequentemente </w:t>
      </w:r>
    </w:p>
    <w:p w14:paraId="09FC609C" w14:textId="70C1F120" w:rsidR="00594B5E" w:rsidRDefault="00594B5E" w:rsidP="00282BA6">
      <w:pPr>
        <w:spacing w:after="199" w:line="360" w:lineRule="auto"/>
        <w:ind w:left="715" w:right="0"/>
        <w:rPr>
          <w:color w:val="202124"/>
        </w:rPr>
      </w:pPr>
      <w:proofErr w:type="gramStart"/>
      <w:r>
        <w:rPr>
          <w:color w:val="202124"/>
        </w:rPr>
        <w:t>(  )</w:t>
      </w:r>
      <w:proofErr w:type="gramEnd"/>
      <w:r>
        <w:rPr>
          <w:color w:val="202124"/>
        </w:rPr>
        <w:t xml:space="preserve"> Sempre </w:t>
      </w:r>
    </w:p>
    <w:p w14:paraId="7FE6DCAC" w14:textId="1B9F4744" w:rsidR="00740DA2" w:rsidRDefault="00594B5E" w:rsidP="00282BA6">
      <w:pPr>
        <w:spacing w:after="199" w:line="360" w:lineRule="auto"/>
        <w:ind w:right="0"/>
      </w:pPr>
      <w:r w:rsidRPr="006B546F">
        <w:rPr>
          <w:color w:val="FF0000"/>
        </w:rPr>
        <w:t xml:space="preserve">Link de acesso ao questionário via Google </w:t>
      </w:r>
      <w:proofErr w:type="spellStart"/>
      <w:r w:rsidRPr="006B546F">
        <w:rPr>
          <w:color w:val="FF0000"/>
        </w:rPr>
        <w:t>Forms</w:t>
      </w:r>
      <w:proofErr w:type="spellEnd"/>
      <w:r w:rsidRPr="006B546F">
        <w:rPr>
          <w:color w:val="FF0000"/>
        </w:rPr>
        <w:t xml:space="preserve">: </w:t>
      </w:r>
      <w:r w:rsidRPr="006B546F">
        <w:rPr>
          <w:color w:val="202124"/>
        </w:rPr>
        <w:t>https://docs.google.com/forms/d/e/1FAIpQLSeK1R7VzNw-waHT-JvNx6KweTs_c7o_k0pXQISPmsMSN0LHlQ/viewform?vc=0&amp;c=0&amp;w=1&amp;flr=0&amp;gxids=7628</w:t>
      </w:r>
    </w:p>
    <w:sectPr w:rsidR="00740DA2">
      <w:pgSz w:w="11906" w:h="16838"/>
      <w:pgMar w:top="1448" w:right="1432" w:bottom="14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338"/>
    <w:multiLevelType w:val="hybridMultilevel"/>
    <w:tmpl w:val="33ACD648"/>
    <w:lvl w:ilvl="0" w:tplc="04FEE942">
      <w:start w:val="27"/>
      <w:numFmt w:val="decimal"/>
      <w:lvlText w:val="%1."/>
      <w:lvlJc w:val="left"/>
      <w:pPr>
        <w:ind w:left="7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1" w:tplc="20A00782">
      <w:start w:val="1"/>
      <w:numFmt w:val="decimal"/>
      <w:lvlText w:val="%2"/>
      <w:lvlJc w:val="left"/>
      <w:pPr>
        <w:ind w:left="916"/>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2" w:tplc="53DEFD12">
      <w:start w:val="1"/>
      <w:numFmt w:val="lowerRoman"/>
      <w:lvlText w:val="%3"/>
      <w:lvlJc w:val="left"/>
      <w:pPr>
        <w:ind w:left="180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3" w:tplc="1F184862">
      <w:start w:val="1"/>
      <w:numFmt w:val="decimal"/>
      <w:lvlText w:val="%4"/>
      <w:lvlJc w:val="left"/>
      <w:pPr>
        <w:ind w:left="25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4" w:tplc="338E4A80">
      <w:start w:val="1"/>
      <w:numFmt w:val="lowerLetter"/>
      <w:lvlText w:val="%5"/>
      <w:lvlJc w:val="left"/>
      <w:pPr>
        <w:ind w:left="324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5" w:tplc="7DD6073C">
      <w:start w:val="1"/>
      <w:numFmt w:val="lowerRoman"/>
      <w:lvlText w:val="%6"/>
      <w:lvlJc w:val="left"/>
      <w:pPr>
        <w:ind w:left="396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6" w:tplc="F90257AC">
      <w:start w:val="1"/>
      <w:numFmt w:val="decimal"/>
      <w:lvlText w:val="%7"/>
      <w:lvlJc w:val="left"/>
      <w:pPr>
        <w:ind w:left="468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7" w:tplc="EE283CC8">
      <w:start w:val="1"/>
      <w:numFmt w:val="lowerLetter"/>
      <w:lvlText w:val="%8"/>
      <w:lvlJc w:val="left"/>
      <w:pPr>
        <w:ind w:left="540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8" w:tplc="39BEA75E">
      <w:start w:val="1"/>
      <w:numFmt w:val="lowerRoman"/>
      <w:lvlText w:val="%9"/>
      <w:lvlJc w:val="left"/>
      <w:pPr>
        <w:ind w:left="61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abstractNum>
  <w:abstractNum w:abstractNumId="1" w15:restartNumberingAfterBreak="0">
    <w:nsid w:val="26D02DAA"/>
    <w:multiLevelType w:val="multilevel"/>
    <w:tmpl w:val="0C124B8A"/>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9C751E"/>
    <w:multiLevelType w:val="hybridMultilevel"/>
    <w:tmpl w:val="C8AADF9E"/>
    <w:lvl w:ilvl="0" w:tplc="2A764A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3014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286B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34D6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697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A200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BE3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CC49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34D9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7D69B5"/>
    <w:multiLevelType w:val="hybridMultilevel"/>
    <w:tmpl w:val="1E364804"/>
    <w:lvl w:ilvl="0" w:tplc="2D8E2458">
      <w:start w:val="1"/>
      <w:numFmt w:val="decimal"/>
      <w:lvlText w:val="%1."/>
      <w:lvlJc w:val="left"/>
      <w:pPr>
        <w:ind w:left="7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1" w:tplc="86701B58">
      <w:start w:val="1"/>
      <w:numFmt w:val="lowerLetter"/>
      <w:lvlText w:val="%2"/>
      <w:lvlJc w:val="left"/>
      <w:pPr>
        <w:ind w:left="144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2" w:tplc="81CE1E32">
      <w:start w:val="1"/>
      <w:numFmt w:val="lowerRoman"/>
      <w:lvlText w:val="%3"/>
      <w:lvlJc w:val="left"/>
      <w:pPr>
        <w:ind w:left="216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3" w:tplc="D50A8BE4">
      <w:start w:val="1"/>
      <w:numFmt w:val="decimal"/>
      <w:lvlText w:val="%4"/>
      <w:lvlJc w:val="left"/>
      <w:pPr>
        <w:ind w:left="288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4" w:tplc="280241BA">
      <w:start w:val="1"/>
      <w:numFmt w:val="lowerLetter"/>
      <w:lvlText w:val="%5"/>
      <w:lvlJc w:val="left"/>
      <w:pPr>
        <w:ind w:left="360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5" w:tplc="E9E80334">
      <w:start w:val="1"/>
      <w:numFmt w:val="lowerRoman"/>
      <w:lvlText w:val="%6"/>
      <w:lvlJc w:val="left"/>
      <w:pPr>
        <w:ind w:left="43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6" w:tplc="4E1CEC92">
      <w:start w:val="1"/>
      <w:numFmt w:val="decimal"/>
      <w:lvlText w:val="%7"/>
      <w:lvlJc w:val="left"/>
      <w:pPr>
        <w:ind w:left="504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7" w:tplc="3AD8C936">
      <w:start w:val="1"/>
      <w:numFmt w:val="lowerLetter"/>
      <w:lvlText w:val="%8"/>
      <w:lvlJc w:val="left"/>
      <w:pPr>
        <w:ind w:left="576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8" w:tplc="DBA009A0">
      <w:start w:val="1"/>
      <w:numFmt w:val="lowerRoman"/>
      <w:lvlText w:val="%9"/>
      <w:lvlJc w:val="left"/>
      <w:pPr>
        <w:ind w:left="648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abstractNum>
  <w:abstractNum w:abstractNumId="4" w15:restartNumberingAfterBreak="0">
    <w:nsid w:val="5651216D"/>
    <w:multiLevelType w:val="hybridMultilevel"/>
    <w:tmpl w:val="238AA880"/>
    <w:lvl w:ilvl="0" w:tplc="E2684D44">
      <w:start w:val="1"/>
      <w:numFmt w:val="decimal"/>
      <w:lvlText w:val="%1"/>
      <w:lvlJc w:val="left"/>
      <w:pPr>
        <w:ind w:left="211"/>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1" w:tplc="BFFCBADE">
      <w:start w:val="7"/>
      <w:numFmt w:val="decimal"/>
      <w:lvlText w:val="%2."/>
      <w:lvlJc w:val="left"/>
      <w:pPr>
        <w:ind w:left="720"/>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2" w:tplc="4770E98E">
      <w:start w:val="1"/>
      <w:numFmt w:val="lowerRoman"/>
      <w:lvlText w:val="%3"/>
      <w:lvlJc w:val="left"/>
      <w:pPr>
        <w:ind w:left="113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3" w:tplc="6D340684">
      <w:start w:val="1"/>
      <w:numFmt w:val="decimal"/>
      <w:lvlText w:val="%4"/>
      <w:lvlJc w:val="left"/>
      <w:pPr>
        <w:ind w:left="185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4" w:tplc="35EAB560">
      <w:start w:val="1"/>
      <w:numFmt w:val="lowerLetter"/>
      <w:lvlText w:val="%5"/>
      <w:lvlJc w:val="left"/>
      <w:pPr>
        <w:ind w:left="257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5" w:tplc="A7B8D6AC">
      <w:start w:val="1"/>
      <w:numFmt w:val="lowerRoman"/>
      <w:lvlText w:val="%6"/>
      <w:lvlJc w:val="left"/>
      <w:pPr>
        <w:ind w:left="329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6" w:tplc="08445586">
      <w:start w:val="1"/>
      <w:numFmt w:val="decimal"/>
      <w:lvlText w:val="%7"/>
      <w:lvlJc w:val="left"/>
      <w:pPr>
        <w:ind w:left="401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7" w:tplc="5CEC1EA2">
      <w:start w:val="1"/>
      <w:numFmt w:val="lowerLetter"/>
      <w:lvlText w:val="%8"/>
      <w:lvlJc w:val="left"/>
      <w:pPr>
        <w:ind w:left="473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lvl w:ilvl="8" w:tplc="78C6D9CC">
      <w:start w:val="1"/>
      <w:numFmt w:val="lowerRoman"/>
      <w:lvlText w:val="%9"/>
      <w:lvlJc w:val="left"/>
      <w:pPr>
        <w:ind w:left="5454"/>
      </w:pPr>
      <w:rPr>
        <w:rFonts w:ascii="Arial" w:eastAsia="Arial" w:hAnsi="Arial" w:cs="Arial"/>
        <w:b w:val="0"/>
        <w:i w:val="0"/>
        <w:strike w:val="0"/>
        <w:dstrike w:val="0"/>
        <w:color w:val="202124"/>
        <w:sz w:val="24"/>
        <w:szCs w:val="24"/>
        <w:u w:val="none" w:color="000000"/>
        <w:bdr w:val="none" w:sz="0" w:space="0" w:color="auto"/>
        <w:shd w:val="clear" w:color="auto" w:fill="auto"/>
        <w:vertAlign w:val="baseline"/>
      </w:rPr>
    </w:lvl>
  </w:abstractNum>
  <w:abstractNum w:abstractNumId="5" w15:restartNumberingAfterBreak="0">
    <w:nsid w:val="78F92E6C"/>
    <w:multiLevelType w:val="hybridMultilevel"/>
    <w:tmpl w:val="B448E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A2"/>
    <w:rsid w:val="00184C60"/>
    <w:rsid w:val="00282BA6"/>
    <w:rsid w:val="004F23EC"/>
    <w:rsid w:val="00594B5E"/>
    <w:rsid w:val="005B6E32"/>
    <w:rsid w:val="005F737F"/>
    <w:rsid w:val="006B546F"/>
    <w:rsid w:val="006E2168"/>
    <w:rsid w:val="007060E9"/>
    <w:rsid w:val="00740DA2"/>
    <w:rsid w:val="008A524A"/>
    <w:rsid w:val="008B69CC"/>
    <w:rsid w:val="0093114E"/>
    <w:rsid w:val="009E2D48"/>
    <w:rsid w:val="00A47E3F"/>
    <w:rsid w:val="00C705BC"/>
    <w:rsid w:val="00ED6FAE"/>
    <w:rsid w:val="00F3027B"/>
    <w:rsid w:val="00F46129"/>
    <w:rsid w:val="00F5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7C34"/>
  <w15:docId w15:val="{2B82D7ED-0042-4931-8F01-B76E7333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1" w:lineRule="auto"/>
      <w:ind w:left="10" w:right="9"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numPr>
        <w:numId w:val="5"/>
      </w:numPr>
      <w:spacing w:after="118"/>
      <w:ind w:left="40"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5"/>
      </w:numPr>
      <w:spacing w:after="118"/>
      <w:ind w:left="40"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118"/>
      <w:ind w:left="40" w:hanging="10"/>
      <w:outlineLvl w:val="2"/>
    </w:pPr>
    <w:rPr>
      <w:rFonts w:ascii="Arial" w:eastAsia="Arial" w:hAnsi="Arial" w:cs="Arial"/>
      <w:b/>
      <w:color w:val="000000"/>
      <w:sz w:val="24"/>
    </w:rPr>
  </w:style>
  <w:style w:type="paragraph" w:styleId="Ttulo4">
    <w:name w:val="heading 4"/>
    <w:next w:val="Normal"/>
    <w:link w:val="Ttulo4Char"/>
    <w:uiPriority w:val="9"/>
    <w:unhideWhenUsed/>
    <w:qFormat/>
    <w:pPr>
      <w:keepNext/>
      <w:keepLines/>
      <w:spacing w:after="118"/>
      <w:ind w:left="40" w:hanging="10"/>
      <w:outlineLvl w:val="3"/>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4"/>
    </w:rPr>
  </w:style>
  <w:style w:type="character" w:customStyle="1" w:styleId="Ttulo4Char">
    <w:name w:val="Título 4 Char"/>
    <w:link w:val="Ttulo4"/>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paragraph" w:styleId="Sumrio1">
    <w:name w:val="toc 1"/>
    <w:hidden/>
    <w:uiPriority w:val="39"/>
    <w:pPr>
      <w:spacing w:after="123"/>
      <w:ind w:left="25" w:right="21" w:hanging="10"/>
    </w:pPr>
    <w:rPr>
      <w:rFonts w:ascii="Calibri" w:eastAsia="Calibri" w:hAnsi="Calibri" w:cs="Calibri"/>
      <w:color w:val="000000"/>
    </w:rPr>
  </w:style>
  <w:style w:type="paragraph" w:styleId="Sumrio2">
    <w:name w:val="toc 2"/>
    <w:hidden/>
    <w:uiPriority w:val="39"/>
    <w:pPr>
      <w:spacing w:after="123"/>
      <w:ind w:left="246" w:right="21"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F46129"/>
    <w:pPr>
      <w:ind w:left="720"/>
      <w:contextualSpacing/>
    </w:pPr>
  </w:style>
  <w:style w:type="paragraph" w:styleId="SemEspaamento">
    <w:name w:val="No Spacing"/>
    <w:uiPriority w:val="1"/>
    <w:qFormat/>
    <w:rsid w:val="006E2168"/>
    <w:pPr>
      <w:spacing w:after="0" w:line="240" w:lineRule="auto"/>
      <w:ind w:left="10" w:right="9" w:hanging="10"/>
      <w:jc w:val="both"/>
    </w:pPr>
    <w:rPr>
      <w:rFonts w:ascii="Arial" w:eastAsia="Arial" w:hAnsi="Arial" w:cs="Arial"/>
      <w:color w:val="000000"/>
      <w:sz w:val="24"/>
    </w:rPr>
  </w:style>
  <w:style w:type="table" w:styleId="Tabelacomgrade">
    <w:name w:val="Table Grid"/>
    <w:basedOn w:val="Tabelanormal"/>
    <w:uiPriority w:val="39"/>
    <w:rsid w:val="005B6E32"/>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594B5E"/>
    <w:rPr>
      <w:color w:val="4472C4" w:themeColor="accent1"/>
    </w:rPr>
  </w:style>
  <w:style w:type="character" w:customStyle="1" w:styleId="ref-journal">
    <w:name w:val="ref-journal"/>
    <w:basedOn w:val="Fontepargpadro"/>
    <w:rsid w:val="00594B5E"/>
  </w:style>
  <w:style w:type="character" w:customStyle="1" w:styleId="ref-vol">
    <w:name w:val="ref-vol"/>
    <w:basedOn w:val="Fontepargpadro"/>
    <w:rsid w:val="00594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jane.2015.06.001" TargetMode="External"/><Relationship Id="rId13" Type="http://schemas.openxmlformats.org/officeDocument/2006/relationships/hyperlink" Target="https://dx.doi.org/10.1590/1981-52712015v42n3rb20170034.r3" TargetMode="External"/><Relationship Id="rId18" Type="http://schemas.openxmlformats.org/officeDocument/2006/relationships/hyperlink" Target="http://dx.doi.org/10.1590/1518-8345.3079-3144" TargetMode="External"/><Relationship Id="rId26" Type="http://schemas.openxmlformats.org/officeDocument/2006/relationships/hyperlink" Target="https://doi.org/10.1590/1981-5271v44.4-20200258" TargetMode="External"/><Relationship Id="rId3" Type="http://schemas.openxmlformats.org/officeDocument/2006/relationships/settings" Target="settings.xml"/><Relationship Id="rId21" Type="http://schemas.openxmlformats.org/officeDocument/2006/relationships/hyperlink" Target="http://dx.doi.org/10.1590/1518-8345.3079-3144" TargetMode="External"/><Relationship Id="rId34"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hyperlink" Target="https://dx.doi.org/10.1590/1981-52712015v42n3rb20170034.r3" TargetMode="External"/><Relationship Id="rId17" Type="http://schemas.openxmlformats.org/officeDocument/2006/relationships/hyperlink" Target="http://dx.doi.org/10.1590/1518-8345.3079-3144" TargetMode="External"/><Relationship Id="rId25" Type="http://schemas.openxmlformats.org/officeDocument/2006/relationships/hyperlink" Target="https://doi.org/10.1590/1981-5271v44.4-20200258" TargetMode="External"/><Relationship Id="rId33" Type="http://schemas.openxmlformats.org/officeDocument/2006/relationships/hyperlink" Target="http://dx.doi.org/10.1590/s0104-12902018180007" TargetMode="External"/><Relationship Id="rId2" Type="http://schemas.openxmlformats.org/officeDocument/2006/relationships/styles" Target="styles.xml"/><Relationship Id="rId16" Type="http://schemas.openxmlformats.org/officeDocument/2006/relationships/hyperlink" Target="http://dx.doi.org/10.1590/1518-8345.3079-3144" TargetMode="External"/><Relationship Id="rId20" Type="http://schemas.openxmlformats.org/officeDocument/2006/relationships/hyperlink" Target="http://dx.doi.org/10.1590/1518-8345.3079-3144" TargetMode="External"/><Relationship Id="rId29" Type="http://schemas.openxmlformats.org/officeDocument/2006/relationships/hyperlink" Target="http://dx.doi.org/10.1590/s0104-12902018180007"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dx.doi.org/10.1590/1981-52712015v42n3rb20170034.r3" TargetMode="External"/><Relationship Id="rId24" Type="http://schemas.openxmlformats.org/officeDocument/2006/relationships/hyperlink" Target="https://doi.org/10.1590/1981-5271v44.4-20200258" TargetMode="External"/><Relationship Id="rId32" Type="http://schemas.openxmlformats.org/officeDocument/2006/relationships/hyperlink" Target="http://dx.doi.org/10.1590/s0104-12902018180007" TargetMode="External"/><Relationship Id="rId5" Type="http://schemas.openxmlformats.org/officeDocument/2006/relationships/image" Target="media/image1.png"/><Relationship Id="rId15" Type="http://schemas.openxmlformats.org/officeDocument/2006/relationships/hyperlink" Target="https://doi.org/10.1590/1806-9282.65.11.1362" TargetMode="External"/><Relationship Id="rId23" Type="http://schemas.openxmlformats.org/officeDocument/2006/relationships/hyperlink" Target="https://doi.org/10.1590/1981-5271v44.4-20200258" TargetMode="External"/><Relationship Id="rId28" Type="http://schemas.openxmlformats.org/officeDocument/2006/relationships/hyperlink" Target="https://doi.org/10.1590/1981-5271v44.4-20200258" TargetMode="External"/><Relationship Id="rId10" Type="http://schemas.openxmlformats.org/officeDocument/2006/relationships/hyperlink" Target="http://dx.doi.org/10.1016/j.bjane.2015.06.001" TargetMode="External"/><Relationship Id="rId19" Type="http://schemas.openxmlformats.org/officeDocument/2006/relationships/hyperlink" Target="http://dx.doi.org/10.1590/1518-8345.3079-3144" TargetMode="External"/><Relationship Id="rId31" Type="http://schemas.openxmlformats.org/officeDocument/2006/relationships/hyperlink" Target="http://dx.doi.org/10.1590/s0104-12902018180007" TargetMode="External"/><Relationship Id="rId4" Type="http://schemas.openxmlformats.org/officeDocument/2006/relationships/webSettings" Target="webSettings.xml"/><Relationship Id="rId9" Type="http://schemas.openxmlformats.org/officeDocument/2006/relationships/hyperlink" Target="http://dx.doi.org/10.1016/j.bjane.2015.06.001" TargetMode="External"/><Relationship Id="rId14" Type="http://schemas.openxmlformats.org/officeDocument/2006/relationships/hyperlink" Target="https://dx.doi.org/10.1590/1981-52712015v42n3rb20170034.r3" TargetMode="External"/><Relationship Id="rId22" Type="http://schemas.openxmlformats.org/officeDocument/2006/relationships/hyperlink" Target="http://dx.doi.org/10.1590/1518-8345.3079-3144" TargetMode="External"/><Relationship Id="rId27" Type="http://schemas.openxmlformats.org/officeDocument/2006/relationships/hyperlink" Target="https://doi.org/10.1590/1981-5271v44.4-20200258" TargetMode="External"/><Relationship Id="rId30" Type="http://schemas.openxmlformats.org/officeDocument/2006/relationships/hyperlink" Target="http://dx.doi.org/10.1590/s0104-12902018180007"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ovanna\Downloads\S&#237;ndrome%20de%20Burnout%20em%20estudantes%20de%20Medicina%20da%20PUC%20GOI&#193;S%20no%20cen&#225;rio%20de%20pandemia%20por%20COVID-19%2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ovanna\Downloads\S&#237;ndrome%20de%20Burnout%20em%20estudantes%20de%20Medicina%20da%20PUC%20GOI&#193;S%20no%20cen&#225;rio%20de%20pandemia%20por%20COVID-19%20(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'Tabelas 2x2'!$B$30</c:f>
              <c:strCache>
                <c:ptCount val="1"/>
                <c:pt idx="0">
                  <c:v>Sim</c:v>
                </c:pt>
              </c:strCache>
            </c:strRef>
          </c:tx>
          <c:spPr>
            <a:solidFill>
              <a:schemeClr val="bg1">
                <a:lumMod val="95000"/>
              </a:schemeClr>
            </a:solidFill>
            <a:ln>
              <a:solidFill>
                <a:schemeClr val="tx1"/>
              </a:solidFill>
            </a:ln>
            <a:effectLst/>
          </c:spPr>
          <c:invertIfNegative val="0"/>
          <c:cat>
            <c:strRef>
              <c:f>'Tabelas 2x2'!$A$31:$A$32</c:f>
              <c:strCache>
                <c:ptCount val="2"/>
                <c:pt idx="0">
                  <c:v>Feminino</c:v>
                </c:pt>
                <c:pt idx="1">
                  <c:v>Masculino</c:v>
                </c:pt>
              </c:strCache>
            </c:strRef>
          </c:cat>
          <c:val>
            <c:numRef>
              <c:f>'Tabelas 2x2'!$B$31:$B$32</c:f>
              <c:numCache>
                <c:formatCode>General</c:formatCode>
                <c:ptCount val="2"/>
                <c:pt idx="0">
                  <c:v>52</c:v>
                </c:pt>
                <c:pt idx="1">
                  <c:v>12</c:v>
                </c:pt>
              </c:numCache>
            </c:numRef>
          </c:val>
          <c:extLst>
            <c:ext xmlns:c16="http://schemas.microsoft.com/office/drawing/2014/chart" uri="{C3380CC4-5D6E-409C-BE32-E72D297353CC}">
              <c16:uniqueId val="{00000000-3E9B-45BF-B4B9-1E3DCCBCEE44}"/>
            </c:ext>
          </c:extLst>
        </c:ser>
        <c:ser>
          <c:idx val="1"/>
          <c:order val="1"/>
          <c:tx>
            <c:strRef>
              <c:f>'Tabelas 2x2'!$C$30</c:f>
              <c:strCache>
                <c:ptCount val="1"/>
                <c:pt idx="0">
                  <c:v>Não </c:v>
                </c:pt>
              </c:strCache>
            </c:strRef>
          </c:tx>
          <c:spPr>
            <a:solidFill>
              <a:schemeClr val="bg1">
                <a:lumMod val="50000"/>
              </a:schemeClr>
            </a:solidFill>
            <a:ln>
              <a:solidFill>
                <a:schemeClr val="tx1"/>
              </a:solidFill>
            </a:ln>
            <a:effectLst/>
          </c:spPr>
          <c:invertIfNegative val="0"/>
          <c:cat>
            <c:strRef>
              <c:f>'Tabelas 2x2'!$A$31:$A$32</c:f>
              <c:strCache>
                <c:ptCount val="2"/>
                <c:pt idx="0">
                  <c:v>Feminino</c:v>
                </c:pt>
                <c:pt idx="1">
                  <c:v>Masculino</c:v>
                </c:pt>
              </c:strCache>
            </c:strRef>
          </c:cat>
          <c:val>
            <c:numRef>
              <c:f>'Tabelas 2x2'!$C$31:$C$32</c:f>
              <c:numCache>
                <c:formatCode>General</c:formatCode>
                <c:ptCount val="2"/>
                <c:pt idx="0">
                  <c:v>4</c:v>
                </c:pt>
                <c:pt idx="1">
                  <c:v>6</c:v>
                </c:pt>
              </c:numCache>
            </c:numRef>
          </c:val>
          <c:extLst>
            <c:ext xmlns:c16="http://schemas.microsoft.com/office/drawing/2014/chart" uri="{C3380CC4-5D6E-409C-BE32-E72D297353CC}">
              <c16:uniqueId val="{00000001-3E9B-45BF-B4B9-1E3DCCBCEE44}"/>
            </c:ext>
          </c:extLst>
        </c:ser>
        <c:dLbls>
          <c:showLegendKey val="0"/>
          <c:showVal val="0"/>
          <c:showCatName val="0"/>
          <c:showSerName val="0"/>
          <c:showPercent val="0"/>
          <c:showBubbleSize val="0"/>
        </c:dLbls>
        <c:gapWidth val="219"/>
        <c:overlap val="-27"/>
        <c:axId val="472625112"/>
        <c:axId val="472625440"/>
      </c:barChart>
      <c:catAx>
        <c:axId val="472625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Burnout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72625440"/>
        <c:crosses val="autoZero"/>
        <c:auto val="1"/>
        <c:lblAlgn val="ctr"/>
        <c:lblOffset val="100"/>
        <c:noMultiLvlLbl val="0"/>
      </c:catAx>
      <c:valAx>
        <c:axId val="4726254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72625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'Tabelas 2x2'!$A$57</c:f>
              <c:strCache>
                <c:ptCount val="1"/>
                <c:pt idx="0">
                  <c:v>Qualidade de vida boa/muito boa </c:v>
                </c:pt>
              </c:strCache>
            </c:strRef>
          </c:tx>
          <c:spPr>
            <a:solidFill>
              <a:schemeClr val="bg1">
                <a:lumMod val="95000"/>
              </a:schemeClr>
            </a:solidFill>
            <a:ln>
              <a:solidFill>
                <a:schemeClr val="tx1"/>
              </a:solidFill>
            </a:ln>
            <a:effectLst/>
          </c:spPr>
          <c:invertIfNegative val="0"/>
          <c:cat>
            <c:strRef>
              <c:f>'Tabelas 2x2'!$B$56:$C$56</c:f>
              <c:strCache>
                <c:ptCount val="2"/>
                <c:pt idx="0">
                  <c:v>Faz uso de medicação </c:v>
                </c:pt>
                <c:pt idx="1">
                  <c:v>Não faz uso de medicação</c:v>
                </c:pt>
              </c:strCache>
            </c:strRef>
          </c:cat>
          <c:val>
            <c:numRef>
              <c:f>'Tabelas 2x2'!$B$57:$C$57</c:f>
              <c:numCache>
                <c:formatCode>General</c:formatCode>
                <c:ptCount val="2"/>
                <c:pt idx="0">
                  <c:v>11</c:v>
                </c:pt>
                <c:pt idx="1">
                  <c:v>51</c:v>
                </c:pt>
              </c:numCache>
            </c:numRef>
          </c:val>
          <c:extLst>
            <c:ext xmlns:c16="http://schemas.microsoft.com/office/drawing/2014/chart" uri="{C3380CC4-5D6E-409C-BE32-E72D297353CC}">
              <c16:uniqueId val="{00000000-2E6A-419C-B5B8-2BEBA2560B44}"/>
            </c:ext>
          </c:extLst>
        </c:ser>
        <c:ser>
          <c:idx val="1"/>
          <c:order val="1"/>
          <c:tx>
            <c:strRef>
              <c:f>'Tabelas 2x2'!$A$58</c:f>
              <c:strCache>
                <c:ptCount val="1"/>
                <c:pt idx="0">
                  <c:v>Média a ruim</c:v>
                </c:pt>
              </c:strCache>
            </c:strRef>
          </c:tx>
          <c:spPr>
            <a:solidFill>
              <a:schemeClr val="bg1">
                <a:lumMod val="50000"/>
              </a:schemeClr>
            </a:solidFill>
            <a:ln>
              <a:solidFill>
                <a:schemeClr val="tx1"/>
              </a:solidFill>
            </a:ln>
            <a:effectLst/>
          </c:spPr>
          <c:invertIfNegative val="0"/>
          <c:cat>
            <c:strRef>
              <c:f>'Tabelas 2x2'!$B$56:$C$56</c:f>
              <c:strCache>
                <c:ptCount val="2"/>
                <c:pt idx="0">
                  <c:v>Faz uso de medicação </c:v>
                </c:pt>
                <c:pt idx="1">
                  <c:v>Não faz uso de medicação</c:v>
                </c:pt>
              </c:strCache>
            </c:strRef>
          </c:cat>
          <c:val>
            <c:numRef>
              <c:f>'Tabelas 2x2'!$B$58:$C$58</c:f>
              <c:numCache>
                <c:formatCode>General</c:formatCode>
                <c:ptCount val="2"/>
                <c:pt idx="0">
                  <c:v>7</c:v>
                </c:pt>
                <c:pt idx="1">
                  <c:v>5</c:v>
                </c:pt>
              </c:numCache>
            </c:numRef>
          </c:val>
          <c:extLst>
            <c:ext xmlns:c16="http://schemas.microsoft.com/office/drawing/2014/chart" uri="{C3380CC4-5D6E-409C-BE32-E72D297353CC}">
              <c16:uniqueId val="{00000001-2E6A-419C-B5B8-2BEBA2560B44}"/>
            </c:ext>
          </c:extLst>
        </c:ser>
        <c:dLbls>
          <c:showLegendKey val="0"/>
          <c:showVal val="0"/>
          <c:showCatName val="0"/>
          <c:showSerName val="0"/>
          <c:showPercent val="0"/>
          <c:showBubbleSize val="0"/>
        </c:dLbls>
        <c:gapWidth val="219"/>
        <c:overlap val="-27"/>
        <c:axId val="499946448"/>
        <c:axId val="499946120"/>
      </c:barChart>
      <c:catAx>
        <c:axId val="499946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Uso</a:t>
                </a:r>
                <a:r>
                  <a:rPr lang="pt-BR" baseline="0">
                    <a:solidFill>
                      <a:schemeClr val="tx1"/>
                    </a:solidFill>
                  </a:rPr>
                  <a:t> de antidepressivos e/ou ansiolíticos</a:t>
                </a:r>
                <a:endParaRPr lang="pt-BR">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99946120"/>
        <c:crosses val="autoZero"/>
        <c:auto val="1"/>
        <c:lblAlgn val="ctr"/>
        <c:lblOffset val="100"/>
        <c:noMultiLvlLbl val="0"/>
      </c:catAx>
      <c:valAx>
        <c:axId val="499946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9994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0.84438</cdr:x>
      <cdr:y>0.04082</cdr:y>
    </cdr:from>
    <cdr:to>
      <cdr:x>0.93084</cdr:x>
      <cdr:y>0.16327</cdr:y>
    </cdr:to>
    <cdr:sp macro="" textlink="">
      <cdr:nvSpPr>
        <cdr:cNvPr id="2" name="Caixa de Texto 2"/>
        <cdr:cNvSpPr txBox="1">
          <a:spLocks xmlns:a="http://schemas.openxmlformats.org/drawingml/2006/main" noChangeArrowheads="1"/>
        </cdr:cNvSpPr>
      </cdr:nvSpPr>
      <cdr:spPr bwMode="auto">
        <a:xfrm xmlns:a="http://schemas.openxmlformats.org/drawingml/2006/main">
          <a:off x="2790825" y="95250"/>
          <a:ext cx="285750" cy="285750"/>
        </a:xfrm>
        <a:prstGeom xmlns:a="http://schemas.openxmlformats.org/drawingml/2006/main" prst="rect">
          <a:avLst/>
        </a:prstGeom>
        <a:solidFill xmlns:a="http://schemas.openxmlformats.org/drawingml/2006/main">
          <a:srgbClr val="FFFFFF"/>
        </a:solidFill>
        <a:ln xmlns:a="http://schemas.openxmlformats.org/drawingml/2006/main" w="9525">
          <a:solidFill>
            <a:schemeClr val="tx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pt-BR" sz="1100">
              <a:effectLst/>
              <a:latin typeface="Calibri" panose="020F0502020204030204" pitchFamily="34" charset="0"/>
              <a:ea typeface="Calibri" panose="020F0502020204030204" pitchFamily="34" charset="0"/>
              <a:cs typeface="Times New Roman" panose="02020603050405020304"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0.87328</cdr:x>
      <cdr:y>0.0495</cdr:y>
    </cdr:from>
    <cdr:to>
      <cdr:x>0.95592</cdr:x>
      <cdr:y>0.14851</cdr:y>
    </cdr:to>
    <cdr:sp macro="" textlink="">
      <cdr:nvSpPr>
        <cdr:cNvPr id="2" name="Caixa de Texto 2"/>
        <cdr:cNvSpPr txBox="1">
          <a:spLocks xmlns:a="http://schemas.openxmlformats.org/drawingml/2006/main" noChangeArrowheads="1"/>
        </cdr:cNvSpPr>
      </cdr:nvSpPr>
      <cdr:spPr bwMode="auto">
        <a:xfrm xmlns:a="http://schemas.openxmlformats.org/drawingml/2006/main">
          <a:off x="3019425" y="142875"/>
          <a:ext cx="285750" cy="285750"/>
        </a:xfrm>
        <a:prstGeom xmlns:a="http://schemas.openxmlformats.org/drawingml/2006/main" prst="rect">
          <a:avLst/>
        </a:prstGeom>
        <a:solidFill xmlns:a="http://schemas.openxmlformats.org/drawingml/2006/main">
          <a:srgbClr val="FFFFFF"/>
        </a:solidFill>
        <a:ln xmlns:a="http://schemas.openxmlformats.org/drawingml/2006/main" w="9525">
          <a:solidFill>
            <a:schemeClr val="tx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pt-BR" sz="1100">
              <a:effectLst/>
              <a:latin typeface="Calibri" panose="020F0502020204030204" pitchFamily="34" charset="0"/>
              <a:ea typeface="Calibri" panose="020F0502020204030204" pitchFamily="34" charset="0"/>
              <a:cs typeface="Times New Roman" panose="02020603050405020304" pitchFamily="18" charset="0"/>
            </a:rPr>
            <a:t>B</a:t>
          </a:r>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8182</Words>
  <Characters>44186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Elidio Bertholucci Neto</dc:creator>
  <cp:keywords/>
  <cp:lastModifiedBy>GIOVANNA PEREIRA BERTHOLUCCI</cp:lastModifiedBy>
  <cp:revision>3</cp:revision>
  <cp:lastPrinted>2021-12-15T21:02:00Z</cp:lastPrinted>
  <dcterms:created xsi:type="dcterms:W3CDTF">2021-12-15T21:02:00Z</dcterms:created>
  <dcterms:modified xsi:type="dcterms:W3CDTF">2021-12-15T21:06:00Z</dcterms:modified>
</cp:coreProperties>
</file>