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4532" w14:textId="77777777" w:rsidR="009C49D2" w:rsidRDefault="00094B85">
      <w:pPr>
        <w:tabs>
          <w:tab w:val="left" w:pos="1620"/>
        </w:tabs>
        <w:jc w:val="center"/>
      </w:pPr>
      <w:r>
        <w:rPr>
          <w:b/>
        </w:rPr>
        <w:t>PERFIL SOCIODEMOGRÁFICO E CLÍNICO DE PACIENTES SUBMETIDOS À CIRURGIA DE CORREÇÃO DE ESCOLIOSE</w:t>
      </w:r>
    </w:p>
    <w:p w14:paraId="1DCE50F4" w14:textId="77777777" w:rsidR="009C49D2" w:rsidRDefault="009C49D2">
      <w:pPr>
        <w:jc w:val="center"/>
        <w:rPr>
          <w:b/>
        </w:rPr>
      </w:pPr>
    </w:p>
    <w:p w14:paraId="0F04668D" w14:textId="77777777" w:rsidR="009C49D2" w:rsidRDefault="009C49D2">
      <w:pPr>
        <w:jc w:val="center"/>
        <w:rPr>
          <w:sz w:val="32"/>
          <w:szCs w:val="32"/>
        </w:rPr>
      </w:pPr>
    </w:p>
    <w:p w14:paraId="36DEF4C2" w14:textId="77777777" w:rsidR="009C49D2" w:rsidRDefault="009C49D2">
      <w:pPr>
        <w:jc w:val="center"/>
        <w:rPr>
          <w:b/>
          <w:sz w:val="32"/>
          <w:szCs w:val="32"/>
        </w:rPr>
      </w:pPr>
    </w:p>
    <w:p w14:paraId="22607F89" w14:textId="77777777" w:rsidR="009C49D2" w:rsidRPr="007728A0" w:rsidRDefault="00094B85">
      <w:pPr>
        <w:jc w:val="center"/>
        <w:rPr>
          <w:i/>
          <w:color w:val="000000"/>
          <w:highlight w:val="white"/>
          <w:lang w:val="en-US"/>
        </w:rPr>
      </w:pPr>
      <w:r w:rsidRPr="00610C76">
        <w:rPr>
          <w:color w:val="000000"/>
          <w:lang w:val="en-US"/>
        </w:rPr>
        <w:br/>
      </w:r>
      <w:r w:rsidRPr="007728A0">
        <w:rPr>
          <w:i/>
          <w:color w:val="000000"/>
          <w:highlight w:val="white"/>
          <w:lang w:val="en-US"/>
        </w:rPr>
        <w:t>Socio-demographic and clinical profile of patients submitted to scoliosis correction surgery</w:t>
      </w:r>
    </w:p>
    <w:p w14:paraId="6B096210" w14:textId="77777777" w:rsidR="009C49D2" w:rsidRPr="007728A0" w:rsidRDefault="009C49D2">
      <w:pPr>
        <w:rPr>
          <w:color w:val="FF0000"/>
          <w:highlight w:val="white"/>
          <w:lang w:val="en-US"/>
        </w:rPr>
      </w:pPr>
    </w:p>
    <w:p w14:paraId="620401F6" w14:textId="77777777" w:rsidR="009C49D2" w:rsidRPr="007728A0" w:rsidRDefault="009C49D2">
      <w:pPr>
        <w:rPr>
          <w:color w:val="FF0000"/>
          <w:highlight w:val="white"/>
          <w:lang w:val="en-US"/>
        </w:rPr>
      </w:pPr>
    </w:p>
    <w:p w14:paraId="4ECC27D6" w14:textId="77777777" w:rsidR="009C49D2" w:rsidRPr="007728A0" w:rsidRDefault="009C49D2">
      <w:pPr>
        <w:rPr>
          <w:color w:val="FF0000"/>
          <w:highlight w:val="white"/>
          <w:lang w:val="en-US"/>
        </w:rPr>
      </w:pPr>
    </w:p>
    <w:p w14:paraId="0921250C" w14:textId="77777777" w:rsidR="009C49D2" w:rsidRPr="007728A0" w:rsidRDefault="009C49D2">
      <w:pPr>
        <w:rPr>
          <w:highlight w:val="white"/>
          <w:lang w:val="en-US"/>
        </w:rPr>
      </w:pPr>
    </w:p>
    <w:p w14:paraId="5796EAD7" w14:textId="790181B0" w:rsidR="009C49D2" w:rsidRDefault="00094B85">
      <w:pPr>
        <w:jc w:val="center"/>
        <w:rPr>
          <w:b/>
        </w:rPr>
      </w:pPr>
      <w:r>
        <w:rPr>
          <w:b/>
        </w:rPr>
        <w:t>Título Resumido:</w:t>
      </w:r>
      <w:r>
        <w:t xml:space="preserve"> Perfil de pacientes submetidos à cir</w:t>
      </w:r>
      <w:r w:rsidR="00301BC3">
        <w:t>u</w:t>
      </w:r>
      <w:r>
        <w:t>rgia de escoliose</w:t>
      </w:r>
    </w:p>
    <w:p w14:paraId="53BC1DC2" w14:textId="77777777" w:rsidR="009C49D2" w:rsidRDefault="009C49D2">
      <w:pPr>
        <w:spacing w:line="360" w:lineRule="auto"/>
        <w:rPr>
          <w:highlight w:val="white"/>
        </w:rPr>
      </w:pPr>
    </w:p>
    <w:p w14:paraId="72CE8BA4" w14:textId="77777777" w:rsidR="009C49D2" w:rsidRDefault="009C49D2">
      <w:pPr>
        <w:spacing w:line="360" w:lineRule="auto"/>
        <w:rPr>
          <w:highlight w:val="white"/>
        </w:rPr>
      </w:pPr>
    </w:p>
    <w:p w14:paraId="78D00F8E" w14:textId="77777777" w:rsidR="009C49D2" w:rsidRDefault="009C49D2">
      <w:pPr>
        <w:spacing w:line="360" w:lineRule="auto"/>
        <w:rPr>
          <w:highlight w:val="white"/>
        </w:rPr>
      </w:pPr>
    </w:p>
    <w:p w14:paraId="60F1B9E3" w14:textId="77777777" w:rsidR="009C49D2" w:rsidRDefault="00094B85">
      <w:pPr>
        <w:spacing w:line="360" w:lineRule="auto"/>
        <w:jc w:val="center"/>
        <w:rPr>
          <w:vertAlign w:val="superscript"/>
        </w:rPr>
      </w:pPr>
      <w:r>
        <w:t>Cássia Leane Marques do Espírito Santo</w:t>
      </w:r>
      <w:r>
        <w:rPr>
          <w:vertAlign w:val="superscript"/>
        </w:rPr>
        <w:t>1</w:t>
      </w:r>
      <w:r>
        <w:t>; Adroaldo José Casa Junior</w:t>
      </w:r>
      <w:r>
        <w:rPr>
          <w:vertAlign w:val="superscript"/>
        </w:rPr>
        <w:t>2</w:t>
      </w:r>
    </w:p>
    <w:p w14:paraId="34752AAF" w14:textId="77777777" w:rsidR="009C49D2" w:rsidRDefault="009C49D2">
      <w:pPr>
        <w:spacing w:line="360" w:lineRule="auto"/>
      </w:pPr>
    </w:p>
    <w:p w14:paraId="0DF340A9" w14:textId="77777777" w:rsidR="009C49D2" w:rsidRDefault="009C49D2">
      <w:pPr>
        <w:spacing w:line="360" w:lineRule="auto"/>
        <w:ind w:firstLine="851"/>
      </w:pPr>
    </w:p>
    <w:p w14:paraId="48045901" w14:textId="77777777" w:rsidR="009C49D2" w:rsidRDefault="00094B85">
      <w:pPr>
        <w:spacing w:line="360" w:lineRule="auto"/>
        <w:jc w:val="center"/>
      </w:pPr>
      <w:r>
        <w:t>¹ Discente do Curso de Fisioterapia da Pontifícia Universidade Católica de Goiás.</w:t>
      </w:r>
    </w:p>
    <w:p w14:paraId="69D74B62" w14:textId="77777777" w:rsidR="009C49D2" w:rsidRDefault="00094B85">
      <w:pPr>
        <w:spacing w:line="360" w:lineRule="auto"/>
        <w:jc w:val="center"/>
      </w:pPr>
      <w:r>
        <w:t>² Doutor e Mestre em Ciências da Saúde, Docente do Curso de Fisioterapia da Pontifícia Universidade Católica de Goiás.</w:t>
      </w:r>
    </w:p>
    <w:p w14:paraId="0373EE82" w14:textId="11F4BD88" w:rsidR="009C49D2" w:rsidRDefault="009C49D2">
      <w:pPr>
        <w:spacing w:line="360" w:lineRule="auto"/>
        <w:ind w:firstLine="851"/>
        <w:rPr>
          <w:vertAlign w:val="superscript"/>
        </w:rPr>
      </w:pPr>
    </w:p>
    <w:p w14:paraId="7517C90B" w14:textId="77777777" w:rsidR="003E1970" w:rsidRDefault="003E1970">
      <w:pPr>
        <w:spacing w:line="360" w:lineRule="auto"/>
        <w:ind w:firstLine="851"/>
        <w:rPr>
          <w:vertAlign w:val="superscript"/>
        </w:rPr>
      </w:pPr>
    </w:p>
    <w:p w14:paraId="1191A707" w14:textId="77777777" w:rsidR="009C49D2" w:rsidRDefault="009C49D2">
      <w:pPr>
        <w:spacing w:line="360" w:lineRule="auto"/>
        <w:ind w:firstLine="851"/>
        <w:jc w:val="center"/>
        <w:rPr>
          <w:vertAlign w:val="superscript"/>
        </w:rPr>
      </w:pPr>
    </w:p>
    <w:p w14:paraId="1BC17B0E" w14:textId="76011635" w:rsidR="009C49D2" w:rsidRDefault="00094B85">
      <w:pPr>
        <w:spacing w:line="360" w:lineRule="auto"/>
        <w:jc w:val="center"/>
      </w:pPr>
      <w:r>
        <w:t>Estudo desenvolvido na Pontifícia Universidade Católica de Goiás (PUC Goiás)</w:t>
      </w:r>
      <w:r w:rsidR="0052263D">
        <w:t xml:space="preserve"> e</w:t>
      </w:r>
    </w:p>
    <w:p w14:paraId="689A94CF" w14:textId="22BDE92A" w:rsidR="009C49D2" w:rsidRDefault="00094B85">
      <w:pPr>
        <w:spacing w:line="360" w:lineRule="auto"/>
        <w:jc w:val="center"/>
      </w:pPr>
      <w:r>
        <w:t>Hospital de Acidentados Clínica Santa Isabel, Goiânia, Goiás, Brasil</w:t>
      </w:r>
    </w:p>
    <w:p w14:paraId="0D4BC968" w14:textId="77777777" w:rsidR="009C49D2" w:rsidRDefault="009C49D2">
      <w:pPr>
        <w:spacing w:line="360" w:lineRule="auto"/>
      </w:pPr>
    </w:p>
    <w:p w14:paraId="2F7A4617" w14:textId="77777777" w:rsidR="009C49D2" w:rsidRDefault="009C49D2">
      <w:pPr>
        <w:spacing w:line="360" w:lineRule="auto"/>
      </w:pPr>
    </w:p>
    <w:p w14:paraId="00DFB9C0" w14:textId="77777777" w:rsidR="009C49D2" w:rsidRDefault="009C49D2">
      <w:pPr>
        <w:spacing w:line="360" w:lineRule="auto"/>
      </w:pPr>
    </w:p>
    <w:p w14:paraId="21E5A29D" w14:textId="77777777" w:rsidR="009C49D2" w:rsidRDefault="009C49D2">
      <w:pPr>
        <w:spacing w:line="360" w:lineRule="auto"/>
      </w:pPr>
    </w:p>
    <w:p w14:paraId="019C2CCB" w14:textId="77777777" w:rsidR="009C49D2" w:rsidRDefault="00094B85">
      <w:pPr>
        <w:spacing w:line="360" w:lineRule="auto"/>
      </w:pPr>
      <w:r>
        <w:t>Autor correspondente: Cássia Leane Marques do Espírito Santo</w:t>
      </w:r>
    </w:p>
    <w:p w14:paraId="5F6F18DC" w14:textId="77777777" w:rsidR="009C49D2" w:rsidRDefault="00094B85">
      <w:pPr>
        <w:spacing w:line="360" w:lineRule="auto"/>
      </w:pPr>
      <w:r>
        <w:t>Endereço: Rua Manaus, Quadra 02, N. 30, Alto da Glória, Goiânia, Goiás, CEP 74815-765</w:t>
      </w:r>
    </w:p>
    <w:p w14:paraId="44199F74" w14:textId="77777777" w:rsidR="009C49D2" w:rsidRDefault="00094B85">
      <w:pPr>
        <w:spacing w:line="360" w:lineRule="auto"/>
      </w:pPr>
      <w:r>
        <w:t>E-mail: cassia.leanemes@gmail.com</w:t>
      </w:r>
    </w:p>
    <w:p w14:paraId="26070593" w14:textId="77777777" w:rsidR="009C49D2" w:rsidRDefault="009C49D2">
      <w:pPr>
        <w:spacing w:line="360" w:lineRule="auto"/>
      </w:pPr>
    </w:p>
    <w:p w14:paraId="766DA979" w14:textId="40CA5AFD" w:rsidR="009C49D2" w:rsidRDefault="00094B85">
      <w:pPr>
        <w:spacing w:line="360" w:lineRule="auto"/>
      </w:pPr>
      <w:bookmarkStart w:id="0" w:name="_gjdgxs" w:colFirst="0" w:colLast="0"/>
      <w:bookmarkEnd w:id="0"/>
      <w:r>
        <w:t>Parecer de aprovação no Comitê de Ética em Pesquisa n</w:t>
      </w:r>
      <w:r w:rsidRPr="00613EA4">
        <w:t xml:space="preserve">. </w:t>
      </w:r>
      <w:r w:rsidR="00613EA4" w:rsidRPr="00613EA4">
        <w:t>2.604.950</w:t>
      </w:r>
      <w:r w:rsidRPr="00613EA4">
        <w:t>.</w:t>
      </w:r>
    </w:p>
    <w:p w14:paraId="680B7553" w14:textId="77777777" w:rsidR="009C49D2" w:rsidRDefault="009C49D2">
      <w:pPr>
        <w:jc w:val="left"/>
        <w:rPr>
          <w:rFonts w:ascii="inherit" w:eastAsia="inherit" w:hAnsi="inherit" w:cs="inherit"/>
          <w:sz w:val="21"/>
          <w:szCs w:val="21"/>
        </w:rPr>
      </w:pPr>
    </w:p>
    <w:p w14:paraId="1AA0E06C" w14:textId="77777777" w:rsidR="009C49D2" w:rsidRDefault="009C49D2">
      <w:pPr>
        <w:jc w:val="left"/>
        <w:rPr>
          <w:b/>
        </w:rPr>
      </w:pPr>
    </w:p>
    <w:p w14:paraId="28CE5EF6" w14:textId="77777777" w:rsidR="009C49D2" w:rsidRDefault="009C49D2">
      <w:pPr>
        <w:jc w:val="left"/>
        <w:rPr>
          <w:b/>
        </w:rPr>
      </w:pPr>
    </w:p>
    <w:p w14:paraId="60833C8D" w14:textId="00C3423C" w:rsidR="009C49D2" w:rsidRPr="005160C1" w:rsidRDefault="00094B85" w:rsidP="006D50EC">
      <w:pPr>
        <w:jc w:val="left"/>
        <w:rPr>
          <w:b/>
        </w:rPr>
      </w:pPr>
      <w:r w:rsidRPr="005160C1">
        <w:rPr>
          <w:b/>
        </w:rPr>
        <w:lastRenderedPageBreak/>
        <w:t>RESUMO</w:t>
      </w:r>
    </w:p>
    <w:p w14:paraId="2753449B" w14:textId="77777777" w:rsidR="00364206" w:rsidRPr="005160C1" w:rsidRDefault="00364206" w:rsidP="006D50EC">
      <w:pPr>
        <w:rPr>
          <w:b/>
        </w:rPr>
      </w:pPr>
    </w:p>
    <w:p w14:paraId="722D2964" w14:textId="3F51DC23" w:rsidR="009C49D2" w:rsidRPr="005160C1" w:rsidRDefault="00094B85" w:rsidP="006D50EC">
      <w:r w:rsidRPr="005160C1">
        <w:rPr>
          <w:b/>
        </w:rPr>
        <w:t>Introdução:</w:t>
      </w:r>
      <w:r w:rsidRPr="005160C1">
        <w:t xml:space="preserve"> A cirurgia de correção de escoliose é o maior procedimento que envolve um realinhamento do esqueleto</w:t>
      </w:r>
      <w:r w:rsidR="00E6251C" w:rsidRPr="005160C1">
        <w:t>, é</w:t>
      </w:r>
      <w:r w:rsidR="00560FCE" w:rsidRPr="005160C1">
        <w:t xml:space="preserve"> </w:t>
      </w:r>
      <w:r w:rsidRPr="005160C1">
        <w:t>muito invasiva</w:t>
      </w:r>
      <w:r w:rsidR="00AA7089" w:rsidRPr="005160C1">
        <w:t xml:space="preserve"> e</w:t>
      </w:r>
      <w:r w:rsidR="00560FCE" w:rsidRPr="005160C1">
        <w:t xml:space="preserve"> </w:t>
      </w:r>
      <w:r w:rsidRPr="005160C1">
        <w:t xml:space="preserve">pode durar </w:t>
      </w:r>
      <w:r w:rsidR="00E6251C" w:rsidRPr="005160C1">
        <w:t xml:space="preserve">até </w:t>
      </w:r>
      <w:r w:rsidRPr="005160C1">
        <w:t>12h</w:t>
      </w:r>
      <w:r w:rsidR="00AA7089" w:rsidRPr="005160C1">
        <w:t xml:space="preserve">, afastando o paciente das </w:t>
      </w:r>
      <w:r w:rsidRPr="005160C1">
        <w:t xml:space="preserve">atividades </w:t>
      </w:r>
      <w:r w:rsidR="00AA7089" w:rsidRPr="005160C1">
        <w:t xml:space="preserve">de </w:t>
      </w:r>
      <w:r w:rsidRPr="005160C1">
        <w:t xml:space="preserve">2 a 3 semanas. </w:t>
      </w:r>
      <w:r w:rsidRPr="005160C1">
        <w:rPr>
          <w:b/>
        </w:rPr>
        <w:t>Objetivo:</w:t>
      </w:r>
      <w:r w:rsidRPr="005160C1">
        <w:t xml:space="preserve"> Descrever o perfil</w:t>
      </w:r>
      <w:r w:rsidR="00C14C79" w:rsidRPr="005160C1">
        <w:t xml:space="preserve"> sociodemográfico e clínico</w:t>
      </w:r>
      <w:r w:rsidRPr="005160C1">
        <w:t xml:space="preserve"> de pacientes submetidos à cirurgia para a correção de escoliose</w:t>
      </w:r>
      <w:r w:rsidR="00621F13" w:rsidRPr="005160C1">
        <w:t xml:space="preserve">. </w:t>
      </w:r>
      <w:r w:rsidRPr="005160C1">
        <w:rPr>
          <w:b/>
        </w:rPr>
        <w:t>Metodologia:</w:t>
      </w:r>
      <w:r w:rsidRPr="005160C1">
        <w:t xml:space="preserve"> Estudo transversal, retrospectivo e quantitativo, com </w:t>
      </w:r>
      <w:r w:rsidR="003E1970" w:rsidRPr="005160C1">
        <w:t>36</w:t>
      </w:r>
      <w:r w:rsidRPr="005160C1">
        <w:t xml:space="preserve"> prontuários de pacientes submetidos </w:t>
      </w:r>
      <w:r w:rsidR="006D50EC" w:rsidRPr="005160C1">
        <w:t>à</w:t>
      </w:r>
      <w:r w:rsidR="00AA7089" w:rsidRPr="005160C1">
        <w:t xml:space="preserve"> cirurgia de </w:t>
      </w:r>
      <w:r w:rsidRPr="005160C1">
        <w:t xml:space="preserve">escoliose </w:t>
      </w:r>
      <w:r w:rsidR="003E1970" w:rsidRPr="005160C1">
        <w:t>entre julho</w:t>
      </w:r>
      <w:r w:rsidR="00EA0A43" w:rsidRPr="005160C1">
        <w:t xml:space="preserve"> de 201</w:t>
      </w:r>
      <w:r w:rsidR="008C5B21" w:rsidRPr="005160C1">
        <w:t>8</w:t>
      </w:r>
      <w:r w:rsidR="003E1970" w:rsidRPr="005160C1">
        <w:t xml:space="preserve"> e julho</w:t>
      </w:r>
      <w:r w:rsidR="00EA0A43" w:rsidRPr="005160C1">
        <w:t xml:space="preserve"> de 2021</w:t>
      </w:r>
      <w:r w:rsidRPr="005160C1">
        <w:t xml:space="preserve"> </w:t>
      </w:r>
      <w:r w:rsidR="00E13E64" w:rsidRPr="005160C1">
        <w:t>n</w:t>
      </w:r>
      <w:r w:rsidR="003E1970" w:rsidRPr="005160C1">
        <w:t xml:space="preserve">um </w:t>
      </w:r>
      <w:r w:rsidRPr="005160C1">
        <w:t>hospita</w:t>
      </w:r>
      <w:r w:rsidR="003E1970" w:rsidRPr="005160C1">
        <w:t>l</w:t>
      </w:r>
      <w:r w:rsidRPr="005160C1">
        <w:t xml:space="preserve"> </w:t>
      </w:r>
      <w:r w:rsidR="005D21D0" w:rsidRPr="005160C1">
        <w:t xml:space="preserve">particular de referência </w:t>
      </w:r>
      <w:r w:rsidRPr="005160C1">
        <w:t>na cidade de Goiânia</w:t>
      </w:r>
      <w:r w:rsidR="00C54A4C" w:rsidRPr="005160C1">
        <w:t xml:space="preserve">, </w:t>
      </w:r>
      <w:r w:rsidRPr="005160C1">
        <w:t>G</w:t>
      </w:r>
      <w:r w:rsidR="00C54A4C" w:rsidRPr="005160C1">
        <w:t>oiás</w:t>
      </w:r>
      <w:r w:rsidRPr="005160C1">
        <w:t>. Os dados foram coletados</w:t>
      </w:r>
      <w:r w:rsidR="004211E8" w:rsidRPr="005160C1">
        <w:t xml:space="preserve"> por</w:t>
      </w:r>
      <w:r w:rsidRPr="005160C1">
        <w:t xml:space="preserve"> meio de uma Ficha de Coleta de Dados desenvolvida pelos pesquisadores. </w:t>
      </w:r>
      <w:r w:rsidRPr="005160C1">
        <w:rPr>
          <w:b/>
        </w:rPr>
        <w:t xml:space="preserve">Resultados: </w:t>
      </w:r>
      <w:r w:rsidRPr="005160C1">
        <w:t xml:space="preserve">A </w:t>
      </w:r>
      <w:r w:rsidR="00270463" w:rsidRPr="005160C1">
        <w:t xml:space="preserve">maioria dos pacientes </w:t>
      </w:r>
      <w:r w:rsidR="00B568D8" w:rsidRPr="005160C1">
        <w:t>era</w:t>
      </w:r>
      <w:r w:rsidR="006408D4" w:rsidRPr="005160C1">
        <w:t xml:space="preserve"> </w:t>
      </w:r>
      <w:r w:rsidR="00270463" w:rsidRPr="005160C1">
        <w:t>do sexo feminino (77,8%)</w:t>
      </w:r>
      <w:r w:rsidR="008C5B21" w:rsidRPr="005160C1">
        <w:t>.</w:t>
      </w:r>
      <w:r w:rsidR="00AA7089" w:rsidRPr="005160C1">
        <w:t xml:space="preserve"> A</w:t>
      </w:r>
      <w:r w:rsidR="006711F8" w:rsidRPr="005160C1">
        <w:t xml:space="preserve"> e</w:t>
      </w:r>
      <w:r w:rsidR="00C50D8C" w:rsidRPr="005160C1">
        <w:t xml:space="preserve">scoliose </w:t>
      </w:r>
      <w:r w:rsidR="006711F8" w:rsidRPr="005160C1">
        <w:t>i</w:t>
      </w:r>
      <w:r w:rsidR="00C50D8C" w:rsidRPr="005160C1">
        <w:t xml:space="preserve">diopática do </w:t>
      </w:r>
      <w:r w:rsidR="006711F8" w:rsidRPr="005160C1">
        <w:t>a</w:t>
      </w:r>
      <w:r w:rsidR="00C50D8C" w:rsidRPr="005160C1">
        <w:t>dolescente</w:t>
      </w:r>
      <w:r w:rsidRPr="005160C1">
        <w:t xml:space="preserve"> </w:t>
      </w:r>
      <w:r w:rsidR="00C50D8C" w:rsidRPr="005160C1">
        <w:t>represent</w:t>
      </w:r>
      <w:r w:rsidR="006711F8" w:rsidRPr="005160C1">
        <w:t>ou</w:t>
      </w:r>
      <w:r w:rsidR="00C50D8C" w:rsidRPr="005160C1">
        <w:t xml:space="preserve"> 61,1% dos casos, seguida pela </w:t>
      </w:r>
      <w:r w:rsidR="006711F8" w:rsidRPr="005160C1">
        <w:t>n</w:t>
      </w:r>
      <w:r w:rsidR="00C50D8C" w:rsidRPr="005160C1">
        <w:t>euromuscular</w:t>
      </w:r>
      <w:r w:rsidR="00AA7089" w:rsidRPr="005160C1">
        <w:t xml:space="preserve"> </w:t>
      </w:r>
      <w:r w:rsidR="00C50D8C" w:rsidRPr="005160C1">
        <w:t>(27,8%)</w:t>
      </w:r>
      <w:r w:rsidRPr="005160C1">
        <w:t xml:space="preserve">. </w:t>
      </w:r>
      <w:r w:rsidR="008C5B21" w:rsidRPr="005160C1">
        <w:t>P</w:t>
      </w:r>
      <w:r w:rsidR="006408D4" w:rsidRPr="005160C1">
        <w:t xml:space="preserve">acientes </w:t>
      </w:r>
      <w:r w:rsidR="008C5B21" w:rsidRPr="005160C1">
        <w:t xml:space="preserve">que </w:t>
      </w:r>
      <w:r w:rsidR="00AA7089" w:rsidRPr="005160C1">
        <w:t xml:space="preserve">não </w:t>
      </w:r>
      <w:r w:rsidR="00F56085" w:rsidRPr="005160C1">
        <w:t>fize</w:t>
      </w:r>
      <w:r w:rsidR="008C5B21" w:rsidRPr="005160C1">
        <w:t xml:space="preserve">ram </w:t>
      </w:r>
      <w:r w:rsidR="006408D4" w:rsidRPr="005160C1">
        <w:t xml:space="preserve">tratamento fisioterapêutico ou </w:t>
      </w:r>
      <w:r w:rsidR="007C211A" w:rsidRPr="005160C1">
        <w:t>a</w:t>
      </w:r>
      <w:r w:rsidR="006408D4" w:rsidRPr="005160C1">
        <w:t>companha</w:t>
      </w:r>
      <w:r w:rsidR="008C5B21" w:rsidRPr="005160C1">
        <w:t>mento com</w:t>
      </w:r>
      <w:r w:rsidR="006408D4" w:rsidRPr="005160C1">
        <w:t xml:space="preserve"> cirurgião ortopedista </w:t>
      </w:r>
      <w:r w:rsidR="006711F8" w:rsidRPr="005160C1">
        <w:t>fo</w:t>
      </w:r>
      <w:r w:rsidR="008C5B21" w:rsidRPr="005160C1">
        <w:t xml:space="preserve">ram </w:t>
      </w:r>
      <w:r w:rsidR="006408D4" w:rsidRPr="005160C1">
        <w:t xml:space="preserve">66,7%. </w:t>
      </w:r>
      <w:r w:rsidR="00631B0D" w:rsidRPr="005160C1">
        <w:t>N</w:t>
      </w:r>
      <w:r w:rsidR="00B676C0" w:rsidRPr="005160C1">
        <w:t xml:space="preserve">ão identificamos relação entre </w:t>
      </w:r>
      <w:r w:rsidR="009D1F51" w:rsidRPr="005160C1">
        <w:t xml:space="preserve">complicações </w:t>
      </w:r>
      <w:r w:rsidR="008C5B21" w:rsidRPr="005160C1">
        <w:t>pós-</w:t>
      </w:r>
      <w:r w:rsidR="009D1F51" w:rsidRPr="005160C1">
        <w:t xml:space="preserve">cirurgia com </w:t>
      </w:r>
      <w:r w:rsidR="008C5B21" w:rsidRPr="005160C1">
        <w:t xml:space="preserve">a </w:t>
      </w:r>
      <w:r w:rsidR="002E195F" w:rsidRPr="005160C1">
        <w:t xml:space="preserve">etiologia </w:t>
      </w:r>
      <w:r w:rsidR="00B676C0" w:rsidRPr="005160C1">
        <w:t>da escolios</w:t>
      </w:r>
      <w:r w:rsidR="009F1D85" w:rsidRPr="005160C1">
        <w:t>e</w:t>
      </w:r>
      <w:r w:rsidR="002E195F" w:rsidRPr="005160C1">
        <w:t>.</w:t>
      </w:r>
      <w:r w:rsidR="002E195F" w:rsidRPr="005160C1">
        <w:rPr>
          <w:color w:val="FF0000"/>
        </w:rPr>
        <w:t xml:space="preserve"> </w:t>
      </w:r>
      <w:r w:rsidRPr="005160C1">
        <w:rPr>
          <w:b/>
        </w:rPr>
        <w:t>Conclusão:</w:t>
      </w:r>
      <w:r w:rsidRPr="005160C1">
        <w:t xml:space="preserve"> </w:t>
      </w:r>
      <w:r w:rsidR="0034320E" w:rsidRPr="005160C1">
        <w:t>M</w:t>
      </w:r>
      <w:r w:rsidR="00535EF8" w:rsidRPr="005160C1">
        <w:t xml:space="preserve">eninas são mais suscetíveis </w:t>
      </w:r>
      <w:r w:rsidR="00F56085" w:rsidRPr="005160C1">
        <w:t xml:space="preserve">a </w:t>
      </w:r>
      <w:r w:rsidR="00535EF8" w:rsidRPr="005160C1">
        <w:t>escoliose</w:t>
      </w:r>
      <w:r w:rsidR="00F56085" w:rsidRPr="005160C1">
        <w:t xml:space="preserve"> e seu agravamento,</w:t>
      </w:r>
      <w:r w:rsidR="00535EF8" w:rsidRPr="005160C1">
        <w:t xml:space="preserve"> </w:t>
      </w:r>
      <w:r w:rsidR="0034320E" w:rsidRPr="005160C1">
        <w:t>necessitando de</w:t>
      </w:r>
      <w:r w:rsidR="00535EF8" w:rsidRPr="005160C1">
        <w:t xml:space="preserve"> um olhar mais criterioso dos profissionais de saúd</w:t>
      </w:r>
      <w:r w:rsidR="0034320E" w:rsidRPr="005160C1">
        <w:t>e</w:t>
      </w:r>
      <w:r w:rsidRPr="005160C1">
        <w:t>.</w:t>
      </w:r>
      <w:r w:rsidR="005F4152" w:rsidRPr="005160C1">
        <w:t xml:space="preserve"> A maioria dos participantes não </w:t>
      </w:r>
      <w:r w:rsidR="00E838C4" w:rsidRPr="005160C1">
        <w:t>recebia</w:t>
      </w:r>
      <w:r w:rsidR="005F4152" w:rsidRPr="005160C1">
        <w:t xml:space="preserve"> acompanha</w:t>
      </w:r>
      <w:r w:rsidR="00E838C4" w:rsidRPr="005160C1">
        <w:t>mento</w:t>
      </w:r>
      <w:r w:rsidR="005F4152" w:rsidRPr="005160C1">
        <w:t xml:space="preserve"> </w:t>
      </w:r>
      <w:r w:rsidR="00BF7C6C" w:rsidRPr="005160C1">
        <w:t xml:space="preserve">de </w:t>
      </w:r>
      <w:r w:rsidR="005F4152" w:rsidRPr="005160C1">
        <w:t>um fisioterapeuta ou médico ortopedista</w:t>
      </w:r>
      <w:r w:rsidR="00F56085" w:rsidRPr="005160C1">
        <w:t>, o que dificulta</w:t>
      </w:r>
      <w:r w:rsidR="00E838C4" w:rsidRPr="005160C1">
        <w:t xml:space="preserve"> a</w:t>
      </w:r>
      <w:r w:rsidR="00F56085" w:rsidRPr="005160C1">
        <w:t xml:space="preserve"> intervenção </w:t>
      </w:r>
      <w:r w:rsidR="005F4152" w:rsidRPr="005160C1">
        <w:t>precoce</w:t>
      </w:r>
      <w:r w:rsidR="00A12AB7" w:rsidRPr="005160C1">
        <w:t xml:space="preserve"> e aumenta</w:t>
      </w:r>
      <w:r w:rsidR="00E838C4" w:rsidRPr="005160C1">
        <w:t xml:space="preserve"> a demanda</w:t>
      </w:r>
      <w:r w:rsidR="00BD0C41" w:rsidRPr="005160C1">
        <w:t xml:space="preserve"> </w:t>
      </w:r>
      <w:r w:rsidR="00E838C4" w:rsidRPr="005160C1">
        <w:t>por</w:t>
      </w:r>
      <w:r w:rsidR="005F4152" w:rsidRPr="005160C1">
        <w:t xml:space="preserve"> cirurgia.</w:t>
      </w:r>
    </w:p>
    <w:p w14:paraId="588EB189" w14:textId="77777777" w:rsidR="008C5B21" w:rsidRPr="005160C1" w:rsidRDefault="008C5B21" w:rsidP="006D50EC"/>
    <w:p w14:paraId="4999E73A" w14:textId="1D4852EB" w:rsidR="009C49D2" w:rsidRPr="00E838C4" w:rsidRDefault="00094B85" w:rsidP="006D50EC">
      <w:pPr>
        <w:rPr>
          <w:bCs/>
        </w:rPr>
      </w:pPr>
      <w:r w:rsidRPr="005160C1">
        <w:rPr>
          <w:b/>
        </w:rPr>
        <w:t xml:space="preserve">Descritores: </w:t>
      </w:r>
      <w:r w:rsidR="00CF4A1E" w:rsidRPr="005160C1">
        <w:rPr>
          <w:bCs/>
        </w:rPr>
        <w:t>Escoliose</w:t>
      </w:r>
      <w:r w:rsidR="008C5B21" w:rsidRPr="005160C1">
        <w:rPr>
          <w:bCs/>
        </w:rPr>
        <w:t>,</w:t>
      </w:r>
      <w:r w:rsidR="00A3016A" w:rsidRPr="005160C1">
        <w:rPr>
          <w:bCs/>
        </w:rPr>
        <w:t xml:space="preserve"> Saúde do Adolescente</w:t>
      </w:r>
      <w:r w:rsidR="00535EF8" w:rsidRPr="005160C1">
        <w:rPr>
          <w:bCs/>
        </w:rPr>
        <w:t xml:space="preserve">, </w:t>
      </w:r>
      <w:r w:rsidR="007441FE" w:rsidRPr="005160C1">
        <w:rPr>
          <w:bCs/>
        </w:rPr>
        <w:t>Cirurgia</w:t>
      </w:r>
      <w:r w:rsidR="00E838C4" w:rsidRPr="005160C1">
        <w:rPr>
          <w:bCs/>
        </w:rPr>
        <w:t>.</w:t>
      </w:r>
    </w:p>
    <w:p w14:paraId="30486653" w14:textId="77777777" w:rsidR="009C49D2" w:rsidRPr="006D50EC" w:rsidRDefault="009C49D2" w:rsidP="006D50EC">
      <w:pPr>
        <w:rPr>
          <w:highlight w:val="yellow"/>
        </w:rPr>
      </w:pPr>
    </w:p>
    <w:p w14:paraId="5B20FFAD" w14:textId="140F337D" w:rsidR="008C5B21" w:rsidRPr="006D50EC" w:rsidRDefault="008C5B21" w:rsidP="006D50EC">
      <w:pPr>
        <w:rPr>
          <w:b/>
        </w:rPr>
      </w:pPr>
    </w:p>
    <w:p w14:paraId="5854F7F0" w14:textId="77777777" w:rsidR="00BD0C41" w:rsidRPr="006D50EC" w:rsidRDefault="00BD0C41" w:rsidP="006D50EC">
      <w:pPr>
        <w:rPr>
          <w:b/>
        </w:rPr>
      </w:pPr>
    </w:p>
    <w:p w14:paraId="41AB2339" w14:textId="77777777" w:rsidR="00B0492B" w:rsidRPr="006D50EC" w:rsidRDefault="00B0492B" w:rsidP="006D50EC">
      <w:pPr>
        <w:rPr>
          <w:b/>
        </w:rPr>
      </w:pPr>
    </w:p>
    <w:p w14:paraId="2A671C8F" w14:textId="5C953D13" w:rsidR="009C49D2" w:rsidRPr="007C196E" w:rsidRDefault="00094B85" w:rsidP="006D50EC">
      <w:pPr>
        <w:rPr>
          <w:b/>
          <w:lang w:val="en-US"/>
        </w:rPr>
      </w:pPr>
      <w:r w:rsidRPr="007C196E">
        <w:rPr>
          <w:b/>
          <w:lang w:val="en-US"/>
        </w:rPr>
        <w:t>ABSTRACT</w:t>
      </w:r>
    </w:p>
    <w:p w14:paraId="59DE542B" w14:textId="1C67FE58" w:rsidR="009C49D2" w:rsidRPr="007C196E" w:rsidRDefault="00094B85" w:rsidP="006D50EC">
      <w:pPr>
        <w:rPr>
          <w:rStyle w:val="y2iqfc"/>
          <w:color w:val="202124"/>
          <w:lang w:val="en"/>
        </w:rPr>
      </w:pPr>
      <w:r w:rsidRPr="007C196E">
        <w:rPr>
          <w:lang w:val="en-US"/>
        </w:rPr>
        <w:br/>
      </w:r>
      <w:r w:rsidRPr="007C196E">
        <w:rPr>
          <w:b/>
          <w:lang w:val="en-US"/>
        </w:rPr>
        <w:t>Introduction</w:t>
      </w:r>
      <w:r w:rsidRPr="007C196E">
        <w:rPr>
          <w:lang w:val="en-US"/>
        </w:rPr>
        <w:t xml:space="preserve">: </w:t>
      </w:r>
      <w:r w:rsidR="005509D5" w:rsidRPr="007C196E">
        <w:rPr>
          <w:lang w:val="en-US"/>
        </w:rPr>
        <w:t>Scoliosis correction surgery is the largest procedure that involves a realignment of the skeleton, it is very invasive and can last up to 12 hours, taking the patient away from activities for 2 to 3 weeks.</w:t>
      </w:r>
      <w:r w:rsidR="005509D5" w:rsidRPr="007C196E">
        <w:rPr>
          <w:lang w:val="en-US"/>
        </w:rPr>
        <w:t xml:space="preserve"> </w:t>
      </w:r>
      <w:r w:rsidRPr="007C196E">
        <w:rPr>
          <w:b/>
          <w:lang w:val="en-US"/>
        </w:rPr>
        <w:t>Objective</w:t>
      </w:r>
      <w:r w:rsidRPr="007C196E">
        <w:rPr>
          <w:lang w:val="en-US"/>
        </w:rPr>
        <w:t>:</w:t>
      </w:r>
      <w:r w:rsidRPr="007C196E">
        <w:rPr>
          <w:color w:val="FF0000"/>
          <w:lang w:val="en-US"/>
        </w:rPr>
        <w:t xml:space="preserve"> </w:t>
      </w:r>
      <w:r w:rsidR="005509D5" w:rsidRPr="007C196E">
        <w:rPr>
          <w:lang w:val="en-US"/>
        </w:rPr>
        <w:t>To describe the sociodemographic and clinical profile of patients undergoing surgery for scoliosis correction.</w:t>
      </w:r>
      <w:r w:rsidR="005509D5" w:rsidRPr="007C196E">
        <w:rPr>
          <w:lang w:val="en-US"/>
        </w:rPr>
        <w:t xml:space="preserve"> </w:t>
      </w:r>
      <w:r w:rsidRPr="007C196E">
        <w:rPr>
          <w:b/>
          <w:bCs/>
          <w:lang w:val="en-US"/>
        </w:rPr>
        <w:t>Methodology</w:t>
      </w:r>
      <w:r w:rsidR="005509D5" w:rsidRPr="007C196E">
        <w:rPr>
          <w:b/>
          <w:bCs/>
          <w:lang w:val="en-US"/>
        </w:rPr>
        <w:t xml:space="preserve">: </w:t>
      </w:r>
      <w:r w:rsidR="005509D5" w:rsidRPr="007C196E">
        <w:rPr>
          <w:lang w:val="en-US"/>
        </w:rPr>
        <w:t>Cross-sectional, retrospective and quantitative study, with 36 medical records of patients found during scoliosis surgery between July 2018 and July 2021 in a private reference hospital in the city of Goiânia, Goiás. Data were collected using a Collection Form of Data developed by the researchers.</w:t>
      </w:r>
      <w:r w:rsidR="009F1D85" w:rsidRPr="007C196E">
        <w:rPr>
          <w:rStyle w:val="y2iqfc"/>
          <w:color w:val="202124"/>
          <w:lang w:val="en"/>
        </w:rPr>
        <w:t xml:space="preserve"> </w:t>
      </w:r>
      <w:r w:rsidRPr="007C196E">
        <w:rPr>
          <w:b/>
          <w:bCs/>
          <w:lang w:val="en-US"/>
        </w:rPr>
        <w:t>Results:</w:t>
      </w:r>
      <w:r w:rsidRPr="007C196E">
        <w:rPr>
          <w:color w:val="FF0000"/>
          <w:lang w:val="en-US"/>
        </w:rPr>
        <w:t xml:space="preserve"> </w:t>
      </w:r>
      <w:r w:rsidR="003923CD" w:rsidRPr="003923CD">
        <w:rPr>
          <w:rStyle w:val="y2iqfc"/>
          <w:color w:val="202124"/>
          <w:lang w:val="en"/>
        </w:rPr>
        <w:t>Most patients were female (77.8%). Adolescent idiopathic scoliosis accounted for 61.1% of cases, followed by neuromuscular (27.8%). Patients who did not undergo physical therapy treatment or follow up with an orthopedic surgeon were 66.7%. We did not identify a relationship between post-surgery complications and the etiology of scoliosis.</w:t>
      </w:r>
      <w:r w:rsidR="005509D5" w:rsidRPr="007C196E">
        <w:rPr>
          <w:rStyle w:val="y2iqfc"/>
          <w:color w:val="202124"/>
          <w:lang w:val="en"/>
        </w:rPr>
        <w:t xml:space="preserve"> </w:t>
      </w:r>
      <w:r w:rsidRPr="007C196E">
        <w:rPr>
          <w:b/>
          <w:lang w:val="en-US"/>
        </w:rPr>
        <w:t>Conclusion</w:t>
      </w:r>
      <w:r w:rsidRPr="007C196E">
        <w:rPr>
          <w:lang w:val="en-US"/>
        </w:rPr>
        <w:t xml:space="preserve">: </w:t>
      </w:r>
      <w:r w:rsidR="005509D5" w:rsidRPr="007C196E">
        <w:rPr>
          <w:rStyle w:val="y2iqfc"/>
          <w:color w:val="202124"/>
          <w:lang w:val="en"/>
        </w:rPr>
        <w:t>Girls are more susceptible to scoliosis and its worsening, requiring a more careful look by health professionals. Most participants are not monitored by a physical therapist or orthopedist, which makes early intervention difficult and increases the demand for surgery.</w:t>
      </w:r>
    </w:p>
    <w:p w14:paraId="33C92055" w14:textId="77777777" w:rsidR="000F4833" w:rsidRPr="007C196E" w:rsidRDefault="000F4833" w:rsidP="006D50EC">
      <w:pPr>
        <w:rPr>
          <w:b/>
          <w:color w:val="FF0000"/>
          <w:lang w:val="en-US"/>
        </w:rPr>
      </w:pPr>
    </w:p>
    <w:p w14:paraId="414FDD2C" w14:textId="1DB0CB96" w:rsidR="009C49D2" w:rsidRPr="006D50EC" w:rsidRDefault="00094B85" w:rsidP="006D50EC">
      <w:pPr>
        <w:rPr>
          <w:rFonts w:ascii="inherit" w:eastAsia="inherit" w:hAnsi="inherit" w:cs="inherit"/>
          <w:color w:val="FF0000"/>
          <w:lang w:val="en-US"/>
        </w:rPr>
      </w:pPr>
      <w:r w:rsidRPr="007C196E">
        <w:rPr>
          <w:b/>
          <w:lang w:val="en-US"/>
        </w:rPr>
        <w:t>Keywords:</w:t>
      </w:r>
      <w:r w:rsidRPr="007C196E">
        <w:rPr>
          <w:lang w:val="en-US"/>
        </w:rPr>
        <w:t xml:space="preserve"> </w:t>
      </w:r>
      <w:r w:rsidR="00067BCC" w:rsidRPr="007C196E">
        <w:rPr>
          <w:rStyle w:val="y2iqfc"/>
          <w:color w:val="202124"/>
          <w:lang w:val="en"/>
        </w:rPr>
        <w:t>Scoliosis, Spine, Adolescent Health, Surgery.</w:t>
      </w:r>
    </w:p>
    <w:p w14:paraId="2FE4BBE0" w14:textId="0D9B0266" w:rsidR="009C49D2" w:rsidRDefault="009C49D2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0EB7CC6A" w14:textId="77777777" w:rsidR="00E838C4" w:rsidRPr="006D50EC" w:rsidRDefault="00E838C4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75084083" w14:textId="33FB659A" w:rsidR="009C49D2" w:rsidRDefault="009C49D2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4E75A5C1" w14:textId="1264AAAB" w:rsidR="007C196E" w:rsidRDefault="007C196E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3AF41586" w14:textId="40EA8062" w:rsidR="007C196E" w:rsidRDefault="007C196E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7F4C0D1C" w14:textId="239FDF63" w:rsidR="007C196E" w:rsidRDefault="007C196E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4749A850" w14:textId="77777777" w:rsidR="007C196E" w:rsidRPr="006D50EC" w:rsidRDefault="007C196E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2F1C33EA" w14:textId="77777777" w:rsidR="00364206" w:rsidRPr="00610C76" w:rsidRDefault="00364206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71C0BEA9" w14:textId="77777777" w:rsidR="00364206" w:rsidRPr="00610C76" w:rsidRDefault="00364206" w:rsidP="006D50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lang w:val="en-US"/>
        </w:rPr>
      </w:pPr>
    </w:p>
    <w:p w14:paraId="05AF1CA4" w14:textId="6800621C" w:rsidR="009C49D2" w:rsidRDefault="00094B85" w:rsidP="00364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left"/>
        <w:rPr>
          <w:b/>
        </w:rPr>
      </w:pPr>
      <w:r>
        <w:rPr>
          <w:b/>
        </w:rPr>
        <w:lastRenderedPageBreak/>
        <w:t>INTRODUÇÃO</w:t>
      </w:r>
    </w:p>
    <w:p w14:paraId="04623256" w14:textId="77777777" w:rsidR="00364206" w:rsidRDefault="00094B85" w:rsidP="00364206">
      <w:pPr>
        <w:tabs>
          <w:tab w:val="left" w:pos="709"/>
        </w:tabs>
        <w:spacing w:line="480" w:lineRule="auto"/>
      </w:pPr>
      <w:r>
        <w:tab/>
      </w:r>
    </w:p>
    <w:p w14:paraId="1F97F0ED" w14:textId="0AB84F99" w:rsidR="009C49D2" w:rsidRDefault="00364206" w:rsidP="00364206">
      <w:pPr>
        <w:tabs>
          <w:tab w:val="left" w:pos="709"/>
        </w:tabs>
        <w:spacing w:line="480" w:lineRule="auto"/>
      </w:pPr>
      <w:r>
        <w:tab/>
      </w:r>
      <w:r w:rsidR="00094B85">
        <w:t>A escoliose é caracterizada por um desvio tridimensional (3D) da coluna vertebral resultante de uma curvatura lateral no plano frontal, associado ou não com à rotação dos corpos vertebrais nos planos axiais e sagitais, considerada patológica a partir de 10 graus de ângulo do Coo</w:t>
      </w:r>
      <w:r w:rsidR="001A353A">
        <w:t>b</w:t>
      </w:r>
      <w:r w:rsidR="00C92710" w:rsidRPr="00C92710">
        <w:rPr>
          <w:vertAlign w:val="superscript"/>
        </w:rPr>
        <w:t>1</w:t>
      </w:r>
      <w:r w:rsidR="001A353A">
        <w:t>.</w:t>
      </w:r>
      <w:r w:rsidR="00094B85">
        <w:rPr>
          <w:highlight w:val="white"/>
        </w:rPr>
        <w:t xml:space="preserve"> </w:t>
      </w:r>
      <w:r w:rsidR="00094B85">
        <w:t>Cerca de 4% da população mundial convive com escoliose segundo a Organização Mundial de Saúde (OMS) e em 80% dos casos a causa é desconhecida</w:t>
      </w:r>
      <w:r w:rsidR="00E32663" w:rsidRPr="00E32663">
        <w:rPr>
          <w:vertAlign w:val="superscript"/>
        </w:rPr>
        <w:t>2</w:t>
      </w:r>
      <w:r w:rsidR="00E32663">
        <w:t xml:space="preserve">. </w:t>
      </w:r>
      <w:r w:rsidR="00094B85">
        <w:t>Crianças e adolescentes com doenças neuromusculares, não deambulantes, têm de 80% a 100% de probabilidade de desenvolver escoliose</w:t>
      </w:r>
      <w:r w:rsidR="006B7B61" w:rsidRPr="006B7B61">
        <w:rPr>
          <w:vertAlign w:val="superscript"/>
        </w:rPr>
        <w:t>3</w:t>
      </w:r>
      <w:r w:rsidR="00094B85">
        <w:t>.</w:t>
      </w:r>
    </w:p>
    <w:p w14:paraId="23028938" w14:textId="517ED3FE" w:rsidR="009C49D2" w:rsidRDefault="00094B85" w:rsidP="00364206">
      <w:pPr>
        <w:tabs>
          <w:tab w:val="left" w:pos="709"/>
        </w:tabs>
        <w:spacing w:line="480" w:lineRule="auto"/>
      </w:pPr>
      <w:bookmarkStart w:id="1" w:name="_30j0zll" w:colFirst="0" w:colLast="0"/>
      <w:bookmarkEnd w:id="1"/>
      <w:r>
        <w:tab/>
        <w:t>A escoliose pode ser classificada de acordo com a sua etiologia em congênita, quando proveniente de mal formação; neuromuscular, quando o paciente possui distúrbios neuromusculares associados e; idiopática, quando a causa não pode ser determinada</w:t>
      </w:r>
      <w:r w:rsidR="00DE629F" w:rsidRPr="00DE629F">
        <w:rPr>
          <w:vertAlign w:val="superscript"/>
        </w:rPr>
        <w:t>4</w:t>
      </w:r>
      <w:r>
        <w:t>.</w:t>
      </w:r>
      <w:r>
        <w:rPr>
          <w:highlight w:val="white"/>
        </w:rPr>
        <w:t xml:space="preserve"> E</w:t>
      </w:r>
      <w:r>
        <w:t>sta última, pode ser considerada multifatorial, uma vez que os estudos consideram fatores genéticos, sistema nervoso, disfunção hormonal e metabólica, crescimento esquelético irregular, fatores biomecânicos, ambientais e estilo de vida, mas nenhum é conclusivo ou excludente</w:t>
      </w:r>
      <w:r w:rsidR="00523444" w:rsidRPr="00523444">
        <w:rPr>
          <w:vertAlign w:val="superscript"/>
        </w:rPr>
        <w:t>5</w:t>
      </w:r>
      <w:r>
        <w:t>.</w:t>
      </w:r>
    </w:p>
    <w:p w14:paraId="3356EA02" w14:textId="48500FB7" w:rsidR="009C49D2" w:rsidRDefault="00094B85" w:rsidP="00364206">
      <w:pPr>
        <w:tabs>
          <w:tab w:val="left" w:pos="709"/>
        </w:tabs>
        <w:spacing w:line="480" w:lineRule="auto"/>
      </w:pPr>
      <w:r>
        <w:tab/>
        <w:t>Basicamente, o tratamento da escoliose consiste em observação, tratamento conservador (órtese e fisioterapia) e cirurgia de correção. O tratamento conservador da escoliose tem como finalidade interromper a progressão da curva ou, possivelmente, reduzi-la, prevenir ou tratar complicações respiratórias e dores na coluna e promover a correção postural. Tais objetivos, além de buscar a melhora estética do paciente, visam melhorar a qualidade de vida e evitar a cirurgia</w:t>
      </w:r>
      <w:r w:rsidR="00385416">
        <w:rPr>
          <w:vertAlign w:val="superscript"/>
        </w:rPr>
        <w:t>2</w:t>
      </w:r>
      <w:r>
        <w:t xml:space="preserve">.  </w:t>
      </w:r>
    </w:p>
    <w:p w14:paraId="285C1F34" w14:textId="06E2FD7D" w:rsidR="009C49D2" w:rsidRPr="005940EA" w:rsidRDefault="00094B85" w:rsidP="00364206">
      <w:pPr>
        <w:tabs>
          <w:tab w:val="left" w:pos="709"/>
        </w:tabs>
        <w:spacing w:line="480" w:lineRule="auto"/>
      </w:pPr>
      <w:r>
        <w:tab/>
        <w:t>O tratamento cirúrgico para correção do padrão escoliótico é indicado para curvas acima de 45⁰ de ângulo de Coob ou em caso de comprometimento cardiopulmonar</w:t>
      </w:r>
      <w:r w:rsidR="00675A9C">
        <w:rPr>
          <w:vertAlign w:val="superscript"/>
        </w:rPr>
        <w:t>2</w:t>
      </w:r>
      <w:r>
        <w:t xml:space="preserve">. Tal procedimento, </w:t>
      </w:r>
      <w:r>
        <w:lastRenderedPageBreak/>
        <w:t>exige uma avaliação pré-operatória completa visando obter informações referentes ao estado neurológico e o impacto da escoliose na função do sistema de órgãos do paciente</w:t>
      </w:r>
      <w:r w:rsidR="005940EA">
        <w:rPr>
          <w:vertAlign w:val="superscript"/>
        </w:rPr>
        <w:t>6</w:t>
      </w:r>
      <w:r w:rsidR="005940EA">
        <w:t>.</w:t>
      </w:r>
    </w:p>
    <w:p w14:paraId="7125C483" w14:textId="77777777" w:rsidR="009C49D2" w:rsidRDefault="00094B85" w:rsidP="00364206">
      <w:pPr>
        <w:spacing w:line="480" w:lineRule="auto"/>
        <w:ind w:firstLine="708"/>
      </w:pPr>
      <w:r>
        <w:t>A cirurgia de correção de escoliose é o maior procedimento que envolve um realinhamento do esqueleto. Trata-se de uma cirurgia muito invasiva, que pode durar de 4 a 12 horas e oferece significativo desconforto ao paciente nos primeiros dias de pós-operatório, afastando-o da escola e demais atividades cotidianas por cerca de 2 a 3 semanas.  </w:t>
      </w:r>
    </w:p>
    <w:p w14:paraId="50F0BF63" w14:textId="10233ED9" w:rsidR="009C49D2" w:rsidRDefault="00094B85" w:rsidP="00364206">
      <w:pPr>
        <w:spacing w:line="480" w:lineRule="auto"/>
        <w:ind w:firstLine="708"/>
      </w:pPr>
      <w:r w:rsidRPr="00E54FDE">
        <w:t>O objetivo deste estudo foi descrever o perfil sociodemográfico e clínico de pacientes submetidos à cirurgia para a correção de escoliose</w:t>
      </w:r>
      <w:r w:rsidR="00E54FDE" w:rsidRPr="00E54FDE">
        <w:t xml:space="preserve">, </w:t>
      </w:r>
      <w:r w:rsidRPr="00E54FDE">
        <w:t xml:space="preserve">a fim de identificar aspectos </w:t>
      </w:r>
      <w:r w:rsidR="00CA374A" w:rsidRPr="00E54FDE">
        <w:t xml:space="preserve">que </w:t>
      </w:r>
      <w:r w:rsidRPr="00E54FDE">
        <w:t xml:space="preserve">possam </w:t>
      </w:r>
      <w:r w:rsidR="00CA374A" w:rsidRPr="00E54FDE">
        <w:t>ser relacionados</w:t>
      </w:r>
      <w:r w:rsidRPr="00E54FDE">
        <w:t xml:space="preserve"> à necessidade da realização do tratamento cirúrgico. </w:t>
      </w:r>
    </w:p>
    <w:p w14:paraId="3EEB2516" w14:textId="77777777" w:rsidR="009C49D2" w:rsidRDefault="009C49D2" w:rsidP="00364206">
      <w:pPr>
        <w:spacing w:line="480" w:lineRule="auto"/>
        <w:ind w:firstLine="708"/>
      </w:pPr>
    </w:p>
    <w:p w14:paraId="03FBFB1A" w14:textId="0E5B3234" w:rsidR="009C49D2" w:rsidRDefault="00094B85" w:rsidP="00364206">
      <w:pPr>
        <w:spacing w:line="480" w:lineRule="auto"/>
      </w:pPr>
      <w:r>
        <w:rPr>
          <w:b/>
        </w:rPr>
        <w:t>METODOLOGIA</w:t>
      </w:r>
    </w:p>
    <w:p w14:paraId="5BA1AEE2" w14:textId="77777777" w:rsidR="007A6F41" w:rsidRDefault="007A6F41" w:rsidP="00364206">
      <w:pPr>
        <w:spacing w:line="480" w:lineRule="auto"/>
      </w:pPr>
    </w:p>
    <w:p w14:paraId="74DCD0E9" w14:textId="3173DBFE" w:rsidR="009C49D2" w:rsidRPr="00045F9B" w:rsidRDefault="00E54FDE" w:rsidP="00364206">
      <w:pPr>
        <w:spacing w:line="480" w:lineRule="auto"/>
        <w:ind w:firstLine="851"/>
      </w:pPr>
      <w:r w:rsidRPr="00045F9B">
        <w:t>Trata-se de um estudo transversal, retrospectivo e quantitativo</w:t>
      </w:r>
      <w:r>
        <w:t xml:space="preserve">, </w:t>
      </w:r>
      <w:r w:rsidR="00094B85">
        <w:t xml:space="preserve">realizado em conformidade com a Resolução 466/12 do Conselho Nacional de Saúde (CNS) do Brasil, sendo aprovado pelo Comitê de Ética em Pesquisa da Pontifícia Universidade Católica de Goiás (PUC Goiás), sob protocolo de </w:t>
      </w:r>
      <w:r w:rsidR="00094B85" w:rsidRPr="00045F9B">
        <w:t xml:space="preserve">aprovação </w:t>
      </w:r>
      <w:r w:rsidR="00EF359A" w:rsidRPr="00045F9B">
        <w:t>2.604.950.</w:t>
      </w:r>
      <w:r w:rsidR="00094B85" w:rsidRPr="00045F9B">
        <w:rPr>
          <w:color w:val="FF0000"/>
        </w:rPr>
        <w:t xml:space="preserve"> </w:t>
      </w:r>
    </w:p>
    <w:p w14:paraId="56476AE3" w14:textId="2C3FA9AC" w:rsidR="009C49D2" w:rsidRDefault="00094B85" w:rsidP="00364206">
      <w:pPr>
        <w:spacing w:line="480" w:lineRule="auto"/>
        <w:ind w:firstLine="708"/>
      </w:pPr>
      <w:r w:rsidRPr="00045F9B">
        <w:t xml:space="preserve">A amostra foi composta por </w:t>
      </w:r>
      <w:r w:rsidR="00EF359A" w:rsidRPr="00045F9B">
        <w:t xml:space="preserve">36 </w:t>
      </w:r>
      <w:r w:rsidRPr="00045F9B">
        <w:t>prontuário</w:t>
      </w:r>
      <w:r w:rsidR="00EF359A" w:rsidRPr="00045F9B">
        <w:t xml:space="preserve">s de pacientes que realizaram a cirurgia </w:t>
      </w:r>
      <w:r w:rsidR="00E54FDE">
        <w:t xml:space="preserve">de julho de 2018 a julho de 2021 num hospital particular de referência </w:t>
      </w:r>
      <w:r w:rsidR="00EF359A" w:rsidRPr="00045F9B">
        <w:t>da cidade de Goiânia</w:t>
      </w:r>
      <w:r w:rsidR="00E54FDE">
        <w:t>/GO</w:t>
      </w:r>
      <w:r w:rsidRPr="00045F9B">
        <w:t>. Os critérios de inclusão da pesquisa foram: prontuários de pacientes de ambos os sexos sem limite de idade, independentemente</w:t>
      </w:r>
      <w:r>
        <w:t xml:space="preserve"> da etiologia da escoliose. Os critérios de exclusão foram: prontuários ilegíveis e que não apresentavam todas as informações necessárias para a pesquisa.</w:t>
      </w:r>
    </w:p>
    <w:p w14:paraId="0CDC6434" w14:textId="73A4C616" w:rsidR="009C49D2" w:rsidRDefault="00094B85" w:rsidP="00364206">
      <w:pPr>
        <w:spacing w:line="480" w:lineRule="auto"/>
        <w:ind w:right="96" w:firstLine="708"/>
      </w:pPr>
      <w:bookmarkStart w:id="2" w:name="_1fob9te" w:colFirst="0" w:colLast="0"/>
      <w:bookmarkEnd w:id="2"/>
      <w:r>
        <w:t xml:space="preserve">A coleta de dados foi realizada </w:t>
      </w:r>
      <w:r>
        <w:rPr>
          <w:i/>
        </w:rPr>
        <w:t>in loco</w:t>
      </w:r>
      <w:r>
        <w:t xml:space="preserve"> com o </w:t>
      </w:r>
      <w:r w:rsidR="00EF359A">
        <w:t>preenchimento</w:t>
      </w:r>
      <w:r>
        <w:t xml:space="preserve"> de uma Ficha de Coleta de Dados dos Prontuários elaborada no Excel, desenvolvida pelos pesquisadores deste estudo, e foram consideradas as seguintes variáveis: data da cirurgia, </w:t>
      </w:r>
      <w:r w:rsidR="00284110">
        <w:t>iniciais</w:t>
      </w:r>
      <w:r>
        <w:t xml:space="preserve"> do paciente, cidade onde reside, sexo, idade, peso, altura, idade quando ocorreu o diagnóstico, prática de atividade </w:t>
      </w:r>
      <w:r>
        <w:lastRenderedPageBreak/>
        <w:t>física, realização de tratamento fisioterapêutico, frequência escolar, doença pré-existente, causa da escoliose, queixa de dores, uso de colete, modelo de colete utilizado, data da primeira consulta com o cirurgião, Risser, ângulo de Coob pré</w:t>
      </w:r>
      <w:r w:rsidR="004F2497">
        <w:t>-</w:t>
      </w:r>
      <w:r>
        <w:t>cirúrgico</w:t>
      </w:r>
      <w:r w:rsidR="00E54FDE">
        <w:t xml:space="preserve"> </w:t>
      </w:r>
      <w:r>
        <w:t>e principal motivo da indicação cirúrgica.</w:t>
      </w:r>
    </w:p>
    <w:p w14:paraId="160FB49F" w14:textId="36E60ACF" w:rsidR="00EF359A" w:rsidRPr="00045F9B" w:rsidRDefault="00EF359A" w:rsidP="00364206">
      <w:pPr>
        <w:spacing w:line="480" w:lineRule="auto"/>
        <w:ind w:right="96" w:firstLine="708"/>
      </w:pPr>
      <w:r w:rsidRPr="00045F9B">
        <w:t xml:space="preserve">Os dados foram analisados utilizando o </w:t>
      </w:r>
      <w:r w:rsidRPr="00045F9B">
        <w:rPr>
          <w:i/>
          <w:iCs/>
        </w:rPr>
        <w:t>Statistical Package for Social Science</w:t>
      </w:r>
      <w:r w:rsidRPr="00045F9B">
        <w:t xml:space="preserve"> (SPSS), versão 26.0, adotando-se nível de significância de 5% (p&lt;0,05). A caracterização do perfil da amostra foi realizada por meio de frequência absoluta, relativa, média, desvio padrão, mediana, mínimo e máximo. A normalidade dos dados foi verificada utilizando o teste de Shapiro-Wilk. A associação das reclamações pós cirurgia com a causa da escoliose foi realizada aplicando-se o teste do Qui-quadrado. A matriz de correlação de Spearman foi realizada a fim de se avaliar a relação entre todas as variáveis exploratórias contínuas do estudo. </w:t>
      </w:r>
    </w:p>
    <w:p w14:paraId="6875426E" w14:textId="4E0D0E24" w:rsidR="009C49D2" w:rsidRDefault="009C49D2" w:rsidP="00364206">
      <w:pPr>
        <w:spacing w:line="480" w:lineRule="auto"/>
        <w:rPr>
          <w:b/>
        </w:rPr>
      </w:pPr>
    </w:p>
    <w:p w14:paraId="246CEF70" w14:textId="77777777" w:rsidR="009C49D2" w:rsidRDefault="00094B85" w:rsidP="00364206">
      <w:pPr>
        <w:spacing w:line="480" w:lineRule="auto"/>
        <w:rPr>
          <w:b/>
        </w:rPr>
      </w:pPr>
      <w:r>
        <w:rPr>
          <w:b/>
        </w:rPr>
        <w:t>RESULTADOS</w:t>
      </w:r>
    </w:p>
    <w:p w14:paraId="022A663F" w14:textId="77777777" w:rsidR="009C49D2" w:rsidRDefault="009C49D2" w:rsidP="00364206">
      <w:pPr>
        <w:spacing w:line="480" w:lineRule="auto"/>
        <w:rPr>
          <w:b/>
        </w:rPr>
      </w:pPr>
    </w:p>
    <w:p w14:paraId="552EDBB4" w14:textId="49BD98F5" w:rsidR="00D57B1C" w:rsidRDefault="00094B85" w:rsidP="00364206">
      <w:pPr>
        <w:spacing w:line="480" w:lineRule="auto"/>
        <w:ind w:firstLine="708"/>
      </w:pPr>
      <w:r w:rsidRPr="00881CFA">
        <w:t xml:space="preserve">A </w:t>
      </w:r>
      <w:r w:rsidR="00DA4BB9" w:rsidRPr="00881CFA">
        <w:t>maioria dos pacientes submetidos a cirurgia de correção de escoliose fo</w:t>
      </w:r>
      <w:r w:rsidR="007A6F41">
        <w:t>i</w:t>
      </w:r>
      <w:r w:rsidR="00DA4BB9" w:rsidRPr="00881CFA">
        <w:t xml:space="preserve"> do sexo feminino 28 (77,8%). A </w:t>
      </w:r>
      <w:r w:rsidRPr="00881CFA">
        <w:t>média de idade</w:t>
      </w:r>
      <w:r w:rsidR="00DA4BB9" w:rsidRPr="00881CFA">
        <w:t xml:space="preserve"> </w:t>
      </w:r>
      <w:r w:rsidRPr="00881CFA">
        <w:t xml:space="preserve">foi de </w:t>
      </w:r>
      <w:r w:rsidR="00DA4BB9" w:rsidRPr="00881CFA">
        <w:t>12,53</w:t>
      </w:r>
      <w:r w:rsidRPr="00881CFA">
        <w:rPr>
          <w:color w:val="000000"/>
        </w:rPr>
        <w:t xml:space="preserve"> anos</w:t>
      </w:r>
      <w:r w:rsidRPr="00881CFA">
        <w:t xml:space="preserve"> (±</w:t>
      </w:r>
      <w:r w:rsidR="00DA4BB9" w:rsidRPr="00881CFA">
        <w:t>2,81</w:t>
      </w:r>
      <w:r w:rsidRPr="00881CFA">
        <w:t>)</w:t>
      </w:r>
      <w:r w:rsidR="007958AB" w:rsidRPr="00881CFA">
        <w:t xml:space="preserve">. Apesar do </w:t>
      </w:r>
      <w:r w:rsidR="004E624E">
        <w:t>hospi</w:t>
      </w:r>
      <w:r w:rsidR="007958AB" w:rsidRPr="00881CFA">
        <w:t>tal</w:t>
      </w:r>
      <w:r w:rsidR="004E624E">
        <w:t xml:space="preserve"> sediador</w:t>
      </w:r>
      <w:r w:rsidR="007958AB" w:rsidRPr="00881CFA">
        <w:t xml:space="preserve"> estar localizado na cidade de Goiânia</w:t>
      </w:r>
      <w:r w:rsidR="00785585">
        <w:t>,</w:t>
      </w:r>
      <w:r w:rsidR="007958AB" w:rsidRPr="00881CFA">
        <w:t xml:space="preserve"> 21 (58,3%) pacientes eram de outras cidades.</w:t>
      </w:r>
      <w:r w:rsidR="00B3651B" w:rsidRPr="00881CFA">
        <w:t xml:space="preserve"> </w:t>
      </w:r>
      <w:r w:rsidR="00F43083" w:rsidRPr="00881CFA">
        <w:t xml:space="preserve">A </w:t>
      </w:r>
      <w:r w:rsidR="00D57B1C" w:rsidRPr="00881CFA">
        <w:t>prática</w:t>
      </w:r>
      <w:r w:rsidR="00F43083" w:rsidRPr="00881CFA">
        <w:t xml:space="preserve"> de atividade física foi identificada apenas em 7 (19,4%)</w:t>
      </w:r>
      <w:r w:rsidR="00D57B1C" w:rsidRPr="00881CFA">
        <w:t xml:space="preserve"> pacientes</w:t>
      </w:r>
      <w:r w:rsidR="00F43083" w:rsidRPr="00881CFA">
        <w:t xml:space="preserve">, no entanto, 26 (72,2%) frequentavam a escola. </w:t>
      </w:r>
      <w:r w:rsidR="00B3651B" w:rsidRPr="00881CFA">
        <w:t xml:space="preserve">Não foi possível identificar o estado nutricional </w:t>
      </w:r>
      <w:r w:rsidR="00D57B1C" w:rsidRPr="00881CFA">
        <w:t xml:space="preserve">de 14 (38,9) pacientes por não conter informações </w:t>
      </w:r>
      <w:r w:rsidR="004F6FC7">
        <w:t>antropométricas</w:t>
      </w:r>
      <w:r w:rsidR="00D57B1C" w:rsidRPr="00881CFA">
        <w:t xml:space="preserve">. Dentre os pacientes com estado nutricional verificado, 14 (64%) eram eutróficos, 5 (23%) estavam com sobrepeso e 3 (14%) apresentavam obesidade. O estado nutricional foi classificado com o valor do percentil do Índice de </w:t>
      </w:r>
      <w:r w:rsidR="006802D7" w:rsidRPr="00881CFA">
        <w:t>M</w:t>
      </w:r>
      <w:r w:rsidR="00D57B1C" w:rsidRPr="00881CFA">
        <w:t xml:space="preserve">assa Corporal (IMC) recomendado pela Organização Mundial da </w:t>
      </w:r>
      <w:r w:rsidR="00B810E5">
        <w:t>S</w:t>
      </w:r>
      <w:r w:rsidR="00D57B1C" w:rsidRPr="00881CFA">
        <w:t>aúde (OMS)</w:t>
      </w:r>
      <w:r w:rsidR="004E624E">
        <w:t xml:space="preserve"> (Tabela 1)</w:t>
      </w:r>
      <w:r w:rsidR="00D57B1C" w:rsidRPr="00881CFA">
        <w:t>.</w:t>
      </w:r>
    </w:p>
    <w:p w14:paraId="1C1CA7D5" w14:textId="45B43F74" w:rsidR="00E938F2" w:rsidRDefault="00E938F2" w:rsidP="00364206">
      <w:pPr>
        <w:spacing w:line="480" w:lineRule="auto"/>
        <w:ind w:firstLine="708"/>
      </w:pPr>
    </w:p>
    <w:p w14:paraId="2EF31431" w14:textId="77777777" w:rsidR="00E375D9" w:rsidRPr="00881CFA" w:rsidRDefault="00E375D9" w:rsidP="00364206">
      <w:pPr>
        <w:spacing w:line="480" w:lineRule="auto"/>
        <w:ind w:firstLine="708"/>
      </w:pPr>
    </w:p>
    <w:p w14:paraId="42E59B28" w14:textId="0D5124C3" w:rsidR="00635E4C" w:rsidRPr="00635E4C" w:rsidRDefault="00635E4C" w:rsidP="00655314">
      <w:pPr>
        <w:rPr>
          <w:sz w:val="20"/>
          <w:szCs w:val="20"/>
        </w:rPr>
      </w:pPr>
      <w:r w:rsidRPr="00635E4C">
        <w:rPr>
          <w:sz w:val="20"/>
          <w:szCs w:val="20"/>
        </w:rPr>
        <w:lastRenderedPageBreak/>
        <w:t>Tabela 1. Perfil antropométrico e sociodemográfico dos participantes</w:t>
      </w:r>
      <w:r w:rsidR="00230D8A">
        <w:rPr>
          <w:sz w:val="20"/>
          <w:szCs w:val="20"/>
        </w:rPr>
        <w:t xml:space="preserve"> </w:t>
      </w:r>
      <w:r w:rsidR="00230D8A" w:rsidRPr="008D1430">
        <w:rPr>
          <w:color w:val="000000"/>
          <w:sz w:val="20"/>
          <w:szCs w:val="20"/>
        </w:rPr>
        <w:t>(n = 36)</w:t>
      </w:r>
      <w:r w:rsidRPr="00635E4C">
        <w:rPr>
          <w:sz w:val="20"/>
          <w:szCs w:val="20"/>
        </w:rPr>
        <w:t>. Goiânia, 2021</w:t>
      </w:r>
      <w:r w:rsidR="00230D8A">
        <w:rPr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1526"/>
        <w:gridCol w:w="1446"/>
        <w:gridCol w:w="2792"/>
      </w:tblGrid>
      <w:tr w:rsidR="00635E4C" w:rsidRPr="00635E4C" w14:paraId="1B8C5C63" w14:textId="77777777" w:rsidTr="003C30BE">
        <w:trPr>
          <w:trHeight w:val="270"/>
        </w:trPr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4120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964A1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65EF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Média ± DP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357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Mediana (Mínimo - Máximo)</w:t>
            </w:r>
          </w:p>
        </w:tc>
      </w:tr>
      <w:tr w:rsidR="00635E4C" w:rsidRPr="00635E4C" w14:paraId="0E9A00BB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131C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Idade (anos)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0E82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7C7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12,53 ± 2,81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1EEC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13,0 (3,0 - 17,0)</w:t>
            </w:r>
          </w:p>
        </w:tc>
      </w:tr>
      <w:tr w:rsidR="00635E4C" w:rsidRPr="00635E4C" w14:paraId="1AE0AB1E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B3DD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Idade de diagnóstico (anos)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0C6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0968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11,30 ± 2,85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B3A5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12,0 (3,0 - 15,0)</w:t>
            </w:r>
          </w:p>
        </w:tc>
      </w:tr>
      <w:tr w:rsidR="00635E4C" w:rsidRPr="00635E4C" w14:paraId="53FB19C4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6023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Peso (quilos)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E81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CDB6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45,94 ± 17,12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8A6C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46,0 (13,0 - 94,0)</w:t>
            </w:r>
          </w:p>
        </w:tc>
      </w:tr>
      <w:tr w:rsidR="00635E4C" w:rsidRPr="00635E4C" w14:paraId="56286A35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4772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Altura (metros)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D90D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8C22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1,55 ± 0,15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7F8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1,6 (1,2 - 1,7)</w:t>
            </w:r>
          </w:p>
        </w:tc>
      </w:tr>
      <w:tr w:rsidR="00635E4C" w:rsidRPr="00635E4C" w14:paraId="081E8595" w14:textId="77777777" w:rsidTr="003C30BE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497F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IMC (kg/m2)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699A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F1F7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22,08 ± 4,22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7356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21,2 (17,1 - 32,5)</w:t>
            </w:r>
          </w:p>
        </w:tc>
      </w:tr>
      <w:tr w:rsidR="00635E4C" w:rsidRPr="00635E4C" w14:paraId="0DDEE2A7" w14:textId="77777777" w:rsidTr="003C30BE">
        <w:trPr>
          <w:trHeight w:val="13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68B8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082D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7C10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6A3A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</w:tr>
      <w:tr w:rsidR="00635E4C" w:rsidRPr="00635E4C" w14:paraId="70689D7A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E142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Cidade de residência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6A7C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D1CB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1BD0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</w:tr>
      <w:tr w:rsidR="00635E4C" w:rsidRPr="00635E4C" w14:paraId="45DB7B3D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43E2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Goiânia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3681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15 (41,7)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C10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6FF6E23D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A34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FB7C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21 (58,3)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9C17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0E43D82B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2DBA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243F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391D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</w:tr>
      <w:tr w:rsidR="00635E4C" w:rsidRPr="00635E4C" w14:paraId="72510C2A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99CC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Feminino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1F72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28 (77,8)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2750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5EF478BB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9AE0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4157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8 (22,2)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88C4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53B29928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7A3E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Frequentava a escola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9456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6BBB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</w:tr>
      <w:tr w:rsidR="00635E4C" w:rsidRPr="00635E4C" w14:paraId="2C5D6543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8487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DF38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26 (72,2)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5FAE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7658DF2C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8705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8FD2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10 (27,8)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6A8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5B29C57E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9A83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Prática de atividade física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736C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DC4A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</w:tr>
      <w:tr w:rsidR="00635E4C" w:rsidRPr="00635E4C" w14:paraId="2A2E0437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5EF8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3506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29 (80,6)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F46E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076C4AC3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8D51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4660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  <w:r w:rsidRPr="00635E4C">
              <w:rPr>
                <w:sz w:val="20"/>
                <w:szCs w:val="20"/>
              </w:rPr>
              <w:t>7 (19,4)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A492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3B8EF618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C685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E4C">
              <w:rPr>
                <w:b/>
                <w:bCs/>
                <w:color w:val="000000"/>
                <w:sz w:val="20"/>
                <w:szCs w:val="20"/>
              </w:rPr>
              <w:t>Estado Nutricional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D88D" w14:textId="77777777" w:rsidR="00635E4C" w:rsidRPr="00635E4C" w:rsidRDefault="00635E4C" w:rsidP="003C3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52D7" w14:textId="77777777" w:rsidR="00635E4C" w:rsidRPr="00635E4C" w:rsidRDefault="00635E4C" w:rsidP="003C30BE">
            <w:pPr>
              <w:jc w:val="center"/>
              <w:rPr>
                <w:sz w:val="20"/>
                <w:szCs w:val="20"/>
              </w:rPr>
            </w:pPr>
          </w:p>
        </w:tc>
      </w:tr>
      <w:tr w:rsidR="00635E4C" w:rsidRPr="00635E4C" w14:paraId="6AFF98C9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D77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Eutrofia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43B9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14 (38,9)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EE3E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67517EC3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562C" w14:textId="5C016F98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Sobrepeso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B943" w14:textId="4CFA6760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 xml:space="preserve">5 (13,9) 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3307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4F208784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FC58" w14:textId="3E22FDF3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 xml:space="preserve">Obesidade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9F54" w14:textId="28F3AE20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3 (8,3)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0773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60DD2D13" w14:textId="77777777" w:rsidTr="003C30BE">
        <w:trPr>
          <w:trHeight w:val="2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AA65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BD8F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14 (38,9)</w:t>
            </w:r>
          </w:p>
        </w:tc>
        <w:tc>
          <w:tcPr>
            <w:tcW w:w="2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DAC2" w14:textId="77777777" w:rsidR="00635E4C" w:rsidRPr="00635E4C" w:rsidRDefault="00635E4C" w:rsidP="003C30BE">
            <w:pPr>
              <w:jc w:val="center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E4C" w:rsidRPr="00635E4C" w14:paraId="3271A3EF" w14:textId="77777777" w:rsidTr="003C30BE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219F" w14:textId="77777777" w:rsidR="00635E4C" w:rsidRPr="00635E4C" w:rsidRDefault="00635E4C" w:rsidP="003C30BE">
            <w:pPr>
              <w:jc w:val="left"/>
              <w:rPr>
                <w:color w:val="000000"/>
                <w:sz w:val="20"/>
                <w:szCs w:val="20"/>
              </w:rPr>
            </w:pPr>
            <w:r w:rsidRPr="00635E4C">
              <w:rPr>
                <w:color w:val="000000"/>
                <w:sz w:val="20"/>
                <w:szCs w:val="20"/>
              </w:rPr>
              <w:t>n = frequência absoluta; % = frequência relativa; DP = desvio padrão</w:t>
            </w:r>
          </w:p>
        </w:tc>
      </w:tr>
    </w:tbl>
    <w:p w14:paraId="519FD372" w14:textId="77777777" w:rsidR="00635E4C" w:rsidRDefault="00635E4C" w:rsidP="00364206">
      <w:pPr>
        <w:spacing w:line="480" w:lineRule="auto"/>
        <w:ind w:firstLine="708"/>
      </w:pPr>
    </w:p>
    <w:p w14:paraId="4D33E32D" w14:textId="38F92C20" w:rsidR="004D444F" w:rsidRDefault="00094B85" w:rsidP="00364206">
      <w:pPr>
        <w:spacing w:line="480" w:lineRule="auto"/>
        <w:ind w:firstLine="708"/>
      </w:pPr>
      <w:r w:rsidRPr="00881CFA">
        <w:t xml:space="preserve">A Tabela 2 </w:t>
      </w:r>
      <w:r w:rsidR="00CE513F" w:rsidRPr="00881CFA">
        <w:t>apresenta</w:t>
      </w:r>
      <w:r w:rsidR="008F1CC3" w:rsidRPr="00881CFA">
        <w:t xml:space="preserve"> o perfil clínico dos pacientes, com destaque para </w:t>
      </w:r>
      <w:r w:rsidR="00C1793E" w:rsidRPr="00881CFA">
        <w:t xml:space="preserve">a não realização de tratamento fisioterapêutico </w:t>
      </w:r>
      <w:r w:rsidR="00257C78" w:rsidRPr="00881CFA">
        <w:t>por</w:t>
      </w:r>
      <w:r w:rsidR="00C1793E" w:rsidRPr="00881CFA">
        <w:t xml:space="preserve"> 24 (66,7%) </w:t>
      </w:r>
      <w:r w:rsidR="00257C78" w:rsidRPr="00881CFA">
        <w:t>pacientes</w:t>
      </w:r>
      <w:r w:rsidR="00D849CD" w:rsidRPr="00881CFA">
        <w:t xml:space="preserve"> e apenas 5 fizeram uso de colete </w:t>
      </w:r>
      <w:r w:rsidR="00D849CD" w:rsidRPr="00B80201">
        <w:t>postural</w:t>
      </w:r>
      <w:r w:rsidR="00C1793E" w:rsidRPr="00B80201">
        <w:t xml:space="preserve">. A </w:t>
      </w:r>
      <w:r w:rsidR="007E3A76" w:rsidRPr="00B80201">
        <w:t xml:space="preserve">escoliose idiopática do adolescente </w:t>
      </w:r>
      <w:r w:rsidR="00CA374A" w:rsidRPr="00B80201">
        <w:t>(</w:t>
      </w:r>
      <w:r w:rsidR="00C1793E" w:rsidRPr="00B80201">
        <w:t>EIA</w:t>
      </w:r>
      <w:r w:rsidR="00CA374A" w:rsidRPr="00B80201">
        <w:t>)</w:t>
      </w:r>
      <w:r w:rsidR="00C1793E" w:rsidRPr="00B80201">
        <w:t xml:space="preserve"> </w:t>
      </w:r>
      <w:r w:rsidR="007E3A76">
        <w:t>foi</w:t>
      </w:r>
      <w:r w:rsidR="00257C78" w:rsidRPr="00B80201">
        <w:t xml:space="preserve"> a mais</w:t>
      </w:r>
      <w:r w:rsidR="00257C78" w:rsidRPr="00881CFA">
        <w:t xml:space="preserve"> comum, presente em </w:t>
      </w:r>
      <w:r w:rsidR="002311C4" w:rsidRPr="00881CFA">
        <w:t>22 (</w:t>
      </w:r>
      <w:r w:rsidR="00257C78" w:rsidRPr="00881CFA">
        <w:t>61,1%</w:t>
      </w:r>
      <w:r w:rsidR="002311C4" w:rsidRPr="00881CFA">
        <w:t>)</w:t>
      </w:r>
      <w:r w:rsidR="00257C78" w:rsidRPr="00881CFA">
        <w:t xml:space="preserve"> casos, seguida pela </w:t>
      </w:r>
      <w:r w:rsidR="004E624E">
        <w:t>n</w:t>
      </w:r>
      <w:r w:rsidR="00257C78" w:rsidRPr="00881CFA">
        <w:t xml:space="preserve">euromuscular </w:t>
      </w:r>
      <w:r w:rsidR="00B556B9" w:rsidRPr="00881CFA">
        <w:t>10 (</w:t>
      </w:r>
      <w:r w:rsidR="00257C78" w:rsidRPr="00881CFA">
        <w:t>27,8%</w:t>
      </w:r>
      <w:r w:rsidR="00B556B9" w:rsidRPr="00881CFA">
        <w:t xml:space="preserve">) </w:t>
      </w:r>
      <w:r w:rsidR="00257C78" w:rsidRPr="00881CFA">
        <w:t xml:space="preserve">e a </w:t>
      </w:r>
      <w:r w:rsidR="007E3A76">
        <w:t>c</w:t>
      </w:r>
      <w:r w:rsidR="00257C78" w:rsidRPr="00881CFA">
        <w:t>ongênita</w:t>
      </w:r>
      <w:r w:rsidR="002311C4" w:rsidRPr="00881CFA">
        <w:t xml:space="preserve"> </w:t>
      </w:r>
      <w:r w:rsidR="00B556B9" w:rsidRPr="00881CFA">
        <w:t>2 (</w:t>
      </w:r>
      <w:r w:rsidR="002311C4" w:rsidRPr="00881CFA">
        <w:t>5,6%).</w:t>
      </w:r>
      <w:r w:rsidR="00B556B9" w:rsidRPr="00881CFA">
        <w:t xml:space="preserve"> Dentre as 17 (47,2%) condições pré-existentes encontradas nos prontuários, a </w:t>
      </w:r>
      <w:r w:rsidR="007E3A76" w:rsidRPr="00881CFA">
        <w:t xml:space="preserve">paralisia cerebral </w:t>
      </w:r>
      <w:r w:rsidR="00B556B9" w:rsidRPr="00881CFA">
        <w:t>(PC) est</w:t>
      </w:r>
      <w:r w:rsidR="007E3A76">
        <w:t>eve</w:t>
      </w:r>
      <w:r w:rsidR="00B556B9" w:rsidRPr="00881CFA">
        <w:t xml:space="preserve"> presente em 5 (29,4%), sendo metade dos casos de </w:t>
      </w:r>
      <w:r w:rsidR="004E624E" w:rsidRPr="00881CFA">
        <w:t>escoliose neuromuscular</w:t>
      </w:r>
      <w:r w:rsidR="00B556B9" w:rsidRPr="00881CFA">
        <w:t>.</w:t>
      </w:r>
      <w:r w:rsidR="00514EFD" w:rsidRPr="00881CFA">
        <w:t xml:space="preserve"> Não </w:t>
      </w:r>
      <w:r w:rsidR="007E3A76">
        <w:t>foi</w:t>
      </w:r>
      <w:r w:rsidR="00514EFD" w:rsidRPr="00881CFA">
        <w:t xml:space="preserve"> comum a presença de dores em pacientes com escoliose, relatada apenas em 8 (22,2%) casos.</w:t>
      </w:r>
    </w:p>
    <w:p w14:paraId="7A0702C2" w14:textId="7A01C24C" w:rsidR="00364206" w:rsidRDefault="00364206" w:rsidP="00364206">
      <w:pPr>
        <w:spacing w:line="480" w:lineRule="auto"/>
        <w:ind w:firstLine="708"/>
      </w:pPr>
    </w:p>
    <w:p w14:paraId="3087E2E8" w14:textId="77777777" w:rsidR="00364206" w:rsidRDefault="00364206" w:rsidP="00364206">
      <w:pPr>
        <w:spacing w:line="480" w:lineRule="auto"/>
        <w:ind w:firstLine="708"/>
      </w:pPr>
    </w:p>
    <w:p w14:paraId="4E622634" w14:textId="6733AB92" w:rsidR="00364206" w:rsidRDefault="00364206" w:rsidP="00364206">
      <w:pPr>
        <w:spacing w:line="480" w:lineRule="auto"/>
        <w:ind w:firstLine="708"/>
      </w:pPr>
    </w:p>
    <w:p w14:paraId="4449FEF8" w14:textId="0A54896E" w:rsidR="00364206" w:rsidRDefault="00364206" w:rsidP="00364206">
      <w:pPr>
        <w:spacing w:line="480" w:lineRule="auto"/>
        <w:ind w:firstLine="708"/>
      </w:pPr>
    </w:p>
    <w:p w14:paraId="6828EA3F" w14:textId="77777777" w:rsidR="00655314" w:rsidRDefault="00655314" w:rsidP="00364206">
      <w:pPr>
        <w:spacing w:line="480" w:lineRule="auto"/>
        <w:ind w:firstLine="708"/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9"/>
        <w:gridCol w:w="458"/>
        <w:gridCol w:w="763"/>
      </w:tblGrid>
      <w:tr w:rsidR="00CA374A" w:rsidRPr="00CA374A" w14:paraId="41770832" w14:textId="77777777" w:rsidTr="00CA374A">
        <w:trPr>
          <w:trHeight w:val="270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F912" w14:textId="4177752C" w:rsidR="00CA374A" w:rsidRPr="00CA374A" w:rsidRDefault="00CA374A" w:rsidP="00655314">
            <w:pPr>
              <w:jc w:val="left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lastRenderedPageBreak/>
              <w:t>Tabela 2. Perfil clínico do</w:t>
            </w:r>
            <w:r w:rsidR="008D1430" w:rsidRPr="00B80201">
              <w:rPr>
                <w:color w:val="000000"/>
                <w:sz w:val="20"/>
                <w:szCs w:val="20"/>
              </w:rPr>
              <w:t>s</w:t>
            </w:r>
            <w:r w:rsidRPr="00CA374A">
              <w:rPr>
                <w:color w:val="000000"/>
                <w:sz w:val="20"/>
                <w:szCs w:val="20"/>
              </w:rPr>
              <w:t xml:space="preserve"> </w:t>
            </w:r>
            <w:r w:rsidR="008D1430" w:rsidRPr="00B80201">
              <w:rPr>
                <w:color w:val="000000"/>
                <w:sz w:val="20"/>
                <w:szCs w:val="20"/>
              </w:rPr>
              <w:t xml:space="preserve">pacientes </w:t>
            </w:r>
            <w:r w:rsidR="00B80201" w:rsidRPr="00B80201">
              <w:rPr>
                <w:color w:val="000000"/>
                <w:sz w:val="20"/>
                <w:szCs w:val="20"/>
              </w:rPr>
              <w:t xml:space="preserve">submetidos à cirurgia de correção de escoliose </w:t>
            </w:r>
            <w:r w:rsidR="00B80201" w:rsidRPr="00CA374A">
              <w:rPr>
                <w:color w:val="000000"/>
                <w:sz w:val="20"/>
                <w:szCs w:val="20"/>
              </w:rPr>
              <w:t>(n=36).</w:t>
            </w:r>
            <w:r w:rsidRPr="00CA374A">
              <w:rPr>
                <w:color w:val="000000"/>
                <w:sz w:val="20"/>
                <w:szCs w:val="20"/>
              </w:rPr>
              <w:t xml:space="preserve"> Goiânia, </w:t>
            </w:r>
            <w:r w:rsidR="00B80201" w:rsidRPr="00B80201">
              <w:rPr>
                <w:color w:val="000000"/>
                <w:sz w:val="20"/>
                <w:szCs w:val="20"/>
              </w:rPr>
              <w:t>2021.</w:t>
            </w:r>
            <w:r w:rsidRPr="00CA37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A374A" w:rsidRPr="00CA374A" w14:paraId="43D70478" w14:textId="77777777" w:rsidTr="00CA374A">
        <w:trPr>
          <w:trHeight w:val="270"/>
        </w:trPr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4C25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E316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78CF2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%</w:t>
            </w:r>
          </w:p>
        </w:tc>
      </w:tr>
      <w:tr w:rsidR="00CA374A" w:rsidRPr="00CA374A" w14:paraId="6C63CA6F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4071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74A">
              <w:rPr>
                <w:b/>
                <w:bCs/>
                <w:color w:val="000000"/>
                <w:sz w:val="20"/>
                <w:szCs w:val="20"/>
              </w:rPr>
              <w:t>Realização de tratamento fisioterapêutico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0885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8526" w14:textId="77777777" w:rsidR="00CA374A" w:rsidRPr="00CA374A" w:rsidRDefault="00CA374A" w:rsidP="00CA374A">
            <w:pPr>
              <w:jc w:val="center"/>
              <w:rPr>
                <w:sz w:val="20"/>
                <w:szCs w:val="20"/>
              </w:rPr>
            </w:pPr>
          </w:p>
        </w:tc>
      </w:tr>
      <w:tr w:rsidR="00CA374A" w:rsidRPr="00CA374A" w14:paraId="4E5BCFA1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F70A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181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316B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CA374A" w:rsidRPr="00CA374A" w14:paraId="6993AFAD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33C6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F61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BA6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A374A" w:rsidRPr="00CA374A" w14:paraId="07E1E8B0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7602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74A">
              <w:rPr>
                <w:b/>
                <w:bCs/>
                <w:color w:val="000000"/>
                <w:sz w:val="20"/>
                <w:szCs w:val="20"/>
              </w:rPr>
              <w:t>Uso de colete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15BA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42BB" w14:textId="77777777" w:rsidR="00CA374A" w:rsidRPr="00CA374A" w:rsidRDefault="00CA374A" w:rsidP="00CA374A">
            <w:pPr>
              <w:jc w:val="center"/>
              <w:rPr>
                <w:sz w:val="20"/>
                <w:szCs w:val="20"/>
              </w:rPr>
            </w:pPr>
          </w:p>
        </w:tc>
      </w:tr>
      <w:tr w:rsidR="00CA374A" w:rsidRPr="00CA374A" w14:paraId="47B5D9A5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5905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C75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589A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A374A" w:rsidRPr="00CA374A" w14:paraId="1F207D05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76A5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5A68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FFAE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CA374A" w:rsidRPr="00CA374A" w14:paraId="50697496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F53E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2FDB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A059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CA374A" w:rsidRPr="00CA374A" w14:paraId="79B5A427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7AE0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74A">
              <w:rPr>
                <w:b/>
                <w:bCs/>
                <w:color w:val="000000"/>
                <w:sz w:val="20"/>
                <w:szCs w:val="20"/>
              </w:rPr>
              <w:t>Modelo de colete utilizado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E227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D8E6" w14:textId="77777777" w:rsidR="00CA374A" w:rsidRPr="00CA374A" w:rsidRDefault="00CA374A" w:rsidP="00CA374A">
            <w:pPr>
              <w:jc w:val="center"/>
              <w:rPr>
                <w:sz w:val="20"/>
                <w:szCs w:val="20"/>
              </w:rPr>
            </w:pPr>
          </w:p>
        </w:tc>
      </w:tr>
      <w:tr w:rsidR="00CA374A" w:rsidRPr="00CA374A" w14:paraId="08E9A8A9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59A3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AA97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3DA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A374A" w:rsidRPr="00CA374A" w14:paraId="49234394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FF37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Milwaukee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8DB6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69D0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A374A" w:rsidRPr="00CA374A" w14:paraId="579409C5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57A2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DE03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CBB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A374A" w:rsidRPr="00CA374A" w14:paraId="49ABF346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AAEC" w14:textId="496F8550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74A">
              <w:rPr>
                <w:b/>
                <w:bCs/>
                <w:color w:val="000000"/>
                <w:sz w:val="20"/>
                <w:szCs w:val="20"/>
              </w:rPr>
              <w:t xml:space="preserve">Doença/condição </w:t>
            </w:r>
            <w:r w:rsidR="003F60EA" w:rsidRPr="00CA374A">
              <w:rPr>
                <w:b/>
                <w:bCs/>
                <w:color w:val="000000"/>
                <w:sz w:val="20"/>
                <w:szCs w:val="20"/>
              </w:rPr>
              <w:t>pré-existente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1035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6704" w14:textId="77777777" w:rsidR="00CA374A" w:rsidRPr="00CA374A" w:rsidRDefault="00CA374A" w:rsidP="00CA374A">
            <w:pPr>
              <w:jc w:val="center"/>
              <w:rPr>
                <w:sz w:val="20"/>
                <w:szCs w:val="20"/>
              </w:rPr>
            </w:pPr>
          </w:p>
        </w:tc>
      </w:tr>
      <w:tr w:rsidR="00CA374A" w:rsidRPr="00CA374A" w14:paraId="262CD687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90C8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2603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DBB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A374A" w:rsidRPr="00CA374A" w14:paraId="1B0FB547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B97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59E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C163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CA374A" w:rsidRPr="00CA374A" w14:paraId="43193B03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351E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8EF2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CBF5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CA374A" w:rsidRPr="00CA374A" w14:paraId="0B748577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C718" w14:textId="500A7623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74A">
              <w:rPr>
                <w:b/>
                <w:bCs/>
                <w:color w:val="000000"/>
                <w:sz w:val="20"/>
                <w:szCs w:val="20"/>
              </w:rPr>
              <w:t xml:space="preserve">Descrição da doença/condição </w:t>
            </w:r>
            <w:r w:rsidR="003F60EA" w:rsidRPr="00CA374A">
              <w:rPr>
                <w:b/>
                <w:bCs/>
                <w:color w:val="000000"/>
                <w:sz w:val="20"/>
                <w:szCs w:val="20"/>
              </w:rPr>
              <w:t>pré-existente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B7DD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7273" w14:textId="77777777" w:rsidR="00CA374A" w:rsidRPr="00CA374A" w:rsidRDefault="00CA374A" w:rsidP="00CA374A">
            <w:pPr>
              <w:jc w:val="center"/>
              <w:rPr>
                <w:sz w:val="20"/>
                <w:szCs w:val="20"/>
              </w:rPr>
            </w:pPr>
          </w:p>
        </w:tc>
      </w:tr>
      <w:tr w:rsidR="00CA374A" w:rsidRPr="00CA374A" w14:paraId="718AAF78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D7F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Paralisia cerebral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A967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998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CA374A" w:rsidRPr="00CA374A" w14:paraId="5A3B3AE4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84FA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Ansiedade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6ABA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772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CA374A" w:rsidRPr="00CA374A" w14:paraId="576F9E1E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2BC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AME tipo 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0B53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3D4E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CA374A" w:rsidRPr="00CA374A" w14:paraId="61304AD2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DB5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Alergia respiratória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38E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DA80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CA374A" w:rsidRPr="00CA374A" w14:paraId="3412561C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50E7" w14:textId="3CFB075A" w:rsidR="00CA374A" w:rsidRPr="00CA374A" w:rsidRDefault="003F60E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Síndrome</w:t>
            </w:r>
            <w:r w:rsidR="00CA374A" w:rsidRPr="00CA374A">
              <w:rPr>
                <w:color w:val="000000"/>
                <w:sz w:val="20"/>
                <w:szCs w:val="20"/>
              </w:rPr>
              <w:t xml:space="preserve"> nefrótica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7600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ADC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CA374A" w:rsidRPr="00CA374A" w14:paraId="4ABD0596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3255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Microcefalia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CFA2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2AC8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CA374A" w:rsidRPr="00CA374A" w14:paraId="4849B8F3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178B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Encefalopatia Crônica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1759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81BB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CA374A" w:rsidRPr="00CA374A" w14:paraId="09302E88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3032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Déficit de atenção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D9E9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A12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CA374A" w:rsidRPr="00CA374A" w14:paraId="5C05C555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CC15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74A">
              <w:rPr>
                <w:b/>
                <w:bCs/>
                <w:color w:val="000000"/>
                <w:sz w:val="20"/>
                <w:szCs w:val="20"/>
              </w:rPr>
              <w:t>Etiologia da escoliose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0FB3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5092" w14:textId="77777777" w:rsidR="00CA374A" w:rsidRPr="00CA374A" w:rsidRDefault="00CA374A" w:rsidP="00CA374A">
            <w:pPr>
              <w:jc w:val="center"/>
              <w:rPr>
                <w:sz w:val="20"/>
                <w:szCs w:val="20"/>
              </w:rPr>
            </w:pPr>
          </w:p>
        </w:tc>
      </w:tr>
      <w:tr w:rsidR="00CA374A" w:rsidRPr="00CA374A" w14:paraId="0FD13616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34FA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Idiopática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58A0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CAF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61,1</w:t>
            </w:r>
          </w:p>
        </w:tc>
      </w:tr>
      <w:tr w:rsidR="00CA374A" w:rsidRPr="00CA374A" w14:paraId="7088172A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AC4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Neuromuscular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FCA8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AE7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CA374A" w:rsidRPr="00CA374A" w14:paraId="25868A2D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989A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Congênita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069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977E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CA374A" w:rsidRPr="00CA374A" w14:paraId="77A2C89E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AC2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0D4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D303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CA374A" w:rsidRPr="00CA374A" w14:paraId="2A1BF2BA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4DE2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74A">
              <w:rPr>
                <w:b/>
                <w:bCs/>
                <w:color w:val="000000"/>
                <w:sz w:val="20"/>
                <w:szCs w:val="20"/>
              </w:rPr>
              <w:t>Presença de dores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B3F0" w14:textId="77777777" w:rsidR="00CA374A" w:rsidRPr="00CA374A" w:rsidRDefault="00CA374A" w:rsidP="00CA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DA0D" w14:textId="77777777" w:rsidR="00CA374A" w:rsidRPr="00CA374A" w:rsidRDefault="00CA374A" w:rsidP="00CA374A">
            <w:pPr>
              <w:jc w:val="center"/>
              <w:rPr>
                <w:sz w:val="20"/>
                <w:szCs w:val="20"/>
              </w:rPr>
            </w:pPr>
          </w:p>
        </w:tc>
      </w:tr>
      <w:tr w:rsidR="00CA374A" w:rsidRPr="00CA374A" w14:paraId="475625F5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806C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6136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346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CA374A" w:rsidRPr="00CA374A" w14:paraId="6F2988ED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1519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4BE8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C55D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CA374A" w:rsidRPr="00CA374A" w14:paraId="1A684F75" w14:textId="77777777" w:rsidTr="00CA374A">
        <w:trPr>
          <w:trHeight w:val="270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EDF3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54E1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E7CB" w14:textId="77777777" w:rsidR="00CA374A" w:rsidRPr="00CA374A" w:rsidRDefault="00CA374A" w:rsidP="00CA374A">
            <w:pPr>
              <w:jc w:val="center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CA374A" w:rsidRPr="00CA374A" w14:paraId="24BDDB9A" w14:textId="77777777" w:rsidTr="00CA374A">
        <w:trPr>
          <w:trHeight w:val="270"/>
        </w:trPr>
        <w:tc>
          <w:tcPr>
            <w:tcW w:w="8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06E2" w14:textId="77777777" w:rsidR="00CA374A" w:rsidRPr="00CA374A" w:rsidRDefault="00CA374A" w:rsidP="00CA374A">
            <w:pPr>
              <w:jc w:val="left"/>
              <w:rPr>
                <w:color w:val="000000"/>
                <w:sz w:val="20"/>
                <w:szCs w:val="20"/>
              </w:rPr>
            </w:pPr>
            <w:r w:rsidRPr="00CA374A">
              <w:rPr>
                <w:color w:val="000000"/>
                <w:sz w:val="20"/>
                <w:szCs w:val="20"/>
              </w:rPr>
              <w:t>n = frequência absoluta; % = frequência relativa; AME = Atrofia Muscular Espinhal</w:t>
            </w:r>
          </w:p>
        </w:tc>
      </w:tr>
    </w:tbl>
    <w:p w14:paraId="34602508" w14:textId="77777777" w:rsidR="00DA5F7B" w:rsidRDefault="00DA5F7B" w:rsidP="00364206">
      <w:pPr>
        <w:spacing w:line="480" w:lineRule="auto"/>
        <w:ind w:firstLine="708"/>
      </w:pPr>
    </w:p>
    <w:p w14:paraId="067F428F" w14:textId="1BE954A8" w:rsidR="00FE6104" w:rsidRDefault="004A1F62" w:rsidP="00364206">
      <w:pPr>
        <w:spacing w:line="480" w:lineRule="auto"/>
        <w:ind w:firstLine="708"/>
      </w:pPr>
      <w:r>
        <w:t xml:space="preserve">Na </w:t>
      </w:r>
      <w:r w:rsidR="00094B85">
        <w:t>Tabela 3</w:t>
      </w:r>
      <w:r w:rsidR="00D448C5">
        <w:t xml:space="preserve"> </w:t>
      </w:r>
      <w:r w:rsidR="00C0604F">
        <w:t>demonstra</w:t>
      </w:r>
      <w:r w:rsidR="004E624E">
        <w:t>-se</w:t>
      </w:r>
      <w:r w:rsidR="00C0604F">
        <w:t xml:space="preserve"> que 24 (66,7%) pacientes não estavam fazendo acompanhamento com o cirurgião</w:t>
      </w:r>
      <w:r w:rsidR="004E624E">
        <w:t xml:space="preserve"> ortopedista</w:t>
      </w:r>
      <w:r w:rsidR="00C0604F" w:rsidRPr="00B80201">
        <w:t>. O</w:t>
      </w:r>
      <w:r w:rsidR="00D448C5" w:rsidRPr="00B80201">
        <w:t xml:space="preserve"> ângulo de Coob médio</w:t>
      </w:r>
      <w:r w:rsidR="00C0604F" w:rsidRPr="00B80201">
        <w:t xml:space="preserve"> foi </w:t>
      </w:r>
      <w:r w:rsidR="00D448C5" w:rsidRPr="00B80201">
        <w:t>&gt; 50°, ou</w:t>
      </w:r>
      <w:r w:rsidR="00D448C5">
        <w:t xml:space="preserve"> seja, dentro do recomendado para o tratamento cirúrgico da escoliose</w:t>
      </w:r>
      <w:r w:rsidR="001D5891">
        <w:t>. A</w:t>
      </w:r>
      <w:r w:rsidR="00C0604F">
        <w:t>penas 2 (5,6%) pacientes relataram sentir dor ou ter dificuldade para respirar</w:t>
      </w:r>
      <w:r w:rsidR="001D5891">
        <w:t>, as demais indicações cirúrgicas estão relacionadas ao ângulo de Coob aumentado.</w:t>
      </w:r>
      <w:r w:rsidR="00D448C5">
        <w:t xml:space="preserve"> Apesar da pequena diferença, dentre as informações presentes, a curva C (simples) predomin</w:t>
      </w:r>
      <w:r w:rsidR="004E624E">
        <w:t>ou</w:t>
      </w:r>
      <w:r w:rsidR="00D448C5">
        <w:t xml:space="preserve"> (30,6%) em relação </w:t>
      </w:r>
      <w:r w:rsidR="004E624E">
        <w:t>à</w:t>
      </w:r>
      <w:r w:rsidR="00D448C5">
        <w:t xml:space="preserve"> curva S (dupla) </w:t>
      </w:r>
      <w:r w:rsidR="00D448C5">
        <w:lastRenderedPageBreak/>
        <w:t>(25%).</w:t>
      </w:r>
      <w:r w:rsidR="00EC256B">
        <w:t xml:space="preserve"> O Risser, importante para mensurar a </w:t>
      </w:r>
      <w:r w:rsidR="00881CFA">
        <w:t>maturidade óssea do paciente, não foi informado em 55,6% dos prontuários.</w:t>
      </w:r>
    </w:p>
    <w:p w14:paraId="61618313" w14:textId="77777777" w:rsidR="00230D8A" w:rsidRDefault="00230D8A" w:rsidP="00364206">
      <w:pPr>
        <w:spacing w:line="480" w:lineRule="auto"/>
        <w:ind w:firstLine="708"/>
      </w:pPr>
    </w:p>
    <w:tbl>
      <w:tblPr>
        <w:tblW w:w="9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941"/>
        <w:gridCol w:w="1408"/>
        <w:gridCol w:w="2974"/>
      </w:tblGrid>
      <w:tr w:rsidR="008D1430" w:rsidRPr="008D1430" w14:paraId="0C68C0A3" w14:textId="77777777" w:rsidTr="008D1430">
        <w:trPr>
          <w:trHeight w:val="270"/>
        </w:trPr>
        <w:tc>
          <w:tcPr>
            <w:tcW w:w="9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0189" w14:textId="01C7BE00" w:rsidR="008D1430" w:rsidRPr="008D1430" w:rsidRDefault="008D1430" w:rsidP="00655314">
            <w:pPr>
              <w:jc w:val="left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Tabela 3. Perfil radiográfico</w:t>
            </w:r>
            <w:r w:rsidR="006241F1" w:rsidRPr="005F4152">
              <w:rPr>
                <w:color w:val="000000"/>
                <w:sz w:val="20"/>
                <w:szCs w:val="20"/>
              </w:rPr>
              <w:t xml:space="preserve"> e pré-cirúrgico</w:t>
            </w:r>
            <w:r w:rsidRPr="008D1430">
              <w:rPr>
                <w:color w:val="000000"/>
                <w:sz w:val="20"/>
                <w:szCs w:val="20"/>
              </w:rPr>
              <w:t xml:space="preserve"> dos participantes</w:t>
            </w:r>
            <w:r w:rsidR="00230D8A">
              <w:rPr>
                <w:color w:val="000000"/>
                <w:sz w:val="20"/>
                <w:szCs w:val="20"/>
              </w:rPr>
              <w:t xml:space="preserve"> </w:t>
            </w:r>
            <w:r w:rsidR="00230D8A" w:rsidRPr="008D1430">
              <w:rPr>
                <w:color w:val="000000"/>
                <w:sz w:val="20"/>
                <w:szCs w:val="20"/>
              </w:rPr>
              <w:t>(n = 36)</w:t>
            </w:r>
            <w:r w:rsidR="006241F1" w:rsidRPr="005F4152">
              <w:rPr>
                <w:color w:val="000000"/>
                <w:sz w:val="20"/>
                <w:szCs w:val="20"/>
              </w:rPr>
              <w:t>.</w:t>
            </w:r>
            <w:r w:rsidRPr="008D1430">
              <w:rPr>
                <w:color w:val="000000"/>
                <w:sz w:val="20"/>
                <w:szCs w:val="20"/>
              </w:rPr>
              <w:t xml:space="preserve"> Goiânia, 2021.  </w:t>
            </w:r>
          </w:p>
        </w:tc>
      </w:tr>
      <w:tr w:rsidR="008D1430" w:rsidRPr="008D1430" w14:paraId="132009E7" w14:textId="77777777" w:rsidTr="008D1430">
        <w:trPr>
          <w:trHeight w:val="270"/>
        </w:trPr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D4DB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C8C68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4A20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Média ± DP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6705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Mediana (Mínimo - Máximo)</w:t>
            </w:r>
          </w:p>
        </w:tc>
      </w:tr>
      <w:tr w:rsidR="008D1430" w:rsidRPr="008D1430" w14:paraId="185297B0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9A6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b/>
                <w:bCs/>
                <w:color w:val="000000"/>
                <w:sz w:val="20"/>
                <w:szCs w:val="20"/>
              </w:rPr>
              <w:t>Realizava acompanhamento com cirurgião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3120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8113" w14:textId="77777777" w:rsidR="008D1430" w:rsidRPr="008D1430" w:rsidRDefault="008D1430" w:rsidP="008D1430">
            <w:pPr>
              <w:jc w:val="center"/>
              <w:rPr>
                <w:sz w:val="20"/>
                <w:szCs w:val="20"/>
              </w:rPr>
            </w:pPr>
          </w:p>
        </w:tc>
      </w:tr>
      <w:tr w:rsidR="008D1430" w:rsidRPr="008D1430" w14:paraId="18EA47EF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EFFD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8778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24 (66,7)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AFCF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2F0B086B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4F7C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3E53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12 (33,3)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B22B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5007FA93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C0D2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b/>
                <w:bCs/>
                <w:color w:val="000000"/>
                <w:sz w:val="20"/>
                <w:szCs w:val="20"/>
              </w:rPr>
              <w:t>Ângulo de Coob pré-cirurgia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0ADC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7A34" w14:textId="77777777" w:rsidR="008D1430" w:rsidRPr="008D1430" w:rsidRDefault="008D1430" w:rsidP="008D1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0663" w14:textId="77777777" w:rsidR="008D1430" w:rsidRPr="008D1430" w:rsidRDefault="008D1430" w:rsidP="008D1430">
            <w:pPr>
              <w:jc w:val="center"/>
              <w:rPr>
                <w:sz w:val="20"/>
                <w:szCs w:val="20"/>
              </w:rPr>
            </w:pPr>
          </w:p>
        </w:tc>
      </w:tr>
      <w:tr w:rsidR="008D1430" w:rsidRPr="008D1430" w14:paraId="6B90C828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C7EC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Curva 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7F80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3860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57,90 ± 20,99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A3C7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47,0 (38,0 - 105,0)</w:t>
            </w:r>
          </w:p>
        </w:tc>
      </w:tr>
      <w:tr w:rsidR="008D1430" w:rsidRPr="008D1430" w14:paraId="1331BD92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8F95" w14:textId="6D88C813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 xml:space="preserve">Curva S </w:t>
            </w:r>
            <w:r w:rsidR="001C240D">
              <w:rPr>
                <w:color w:val="000000"/>
                <w:sz w:val="20"/>
                <w:szCs w:val="20"/>
              </w:rPr>
              <w:t>–</w:t>
            </w:r>
            <w:r w:rsidRPr="008D1430">
              <w:rPr>
                <w:color w:val="000000"/>
                <w:sz w:val="20"/>
                <w:szCs w:val="20"/>
              </w:rPr>
              <w:t xml:space="preserve"> Torácica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1414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3202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53,22 ± 14,03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6265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53,0 (36,0 - 78,0)</w:t>
            </w:r>
          </w:p>
        </w:tc>
      </w:tr>
      <w:tr w:rsidR="008D1430" w:rsidRPr="008D1430" w14:paraId="19EB2EF3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4DB2" w14:textId="73455984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 xml:space="preserve">Curva S </w:t>
            </w:r>
            <w:r w:rsidR="001C240D">
              <w:rPr>
                <w:color w:val="000000"/>
                <w:sz w:val="20"/>
                <w:szCs w:val="20"/>
              </w:rPr>
              <w:t>–</w:t>
            </w:r>
            <w:r w:rsidRPr="008D1430">
              <w:rPr>
                <w:color w:val="000000"/>
                <w:sz w:val="20"/>
                <w:szCs w:val="20"/>
              </w:rPr>
              <w:t xml:space="preserve"> Lombar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A6B0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A60D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53,56 ± 16,21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FAB8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48,0 (37,0 - 90,0)</w:t>
            </w:r>
          </w:p>
        </w:tc>
      </w:tr>
      <w:tr w:rsidR="008D1430" w:rsidRPr="008D1430" w14:paraId="150D18F4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EC67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b/>
                <w:bCs/>
                <w:color w:val="000000"/>
                <w:sz w:val="20"/>
                <w:szCs w:val="20"/>
              </w:rPr>
              <w:t>Risser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1A3D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6283" w14:textId="77777777" w:rsidR="008D1430" w:rsidRPr="008D1430" w:rsidRDefault="008D1430" w:rsidP="008D1430">
            <w:pPr>
              <w:jc w:val="center"/>
              <w:rPr>
                <w:sz w:val="20"/>
                <w:szCs w:val="20"/>
              </w:rPr>
            </w:pPr>
          </w:p>
        </w:tc>
      </w:tr>
      <w:tr w:rsidR="008D1430" w:rsidRPr="008D1430" w14:paraId="7FE999D7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088E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071A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3 (8,3)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5047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61ECA8FE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DC72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753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4 (11,1)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80B0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48FA9882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F5EF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AD9C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2 (5,6)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2711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1E916FDE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8B31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BA14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2 (5,6)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84F5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28A91BB9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85A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8114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5 (13,9)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DB0C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212518C0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632B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5617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20 (55,6)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98BB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5E185137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36EC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b/>
                <w:bCs/>
                <w:color w:val="000000"/>
                <w:sz w:val="20"/>
                <w:szCs w:val="20"/>
              </w:rPr>
              <w:t>Tipo da curva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C5E9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751C" w14:textId="77777777" w:rsidR="008D1430" w:rsidRPr="008D1430" w:rsidRDefault="008D1430" w:rsidP="008D1430">
            <w:pPr>
              <w:jc w:val="center"/>
              <w:rPr>
                <w:sz w:val="20"/>
                <w:szCs w:val="20"/>
              </w:rPr>
            </w:pPr>
          </w:p>
        </w:tc>
      </w:tr>
      <w:tr w:rsidR="008D1430" w:rsidRPr="008D1430" w14:paraId="7BB193F5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A4F7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71F1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11 (30,6)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1F10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48328A92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149D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B98E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9 (25,0)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535A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31014CC1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EBF0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3B6B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16 (44,4)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3A8E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3A7C8068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428F" w14:textId="02E64BAD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430">
              <w:rPr>
                <w:b/>
                <w:bCs/>
                <w:color w:val="000000"/>
                <w:sz w:val="20"/>
                <w:szCs w:val="20"/>
              </w:rPr>
              <w:t xml:space="preserve">Principal motivo de indicação </w:t>
            </w:r>
            <w:r w:rsidR="001C240D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8D1430">
              <w:rPr>
                <w:b/>
                <w:bCs/>
                <w:color w:val="000000"/>
                <w:sz w:val="20"/>
                <w:szCs w:val="20"/>
              </w:rPr>
              <w:t>irúrgica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580" w14:textId="77777777" w:rsidR="008D1430" w:rsidRPr="008D1430" w:rsidRDefault="008D1430" w:rsidP="008D1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4944" w14:textId="77777777" w:rsidR="008D1430" w:rsidRPr="008D1430" w:rsidRDefault="008D1430" w:rsidP="008D1430">
            <w:pPr>
              <w:jc w:val="center"/>
              <w:rPr>
                <w:sz w:val="20"/>
                <w:szCs w:val="20"/>
              </w:rPr>
            </w:pPr>
          </w:p>
        </w:tc>
      </w:tr>
      <w:tr w:rsidR="008D1430" w:rsidRPr="008D1430" w14:paraId="01BC7BA5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F34A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Deformidade grave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521A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9 (25,0)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585C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55F677FA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2197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Ângulo de Coob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5D9F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4 (11,1)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7D58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69791EE5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97F2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Progressão rápida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0EDC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3 (8,3)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CFC9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0BB51679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1EF7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Dificuldade de Respirar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D987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1 (2,8)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C3D1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6CF5AEC2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E8DD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Dor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3602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1 (2,8)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CEC1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2D116069" w14:textId="77777777" w:rsidTr="008D1430">
        <w:trPr>
          <w:trHeight w:val="27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30DA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Não informado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F615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18 (50,0)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6A22" w14:textId="77777777" w:rsidR="008D1430" w:rsidRPr="008D1430" w:rsidRDefault="008D1430" w:rsidP="008D1430">
            <w:pPr>
              <w:jc w:val="center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D1430" w:rsidRPr="008D1430" w14:paraId="0842C137" w14:textId="77777777" w:rsidTr="008D1430">
        <w:trPr>
          <w:trHeight w:val="270"/>
        </w:trPr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6F9E" w14:textId="77777777" w:rsidR="008D1430" w:rsidRPr="008D1430" w:rsidRDefault="008D1430" w:rsidP="008D1430">
            <w:pPr>
              <w:jc w:val="left"/>
              <w:rPr>
                <w:color w:val="000000"/>
                <w:sz w:val="20"/>
                <w:szCs w:val="20"/>
              </w:rPr>
            </w:pPr>
            <w:r w:rsidRPr="008D1430">
              <w:rPr>
                <w:color w:val="000000"/>
                <w:sz w:val="20"/>
                <w:szCs w:val="20"/>
              </w:rPr>
              <w:t>n = frequência absoluta; % = frequência relativa; DP = desvio padrão</w:t>
            </w:r>
          </w:p>
        </w:tc>
      </w:tr>
    </w:tbl>
    <w:p w14:paraId="5BA97D52" w14:textId="7CFC0B2D" w:rsidR="009C49D2" w:rsidRDefault="009C49D2" w:rsidP="00364206">
      <w:pPr>
        <w:spacing w:line="480" w:lineRule="auto"/>
      </w:pPr>
    </w:p>
    <w:p w14:paraId="6C45C258" w14:textId="77777777" w:rsidR="00230D8A" w:rsidRPr="00EC256B" w:rsidRDefault="00230D8A" w:rsidP="00364206">
      <w:pPr>
        <w:spacing w:line="480" w:lineRule="auto"/>
      </w:pPr>
    </w:p>
    <w:p w14:paraId="414814E1" w14:textId="19A46D73" w:rsidR="00EC256B" w:rsidRDefault="00EC256B" w:rsidP="00364206">
      <w:pPr>
        <w:spacing w:line="480" w:lineRule="auto"/>
        <w:ind w:firstLine="708"/>
      </w:pPr>
      <w:r>
        <w:t xml:space="preserve">Não foi encontrada relação entre </w:t>
      </w:r>
      <w:r w:rsidR="00613E2C">
        <w:t xml:space="preserve">complicações </w:t>
      </w:r>
      <w:r>
        <w:t>pós-</w:t>
      </w:r>
      <w:r w:rsidR="00613E2C">
        <w:t>cirúrgicas</w:t>
      </w:r>
      <w:r>
        <w:t xml:space="preserve"> e a etiologia da escoliose</w:t>
      </w:r>
      <w:r w:rsidR="008D1430">
        <w:t xml:space="preserve"> </w:t>
      </w:r>
      <w:r w:rsidR="008D1430" w:rsidRPr="005F4152">
        <w:t>(p=0,97),</w:t>
      </w:r>
      <w:r w:rsidRPr="008D1430">
        <w:t xml:space="preserve"> </w:t>
      </w:r>
      <w:r>
        <w:t>conforme demonstra a T</w:t>
      </w:r>
      <w:r w:rsidR="00094B85">
        <w:t>abela 4</w:t>
      </w:r>
      <w:r>
        <w:t xml:space="preserve">. </w:t>
      </w:r>
    </w:p>
    <w:p w14:paraId="54078508" w14:textId="3F875CD9" w:rsidR="003923CD" w:rsidRDefault="003923CD" w:rsidP="00364206">
      <w:pPr>
        <w:spacing w:line="480" w:lineRule="auto"/>
        <w:ind w:firstLine="708"/>
      </w:pPr>
    </w:p>
    <w:p w14:paraId="4701BB9C" w14:textId="28873427" w:rsidR="003923CD" w:rsidRDefault="003923CD" w:rsidP="00364206">
      <w:pPr>
        <w:spacing w:line="480" w:lineRule="auto"/>
        <w:ind w:firstLine="708"/>
      </w:pPr>
    </w:p>
    <w:p w14:paraId="65E885E5" w14:textId="77777777" w:rsidR="003923CD" w:rsidRDefault="003923CD" w:rsidP="00364206">
      <w:pPr>
        <w:spacing w:line="480" w:lineRule="auto"/>
        <w:ind w:firstLine="708"/>
      </w:pPr>
    </w:p>
    <w:p w14:paraId="1457D288" w14:textId="77777777" w:rsidR="00230D8A" w:rsidRDefault="00230D8A" w:rsidP="00364206">
      <w:pPr>
        <w:spacing w:line="480" w:lineRule="auto"/>
        <w:ind w:firstLine="708"/>
        <w:rPr>
          <w:sz w:val="20"/>
          <w:szCs w:val="20"/>
        </w:rPr>
      </w:pPr>
    </w:p>
    <w:tbl>
      <w:tblPr>
        <w:tblW w:w="8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064"/>
        <w:gridCol w:w="1153"/>
        <w:gridCol w:w="1686"/>
        <w:gridCol w:w="1227"/>
        <w:gridCol w:w="607"/>
      </w:tblGrid>
      <w:tr w:rsidR="00EC256B" w:rsidRPr="00EC256B" w14:paraId="5AD973E8" w14:textId="77777777" w:rsidTr="00B413B1">
        <w:trPr>
          <w:trHeight w:val="330"/>
        </w:trPr>
        <w:tc>
          <w:tcPr>
            <w:tcW w:w="8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F5C" w14:textId="5463CBB2" w:rsidR="00EC256B" w:rsidRPr="00D17A66" w:rsidRDefault="00EC256B" w:rsidP="00EC256B">
            <w:pPr>
              <w:jc w:val="left"/>
              <w:rPr>
                <w:color w:val="000000"/>
                <w:sz w:val="20"/>
                <w:szCs w:val="20"/>
              </w:rPr>
            </w:pPr>
            <w:r w:rsidRPr="00D17A66">
              <w:rPr>
                <w:color w:val="000000"/>
                <w:sz w:val="20"/>
                <w:szCs w:val="20"/>
              </w:rPr>
              <w:lastRenderedPageBreak/>
              <w:t xml:space="preserve">Tabela 4. Resultado da </w:t>
            </w:r>
            <w:r w:rsidR="006241F1" w:rsidRPr="00D17A66">
              <w:rPr>
                <w:color w:val="000000"/>
                <w:sz w:val="20"/>
                <w:szCs w:val="20"/>
              </w:rPr>
              <w:t>correl</w:t>
            </w:r>
            <w:r w:rsidRPr="00D17A66">
              <w:rPr>
                <w:color w:val="000000"/>
                <w:sz w:val="20"/>
                <w:szCs w:val="20"/>
              </w:rPr>
              <w:t xml:space="preserve">ação de </w:t>
            </w:r>
            <w:r w:rsidR="009D1F51" w:rsidRPr="00D17A66">
              <w:rPr>
                <w:color w:val="000000"/>
                <w:sz w:val="20"/>
                <w:szCs w:val="20"/>
              </w:rPr>
              <w:t xml:space="preserve">complicações </w:t>
            </w:r>
            <w:r w:rsidRPr="00D17A66">
              <w:rPr>
                <w:color w:val="000000"/>
                <w:sz w:val="20"/>
                <w:szCs w:val="20"/>
              </w:rPr>
              <w:t>pós-</w:t>
            </w:r>
            <w:r w:rsidR="009D1F51" w:rsidRPr="00D17A66">
              <w:rPr>
                <w:color w:val="000000"/>
                <w:sz w:val="20"/>
                <w:szCs w:val="20"/>
              </w:rPr>
              <w:t xml:space="preserve">cirúrgicas </w:t>
            </w:r>
            <w:r w:rsidRPr="00D17A66">
              <w:rPr>
                <w:color w:val="000000"/>
                <w:sz w:val="20"/>
                <w:szCs w:val="20"/>
              </w:rPr>
              <w:t>com a etiologia da escoliose (n = 34).</w:t>
            </w:r>
            <w:r w:rsidR="006241F1" w:rsidRPr="00D17A66">
              <w:rPr>
                <w:color w:val="000000"/>
                <w:sz w:val="20"/>
                <w:szCs w:val="20"/>
              </w:rPr>
              <w:t xml:space="preserve"> Goiânia, 2021.</w:t>
            </w:r>
          </w:p>
        </w:tc>
      </w:tr>
      <w:tr w:rsidR="00EC256B" w:rsidRPr="00EC256B" w14:paraId="470E73E7" w14:textId="77777777" w:rsidTr="00B413B1">
        <w:trPr>
          <w:trHeight w:val="330"/>
        </w:trPr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0EB" w14:textId="77777777" w:rsidR="00EC256B" w:rsidRPr="00EC256B" w:rsidRDefault="00EC256B" w:rsidP="00EC25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5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97F4" w14:textId="0E882FF4" w:rsidR="00EC256B" w:rsidRPr="00D17A66" w:rsidRDefault="009D1F51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D17A66">
              <w:rPr>
                <w:color w:val="000000"/>
                <w:sz w:val="20"/>
                <w:szCs w:val="20"/>
              </w:rPr>
              <w:t xml:space="preserve">Complicações </w:t>
            </w:r>
            <w:r w:rsidR="00EC256B" w:rsidRPr="00D17A66">
              <w:rPr>
                <w:color w:val="000000"/>
                <w:sz w:val="20"/>
                <w:szCs w:val="20"/>
              </w:rPr>
              <w:t>pó</w:t>
            </w:r>
            <w:r w:rsidRPr="00D17A66">
              <w:rPr>
                <w:color w:val="000000"/>
                <w:sz w:val="20"/>
                <w:szCs w:val="20"/>
              </w:rPr>
              <w:t>s-</w:t>
            </w:r>
            <w:r w:rsidR="003923CD" w:rsidRPr="00D17A66">
              <w:rPr>
                <w:color w:val="000000"/>
                <w:sz w:val="20"/>
                <w:szCs w:val="20"/>
              </w:rPr>
              <w:t>cirúrgicas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384AA7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94A86F" w14:textId="77777777" w:rsidR="00EC256B" w:rsidRPr="00EC256B" w:rsidRDefault="00EC256B" w:rsidP="00EC256B">
            <w:pPr>
              <w:jc w:val="center"/>
              <w:rPr>
                <w:i/>
                <w:iCs/>
                <w:sz w:val="20"/>
                <w:szCs w:val="20"/>
              </w:rPr>
            </w:pPr>
            <w:r w:rsidRPr="00EC256B">
              <w:rPr>
                <w:i/>
                <w:iCs/>
                <w:sz w:val="20"/>
                <w:szCs w:val="20"/>
              </w:rPr>
              <w:t>p*</w:t>
            </w:r>
          </w:p>
        </w:tc>
      </w:tr>
      <w:tr w:rsidR="00EC256B" w:rsidRPr="00EC256B" w14:paraId="57A06689" w14:textId="77777777" w:rsidTr="00B413B1">
        <w:trPr>
          <w:trHeight w:val="330"/>
        </w:trPr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4CFF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9193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Dor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A46C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Infecção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48BEA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Sem queixas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B87130" w14:textId="77777777" w:rsidR="00EC256B" w:rsidRPr="00EC256B" w:rsidRDefault="00EC256B" w:rsidP="00EC256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B2ED5" w14:textId="77777777" w:rsidR="00EC256B" w:rsidRPr="00EC256B" w:rsidRDefault="00EC256B" w:rsidP="00EC256B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EC256B" w:rsidRPr="00EC256B" w14:paraId="373A2239" w14:textId="77777777" w:rsidTr="004E624E">
        <w:trPr>
          <w:trHeight w:val="330"/>
        </w:trPr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88B6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Etiologia da escoliose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7A05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EBBC" w14:textId="77777777" w:rsidR="00EC256B" w:rsidRPr="00EC256B" w:rsidRDefault="00EC256B" w:rsidP="00EC2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3D93" w14:textId="77777777" w:rsidR="00EC256B" w:rsidRPr="00EC256B" w:rsidRDefault="00EC256B" w:rsidP="00EC2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05AC" w14:textId="77777777" w:rsidR="00EC256B" w:rsidRPr="00EC256B" w:rsidRDefault="00EC256B" w:rsidP="00EC2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6616" w14:textId="77777777" w:rsidR="00EC256B" w:rsidRPr="00EC256B" w:rsidRDefault="00EC256B" w:rsidP="00EC256B">
            <w:pPr>
              <w:jc w:val="center"/>
              <w:rPr>
                <w:sz w:val="20"/>
                <w:szCs w:val="20"/>
              </w:rPr>
            </w:pPr>
          </w:p>
        </w:tc>
      </w:tr>
      <w:tr w:rsidR="00EC256B" w:rsidRPr="00EC256B" w14:paraId="77D16BF2" w14:textId="77777777" w:rsidTr="004E624E">
        <w:trPr>
          <w:trHeight w:val="330"/>
        </w:trPr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C271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Congênita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4BCE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0 (0,0)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071D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0 (0,0)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9EE0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2 (7,1)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F22F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2 (5,9)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C3C1" w14:textId="77777777" w:rsidR="00EC256B" w:rsidRPr="00EC256B" w:rsidRDefault="00EC256B" w:rsidP="00EC256B">
            <w:pPr>
              <w:jc w:val="center"/>
              <w:rPr>
                <w:sz w:val="20"/>
                <w:szCs w:val="20"/>
              </w:rPr>
            </w:pPr>
            <w:r w:rsidRPr="00EC256B">
              <w:rPr>
                <w:sz w:val="20"/>
                <w:szCs w:val="20"/>
              </w:rPr>
              <w:t>0,97</w:t>
            </w:r>
          </w:p>
        </w:tc>
      </w:tr>
      <w:tr w:rsidR="00EC256B" w:rsidRPr="00EC256B" w14:paraId="298595B7" w14:textId="77777777" w:rsidTr="004E624E">
        <w:trPr>
          <w:trHeight w:val="330"/>
        </w:trPr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22E4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Idiopática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7F5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2 (66,7)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07C2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2 (66,7)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6A94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18 (64,3)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8615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22 (64,7)</w:t>
            </w:r>
          </w:p>
        </w:tc>
        <w:tc>
          <w:tcPr>
            <w:tcW w:w="60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92B70F" w14:textId="77777777" w:rsidR="00EC256B" w:rsidRPr="00EC256B" w:rsidRDefault="00EC256B" w:rsidP="00EC256B">
            <w:pPr>
              <w:jc w:val="left"/>
              <w:rPr>
                <w:sz w:val="20"/>
                <w:szCs w:val="20"/>
              </w:rPr>
            </w:pPr>
          </w:p>
        </w:tc>
      </w:tr>
      <w:tr w:rsidR="00EC256B" w:rsidRPr="00EC256B" w14:paraId="685ED6CB" w14:textId="77777777" w:rsidTr="004E624E">
        <w:trPr>
          <w:trHeight w:val="330"/>
        </w:trPr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4A1A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Neuromuscular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78E6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1 (33,3)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E4E5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1 (33,3)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211F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8 (28,6)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8CE2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10 (29,4)</w:t>
            </w:r>
          </w:p>
        </w:tc>
        <w:tc>
          <w:tcPr>
            <w:tcW w:w="60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75CA625" w14:textId="77777777" w:rsidR="00EC256B" w:rsidRPr="00EC256B" w:rsidRDefault="00EC256B" w:rsidP="00EC256B">
            <w:pPr>
              <w:jc w:val="left"/>
              <w:rPr>
                <w:sz w:val="20"/>
                <w:szCs w:val="20"/>
              </w:rPr>
            </w:pPr>
          </w:p>
        </w:tc>
      </w:tr>
      <w:tr w:rsidR="00EC256B" w:rsidRPr="00EC256B" w14:paraId="4A0E5EDE" w14:textId="77777777" w:rsidTr="004E624E">
        <w:trPr>
          <w:trHeight w:val="330"/>
        </w:trPr>
        <w:tc>
          <w:tcPr>
            <w:tcW w:w="2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32588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8895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3 (8,3)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7C1F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3 (8,3)</w:t>
            </w:r>
          </w:p>
        </w:tc>
        <w:tc>
          <w:tcPr>
            <w:tcW w:w="16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6963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30 (83,4)</w:t>
            </w: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B051" w14:textId="77777777" w:rsidR="00EC256B" w:rsidRPr="00EC256B" w:rsidRDefault="00EC256B" w:rsidP="00EC256B">
            <w:pPr>
              <w:jc w:val="center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D37E" w14:textId="77777777" w:rsidR="00EC256B" w:rsidRPr="00EC256B" w:rsidRDefault="00EC256B" w:rsidP="00EC256B">
            <w:pPr>
              <w:jc w:val="center"/>
              <w:rPr>
                <w:sz w:val="20"/>
                <w:szCs w:val="20"/>
              </w:rPr>
            </w:pPr>
            <w:r w:rsidRPr="00EC256B">
              <w:rPr>
                <w:sz w:val="20"/>
                <w:szCs w:val="20"/>
              </w:rPr>
              <w:t> </w:t>
            </w:r>
          </w:p>
        </w:tc>
      </w:tr>
      <w:tr w:rsidR="00EC256B" w:rsidRPr="00EC256B" w14:paraId="3450349C" w14:textId="77777777" w:rsidTr="00B413B1">
        <w:trPr>
          <w:trHeight w:val="330"/>
        </w:trPr>
        <w:tc>
          <w:tcPr>
            <w:tcW w:w="8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392D" w14:textId="77777777" w:rsidR="00EC256B" w:rsidRPr="00EC256B" w:rsidRDefault="00EC256B" w:rsidP="00EC256B">
            <w:pPr>
              <w:jc w:val="left"/>
              <w:rPr>
                <w:color w:val="000000"/>
                <w:sz w:val="20"/>
                <w:szCs w:val="20"/>
              </w:rPr>
            </w:pPr>
            <w:r w:rsidRPr="00EC256B">
              <w:rPr>
                <w:color w:val="000000"/>
                <w:sz w:val="20"/>
                <w:szCs w:val="20"/>
              </w:rPr>
              <w:t>*Qui-quadrado; n = frequência absoluta; % = frequência relativa</w:t>
            </w:r>
          </w:p>
        </w:tc>
      </w:tr>
    </w:tbl>
    <w:p w14:paraId="09463B21" w14:textId="3FD8A011" w:rsidR="00B03C16" w:rsidRDefault="00B03C16" w:rsidP="00364206">
      <w:pPr>
        <w:tabs>
          <w:tab w:val="left" w:pos="-360"/>
        </w:tabs>
        <w:spacing w:line="480" w:lineRule="auto"/>
        <w:rPr>
          <w:b/>
        </w:rPr>
      </w:pPr>
    </w:p>
    <w:p w14:paraId="748192AD" w14:textId="77777777" w:rsidR="003923CD" w:rsidRDefault="003923CD" w:rsidP="00364206">
      <w:pPr>
        <w:tabs>
          <w:tab w:val="left" w:pos="-360"/>
        </w:tabs>
        <w:spacing w:line="480" w:lineRule="auto"/>
        <w:rPr>
          <w:b/>
        </w:rPr>
      </w:pPr>
    </w:p>
    <w:p w14:paraId="2D7A2C9A" w14:textId="77777777" w:rsidR="009C49D2" w:rsidRDefault="00094B85" w:rsidP="00364206">
      <w:pPr>
        <w:tabs>
          <w:tab w:val="left" w:pos="-360"/>
        </w:tabs>
        <w:spacing w:line="480" w:lineRule="auto"/>
        <w:rPr>
          <w:b/>
        </w:rPr>
      </w:pPr>
      <w:r>
        <w:rPr>
          <w:b/>
        </w:rPr>
        <w:t xml:space="preserve">DISCUSSÃO </w:t>
      </w:r>
    </w:p>
    <w:p w14:paraId="430DE42A" w14:textId="77777777" w:rsidR="009C49D2" w:rsidRDefault="009C49D2" w:rsidP="00364206">
      <w:pPr>
        <w:tabs>
          <w:tab w:val="left" w:pos="-360"/>
        </w:tabs>
        <w:spacing w:line="480" w:lineRule="auto"/>
        <w:rPr>
          <w:b/>
        </w:rPr>
      </w:pPr>
    </w:p>
    <w:p w14:paraId="06F6FF65" w14:textId="79ABABB5" w:rsidR="009C49D2" w:rsidRDefault="00094B85" w:rsidP="00364206">
      <w:pPr>
        <w:tabs>
          <w:tab w:val="left" w:pos="-360"/>
        </w:tabs>
        <w:spacing w:line="480" w:lineRule="auto"/>
      </w:pPr>
      <w:r>
        <w:tab/>
      </w:r>
      <w:r w:rsidR="00452FEF">
        <w:t>O</w:t>
      </w:r>
      <w:r w:rsidR="007441FE">
        <w:t xml:space="preserve"> número de pacientes do sexo feminino </w:t>
      </w:r>
      <w:r>
        <w:t>foi maior</w:t>
      </w:r>
      <w:r w:rsidR="007441FE">
        <w:t xml:space="preserve"> do que o masculino</w:t>
      </w:r>
      <w:r w:rsidR="00C725F5">
        <w:t xml:space="preserve"> </w:t>
      </w:r>
      <w:r w:rsidR="0074394F">
        <w:t>(3,5:1), considerando todas as causas da escoliose. Quando analisamos a</w:t>
      </w:r>
      <w:r w:rsidR="003B2326">
        <w:t xml:space="preserve">penas os casos de </w:t>
      </w:r>
      <w:r w:rsidR="0074394F">
        <w:t>EIA</w:t>
      </w:r>
      <w:r w:rsidR="006F2834">
        <w:t>,</w:t>
      </w:r>
      <w:r w:rsidR="0074394F">
        <w:t xml:space="preserve"> esta relação aumenta significativamente (6,3:1)</w:t>
      </w:r>
      <w:r w:rsidR="006F2834">
        <w:t xml:space="preserve">. De acordo com </w:t>
      </w:r>
      <w:r w:rsidR="00102022" w:rsidRPr="006B7B61">
        <w:rPr>
          <w:color w:val="303030"/>
          <w:shd w:val="clear" w:color="auto" w:fill="FFFFFF"/>
        </w:rPr>
        <w:t>Negrini</w:t>
      </w:r>
      <w:r w:rsidR="00B03C16">
        <w:rPr>
          <w:color w:val="303030"/>
          <w:shd w:val="clear" w:color="auto" w:fill="FFFFFF"/>
        </w:rPr>
        <w:t xml:space="preserve"> </w:t>
      </w:r>
      <w:r w:rsidR="00102022" w:rsidRPr="006B7B61">
        <w:rPr>
          <w:color w:val="303030"/>
          <w:shd w:val="clear" w:color="auto" w:fill="FFFFFF"/>
        </w:rPr>
        <w:t>et al</w:t>
      </w:r>
      <w:r w:rsidR="00102022">
        <w:t>.</w:t>
      </w:r>
      <w:r w:rsidR="00D739DC" w:rsidRPr="00D739DC">
        <w:rPr>
          <w:vertAlign w:val="superscript"/>
        </w:rPr>
        <w:t>2</w:t>
      </w:r>
      <w:r w:rsidR="006F2834">
        <w:t xml:space="preserve"> a</w:t>
      </w:r>
      <w:r w:rsidR="006F2834" w:rsidRPr="006F2834">
        <w:t xml:space="preserve"> progressão da </w:t>
      </w:r>
      <w:r w:rsidR="006F2834">
        <w:t>curva escoliótica</w:t>
      </w:r>
      <w:r w:rsidR="006F2834" w:rsidRPr="006F2834">
        <w:t xml:space="preserve"> </w:t>
      </w:r>
      <w:r w:rsidR="006F2834">
        <w:t xml:space="preserve">na EIA </w:t>
      </w:r>
      <w:r w:rsidR="006F2834" w:rsidRPr="006F2834">
        <w:t>é observada com m</w:t>
      </w:r>
      <w:r w:rsidR="006F2834">
        <w:t>aior</w:t>
      </w:r>
      <w:r w:rsidR="006F2834" w:rsidRPr="006F2834">
        <w:t xml:space="preserve"> frequência em mulheres</w:t>
      </w:r>
      <w:r w:rsidR="006F2834">
        <w:t xml:space="preserve">, sendo que, em curvas acima de 30°, ou seja, com maior risco </w:t>
      </w:r>
      <w:r w:rsidR="00965DD7">
        <w:t xml:space="preserve">de ser submetido ao tratamento cirúrgico, </w:t>
      </w:r>
      <w:r w:rsidR="006F2834">
        <w:t>a proporção é de 7:1.</w:t>
      </w:r>
      <w:r w:rsidR="00E86351">
        <w:t xml:space="preserve"> </w:t>
      </w:r>
      <w:r w:rsidR="003B2326">
        <w:t>Sendo assim, as mulheres além de serem a maioria dos casos, tem mais chances de progredir para curvas mais graves e submeter</w:t>
      </w:r>
      <w:r w:rsidR="00B03C16">
        <w:t>em</w:t>
      </w:r>
      <w:r w:rsidR="003B2326">
        <w:t>-se ao tratamento cirúrgico. Apesar disso, n</w:t>
      </w:r>
      <w:r w:rsidR="00E86351">
        <w:t xml:space="preserve">ão foram encontrados estudos, com </w:t>
      </w:r>
      <w:r w:rsidR="00E86351" w:rsidRPr="00E86351">
        <w:rPr>
          <w:i/>
          <w:iCs/>
        </w:rPr>
        <w:t xml:space="preserve">n </w:t>
      </w:r>
      <w:r w:rsidR="00E86351">
        <w:t xml:space="preserve">significativo </w:t>
      </w:r>
      <w:r w:rsidR="008F1CB7">
        <w:t>específicos</w:t>
      </w:r>
      <w:r w:rsidR="00E86351">
        <w:t xml:space="preserve"> para esta população</w:t>
      </w:r>
      <w:r w:rsidR="00B03C16">
        <w:t>,</w:t>
      </w:r>
      <w:r w:rsidR="00E86351">
        <w:t xml:space="preserve"> a fim de identificar o que pode causar esta diferença de incidência da EIA entre os sexos.</w:t>
      </w:r>
    </w:p>
    <w:p w14:paraId="2A6045EE" w14:textId="2861BDD5" w:rsidR="004637B2" w:rsidRDefault="004637B2" w:rsidP="00364206">
      <w:pPr>
        <w:tabs>
          <w:tab w:val="left" w:pos="-360"/>
        </w:tabs>
        <w:spacing w:line="480" w:lineRule="auto"/>
      </w:pPr>
      <w:r>
        <w:tab/>
        <w:t>Num e</w:t>
      </w:r>
      <w:r w:rsidRPr="004637B2">
        <w:t xml:space="preserve">studo realizado </w:t>
      </w:r>
      <w:r w:rsidR="00E811B7">
        <w:t xml:space="preserve">por </w:t>
      </w:r>
      <w:r w:rsidR="0086483C" w:rsidRPr="00BF7A71">
        <w:rPr>
          <w:color w:val="222222"/>
          <w:shd w:val="clear" w:color="auto" w:fill="FFFFFF"/>
        </w:rPr>
        <w:t>Ciaccia</w:t>
      </w:r>
      <w:r w:rsidR="00A524BB">
        <w:rPr>
          <w:color w:val="222222"/>
          <w:shd w:val="clear" w:color="auto" w:fill="FFFFFF"/>
        </w:rPr>
        <w:t xml:space="preserve"> </w:t>
      </w:r>
      <w:r w:rsidR="0086483C" w:rsidRPr="00BF7A71">
        <w:rPr>
          <w:color w:val="222222"/>
          <w:shd w:val="clear" w:color="auto" w:fill="FFFFFF"/>
        </w:rPr>
        <w:t>et al</w:t>
      </w:r>
      <w:r w:rsidR="0086483C">
        <w:rPr>
          <w:color w:val="222222"/>
          <w:shd w:val="clear" w:color="auto" w:fill="FFFFFF"/>
        </w:rPr>
        <w:t>.</w:t>
      </w:r>
      <w:r w:rsidR="0086483C">
        <w:rPr>
          <w:color w:val="222222"/>
          <w:shd w:val="clear" w:color="auto" w:fill="FFFFFF"/>
          <w:vertAlign w:val="superscript"/>
        </w:rPr>
        <w:t>7</w:t>
      </w:r>
      <w:r w:rsidR="0086483C">
        <w:t xml:space="preserve"> </w:t>
      </w:r>
      <w:r>
        <w:t>com</w:t>
      </w:r>
      <w:r w:rsidRPr="004637B2">
        <w:t xml:space="preserve"> 954 alunos</w:t>
      </w:r>
      <w:r>
        <w:t xml:space="preserve"> </w:t>
      </w:r>
      <w:r w:rsidR="00E811B7">
        <w:t>da cidade de Santos/SP</w:t>
      </w:r>
      <w:r>
        <w:t xml:space="preserve"> para a</w:t>
      </w:r>
      <w:r w:rsidRPr="004637B2">
        <w:t>valiar a prevalência de escoliose e os fatores de risco em alunos do ensino fun</w:t>
      </w:r>
      <w:r w:rsidRPr="00E811B7">
        <w:t>damental</w:t>
      </w:r>
      <w:r w:rsidR="00E811B7">
        <w:t>,</w:t>
      </w:r>
      <w:r w:rsidR="00E811B7" w:rsidRPr="00E811B7">
        <w:t xml:space="preserve"> </w:t>
      </w:r>
      <w:r w:rsidR="003652F7" w:rsidRPr="003652F7">
        <w:t>não houve diferença estatística na prevalência de escoliose entre os sexos</w:t>
      </w:r>
      <w:r w:rsidR="003652F7">
        <w:t xml:space="preserve">, porém, a obesidade </w:t>
      </w:r>
      <w:r w:rsidR="003652F7" w:rsidRPr="003652F7">
        <w:t>foi um dos fatores mais influentes para esse desvio da coluna vertebral.</w:t>
      </w:r>
      <w:r w:rsidR="003652F7">
        <w:t xml:space="preserve"> </w:t>
      </w:r>
      <w:r w:rsidR="00F76D20" w:rsidRPr="00F76D20">
        <w:t xml:space="preserve">O aumento do percentil do IMC está associado ao aumento da cifose torácica em pacientes com EIA e adolescentes não escolióticos, </w:t>
      </w:r>
      <w:r w:rsidR="00C74BF6">
        <w:t>conforme</w:t>
      </w:r>
      <w:r w:rsidR="00F76D20" w:rsidRPr="00F76D20">
        <w:t xml:space="preserve"> </w:t>
      </w:r>
      <w:r w:rsidR="00A524BB">
        <w:t xml:space="preserve">constatado </w:t>
      </w:r>
      <w:r w:rsidR="00F76D20" w:rsidRPr="00F76D20">
        <w:t xml:space="preserve">por </w:t>
      </w:r>
      <w:r w:rsidR="001E0A96" w:rsidRPr="001E0A96">
        <w:rPr>
          <w:color w:val="333333"/>
          <w:shd w:val="clear" w:color="auto" w:fill="FCFCFC"/>
        </w:rPr>
        <w:t>Valdovino</w:t>
      </w:r>
      <w:r w:rsidR="00B03C16">
        <w:rPr>
          <w:color w:val="333333"/>
          <w:shd w:val="clear" w:color="auto" w:fill="FCFCFC"/>
        </w:rPr>
        <w:t xml:space="preserve"> </w:t>
      </w:r>
      <w:r w:rsidR="001E0A96" w:rsidRPr="001E0A96">
        <w:rPr>
          <w:color w:val="333333"/>
          <w:shd w:val="clear" w:color="auto" w:fill="FCFCFC"/>
        </w:rPr>
        <w:t>et al</w:t>
      </w:r>
      <w:r w:rsidR="00D00163">
        <w:rPr>
          <w:color w:val="333333"/>
          <w:shd w:val="clear" w:color="auto" w:fill="FCFCFC"/>
        </w:rPr>
        <w:t>.</w:t>
      </w:r>
      <w:r w:rsidR="001E0A96">
        <w:rPr>
          <w:color w:val="333333"/>
          <w:shd w:val="clear" w:color="auto" w:fill="FCFCFC"/>
          <w:vertAlign w:val="superscript"/>
        </w:rPr>
        <w:t>8</w:t>
      </w:r>
      <w:r w:rsidR="00D00163">
        <w:rPr>
          <w:color w:val="333333"/>
          <w:shd w:val="clear" w:color="auto" w:fill="FCFCFC"/>
        </w:rPr>
        <w:t>.</w:t>
      </w:r>
      <w:r w:rsidR="00F76D20">
        <w:t xml:space="preserve"> </w:t>
      </w:r>
      <w:r w:rsidR="003652F7">
        <w:t>N</w:t>
      </w:r>
      <w:r w:rsidR="00E811B7">
        <w:t>a presente pesquisa</w:t>
      </w:r>
      <w:r w:rsidR="003652F7">
        <w:t xml:space="preserve">, </w:t>
      </w:r>
      <w:r w:rsidR="00A524BB">
        <w:t>em que</w:t>
      </w:r>
      <w:r w:rsidR="003652F7">
        <w:t xml:space="preserve"> analisamos pacientes submetidos à </w:t>
      </w:r>
      <w:r w:rsidR="000778C8">
        <w:t>cirurgia</w:t>
      </w:r>
      <w:r w:rsidR="003652F7">
        <w:t>, encontr</w:t>
      </w:r>
      <w:r w:rsidR="00752908">
        <w:t>amos maior</w:t>
      </w:r>
      <w:r w:rsidR="003652F7">
        <w:t xml:space="preserve"> prevalência</w:t>
      </w:r>
      <w:r w:rsidR="00752908">
        <w:t xml:space="preserve"> de</w:t>
      </w:r>
      <w:r w:rsidR="003652F7">
        <w:t xml:space="preserve"> pacientes </w:t>
      </w:r>
      <w:r w:rsidR="003652F7">
        <w:lastRenderedPageBreak/>
        <w:t xml:space="preserve">eutróficos </w:t>
      </w:r>
      <w:r w:rsidR="00134585">
        <w:t>(6</w:t>
      </w:r>
      <w:r w:rsidR="00657731">
        <w:t>4</w:t>
      </w:r>
      <w:r w:rsidR="00134585">
        <w:t>%)</w:t>
      </w:r>
      <w:r w:rsidR="00657731">
        <w:t xml:space="preserve"> e apenas</w:t>
      </w:r>
      <w:r w:rsidRPr="00881CFA">
        <w:t xml:space="preserve"> 14% apresentavam obesidade.</w:t>
      </w:r>
      <w:r w:rsidR="004B0276">
        <w:t xml:space="preserve"> A obesidade apresenta-se como fator de risco para o surgimento da </w:t>
      </w:r>
      <w:r w:rsidR="000A68EF">
        <w:t>escoliose,</w:t>
      </w:r>
      <w:r w:rsidR="004B0276">
        <w:t xml:space="preserve"> mas não </w:t>
      </w:r>
      <w:r w:rsidR="00E608FE">
        <w:t>se apresentou</w:t>
      </w:r>
      <w:r w:rsidR="004B0276">
        <w:t xml:space="preserve"> como um fator de risco para a progressão da curva a níveis cirúrgicos. </w:t>
      </w:r>
    </w:p>
    <w:p w14:paraId="67AAD721" w14:textId="2FC65F95" w:rsidR="005D2639" w:rsidRDefault="005D2639" w:rsidP="00364206">
      <w:pPr>
        <w:tabs>
          <w:tab w:val="left" w:pos="-360"/>
        </w:tabs>
        <w:spacing w:line="480" w:lineRule="auto"/>
      </w:pPr>
      <w:r>
        <w:tab/>
        <w:t>Um dado que chama bastante atenção, refere</w:t>
      </w:r>
      <w:r w:rsidR="00752908">
        <w:t>-se</w:t>
      </w:r>
      <w:r>
        <w:t xml:space="preserve"> ao tratamento conservador da </w:t>
      </w:r>
      <w:r w:rsidR="00076BA2">
        <w:t>escoliose</w:t>
      </w:r>
      <w:r w:rsidR="00103432">
        <w:t xml:space="preserve"> (fisioterapia e uso de colete), que não foi realizado por grande parte dos pesquisados</w:t>
      </w:r>
      <w:r w:rsidR="00752908">
        <w:t xml:space="preserve">. </w:t>
      </w:r>
      <w:r w:rsidR="00B931C2">
        <w:t>D</w:t>
      </w:r>
      <w:r w:rsidR="00103432">
        <w:t xml:space="preserve">entre os que realizavam acompanhamento, 58% tinham escoliose </w:t>
      </w:r>
      <w:r w:rsidR="00B931C2">
        <w:t>secundária,</w:t>
      </w:r>
      <w:r w:rsidR="00103432">
        <w:t xml:space="preserve"> ou</w:t>
      </w:r>
      <w:r w:rsidR="00B931C2">
        <w:t xml:space="preserve"> </w:t>
      </w:r>
      <w:r w:rsidR="00103432">
        <w:t xml:space="preserve">seja, são </w:t>
      </w:r>
      <w:r w:rsidR="00B931C2">
        <w:t>pacientes</w:t>
      </w:r>
      <w:r w:rsidR="00103432">
        <w:t xml:space="preserve"> </w:t>
      </w:r>
      <w:r w:rsidR="00B931C2">
        <w:t>que por terem uma doença pré</w:t>
      </w:r>
      <w:r w:rsidR="000778C8">
        <w:t>-</w:t>
      </w:r>
      <w:r w:rsidR="00B931C2">
        <w:t xml:space="preserve">existente, já estavam sendo acompanhadas por um fisioterapeuta. </w:t>
      </w:r>
      <w:r w:rsidR="00134455">
        <w:t>Já os que não faziam tratamento fisioterapêutico eram</w:t>
      </w:r>
      <w:r w:rsidR="00D13488">
        <w:t xml:space="preserve">, </w:t>
      </w:r>
      <w:r w:rsidR="00134455">
        <w:t>a maioria</w:t>
      </w:r>
      <w:r w:rsidR="00D13488">
        <w:t xml:space="preserve">, </w:t>
      </w:r>
      <w:r w:rsidR="00134455">
        <w:t>adolescentes com escoliose idiopática (71%).</w:t>
      </w:r>
      <w:r w:rsidR="00D00163">
        <w:t xml:space="preserve"> </w:t>
      </w:r>
      <w:r w:rsidR="00D13488">
        <w:t>Isso reforça a ideia de que</w:t>
      </w:r>
      <w:r w:rsidR="001201B9">
        <w:t>,</w:t>
      </w:r>
      <w:r w:rsidR="00D13488">
        <w:t xml:space="preserve"> aparentemente</w:t>
      </w:r>
      <w:r w:rsidR="001201B9">
        <w:t xml:space="preserve">, </w:t>
      </w:r>
      <w:r w:rsidR="00D13488">
        <w:t>crianças</w:t>
      </w:r>
      <w:r w:rsidR="001201B9">
        <w:t xml:space="preserve"> e </w:t>
      </w:r>
      <w:r w:rsidR="00D13488">
        <w:t xml:space="preserve">adolescentes saudáveis não estão sendo avaliados </w:t>
      </w:r>
      <w:r w:rsidR="00E95883">
        <w:t>nos consultórios médicos</w:t>
      </w:r>
      <w:r w:rsidR="00117831">
        <w:t xml:space="preserve"> </w:t>
      </w:r>
      <w:r w:rsidR="001201B9">
        <w:t xml:space="preserve">no que tange a possibilidade de desenvolver escoliose, </w:t>
      </w:r>
      <w:r w:rsidR="00D13488">
        <w:t xml:space="preserve">uma doença silenciosa </w:t>
      </w:r>
      <w:r w:rsidR="000A68EF">
        <w:t xml:space="preserve">e simples de ser identificada. </w:t>
      </w:r>
      <w:r w:rsidR="00D00163">
        <w:t>A maioria (66,7%) também não era acompanhado pelo médico cirurgião e talvez isso se deva ao fato de 58,3% serem residentes de outras cidades</w:t>
      </w:r>
      <w:r w:rsidR="00E13BFB">
        <w:t xml:space="preserve">, mas o fato é que estes pacientes já chegaram ao consultório com uma curva num grau de indicação </w:t>
      </w:r>
      <w:r w:rsidR="004F2497">
        <w:t>cirúrgica</w:t>
      </w:r>
      <w:r w:rsidR="00E13BFB">
        <w:t>.</w:t>
      </w:r>
    </w:p>
    <w:p w14:paraId="739C16CC" w14:textId="3AACEBD6" w:rsidR="0050666B" w:rsidRDefault="0050666B" w:rsidP="00364206">
      <w:pPr>
        <w:tabs>
          <w:tab w:val="left" w:pos="-360"/>
        </w:tabs>
        <w:spacing w:line="480" w:lineRule="auto"/>
      </w:pPr>
      <w:r>
        <w:rPr>
          <w:color w:val="000000"/>
          <w:shd w:val="clear" w:color="auto" w:fill="FFFFFF"/>
        </w:rPr>
        <w:tab/>
      </w:r>
      <w:r w:rsidRPr="002C0F18">
        <w:rPr>
          <w:color w:val="000000"/>
          <w:shd w:val="clear" w:color="auto" w:fill="FFFFFF"/>
        </w:rPr>
        <w:t xml:space="preserve">A avaliação para detecção de deformidades na coluna vertebral em crianças e adolescentes é fundamental para o diagnóstico e intervenção </w:t>
      </w:r>
      <w:r w:rsidRPr="002C0F18">
        <w:rPr>
          <w:shd w:val="clear" w:color="auto" w:fill="FFFFFF"/>
        </w:rPr>
        <w:t>precoce</w:t>
      </w:r>
      <w:r>
        <w:rPr>
          <w:shd w:val="clear" w:color="auto" w:fill="FFFFFF"/>
        </w:rPr>
        <w:t xml:space="preserve"> </w:t>
      </w:r>
      <w:r w:rsidRPr="002C0F18">
        <w:t>com o objetivo principal de evitar a progressão da curva e, possivelmente, reduz</w:t>
      </w:r>
      <w:r>
        <w:t>i</w:t>
      </w:r>
      <w:r w:rsidRPr="002C0F18">
        <w:t xml:space="preserve">-la, assim, evita-se que o paciente evolua para a indicação cirúrgica. Crianças e adolescentes com escoliose secundária, a exemplo das neuromusculares, também necessitam de tratamento preliminar para evitar que a curvatura da escoliose progrida de forma rápida e descontrolada necessitando de realização de uma abordagem </w:t>
      </w:r>
      <w:r w:rsidR="00A94DCD" w:rsidRPr="002C0F18">
        <w:t>c</w:t>
      </w:r>
      <w:r w:rsidR="00A94DCD">
        <w:t>irúrgica</w:t>
      </w:r>
      <w:r>
        <w:t>.</w:t>
      </w:r>
    </w:p>
    <w:p w14:paraId="088CEB3A" w14:textId="04040CE6" w:rsidR="002E24D1" w:rsidRDefault="002E24D1" w:rsidP="00364206">
      <w:pPr>
        <w:tabs>
          <w:tab w:val="left" w:pos="-360"/>
        </w:tabs>
        <w:spacing w:line="480" w:lineRule="auto"/>
      </w:pPr>
      <w:r>
        <w:tab/>
      </w:r>
      <w:r w:rsidR="00CE5FA1">
        <w:t xml:space="preserve">Em um estudo de evidência nível II, </w:t>
      </w:r>
      <w:r w:rsidR="006812CC" w:rsidRPr="00CE5FA1">
        <w:t>Liu</w:t>
      </w:r>
      <w:r w:rsidR="00EE347F">
        <w:t xml:space="preserve"> </w:t>
      </w:r>
      <w:r w:rsidR="006812CC" w:rsidRPr="00CE5FA1">
        <w:t>et al.</w:t>
      </w:r>
      <w:r w:rsidR="006812CC" w:rsidRPr="00CE5FA1">
        <w:rPr>
          <w:vertAlign w:val="superscript"/>
        </w:rPr>
        <w:t>9</w:t>
      </w:r>
      <w:r w:rsidR="00CE5FA1" w:rsidRPr="00CE5FA1">
        <w:t>,</w:t>
      </w:r>
      <w:r w:rsidR="00EE347F">
        <w:rPr>
          <w:color w:val="000000"/>
          <w:shd w:val="clear" w:color="auto" w:fill="FFFFFF"/>
          <w:vertAlign w:val="superscript"/>
        </w:rPr>
        <w:t xml:space="preserve"> </w:t>
      </w:r>
      <w:r>
        <w:t>analis</w:t>
      </w:r>
      <w:r w:rsidR="00CB7A68">
        <w:t>aram</w:t>
      </w:r>
      <w:r>
        <w:t xml:space="preserve"> os efeitos da terapia de exercícios específicos em adolescentes com escoliose idiopática</w:t>
      </w:r>
      <w:r w:rsidR="009E623B">
        <w:t>, durante 4 anos,</w:t>
      </w:r>
      <w:r>
        <w:t xml:space="preserve"> com o objetivo de </w:t>
      </w:r>
      <w:r w:rsidRPr="002E24D1">
        <w:t>explorar o efeito intervencionista da terapia com exercícios na escoliose idiopática e identificar uma janela de intervenção ideal.</w:t>
      </w:r>
      <w:r>
        <w:t xml:space="preserve">  </w:t>
      </w:r>
      <w:r w:rsidR="009E623B">
        <w:t xml:space="preserve">Foram incluídos pacientes com curvas entre 10 e </w:t>
      </w:r>
      <w:r w:rsidR="009E623B">
        <w:lastRenderedPageBreak/>
        <w:t xml:space="preserve">25°, ou seja, intervenção precoce. </w:t>
      </w:r>
      <w:r w:rsidRPr="00EA3542">
        <w:t>A curva principal de crianças &lt;10 anos diminuiu significativamente em 6,8°</w:t>
      </w:r>
      <w:r w:rsidR="00451468">
        <w:t xml:space="preserve">, </w:t>
      </w:r>
      <w:r w:rsidR="009E623B" w:rsidRPr="00EA3542">
        <w:t xml:space="preserve">69,0% (20/29) tiveram melhora da curva, 27,6% (8/29) estabilizaram e 3,4% (1/29) progrediram. Em pacientes de 10 a 12 anos a diminuição da curva foi de 3,1 ° (correção de 18%), 45,8% (24/11) melhorou, 50% (24/12) estabilizou e 4,2% (1/24) progrediu. No grupo de 13 a 15 anos </w:t>
      </w:r>
      <w:r w:rsidR="00EA3542" w:rsidRPr="00EA3542">
        <w:t xml:space="preserve">a diminuição da curva foi de </w:t>
      </w:r>
      <w:r w:rsidRPr="00EA3542">
        <w:t>1,5 ° (correção de 9%), 26,1% (12/46) melhoraram, 63,0% (29/46) estabilizaram e 10,9% (5/46) progrediram. </w:t>
      </w:r>
      <w:r w:rsidR="00EA3542" w:rsidRPr="00EA3542">
        <w:t>O estudo demonstrou que com exercícios específicos e intervenção precoce a fisioterapia pode controlar ou melhorar efetivamente a progressão da curva.</w:t>
      </w:r>
    </w:p>
    <w:p w14:paraId="240D3043" w14:textId="665355D5" w:rsidR="008C42C4" w:rsidRDefault="008C42C4" w:rsidP="00364206">
      <w:pPr>
        <w:tabs>
          <w:tab w:val="left" w:pos="709"/>
        </w:tabs>
        <w:spacing w:line="480" w:lineRule="auto"/>
      </w:pPr>
      <w:r>
        <w:tab/>
      </w:r>
      <w:r w:rsidRPr="002C0F18">
        <w:t>Nos últimos anos, as pesquisas sobre o tratamento conservador da escoliose idiopática do adolescente evoluíram bastante e seus estudos aceitos pela Sociedade Internacional de Tratamento Ortopédico e de Reabilitação de Escoliose (SOSORT</w:t>
      </w:r>
      <w:r w:rsidR="006D3CA8">
        <w:t>)</w:t>
      </w:r>
      <w:r w:rsidRPr="002C0F18">
        <w:t xml:space="preserve">. Fazem parte desses estudos os chamados exercícios fisioterapêuticos específicos para escoliose (PSSE) que tem como características a autocorreção tridimensional, atividades de treinamento de vida diária (AVD) e estabilização da postura corrigida. </w:t>
      </w:r>
      <w:r w:rsidR="00CC4CEA" w:rsidRPr="0034334B">
        <w:rPr>
          <w:color w:val="303030"/>
          <w:shd w:val="clear" w:color="auto" w:fill="FFFFFF"/>
        </w:rPr>
        <w:t>Berdishevsky</w:t>
      </w:r>
      <w:r w:rsidR="00EE347F">
        <w:rPr>
          <w:color w:val="303030"/>
          <w:shd w:val="clear" w:color="auto" w:fill="FFFFFF"/>
        </w:rPr>
        <w:t xml:space="preserve"> </w:t>
      </w:r>
      <w:r w:rsidR="00CC4CEA" w:rsidRPr="0034334B">
        <w:rPr>
          <w:color w:val="303030"/>
          <w:shd w:val="clear" w:color="auto" w:fill="FFFFFF"/>
        </w:rPr>
        <w:t>et al</w:t>
      </w:r>
      <w:r w:rsidR="00CC4CEA">
        <w:rPr>
          <w:color w:val="303030"/>
          <w:shd w:val="clear" w:color="auto" w:fill="FFFFFF"/>
        </w:rPr>
        <w:t>.</w:t>
      </w:r>
      <w:r w:rsidR="00CC4CEA">
        <w:rPr>
          <w:color w:val="303030"/>
          <w:shd w:val="clear" w:color="auto" w:fill="FFFFFF"/>
          <w:vertAlign w:val="superscript"/>
        </w:rPr>
        <w:t>10</w:t>
      </w:r>
      <w:r w:rsidR="00CC4CEA">
        <w:t xml:space="preserve"> </w:t>
      </w:r>
      <w:r w:rsidR="00C82E1B">
        <w:t>descrev</w:t>
      </w:r>
      <w:r w:rsidR="00CB7A68">
        <w:t>eram</w:t>
      </w:r>
      <w:r w:rsidR="00C82E1B">
        <w:t xml:space="preserve"> estas</w:t>
      </w:r>
      <w:r w:rsidRPr="002C0F18">
        <w:t xml:space="preserve"> abordagens</w:t>
      </w:r>
      <w:r w:rsidR="00451468">
        <w:t>,</w:t>
      </w:r>
      <w:r w:rsidR="00F563E7">
        <w:t xml:space="preserve"> que são:</w:t>
      </w:r>
      <w:r w:rsidRPr="002C0F18">
        <w:t xml:space="preserve"> </w:t>
      </w:r>
      <w:r w:rsidR="00F563E7">
        <w:t xml:space="preserve">Escola de </w:t>
      </w:r>
      <w:r w:rsidRPr="002C0F18">
        <w:t xml:space="preserve">Lyon </w:t>
      </w:r>
      <w:r w:rsidR="00F563E7">
        <w:t>d</w:t>
      </w:r>
      <w:r w:rsidRPr="002C0F18">
        <w:t>a França, Katharina Schroth Asklepios da Alemanha, Exercício Científico para Escoliose (SEAS) da Itália, Escola de Fisioterapia de Escoliose de Barcelona (BSPTS) da Espanha, a abordagem Dobomed da Polônia, o Side Shift abordagem do Reino Unido e a abordagem da Terapia Individual Funcional da Escoliose (FITS) da Polônia.</w:t>
      </w:r>
    </w:p>
    <w:p w14:paraId="601165E2" w14:textId="7725679C" w:rsidR="0068004B" w:rsidRDefault="0068004B" w:rsidP="00364206">
      <w:pPr>
        <w:tabs>
          <w:tab w:val="left" w:pos="709"/>
        </w:tabs>
        <w:spacing w:line="480" w:lineRule="auto"/>
      </w:pPr>
      <w:r>
        <w:tab/>
        <w:t>É</w:t>
      </w:r>
      <w:r w:rsidR="00787CC8">
        <w:t xml:space="preserve"> </w:t>
      </w:r>
      <w:r>
        <w:t>importante lembrar que os fisioterapeutas podem associar o uso do colete aos exercícios específicos, a fim de potencializar os resultados</w:t>
      </w:r>
      <w:r w:rsidR="00787CC8">
        <w:t xml:space="preserve">. </w:t>
      </w:r>
      <w:r w:rsidR="00157915">
        <w:t>De acordo com a</w:t>
      </w:r>
      <w:r w:rsidR="00787CC8">
        <w:t xml:space="preserve"> SOSORT </w:t>
      </w:r>
      <w:r w:rsidR="00157915" w:rsidRPr="00157915">
        <w:t>o uso d</w:t>
      </w:r>
      <w:r w:rsidR="00157915">
        <w:t>o colete</w:t>
      </w:r>
      <w:r w:rsidR="00157915" w:rsidRPr="00157915">
        <w:t xml:space="preserve"> rígid</w:t>
      </w:r>
      <w:r w:rsidR="00157915">
        <w:t>o</w:t>
      </w:r>
      <w:r w:rsidR="00157915" w:rsidRPr="00157915">
        <w:t xml:space="preserve"> implica o uso de exercícios fora d</w:t>
      </w:r>
      <w:r w:rsidR="00157915">
        <w:t>o colet</w:t>
      </w:r>
      <w:r w:rsidR="00036766">
        <w:t>e</w:t>
      </w:r>
      <w:r w:rsidR="00157915" w:rsidRPr="00036766">
        <w:t>. O</w:t>
      </w:r>
      <w:r w:rsidR="00787CC8">
        <w:t xml:space="preserve"> uso do colete associado aos exercícios específicos p</w:t>
      </w:r>
      <w:r w:rsidR="00787CC8" w:rsidRPr="002C0F18">
        <w:t>ara</w:t>
      </w:r>
      <w:r w:rsidR="00787CC8">
        <w:t xml:space="preserve"> escoliose </w:t>
      </w:r>
      <w:r w:rsidR="00036766">
        <w:t xml:space="preserve">é indicado </w:t>
      </w:r>
      <w:r w:rsidR="00157915">
        <w:t>para pacientes com</w:t>
      </w:r>
      <w:r w:rsidR="00787CC8">
        <w:t xml:space="preserve"> </w:t>
      </w:r>
      <w:r w:rsidR="00787CC8" w:rsidRPr="002C0F18">
        <w:t xml:space="preserve">ângulo de Coob &gt; 25⁰ sem sinal de maturidade óssea </w:t>
      </w:r>
      <w:r w:rsidR="00787CC8">
        <w:t>(</w:t>
      </w:r>
      <w:r w:rsidR="00787CC8" w:rsidRPr="002C0F18">
        <w:t>Risser 0-3</w:t>
      </w:r>
      <w:r w:rsidR="00787CC8">
        <w:t>)</w:t>
      </w:r>
      <w:r w:rsidR="00787CC8" w:rsidRPr="002C0F18">
        <w:t xml:space="preserve"> e com ângulo de Coob &gt; 35⁰</w:t>
      </w:r>
      <w:r w:rsidR="00787CC8">
        <w:t xml:space="preserve"> </w:t>
      </w:r>
      <w:r w:rsidR="00036766">
        <w:t xml:space="preserve">para </w:t>
      </w:r>
      <w:r w:rsidR="00787CC8" w:rsidRPr="002C0F18">
        <w:t>Risser 4</w:t>
      </w:r>
      <w:r w:rsidR="00787CC8">
        <w:t xml:space="preserve">. </w:t>
      </w:r>
    </w:p>
    <w:p w14:paraId="1AD908AA" w14:textId="455D82CA" w:rsidR="0072222F" w:rsidRDefault="00CB7A68" w:rsidP="00364206">
      <w:pPr>
        <w:tabs>
          <w:tab w:val="left" w:pos="709"/>
        </w:tabs>
        <w:spacing w:line="480" w:lineRule="auto"/>
      </w:pPr>
      <w:r w:rsidRPr="0091187D">
        <w:tab/>
      </w:r>
      <w:r w:rsidR="0091187D" w:rsidRPr="000A0BA5">
        <w:t>Weinstein</w:t>
      </w:r>
      <w:r w:rsidR="003C2843">
        <w:t xml:space="preserve"> et al.</w:t>
      </w:r>
      <w:r w:rsidR="003C2843">
        <w:rPr>
          <w:vertAlign w:val="superscript"/>
        </w:rPr>
        <w:t>1</w:t>
      </w:r>
      <w:r w:rsidR="000A0BA5">
        <w:rPr>
          <w:vertAlign w:val="superscript"/>
        </w:rPr>
        <w:t>1</w:t>
      </w:r>
      <w:r w:rsidR="0091187D">
        <w:t xml:space="preserve"> </w:t>
      </w:r>
      <w:r w:rsidR="005316B8">
        <w:t>avaliaram</w:t>
      </w:r>
      <w:r w:rsidR="0072222F">
        <w:t xml:space="preserve"> </w:t>
      </w:r>
      <w:r w:rsidR="005316B8">
        <w:t xml:space="preserve">os efeitos da órtese em adolescentes com escoliose idiopática </w:t>
      </w:r>
      <w:r w:rsidR="00197E66">
        <w:t xml:space="preserve">em 242 pacientes </w:t>
      </w:r>
      <w:r w:rsidR="005316B8">
        <w:t xml:space="preserve">e concluíram que </w:t>
      </w:r>
      <w:r w:rsidR="005316B8" w:rsidRPr="005316B8">
        <w:t xml:space="preserve">a órtese </w:t>
      </w:r>
      <w:r w:rsidR="000D5EF5" w:rsidRPr="00197E66">
        <w:t>toracolombossacra</w:t>
      </w:r>
      <w:r w:rsidR="002003A1">
        <w:t xml:space="preserve"> (TLSO)</w:t>
      </w:r>
      <w:r w:rsidR="000D5EF5" w:rsidRPr="00197E66">
        <w:t xml:space="preserve"> rígida</w:t>
      </w:r>
      <w:r w:rsidR="000D5EF5" w:rsidRPr="005316B8">
        <w:t xml:space="preserve"> </w:t>
      </w:r>
      <w:r w:rsidR="005316B8" w:rsidRPr="005316B8">
        <w:lastRenderedPageBreak/>
        <w:t>diminui</w:t>
      </w:r>
      <w:r w:rsidR="005316B8">
        <w:t xml:space="preserve"> </w:t>
      </w:r>
      <w:r w:rsidR="005316B8" w:rsidRPr="005316B8">
        <w:t xml:space="preserve">significativamente a progressão das curvas de alto risco até o limite para cirurgia </w:t>
      </w:r>
      <w:r w:rsidR="005316B8">
        <w:t>e que o</w:t>
      </w:r>
      <w:r w:rsidR="005316B8" w:rsidRPr="005316B8">
        <w:t xml:space="preserve"> benefício </w:t>
      </w:r>
      <w:r w:rsidR="005316B8">
        <w:t xml:space="preserve">foi maior para os participantes </w:t>
      </w:r>
      <w:r w:rsidR="005316B8" w:rsidRPr="005316B8">
        <w:t>com mais horas de uso</w:t>
      </w:r>
      <w:r w:rsidR="000D5EF5">
        <w:t xml:space="preserve">. A </w:t>
      </w:r>
      <w:r w:rsidR="000D5EF5" w:rsidRPr="00197E66">
        <w:t>prescri</w:t>
      </w:r>
      <w:r w:rsidR="000D5EF5">
        <w:t xml:space="preserve">ção recomendada é </w:t>
      </w:r>
      <w:r w:rsidR="000D5EF5" w:rsidRPr="00197E66">
        <w:t>por um período mínimo de 18 horas por dia</w:t>
      </w:r>
      <w:r w:rsidR="005316B8" w:rsidRPr="005316B8">
        <w:t>.</w:t>
      </w:r>
      <w:r w:rsidR="00197E66">
        <w:t xml:space="preserve"> </w:t>
      </w:r>
    </w:p>
    <w:p w14:paraId="5354975A" w14:textId="12DB8D5F" w:rsidR="00E8330F" w:rsidRDefault="007B76DF" w:rsidP="00364206">
      <w:pPr>
        <w:tabs>
          <w:tab w:val="left" w:pos="709"/>
        </w:tabs>
        <w:spacing w:line="480" w:lineRule="auto"/>
      </w:pPr>
      <w:r>
        <w:tab/>
      </w:r>
      <w:r w:rsidR="00E8330F">
        <w:tab/>
      </w:r>
      <w:r w:rsidR="00E8330F" w:rsidRPr="002C0F18">
        <w:t>A cirurgia para correção do padrão escoliótico é indicada pa</w:t>
      </w:r>
      <w:r w:rsidR="00E8330F" w:rsidRPr="007D2D66">
        <w:t>ra curvas acima de 45⁰ de ângulo de Coob ou em caso de comprometimento cardiopulmonar</w:t>
      </w:r>
      <w:r w:rsidR="007D2D66" w:rsidRPr="007D2D66">
        <w:rPr>
          <w:vertAlign w:val="superscript"/>
        </w:rPr>
        <w:t>2</w:t>
      </w:r>
      <w:r w:rsidR="00E8330F" w:rsidRPr="007D2D66">
        <w:t>.</w:t>
      </w:r>
      <w:r w:rsidR="00E8330F">
        <w:t xml:space="preserve"> E</w:t>
      </w:r>
      <w:r w:rsidR="00E8330F" w:rsidRPr="002C0F18">
        <w:t>xige uma avaliação pré-operatória completa</w:t>
      </w:r>
      <w:r w:rsidR="002003A1">
        <w:t>,</w:t>
      </w:r>
      <w:r w:rsidR="00E8330F" w:rsidRPr="002C0F18">
        <w:t xml:space="preserve"> visando obter informações referentes ao estado neurológico e o impacto da escoliose na disfunção do sistema de órgãos do paciente.</w:t>
      </w:r>
      <w:r w:rsidR="00E8330F">
        <w:t xml:space="preserve"> Além disso, </w:t>
      </w:r>
      <w:r w:rsidR="00E8330F" w:rsidRPr="002C0F18">
        <w:t xml:space="preserve">deve construir um plano </w:t>
      </w:r>
      <w:r w:rsidR="004F2497" w:rsidRPr="002C0F18">
        <w:t>intraoperatório</w:t>
      </w:r>
      <w:r w:rsidR="00E8330F" w:rsidRPr="002C0F18">
        <w:t xml:space="preserve"> e pós-operatório, considerando as comorbidades presentes, necessidade de monitorização </w:t>
      </w:r>
      <w:r w:rsidR="004F2497" w:rsidRPr="002C0F18">
        <w:t>intraoperatória</w:t>
      </w:r>
      <w:r w:rsidR="00E8330F" w:rsidRPr="002C0F18">
        <w:t xml:space="preserve"> da medula espinhal, o potencial de perda de sangue, assim como a previsibilidade de possíveis complicações pós-operatórias</w:t>
      </w:r>
      <w:r w:rsidR="007D2D66">
        <w:rPr>
          <w:vertAlign w:val="superscript"/>
        </w:rPr>
        <w:t>6</w:t>
      </w:r>
      <w:r w:rsidR="00E8330F">
        <w:t>.</w:t>
      </w:r>
      <w:r w:rsidR="00F456D9">
        <w:t xml:space="preserve"> </w:t>
      </w:r>
    </w:p>
    <w:p w14:paraId="0BCB2FA9" w14:textId="3F10D5C6" w:rsidR="00D17A66" w:rsidRDefault="00D17A66" w:rsidP="00364206">
      <w:pPr>
        <w:tabs>
          <w:tab w:val="left" w:pos="709"/>
        </w:tabs>
        <w:spacing w:line="480" w:lineRule="auto"/>
      </w:pPr>
      <w:r>
        <w:rPr>
          <w:shd w:val="clear" w:color="auto" w:fill="FFFFFF"/>
        </w:rPr>
        <w:tab/>
      </w:r>
      <w:r>
        <w:rPr>
          <w:shd w:val="clear" w:color="auto" w:fill="FFFFFF"/>
        </w:rPr>
        <w:t>Em nosso estudo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83% dos pacientes não apresentaram complicações após a cirurgia e não houve relato de morte.</w:t>
      </w:r>
    </w:p>
    <w:p w14:paraId="48BBBE20" w14:textId="4C7380CF" w:rsidR="00166C02" w:rsidRDefault="00166C02" w:rsidP="00364206">
      <w:pPr>
        <w:tabs>
          <w:tab w:val="left" w:pos="709"/>
        </w:tabs>
        <w:spacing w:line="480" w:lineRule="auto"/>
        <w:rPr>
          <w:shd w:val="clear" w:color="auto" w:fill="FFFFFF"/>
        </w:rPr>
      </w:pPr>
      <w:r>
        <w:tab/>
      </w:r>
      <w:r w:rsidR="00D45C27" w:rsidRPr="00D45C27">
        <w:rPr>
          <w:color w:val="212121"/>
          <w:shd w:val="clear" w:color="auto" w:fill="FFFFFF"/>
        </w:rPr>
        <w:t>Reames</w:t>
      </w:r>
      <w:r w:rsidR="00C6144D">
        <w:rPr>
          <w:color w:val="212121"/>
          <w:shd w:val="clear" w:color="auto" w:fill="FFFFFF"/>
        </w:rPr>
        <w:t xml:space="preserve"> </w:t>
      </w:r>
      <w:r w:rsidR="00D45C27" w:rsidRPr="00D45C27">
        <w:rPr>
          <w:color w:val="212121"/>
          <w:shd w:val="clear" w:color="auto" w:fill="FFFFFF"/>
        </w:rPr>
        <w:t>et al</w:t>
      </w:r>
      <w:r w:rsidR="00D45C27">
        <w:rPr>
          <w:color w:val="212121"/>
          <w:shd w:val="clear" w:color="auto" w:fill="FFFFFF"/>
        </w:rPr>
        <w:t>.</w:t>
      </w:r>
      <w:r w:rsidR="00D45C27">
        <w:rPr>
          <w:color w:val="212121"/>
          <w:shd w:val="clear" w:color="auto" w:fill="FFFFFF"/>
          <w:vertAlign w:val="superscript"/>
        </w:rPr>
        <w:t>12</w:t>
      </w:r>
      <w:r w:rsidR="00D45C27">
        <w:t xml:space="preserve"> </w:t>
      </w:r>
      <w:r>
        <w:t>em</w:t>
      </w:r>
      <w:r w:rsidR="00D17A66">
        <w:rPr>
          <w:shd w:val="clear" w:color="auto" w:fill="FFFFFF"/>
        </w:rPr>
        <w:t xml:space="preserve"> uma pesquisa</w:t>
      </w:r>
      <w:r w:rsidRPr="002C0F18">
        <w:rPr>
          <w:shd w:val="clear" w:color="auto" w:fill="FFFFFF"/>
        </w:rPr>
        <w:t xml:space="preserve"> que avaliou a taxa de complicação de 19.360 casos do banco de dados de morbidez e mortalidade da </w:t>
      </w:r>
      <w:r w:rsidRPr="002C0F18">
        <w:rPr>
          <w:i/>
          <w:iCs/>
          <w:shd w:val="clear" w:color="auto" w:fill="FFFFFF"/>
        </w:rPr>
        <w:t>Scoliosis Research Society</w:t>
      </w:r>
      <w:r w:rsidRPr="002C0F18">
        <w:rPr>
          <w:shd w:val="clear" w:color="auto" w:fill="FFFFFF"/>
        </w:rPr>
        <w:t xml:space="preserve"> (SRS), considerando pacientes com idade até 18 anos, identific</w:t>
      </w:r>
      <w:r>
        <w:rPr>
          <w:shd w:val="clear" w:color="auto" w:fill="FFFFFF"/>
        </w:rPr>
        <w:t>aram</w:t>
      </w:r>
      <w:r w:rsidRPr="002C0F18">
        <w:rPr>
          <w:shd w:val="clear" w:color="auto" w:fill="FFFFFF"/>
        </w:rPr>
        <w:t xml:space="preserve"> complicações em 1.971 (10,2%) casos com diferença entre as etiologias da escoliose. O maior índice de complicações foi visto na escoliose neuromuscular (17,9%), seguida da escoliose congênita (10,6%) e da escoliose idiopática (6,3%).  A maior taxa de déficit neurológico foi da escoliose congênita (2,0%), seguida pela neuromuscular (1,1%) e idiopática (0,8%). As maiores taxas de mortalidade foram na escoliose neuromuscular e na escoliose congênita (0,3% cada), seguidas da escoliose idiopática (0,02%). </w:t>
      </w:r>
    </w:p>
    <w:p w14:paraId="112B956A" w14:textId="3C6A1705" w:rsidR="009A4D3E" w:rsidRDefault="009A4D3E" w:rsidP="00364206">
      <w:pPr>
        <w:tabs>
          <w:tab w:val="left" w:pos="709"/>
        </w:tabs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ab/>
        <w:t xml:space="preserve">Um estudo </w:t>
      </w:r>
      <w:r w:rsidR="002003A1">
        <w:rPr>
          <w:shd w:val="clear" w:color="auto" w:fill="FFFFFF"/>
        </w:rPr>
        <w:t xml:space="preserve">produzido por </w:t>
      </w:r>
      <w:r w:rsidR="006810D5" w:rsidRPr="006810D5">
        <w:t>Kwan</w:t>
      </w:r>
      <w:r w:rsidR="00256035">
        <w:t xml:space="preserve"> et al.</w:t>
      </w:r>
      <w:r w:rsidR="006810D5">
        <w:rPr>
          <w:vertAlign w:val="superscript"/>
        </w:rPr>
        <w:t>13</w:t>
      </w:r>
      <w:r w:rsidR="006810D5">
        <w:t xml:space="preserve">, </w:t>
      </w:r>
      <w:r w:rsidR="002003A1">
        <w:rPr>
          <w:shd w:val="clear" w:color="auto" w:fill="FFFFFF"/>
        </w:rPr>
        <w:t xml:space="preserve">e </w:t>
      </w:r>
      <w:r>
        <w:rPr>
          <w:shd w:val="clear" w:color="auto" w:fill="FFFFFF"/>
        </w:rPr>
        <w:t>publicado recentemente</w:t>
      </w:r>
      <w:r w:rsidR="002003A1">
        <w:rPr>
          <w:shd w:val="clear" w:color="auto" w:fill="FFFFFF"/>
        </w:rPr>
        <w:t>,</w:t>
      </w:r>
      <w:r>
        <w:rPr>
          <w:shd w:val="clear" w:color="auto" w:fill="FFFFFF"/>
        </w:rPr>
        <w:t xml:space="preserve"> avaliou as complicações após cirurgia para EIA com </w:t>
      </w:r>
      <w:r w:rsidRPr="009A4D3E">
        <w:rPr>
          <w:shd w:val="clear" w:color="auto" w:fill="FFFFFF"/>
        </w:rPr>
        <w:t>uma revisão de 84.320 pacientes do banco de dados de morbidez e mortalidade da Scoliosis Research Society</w:t>
      </w:r>
      <w:r>
        <w:rPr>
          <w:shd w:val="clear" w:color="auto" w:fill="FFFFFF"/>
        </w:rPr>
        <w:t xml:space="preserve"> ao longo de um período de 13 anos dividido em dois períodos: </w:t>
      </w:r>
      <w:r w:rsidRPr="009A4D3E">
        <w:rPr>
          <w:shd w:val="clear" w:color="auto" w:fill="FFFFFF"/>
        </w:rPr>
        <w:t>2004 a 2007 e 2013 a 2016.</w:t>
      </w:r>
      <w:r w:rsidR="0082246F">
        <w:rPr>
          <w:shd w:val="clear" w:color="auto" w:fill="FFFFFF"/>
        </w:rPr>
        <w:t xml:space="preserve"> A taxa geral de complicações foi de 1,5%</w:t>
      </w:r>
      <w:r w:rsidR="002003A1">
        <w:rPr>
          <w:shd w:val="clear" w:color="auto" w:fill="FFFFFF"/>
        </w:rPr>
        <w:t xml:space="preserve"> e a</w:t>
      </w:r>
      <w:r w:rsidR="0082246F" w:rsidRPr="0082246F">
        <w:rPr>
          <w:shd w:val="clear" w:color="auto" w:fill="FFFFFF"/>
        </w:rPr>
        <w:t xml:space="preserve"> morte ocorreu em 12 pacientes (0,014%). As três complicações mais comumente </w:t>
      </w:r>
      <w:r w:rsidR="0082246F" w:rsidRPr="0082246F">
        <w:rPr>
          <w:shd w:val="clear" w:color="auto" w:fill="FFFFFF"/>
        </w:rPr>
        <w:lastRenderedPageBreak/>
        <w:t xml:space="preserve">relatadas foram infecção do sítio cirúrgico (0,52%), novo déficit neurológico (0,35%) e complicações relacionadas ao implante (0,20%). A taxa geral de complicações diminuiu de 4,95% durante 2004 a 2007 para 0,98% durante 2013 a 2016, ou seja, houve uma redução das taxas de complicações encontradas no segundo período da análise. </w:t>
      </w:r>
    </w:p>
    <w:p w14:paraId="17696EB9" w14:textId="5AE4B408" w:rsidR="009C49D2" w:rsidRDefault="00916F6E" w:rsidP="00D17A66">
      <w:pPr>
        <w:tabs>
          <w:tab w:val="left" w:pos="709"/>
        </w:tabs>
        <w:spacing w:line="480" w:lineRule="auto"/>
      </w:pPr>
      <w:r>
        <w:rPr>
          <w:shd w:val="clear" w:color="auto" w:fill="FFFFFF"/>
        </w:rPr>
        <w:tab/>
      </w:r>
      <w:r w:rsidR="00094B85">
        <w:rPr>
          <w:b/>
        </w:rPr>
        <w:tab/>
      </w:r>
      <w:r w:rsidR="00094B85" w:rsidRPr="002003A1">
        <w:t>Dentre as maiores dificuldades para a realização do</w:t>
      </w:r>
      <w:r w:rsidR="002003A1" w:rsidRPr="002003A1">
        <w:t xml:space="preserve"> presente</w:t>
      </w:r>
      <w:r w:rsidR="00094B85" w:rsidRPr="002003A1">
        <w:t xml:space="preserve"> estudo, destaca</w:t>
      </w:r>
      <w:r w:rsidR="002003A1" w:rsidRPr="002003A1">
        <w:t>mos</w:t>
      </w:r>
      <w:r w:rsidR="002A22AB" w:rsidRPr="002003A1">
        <w:t xml:space="preserve"> a</w:t>
      </w:r>
      <w:r w:rsidR="00094B85" w:rsidRPr="002003A1">
        <w:t xml:space="preserve"> </w:t>
      </w:r>
      <w:r w:rsidR="002A22AB" w:rsidRPr="002003A1">
        <w:t>pandemia de Sars-CoV-2</w:t>
      </w:r>
      <w:r w:rsidR="002003A1" w:rsidRPr="002003A1">
        <w:t xml:space="preserve">, </w:t>
      </w:r>
      <w:r w:rsidR="002A22AB" w:rsidRPr="002003A1">
        <w:t>que restringiu o número de cirurgias eletivas no ano de 2020 e a escassez de alguns dados importantes para completar o perfil desses pacientes, porém q</w:t>
      </w:r>
      <w:r w:rsidR="003E0744">
        <w:t>ue</w:t>
      </w:r>
      <w:r w:rsidR="002A22AB" w:rsidRPr="002003A1">
        <w:t xml:space="preserve"> não interferem na conduta clínica do cirurgião.</w:t>
      </w:r>
    </w:p>
    <w:p w14:paraId="1C6F4659" w14:textId="2503738C" w:rsidR="002B66BB" w:rsidRDefault="002B66BB" w:rsidP="00364206">
      <w:pPr>
        <w:tabs>
          <w:tab w:val="left" w:pos="-360"/>
        </w:tabs>
        <w:spacing w:line="480" w:lineRule="auto"/>
      </w:pPr>
    </w:p>
    <w:p w14:paraId="63496519" w14:textId="77777777" w:rsidR="009C49D2" w:rsidRDefault="00094B85" w:rsidP="00364206">
      <w:pPr>
        <w:tabs>
          <w:tab w:val="left" w:pos="-360"/>
        </w:tabs>
        <w:spacing w:line="480" w:lineRule="auto"/>
        <w:rPr>
          <w:b/>
        </w:rPr>
      </w:pPr>
      <w:r>
        <w:rPr>
          <w:b/>
        </w:rPr>
        <w:t>CONCLUSÃO</w:t>
      </w:r>
    </w:p>
    <w:p w14:paraId="11B858FC" w14:textId="77777777" w:rsidR="009C49D2" w:rsidRDefault="009C49D2" w:rsidP="00364206">
      <w:pPr>
        <w:tabs>
          <w:tab w:val="left" w:pos="-360"/>
        </w:tabs>
        <w:spacing w:line="480" w:lineRule="auto"/>
        <w:rPr>
          <w:b/>
        </w:rPr>
      </w:pPr>
    </w:p>
    <w:p w14:paraId="6D73AF95" w14:textId="4F2CAC30" w:rsidR="000B7EB7" w:rsidRDefault="00094B85" w:rsidP="00364206">
      <w:pPr>
        <w:tabs>
          <w:tab w:val="left" w:pos="-360"/>
        </w:tabs>
        <w:spacing w:line="480" w:lineRule="auto"/>
      </w:pPr>
      <w:r>
        <w:tab/>
      </w:r>
      <w:r w:rsidR="003E0744">
        <w:t>Concluímos que a</w:t>
      </w:r>
      <w:r w:rsidR="00F20FAC">
        <w:t xml:space="preserve">s meninas são mais suscetíveis a desenvolver </w:t>
      </w:r>
      <w:r w:rsidR="00A953B1">
        <w:t>escoliose e ao agravamento do quadro</w:t>
      </w:r>
      <w:r w:rsidR="00510D6F">
        <w:t xml:space="preserve">, </w:t>
      </w:r>
      <w:r w:rsidR="008F2C6A">
        <w:t xml:space="preserve">sendo necessário um olhar mais criterioso dos profissionais de saúde </w:t>
      </w:r>
      <w:r w:rsidR="007602D6">
        <w:t xml:space="preserve">par com </w:t>
      </w:r>
      <w:r w:rsidR="008F2C6A">
        <w:t xml:space="preserve">as adolescentes do sexo feminino. A </w:t>
      </w:r>
      <w:r w:rsidR="00F20FAC">
        <w:t xml:space="preserve">maioria </w:t>
      </w:r>
      <w:r w:rsidR="008F2C6A">
        <w:t xml:space="preserve">dos casos são de </w:t>
      </w:r>
      <w:r w:rsidR="003E0744">
        <w:t>EIA</w:t>
      </w:r>
      <w:r w:rsidR="008F2C6A">
        <w:t>, ou seja, jovens que não apresentam comorbidades e, por este motivo</w:t>
      </w:r>
      <w:r w:rsidR="008519CA">
        <w:t>,</w:t>
      </w:r>
      <w:r w:rsidR="008F2C6A">
        <w:t xml:space="preserve"> demoram a ser diagnosticados por </w:t>
      </w:r>
      <w:r w:rsidR="008519CA">
        <w:t xml:space="preserve">haver uma </w:t>
      </w:r>
      <w:r w:rsidR="008F2C6A">
        <w:t>fa</w:t>
      </w:r>
      <w:r w:rsidR="008519CA">
        <w:t xml:space="preserve">lsa impressão </w:t>
      </w:r>
      <w:r w:rsidR="003E0744">
        <w:t>de não ser ne</w:t>
      </w:r>
      <w:r w:rsidR="00B8279B">
        <w:t xml:space="preserve">cessário o </w:t>
      </w:r>
      <w:r w:rsidR="008F2C6A">
        <w:t xml:space="preserve">acompanhamento </w:t>
      </w:r>
      <w:r w:rsidR="008519CA">
        <w:t>médico ou fisioterapêutico.</w:t>
      </w:r>
      <w:r w:rsidR="008F2C6A">
        <w:t xml:space="preserve"> </w:t>
      </w:r>
      <w:r w:rsidR="00B8279B">
        <w:t>Em consonância com tal justificativa</w:t>
      </w:r>
      <w:r w:rsidR="00B8279B" w:rsidRPr="00B8279B">
        <w:t xml:space="preserve">, </w:t>
      </w:r>
      <w:r w:rsidR="008519CA" w:rsidRPr="00B8279B">
        <w:t>constat</w:t>
      </w:r>
      <w:r w:rsidR="00B8279B" w:rsidRPr="00B8279B">
        <w:t>amos</w:t>
      </w:r>
      <w:r w:rsidR="008519CA" w:rsidRPr="00B8279B">
        <w:t xml:space="preserve"> que 66,7% dos participantes da pesquisa não eram acompanhados por um desses profissionais citados, que com um teste simples podem identificar a escoliose</w:t>
      </w:r>
      <w:r w:rsidR="00B8279B">
        <w:t xml:space="preserve"> </w:t>
      </w:r>
      <w:r w:rsidR="00B8279B" w:rsidRPr="00503FA4">
        <w:t>e</w:t>
      </w:r>
      <w:r w:rsidR="00C40C20" w:rsidRPr="00503FA4">
        <w:t>,</w:t>
      </w:r>
      <w:r w:rsidR="00B8279B" w:rsidRPr="00503FA4">
        <w:t xml:space="preserve"> </w:t>
      </w:r>
      <w:r w:rsidR="006254D2" w:rsidRPr="00503FA4">
        <w:t>a partir deste</w:t>
      </w:r>
      <w:r w:rsidR="00C40C20" w:rsidRPr="00503FA4">
        <w:t>,</w:t>
      </w:r>
      <w:r w:rsidR="006254D2" w:rsidRPr="00503FA4">
        <w:t xml:space="preserve"> solicitar exame radiográfico </w:t>
      </w:r>
      <w:r w:rsidR="00C40C20" w:rsidRPr="00503FA4">
        <w:t>para avaliar a severidade da curva e indicar o melhor tratamento.</w:t>
      </w:r>
      <w:r w:rsidR="00C40C20">
        <w:t xml:space="preserve"> </w:t>
      </w:r>
      <w:r w:rsidR="00503FA4">
        <w:t xml:space="preserve"> </w:t>
      </w:r>
    </w:p>
    <w:p w14:paraId="73AF3AB1" w14:textId="59534E31" w:rsidR="008519CA" w:rsidRDefault="008519CA" w:rsidP="00B8279B">
      <w:pPr>
        <w:tabs>
          <w:tab w:val="left" w:pos="-360"/>
          <w:tab w:val="left" w:pos="851"/>
        </w:tabs>
        <w:spacing w:line="480" w:lineRule="auto"/>
      </w:pPr>
      <w:r>
        <w:tab/>
        <w:t xml:space="preserve">Este estudo </w:t>
      </w:r>
      <w:r w:rsidR="000C2371">
        <w:t xml:space="preserve">apresenta a necessidade da criação de políticas públicas para conscientização de profissionais de saúde e da sociedade </w:t>
      </w:r>
      <w:r w:rsidR="00EC0798">
        <w:t>em geral</w:t>
      </w:r>
      <w:r w:rsidR="000C2371">
        <w:t xml:space="preserve"> sobre a escoliose e a importância do diagnóstico precoce</w:t>
      </w:r>
      <w:r w:rsidR="00EC0798">
        <w:t>,</w:t>
      </w:r>
      <w:r w:rsidR="000C2371">
        <w:t xml:space="preserve"> que pode ser feito através de triagem escolar</w:t>
      </w:r>
      <w:r w:rsidR="006254D2">
        <w:t xml:space="preserve"> e </w:t>
      </w:r>
      <w:r w:rsidR="006254D2" w:rsidRPr="00503FA4">
        <w:t>nos consultórios pediátricos</w:t>
      </w:r>
      <w:r w:rsidR="000C2371" w:rsidRPr="00503FA4">
        <w:t xml:space="preserve"> com a realização do teste de Adams, que é de fácil aplicabilidade</w:t>
      </w:r>
      <w:r w:rsidR="000C2371">
        <w:t xml:space="preserve"> </w:t>
      </w:r>
      <w:r w:rsidR="00EC0798">
        <w:t xml:space="preserve">e </w:t>
      </w:r>
      <w:r w:rsidR="000C2371">
        <w:t>de baixíssimo custo.</w:t>
      </w:r>
    </w:p>
    <w:p w14:paraId="2676F732" w14:textId="5390B8DD" w:rsidR="009C49D2" w:rsidRDefault="000B7EB7" w:rsidP="00B8279B">
      <w:pPr>
        <w:tabs>
          <w:tab w:val="left" w:pos="-360"/>
          <w:tab w:val="left" w:pos="851"/>
        </w:tabs>
        <w:spacing w:line="480" w:lineRule="auto"/>
      </w:pPr>
      <w:r>
        <w:lastRenderedPageBreak/>
        <w:tab/>
      </w:r>
      <w:r w:rsidR="000C2371">
        <w:t>Finalizando, su</w:t>
      </w:r>
      <w:r w:rsidR="00094B85">
        <w:t>gere</w:t>
      </w:r>
      <w:r w:rsidR="00731646">
        <w:t>m</w:t>
      </w:r>
      <w:r w:rsidR="00094B85">
        <w:t>-se novas pesquisas científicas sobre o tema</w:t>
      </w:r>
      <w:r w:rsidR="00731646">
        <w:t>,</w:t>
      </w:r>
      <w:r w:rsidR="000C2371">
        <w:t xml:space="preserve"> </w:t>
      </w:r>
      <w:r w:rsidR="00BA7038">
        <w:t xml:space="preserve">preferencialmente de forma qualitativa, pré e pós cirurgia, com pacientes e responsáveis a fim de conhecer mais </w:t>
      </w:r>
      <w:r w:rsidR="00731646">
        <w:t>profundamente</w:t>
      </w:r>
      <w:r w:rsidR="00BA7038">
        <w:t xml:space="preserve"> o motivo que levou ao atraso do diagnóstico</w:t>
      </w:r>
      <w:r w:rsidR="00F121E2">
        <w:t xml:space="preserve"> e traçar um perfil mais completo</w:t>
      </w:r>
      <w:r w:rsidR="00BA7038">
        <w:t>. Assim, os profissionais de saúde poderão identificar pontualmente onde devem atuar para que o tratamento conservador chegue a tempo para este</w:t>
      </w:r>
      <w:r w:rsidR="00EC0798">
        <w:t>s jovens</w:t>
      </w:r>
      <w:r w:rsidR="00731646">
        <w:t>.</w:t>
      </w:r>
    </w:p>
    <w:p w14:paraId="1DF43CB0" w14:textId="3BA2657F" w:rsidR="009C49D2" w:rsidRDefault="009C49D2" w:rsidP="00364206">
      <w:pPr>
        <w:tabs>
          <w:tab w:val="left" w:pos="-360"/>
        </w:tabs>
        <w:spacing w:line="480" w:lineRule="auto"/>
        <w:rPr>
          <w:b/>
        </w:rPr>
      </w:pPr>
    </w:p>
    <w:p w14:paraId="3DC8DF57" w14:textId="77777777" w:rsidR="009C49D2" w:rsidRPr="00ED148F" w:rsidRDefault="00094B85" w:rsidP="00364206">
      <w:pPr>
        <w:tabs>
          <w:tab w:val="left" w:pos="-360"/>
        </w:tabs>
        <w:spacing w:line="480" w:lineRule="auto"/>
        <w:rPr>
          <w:b/>
          <w:lang w:val="en-US"/>
        </w:rPr>
      </w:pPr>
      <w:bookmarkStart w:id="3" w:name="_3znysh7" w:colFirst="0" w:colLast="0"/>
      <w:bookmarkEnd w:id="3"/>
      <w:r w:rsidRPr="00ED148F">
        <w:rPr>
          <w:b/>
          <w:lang w:val="en-US"/>
        </w:rPr>
        <w:t xml:space="preserve">REFERÊNCIAS </w:t>
      </w:r>
    </w:p>
    <w:p w14:paraId="5E2CD74F" w14:textId="445EC58F" w:rsidR="009C49D2" w:rsidRPr="00ED148F" w:rsidRDefault="009C49D2" w:rsidP="00364206">
      <w:pPr>
        <w:spacing w:line="480" w:lineRule="auto"/>
        <w:rPr>
          <w:lang w:val="en-US"/>
        </w:rPr>
      </w:pPr>
    </w:p>
    <w:p w14:paraId="5981FBBB" w14:textId="26EF276B" w:rsidR="001A353A" w:rsidRPr="006B7B61" w:rsidRDefault="001A353A" w:rsidP="006B7B61">
      <w:pPr>
        <w:pStyle w:val="PargrafodaLista"/>
        <w:numPr>
          <w:ilvl w:val="0"/>
          <w:numId w:val="1"/>
        </w:numPr>
        <w:rPr>
          <w:rFonts w:eastAsiaTheme="minorHAnsi"/>
          <w:color w:val="303030"/>
          <w:shd w:val="clear" w:color="auto" w:fill="FFFFFF"/>
          <w:lang w:val="en-US" w:eastAsia="en-US"/>
        </w:rPr>
      </w:pPr>
      <w:r w:rsidRPr="006B7B61">
        <w:rPr>
          <w:color w:val="212121"/>
          <w:shd w:val="clear" w:color="auto" w:fill="FFFFFF"/>
          <w:lang w:val="en-US"/>
        </w:rPr>
        <w:t>Choudhry MN, Ahmad Z, Verma R. Adolescent Idiopathic Scoliosis. Open Orthop J. 2016 May 30;</w:t>
      </w:r>
      <w:r w:rsidR="00731646">
        <w:rPr>
          <w:color w:val="212121"/>
          <w:shd w:val="clear" w:color="auto" w:fill="FFFFFF"/>
          <w:lang w:val="en-US"/>
        </w:rPr>
        <w:t xml:space="preserve"> </w:t>
      </w:r>
      <w:r w:rsidRPr="006B7B61">
        <w:rPr>
          <w:color w:val="212121"/>
          <w:shd w:val="clear" w:color="auto" w:fill="FFFFFF"/>
          <w:lang w:val="en-US"/>
        </w:rPr>
        <w:t>10:</w:t>
      </w:r>
      <w:r w:rsidR="00731646">
        <w:rPr>
          <w:color w:val="212121"/>
          <w:shd w:val="clear" w:color="auto" w:fill="FFFFFF"/>
          <w:lang w:val="en-US"/>
        </w:rPr>
        <w:t xml:space="preserve"> </w:t>
      </w:r>
      <w:r w:rsidRPr="006B7B61">
        <w:rPr>
          <w:color w:val="212121"/>
          <w:shd w:val="clear" w:color="auto" w:fill="FFFFFF"/>
          <w:lang w:val="en-US"/>
        </w:rPr>
        <w:t>143-54. </w:t>
      </w:r>
    </w:p>
    <w:p w14:paraId="369ECEBF" w14:textId="32C9FB2A" w:rsidR="00754D6D" w:rsidRPr="006B7B61" w:rsidRDefault="00754D6D" w:rsidP="006B7B61">
      <w:pPr>
        <w:pStyle w:val="PargrafodaLista"/>
        <w:rPr>
          <w:rFonts w:eastAsiaTheme="minorHAnsi"/>
          <w:color w:val="303030"/>
          <w:shd w:val="clear" w:color="auto" w:fill="FFFFFF"/>
          <w:lang w:val="en-US" w:eastAsia="en-US"/>
        </w:rPr>
      </w:pPr>
    </w:p>
    <w:p w14:paraId="09B552AD" w14:textId="77777777" w:rsidR="00130D77" w:rsidRPr="006B7B61" w:rsidRDefault="00130D77" w:rsidP="006B7B61">
      <w:pPr>
        <w:pStyle w:val="PargrafodaLista"/>
        <w:rPr>
          <w:rFonts w:eastAsiaTheme="minorHAnsi"/>
          <w:color w:val="303030"/>
          <w:shd w:val="clear" w:color="auto" w:fill="FFFFFF"/>
          <w:lang w:val="en-US" w:eastAsia="en-US"/>
        </w:rPr>
      </w:pPr>
    </w:p>
    <w:p w14:paraId="66A13ECD" w14:textId="6FD4492F" w:rsidR="006B7B61" w:rsidRPr="003C1CDD" w:rsidRDefault="00E32663" w:rsidP="0012282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D2CE4">
        <w:rPr>
          <w:color w:val="303030"/>
          <w:shd w:val="clear" w:color="auto" w:fill="FFFFFF"/>
        </w:rPr>
        <w:t xml:space="preserve">Negrini S, Donzelli S, Aulisa AG, </w:t>
      </w:r>
      <w:r w:rsidR="003C1CDD" w:rsidRPr="002D2CE4">
        <w:rPr>
          <w:color w:val="303030"/>
          <w:shd w:val="clear" w:color="auto" w:fill="FFFFFF"/>
        </w:rPr>
        <w:t>Czaprowski D, Schreiber S, de Mauroy</w:t>
      </w:r>
      <w:r w:rsidR="003C1CDD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JC, Diers</w:t>
      </w:r>
      <w:r w:rsidR="003C1CDD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H, Grivas</w:t>
      </w:r>
      <w:r w:rsidR="003C1CDD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TB, Knott</w:t>
      </w:r>
      <w:r w:rsidR="003C1CDD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P</w:t>
      </w:r>
      <w:r w:rsidR="003C1CDD" w:rsidRPr="002D2CE4">
        <w:rPr>
          <w:color w:val="303030"/>
          <w:shd w:val="clear" w:color="auto" w:fill="FFFFFF"/>
        </w:rPr>
        <w:t>,</w:t>
      </w:r>
      <w:r w:rsidR="003C1CDD" w:rsidRPr="002D2CE4">
        <w:rPr>
          <w:color w:val="303030"/>
          <w:shd w:val="clear" w:color="auto" w:fill="FFFFFF"/>
        </w:rPr>
        <w:t xml:space="preserve"> Kotwicki T, Lebel</w:t>
      </w:r>
      <w:r w:rsidR="003C1CDD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A, Marti C</w:t>
      </w:r>
      <w:r w:rsidR="002D2CE4" w:rsidRPr="002D2CE4">
        <w:rPr>
          <w:color w:val="303030"/>
          <w:shd w:val="clear" w:color="auto" w:fill="FFFFFF"/>
        </w:rPr>
        <w:t>,</w:t>
      </w:r>
      <w:r w:rsidR="003C1CDD" w:rsidRPr="002D2CE4">
        <w:rPr>
          <w:color w:val="303030"/>
          <w:shd w:val="clear" w:color="auto" w:fill="FFFFFF"/>
        </w:rPr>
        <w:t xml:space="preserve"> Maruyama T, O'Brien J, Price</w:t>
      </w:r>
      <w:r w:rsidR="002D2CE4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N, Parent</w:t>
      </w:r>
      <w:r w:rsidR="002D2CE4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E, Rigo M, Romano M, Stikeleather L, Wynne J,</w:t>
      </w:r>
      <w:r w:rsidR="002D2CE4" w:rsidRPr="002D2CE4">
        <w:rPr>
          <w:color w:val="303030"/>
          <w:shd w:val="clear" w:color="auto" w:fill="FFFFFF"/>
        </w:rPr>
        <w:t xml:space="preserve"> </w:t>
      </w:r>
      <w:r w:rsidR="003C1CDD" w:rsidRPr="002D2CE4">
        <w:rPr>
          <w:color w:val="303030"/>
          <w:shd w:val="clear" w:color="auto" w:fill="FFFFFF"/>
        </w:rPr>
        <w:t>Zaina F.</w:t>
      </w:r>
      <w:r w:rsidRPr="002D2CE4">
        <w:rPr>
          <w:color w:val="303030"/>
          <w:shd w:val="clear" w:color="auto" w:fill="FFFFFF"/>
        </w:rPr>
        <w:t> </w:t>
      </w:r>
      <w:r w:rsidRPr="003C1CDD">
        <w:rPr>
          <w:color w:val="303030"/>
          <w:shd w:val="clear" w:color="auto" w:fill="FFFFFF"/>
        </w:rPr>
        <w:t>Diretrizes do SOSORT 2016: tratamento ortopédico e de reabilitação da escoliose idiopática durante o crescimento. Scoliosis Spinal Disord. 2018 Jan</w:t>
      </w:r>
      <w:r w:rsidR="006B7B61" w:rsidRPr="003C1CDD">
        <w:rPr>
          <w:color w:val="303030"/>
          <w:shd w:val="clear" w:color="auto" w:fill="FFFFFF"/>
        </w:rPr>
        <w:t xml:space="preserve"> </w:t>
      </w:r>
      <w:r w:rsidRPr="003C1CDD">
        <w:rPr>
          <w:color w:val="303030"/>
          <w:shd w:val="clear" w:color="auto" w:fill="FFFFFF"/>
        </w:rPr>
        <w:t>10;</w:t>
      </w:r>
      <w:r w:rsidR="00731646" w:rsidRPr="003C1CDD">
        <w:rPr>
          <w:color w:val="303030"/>
          <w:shd w:val="clear" w:color="auto" w:fill="FFFFFF"/>
        </w:rPr>
        <w:t xml:space="preserve"> </w:t>
      </w:r>
      <w:r w:rsidRPr="003C1CDD">
        <w:rPr>
          <w:color w:val="303030"/>
          <w:shd w:val="clear" w:color="auto" w:fill="FFFFFF"/>
        </w:rPr>
        <w:t>13:</w:t>
      </w:r>
      <w:r w:rsidR="00731646" w:rsidRPr="003C1CDD">
        <w:rPr>
          <w:color w:val="303030"/>
          <w:shd w:val="clear" w:color="auto" w:fill="FFFFFF"/>
        </w:rPr>
        <w:t xml:space="preserve"> </w:t>
      </w:r>
      <w:r w:rsidRPr="003C1CDD">
        <w:rPr>
          <w:color w:val="303030"/>
          <w:shd w:val="clear" w:color="auto" w:fill="FFFFFF"/>
        </w:rPr>
        <w:t>3. </w:t>
      </w:r>
    </w:p>
    <w:p w14:paraId="10920E1C" w14:textId="27820FA7" w:rsidR="006B7B61" w:rsidRPr="003C1CDD" w:rsidRDefault="006B7B61" w:rsidP="001228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9F4A24" w14:textId="77777777" w:rsidR="006B7B61" w:rsidRPr="006B7B61" w:rsidRDefault="006B7B61" w:rsidP="001228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0D3F1B" w14:textId="78A3B453" w:rsidR="009C49D2" w:rsidRPr="006B7B61" w:rsidRDefault="006B7B61" w:rsidP="0012282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6B7B61">
        <w:rPr>
          <w:color w:val="212121"/>
          <w:shd w:val="clear" w:color="auto" w:fill="FFFFFF"/>
          <w:lang w:val="en-US"/>
        </w:rPr>
        <w:t>Canavese F, Rousset M, Le Gledic B, Samba A, Dimeglio A. Surgical advances in the treatment of neuromuscular scoliosis. World J Orthop. 2014 Apr 18;</w:t>
      </w:r>
      <w:r w:rsidR="00731646">
        <w:rPr>
          <w:color w:val="212121"/>
          <w:shd w:val="clear" w:color="auto" w:fill="FFFFFF"/>
          <w:lang w:val="en-US"/>
        </w:rPr>
        <w:t xml:space="preserve"> </w:t>
      </w:r>
      <w:r w:rsidRPr="006B7B61">
        <w:rPr>
          <w:color w:val="212121"/>
          <w:shd w:val="clear" w:color="auto" w:fill="FFFFFF"/>
          <w:lang w:val="en-US"/>
        </w:rPr>
        <w:t>5(2):</w:t>
      </w:r>
      <w:r w:rsidR="00731646">
        <w:rPr>
          <w:color w:val="212121"/>
          <w:shd w:val="clear" w:color="auto" w:fill="FFFFFF"/>
          <w:lang w:val="en-US"/>
        </w:rPr>
        <w:t xml:space="preserve"> </w:t>
      </w:r>
      <w:r w:rsidRPr="006B7B61">
        <w:rPr>
          <w:color w:val="212121"/>
          <w:shd w:val="clear" w:color="auto" w:fill="FFFFFF"/>
          <w:lang w:val="en-US"/>
        </w:rPr>
        <w:t>124-33.</w:t>
      </w:r>
    </w:p>
    <w:p w14:paraId="1BA9BC61" w14:textId="2738ABDB" w:rsidR="006B7B61" w:rsidRDefault="006B7B61" w:rsidP="001228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4425A89B" w14:textId="77777777" w:rsidR="00DE629F" w:rsidRPr="00DE629F" w:rsidRDefault="00DE629F" w:rsidP="001228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60ECCEB8" w14:textId="173F9D05" w:rsidR="00923B3A" w:rsidRPr="00923B3A" w:rsidRDefault="00DE629F" w:rsidP="00122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Fira Sans" w:hAnsi="Fira Sans"/>
          <w:color w:val="000000"/>
          <w:sz w:val="21"/>
          <w:szCs w:val="21"/>
          <w:shd w:val="clear" w:color="auto" w:fill="FFFFFF"/>
        </w:rPr>
      </w:pPr>
      <w:r w:rsidRPr="00923B3A">
        <w:rPr>
          <w:color w:val="212121"/>
          <w:shd w:val="clear" w:color="auto" w:fill="FFFFFF"/>
          <w:lang w:val="en-US"/>
        </w:rPr>
        <w:t>Eckalbar WL, Fisher RE, Rawls A, Kusumi K. Scoliosis and segmentation defects of the vertebrae. Wiley Interdiscip Rev Dev Biol. 2012 May-Jun;</w:t>
      </w:r>
      <w:r w:rsidR="00731646">
        <w:rPr>
          <w:color w:val="212121"/>
          <w:shd w:val="clear" w:color="auto" w:fill="FFFFFF"/>
          <w:lang w:val="en-US"/>
        </w:rPr>
        <w:t xml:space="preserve"> </w:t>
      </w:r>
      <w:r w:rsidRPr="00923B3A">
        <w:rPr>
          <w:color w:val="212121"/>
          <w:shd w:val="clear" w:color="auto" w:fill="FFFFFF"/>
          <w:lang w:val="en-US"/>
        </w:rPr>
        <w:t>1(3):</w:t>
      </w:r>
      <w:r w:rsidR="001E0A96">
        <w:rPr>
          <w:color w:val="212121"/>
          <w:shd w:val="clear" w:color="auto" w:fill="FFFFFF"/>
          <w:lang w:val="en-US"/>
        </w:rPr>
        <w:t xml:space="preserve"> </w:t>
      </w:r>
      <w:r w:rsidRPr="00923B3A">
        <w:rPr>
          <w:color w:val="212121"/>
          <w:shd w:val="clear" w:color="auto" w:fill="FFFFFF"/>
          <w:lang w:val="en-US"/>
        </w:rPr>
        <w:t>401-23.</w:t>
      </w:r>
    </w:p>
    <w:p w14:paraId="1A9F9134" w14:textId="77777777" w:rsidR="00923B3A" w:rsidRPr="00923B3A" w:rsidRDefault="00923B3A" w:rsidP="001228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Fira Sans" w:hAnsi="Fira Sans"/>
          <w:color w:val="000000"/>
          <w:sz w:val="21"/>
          <w:szCs w:val="21"/>
          <w:shd w:val="clear" w:color="auto" w:fill="FFFFFF"/>
        </w:rPr>
      </w:pPr>
    </w:p>
    <w:p w14:paraId="628AB051" w14:textId="77777777" w:rsidR="00923B3A" w:rsidRPr="00923B3A" w:rsidRDefault="00923B3A" w:rsidP="001228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Fira Sans" w:hAnsi="Fira Sans"/>
          <w:color w:val="000000"/>
          <w:sz w:val="21"/>
          <w:szCs w:val="21"/>
          <w:shd w:val="clear" w:color="auto" w:fill="FFFFFF"/>
        </w:rPr>
      </w:pPr>
    </w:p>
    <w:p w14:paraId="0C95553E" w14:textId="59F4E547" w:rsidR="00D97683" w:rsidRPr="00CC08AD" w:rsidRDefault="00923B3A" w:rsidP="00122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</w:rPr>
      </w:pPr>
      <w:r w:rsidRPr="00CC08AD">
        <w:rPr>
          <w:color w:val="000000"/>
          <w:shd w:val="clear" w:color="auto" w:fill="FFFFFF"/>
        </w:rPr>
        <w:t>Wang WJ</w:t>
      </w:r>
      <w:r w:rsidR="002C62F1" w:rsidRPr="00CC08AD">
        <w:rPr>
          <w:color w:val="000000"/>
          <w:shd w:val="clear" w:color="auto" w:fill="FFFFFF"/>
        </w:rPr>
        <w:t>,</w:t>
      </w:r>
      <w:r w:rsidRPr="00CC08AD">
        <w:rPr>
          <w:color w:val="000000"/>
          <w:shd w:val="clear" w:color="auto" w:fill="FFFFFF"/>
        </w:rPr>
        <w:t xml:space="preserve"> Yeung HY</w:t>
      </w:r>
      <w:r w:rsidR="002C62F1" w:rsidRPr="00CC08AD">
        <w:rPr>
          <w:color w:val="000000"/>
          <w:shd w:val="clear" w:color="auto" w:fill="FFFFFF"/>
        </w:rPr>
        <w:t>,</w:t>
      </w:r>
      <w:r w:rsidRPr="00CC08AD">
        <w:rPr>
          <w:color w:val="000000"/>
          <w:shd w:val="clear" w:color="auto" w:fill="FFFFFF"/>
        </w:rPr>
        <w:t> Chu WCW</w:t>
      </w:r>
      <w:r w:rsidR="002C62F1" w:rsidRPr="00CC08AD">
        <w:rPr>
          <w:color w:val="000000"/>
          <w:shd w:val="clear" w:color="auto" w:fill="FFFFFF"/>
        </w:rPr>
        <w:t>,</w:t>
      </w:r>
      <w:r w:rsidRPr="00CC08AD">
        <w:rPr>
          <w:color w:val="000000"/>
          <w:shd w:val="clear" w:color="auto" w:fill="FFFFFF"/>
        </w:rPr>
        <w:t> </w:t>
      </w:r>
      <w:r w:rsidR="001221A4" w:rsidRPr="00CC08AD">
        <w:rPr>
          <w:color w:val="000000"/>
          <w:shd w:val="clear" w:color="auto" w:fill="FFFFFF"/>
        </w:rPr>
        <w:t xml:space="preserve">Tang NLS, Lee KM, </w:t>
      </w:r>
      <w:r w:rsidR="002A2BBA" w:rsidRPr="00CC08AD">
        <w:rPr>
          <w:color w:val="333333"/>
          <w:shd w:val="clear" w:color="auto" w:fill="FFFFFF"/>
        </w:rPr>
        <w:t>Qiu Y</w:t>
      </w:r>
      <w:r w:rsidR="002A2BBA" w:rsidRPr="00CC08AD">
        <w:rPr>
          <w:color w:val="333333"/>
          <w:shd w:val="clear" w:color="auto" w:fill="FFFFFF"/>
        </w:rPr>
        <w:t xml:space="preserve">, </w:t>
      </w:r>
      <w:r w:rsidR="002A2BBA" w:rsidRPr="00CC08AD">
        <w:rPr>
          <w:color w:val="333333"/>
          <w:shd w:val="clear" w:color="auto" w:fill="FFFFFF"/>
        </w:rPr>
        <w:t>Burwell RG</w:t>
      </w:r>
      <w:r w:rsidR="002A2BBA" w:rsidRPr="00CC08AD">
        <w:rPr>
          <w:color w:val="333333"/>
          <w:shd w:val="clear" w:color="auto" w:fill="FFFFFF"/>
        </w:rPr>
        <w:t>,</w:t>
      </w:r>
      <w:r w:rsidR="002A2BBA" w:rsidRPr="00CC08AD">
        <w:rPr>
          <w:color w:val="333333"/>
          <w:shd w:val="clear" w:color="auto" w:fill="FFFFFF"/>
        </w:rPr>
        <w:t> Cheng JCY</w:t>
      </w:r>
      <w:r w:rsidRPr="00CC08AD">
        <w:rPr>
          <w:color w:val="000000"/>
          <w:shd w:val="clear" w:color="auto" w:fill="FFFFFF"/>
        </w:rPr>
        <w:t xml:space="preserve">. Principais teorias para a etiopatogênese da escoliose </w:t>
      </w:r>
      <w:r w:rsidRPr="00CC08AD">
        <w:rPr>
          <w:shd w:val="clear" w:color="auto" w:fill="FFFFFF"/>
        </w:rPr>
        <w:t>idiopática do adolescente</w:t>
      </w:r>
      <w:r w:rsidR="00BF7A71" w:rsidRPr="00CC08AD">
        <w:rPr>
          <w:shd w:val="clear" w:color="auto" w:fill="FFFFFF"/>
        </w:rPr>
        <w:t>.</w:t>
      </w:r>
      <w:r w:rsidRPr="00CC08AD">
        <w:rPr>
          <w:shd w:val="clear" w:color="auto" w:fill="FFFFFF"/>
        </w:rPr>
        <w:t xml:space="preserve"> Revista de Ortopedia Pediátrica</w:t>
      </w:r>
      <w:r w:rsidR="002C62F1" w:rsidRPr="00CC08AD">
        <w:rPr>
          <w:shd w:val="clear" w:color="auto" w:fill="FFFFFF"/>
        </w:rPr>
        <w:t>.</w:t>
      </w:r>
      <w:r w:rsidRPr="00CC08AD">
        <w:rPr>
          <w:shd w:val="clear" w:color="auto" w:fill="FFFFFF"/>
        </w:rPr>
        <w:t xml:space="preserve"> Janeiro/</w:t>
      </w:r>
      <w:r w:rsidR="000D4237" w:rsidRPr="00CC08AD">
        <w:rPr>
          <w:shd w:val="clear" w:color="auto" w:fill="FFFFFF"/>
        </w:rPr>
        <w:t>fevereiro</w:t>
      </w:r>
      <w:r w:rsidRPr="00CC08AD">
        <w:rPr>
          <w:shd w:val="clear" w:color="auto" w:fill="FFFFFF"/>
        </w:rPr>
        <w:t xml:space="preserve"> 2011</w:t>
      </w:r>
      <w:r w:rsidR="002C62F1" w:rsidRPr="00CC08AD">
        <w:rPr>
          <w:shd w:val="clear" w:color="auto" w:fill="FFFFFF"/>
        </w:rPr>
        <w:t xml:space="preserve">; </w:t>
      </w:r>
      <w:r w:rsidRPr="00CC08AD">
        <w:rPr>
          <w:shd w:val="clear" w:color="auto" w:fill="FFFFFF"/>
        </w:rPr>
        <w:t>3</w:t>
      </w:r>
      <w:r w:rsidR="002C62F1" w:rsidRPr="00CC08AD">
        <w:rPr>
          <w:shd w:val="clear" w:color="auto" w:fill="FFFFFF"/>
        </w:rPr>
        <w:t>1:</w:t>
      </w:r>
      <w:r w:rsidR="001E0A96" w:rsidRPr="00CC08AD">
        <w:rPr>
          <w:shd w:val="clear" w:color="auto" w:fill="FFFFFF"/>
        </w:rPr>
        <w:t xml:space="preserve"> </w:t>
      </w:r>
      <w:r w:rsidRPr="00CC08AD">
        <w:rPr>
          <w:shd w:val="clear" w:color="auto" w:fill="FFFFFF"/>
        </w:rPr>
        <w:t>S14-S27</w:t>
      </w:r>
    </w:p>
    <w:p w14:paraId="42880B9F" w14:textId="77777777" w:rsidR="00D97683" w:rsidRPr="00731646" w:rsidRDefault="00D97683" w:rsidP="00122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kern w:val="36"/>
          <w:sz w:val="22"/>
          <w:szCs w:val="22"/>
        </w:rPr>
      </w:pPr>
    </w:p>
    <w:p w14:paraId="480684CB" w14:textId="77777777" w:rsidR="00D97683" w:rsidRPr="00731646" w:rsidRDefault="00D97683" w:rsidP="001228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kern w:val="36"/>
          <w:sz w:val="22"/>
          <w:szCs w:val="22"/>
        </w:rPr>
      </w:pPr>
    </w:p>
    <w:p w14:paraId="2890ED9E" w14:textId="5E0F7512" w:rsidR="00D97683" w:rsidRPr="00731646" w:rsidRDefault="00D97683" w:rsidP="00122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  <w:sz w:val="22"/>
          <w:szCs w:val="22"/>
        </w:rPr>
      </w:pPr>
      <w:r w:rsidRPr="00731646">
        <w:rPr>
          <w:kern w:val="36"/>
          <w:sz w:val="22"/>
          <w:szCs w:val="22"/>
        </w:rPr>
        <w:t>Kynes JM, Evans FM. Correção Cirúrgica da escoliose - Considerações anestésicas. Sociedade Brasileira de Anestesiologia. Ju</w:t>
      </w:r>
      <w:r w:rsidR="002202C6">
        <w:rPr>
          <w:kern w:val="36"/>
          <w:sz w:val="22"/>
          <w:szCs w:val="22"/>
        </w:rPr>
        <w:t>l</w:t>
      </w:r>
      <w:r w:rsidRPr="00731646">
        <w:rPr>
          <w:kern w:val="36"/>
          <w:sz w:val="22"/>
          <w:szCs w:val="22"/>
        </w:rPr>
        <w:t>ho 201</w:t>
      </w:r>
      <w:r w:rsidR="002202C6">
        <w:rPr>
          <w:kern w:val="36"/>
          <w:sz w:val="22"/>
          <w:szCs w:val="22"/>
        </w:rPr>
        <w:t>5</w:t>
      </w:r>
      <w:r w:rsidRPr="00731646">
        <w:rPr>
          <w:kern w:val="36"/>
          <w:sz w:val="22"/>
          <w:szCs w:val="22"/>
        </w:rPr>
        <w:t xml:space="preserve">. </w:t>
      </w:r>
    </w:p>
    <w:p w14:paraId="31B0A61B" w14:textId="60E1185F" w:rsidR="00680D73" w:rsidRPr="00731646" w:rsidRDefault="00680D73" w:rsidP="00680D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  <w:sz w:val="22"/>
          <w:szCs w:val="22"/>
        </w:rPr>
      </w:pPr>
    </w:p>
    <w:p w14:paraId="3670E80D" w14:textId="77777777" w:rsidR="00680D73" w:rsidRPr="00731646" w:rsidRDefault="00680D73" w:rsidP="00680D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  <w:sz w:val="22"/>
          <w:szCs w:val="22"/>
        </w:rPr>
      </w:pPr>
    </w:p>
    <w:p w14:paraId="577E1A14" w14:textId="18D5FA85" w:rsidR="00680D73" w:rsidRPr="00415FD9" w:rsidRDefault="00680D73" w:rsidP="00122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</w:rPr>
      </w:pPr>
      <w:r w:rsidRPr="00415FD9">
        <w:rPr>
          <w:shd w:val="clear" w:color="auto" w:fill="FFFFFF"/>
        </w:rPr>
        <w:t>Ciaccia MCC, Castro JSD</w:t>
      </w:r>
      <w:r w:rsidR="00BF7A71" w:rsidRPr="00415FD9">
        <w:rPr>
          <w:shd w:val="clear" w:color="auto" w:fill="FFFFFF"/>
        </w:rPr>
        <w:t xml:space="preserve">, </w:t>
      </w:r>
      <w:r w:rsidRPr="00415FD9">
        <w:rPr>
          <w:shd w:val="clear" w:color="auto" w:fill="FFFFFF"/>
        </w:rPr>
        <w:t xml:space="preserve">Rahal MA, </w:t>
      </w:r>
      <w:r w:rsidR="0040013C" w:rsidRPr="00415FD9">
        <w:rPr>
          <w:shd w:val="clear" w:color="auto" w:fill="FFFFFF"/>
        </w:rPr>
        <w:t xml:space="preserve">Penatti BS, Selegatto IB, </w:t>
      </w:r>
      <w:r w:rsidR="00415FD9" w:rsidRPr="00415FD9">
        <w:rPr>
          <w:rStyle w:val="dropdown"/>
          <w:color w:val="403D39"/>
          <w:shd w:val="clear" w:color="auto" w:fill="FFFFFF"/>
        </w:rPr>
        <w:t>Giampietro</w:t>
      </w:r>
      <w:r w:rsidR="00415FD9" w:rsidRPr="00415FD9">
        <w:rPr>
          <w:rStyle w:val="dropdown"/>
          <w:color w:val="403D39"/>
          <w:shd w:val="clear" w:color="auto" w:fill="FFFFFF"/>
        </w:rPr>
        <w:t xml:space="preserve"> JLM, </w:t>
      </w:r>
      <w:r w:rsidR="00415FD9" w:rsidRPr="00415FD9">
        <w:rPr>
          <w:rStyle w:val="dropdown"/>
          <w:color w:val="403D39"/>
          <w:shd w:val="clear" w:color="auto" w:fill="FFFFFF"/>
        </w:rPr>
        <w:t>Rullo</w:t>
      </w:r>
      <w:r w:rsidR="00415FD9" w:rsidRPr="00415FD9">
        <w:rPr>
          <w:rStyle w:val="dropdown"/>
          <w:color w:val="403D39"/>
          <w:shd w:val="clear" w:color="auto" w:fill="FFFFFF"/>
        </w:rPr>
        <w:t xml:space="preserve"> VEV. </w:t>
      </w:r>
      <w:r w:rsidRPr="00415FD9">
        <w:rPr>
          <w:shd w:val="clear" w:color="auto" w:fill="FFFFFF"/>
        </w:rPr>
        <w:t>Prevalência de escoliose em escolares do ensino fundamental público. Revista Paulista de Pediatria</w:t>
      </w:r>
      <w:r w:rsidR="00BF7A71" w:rsidRPr="00415FD9">
        <w:rPr>
          <w:shd w:val="clear" w:color="auto" w:fill="FFFFFF"/>
        </w:rPr>
        <w:t xml:space="preserve">. Apr-Jun 2017; </w:t>
      </w:r>
      <w:r w:rsidRPr="00415FD9">
        <w:rPr>
          <w:shd w:val="clear" w:color="auto" w:fill="FFFFFF"/>
        </w:rPr>
        <w:t>35</w:t>
      </w:r>
      <w:r w:rsidR="00BF7A71" w:rsidRPr="00415FD9">
        <w:rPr>
          <w:shd w:val="clear" w:color="auto" w:fill="FFFFFF"/>
        </w:rPr>
        <w:t>(2)</w:t>
      </w:r>
      <w:r w:rsidR="00731646" w:rsidRPr="00415FD9">
        <w:rPr>
          <w:shd w:val="clear" w:color="auto" w:fill="FFFFFF"/>
        </w:rPr>
        <w:t>:</w:t>
      </w:r>
      <w:r w:rsidRPr="00415FD9">
        <w:rPr>
          <w:shd w:val="clear" w:color="auto" w:fill="FFFFFF"/>
        </w:rPr>
        <w:t xml:space="preserve"> 191-8.</w:t>
      </w:r>
    </w:p>
    <w:p w14:paraId="581D4A4D" w14:textId="76B84DF9" w:rsidR="00C74BF6" w:rsidRPr="00731646" w:rsidRDefault="00C74BF6" w:rsidP="00C74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hd w:val="clear" w:color="auto" w:fill="FFFFFF"/>
        </w:rPr>
      </w:pPr>
    </w:p>
    <w:p w14:paraId="17943222" w14:textId="77777777" w:rsidR="00C74BF6" w:rsidRPr="00A979EB" w:rsidRDefault="00C74BF6" w:rsidP="00C74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</w:rPr>
      </w:pPr>
    </w:p>
    <w:p w14:paraId="717F8353" w14:textId="5F9826E1" w:rsidR="00C74BF6" w:rsidRPr="00A979EB" w:rsidRDefault="00C74BF6" w:rsidP="00122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</w:rPr>
      </w:pPr>
      <w:r w:rsidRPr="00A979EB">
        <w:rPr>
          <w:shd w:val="clear" w:color="auto" w:fill="FCFCFC"/>
          <w:lang w:val="en-US"/>
        </w:rPr>
        <w:t xml:space="preserve">Valdovino AG, Bastrom TP, Reighard FG, Cross M, Bartley CE, Shah SA, </w:t>
      </w:r>
      <w:bookmarkStart w:id="4" w:name="bau7"/>
      <w:r w:rsidR="00A979EB" w:rsidRPr="00A979EB">
        <w:rPr>
          <w:rStyle w:val="text"/>
          <w:lang w:val="en-US"/>
        </w:rPr>
        <w:t>Yaszay</w:t>
      </w:r>
      <w:r w:rsidR="00A979EB" w:rsidRPr="00A979EB">
        <w:rPr>
          <w:rStyle w:val="text"/>
          <w:lang w:val="en-US"/>
        </w:rPr>
        <w:t xml:space="preserve"> B, </w:t>
      </w:r>
      <w:bookmarkStart w:id="5" w:name="bau8"/>
      <w:bookmarkEnd w:id="4"/>
      <w:r w:rsidR="00A979EB" w:rsidRPr="00A979EB">
        <w:fldChar w:fldCharType="begin"/>
      </w:r>
      <w:r w:rsidR="00A979EB" w:rsidRPr="00A979EB">
        <w:rPr>
          <w:lang w:val="en-US"/>
        </w:rPr>
        <w:instrText xml:space="preserve"> HYPERLINK "https://www.sciencedirect.com/science/article/abs/pii/S2212134X19300620?via%3Dihub" \l "!" </w:instrText>
      </w:r>
      <w:r w:rsidR="00A979EB" w:rsidRPr="00A979EB">
        <w:fldChar w:fldCharType="separate"/>
      </w:r>
      <w:r w:rsidR="00A979EB" w:rsidRPr="00A979EB">
        <w:rPr>
          <w:rStyle w:val="text"/>
          <w:lang w:val="en-US"/>
        </w:rPr>
        <w:t>Newton</w:t>
      </w:r>
      <w:r w:rsidR="00A979EB" w:rsidRPr="00A979EB">
        <w:rPr>
          <w:rStyle w:val="text"/>
          <w:lang w:val="en-US"/>
        </w:rPr>
        <w:t xml:space="preserve"> PO, </w:t>
      </w:r>
      <w:r w:rsidR="00A979EB" w:rsidRPr="00A979EB">
        <w:fldChar w:fldCharType="end"/>
      </w:r>
      <w:bookmarkStart w:id="6" w:name="bau9"/>
      <w:bookmarkEnd w:id="5"/>
      <w:r w:rsidR="00A979EB" w:rsidRPr="00A979EB">
        <w:rPr>
          <w:rStyle w:val="text"/>
          <w:lang w:val="en-US"/>
        </w:rPr>
        <w:t>Upasani</w:t>
      </w:r>
      <w:r w:rsidR="00A979EB" w:rsidRPr="00A979EB">
        <w:rPr>
          <w:rStyle w:val="text"/>
          <w:lang w:val="en-US"/>
        </w:rPr>
        <w:t xml:space="preserve"> </w:t>
      </w:r>
      <w:bookmarkEnd w:id="6"/>
      <w:r w:rsidR="00A979EB" w:rsidRPr="00A979EB">
        <w:rPr>
          <w:lang w:val="en-US"/>
        </w:rPr>
        <w:t>VV</w:t>
      </w:r>
      <w:r w:rsidRPr="00A979EB">
        <w:rPr>
          <w:shd w:val="clear" w:color="auto" w:fill="FCFCFC"/>
          <w:lang w:val="en-US"/>
        </w:rPr>
        <w:t xml:space="preserve">. </w:t>
      </w:r>
      <w:r w:rsidRPr="00A979EB">
        <w:rPr>
          <w:shd w:val="clear" w:color="auto" w:fill="FCFCFC"/>
        </w:rPr>
        <w:t xml:space="preserve">A obesidade está associada ao aumento da cifose torácica em </w:t>
      </w:r>
      <w:r w:rsidRPr="00A979EB">
        <w:rPr>
          <w:shd w:val="clear" w:color="auto" w:fill="FCFCFC"/>
        </w:rPr>
        <w:lastRenderedPageBreak/>
        <w:t>pacientes adolescentes com escoliose idiopática e adolescentes não colióticos. Spine Deform. 2019; 7(6): 865-9</w:t>
      </w:r>
      <w:r w:rsidR="004D2018" w:rsidRPr="00A979EB">
        <w:rPr>
          <w:shd w:val="clear" w:color="auto" w:fill="FCFCFC"/>
        </w:rPr>
        <w:t>.</w:t>
      </w:r>
    </w:p>
    <w:p w14:paraId="02D1D549" w14:textId="46EFFCFA" w:rsidR="00A94DCD" w:rsidRPr="00731646" w:rsidRDefault="00A94DCD" w:rsidP="00A94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hd w:val="clear" w:color="auto" w:fill="FCFCFC"/>
        </w:rPr>
      </w:pPr>
    </w:p>
    <w:p w14:paraId="7FC8EA25" w14:textId="77777777" w:rsidR="00A94DCD" w:rsidRPr="00731646" w:rsidRDefault="00A94DCD" w:rsidP="00A94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</w:rPr>
      </w:pPr>
    </w:p>
    <w:p w14:paraId="2BBF5038" w14:textId="4C5B8470" w:rsidR="0034334B" w:rsidRPr="00731646" w:rsidRDefault="00A94DCD" w:rsidP="00763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</w:rPr>
      </w:pPr>
      <w:r w:rsidRPr="00587DFF">
        <w:rPr>
          <w:shd w:val="clear" w:color="auto" w:fill="FFFFFF"/>
        </w:rPr>
        <w:t>Liu</w:t>
      </w:r>
      <w:r w:rsidR="00FF3063" w:rsidRPr="00587DFF">
        <w:rPr>
          <w:shd w:val="clear" w:color="auto" w:fill="FFFFFF"/>
        </w:rPr>
        <w:t xml:space="preserve"> </w:t>
      </w:r>
      <w:r w:rsidRPr="00587DFF">
        <w:rPr>
          <w:shd w:val="clear" w:color="auto" w:fill="FFFFFF"/>
        </w:rPr>
        <w:t>D</w:t>
      </w:r>
      <w:r w:rsidR="00FF3063" w:rsidRPr="00587DFF">
        <w:rPr>
          <w:shd w:val="clear" w:color="auto" w:fill="FFFFFF"/>
        </w:rPr>
        <w:t xml:space="preserve">, </w:t>
      </w:r>
      <w:r w:rsidRPr="00587DFF">
        <w:rPr>
          <w:shd w:val="clear" w:color="auto" w:fill="FFFFFF"/>
        </w:rPr>
        <w:t>Yang Y</w:t>
      </w:r>
      <w:r w:rsidR="00FF3063" w:rsidRPr="00587DFF">
        <w:rPr>
          <w:shd w:val="clear" w:color="auto" w:fill="FFFFFF"/>
        </w:rPr>
        <w:t>,</w:t>
      </w:r>
      <w:r w:rsidRPr="00587DFF">
        <w:rPr>
          <w:shd w:val="clear" w:color="auto" w:fill="FFFFFF"/>
        </w:rPr>
        <w:t> Yu X</w:t>
      </w:r>
      <w:r w:rsidR="00FF3063" w:rsidRPr="00587DFF">
        <w:rPr>
          <w:shd w:val="clear" w:color="auto" w:fill="FFFFFF"/>
        </w:rPr>
        <w:t>,</w:t>
      </w:r>
      <w:r w:rsidRPr="00587DFF">
        <w:rPr>
          <w:shd w:val="clear" w:color="auto" w:fill="FFFFFF"/>
        </w:rPr>
        <w:t> Yang J</w:t>
      </w:r>
      <w:r w:rsidR="00FF3063" w:rsidRPr="00587DFF">
        <w:rPr>
          <w:shd w:val="clear" w:color="auto" w:fill="FFFFFF"/>
        </w:rPr>
        <w:t xml:space="preserve">, </w:t>
      </w:r>
      <w:r w:rsidRPr="00587DFF">
        <w:rPr>
          <w:shd w:val="clear" w:color="auto" w:fill="FFFFFF"/>
        </w:rPr>
        <w:t>Xuan</w:t>
      </w:r>
      <w:r w:rsidR="00FF3063" w:rsidRPr="00587DFF">
        <w:rPr>
          <w:shd w:val="clear" w:color="auto" w:fill="FFFFFF"/>
        </w:rPr>
        <w:t xml:space="preserve"> </w:t>
      </w:r>
      <w:r w:rsidRPr="00587DFF">
        <w:rPr>
          <w:shd w:val="clear" w:color="auto" w:fill="FFFFFF"/>
        </w:rPr>
        <w:t>X</w:t>
      </w:r>
      <w:r w:rsidR="00FF3063" w:rsidRPr="00587DFF">
        <w:rPr>
          <w:shd w:val="clear" w:color="auto" w:fill="FFFFFF"/>
        </w:rPr>
        <w:t xml:space="preserve">, </w:t>
      </w:r>
      <w:r w:rsidR="00587DFF" w:rsidRPr="00587DFF">
        <w:rPr>
          <w:shd w:val="clear" w:color="auto" w:fill="FFFFFF"/>
        </w:rPr>
        <w:t>Junlin Y, Zifang H.</w:t>
      </w:r>
      <w:r w:rsidR="00587DFF">
        <w:rPr>
          <w:shd w:val="clear" w:color="auto" w:fill="FFFFFF"/>
        </w:rPr>
        <w:t xml:space="preserve"> </w:t>
      </w:r>
      <w:r w:rsidR="00FF3063" w:rsidRPr="00731646">
        <w:rPr>
          <w:shd w:val="clear" w:color="auto" w:fill="FFFFFF"/>
        </w:rPr>
        <w:t>Ef</w:t>
      </w:r>
      <w:r w:rsidRPr="00731646">
        <w:rPr>
          <w:shd w:val="clear" w:color="auto" w:fill="FFFFFF"/>
        </w:rPr>
        <w:t>eitos da terapia de exercícios específicos em pacientes adolescentes com escoliose idiopática</w:t>
      </w:r>
      <w:r w:rsidR="00FF3063" w:rsidRPr="00731646">
        <w:rPr>
          <w:shd w:val="clear" w:color="auto" w:fill="FFFFFF"/>
        </w:rPr>
        <w:t>.</w:t>
      </w:r>
      <w:r w:rsidRPr="00731646">
        <w:rPr>
          <w:shd w:val="clear" w:color="auto" w:fill="FFFFFF"/>
        </w:rPr>
        <w:t xml:space="preserve"> S</w:t>
      </w:r>
      <w:r w:rsidR="00731646">
        <w:rPr>
          <w:shd w:val="clear" w:color="auto" w:fill="FFFFFF"/>
        </w:rPr>
        <w:t>pine</w:t>
      </w:r>
      <w:r w:rsidR="00FF3063" w:rsidRPr="00731646">
        <w:rPr>
          <w:shd w:val="clear" w:color="auto" w:fill="FFFFFF"/>
        </w:rPr>
        <w:t xml:space="preserve">. </w:t>
      </w:r>
      <w:r w:rsidR="00731646">
        <w:rPr>
          <w:shd w:val="clear" w:color="auto" w:fill="FFFFFF"/>
        </w:rPr>
        <w:t>A</w:t>
      </w:r>
      <w:r w:rsidRPr="00731646">
        <w:rPr>
          <w:shd w:val="clear" w:color="auto" w:fill="FFFFFF"/>
        </w:rPr>
        <w:t>gosto 2020</w:t>
      </w:r>
      <w:r w:rsidR="00FF3063" w:rsidRPr="00731646">
        <w:rPr>
          <w:shd w:val="clear" w:color="auto" w:fill="FFFFFF"/>
        </w:rPr>
        <w:t xml:space="preserve">; </w:t>
      </w:r>
      <w:r w:rsidRPr="00731646">
        <w:rPr>
          <w:shd w:val="clear" w:color="auto" w:fill="FFFFFF"/>
        </w:rPr>
        <w:t>45</w:t>
      </w:r>
      <w:r w:rsidR="00FF3063" w:rsidRPr="00731646">
        <w:rPr>
          <w:shd w:val="clear" w:color="auto" w:fill="FFFFFF"/>
        </w:rPr>
        <w:t>(</w:t>
      </w:r>
      <w:r w:rsidRPr="00731646">
        <w:rPr>
          <w:shd w:val="clear" w:color="auto" w:fill="FFFFFF"/>
        </w:rPr>
        <w:t>15</w:t>
      </w:r>
      <w:r w:rsidR="00FF3063" w:rsidRPr="00731646">
        <w:rPr>
          <w:shd w:val="clear" w:color="auto" w:fill="FFFFFF"/>
        </w:rPr>
        <w:t xml:space="preserve">): </w:t>
      </w:r>
      <w:r w:rsidRPr="00731646">
        <w:rPr>
          <w:shd w:val="clear" w:color="auto" w:fill="FFFFFF"/>
        </w:rPr>
        <w:t>1039-46</w:t>
      </w:r>
      <w:r w:rsidR="00FF3063" w:rsidRPr="00731646">
        <w:rPr>
          <w:shd w:val="clear" w:color="auto" w:fill="FFFFFF"/>
        </w:rPr>
        <w:t xml:space="preserve">. </w:t>
      </w:r>
    </w:p>
    <w:p w14:paraId="5D3A35CB" w14:textId="77777777" w:rsidR="0034334B" w:rsidRPr="00731646" w:rsidRDefault="0034334B" w:rsidP="00343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kern w:val="36"/>
        </w:rPr>
      </w:pPr>
    </w:p>
    <w:p w14:paraId="1D809392" w14:textId="77777777" w:rsidR="0034334B" w:rsidRPr="0034334B" w:rsidRDefault="0034334B" w:rsidP="00343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kern w:val="36"/>
        </w:rPr>
      </w:pPr>
    </w:p>
    <w:p w14:paraId="3A1E0C6E" w14:textId="64C65833" w:rsidR="006E224D" w:rsidRPr="0073180B" w:rsidRDefault="0034334B" w:rsidP="00731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  <w:lang w:val="en-US"/>
        </w:rPr>
      </w:pPr>
      <w:r w:rsidRPr="0073180B">
        <w:rPr>
          <w:color w:val="303030"/>
          <w:shd w:val="clear" w:color="auto" w:fill="FFFFFF"/>
          <w:lang w:val="en-US"/>
        </w:rPr>
        <w:t xml:space="preserve">Berdishevsky H, Lebel VA, Bettany-Saltikov J, Rigo M, Lebel A, </w:t>
      </w:r>
      <w:r w:rsidR="0073180B" w:rsidRPr="0073180B">
        <w:rPr>
          <w:color w:val="303030"/>
          <w:shd w:val="clear" w:color="auto" w:fill="FFFFFF"/>
          <w:lang w:val="en-US"/>
        </w:rPr>
        <w:t>Hennes A, Romano M, Białek M, M'hango A, Betts T, de Mauroy JC, Durmala J.</w:t>
      </w:r>
      <w:r w:rsidRPr="0073180B">
        <w:rPr>
          <w:color w:val="303030"/>
          <w:shd w:val="clear" w:color="auto" w:fill="FFFFFF"/>
          <w:lang w:val="en-US"/>
        </w:rPr>
        <w:t xml:space="preserve"> Physiotherapy scoliosis-specific exercises - a comprehensive review of seven major schools. Scoliosis Spinal Disord. 2016 Aug 4; 11: 20. </w:t>
      </w:r>
    </w:p>
    <w:p w14:paraId="67AACA63" w14:textId="77777777" w:rsidR="00731646" w:rsidRPr="0073180B" w:rsidRDefault="00731646" w:rsidP="00731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kern w:val="36"/>
          <w:lang w:val="en-US"/>
        </w:rPr>
      </w:pPr>
    </w:p>
    <w:p w14:paraId="11C58F97" w14:textId="77777777" w:rsidR="006E224D" w:rsidRPr="0073180B" w:rsidRDefault="006E224D" w:rsidP="006E22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kern w:val="36"/>
          <w:lang w:val="en-US"/>
        </w:rPr>
      </w:pPr>
    </w:p>
    <w:p w14:paraId="4C8AA404" w14:textId="6ED33FBC" w:rsidR="006E224D" w:rsidRPr="00A57A79" w:rsidRDefault="006E224D" w:rsidP="00731646">
      <w:pPr>
        <w:numPr>
          <w:ilvl w:val="0"/>
          <w:numId w:val="1"/>
        </w:numPr>
        <w:spacing w:line="360" w:lineRule="atLeast"/>
        <w:textAlignment w:val="baseline"/>
      </w:pPr>
      <w:r w:rsidRPr="006E224D">
        <w:rPr>
          <w:lang w:val="en-US"/>
        </w:rPr>
        <w:t xml:space="preserve">Weinstein SL, Dolan LA, Wright JG, Dobbs MB. </w:t>
      </w:r>
      <w:r w:rsidRPr="006E224D">
        <w:t>Efeitos da órtese em adolescentes com escoliose idiopática. The New England Journal of</w:t>
      </w:r>
      <w:r w:rsidR="001468AA">
        <w:t xml:space="preserve"> </w:t>
      </w:r>
      <w:r w:rsidRPr="006E224D">
        <w:t xml:space="preserve">Medicine. 2013 Oct 17; </w:t>
      </w:r>
      <w:r w:rsidRPr="006E224D">
        <w:rPr>
          <w:rStyle w:val="Forte"/>
          <w:b w:val="0"/>
          <w:bCs w:val="0"/>
          <w:spacing w:val="2"/>
          <w:shd w:val="clear" w:color="auto" w:fill="FCFCFC"/>
        </w:rPr>
        <w:t>369</w:t>
      </w:r>
      <w:r w:rsidRPr="006E224D">
        <w:rPr>
          <w:spacing w:val="2"/>
          <w:shd w:val="clear" w:color="auto" w:fill="FCFCFC"/>
        </w:rPr>
        <w:t>(16)</w:t>
      </w:r>
      <w:r>
        <w:rPr>
          <w:spacing w:val="2"/>
          <w:shd w:val="clear" w:color="auto" w:fill="FCFCFC"/>
        </w:rPr>
        <w:t>:</w:t>
      </w:r>
      <w:r w:rsidRPr="006E224D">
        <w:rPr>
          <w:spacing w:val="2"/>
          <w:shd w:val="clear" w:color="auto" w:fill="FCFCFC"/>
        </w:rPr>
        <w:t xml:space="preserve"> 1512</w:t>
      </w:r>
      <w:r>
        <w:rPr>
          <w:spacing w:val="2"/>
          <w:shd w:val="clear" w:color="auto" w:fill="FCFCFC"/>
        </w:rPr>
        <w:t>-</w:t>
      </w:r>
      <w:r w:rsidRPr="006E224D">
        <w:rPr>
          <w:spacing w:val="2"/>
          <w:shd w:val="clear" w:color="auto" w:fill="FCFCFC"/>
        </w:rPr>
        <w:t>21.</w:t>
      </w:r>
    </w:p>
    <w:p w14:paraId="0279863D" w14:textId="77777777" w:rsidR="00A57A79" w:rsidRPr="00A57A79" w:rsidRDefault="00A57A79" w:rsidP="00731646">
      <w:pPr>
        <w:spacing w:line="360" w:lineRule="atLeast"/>
        <w:ind w:left="720"/>
        <w:textAlignment w:val="baseline"/>
      </w:pPr>
    </w:p>
    <w:p w14:paraId="73978E03" w14:textId="4C0DA103" w:rsidR="00A57A79" w:rsidRPr="0073180B" w:rsidRDefault="00A57A79" w:rsidP="00731646">
      <w:pPr>
        <w:numPr>
          <w:ilvl w:val="0"/>
          <w:numId w:val="1"/>
        </w:numPr>
        <w:spacing w:line="360" w:lineRule="atLeast"/>
        <w:textAlignment w:val="baseline"/>
        <w:rPr>
          <w:lang w:val="en-US"/>
        </w:rPr>
      </w:pPr>
      <w:r w:rsidRPr="0073180B">
        <w:rPr>
          <w:color w:val="212121"/>
          <w:shd w:val="clear" w:color="auto" w:fill="FFFFFF"/>
          <w:lang w:val="en-US"/>
        </w:rPr>
        <w:t xml:space="preserve">Reames DL, Smith JS, Fu KM, Polly DW Jr, Ames CP, </w:t>
      </w:r>
      <w:r w:rsidR="0073180B" w:rsidRPr="0073180B">
        <w:rPr>
          <w:color w:val="212121"/>
          <w:shd w:val="clear" w:color="auto" w:fill="FFFFFF"/>
          <w:lang w:val="en-US"/>
        </w:rPr>
        <w:t>Berven SH, Perra JH, Glassman SD, McCarthy RE, Knapp RD Jr, Heary R, Shaffrey CI</w:t>
      </w:r>
      <w:r w:rsidRPr="0073180B">
        <w:rPr>
          <w:color w:val="212121"/>
          <w:shd w:val="clear" w:color="auto" w:fill="FFFFFF"/>
          <w:lang w:val="en-US"/>
        </w:rPr>
        <w:t>. Complications in the surgical treatment of 19,360 cases of pediatric scoliosis: a review of the Scoliosis Research Society Morbidity and Mortality database. Spine. 2011 Aug15; 36(18): 1484-91.</w:t>
      </w:r>
    </w:p>
    <w:p w14:paraId="4EBA9B49" w14:textId="77777777" w:rsidR="0042682A" w:rsidRDefault="0042682A" w:rsidP="0042682A">
      <w:pPr>
        <w:pStyle w:val="PargrafodaLista"/>
        <w:rPr>
          <w:lang w:val="en-US"/>
        </w:rPr>
      </w:pPr>
    </w:p>
    <w:p w14:paraId="38D83048" w14:textId="77777777" w:rsidR="0042682A" w:rsidRDefault="0042682A" w:rsidP="0042682A">
      <w:pPr>
        <w:pStyle w:val="PargrafodaLista"/>
        <w:rPr>
          <w:lang w:val="en-US"/>
        </w:rPr>
      </w:pPr>
    </w:p>
    <w:p w14:paraId="5504EBD5" w14:textId="1437253B" w:rsidR="0042682A" w:rsidRPr="00B01480" w:rsidRDefault="0042682A" w:rsidP="00D45C27">
      <w:pPr>
        <w:numPr>
          <w:ilvl w:val="0"/>
          <w:numId w:val="1"/>
        </w:numPr>
        <w:spacing w:line="360" w:lineRule="atLeast"/>
        <w:textAlignment w:val="baseline"/>
      </w:pPr>
      <w:r w:rsidRPr="00B01480">
        <w:rPr>
          <w:lang w:val="en-US"/>
        </w:rPr>
        <w:t xml:space="preserve">Kwan KYH, Koh HY, </w:t>
      </w:r>
      <w:r w:rsidR="00B01480" w:rsidRPr="00B01480">
        <w:rPr>
          <w:lang w:val="en-US"/>
        </w:rPr>
        <w:t xml:space="preserve">Cheung KMC. </w:t>
      </w:r>
      <w:r w:rsidR="00B01480" w:rsidRPr="00B01480">
        <w:t xml:space="preserve">Complicações após cirurgia para escoliose idiopática do adolescente ao longo de um período de 13 anos. The </w:t>
      </w:r>
      <w:r w:rsidR="00B01480" w:rsidRPr="004F2497">
        <w:rPr>
          <w:color w:val="000000"/>
          <w:shd w:val="clear" w:color="auto" w:fill="FFFFFF"/>
        </w:rPr>
        <w:t>Bone &amp; Joint Journal</w:t>
      </w:r>
      <w:r w:rsidR="00B01480" w:rsidRPr="00B01480">
        <w:rPr>
          <w:color w:val="000000"/>
          <w:shd w:val="clear" w:color="auto" w:fill="FFFFFF"/>
        </w:rPr>
        <w:t xml:space="preserve"> 2020 mar 31; 102-B (4): 519–23.</w:t>
      </w:r>
    </w:p>
    <w:p w14:paraId="33777A6C" w14:textId="09A05C33" w:rsidR="00A57A79" w:rsidRPr="00B01480" w:rsidRDefault="00A57A79" w:rsidP="00A57A79">
      <w:pPr>
        <w:spacing w:line="360" w:lineRule="atLeast"/>
        <w:jc w:val="left"/>
        <w:textAlignment w:val="baseline"/>
      </w:pPr>
    </w:p>
    <w:p w14:paraId="67FDD7A2" w14:textId="77777777" w:rsidR="00A57A79" w:rsidRPr="006E224D" w:rsidRDefault="00A57A79" w:rsidP="00A57A79">
      <w:pPr>
        <w:spacing w:line="360" w:lineRule="atLeast"/>
        <w:jc w:val="left"/>
        <w:textAlignment w:val="baseline"/>
      </w:pPr>
    </w:p>
    <w:p w14:paraId="5E7CD10E" w14:textId="77777777" w:rsidR="006E224D" w:rsidRPr="00B01480" w:rsidRDefault="006E224D" w:rsidP="006E22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kern w:val="36"/>
        </w:rPr>
      </w:pPr>
    </w:p>
    <w:p w14:paraId="696B8E06" w14:textId="38D171A7" w:rsidR="00680D73" w:rsidRPr="00B01480" w:rsidRDefault="00680D73" w:rsidP="00680D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</w:rPr>
      </w:pPr>
    </w:p>
    <w:p w14:paraId="5601D35B" w14:textId="77777777" w:rsidR="00680D73" w:rsidRPr="00B01480" w:rsidRDefault="00680D73" w:rsidP="00680D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  <w:sz w:val="22"/>
          <w:szCs w:val="22"/>
        </w:rPr>
      </w:pPr>
    </w:p>
    <w:p w14:paraId="39E941AA" w14:textId="4488E7AE" w:rsidR="00680D73" w:rsidRPr="00B01480" w:rsidRDefault="00680D73" w:rsidP="00680D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kern w:val="36"/>
          <w:sz w:val="22"/>
          <w:szCs w:val="22"/>
        </w:rPr>
      </w:pPr>
    </w:p>
    <w:p w14:paraId="746C23A2" w14:textId="77777777" w:rsidR="009C49D2" w:rsidRPr="00B01480" w:rsidRDefault="009C49D2" w:rsidP="00D630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7" w:name="_2et92p0" w:colFirst="0" w:colLast="0"/>
      <w:bookmarkStart w:id="8" w:name="_3dy6vkm" w:colFirst="0" w:colLast="0"/>
      <w:bookmarkEnd w:id="7"/>
      <w:bookmarkEnd w:id="8"/>
    </w:p>
    <w:sectPr w:rsidR="009C49D2" w:rsidRPr="00B01480" w:rsidSect="00B34844">
      <w:pgSz w:w="11906" w:h="16838" w:code="9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charset w:val="00"/>
    <w:family w:val="auto"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400C"/>
    <w:multiLevelType w:val="multilevel"/>
    <w:tmpl w:val="8580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00A90"/>
    <w:multiLevelType w:val="multilevel"/>
    <w:tmpl w:val="DC08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E666E"/>
    <w:multiLevelType w:val="multilevel"/>
    <w:tmpl w:val="A33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D56B2"/>
    <w:multiLevelType w:val="multilevel"/>
    <w:tmpl w:val="70AAB88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D2"/>
    <w:rsid w:val="000316BD"/>
    <w:rsid w:val="00033D80"/>
    <w:rsid w:val="00036766"/>
    <w:rsid w:val="00045F9B"/>
    <w:rsid w:val="00067BCC"/>
    <w:rsid w:val="00076BA2"/>
    <w:rsid w:val="000778C8"/>
    <w:rsid w:val="00094B85"/>
    <w:rsid w:val="000A006C"/>
    <w:rsid w:val="000A0BA5"/>
    <w:rsid w:val="000A68EF"/>
    <w:rsid w:val="000B7EB7"/>
    <w:rsid w:val="000C2371"/>
    <w:rsid w:val="000D4237"/>
    <w:rsid w:val="000D5EF5"/>
    <w:rsid w:val="000F4833"/>
    <w:rsid w:val="000F5D26"/>
    <w:rsid w:val="00102022"/>
    <w:rsid w:val="00103432"/>
    <w:rsid w:val="00113BD0"/>
    <w:rsid w:val="00117831"/>
    <w:rsid w:val="001201B9"/>
    <w:rsid w:val="001221A4"/>
    <w:rsid w:val="00122827"/>
    <w:rsid w:val="00130D77"/>
    <w:rsid w:val="00134455"/>
    <w:rsid w:val="00134585"/>
    <w:rsid w:val="001468AA"/>
    <w:rsid w:val="001576AB"/>
    <w:rsid w:val="00157915"/>
    <w:rsid w:val="00162C15"/>
    <w:rsid w:val="0016346B"/>
    <w:rsid w:val="00166C02"/>
    <w:rsid w:val="00197E66"/>
    <w:rsid w:val="001A353A"/>
    <w:rsid w:val="001C0296"/>
    <w:rsid w:val="001C240D"/>
    <w:rsid w:val="001D30C3"/>
    <w:rsid w:val="001D5891"/>
    <w:rsid w:val="001E0A96"/>
    <w:rsid w:val="002003A1"/>
    <w:rsid w:val="002202C6"/>
    <w:rsid w:val="00230D8A"/>
    <w:rsid w:val="002311C4"/>
    <w:rsid w:val="00256035"/>
    <w:rsid w:val="00257C78"/>
    <w:rsid w:val="00264589"/>
    <w:rsid w:val="002671AA"/>
    <w:rsid w:val="00270463"/>
    <w:rsid w:val="00284110"/>
    <w:rsid w:val="002A22AB"/>
    <w:rsid w:val="002A2BBA"/>
    <w:rsid w:val="002B66BB"/>
    <w:rsid w:val="002C62F1"/>
    <w:rsid w:val="002C7D89"/>
    <w:rsid w:val="002D2CE4"/>
    <w:rsid w:val="002E195F"/>
    <w:rsid w:val="002E24D1"/>
    <w:rsid w:val="00301BC3"/>
    <w:rsid w:val="00305717"/>
    <w:rsid w:val="003061E7"/>
    <w:rsid w:val="00312BE4"/>
    <w:rsid w:val="003277C4"/>
    <w:rsid w:val="0034320E"/>
    <w:rsid w:val="0034334B"/>
    <w:rsid w:val="0035148F"/>
    <w:rsid w:val="00353DE3"/>
    <w:rsid w:val="00355876"/>
    <w:rsid w:val="00364206"/>
    <w:rsid w:val="003652F7"/>
    <w:rsid w:val="00385416"/>
    <w:rsid w:val="003923CD"/>
    <w:rsid w:val="003A21F2"/>
    <w:rsid w:val="003B2326"/>
    <w:rsid w:val="003C1CDD"/>
    <w:rsid w:val="003C2843"/>
    <w:rsid w:val="003D676E"/>
    <w:rsid w:val="003E0744"/>
    <w:rsid w:val="003E1970"/>
    <w:rsid w:val="003F4C98"/>
    <w:rsid w:val="003F60EA"/>
    <w:rsid w:val="003F74C1"/>
    <w:rsid w:val="0040013C"/>
    <w:rsid w:val="00415FD9"/>
    <w:rsid w:val="004211E8"/>
    <w:rsid w:val="0042682A"/>
    <w:rsid w:val="004436FE"/>
    <w:rsid w:val="00445452"/>
    <w:rsid w:val="00451468"/>
    <w:rsid w:val="00452FEF"/>
    <w:rsid w:val="004547E1"/>
    <w:rsid w:val="004637B2"/>
    <w:rsid w:val="004A1F62"/>
    <w:rsid w:val="004B0276"/>
    <w:rsid w:val="004D1E35"/>
    <w:rsid w:val="004D2018"/>
    <w:rsid w:val="004D444F"/>
    <w:rsid w:val="004D5C3D"/>
    <w:rsid w:val="004E624E"/>
    <w:rsid w:val="004F2497"/>
    <w:rsid w:val="004F6FC7"/>
    <w:rsid w:val="00503FA4"/>
    <w:rsid w:val="0050666B"/>
    <w:rsid w:val="00506E56"/>
    <w:rsid w:val="00510D6F"/>
    <w:rsid w:val="00514EFD"/>
    <w:rsid w:val="005160C1"/>
    <w:rsid w:val="0052263D"/>
    <w:rsid w:val="00523444"/>
    <w:rsid w:val="005316B8"/>
    <w:rsid w:val="00535EF8"/>
    <w:rsid w:val="005509D5"/>
    <w:rsid w:val="00560FCE"/>
    <w:rsid w:val="00566025"/>
    <w:rsid w:val="00587DFF"/>
    <w:rsid w:val="005940EA"/>
    <w:rsid w:val="00597E37"/>
    <w:rsid w:val="005D21D0"/>
    <w:rsid w:val="005D2639"/>
    <w:rsid w:val="005F4152"/>
    <w:rsid w:val="006104CA"/>
    <w:rsid w:val="00610C76"/>
    <w:rsid w:val="00613E2C"/>
    <w:rsid w:val="00613EA4"/>
    <w:rsid w:val="0061765F"/>
    <w:rsid w:val="00621F13"/>
    <w:rsid w:val="006241F1"/>
    <w:rsid w:val="006254D2"/>
    <w:rsid w:val="00631B0D"/>
    <w:rsid w:val="00632AAA"/>
    <w:rsid w:val="00635E4C"/>
    <w:rsid w:val="006408D4"/>
    <w:rsid w:val="006427ED"/>
    <w:rsid w:val="00655314"/>
    <w:rsid w:val="00657731"/>
    <w:rsid w:val="00662D60"/>
    <w:rsid w:val="006711F8"/>
    <w:rsid w:val="00675A9C"/>
    <w:rsid w:val="0068004B"/>
    <w:rsid w:val="006802D7"/>
    <w:rsid w:val="00680D73"/>
    <w:rsid w:val="006810D5"/>
    <w:rsid w:val="006812CC"/>
    <w:rsid w:val="006B7B61"/>
    <w:rsid w:val="006D3CA8"/>
    <w:rsid w:val="006D50EC"/>
    <w:rsid w:val="006D568A"/>
    <w:rsid w:val="006E224D"/>
    <w:rsid w:val="006F2834"/>
    <w:rsid w:val="0072222F"/>
    <w:rsid w:val="00731646"/>
    <w:rsid w:val="0073180B"/>
    <w:rsid w:val="0073336A"/>
    <w:rsid w:val="0074394F"/>
    <w:rsid w:val="007441FE"/>
    <w:rsid w:val="007444AE"/>
    <w:rsid w:val="00752908"/>
    <w:rsid w:val="0075448E"/>
    <w:rsid w:val="00754D6D"/>
    <w:rsid w:val="007602D6"/>
    <w:rsid w:val="007728A0"/>
    <w:rsid w:val="00785585"/>
    <w:rsid w:val="00787CC8"/>
    <w:rsid w:val="007908A8"/>
    <w:rsid w:val="007958AB"/>
    <w:rsid w:val="007A6F41"/>
    <w:rsid w:val="007B76DF"/>
    <w:rsid w:val="007C196E"/>
    <w:rsid w:val="007C211A"/>
    <w:rsid w:val="007D2287"/>
    <w:rsid w:val="007D2D66"/>
    <w:rsid w:val="007E3A76"/>
    <w:rsid w:val="007F24D1"/>
    <w:rsid w:val="00807B0C"/>
    <w:rsid w:val="0081495B"/>
    <w:rsid w:val="0082246F"/>
    <w:rsid w:val="008450E3"/>
    <w:rsid w:val="008519CA"/>
    <w:rsid w:val="0086483C"/>
    <w:rsid w:val="00881CFA"/>
    <w:rsid w:val="00892C47"/>
    <w:rsid w:val="008B1C52"/>
    <w:rsid w:val="008C42C4"/>
    <w:rsid w:val="008C5B21"/>
    <w:rsid w:val="008D1430"/>
    <w:rsid w:val="008D7E20"/>
    <w:rsid w:val="008F1CB7"/>
    <w:rsid w:val="008F1CC3"/>
    <w:rsid w:val="008F2C6A"/>
    <w:rsid w:val="008F6835"/>
    <w:rsid w:val="0091187D"/>
    <w:rsid w:val="00916F6E"/>
    <w:rsid w:val="00923B3A"/>
    <w:rsid w:val="00927365"/>
    <w:rsid w:val="00965DD7"/>
    <w:rsid w:val="009A4D3E"/>
    <w:rsid w:val="009C49D2"/>
    <w:rsid w:val="009C5F38"/>
    <w:rsid w:val="009D1F51"/>
    <w:rsid w:val="009E623B"/>
    <w:rsid w:val="009F1D85"/>
    <w:rsid w:val="009F3BF6"/>
    <w:rsid w:val="00A12AB7"/>
    <w:rsid w:val="00A3016A"/>
    <w:rsid w:val="00A524BB"/>
    <w:rsid w:val="00A57A79"/>
    <w:rsid w:val="00A77F33"/>
    <w:rsid w:val="00A82361"/>
    <w:rsid w:val="00A901DF"/>
    <w:rsid w:val="00A94DCD"/>
    <w:rsid w:val="00A953B1"/>
    <w:rsid w:val="00A979EB"/>
    <w:rsid w:val="00AA7089"/>
    <w:rsid w:val="00AB0650"/>
    <w:rsid w:val="00AD6F43"/>
    <w:rsid w:val="00B01480"/>
    <w:rsid w:val="00B03356"/>
    <w:rsid w:val="00B03C16"/>
    <w:rsid w:val="00B0492B"/>
    <w:rsid w:val="00B21226"/>
    <w:rsid w:val="00B34844"/>
    <w:rsid w:val="00B3651B"/>
    <w:rsid w:val="00B413B1"/>
    <w:rsid w:val="00B51B6B"/>
    <w:rsid w:val="00B556B9"/>
    <w:rsid w:val="00B568D8"/>
    <w:rsid w:val="00B676C0"/>
    <w:rsid w:val="00B80201"/>
    <w:rsid w:val="00B810E5"/>
    <w:rsid w:val="00B8279B"/>
    <w:rsid w:val="00B931C2"/>
    <w:rsid w:val="00BA7038"/>
    <w:rsid w:val="00BB7876"/>
    <w:rsid w:val="00BD0C41"/>
    <w:rsid w:val="00BF7A71"/>
    <w:rsid w:val="00BF7C6C"/>
    <w:rsid w:val="00C0604F"/>
    <w:rsid w:val="00C108B9"/>
    <w:rsid w:val="00C14C79"/>
    <w:rsid w:val="00C1793E"/>
    <w:rsid w:val="00C40C20"/>
    <w:rsid w:val="00C50D8C"/>
    <w:rsid w:val="00C54A4C"/>
    <w:rsid w:val="00C6144D"/>
    <w:rsid w:val="00C703FB"/>
    <w:rsid w:val="00C725F5"/>
    <w:rsid w:val="00C74BF6"/>
    <w:rsid w:val="00C82E1B"/>
    <w:rsid w:val="00C9185D"/>
    <w:rsid w:val="00C92710"/>
    <w:rsid w:val="00C94108"/>
    <w:rsid w:val="00CA374A"/>
    <w:rsid w:val="00CB7A68"/>
    <w:rsid w:val="00CC08AD"/>
    <w:rsid w:val="00CC2249"/>
    <w:rsid w:val="00CC4CEA"/>
    <w:rsid w:val="00CE513F"/>
    <w:rsid w:val="00CE5FA1"/>
    <w:rsid w:val="00CF4A1E"/>
    <w:rsid w:val="00D00163"/>
    <w:rsid w:val="00D00B86"/>
    <w:rsid w:val="00D13488"/>
    <w:rsid w:val="00D17A66"/>
    <w:rsid w:val="00D22593"/>
    <w:rsid w:val="00D2687D"/>
    <w:rsid w:val="00D448C5"/>
    <w:rsid w:val="00D45C27"/>
    <w:rsid w:val="00D57B1C"/>
    <w:rsid w:val="00D61A6B"/>
    <w:rsid w:val="00D630CB"/>
    <w:rsid w:val="00D739DC"/>
    <w:rsid w:val="00D849CD"/>
    <w:rsid w:val="00D97286"/>
    <w:rsid w:val="00D97683"/>
    <w:rsid w:val="00DA4BB9"/>
    <w:rsid w:val="00DA5F7B"/>
    <w:rsid w:val="00DB764A"/>
    <w:rsid w:val="00DC26FB"/>
    <w:rsid w:val="00DC557C"/>
    <w:rsid w:val="00DE629F"/>
    <w:rsid w:val="00DF6F8F"/>
    <w:rsid w:val="00E06FE2"/>
    <w:rsid w:val="00E13BFB"/>
    <w:rsid w:val="00E13E64"/>
    <w:rsid w:val="00E14EFA"/>
    <w:rsid w:val="00E22EE1"/>
    <w:rsid w:val="00E32663"/>
    <w:rsid w:val="00E375D9"/>
    <w:rsid w:val="00E37653"/>
    <w:rsid w:val="00E42B67"/>
    <w:rsid w:val="00E44737"/>
    <w:rsid w:val="00E47E7F"/>
    <w:rsid w:val="00E54FDE"/>
    <w:rsid w:val="00E57620"/>
    <w:rsid w:val="00E608FE"/>
    <w:rsid w:val="00E6251C"/>
    <w:rsid w:val="00E71E69"/>
    <w:rsid w:val="00E810CA"/>
    <w:rsid w:val="00E811B7"/>
    <w:rsid w:val="00E8330F"/>
    <w:rsid w:val="00E838C4"/>
    <w:rsid w:val="00E86351"/>
    <w:rsid w:val="00E938F2"/>
    <w:rsid w:val="00E95883"/>
    <w:rsid w:val="00EA0A43"/>
    <w:rsid w:val="00EA3542"/>
    <w:rsid w:val="00EC0798"/>
    <w:rsid w:val="00EC256B"/>
    <w:rsid w:val="00ED148F"/>
    <w:rsid w:val="00EE347F"/>
    <w:rsid w:val="00EF359A"/>
    <w:rsid w:val="00F121E2"/>
    <w:rsid w:val="00F20FAC"/>
    <w:rsid w:val="00F338B5"/>
    <w:rsid w:val="00F43083"/>
    <w:rsid w:val="00F456D9"/>
    <w:rsid w:val="00F56085"/>
    <w:rsid w:val="00F563E7"/>
    <w:rsid w:val="00F76D20"/>
    <w:rsid w:val="00FC6EB3"/>
    <w:rsid w:val="00FC6FA6"/>
    <w:rsid w:val="00FE217E"/>
    <w:rsid w:val="00FE6104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6130"/>
  <w15:docId w15:val="{803EEB0C-55A6-4EF9-BC58-FE0B552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left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C79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2E24D1"/>
    <w:rPr>
      <w:i/>
      <w:iCs/>
    </w:rPr>
  </w:style>
  <w:style w:type="paragraph" w:customStyle="1" w:styleId="c-article-author-listitem">
    <w:name w:val="c-article-author-list__item"/>
    <w:basedOn w:val="Normal"/>
    <w:rsid w:val="0072222F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uiPriority w:val="99"/>
    <w:unhideWhenUsed/>
    <w:rsid w:val="0072222F"/>
    <w:rPr>
      <w:color w:val="0000FF"/>
      <w:u w:val="single"/>
    </w:rPr>
  </w:style>
  <w:style w:type="paragraph" w:styleId="SemEspaamento">
    <w:name w:val="No Spacing"/>
    <w:uiPriority w:val="1"/>
    <w:qFormat/>
    <w:rsid w:val="009F1D85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2iqfc">
    <w:name w:val="y2iqfc"/>
    <w:basedOn w:val="Fontepargpadro"/>
    <w:rsid w:val="009F1D85"/>
  </w:style>
  <w:style w:type="paragraph" w:styleId="PargrafodaLista">
    <w:name w:val="List Paragraph"/>
    <w:basedOn w:val="Normal"/>
    <w:uiPriority w:val="34"/>
    <w:qFormat/>
    <w:rsid w:val="00ED148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D148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E224D"/>
    <w:rPr>
      <w:b/>
      <w:bCs/>
    </w:rPr>
  </w:style>
  <w:style w:type="character" w:customStyle="1" w:styleId="dropdown">
    <w:name w:val="dropdown"/>
    <w:basedOn w:val="Fontepargpadro"/>
    <w:rsid w:val="00415FD9"/>
  </w:style>
  <w:style w:type="character" w:customStyle="1" w:styleId="content">
    <w:name w:val="content"/>
    <w:basedOn w:val="Fontepargpadro"/>
    <w:rsid w:val="00A979EB"/>
  </w:style>
  <w:style w:type="character" w:customStyle="1" w:styleId="text">
    <w:name w:val="text"/>
    <w:basedOn w:val="Fontepargpadro"/>
    <w:rsid w:val="00A979EB"/>
  </w:style>
  <w:style w:type="character" w:customStyle="1" w:styleId="author-ref">
    <w:name w:val="author-ref"/>
    <w:basedOn w:val="Fontepargpadro"/>
    <w:rsid w:val="00A9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2C60-E6A1-4DD8-B8F6-AEC4D61A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18091</TotalTime>
  <Pages>15</Pages>
  <Words>4116</Words>
  <Characters>22477</Characters>
  <Application>Microsoft Office Word</Application>
  <DocSecurity>0</DocSecurity>
  <Lines>725</Lines>
  <Paragraphs>391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CASSIA LEANE MARQUES DO ESPIRITO SANTO</cp:lastModifiedBy>
  <cp:revision>26</cp:revision>
  <cp:lastPrinted>2021-11-29T13:06:00Z</cp:lastPrinted>
  <dcterms:created xsi:type="dcterms:W3CDTF">2021-11-25T02:39:00Z</dcterms:created>
  <dcterms:modified xsi:type="dcterms:W3CDTF">2021-12-08T23:47:00Z</dcterms:modified>
</cp:coreProperties>
</file>