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9E43" w14:textId="545509D6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>PONTIFÍCIA UNIVERSIDADE CAT</w:t>
      </w:r>
      <w:r w:rsidR="3D1A691A"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>Ó</w:t>
      </w:r>
      <w:r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>LICA DE GOIÁS</w:t>
      </w:r>
    </w:p>
    <w:p w14:paraId="4DB05F62" w14:textId="4AD01F13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>ESCOLA DE CIÊNCIAS MÉDICAS, FARMACÊUTICAS E BIOMÉDICAS</w:t>
      </w:r>
    </w:p>
    <w:p w14:paraId="024813F0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22318FCB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62661BAA" w14:textId="241EC606" w:rsidR="00A63E7D" w:rsidRDefault="186EB5F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6C927748">
        <w:rPr>
          <w:rFonts w:ascii="Arial" w:eastAsia="Arial" w:hAnsi="Arial" w:cs="Arial"/>
          <w:b/>
          <w:bCs/>
          <w:sz w:val="24"/>
          <w:szCs w:val="24"/>
          <w:lang w:eastAsia="pt-BR"/>
        </w:rPr>
        <w:t>ANA MARIA MOREIRA VELOSO</w:t>
      </w:r>
    </w:p>
    <w:p w14:paraId="1F989CB3" w14:textId="7036B72C" w:rsidR="186EB5FD" w:rsidRDefault="186EB5FD" w:rsidP="6C927748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t-BR"/>
        </w:rPr>
      </w:pPr>
      <w:r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>MARIANA A</w:t>
      </w:r>
      <w:r w:rsidR="003808C2"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>PARECIDA</w:t>
      </w:r>
      <w:r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 B</w:t>
      </w:r>
      <w:r w:rsidR="170A1A7A"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>ORGES DOS</w:t>
      </w:r>
      <w:r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 SANTOS</w:t>
      </w:r>
    </w:p>
    <w:p w14:paraId="02402D17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730E8725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0F6394B4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7A4C63FA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5FA45C90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3F7FEC22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2992BCCE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7D61E640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2FCB2707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1FA50219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184E48A9" w14:textId="7F7B3A06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INTERAÇÕES MEDICAMENTOSAS </w:t>
      </w:r>
      <w:r w:rsidR="7D3AE98D"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>NA FARMACOTERAPIA DA DOENÇA DE ALZHEIMER</w:t>
      </w:r>
    </w:p>
    <w:p w14:paraId="0E462B21" w14:textId="77777777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34F13927" w14:textId="77777777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252A4E6F" w14:textId="77777777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630FB3D1" w14:textId="77777777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6C723B4E" w14:textId="77777777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755A0C21" w14:textId="77777777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1A90444D" w14:textId="77777777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2A1F64A7" w14:textId="1F83FC1B" w:rsidR="00A63E7D" w:rsidRPr="009B4A6A" w:rsidRDefault="00A63E7D" w:rsidP="6C92774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  <w:lang w:eastAsia="pt-BR"/>
        </w:rPr>
      </w:pPr>
      <w:r w:rsidRPr="6C927748">
        <w:rPr>
          <w:rFonts w:ascii="Arial" w:eastAsia="Arial" w:hAnsi="Arial" w:cs="Arial"/>
          <w:b/>
          <w:bCs/>
          <w:sz w:val="24"/>
          <w:szCs w:val="24"/>
          <w:lang w:eastAsia="pt-BR"/>
        </w:rPr>
        <w:t>GOIÂNIA</w:t>
      </w:r>
    </w:p>
    <w:p w14:paraId="116519B0" w14:textId="6A962FD9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6C927748">
        <w:rPr>
          <w:rFonts w:ascii="Arial" w:eastAsia="Arial" w:hAnsi="Arial" w:cs="Arial"/>
          <w:b/>
          <w:bCs/>
          <w:sz w:val="24"/>
          <w:szCs w:val="24"/>
          <w:lang w:eastAsia="pt-BR"/>
        </w:rPr>
        <w:t>202</w:t>
      </w:r>
      <w:r w:rsidR="006632A2" w:rsidRPr="6C927748">
        <w:rPr>
          <w:rFonts w:ascii="Arial" w:eastAsia="Arial" w:hAnsi="Arial" w:cs="Arial"/>
          <w:b/>
          <w:bCs/>
          <w:sz w:val="24"/>
          <w:szCs w:val="24"/>
          <w:lang w:eastAsia="pt-BR"/>
        </w:rPr>
        <w:t>1</w:t>
      </w:r>
    </w:p>
    <w:p w14:paraId="6E971F32" w14:textId="77777777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65A9E348" w14:textId="4ACEAC90" w:rsidR="0817EDC3" w:rsidRDefault="0817EDC3" w:rsidP="6C927748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t-BR"/>
        </w:rPr>
      </w:pPr>
    </w:p>
    <w:p w14:paraId="009AA9A1" w14:textId="71FCCA15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381D38AB">
        <w:rPr>
          <w:rFonts w:ascii="Arial" w:eastAsia="Arial" w:hAnsi="Arial" w:cs="Arial"/>
          <w:b/>
          <w:bCs/>
          <w:sz w:val="24"/>
          <w:szCs w:val="24"/>
          <w:lang w:eastAsia="pt-BR"/>
        </w:rPr>
        <w:t>PONTIFÍCIA UNIVERSIDADE CAT</w:t>
      </w:r>
      <w:r w:rsidR="6882254A" w:rsidRPr="381D38AB">
        <w:rPr>
          <w:rFonts w:ascii="Arial" w:eastAsia="Arial" w:hAnsi="Arial" w:cs="Arial"/>
          <w:b/>
          <w:bCs/>
          <w:sz w:val="24"/>
          <w:szCs w:val="24"/>
          <w:lang w:eastAsia="pt-BR"/>
        </w:rPr>
        <w:t>Ó</w:t>
      </w:r>
      <w:r w:rsidRPr="381D38AB">
        <w:rPr>
          <w:rFonts w:ascii="Arial" w:eastAsia="Arial" w:hAnsi="Arial" w:cs="Arial"/>
          <w:b/>
          <w:bCs/>
          <w:sz w:val="24"/>
          <w:szCs w:val="24"/>
          <w:lang w:eastAsia="pt-BR"/>
        </w:rPr>
        <w:t>LICA DE GOIÁS</w:t>
      </w:r>
    </w:p>
    <w:p w14:paraId="4F91BB96" w14:textId="069287EA" w:rsidR="48CEF9CA" w:rsidRDefault="48CEF9CA" w:rsidP="381D38AB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t-BR"/>
        </w:rPr>
      </w:pPr>
      <w:r w:rsidRPr="381D38AB">
        <w:rPr>
          <w:rFonts w:ascii="Arial" w:eastAsia="Arial" w:hAnsi="Arial" w:cs="Arial"/>
          <w:b/>
          <w:bCs/>
          <w:sz w:val="24"/>
          <w:szCs w:val="24"/>
          <w:lang w:eastAsia="pt-BR"/>
        </w:rPr>
        <w:t>ESCOLA DE CIÊNCIAS MÉ</w:t>
      </w:r>
      <w:r w:rsidR="367FFE22" w:rsidRPr="381D38AB">
        <w:rPr>
          <w:rFonts w:ascii="Arial" w:eastAsia="Arial" w:hAnsi="Arial" w:cs="Arial"/>
          <w:b/>
          <w:bCs/>
          <w:sz w:val="24"/>
          <w:szCs w:val="24"/>
          <w:lang w:eastAsia="pt-BR"/>
        </w:rPr>
        <w:t>DIC</w:t>
      </w:r>
      <w:r w:rsidRPr="381D38AB">
        <w:rPr>
          <w:rFonts w:ascii="Arial" w:eastAsia="Arial" w:hAnsi="Arial" w:cs="Arial"/>
          <w:b/>
          <w:bCs/>
          <w:sz w:val="24"/>
          <w:szCs w:val="24"/>
          <w:lang w:eastAsia="pt-BR"/>
        </w:rPr>
        <w:t>AS, FARMACÊUTICAS E BIOMÉDICAS</w:t>
      </w:r>
    </w:p>
    <w:p w14:paraId="486A2C9A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2C3DE2BE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5D306D50" w14:textId="1B973E72" w:rsidR="00A63E7D" w:rsidRDefault="48CEF9CA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6C927748">
        <w:rPr>
          <w:rFonts w:ascii="Arial" w:eastAsia="Arial" w:hAnsi="Arial" w:cs="Arial"/>
          <w:b/>
          <w:bCs/>
          <w:sz w:val="24"/>
          <w:szCs w:val="24"/>
          <w:lang w:eastAsia="pt-BR"/>
        </w:rPr>
        <w:t>ANA MARIA MOREIRA VELOSO</w:t>
      </w:r>
    </w:p>
    <w:p w14:paraId="5C46998B" w14:textId="52DD0041" w:rsidR="48CEF9CA" w:rsidRDefault="48CEF9CA" w:rsidP="6C927748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t-BR"/>
        </w:rPr>
      </w:pPr>
      <w:r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>MARIANA A</w:t>
      </w:r>
      <w:r w:rsidR="53FD5B32"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>PARECIDA</w:t>
      </w:r>
      <w:r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 B</w:t>
      </w:r>
      <w:r w:rsidR="57A78E6E"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>ORGES DOS</w:t>
      </w:r>
      <w:r w:rsidRPr="4FB03865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 SANTOS</w:t>
      </w:r>
    </w:p>
    <w:p w14:paraId="25DE6B2F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60C2AABC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271CE523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1A8F2657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00BE9B0C" w14:textId="1307028E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6C927748">
        <w:rPr>
          <w:rFonts w:ascii="Arial" w:eastAsia="Arial" w:hAnsi="Arial" w:cs="Arial"/>
          <w:b/>
          <w:bCs/>
          <w:sz w:val="24"/>
          <w:szCs w:val="24"/>
          <w:lang w:eastAsia="pt-BR"/>
        </w:rPr>
        <w:t xml:space="preserve">INTERAÇÕES MEDICAMENTOSAS </w:t>
      </w:r>
      <w:r w:rsidR="32535483" w:rsidRPr="6C927748">
        <w:rPr>
          <w:rFonts w:ascii="Arial" w:eastAsia="Arial" w:hAnsi="Arial" w:cs="Arial"/>
          <w:b/>
          <w:bCs/>
          <w:sz w:val="24"/>
          <w:szCs w:val="24"/>
          <w:lang w:eastAsia="pt-BR"/>
        </w:rPr>
        <w:t>NA FARMACOTERAPIA DA DOENÇA DE ALZHEIMER</w:t>
      </w:r>
    </w:p>
    <w:p w14:paraId="2B4EBAC2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065F5C14" w14:textId="77777777" w:rsidR="00A63E7D" w:rsidRDefault="00A63E7D" w:rsidP="6C927748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135C21B4" w14:textId="045A1C0F" w:rsidR="00A63E7D" w:rsidRPr="008C5B70" w:rsidRDefault="00A63E7D" w:rsidP="6C927748">
      <w:pPr>
        <w:spacing w:line="360" w:lineRule="auto"/>
        <w:ind w:left="4252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6C927748">
        <w:rPr>
          <w:rFonts w:ascii="Arial" w:eastAsia="Arial" w:hAnsi="Arial" w:cs="Arial"/>
          <w:sz w:val="24"/>
          <w:szCs w:val="24"/>
          <w:lang w:eastAsia="pt-BR"/>
        </w:rPr>
        <w:t>Trabalho de conclusão de curso apresentado à Pontifícia Universidade Católica de Goiás como requisito para obtenção do título de bacharel em Farmácia, sob orientação do Prof. Vinicius Barreto da Silva.</w:t>
      </w:r>
    </w:p>
    <w:p w14:paraId="5085BB96" w14:textId="77777777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357A4CBC" w14:textId="77777777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2FDEA55C" w14:textId="77777777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0B7A84D4" w14:textId="77777777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773EFE32" w14:textId="3438E0B9" w:rsidR="00A63E7D" w:rsidRPr="009B4A6A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6C927748">
        <w:rPr>
          <w:rFonts w:ascii="Arial" w:eastAsia="Arial" w:hAnsi="Arial" w:cs="Arial"/>
          <w:b/>
          <w:bCs/>
          <w:sz w:val="24"/>
          <w:szCs w:val="24"/>
          <w:lang w:eastAsia="pt-BR"/>
        </w:rPr>
        <w:t>GOIÂNIA</w:t>
      </w:r>
    </w:p>
    <w:p w14:paraId="46AABA2D" w14:textId="1E4DDE2A" w:rsidR="00A63E7D" w:rsidRDefault="00A63E7D" w:rsidP="6C92774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  <w:r w:rsidRPr="408ACB18">
        <w:rPr>
          <w:rFonts w:ascii="Arial" w:eastAsia="Arial" w:hAnsi="Arial" w:cs="Arial"/>
          <w:b/>
          <w:bCs/>
          <w:sz w:val="24"/>
          <w:szCs w:val="24"/>
          <w:lang w:eastAsia="pt-BR"/>
        </w:rPr>
        <w:t>202</w:t>
      </w:r>
      <w:r w:rsidR="668289ED" w:rsidRPr="408ACB18">
        <w:rPr>
          <w:rFonts w:ascii="Arial" w:eastAsia="Arial" w:hAnsi="Arial" w:cs="Arial"/>
          <w:b/>
          <w:bCs/>
          <w:sz w:val="24"/>
          <w:szCs w:val="24"/>
          <w:lang w:eastAsia="pt-BR"/>
        </w:rPr>
        <w:t>1</w:t>
      </w:r>
    </w:p>
    <w:p w14:paraId="1BE1AEA1" w14:textId="4E162323" w:rsidR="408ACB18" w:rsidRDefault="408ACB18" w:rsidP="408ACB1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7932FE25" w14:textId="6E271BDC" w:rsidR="408ACB18" w:rsidRDefault="408ACB18" w:rsidP="408ACB18">
      <w:pPr>
        <w:spacing w:after="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0BCD9DD6" w14:textId="549FC72A" w:rsidR="6C927748" w:rsidRDefault="6C927748" w:rsidP="6C927748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pt-BR"/>
        </w:rPr>
      </w:pPr>
    </w:p>
    <w:p w14:paraId="75832BF5" w14:textId="46201920" w:rsidR="00A63E7D" w:rsidRPr="00BE23D5" w:rsidRDefault="00A63E7D" w:rsidP="6C92774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381D38AB">
        <w:rPr>
          <w:rFonts w:ascii="Arial" w:eastAsia="Arial" w:hAnsi="Arial" w:cs="Arial"/>
          <w:b/>
          <w:bCs/>
          <w:sz w:val="24"/>
          <w:szCs w:val="24"/>
          <w:lang w:eastAsia="pt-BR"/>
        </w:rPr>
        <w:t>RESUMO</w:t>
      </w:r>
    </w:p>
    <w:p w14:paraId="7472F35D" w14:textId="5418B628" w:rsidR="641E5C61" w:rsidRDefault="641E5C61" w:rsidP="5EF6DA7B">
      <w:pPr>
        <w:spacing w:line="360" w:lineRule="auto"/>
        <w:ind w:firstLine="708"/>
        <w:jc w:val="both"/>
        <w:rPr>
          <w:rFonts w:ascii="Arial" w:eastAsia="Arial" w:hAnsi="Arial" w:cs="Arial"/>
        </w:rPr>
      </w:pPr>
      <w:r w:rsidRPr="5EF6DA7B">
        <w:rPr>
          <w:rFonts w:ascii="Arial" w:eastAsia="Arial" w:hAnsi="Arial" w:cs="Arial"/>
        </w:rPr>
        <w:t>A doença de Alzheimer (DA), caracterizada pelo neuropatologista alemão Alois Alzheimer em 1907, é uma afecção neurodegenerativa progressiva e irreversível de aparecimento insidioso, que acarreta perda da memória e diversos distúrbios cognitivos.</w:t>
      </w:r>
      <w:r w:rsidR="6F11D573" w:rsidRPr="5EF6DA7B">
        <w:rPr>
          <w:rFonts w:ascii="Arial" w:eastAsia="Arial" w:hAnsi="Arial" w:cs="Arial"/>
        </w:rPr>
        <w:t xml:space="preserve"> </w:t>
      </w:r>
      <w:r w:rsidRPr="5EF6DA7B">
        <w:rPr>
          <w:rFonts w:ascii="Arial" w:eastAsia="Arial" w:hAnsi="Arial" w:cs="Arial"/>
        </w:rPr>
        <w:t>Caracteriza-se pela maciça perda sináptica e pela morte neuronal.</w:t>
      </w:r>
      <w:r w:rsidR="5E54AA58" w:rsidRPr="5EF6DA7B">
        <w:rPr>
          <w:rFonts w:ascii="Arial" w:eastAsia="Arial" w:hAnsi="Arial" w:cs="Arial"/>
        </w:rPr>
        <w:t xml:space="preserve"> Em geral, o primeiro aspecto clínico é a deficiência da memória recente. </w:t>
      </w:r>
      <w:r w:rsidR="4B912CE5" w:rsidRPr="5EF6DA7B">
        <w:rPr>
          <w:rFonts w:ascii="Arial" w:eastAsia="Arial" w:hAnsi="Arial" w:cs="Arial"/>
        </w:rPr>
        <w:t>As</w:t>
      </w:r>
      <w:r w:rsidR="5E54AA58" w:rsidRPr="5EF6DA7B">
        <w:rPr>
          <w:rFonts w:ascii="Arial" w:eastAsia="Arial" w:hAnsi="Arial" w:cs="Arial"/>
        </w:rPr>
        <w:t xml:space="preserve"> funções cognitivas deterioram à medida que a </w:t>
      </w:r>
      <w:r w:rsidR="166A9936" w:rsidRPr="5EF6DA7B">
        <w:rPr>
          <w:rFonts w:ascii="Arial" w:eastAsia="Arial" w:hAnsi="Arial" w:cs="Arial"/>
        </w:rPr>
        <w:t>doença</w:t>
      </w:r>
      <w:r w:rsidR="5E54AA58" w:rsidRPr="5EF6DA7B">
        <w:rPr>
          <w:rFonts w:ascii="Arial" w:eastAsia="Arial" w:hAnsi="Arial" w:cs="Arial"/>
        </w:rPr>
        <w:t xml:space="preserve"> evolui, </w:t>
      </w:r>
      <w:r w:rsidR="7F8F9C7C" w:rsidRPr="5EF6DA7B">
        <w:rPr>
          <w:rFonts w:ascii="Arial" w:eastAsia="Arial" w:hAnsi="Arial" w:cs="Arial"/>
        </w:rPr>
        <w:t>incluindo</w:t>
      </w:r>
      <w:r w:rsidR="5E54AA58" w:rsidRPr="5EF6DA7B">
        <w:rPr>
          <w:rFonts w:ascii="Arial" w:eastAsia="Arial" w:hAnsi="Arial" w:cs="Arial"/>
        </w:rPr>
        <w:t xml:space="preserve"> a capacidade de fazer cálculos, as habilidades </w:t>
      </w:r>
      <w:proofErr w:type="spellStart"/>
      <w:r w:rsidR="5E54AA58" w:rsidRPr="5EF6DA7B">
        <w:rPr>
          <w:rFonts w:ascii="Arial" w:eastAsia="Arial" w:hAnsi="Arial" w:cs="Arial"/>
        </w:rPr>
        <w:t>vísuo</w:t>
      </w:r>
      <w:proofErr w:type="spellEnd"/>
      <w:r w:rsidR="5E54AA58" w:rsidRPr="5EF6DA7B">
        <w:rPr>
          <w:rFonts w:ascii="Arial" w:eastAsia="Arial" w:hAnsi="Arial" w:cs="Arial"/>
        </w:rPr>
        <w:t>-espaciais e a capacidade de usar objetos comuns e ferramentas.</w:t>
      </w:r>
      <w:r w:rsidR="22845709" w:rsidRPr="5EF6DA7B">
        <w:rPr>
          <w:rFonts w:ascii="Arial" w:eastAsia="Arial" w:hAnsi="Arial" w:cs="Arial"/>
        </w:rPr>
        <w:t xml:space="preserve"> Este estudo visa mapear interações medicamentosas </w:t>
      </w:r>
      <w:r w:rsidR="54E19B2C" w:rsidRPr="5EF6DA7B">
        <w:rPr>
          <w:rFonts w:ascii="Arial" w:eastAsia="Arial" w:hAnsi="Arial" w:cs="Arial"/>
        </w:rPr>
        <w:t>dos</w:t>
      </w:r>
      <w:r w:rsidR="6E04BEBB" w:rsidRPr="5EF6DA7B">
        <w:rPr>
          <w:rFonts w:ascii="Arial" w:eastAsia="Arial" w:hAnsi="Arial" w:cs="Arial"/>
        </w:rPr>
        <w:t xml:space="preserve"> fármacos </w:t>
      </w:r>
      <w:proofErr w:type="spellStart"/>
      <w:r w:rsidR="6E04BEBB" w:rsidRPr="5EF6DA7B">
        <w:rPr>
          <w:rFonts w:ascii="Arial" w:eastAsia="Arial" w:hAnsi="Arial" w:cs="Arial"/>
        </w:rPr>
        <w:t>antialzheimer</w:t>
      </w:r>
      <w:proofErr w:type="spellEnd"/>
      <w:r w:rsidR="15DB1F1E" w:rsidRPr="5EF6DA7B">
        <w:rPr>
          <w:rFonts w:ascii="Arial" w:eastAsia="Arial" w:hAnsi="Arial" w:cs="Arial"/>
        </w:rPr>
        <w:t>,</w:t>
      </w:r>
      <w:r w:rsidR="6E04BEBB" w:rsidRPr="5EF6DA7B">
        <w:rPr>
          <w:rFonts w:ascii="Arial" w:eastAsia="Arial" w:hAnsi="Arial" w:cs="Arial"/>
        </w:rPr>
        <w:t xml:space="preserve"> </w:t>
      </w:r>
      <w:r w:rsidR="1F04ECC5" w:rsidRPr="5EF6DA7B">
        <w:rPr>
          <w:rFonts w:ascii="Arial" w:eastAsia="Arial" w:hAnsi="Arial" w:cs="Arial"/>
        </w:rPr>
        <w:t>por meio do módulo “</w:t>
      </w:r>
      <w:proofErr w:type="spellStart"/>
      <w:r w:rsidR="1F04ECC5" w:rsidRPr="5EF6DA7B">
        <w:rPr>
          <w:rFonts w:ascii="Arial" w:eastAsia="Arial" w:hAnsi="Arial" w:cs="Arial"/>
        </w:rPr>
        <w:t>Interactions</w:t>
      </w:r>
      <w:proofErr w:type="spellEnd"/>
      <w:r w:rsidR="1F04ECC5" w:rsidRPr="5EF6DA7B">
        <w:rPr>
          <w:rFonts w:ascii="Arial" w:eastAsia="Arial" w:hAnsi="Arial" w:cs="Arial"/>
        </w:rPr>
        <w:t xml:space="preserve"> Checker” do repositório Drugs.com</w:t>
      </w:r>
      <w:r w:rsidR="4E3812FF" w:rsidRPr="5EF6DA7B">
        <w:rPr>
          <w:rFonts w:ascii="Arial" w:eastAsia="Arial" w:hAnsi="Arial" w:cs="Arial"/>
        </w:rPr>
        <w:t>,</w:t>
      </w:r>
      <w:r w:rsidR="1F04ECC5" w:rsidRPr="5EF6DA7B">
        <w:rPr>
          <w:rFonts w:ascii="Arial" w:eastAsia="Arial" w:hAnsi="Arial" w:cs="Arial"/>
        </w:rPr>
        <w:t xml:space="preserve"> </w:t>
      </w:r>
      <w:r w:rsidR="6E04BEBB" w:rsidRPr="5EF6DA7B">
        <w:rPr>
          <w:rFonts w:ascii="Arial" w:eastAsia="Arial" w:hAnsi="Arial" w:cs="Arial"/>
        </w:rPr>
        <w:t>com</w:t>
      </w:r>
      <w:r w:rsidR="2231E925" w:rsidRPr="5EF6DA7B">
        <w:rPr>
          <w:rFonts w:ascii="Arial" w:eastAsia="Arial" w:hAnsi="Arial" w:cs="Arial"/>
        </w:rPr>
        <w:t xml:space="preserve"> fármacos de alta relevância clínica, incluindo</w:t>
      </w:r>
      <w:r w:rsidR="22845709" w:rsidRPr="5EF6DA7B">
        <w:rPr>
          <w:rFonts w:ascii="Arial" w:eastAsia="Arial" w:hAnsi="Arial" w:cs="Arial"/>
        </w:rPr>
        <w:t xml:space="preserve"> antifúngicos</w:t>
      </w:r>
      <w:r w:rsidR="1D347AA2" w:rsidRPr="5EF6DA7B">
        <w:rPr>
          <w:rFonts w:ascii="Arial" w:eastAsia="Arial" w:hAnsi="Arial" w:cs="Arial"/>
        </w:rPr>
        <w:t xml:space="preserve">, </w:t>
      </w:r>
      <w:r w:rsidR="22845709" w:rsidRPr="5EF6DA7B">
        <w:rPr>
          <w:rFonts w:ascii="Arial" w:eastAsia="Arial" w:hAnsi="Arial" w:cs="Arial"/>
        </w:rPr>
        <w:t>benzodiazepínicos, antidepressivos, anticonvulsivantes</w:t>
      </w:r>
      <w:r w:rsidR="458E5CB4" w:rsidRPr="5EF6DA7B">
        <w:rPr>
          <w:rFonts w:ascii="Arial" w:eastAsia="Arial" w:hAnsi="Arial" w:cs="Arial"/>
        </w:rPr>
        <w:t xml:space="preserve">, </w:t>
      </w:r>
      <w:r w:rsidR="22845709" w:rsidRPr="5EF6DA7B">
        <w:rPr>
          <w:rFonts w:ascii="Arial" w:eastAsia="Arial" w:hAnsi="Arial" w:cs="Arial"/>
        </w:rPr>
        <w:t>antipsicóticos</w:t>
      </w:r>
      <w:r w:rsidR="0DB1183D" w:rsidRPr="5EF6DA7B">
        <w:rPr>
          <w:rFonts w:ascii="Arial" w:eastAsia="Arial" w:hAnsi="Arial" w:cs="Arial"/>
        </w:rPr>
        <w:t>,</w:t>
      </w:r>
      <w:r w:rsidR="22845709" w:rsidRPr="5EF6DA7B">
        <w:rPr>
          <w:rFonts w:ascii="Arial" w:eastAsia="Arial" w:hAnsi="Arial" w:cs="Arial"/>
        </w:rPr>
        <w:t xml:space="preserve"> descrevendo possíveis efeitos nocivos importantes para guiar as condutas clínicas de profissionais de saúde. O</w:t>
      </w:r>
      <w:r w:rsidR="66DDE6B2" w:rsidRPr="5EF6DA7B">
        <w:rPr>
          <w:rFonts w:ascii="Arial" w:eastAsia="Arial" w:hAnsi="Arial" w:cs="Arial"/>
        </w:rPr>
        <w:t>s</w:t>
      </w:r>
      <w:r w:rsidR="22845709" w:rsidRPr="5EF6DA7B">
        <w:rPr>
          <w:rFonts w:ascii="Arial" w:eastAsia="Arial" w:hAnsi="Arial" w:cs="Arial"/>
        </w:rPr>
        <w:t xml:space="preserve"> principa</w:t>
      </w:r>
      <w:r w:rsidR="736A2139" w:rsidRPr="5EF6DA7B">
        <w:rPr>
          <w:rFonts w:ascii="Arial" w:eastAsia="Arial" w:hAnsi="Arial" w:cs="Arial"/>
        </w:rPr>
        <w:t>is</w:t>
      </w:r>
      <w:r w:rsidR="22845709" w:rsidRPr="5EF6DA7B">
        <w:rPr>
          <w:rFonts w:ascii="Arial" w:eastAsia="Arial" w:hAnsi="Arial" w:cs="Arial"/>
        </w:rPr>
        <w:t xml:space="preserve"> resultado</w:t>
      </w:r>
      <w:r w:rsidR="61EBD02D" w:rsidRPr="5EF6DA7B">
        <w:rPr>
          <w:rFonts w:ascii="Arial" w:eastAsia="Arial" w:hAnsi="Arial" w:cs="Arial"/>
        </w:rPr>
        <w:t>s</w:t>
      </w:r>
      <w:r w:rsidR="22845709" w:rsidRPr="5EF6DA7B">
        <w:rPr>
          <w:rFonts w:ascii="Arial" w:eastAsia="Arial" w:hAnsi="Arial" w:cs="Arial"/>
        </w:rPr>
        <w:t xml:space="preserve"> encontrado</w:t>
      </w:r>
      <w:r w:rsidR="34DE6B0A" w:rsidRPr="5EF6DA7B">
        <w:rPr>
          <w:rFonts w:ascii="Arial" w:eastAsia="Arial" w:hAnsi="Arial" w:cs="Arial"/>
        </w:rPr>
        <w:t>s</w:t>
      </w:r>
      <w:r w:rsidR="22845709" w:rsidRPr="5EF6DA7B">
        <w:rPr>
          <w:rFonts w:ascii="Arial" w:eastAsia="Arial" w:hAnsi="Arial" w:cs="Arial"/>
        </w:rPr>
        <w:t xml:space="preserve"> no levantamento das interações medicamentosas foi a</w:t>
      </w:r>
      <w:r w:rsidR="27E18339" w:rsidRPr="5EF6DA7B">
        <w:rPr>
          <w:rFonts w:ascii="Arial" w:eastAsia="Arial" w:hAnsi="Arial" w:cs="Arial"/>
        </w:rPr>
        <w:t xml:space="preserve"> ocorrência de alterações nos níveis plasmáticos dos fármacos, redução de eficácia, </w:t>
      </w:r>
      <w:r w:rsidR="08D1FC74" w:rsidRPr="5EF6DA7B">
        <w:rPr>
          <w:rFonts w:ascii="Arial" w:eastAsia="Arial" w:hAnsi="Arial" w:cs="Arial"/>
        </w:rPr>
        <w:t>aumento do</w:t>
      </w:r>
      <w:r w:rsidR="27E18339" w:rsidRPr="5EF6DA7B">
        <w:rPr>
          <w:rFonts w:ascii="Arial" w:eastAsia="Arial" w:hAnsi="Arial" w:cs="Arial"/>
        </w:rPr>
        <w:t xml:space="preserve"> risco de convulsões</w:t>
      </w:r>
      <w:r w:rsidR="71E683F4" w:rsidRPr="5EF6DA7B">
        <w:rPr>
          <w:rFonts w:ascii="Arial" w:eastAsia="Arial" w:hAnsi="Arial" w:cs="Arial"/>
        </w:rPr>
        <w:t xml:space="preserve"> e as que causam efeitos cardiovasculares,</w:t>
      </w:r>
      <w:r w:rsidR="59955BC4" w:rsidRPr="5EF6DA7B">
        <w:rPr>
          <w:rFonts w:ascii="Arial" w:eastAsia="Arial" w:hAnsi="Arial" w:cs="Arial"/>
        </w:rPr>
        <w:t xml:space="preserve"> como a bradicardia.</w:t>
      </w:r>
      <w:r w:rsidR="0DA3745E" w:rsidRPr="5EF6DA7B">
        <w:rPr>
          <w:rFonts w:ascii="Arial" w:eastAsia="Arial" w:hAnsi="Arial" w:cs="Arial"/>
        </w:rPr>
        <w:t xml:space="preserve"> Assim, os fármacos </w:t>
      </w:r>
      <w:proofErr w:type="spellStart"/>
      <w:r w:rsidR="0DA3745E" w:rsidRPr="5EF6DA7B">
        <w:rPr>
          <w:rFonts w:ascii="Arial" w:eastAsia="Arial" w:hAnsi="Arial" w:cs="Arial"/>
        </w:rPr>
        <w:t>antialzheimer</w:t>
      </w:r>
      <w:proofErr w:type="spellEnd"/>
      <w:r w:rsidR="0DA3745E" w:rsidRPr="5EF6DA7B">
        <w:rPr>
          <w:rFonts w:ascii="Arial" w:eastAsia="Arial" w:hAnsi="Arial" w:cs="Arial"/>
        </w:rPr>
        <w:t xml:space="preserve"> estão sujeitos à ocorrência de diversas interações medicamentosas que podem afetar o indivíduo portador da doença, o que requer um adequado manejo </w:t>
      </w:r>
      <w:r w:rsidR="189B09F3" w:rsidRPr="5EF6DA7B">
        <w:rPr>
          <w:rFonts w:ascii="Arial" w:eastAsia="Arial" w:hAnsi="Arial" w:cs="Arial"/>
        </w:rPr>
        <w:t>clínico da farmacoterapia.</w:t>
      </w:r>
    </w:p>
    <w:p w14:paraId="091A8B84" w14:textId="77777777" w:rsidR="00A63E7D" w:rsidRPr="00BC4C8B" w:rsidRDefault="00A63E7D" w:rsidP="4FB03865">
      <w:pPr>
        <w:rPr>
          <w:rFonts w:ascii="Arial" w:eastAsia="Arial" w:hAnsi="Arial" w:cs="Arial"/>
          <w:b/>
          <w:bCs/>
          <w:lang w:eastAsia="pt-BR"/>
        </w:rPr>
      </w:pPr>
    </w:p>
    <w:p w14:paraId="5E4B625C" w14:textId="68D7356E" w:rsidR="00946B24" w:rsidRPr="00A63E7D" w:rsidRDefault="00A63E7D" w:rsidP="4FB03865">
      <w:pPr>
        <w:rPr>
          <w:rFonts w:ascii="Arial" w:eastAsia="Arial" w:hAnsi="Arial" w:cs="Arial"/>
          <w:b/>
          <w:bCs/>
          <w:color w:val="000000" w:themeColor="text1"/>
          <w:lang w:eastAsia="pt-BR"/>
        </w:rPr>
      </w:pPr>
      <w:r w:rsidRPr="4FB03865">
        <w:rPr>
          <w:rFonts w:ascii="Arial" w:eastAsia="Arial" w:hAnsi="Arial" w:cs="Arial"/>
          <w:b/>
          <w:bCs/>
          <w:lang w:eastAsia="pt-BR"/>
        </w:rPr>
        <w:t xml:space="preserve">Palavras-chave: </w:t>
      </w:r>
      <w:r w:rsidR="63BE3BE5" w:rsidRPr="4FB03865">
        <w:rPr>
          <w:rFonts w:ascii="Arial" w:eastAsia="Arial" w:hAnsi="Arial" w:cs="Arial"/>
          <w:lang w:eastAsia="pt-BR"/>
        </w:rPr>
        <w:t xml:space="preserve">polifarmácia, fármacos </w:t>
      </w:r>
      <w:proofErr w:type="spellStart"/>
      <w:r w:rsidR="63BE3BE5" w:rsidRPr="4FB03865">
        <w:rPr>
          <w:rFonts w:ascii="Arial" w:eastAsia="Arial" w:hAnsi="Arial" w:cs="Arial"/>
          <w:lang w:eastAsia="pt-BR"/>
        </w:rPr>
        <w:t>antialzheimer</w:t>
      </w:r>
      <w:proofErr w:type="spellEnd"/>
      <w:r w:rsidR="63BE3BE5" w:rsidRPr="4FB03865">
        <w:rPr>
          <w:rFonts w:ascii="Arial" w:eastAsia="Arial" w:hAnsi="Arial" w:cs="Arial"/>
          <w:lang w:eastAsia="pt-BR"/>
        </w:rPr>
        <w:t>,</w:t>
      </w:r>
      <w:r w:rsidR="4279EB14" w:rsidRPr="4FB03865">
        <w:rPr>
          <w:rFonts w:ascii="Arial" w:eastAsia="Arial" w:hAnsi="Arial" w:cs="Arial"/>
          <w:lang w:eastAsia="pt-BR"/>
        </w:rPr>
        <w:t xml:space="preserve"> interações farmacocinéticas, interações farmacodinâmicas.</w:t>
      </w:r>
    </w:p>
    <w:p w14:paraId="62D7681B" w14:textId="7F9FED15" w:rsidR="36E7020F" w:rsidRDefault="36E7020F" w:rsidP="6C927748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0F901726" w14:textId="3936E88A" w:rsidR="4FB03865" w:rsidRDefault="4FB03865" w:rsidP="67520632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36AB4FDA" w14:textId="4CC266BF" w:rsidR="4FB03865" w:rsidRDefault="4FB03865" w:rsidP="67520632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10CD29EF" w14:textId="78F280B4" w:rsidR="4FB03865" w:rsidRDefault="4FB03865" w:rsidP="4FB03865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2496AA57" w14:textId="678760E3" w:rsidR="67520632" w:rsidRDefault="67520632" w:rsidP="67520632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652ACDFF" w14:textId="63C23839" w:rsidR="67520632" w:rsidRDefault="67520632" w:rsidP="67520632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6C3D7464" w14:textId="40705C4B" w:rsidR="4FB03865" w:rsidRDefault="4FB03865" w:rsidP="4FB03865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7A710821" w14:textId="06F5BBBD" w:rsidR="5EF6DA7B" w:rsidRDefault="5EF6DA7B" w:rsidP="5EF6DA7B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29FB352D" w14:textId="589EAD0C" w:rsidR="408ACB18" w:rsidRDefault="408ACB18" w:rsidP="408ACB18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5B01A04C" w14:textId="634F6EE9" w:rsidR="408ACB18" w:rsidRDefault="408ACB18" w:rsidP="408ACB18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41D124D3" w14:textId="03667FD6" w:rsidR="5EF6DA7B" w:rsidRDefault="5EF6DA7B" w:rsidP="5EF6DA7B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12E00503" w14:textId="31ABBBD0" w:rsidR="5EF6DA7B" w:rsidRDefault="5EF6DA7B" w:rsidP="5EF6DA7B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522DAEF6" w14:textId="730F7A34" w:rsidR="5EF6DA7B" w:rsidRDefault="5EF6DA7B" w:rsidP="5EF6DA7B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2F4A9A49" w14:textId="21734751" w:rsidR="5EF6DA7B" w:rsidRDefault="5EF6DA7B" w:rsidP="5EF6DA7B">
      <w:pPr>
        <w:rPr>
          <w:rFonts w:ascii="Arial" w:eastAsia="Arial" w:hAnsi="Arial" w:cs="Arial"/>
          <w:color w:val="000000" w:themeColor="text1"/>
          <w:sz w:val="24"/>
          <w:szCs w:val="24"/>
          <w:lang w:eastAsia="pt-BR"/>
        </w:rPr>
      </w:pPr>
    </w:p>
    <w:p w14:paraId="292C51F1" w14:textId="145CE878" w:rsidR="397BF1D2" w:rsidRDefault="397BF1D2" w:rsidP="6C92774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6C927748">
        <w:rPr>
          <w:rFonts w:ascii="Arial" w:eastAsia="Arial" w:hAnsi="Arial" w:cs="Arial"/>
          <w:b/>
          <w:bCs/>
        </w:rPr>
        <w:t>INTRODUÇÃO</w:t>
      </w:r>
    </w:p>
    <w:p w14:paraId="10714556" w14:textId="79FFA0BC" w:rsidR="397BF1D2" w:rsidRDefault="397BF1D2" w:rsidP="6C927748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</w:rPr>
        <w:t>A doença de Alzheimer (DA), caracterizada pelo neuropatologista alemão Alois Alzheimer em 1907, é uma afecção neurodegenerativa progressiva e irreversível de aparecimento insidioso, que acarreta perda da memória e diversos distúrbios cognitivos (HARMAN, 1996).</w:t>
      </w:r>
    </w:p>
    <w:p w14:paraId="2F1DC7E8" w14:textId="503C7185" w:rsidR="397BF1D2" w:rsidRDefault="397BF1D2" w:rsidP="6C927748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</w:rPr>
        <w:t xml:space="preserve">Caracteriza-se pela maciça perda sináptica e pela morte neuronal observada nas regiões cerebrais responsáveis pelas funções cognitivas, incluindo o córtex cerebral, o hipocampo, o córtex </w:t>
      </w:r>
      <w:proofErr w:type="spellStart"/>
      <w:r w:rsidRPr="6C927748">
        <w:rPr>
          <w:rFonts w:ascii="Arial" w:eastAsia="Arial" w:hAnsi="Arial" w:cs="Arial"/>
        </w:rPr>
        <w:t>entorrinal</w:t>
      </w:r>
      <w:proofErr w:type="spellEnd"/>
      <w:r w:rsidRPr="6C927748">
        <w:rPr>
          <w:rFonts w:ascii="Arial" w:eastAsia="Arial" w:hAnsi="Arial" w:cs="Arial"/>
        </w:rPr>
        <w:t xml:space="preserve"> e o estriado ventral</w:t>
      </w:r>
      <w:r w:rsidRPr="6C927748">
        <w:rPr>
          <w:rFonts w:ascii="Arial" w:eastAsia="Arial" w:hAnsi="Arial" w:cs="Arial"/>
          <w:vertAlign w:val="superscript"/>
        </w:rPr>
        <w:t xml:space="preserve"> </w:t>
      </w:r>
      <w:r w:rsidRPr="6C927748">
        <w:rPr>
          <w:rFonts w:ascii="Arial" w:eastAsia="Arial" w:hAnsi="Arial" w:cs="Arial"/>
        </w:rPr>
        <w:t xml:space="preserve">(SELKOE, 2001). As características histopatológicas presentes no parênquima cerebral de pacientes portadores da doença de Alzheimer incluem depósitos fibrilares </w:t>
      </w:r>
      <w:proofErr w:type="spellStart"/>
      <w:r w:rsidRPr="6C927748">
        <w:rPr>
          <w:rFonts w:ascii="Arial" w:eastAsia="Arial" w:hAnsi="Arial" w:cs="Arial"/>
        </w:rPr>
        <w:t>amiloidais</w:t>
      </w:r>
      <w:proofErr w:type="spellEnd"/>
      <w:r w:rsidRPr="6C927748">
        <w:rPr>
          <w:rFonts w:ascii="Arial" w:eastAsia="Arial" w:hAnsi="Arial" w:cs="Arial"/>
        </w:rPr>
        <w:t xml:space="preserve"> localizados nas paredes dos vasos sanguíneos, associados a uma variedade de diferentes tipos de placas senis, acúmulo de filamentos anormais da proteína tau e consequente formação de novelos </w:t>
      </w:r>
      <w:proofErr w:type="spellStart"/>
      <w:r w:rsidRPr="6C927748">
        <w:rPr>
          <w:rFonts w:ascii="Arial" w:eastAsia="Arial" w:hAnsi="Arial" w:cs="Arial"/>
        </w:rPr>
        <w:t>neurofibrilares</w:t>
      </w:r>
      <w:proofErr w:type="spellEnd"/>
      <w:r w:rsidRPr="6C927748">
        <w:rPr>
          <w:rFonts w:ascii="Arial" w:eastAsia="Arial" w:hAnsi="Arial" w:cs="Arial"/>
        </w:rPr>
        <w:t xml:space="preserve"> (NFT), perda neuronal e sináptica, ativação da glia e inflamação</w:t>
      </w:r>
      <w:r w:rsidRPr="6C927748">
        <w:rPr>
          <w:rFonts w:ascii="Arial" w:eastAsia="Arial" w:hAnsi="Arial" w:cs="Arial"/>
          <w:vertAlign w:val="superscript"/>
        </w:rPr>
        <w:t xml:space="preserve"> </w:t>
      </w:r>
      <w:r w:rsidRPr="6C927748">
        <w:rPr>
          <w:rFonts w:ascii="Arial" w:eastAsia="Arial" w:hAnsi="Arial" w:cs="Arial"/>
        </w:rPr>
        <w:t xml:space="preserve">(SELKOE, 2001). Estes processos ocorrem em áreas do cérebro particularmente vulneráveis, nomeadamente nos córtices límbico e de associação e em alguns núcleos subcorticais com projeções corticais extensas. Estas áreas são responsáveis pela memória e cognição (ALVES et al, 2012). </w:t>
      </w:r>
    </w:p>
    <w:p w14:paraId="09EA047B" w14:textId="27E2F8F9" w:rsidR="397BF1D2" w:rsidRDefault="397BF1D2" w:rsidP="6C927748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</w:rPr>
        <w:t xml:space="preserve">Em geral, o primeiro aspecto clínico é a deficiência da memória recente, enquanto as lembranças remotas são preservadas até um certo estágio da doença. Além das dificuldades de atenção e fluência verbal, outras funções cognitivas deterioram à medida que a patologia evolui, entre elas a capacidade de fazer cálculos, as habilidades </w:t>
      </w:r>
      <w:proofErr w:type="spellStart"/>
      <w:r w:rsidRPr="6C927748">
        <w:rPr>
          <w:rFonts w:ascii="Arial" w:eastAsia="Arial" w:hAnsi="Arial" w:cs="Arial"/>
        </w:rPr>
        <w:t>vísuo</w:t>
      </w:r>
      <w:proofErr w:type="spellEnd"/>
      <w:r w:rsidRPr="6C927748">
        <w:rPr>
          <w:rFonts w:ascii="Arial" w:eastAsia="Arial" w:hAnsi="Arial" w:cs="Arial"/>
        </w:rPr>
        <w:t>-espaciais e a capacidade de usar objetos comuns e ferramentas</w:t>
      </w:r>
      <w:r w:rsidRPr="6C927748">
        <w:rPr>
          <w:rFonts w:ascii="Arial" w:eastAsia="Arial" w:hAnsi="Arial" w:cs="Arial"/>
          <w:vertAlign w:val="superscript"/>
        </w:rPr>
        <w:t xml:space="preserve"> </w:t>
      </w:r>
      <w:r w:rsidRPr="6C927748">
        <w:rPr>
          <w:rFonts w:ascii="Arial" w:eastAsia="Arial" w:hAnsi="Arial" w:cs="Arial"/>
        </w:rPr>
        <w:t>(LINDEBOOM; WEINSTEIN, 2004). O grau de vigília e a lucidez do paciente não são afetados até a doença estar muito avançada. A fraqueza motora também não é observada, embora as contraturas musculares sejam uma característica quase universal nos estágios avançados da patologia</w:t>
      </w:r>
      <w:r w:rsidRPr="6C927748">
        <w:rPr>
          <w:rFonts w:ascii="Arial" w:eastAsia="Arial" w:hAnsi="Arial" w:cs="Arial"/>
          <w:vertAlign w:val="superscript"/>
        </w:rPr>
        <w:t xml:space="preserve"> </w:t>
      </w:r>
      <w:r w:rsidRPr="6C927748">
        <w:rPr>
          <w:rFonts w:ascii="Arial" w:eastAsia="Arial" w:hAnsi="Arial" w:cs="Arial"/>
        </w:rPr>
        <w:t xml:space="preserve">(LINDERBOOM, WEINSTEIN, 2004). Os aspectos emocionais mais frequentes da </w:t>
      </w:r>
      <w:proofErr w:type="spellStart"/>
      <w:r w:rsidRPr="6C927748">
        <w:rPr>
          <w:rFonts w:ascii="Arial" w:eastAsia="Arial" w:hAnsi="Arial" w:cs="Arial"/>
        </w:rPr>
        <w:t>DA</w:t>
      </w:r>
      <w:proofErr w:type="spellEnd"/>
      <w:r w:rsidRPr="6C927748">
        <w:rPr>
          <w:rFonts w:ascii="Arial" w:eastAsia="Arial" w:hAnsi="Arial" w:cs="Arial"/>
        </w:rPr>
        <w:t xml:space="preserve"> são: agressividade, alucinações, hiperatividade, irritabilidade e depressão (ABRAZ, 2018).</w:t>
      </w:r>
    </w:p>
    <w:p w14:paraId="3F9B9EC7" w14:textId="001EC2B8" w:rsidR="397BF1D2" w:rsidRDefault="397BF1D2" w:rsidP="6C927748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</w:rPr>
        <w:t xml:space="preserve">Visto que a DA é uma doença de acometimento principalmente da população idosa, e que esses estão sujeitos a apresentação de inúmeras comorbidades, destaca-se, também, a vulnerabilidade dessa população a prática da </w:t>
      </w:r>
      <w:proofErr w:type="spellStart"/>
      <w:r w:rsidRPr="6C927748">
        <w:rPr>
          <w:rFonts w:ascii="Arial" w:eastAsia="Arial" w:hAnsi="Arial" w:cs="Arial"/>
        </w:rPr>
        <w:t>polifarmacoterapia</w:t>
      </w:r>
      <w:proofErr w:type="spellEnd"/>
      <w:r w:rsidRPr="6C927748">
        <w:rPr>
          <w:rFonts w:ascii="Arial" w:eastAsia="Arial" w:hAnsi="Arial" w:cs="Arial"/>
        </w:rPr>
        <w:t xml:space="preserve">, a qual pode ser definida como o uso concomitante de dois ou mais medicamentos (HANLON et al., 1997). </w:t>
      </w:r>
    </w:p>
    <w:p w14:paraId="5C15B8AD" w14:textId="432F6ACE" w:rsidR="397BF1D2" w:rsidRDefault="397BF1D2" w:rsidP="6C927748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</w:rPr>
        <w:t>A elevada incidência da polifarmácia na velhice expõe o idoso a uma terapêutica farmacológica mais complexa, exigindo   maior   cautela, pois está diretamente relacionada com o aumento do risco de interações medicamentosas, de reações adversas a medicamentos, de ocasionar toxicidade cumulativa, de reduzir a adesão ao tratamento farmacológico, de causar erros de medicação e aumentar a morbimortalidade. (PRYBYS et al., 2002; SECOLI, 2010) (FLORES; MENGUE, 2005).</w:t>
      </w:r>
    </w:p>
    <w:p w14:paraId="4E2D25FF" w14:textId="05D77EC4" w:rsidR="36E7020F" w:rsidRDefault="36E7020F" w:rsidP="6C927748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0E85609" w14:textId="30AF10C9" w:rsidR="397BF1D2" w:rsidRDefault="397BF1D2" w:rsidP="6C92774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6C927748">
        <w:rPr>
          <w:rFonts w:ascii="Arial" w:eastAsia="Arial" w:hAnsi="Arial" w:cs="Arial"/>
          <w:b/>
          <w:bCs/>
        </w:rPr>
        <w:t>OBJETIVOS</w:t>
      </w:r>
    </w:p>
    <w:p w14:paraId="7B3CAF5F" w14:textId="27B5ADFB" w:rsidR="36E7020F" w:rsidRDefault="36E7020F" w:rsidP="6C927748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BD731E4" w14:textId="281ED702" w:rsidR="397BF1D2" w:rsidRDefault="397BF1D2" w:rsidP="6C927748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  <w:b/>
          <w:bCs/>
        </w:rPr>
        <w:t>OBJETIVO GERAL</w:t>
      </w:r>
    </w:p>
    <w:p w14:paraId="0EBADDB1" w14:textId="547285BB" w:rsidR="397BF1D2" w:rsidRDefault="397BF1D2" w:rsidP="1F85028D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1F85028D">
        <w:rPr>
          <w:rFonts w:ascii="Arial" w:eastAsia="Arial" w:hAnsi="Arial" w:cs="Arial"/>
        </w:rPr>
        <w:t>Descrever o potencial de interações medicamentosas dos tipos fármaco-fármaco</w:t>
      </w:r>
      <w:r w:rsidR="6DE2DE31" w:rsidRPr="1F85028D">
        <w:rPr>
          <w:rFonts w:ascii="Arial" w:eastAsia="Arial" w:hAnsi="Arial" w:cs="Arial"/>
        </w:rPr>
        <w:t xml:space="preserve"> </w:t>
      </w:r>
      <w:r w:rsidRPr="1F85028D">
        <w:rPr>
          <w:rFonts w:ascii="Arial" w:eastAsia="Arial" w:hAnsi="Arial" w:cs="Arial"/>
        </w:rPr>
        <w:t xml:space="preserve">para os fármacos </w:t>
      </w:r>
      <w:proofErr w:type="spellStart"/>
      <w:r w:rsidRPr="1F85028D">
        <w:rPr>
          <w:rFonts w:ascii="Arial" w:eastAsia="Arial" w:hAnsi="Arial" w:cs="Arial"/>
        </w:rPr>
        <w:t>antialzheimer</w:t>
      </w:r>
      <w:proofErr w:type="spellEnd"/>
      <w:r w:rsidRPr="1F85028D">
        <w:rPr>
          <w:rFonts w:ascii="Arial" w:eastAsia="Arial" w:hAnsi="Arial" w:cs="Arial"/>
        </w:rPr>
        <w:t xml:space="preserve"> comercialmente disponíveis no Brasil.</w:t>
      </w:r>
    </w:p>
    <w:p w14:paraId="0B5817F1" w14:textId="686D9735" w:rsidR="397BF1D2" w:rsidRDefault="397BF1D2" w:rsidP="6C927748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  <w:b/>
          <w:bCs/>
        </w:rPr>
        <w:t xml:space="preserve"> </w:t>
      </w:r>
    </w:p>
    <w:p w14:paraId="7AD3225A" w14:textId="05EA391E" w:rsidR="397BF1D2" w:rsidRDefault="397BF1D2" w:rsidP="6C927748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  <w:b/>
          <w:bCs/>
        </w:rPr>
        <w:t>OBJETIVOS ESPECÍFICOS</w:t>
      </w:r>
    </w:p>
    <w:p w14:paraId="32BA9E9B" w14:textId="738112D9" w:rsidR="397BF1D2" w:rsidRDefault="397BF1D2" w:rsidP="6C927748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</w:rPr>
        <w:t>Os objetivos específicos do projeto de pesquisa compreendem:</w:t>
      </w:r>
    </w:p>
    <w:p w14:paraId="73D24236" w14:textId="43B1B387" w:rsidR="397BF1D2" w:rsidRDefault="397BF1D2" w:rsidP="6C927748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</w:rPr>
        <w:t>1) Gerenciar informações sobre interações medicamentosas através de repositórios de informação sobre fármacos.</w:t>
      </w:r>
    </w:p>
    <w:p w14:paraId="7FA9AD99" w14:textId="25C6117A" w:rsidR="397BF1D2" w:rsidRDefault="397BF1D2" w:rsidP="6C927748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</w:rPr>
        <w:t xml:space="preserve">2) Traçar o perfil das interações medicamentosas clinicamente relevantes dos fármacos </w:t>
      </w:r>
      <w:proofErr w:type="spellStart"/>
      <w:r w:rsidRPr="6C927748">
        <w:rPr>
          <w:rFonts w:ascii="Arial" w:eastAsia="Arial" w:hAnsi="Arial" w:cs="Arial"/>
        </w:rPr>
        <w:t>antialzheimer</w:t>
      </w:r>
      <w:proofErr w:type="spellEnd"/>
      <w:r w:rsidRPr="6C927748">
        <w:rPr>
          <w:rFonts w:ascii="Arial" w:eastAsia="Arial" w:hAnsi="Arial" w:cs="Arial"/>
        </w:rPr>
        <w:t>.</w:t>
      </w:r>
    </w:p>
    <w:p w14:paraId="007CF6B4" w14:textId="0D5BBDF0" w:rsidR="397BF1D2" w:rsidRDefault="397BF1D2" w:rsidP="6C927748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</w:rPr>
        <w:t xml:space="preserve">3) Identificar combinações potencialmente perigosas de fármacos </w:t>
      </w:r>
      <w:proofErr w:type="spellStart"/>
      <w:r w:rsidRPr="6C927748">
        <w:rPr>
          <w:rFonts w:ascii="Arial" w:eastAsia="Arial" w:hAnsi="Arial" w:cs="Arial"/>
        </w:rPr>
        <w:t>antialzheimer</w:t>
      </w:r>
      <w:proofErr w:type="spellEnd"/>
      <w:r w:rsidRPr="6C927748">
        <w:rPr>
          <w:rFonts w:ascii="Arial" w:eastAsia="Arial" w:hAnsi="Arial" w:cs="Arial"/>
        </w:rPr>
        <w:t xml:space="preserve"> com outros fármacos.</w:t>
      </w:r>
    </w:p>
    <w:p w14:paraId="1F0C5735" w14:textId="5FD10897" w:rsidR="397BF1D2" w:rsidRDefault="397BF1D2" w:rsidP="6C927748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6C927748">
        <w:rPr>
          <w:rFonts w:ascii="Arial" w:eastAsia="Arial" w:hAnsi="Arial" w:cs="Arial"/>
        </w:rPr>
        <w:t xml:space="preserve">4) Divulgar para a comunidade de saúde os riscos associados às interações medicamentosas atribuídas aos fármacos </w:t>
      </w:r>
      <w:proofErr w:type="spellStart"/>
      <w:r w:rsidRPr="6C927748">
        <w:rPr>
          <w:rFonts w:ascii="Arial" w:eastAsia="Arial" w:hAnsi="Arial" w:cs="Arial"/>
        </w:rPr>
        <w:t>antialzheimer</w:t>
      </w:r>
      <w:proofErr w:type="spellEnd"/>
      <w:r w:rsidRPr="6C927748">
        <w:rPr>
          <w:rFonts w:ascii="Arial" w:eastAsia="Arial" w:hAnsi="Arial" w:cs="Arial"/>
        </w:rPr>
        <w:t>.</w:t>
      </w:r>
    </w:p>
    <w:p w14:paraId="001D6258" w14:textId="7D259C0B" w:rsidR="36E7020F" w:rsidRDefault="36E7020F" w:rsidP="6C927748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4C4450A9" w14:textId="5D163496" w:rsidR="397BF1D2" w:rsidRDefault="397BF1D2" w:rsidP="6C92774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6C927748">
        <w:rPr>
          <w:rFonts w:ascii="Arial" w:eastAsia="Arial" w:hAnsi="Arial" w:cs="Arial"/>
          <w:b/>
          <w:bCs/>
        </w:rPr>
        <w:t>METODOLOGIA</w:t>
      </w:r>
    </w:p>
    <w:p w14:paraId="22F900C4" w14:textId="0FA1F8E0" w:rsidR="397BF1D2" w:rsidRDefault="397BF1D2" w:rsidP="408ACB18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408ACB18">
        <w:rPr>
          <w:rFonts w:ascii="Arial" w:eastAsia="Arial" w:hAnsi="Arial" w:cs="Arial"/>
        </w:rPr>
        <w:t>A triagem do potencial de interações medicamentosas fármaco-fármaco</w:t>
      </w:r>
      <w:r w:rsidR="0BB38B97" w:rsidRPr="408ACB18">
        <w:rPr>
          <w:rFonts w:ascii="Arial" w:eastAsia="Arial" w:hAnsi="Arial" w:cs="Arial"/>
        </w:rPr>
        <w:t xml:space="preserve"> </w:t>
      </w:r>
      <w:r w:rsidRPr="408ACB18">
        <w:rPr>
          <w:rFonts w:ascii="Arial" w:eastAsia="Arial" w:hAnsi="Arial" w:cs="Arial"/>
        </w:rPr>
        <w:t>dos fármacos utilizados no tratamento da doença de Alzheimer será realizada através do módulo “</w:t>
      </w:r>
      <w:proofErr w:type="spellStart"/>
      <w:r w:rsidRPr="408ACB18">
        <w:rPr>
          <w:rFonts w:ascii="Arial" w:eastAsia="Arial" w:hAnsi="Arial" w:cs="Arial"/>
        </w:rPr>
        <w:t>Interactions</w:t>
      </w:r>
      <w:proofErr w:type="spellEnd"/>
      <w:r w:rsidRPr="408ACB18">
        <w:rPr>
          <w:rFonts w:ascii="Arial" w:eastAsia="Arial" w:hAnsi="Arial" w:cs="Arial"/>
        </w:rPr>
        <w:t xml:space="preserve"> Checker” do repositório de informações farmacológicas Drugs.com (</w:t>
      </w:r>
      <w:hyperlink r:id="rId8">
        <w:r w:rsidRPr="408ACB18">
          <w:rPr>
            <w:rStyle w:val="Hyperlink"/>
            <w:rFonts w:ascii="Arial" w:eastAsia="Arial" w:hAnsi="Arial" w:cs="Arial"/>
            <w:color w:val="auto"/>
          </w:rPr>
          <w:t>https://www.drugs.com/drug_interactions.html</w:t>
        </w:r>
      </w:hyperlink>
      <w:r w:rsidRPr="408ACB18">
        <w:rPr>
          <w:rFonts w:ascii="Arial" w:eastAsia="Arial" w:hAnsi="Arial" w:cs="Arial"/>
        </w:rPr>
        <w:t>). O potencial de interações de cada fármaco será descrito com base em três níveis, incluindo o mecanismo provável da interação, o resultado clínico esperado e a conduta terapêutica. Somente serão incluídas interações documentadas que tenham relevância clínica para a prática médica e potencial danoso para os pacientes. Para as interações fármaco-fármaco, somente serão selecionadas para descrição aquelas em que os fármacos sejam comercialmente disponíveis no Brasil.</w:t>
      </w:r>
    </w:p>
    <w:p w14:paraId="5737C9B1" w14:textId="527ED38A" w:rsidR="36E7020F" w:rsidRDefault="36E7020F" w:rsidP="6C927748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</w:p>
    <w:p w14:paraId="7F94D834" w14:textId="714A0AB3" w:rsidR="397BF1D2" w:rsidRDefault="397BF1D2" w:rsidP="6C92774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6C927748">
        <w:rPr>
          <w:rFonts w:ascii="Arial" w:eastAsia="Arial" w:hAnsi="Arial" w:cs="Arial"/>
          <w:b/>
          <w:bCs/>
        </w:rPr>
        <w:t>RESULTADOS E DISCUSSÃO</w:t>
      </w:r>
    </w:p>
    <w:p w14:paraId="59C0809C" w14:textId="29851040" w:rsidR="36E7020F" w:rsidRPr="003033E5" w:rsidRDefault="003033E5" w:rsidP="003033E5">
      <w:pPr>
        <w:ind w:left="360"/>
        <w:rPr>
          <w:rFonts w:ascii="Arial" w:eastAsia="Arial" w:hAnsi="Arial" w:cs="Arial"/>
          <w:i/>
          <w:iCs/>
          <w:color w:val="000000" w:themeColor="text1"/>
        </w:rPr>
      </w:pPr>
      <w:r w:rsidRPr="003033E5">
        <w:rPr>
          <w:rFonts w:ascii="Arial" w:eastAsia="Arial" w:hAnsi="Arial" w:cs="Arial"/>
          <w:i/>
          <w:iCs/>
          <w:color w:val="000000" w:themeColor="text1"/>
        </w:rPr>
        <w:t>Indisponível.</w:t>
      </w:r>
    </w:p>
    <w:p w14:paraId="70CD1F4C" w14:textId="77777777" w:rsidR="003033E5" w:rsidRDefault="003033E5" w:rsidP="003033E5">
      <w:pPr>
        <w:ind w:left="360"/>
        <w:rPr>
          <w:rFonts w:ascii="Arial" w:eastAsia="Arial" w:hAnsi="Arial" w:cs="Arial"/>
          <w:color w:val="000000" w:themeColor="text1"/>
        </w:rPr>
      </w:pPr>
    </w:p>
    <w:p w14:paraId="571561E8" w14:textId="567894CC" w:rsidR="397BF1D2" w:rsidRDefault="397BF1D2" w:rsidP="6C927748">
      <w:pPr>
        <w:pStyle w:val="PargrafodaLista"/>
        <w:numPr>
          <w:ilvl w:val="0"/>
          <w:numId w:val="2"/>
        </w:numPr>
        <w:spacing w:line="360" w:lineRule="auto"/>
        <w:rPr>
          <w:rFonts w:ascii="Arial" w:eastAsia="Arial" w:hAnsi="Arial" w:cs="Arial"/>
          <w:b/>
          <w:bCs/>
          <w:color w:val="000000" w:themeColor="text1"/>
        </w:rPr>
      </w:pPr>
      <w:r w:rsidRPr="6C927748">
        <w:rPr>
          <w:rFonts w:ascii="Arial" w:eastAsia="Arial" w:hAnsi="Arial" w:cs="Arial"/>
          <w:b/>
          <w:bCs/>
        </w:rPr>
        <w:t>CONCLUSÃO</w:t>
      </w:r>
    </w:p>
    <w:p w14:paraId="3D5205E1" w14:textId="2F45250E" w:rsidR="397BF1D2" w:rsidRDefault="397BF1D2" w:rsidP="67520632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5EF6DA7B">
        <w:rPr>
          <w:rFonts w:ascii="Arial" w:eastAsia="Arial" w:hAnsi="Arial" w:cs="Arial"/>
        </w:rPr>
        <w:t xml:space="preserve">     Após </w:t>
      </w:r>
      <w:r w:rsidR="16E8EB85" w:rsidRPr="5EF6DA7B">
        <w:rPr>
          <w:rFonts w:ascii="Arial" w:eastAsia="Arial" w:hAnsi="Arial" w:cs="Arial"/>
        </w:rPr>
        <w:t>levantamento de dados</w:t>
      </w:r>
      <w:r w:rsidRPr="5EF6DA7B">
        <w:rPr>
          <w:rFonts w:ascii="Arial" w:eastAsia="Arial" w:hAnsi="Arial" w:cs="Arial"/>
        </w:rPr>
        <w:t xml:space="preserve"> na</w:t>
      </w:r>
      <w:r w:rsidR="3CA5F513" w:rsidRPr="5EF6DA7B">
        <w:rPr>
          <w:rFonts w:ascii="Arial" w:eastAsia="Arial" w:hAnsi="Arial" w:cs="Arial"/>
        </w:rPr>
        <w:t xml:space="preserve"> plataforma</w:t>
      </w:r>
      <w:r w:rsidRPr="5EF6DA7B">
        <w:rPr>
          <w:rFonts w:ascii="Arial" w:eastAsia="Arial" w:hAnsi="Arial" w:cs="Arial"/>
        </w:rPr>
        <w:t xml:space="preserve"> “drugs.com”, conclui-se que existem várias interações potencialmente prejudiciais ao paciente portador da doença de Alzheimer, desde </w:t>
      </w:r>
      <w:r w:rsidR="5A0ABD1F" w:rsidRPr="5EF6DA7B">
        <w:rPr>
          <w:rFonts w:ascii="Arial" w:eastAsia="Arial" w:hAnsi="Arial" w:cs="Arial"/>
        </w:rPr>
        <w:t xml:space="preserve">as farmacocinéticas, onde os fármacos </w:t>
      </w:r>
      <w:proofErr w:type="spellStart"/>
      <w:r w:rsidR="5A0ABD1F" w:rsidRPr="5EF6DA7B">
        <w:rPr>
          <w:rFonts w:ascii="Arial" w:eastAsia="Arial" w:hAnsi="Arial" w:cs="Arial"/>
        </w:rPr>
        <w:t>antialzheimer</w:t>
      </w:r>
      <w:proofErr w:type="spellEnd"/>
      <w:r w:rsidR="5A0ABD1F" w:rsidRPr="5EF6DA7B">
        <w:rPr>
          <w:rFonts w:ascii="Arial" w:eastAsia="Arial" w:hAnsi="Arial" w:cs="Arial"/>
        </w:rPr>
        <w:t xml:space="preserve"> podem sofrer alterações em suas concentrações plasmáticas</w:t>
      </w:r>
      <w:r w:rsidR="42AABD3B" w:rsidRPr="5EF6DA7B">
        <w:rPr>
          <w:rFonts w:ascii="Arial" w:eastAsia="Arial" w:hAnsi="Arial" w:cs="Arial"/>
        </w:rPr>
        <w:t xml:space="preserve">, </w:t>
      </w:r>
      <w:r w:rsidR="1B45D464" w:rsidRPr="5EF6DA7B">
        <w:rPr>
          <w:rFonts w:ascii="Arial" w:eastAsia="Arial" w:hAnsi="Arial" w:cs="Arial"/>
        </w:rPr>
        <w:t>assim como</w:t>
      </w:r>
      <w:r w:rsidR="2AF7B2BF" w:rsidRPr="5EF6DA7B">
        <w:rPr>
          <w:rFonts w:ascii="Arial" w:eastAsia="Arial" w:hAnsi="Arial" w:cs="Arial"/>
        </w:rPr>
        <w:t xml:space="preserve"> as </w:t>
      </w:r>
      <w:r w:rsidR="45E25DFD" w:rsidRPr="5EF6DA7B">
        <w:rPr>
          <w:rFonts w:ascii="Arial" w:eastAsia="Arial" w:hAnsi="Arial" w:cs="Arial"/>
        </w:rPr>
        <w:t xml:space="preserve">farmacodinâmicas que afetam o sistema nervoso central, </w:t>
      </w:r>
      <w:r w:rsidR="100321BD" w:rsidRPr="5EF6DA7B">
        <w:rPr>
          <w:rFonts w:ascii="Arial" w:eastAsia="Arial" w:hAnsi="Arial" w:cs="Arial"/>
        </w:rPr>
        <w:t xml:space="preserve">causando intensificação de efeitos colinérgicos e risco de convulsões e as interações </w:t>
      </w:r>
      <w:r w:rsidR="1B01CB76" w:rsidRPr="5EF6DA7B">
        <w:rPr>
          <w:rFonts w:ascii="Arial" w:eastAsia="Arial" w:hAnsi="Arial" w:cs="Arial"/>
        </w:rPr>
        <w:t>que elevam o</w:t>
      </w:r>
      <w:r w:rsidR="100321BD" w:rsidRPr="5EF6DA7B">
        <w:rPr>
          <w:rFonts w:ascii="Arial" w:eastAsia="Arial" w:hAnsi="Arial" w:cs="Arial"/>
        </w:rPr>
        <w:t xml:space="preserve"> risco cardiovascular</w:t>
      </w:r>
      <w:r w:rsidR="1FC1B9F3" w:rsidRPr="5EF6DA7B">
        <w:rPr>
          <w:rFonts w:ascii="Arial" w:eastAsia="Arial" w:hAnsi="Arial" w:cs="Arial"/>
        </w:rPr>
        <w:t>,</w:t>
      </w:r>
      <w:r w:rsidR="4C519F81" w:rsidRPr="5EF6DA7B">
        <w:rPr>
          <w:rFonts w:ascii="Arial" w:eastAsia="Arial" w:hAnsi="Arial" w:cs="Arial"/>
        </w:rPr>
        <w:t xml:space="preserve"> pode</w:t>
      </w:r>
      <w:r w:rsidR="19510349" w:rsidRPr="5EF6DA7B">
        <w:rPr>
          <w:rFonts w:ascii="Arial" w:eastAsia="Arial" w:hAnsi="Arial" w:cs="Arial"/>
        </w:rPr>
        <w:t>ndo</w:t>
      </w:r>
      <w:r w:rsidR="4C519F81" w:rsidRPr="5EF6DA7B">
        <w:rPr>
          <w:rFonts w:ascii="Arial" w:eastAsia="Arial" w:hAnsi="Arial" w:cs="Arial"/>
        </w:rPr>
        <w:t xml:space="preserve"> desencadear bradicardia. </w:t>
      </w:r>
    </w:p>
    <w:p w14:paraId="40DEECD3" w14:textId="29EC8226" w:rsidR="36E7020F" w:rsidRDefault="36E7020F" w:rsidP="6C927748">
      <w:pPr>
        <w:rPr>
          <w:rFonts w:ascii="Arial" w:eastAsia="Arial" w:hAnsi="Arial" w:cs="Arial"/>
          <w:color w:val="000000" w:themeColor="text1"/>
        </w:rPr>
      </w:pPr>
    </w:p>
    <w:p w14:paraId="07FFE6FA" w14:textId="09E90402" w:rsidR="397BF1D2" w:rsidRDefault="397BF1D2" w:rsidP="6C927748">
      <w:pPr>
        <w:pStyle w:val="PargrafodaLista"/>
        <w:numPr>
          <w:ilvl w:val="0"/>
          <w:numId w:val="2"/>
        </w:numPr>
        <w:rPr>
          <w:rFonts w:ascii="Arial" w:eastAsia="Arial" w:hAnsi="Arial" w:cs="Arial"/>
          <w:b/>
          <w:bCs/>
          <w:color w:val="000000" w:themeColor="text1"/>
        </w:rPr>
      </w:pPr>
      <w:r w:rsidRPr="6C927748">
        <w:rPr>
          <w:rFonts w:ascii="Arial" w:eastAsia="Arial" w:hAnsi="Arial" w:cs="Arial"/>
          <w:b/>
          <w:bCs/>
        </w:rPr>
        <w:t>REFERÊNCIAS BIBLIOGRÁFICAS</w:t>
      </w:r>
    </w:p>
    <w:p w14:paraId="2C4087FC" w14:textId="31AB12A6" w:rsidR="397BF1D2" w:rsidRDefault="397BF1D2" w:rsidP="421ADB10">
      <w:pPr>
        <w:jc w:val="both"/>
        <w:rPr>
          <w:rFonts w:ascii="Arial" w:eastAsia="Arial" w:hAnsi="Arial" w:cs="Arial"/>
          <w:color w:val="000000" w:themeColor="text1"/>
        </w:rPr>
      </w:pPr>
      <w:r w:rsidRPr="421ADB10">
        <w:rPr>
          <w:rFonts w:ascii="Arial" w:eastAsia="Arial" w:hAnsi="Arial" w:cs="Arial"/>
        </w:rPr>
        <w:t xml:space="preserve">Aciclovir: aciclovir [bula de medicamento]. Responsável técnico Flavia Regina </w:t>
      </w:r>
      <w:proofErr w:type="spellStart"/>
      <w:r w:rsidRPr="421ADB10">
        <w:rPr>
          <w:rFonts w:ascii="Arial" w:eastAsia="Arial" w:hAnsi="Arial" w:cs="Arial"/>
        </w:rPr>
        <w:t>Pegorer</w:t>
      </w:r>
      <w:proofErr w:type="spellEnd"/>
      <w:r w:rsidRPr="421ADB10">
        <w:rPr>
          <w:rFonts w:ascii="Arial" w:eastAsia="Arial" w:hAnsi="Arial" w:cs="Arial"/>
        </w:rPr>
        <w:t>. São Paulo/SP: Novartis Biociências S/A; 2019.</w:t>
      </w:r>
    </w:p>
    <w:p w14:paraId="008D68D8" w14:textId="52F285D7" w:rsidR="73330602" w:rsidRDefault="73330602" w:rsidP="421ADB10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421ADB10">
        <w:rPr>
          <w:rFonts w:ascii="Arial" w:eastAsia="Arial" w:hAnsi="Arial" w:cs="Arial"/>
        </w:rPr>
        <w:t xml:space="preserve">AL-KHATIB, S. M. et al. </w:t>
      </w:r>
      <w:r w:rsidRPr="003033E5">
        <w:rPr>
          <w:rFonts w:ascii="Arial" w:eastAsia="Arial" w:hAnsi="Arial" w:cs="Arial"/>
          <w:lang w:val="en-US"/>
        </w:rPr>
        <w:t xml:space="preserve">What clinicians should know about the qt interval. </w:t>
      </w:r>
      <w:r w:rsidRPr="421ADB10">
        <w:rPr>
          <w:rFonts w:ascii="Arial" w:eastAsia="Arial" w:hAnsi="Arial" w:cs="Arial"/>
        </w:rPr>
        <w:t>JAMA, v. 289, n. 16, p. 2120-2127, 2003.</w:t>
      </w:r>
    </w:p>
    <w:p w14:paraId="30E06AE4" w14:textId="70F2B0A1" w:rsidR="73330602" w:rsidRDefault="73330602" w:rsidP="421ADB10">
      <w:pPr>
        <w:jc w:val="both"/>
        <w:rPr>
          <w:rFonts w:ascii="Arial" w:eastAsia="Arial" w:hAnsi="Arial" w:cs="Arial"/>
          <w:color w:val="000000" w:themeColor="text1"/>
        </w:rPr>
      </w:pPr>
      <w:r w:rsidRPr="421ADB10">
        <w:rPr>
          <w:rFonts w:ascii="Arial" w:eastAsia="Arial" w:hAnsi="Arial" w:cs="Arial"/>
        </w:rPr>
        <w:t xml:space="preserve">CARRILLO-ESPER, R.; RAMÍREZ-ROSILLO, F. J.; GARNICA-ESCAMILLA, M. A.; MÉNDEZ-GARCÍA, J. A.; ESQUIVEL-MÉNDEZ, S.; ROCHA-RODRÍGUEZ, M. G.; CARRILLO-CÓRDOVA, C. A. Síndrome anticolinérgico. Revista </w:t>
      </w:r>
      <w:proofErr w:type="spellStart"/>
      <w:r w:rsidRPr="421ADB10">
        <w:rPr>
          <w:rFonts w:ascii="Arial" w:eastAsia="Arial" w:hAnsi="Arial" w:cs="Arial"/>
        </w:rPr>
        <w:t>Invest</w:t>
      </w:r>
      <w:proofErr w:type="spellEnd"/>
      <w:r w:rsidRPr="421ADB10">
        <w:rPr>
          <w:rFonts w:ascii="Arial" w:eastAsia="Arial" w:hAnsi="Arial" w:cs="Arial"/>
        </w:rPr>
        <w:t xml:space="preserve"> Med </w:t>
      </w:r>
      <w:proofErr w:type="spellStart"/>
      <w:r w:rsidRPr="421ADB10">
        <w:rPr>
          <w:rFonts w:ascii="Arial" w:eastAsia="Arial" w:hAnsi="Arial" w:cs="Arial"/>
        </w:rPr>
        <w:t>Sur</w:t>
      </w:r>
      <w:proofErr w:type="spellEnd"/>
      <w:r w:rsidRPr="421ADB10">
        <w:rPr>
          <w:rFonts w:ascii="Arial" w:eastAsia="Arial" w:hAnsi="Arial" w:cs="Arial"/>
        </w:rPr>
        <w:t xml:space="preserve"> </w:t>
      </w:r>
      <w:proofErr w:type="spellStart"/>
      <w:r w:rsidRPr="421ADB10">
        <w:rPr>
          <w:rFonts w:ascii="Arial" w:eastAsia="Arial" w:hAnsi="Arial" w:cs="Arial"/>
        </w:rPr>
        <w:t>Mex</w:t>
      </w:r>
      <w:proofErr w:type="spellEnd"/>
      <w:r w:rsidRPr="421ADB10">
        <w:rPr>
          <w:rFonts w:ascii="Arial" w:eastAsia="Arial" w:hAnsi="Arial" w:cs="Arial"/>
        </w:rPr>
        <w:t>, v. 19 (4), p. 244-249, 2012.</w:t>
      </w:r>
    </w:p>
    <w:p w14:paraId="1E463730" w14:textId="346B1117" w:rsidR="73330602" w:rsidRDefault="73330602" w:rsidP="421ADB10">
      <w:pPr>
        <w:jc w:val="both"/>
        <w:rPr>
          <w:rFonts w:ascii="Arial" w:eastAsia="Arial" w:hAnsi="Arial" w:cs="Arial"/>
          <w:color w:val="000000" w:themeColor="text1"/>
        </w:rPr>
      </w:pPr>
      <w:r w:rsidRPr="421ADB10">
        <w:rPr>
          <w:rFonts w:ascii="Arial" w:eastAsia="Arial" w:hAnsi="Arial" w:cs="Arial"/>
        </w:rPr>
        <w:t xml:space="preserve">Cloridrato de memantina: cloridrato de memantina [bula de medicamento]. Responsável técnico Dr. Rodrigo de Morais Vaz. Santo Amaro/SP: </w:t>
      </w:r>
      <w:proofErr w:type="spellStart"/>
      <w:r w:rsidRPr="421ADB10">
        <w:rPr>
          <w:rFonts w:ascii="Arial" w:eastAsia="Arial" w:hAnsi="Arial" w:cs="Arial"/>
        </w:rPr>
        <w:t>Apsen</w:t>
      </w:r>
      <w:proofErr w:type="spellEnd"/>
      <w:r w:rsidRPr="421ADB10">
        <w:rPr>
          <w:rFonts w:ascii="Arial" w:eastAsia="Arial" w:hAnsi="Arial" w:cs="Arial"/>
        </w:rPr>
        <w:t xml:space="preserve"> Farmacêutica S/A; 2017.</w:t>
      </w:r>
    </w:p>
    <w:p w14:paraId="68AFE363" w14:textId="52A40514" w:rsidR="397BF1D2" w:rsidRDefault="397BF1D2" w:rsidP="421ADB10">
      <w:pPr>
        <w:jc w:val="both"/>
        <w:rPr>
          <w:rFonts w:ascii="Arial" w:eastAsia="Arial" w:hAnsi="Arial" w:cs="Arial"/>
          <w:color w:val="000000" w:themeColor="text1"/>
        </w:rPr>
      </w:pPr>
      <w:proofErr w:type="spellStart"/>
      <w:r w:rsidRPr="421ADB10">
        <w:rPr>
          <w:rFonts w:ascii="Arial" w:eastAsia="Arial" w:hAnsi="Arial" w:cs="Arial"/>
        </w:rPr>
        <w:t>Coglive</w:t>
      </w:r>
      <w:proofErr w:type="spellEnd"/>
      <w:r w:rsidRPr="421ADB10">
        <w:rPr>
          <w:rFonts w:ascii="Arial" w:eastAsia="Arial" w:hAnsi="Arial" w:cs="Arial"/>
        </w:rPr>
        <w:t xml:space="preserve">: </w:t>
      </w:r>
      <w:proofErr w:type="spellStart"/>
      <w:r w:rsidRPr="421ADB10">
        <w:rPr>
          <w:rFonts w:ascii="Arial" w:eastAsia="Arial" w:hAnsi="Arial" w:cs="Arial"/>
        </w:rPr>
        <w:t>bromidrato</w:t>
      </w:r>
      <w:proofErr w:type="spellEnd"/>
      <w:r w:rsidRPr="421ADB10">
        <w:rPr>
          <w:rFonts w:ascii="Arial" w:eastAsia="Arial" w:hAnsi="Arial" w:cs="Arial"/>
        </w:rPr>
        <w:t xml:space="preserve"> de </w:t>
      </w:r>
      <w:proofErr w:type="spellStart"/>
      <w:r w:rsidRPr="421ADB10">
        <w:rPr>
          <w:rFonts w:ascii="Arial" w:eastAsia="Arial" w:hAnsi="Arial" w:cs="Arial"/>
        </w:rPr>
        <w:t>galantamina</w:t>
      </w:r>
      <w:proofErr w:type="spellEnd"/>
      <w:r w:rsidRPr="421ADB10">
        <w:rPr>
          <w:rFonts w:ascii="Arial" w:eastAsia="Arial" w:hAnsi="Arial" w:cs="Arial"/>
        </w:rPr>
        <w:t xml:space="preserve"> [bula de medicamento]. Responsável técnico Cintia </w:t>
      </w:r>
      <w:proofErr w:type="spellStart"/>
      <w:r w:rsidRPr="421ADB10">
        <w:rPr>
          <w:rFonts w:ascii="Arial" w:eastAsia="Arial" w:hAnsi="Arial" w:cs="Arial"/>
        </w:rPr>
        <w:t>Delphino</w:t>
      </w:r>
      <w:proofErr w:type="spellEnd"/>
      <w:r w:rsidRPr="421ADB10">
        <w:rPr>
          <w:rFonts w:ascii="Arial" w:eastAsia="Arial" w:hAnsi="Arial" w:cs="Arial"/>
        </w:rPr>
        <w:t xml:space="preserve"> de Andrade. São Paulo/SP: </w:t>
      </w:r>
      <w:proofErr w:type="spellStart"/>
      <w:r w:rsidRPr="421ADB10">
        <w:rPr>
          <w:rFonts w:ascii="Arial" w:eastAsia="Arial" w:hAnsi="Arial" w:cs="Arial"/>
        </w:rPr>
        <w:t>Libbs</w:t>
      </w:r>
      <w:proofErr w:type="spellEnd"/>
      <w:r w:rsidRPr="421ADB10">
        <w:rPr>
          <w:rFonts w:ascii="Arial" w:eastAsia="Arial" w:hAnsi="Arial" w:cs="Arial"/>
        </w:rPr>
        <w:t xml:space="preserve"> Farmacêutica Ltda; 2016. </w:t>
      </w:r>
    </w:p>
    <w:p w14:paraId="28DDF9CC" w14:textId="3B512EDB" w:rsidR="4238DEED" w:rsidRDefault="4238DEED" w:rsidP="421ADB10">
      <w:pPr>
        <w:spacing w:line="257" w:lineRule="auto"/>
        <w:jc w:val="both"/>
        <w:rPr>
          <w:rFonts w:ascii="Arial" w:eastAsia="Arial" w:hAnsi="Arial" w:cs="Arial"/>
          <w:color w:val="000000" w:themeColor="text1"/>
        </w:rPr>
      </w:pPr>
      <w:r w:rsidRPr="421ADB10">
        <w:rPr>
          <w:rFonts w:ascii="Arial" w:eastAsia="Arial" w:hAnsi="Arial" w:cs="Arial"/>
        </w:rPr>
        <w:t xml:space="preserve">DE BRUIN, M.L. et al. </w:t>
      </w:r>
      <w:r w:rsidRPr="003033E5">
        <w:rPr>
          <w:rFonts w:ascii="Arial" w:eastAsia="Arial" w:hAnsi="Arial" w:cs="Arial"/>
          <w:lang w:val="en-US"/>
        </w:rPr>
        <w:t xml:space="preserve">Anti-HERG activity and the risk of drug-induced arrhythmias and sudden death. </w:t>
      </w:r>
      <w:proofErr w:type="spellStart"/>
      <w:r w:rsidRPr="421ADB10">
        <w:rPr>
          <w:rFonts w:ascii="Arial" w:eastAsia="Arial" w:hAnsi="Arial" w:cs="Arial"/>
        </w:rPr>
        <w:t>Eur</w:t>
      </w:r>
      <w:proofErr w:type="spellEnd"/>
      <w:r w:rsidRPr="421ADB10">
        <w:rPr>
          <w:rFonts w:ascii="Arial" w:eastAsia="Arial" w:hAnsi="Arial" w:cs="Arial"/>
        </w:rPr>
        <w:t xml:space="preserve"> Heart J, v. 26 (6), p. 590-7, 2005.</w:t>
      </w:r>
    </w:p>
    <w:p w14:paraId="0BDC111E" w14:textId="4C54024E" w:rsidR="650BFF78" w:rsidRDefault="003033E5" w:rsidP="421ADB10">
      <w:pPr>
        <w:spacing w:line="257" w:lineRule="auto"/>
        <w:jc w:val="both"/>
        <w:rPr>
          <w:rFonts w:ascii="Arial" w:eastAsia="Arial" w:hAnsi="Arial" w:cs="Arial"/>
          <w:color w:val="000000" w:themeColor="text1"/>
        </w:rPr>
      </w:pPr>
      <w:hyperlink r:id="rId9">
        <w:r w:rsidR="650BFF78" w:rsidRPr="421ADB10">
          <w:rPr>
            <w:rStyle w:val="Hyperlink"/>
            <w:rFonts w:ascii="Arial" w:eastAsia="Arial" w:hAnsi="Arial" w:cs="Arial"/>
            <w:color w:val="auto"/>
            <w:u w:val="none"/>
          </w:rPr>
          <w:t>IGETA</w:t>
        </w:r>
      </w:hyperlink>
      <w:r w:rsidR="650BFF78" w:rsidRPr="421ADB10">
        <w:rPr>
          <w:rFonts w:ascii="Arial" w:eastAsia="Arial" w:hAnsi="Arial" w:cs="Arial"/>
        </w:rPr>
        <w:t xml:space="preserve">, H.; </w:t>
      </w:r>
      <w:hyperlink r:id="rId10">
        <w:r w:rsidR="650BFF78" w:rsidRPr="421ADB10">
          <w:rPr>
            <w:rStyle w:val="Hyperlink"/>
            <w:rFonts w:ascii="Arial" w:eastAsia="Arial" w:hAnsi="Arial" w:cs="Arial"/>
            <w:color w:val="auto"/>
            <w:u w:val="none"/>
          </w:rPr>
          <w:t xml:space="preserve">SUZUKI, </w:t>
        </w:r>
      </w:hyperlink>
      <w:r w:rsidR="650BFF78" w:rsidRPr="421ADB10">
        <w:rPr>
          <w:rFonts w:ascii="Arial" w:eastAsia="Arial" w:hAnsi="Arial" w:cs="Arial"/>
        </w:rPr>
        <w:t xml:space="preserve"> Y.; </w:t>
      </w:r>
      <w:hyperlink r:id="rId11">
        <w:r w:rsidR="650BFF78" w:rsidRPr="421ADB10">
          <w:rPr>
            <w:rStyle w:val="Hyperlink"/>
            <w:rFonts w:ascii="Arial" w:eastAsia="Arial" w:hAnsi="Arial" w:cs="Arial"/>
            <w:color w:val="auto"/>
            <w:u w:val="none"/>
          </w:rPr>
          <w:t xml:space="preserve">MOTEGI, T.; </w:t>
        </w:r>
      </w:hyperlink>
      <w:r w:rsidR="650BFF78" w:rsidRPr="421ADB10">
        <w:rPr>
          <w:rFonts w:ascii="Arial" w:eastAsia="Arial" w:hAnsi="Arial" w:cs="Arial"/>
        </w:rPr>
        <w:t xml:space="preserve"> </w:t>
      </w:r>
      <w:hyperlink r:id="rId12">
        <w:r w:rsidR="650BFF78" w:rsidRPr="421ADB10">
          <w:rPr>
            <w:rStyle w:val="Hyperlink"/>
            <w:rFonts w:ascii="Arial" w:eastAsia="Arial" w:hAnsi="Arial" w:cs="Arial"/>
            <w:color w:val="auto"/>
            <w:u w:val="none"/>
          </w:rPr>
          <w:t xml:space="preserve">SASAKI, A.; </w:t>
        </w:r>
      </w:hyperlink>
      <w:hyperlink r:id="rId13">
        <w:r w:rsidR="650BFF78" w:rsidRPr="421ADB10">
          <w:rPr>
            <w:rStyle w:val="Hyperlink"/>
            <w:rFonts w:ascii="Arial" w:eastAsia="Arial" w:hAnsi="Arial" w:cs="Arial"/>
            <w:color w:val="auto"/>
            <w:u w:val="none"/>
          </w:rPr>
          <w:t>YOKOYAMA</w:t>
        </w:r>
      </w:hyperlink>
      <w:r w:rsidR="650BFF78" w:rsidRPr="421ADB10">
        <w:rPr>
          <w:rFonts w:ascii="Arial" w:eastAsia="Arial" w:hAnsi="Arial" w:cs="Arial"/>
        </w:rPr>
        <w:t xml:space="preserve">, Y.; </w:t>
      </w:r>
      <w:hyperlink r:id="rId14">
        <w:r w:rsidR="650BFF78" w:rsidRPr="421ADB10">
          <w:rPr>
            <w:rStyle w:val="Hyperlink"/>
            <w:rFonts w:ascii="Arial" w:eastAsia="Arial" w:hAnsi="Arial" w:cs="Arial"/>
            <w:color w:val="auto"/>
            <w:u w:val="none"/>
          </w:rPr>
          <w:t>SOMEYA</w:t>
        </w:r>
      </w:hyperlink>
      <w:r w:rsidR="650BFF78" w:rsidRPr="421ADB10">
        <w:rPr>
          <w:rFonts w:ascii="Arial" w:eastAsia="Arial" w:hAnsi="Arial" w:cs="Arial"/>
        </w:rPr>
        <w:t xml:space="preserve">, T. Deterioração no prolongamento de PR induzido por </w:t>
      </w:r>
      <w:proofErr w:type="spellStart"/>
      <w:r w:rsidR="650BFF78" w:rsidRPr="421ADB10">
        <w:rPr>
          <w:rFonts w:ascii="Arial" w:eastAsia="Arial" w:hAnsi="Arial" w:cs="Arial"/>
        </w:rPr>
        <w:t>donepezila</w:t>
      </w:r>
      <w:proofErr w:type="spellEnd"/>
      <w:r w:rsidR="650BFF78" w:rsidRPr="421ADB10">
        <w:rPr>
          <w:rFonts w:ascii="Arial" w:eastAsia="Arial" w:hAnsi="Arial" w:cs="Arial"/>
        </w:rPr>
        <w:t xml:space="preserve"> após uma coadministração de memantina em um paciente com doença de Alzheimer. </w:t>
      </w:r>
      <w:proofErr w:type="spellStart"/>
      <w:r w:rsidR="650BFF78" w:rsidRPr="421ADB10">
        <w:rPr>
          <w:rFonts w:ascii="Arial" w:eastAsia="Arial" w:hAnsi="Arial" w:cs="Arial"/>
        </w:rPr>
        <w:t>Gen</w:t>
      </w:r>
      <w:proofErr w:type="spellEnd"/>
      <w:r w:rsidR="650BFF78" w:rsidRPr="421ADB10">
        <w:rPr>
          <w:rFonts w:ascii="Arial" w:eastAsia="Arial" w:hAnsi="Arial" w:cs="Arial"/>
        </w:rPr>
        <w:t xml:space="preserve"> </w:t>
      </w:r>
      <w:proofErr w:type="spellStart"/>
      <w:r w:rsidR="650BFF78" w:rsidRPr="421ADB10">
        <w:rPr>
          <w:rFonts w:ascii="Arial" w:eastAsia="Arial" w:hAnsi="Arial" w:cs="Arial"/>
        </w:rPr>
        <w:t>Hosp</w:t>
      </w:r>
      <w:proofErr w:type="spellEnd"/>
      <w:r w:rsidR="650BFF78" w:rsidRPr="421ADB10">
        <w:rPr>
          <w:rFonts w:ascii="Arial" w:eastAsia="Arial" w:hAnsi="Arial" w:cs="Arial"/>
        </w:rPr>
        <w:t xml:space="preserve"> </w:t>
      </w:r>
      <w:proofErr w:type="spellStart"/>
      <w:r w:rsidR="650BFF78" w:rsidRPr="421ADB10">
        <w:rPr>
          <w:rFonts w:ascii="Arial" w:eastAsia="Arial" w:hAnsi="Arial" w:cs="Arial"/>
        </w:rPr>
        <w:t>Psychiatry</w:t>
      </w:r>
      <w:proofErr w:type="spellEnd"/>
      <w:r w:rsidR="650BFF78" w:rsidRPr="421ADB10">
        <w:rPr>
          <w:rFonts w:ascii="Arial" w:eastAsia="Arial" w:hAnsi="Arial" w:cs="Arial"/>
        </w:rPr>
        <w:t xml:space="preserve">, v. 35 (6), p. 680.e9-10, 2013. </w:t>
      </w:r>
    </w:p>
    <w:p w14:paraId="3F359B06" w14:textId="61175D05" w:rsidR="650BFF78" w:rsidRPr="003033E5" w:rsidRDefault="003033E5" w:rsidP="421ADB10">
      <w:pPr>
        <w:spacing w:line="257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  <w:hyperlink r:id="rId15">
        <w:r w:rsidR="650BFF78" w:rsidRPr="421ADB10">
          <w:rPr>
            <w:rStyle w:val="Hyperlink"/>
            <w:rFonts w:ascii="Arial" w:eastAsia="Arial" w:hAnsi="Arial" w:cs="Arial"/>
            <w:color w:val="auto"/>
            <w:u w:val="none"/>
          </w:rPr>
          <w:t>IGETA</w:t>
        </w:r>
      </w:hyperlink>
      <w:r w:rsidR="650BFF78" w:rsidRPr="421ADB10">
        <w:rPr>
          <w:rFonts w:ascii="Arial" w:eastAsia="Arial" w:hAnsi="Arial" w:cs="Arial"/>
        </w:rPr>
        <w:t xml:space="preserve">, H.; </w:t>
      </w:r>
      <w:hyperlink r:id="rId16">
        <w:r w:rsidR="650BFF78" w:rsidRPr="421ADB10">
          <w:rPr>
            <w:rStyle w:val="Hyperlink"/>
            <w:rFonts w:ascii="Arial" w:eastAsia="Arial" w:hAnsi="Arial" w:cs="Arial"/>
            <w:color w:val="auto"/>
            <w:u w:val="none"/>
          </w:rPr>
          <w:t xml:space="preserve">SUZUKI, </w:t>
        </w:r>
      </w:hyperlink>
      <w:r w:rsidR="650BFF78" w:rsidRPr="421ADB10">
        <w:rPr>
          <w:rFonts w:ascii="Arial" w:eastAsia="Arial" w:hAnsi="Arial" w:cs="Arial"/>
        </w:rPr>
        <w:t xml:space="preserve"> Y.; </w:t>
      </w:r>
      <w:hyperlink r:id="rId17">
        <w:r w:rsidR="650BFF78" w:rsidRPr="421ADB10">
          <w:rPr>
            <w:rStyle w:val="Hyperlink"/>
            <w:rFonts w:ascii="Arial" w:eastAsia="Arial" w:hAnsi="Arial" w:cs="Arial"/>
            <w:color w:val="auto"/>
            <w:u w:val="none"/>
          </w:rPr>
          <w:t xml:space="preserve">TAJIRI, M.; </w:t>
        </w:r>
      </w:hyperlink>
      <w:hyperlink r:id="rId18">
        <w:r w:rsidR="650BFF78" w:rsidRPr="421ADB10">
          <w:rPr>
            <w:rStyle w:val="Hyperlink"/>
            <w:rFonts w:ascii="Arial" w:eastAsia="Arial" w:hAnsi="Arial" w:cs="Arial"/>
            <w:color w:val="auto"/>
            <w:u w:val="none"/>
          </w:rPr>
          <w:t>SOMEYA</w:t>
        </w:r>
      </w:hyperlink>
      <w:r w:rsidR="650BFF78" w:rsidRPr="421ADB10">
        <w:rPr>
          <w:rFonts w:ascii="Arial" w:eastAsia="Arial" w:hAnsi="Arial" w:cs="Arial"/>
        </w:rPr>
        <w:t xml:space="preserve">, T. Farmacodinâmica cardiovascular do cloridrato de </w:t>
      </w:r>
      <w:proofErr w:type="spellStart"/>
      <w:r w:rsidR="650BFF78" w:rsidRPr="421ADB10">
        <w:rPr>
          <w:rFonts w:ascii="Arial" w:eastAsia="Arial" w:hAnsi="Arial" w:cs="Arial"/>
        </w:rPr>
        <w:t>donepezila</w:t>
      </w:r>
      <w:proofErr w:type="spellEnd"/>
      <w:r w:rsidR="650BFF78" w:rsidRPr="421ADB10">
        <w:rPr>
          <w:rFonts w:ascii="Arial" w:eastAsia="Arial" w:hAnsi="Arial" w:cs="Arial"/>
        </w:rPr>
        <w:t xml:space="preserve"> nos intervalos PR e QT em pacientes com demência. </w:t>
      </w:r>
      <w:r w:rsidR="650BFF78" w:rsidRPr="003033E5">
        <w:rPr>
          <w:rFonts w:ascii="Arial" w:eastAsia="Arial" w:hAnsi="Arial" w:cs="Arial"/>
          <w:lang w:val="en-US"/>
        </w:rPr>
        <w:t xml:space="preserve">Hum </w:t>
      </w:r>
      <w:proofErr w:type="spellStart"/>
      <w:r w:rsidR="650BFF78" w:rsidRPr="003033E5">
        <w:rPr>
          <w:rFonts w:ascii="Arial" w:eastAsia="Arial" w:hAnsi="Arial" w:cs="Arial"/>
          <w:lang w:val="en-US"/>
        </w:rPr>
        <w:t>Psychopharmacol</w:t>
      </w:r>
      <w:proofErr w:type="spellEnd"/>
      <w:r w:rsidR="650BFF78" w:rsidRPr="003033E5">
        <w:rPr>
          <w:rFonts w:ascii="Arial" w:eastAsia="Arial" w:hAnsi="Arial" w:cs="Arial"/>
          <w:lang w:val="en-US"/>
        </w:rPr>
        <w:t>, v. 29 (3), p. 292-294, 2014.</w:t>
      </w:r>
    </w:p>
    <w:p w14:paraId="52F1F2E2" w14:textId="2882D3EC" w:rsidR="650BFF78" w:rsidRPr="003033E5" w:rsidRDefault="650BFF78" w:rsidP="421ADB10">
      <w:pPr>
        <w:spacing w:line="257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3033E5">
        <w:rPr>
          <w:rFonts w:ascii="Arial" w:eastAsia="Arial" w:hAnsi="Arial" w:cs="Arial"/>
          <w:lang w:val="en-US"/>
        </w:rPr>
        <w:t xml:space="preserve">JARDINE, D.L. et al. Decrease in cardiac output and muscle sympathetic activity during vasovagal syncope. Am J </w:t>
      </w:r>
      <w:proofErr w:type="spellStart"/>
      <w:r w:rsidRPr="003033E5">
        <w:rPr>
          <w:rFonts w:ascii="Arial" w:eastAsia="Arial" w:hAnsi="Arial" w:cs="Arial"/>
          <w:lang w:val="en-US"/>
        </w:rPr>
        <w:t>Physiol</w:t>
      </w:r>
      <w:proofErr w:type="spellEnd"/>
      <w:r w:rsidRPr="003033E5">
        <w:rPr>
          <w:rFonts w:ascii="Arial" w:eastAsia="Arial" w:hAnsi="Arial" w:cs="Arial"/>
          <w:lang w:val="en-US"/>
        </w:rPr>
        <w:t xml:space="preserve"> Heart Circ </w:t>
      </w:r>
      <w:proofErr w:type="spellStart"/>
      <w:r w:rsidRPr="003033E5">
        <w:rPr>
          <w:rFonts w:ascii="Arial" w:eastAsia="Arial" w:hAnsi="Arial" w:cs="Arial"/>
          <w:lang w:val="en-US"/>
        </w:rPr>
        <w:t>Physiol</w:t>
      </w:r>
      <w:proofErr w:type="spellEnd"/>
      <w:r w:rsidRPr="003033E5">
        <w:rPr>
          <w:rFonts w:ascii="Arial" w:eastAsia="Arial" w:hAnsi="Arial" w:cs="Arial"/>
          <w:lang w:val="en-US"/>
        </w:rPr>
        <w:t>, v. 282, p. 1804-1809, 2002.</w:t>
      </w:r>
    </w:p>
    <w:p w14:paraId="1AB0092E" w14:textId="4A991295" w:rsidR="4238DEED" w:rsidRDefault="4238DEED" w:rsidP="421ADB10">
      <w:pPr>
        <w:spacing w:line="257" w:lineRule="auto"/>
        <w:jc w:val="both"/>
        <w:rPr>
          <w:rFonts w:ascii="Arial" w:eastAsia="Arial" w:hAnsi="Arial" w:cs="Arial"/>
          <w:color w:val="000000" w:themeColor="text1"/>
        </w:rPr>
      </w:pPr>
      <w:r w:rsidRPr="003033E5">
        <w:rPr>
          <w:rFonts w:ascii="Arial" w:eastAsia="Arial" w:hAnsi="Arial" w:cs="Arial"/>
          <w:lang w:val="en-US"/>
        </w:rPr>
        <w:t xml:space="preserve">KRÖGER, E.; BERKERS, M.; CARMICHAEL, P. H.; SOUVEREIN, P.; VAN MARUM, R.; EGBERTS T. Use of rivastigmine or galantamine and risk of adverse cardiac events: a database study from the Netherlands. </w:t>
      </w:r>
      <w:r w:rsidRPr="421ADB10">
        <w:rPr>
          <w:rFonts w:ascii="Arial" w:eastAsia="Arial" w:hAnsi="Arial" w:cs="Arial"/>
        </w:rPr>
        <w:t xml:space="preserve">Am J </w:t>
      </w:r>
      <w:proofErr w:type="spellStart"/>
      <w:r w:rsidRPr="421ADB10">
        <w:rPr>
          <w:rFonts w:ascii="Arial" w:eastAsia="Arial" w:hAnsi="Arial" w:cs="Arial"/>
        </w:rPr>
        <w:t>Geriatr</w:t>
      </w:r>
      <w:proofErr w:type="spellEnd"/>
      <w:r w:rsidRPr="421ADB10">
        <w:rPr>
          <w:rFonts w:ascii="Arial" w:eastAsia="Arial" w:hAnsi="Arial" w:cs="Arial"/>
        </w:rPr>
        <w:t xml:space="preserve"> </w:t>
      </w:r>
      <w:proofErr w:type="spellStart"/>
      <w:r w:rsidRPr="421ADB10">
        <w:rPr>
          <w:rFonts w:ascii="Arial" w:eastAsia="Arial" w:hAnsi="Arial" w:cs="Arial"/>
        </w:rPr>
        <w:t>Pharmacother</w:t>
      </w:r>
      <w:proofErr w:type="spellEnd"/>
      <w:r w:rsidRPr="421ADB10">
        <w:rPr>
          <w:rFonts w:ascii="Arial" w:eastAsia="Arial" w:hAnsi="Arial" w:cs="Arial"/>
        </w:rPr>
        <w:t>, v. 10 (6), p. 373-80, 2012.</w:t>
      </w:r>
    </w:p>
    <w:p w14:paraId="7E77B266" w14:textId="10D3DB3F" w:rsidR="397BF1D2" w:rsidRPr="003033E5" w:rsidRDefault="397BF1D2" w:rsidP="421ADB10">
      <w:pPr>
        <w:jc w:val="both"/>
        <w:rPr>
          <w:rFonts w:ascii="Arial" w:eastAsia="Arial" w:hAnsi="Arial" w:cs="Arial"/>
          <w:color w:val="000000" w:themeColor="text1"/>
          <w:lang w:val="en-US"/>
        </w:rPr>
      </w:pPr>
      <w:r w:rsidRPr="421ADB10">
        <w:rPr>
          <w:rFonts w:ascii="Arial" w:eastAsia="Arial" w:hAnsi="Arial" w:cs="Arial"/>
        </w:rPr>
        <w:t xml:space="preserve">LÓPEZ-ÁLVAREZ, J.; ZEA, S. M. A.; AGÜERA, L. O.; FERNÁNDEZ, B. M. A.; VALENTÍ, S. M.; MARTÍNEZ-MARTÍNA, P. </w:t>
      </w:r>
      <w:proofErr w:type="spellStart"/>
      <w:r w:rsidRPr="421ADB10">
        <w:rPr>
          <w:rFonts w:ascii="Arial" w:eastAsia="Arial" w:hAnsi="Arial" w:cs="Arial"/>
        </w:rPr>
        <w:t>Efecto</w:t>
      </w:r>
      <w:proofErr w:type="spellEnd"/>
      <w:r w:rsidRPr="421ADB10">
        <w:rPr>
          <w:rFonts w:ascii="Arial" w:eastAsia="Arial" w:hAnsi="Arial" w:cs="Arial"/>
        </w:rPr>
        <w:t xml:space="preserve"> de </w:t>
      </w:r>
      <w:proofErr w:type="spellStart"/>
      <w:r w:rsidRPr="421ADB10">
        <w:rPr>
          <w:rFonts w:ascii="Arial" w:eastAsia="Arial" w:hAnsi="Arial" w:cs="Arial"/>
        </w:rPr>
        <w:t>los</w:t>
      </w:r>
      <w:proofErr w:type="spellEnd"/>
      <w:r w:rsidRPr="421ADB10">
        <w:rPr>
          <w:rFonts w:ascii="Arial" w:eastAsia="Arial" w:hAnsi="Arial" w:cs="Arial"/>
        </w:rPr>
        <w:t xml:space="preserve"> fármacos anticolinérgicos </w:t>
      </w:r>
      <w:proofErr w:type="spellStart"/>
      <w:r w:rsidRPr="421ADB10">
        <w:rPr>
          <w:rFonts w:ascii="Arial" w:eastAsia="Arial" w:hAnsi="Arial" w:cs="Arial"/>
        </w:rPr>
        <w:t>en</w:t>
      </w:r>
      <w:proofErr w:type="spellEnd"/>
      <w:r w:rsidRPr="421ADB10">
        <w:rPr>
          <w:rFonts w:ascii="Arial" w:eastAsia="Arial" w:hAnsi="Arial" w:cs="Arial"/>
        </w:rPr>
        <w:t xml:space="preserve"> </w:t>
      </w:r>
      <w:proofErr w:type="spellStart"/>
      <w:r w:rsidRPr="421ADB10">
        <w:rPr>
          <w:rFonts w:ascii="Arial" w:eastAsia="Arial" w:hAnsi="Arial" w:cs="Arial"/>
        </w:rPr>
        <w:t>el</w:t>
      </w:r>
      <w:proofErr w:type="spellEnd"/>
      <w:r w:rsidRPr="421ADB10">
        <w:rPr>
          <w:rFonts w:ascii="Arial" w:eastAsia="Arial" w:hAnsi="Arial" w:cs="Arial"/>
        </w:rPr>
        <w:t xml:space="preserve"> </w:t>
      </w:r>
      <w:proofErr w:type="spellStart"/>
      <w:r w:rsidRPr="421ADB10">
        <w:rPr>
          <w:rFonts w:ascii="Arial" w:eastAsia="Arial" w:hAnsi="Arial" w:cs="Arial"/>
        </w:rPr>
        <w:t>rendimiento</w:t>
      </w:r>
      <w:proofErr w:type="spellEnd"/>
      <w:r w:rsidRPr="421ADB10">
        <w:rPr>
          <w:rFonts w:ascii="Arial" w:eastAsia="Arial" w:hAnsi="Arial" w:cs="Arial"/>
        </w:rPr>
        <w:t xml:space="preserve"> cognitivo de </w:t>
      </w:r>
      <w:proofErr w:type="spellStart"/>
      <w:r w:rsidRPr="421ADB10">
        <w:rPr>
          <w:rFonts w:ascii="Arial" w:eastAsia="Arial" w:hAnsi="Arial" w:cs="Arial"/>
        </w:rPr>
        <w:t>las</w:t>
      </w:r>
      <w:proofErr w:type="spellEnd"/>
      <w:r w:rsidRPr="421ADB10">
        <w:rPr>
          <w:rFonts w:ascii="Arial" w:eastAsia="Arial" w:hAnsi="Arial" w:cs="Arial"/>
        </w:rPr>
        <w:t xml:space="preserve"> personas </w:t>
      </w:r>
      <w:proofErr w:type="spellStart"/>
      <w:r w:rsidRPr="421ADB10">
        <w:rPr>
          <w:rFonts w:ascii="Arial" w:eastAsia="Arial" w:hAnsi="Arial" w:cs="Arial"/>
        </w:rPr>
        <w:t>mayores</w:t>
      </w:r>
      <w:proofErr w:type="spellEnd"/>
      <w:r w:rsidRPr="421ADB10">
        <w:rPr>
          <w:rFonts w:ascii="Arial" w:eastAsia="Arial" w:hAnsi="Arial" w:cs="Arial"/>
        </w:rPr>
        <w:t xml:space="preserve">. </w:t>
      </w:r>
      <w:proofErr w:type="spellStart"/>
      <w:r w:rsidRPr="003033E5">
        <w:rPr>
          <w:rFonts w:ascii="Arial" w:eastAsia="Arial" w:hAnsi="Arial" w:cs="Arial"/>
          <w:lang w:val="en-US"/>
        </w:rPr>
        <w:t>Revista</w:t>
      </w:r>
      <w:proofErr w:type="spellEnd"/>
      <w:r w:rsidRPr="003033E5">
        <w:rPr>
          <w:rFonts w:ascii="Arial" w:eastAsia="Arial" w:hAnsi="Arial" w:cs="Arial"/>
          <w:lang w:val="en-US"/>
        </w:rPr>
        <w:t xml:space="preserve"> de </w:t>
      </w:r>
      <w:proofErr w:type="spellStart"/>
      <w:r w:rsidRPr="003033E5">
        <w:rPr>
          <w:rFonts w:ascii="Arial" w:eastAsia="Arial" w:hAnsi="Arial" w:cs="Arial"/>
          <w:lang w:val="en-US"/>
        </w:rPr>
        <w:t>Psiquiatría</w:t>
      </w:r>
      <w:proofErr w:type="spellEnd"/>
      <w:r w:rsidRPr="003033E5">
        <w:rPr>
          <w:rFonts w:ascii="Arial" w:eastAsia="Arial" w:hAnsi="Arial" w:cs="Arial"/>
          <w:lang w:val="en-US"/>
        </w:rPr>
        <w:t xml:space="preserve"> y </w:t>
      </w:r>
      <w:proofErr w:type="spellStart"/>
      <w:r w:rsidRPr="003033E5">
        <w:rPr>
          <w:rFonts w:ascii="Arial" w:eastAsia="Arial" w:hAnsi="Arial" w:cs="Arial"/>
          <w:lang w:val="en-US"/>
        </w:rPr>
        <w:t>salud</w:t>
      </w:r>
      <w:proofErr w:type="spellEnd"/>
      <w:r w:rsidRPr="003033E5">
        <w:rPr>
          <w:rFonts w:ascii="Arial" w:eastAsia="Arial" w:hAnsi="Arial" w:cs="Arial"/>
          <w:lang w:val="en-US"/>
        </w:rPr>
        <w:t xml:space="preserve"> Mental, v. 8 (1), p. 35-43, 2015.</w:t>
      </w:r>
    </w:p>
    <w:p w14:paraId="2D7AFA0E" w14:textId="30110028" w:rsidR="218B5186" w:rsidRPr="003033E5" w:rsidRDefault="218B5186" w:rsidP="421ADB10">
      <w:pPr>
        <w:spacing w:line="360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003033E5">
        <w:rPr>
          <w:rFonts w:ascii="Arial" w:eastAsia="Arial" w:hAnsi="Arial" w:cs="Arial"/>
          <w:lang w:val="en-US"/>
        </w:rPr>
        <w:t>MOELLENTIN, D.; PICONE, C.; LEADBETTER, E. Memantine-Induced Myoclonus and Delirium Exacerbated by Trimethoprim. The Annals of Pharmacotherapy, v. 42, p. 443-7, 2008.</w:t>
      </w:r>
    </w:p>
    <w:p w14:paraId="37EC1741" w14:textId="1B579B7B" w:rsidR="218B5186" w:rsidRDefault="218B5186" w:rsidP="421ADB10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3033E5">
        <w:rPr>
          <w:rFonts w:ascii="Arial" w:eastAsia="Arial" w:hAnsi="Arial" w:cs="Arial"/>
          <w:lang w:val="en-US"/>
        </w:rPr>
        <w:t xml:space="preserve">MITCHESON, J.S. et al. A structural basis for drug-induced long QT syndrome. </w:t>
      </w:r>
      <w:proofErr w:type="spellStart"/>
      <w:r w:rsidRPr="421ADB10">
        <w:rPr>
          <w:rFonts w:ascii="Arial" w:eastAsia="Arial" w:hAnsi="Arial" w:cs="Arial"/>
        </w:rPr>
        <w:t>Proc</w:t>
      </w:r>
      <w:proofErr w:type="spellEnd"/>
      <w:r w:rsidRPr="421ADB10">
        <w:rPr>
          <w:rFonts w:ascii="Arial" w:eastAsia="Arial" w:hAnsi="Arial" w:cs="Arial"/>
        </w:rPr>
        <w:t xml:space="preserve"> </w:t>
      </w:r>
      <w:proofErr w:type="spellStart"/>
      <w:r w:rsidRPr="421ADB10">
        <w:rPr>
          <w:rFonts w:ascii="Arial" w:eastAsia="Arial" w:hAnsi="Arial" w:cs="Arial"/>
        </w:rPr>
        <w:t>Natl</w:t>
      </w:r>
      <w:proofErr w:type="spellEnd"/>
      <w:r w:rsidRPr="421ADB10">
        <w:rPr>
          <w:rFonts w:ascii="Arial" w:eastAsia="Arial" w:hAnsi="Arial" w:cs="Arial"/>
        </w:rPr>
        <w:t xml:space="preserve"> </w:t>
      </w:r>
      <w:proofErr w:type="spellStart"/>
      <w:r w:rsidRPr="421ADB10">
        <w:rPr>
          <w:rFonts w:ascii="Arial" w:eastAsia="Arial" w:hAnsi="Arial" w:cs="Arial"/>
        </w:rPr>
        <w:t>Acad</w:t>
      </w:r>
      <w:proofErr w:type="spellEnd"/>
      <w:r w:rsidRPr="421ADB10">
        <w:rPr>
          <w:rFonts w:ascii="Arial" w:eastAsia="Arial" w:hAnsi="Arial" w:cs="Arial"/>
        </w:rPr>
        <w:t xml:space="preserve"> </w:t>
      </w:r>
      <w:proofErr w:type="spellStart"/>
      <w:r w:rsidRPr="421ADB10">
        <w:rPr>
          <w:rFonts w:ascii="Arial" w:eastAsia="Arial" w:hAnsi="Arial" w:cs="Arial"/>
        </w:rPr>
        <w:t>Sci</w:t>
      </w:r>
      <w:proofErr w:type="spellEnd"/>
      <w:r w:rsidRPr="421ADB10">
        <w:rPr>
          <w:rFonts w:ascii="Arial" w:eastAsia="Arial" w:hAnsi="Arial" w:cs="Arial"/>
        </w:rPr>
        <w:t xml:space="preserve"> U S A, v. 97 (22), p. 12329-33, 2000.</w:t>
      </w:r>
    </w:p>
    <w:p w14:paraId="3728CAAE" w14:textId="3F8141E0" w:rsidR="397BF1D2" w:rsidRDefault="397BF1D2" w:rsidP="421ADB10">
      <w:pPr>
        <w:spacing w:line="257" w:lineRule="auto"/>
        <w:jc w:val="both"/>
        <w:rPr>
          <w:rFonts w:ascii="Arial" w:eastAsia="Arial" w:hAnsi="Arial" w:cs="Arial"/>
          <w:color w:val="000000" w:themeColor="text1"/>
        </w:rPr>
      </w:pPr>
      <w:r w:rsidRPr="658C74AD">
        <w:rPr>
          <w:rFonts w:ascii="Arial" w:eastAsia="Arial" w:hAnsi="Arial" w:cs="Arial"/>
        </w:rPr>
        <w:t>REIS, H. J. L.; GUIMARÃES, H. P.; ZAZULA, A. D.; VASQUE, R. G.; LOPES, R. D. ECG Manual Prático de Eletrocardiograma: Intervalo PR. Editora ATHENEU, 2013.</w:t>
      </w:r>
    </w:p>
    <w:p w14:paraId="2D61FAA9" w14:textId="6457E740" w:rsidR="5FDFA914" w:rsidRDefault="003033E5" w:rsidP="658C74AD">
      <w:pPr>
        <w:spacing w:line="257" w:lineRule="auto"/>
        <w:jc w:val="both"/>
        <w:rPr>
          <w:rFonts w:ascii="Arial" w:eastAsia="Arial" w:hAnsi="Arial" w:cs="Arial"/>
        </w:rPr>
      </w:pPr>
      <w:hyperlink r:id="rId19">
        <w:r w:rsidR="5FDFA914" w:rsidRPr="4238BDEF">
          <w:rPr>
            <w:rStyle w:val="Hyperlink"/>
            <w:rFonts w:ascii="Arial" w:eastAsia="Arial" w:hAnsi="Arial" w:cs="Arial"/>
            <w:color w:val="auto"/>
            <w:u w:val="none"/>
          </w:rPr>
          <w:t>SCHULTZ</w:t>
        </w:r>
      </w:hyperlink>
      <w:r w:rsidR="5FDFA914" w:rsidRPr="4238BDEF">
        <w:rPr>
          <w:rFonts w:ascii="Arial" w:eastAsia="Arial" w:hAnsi="Arial" w:cs="Arial"/>
        </w:rPr>
        <w:t xml:space="preserve">, B. R.; </w:t>
      </w:r>
      <w:hyperlink r:id="rId20">
        <w:r w:rsidR="5FDFA914" w:rsidRPr="4238BDEF">
          <w:rPr>
            <w:rStyle w:val="Hyperlink"/>
            <w:rFonts w:ascii="Arial" w:eastAsia="Arial" w:hAnsi="Arial" w:cs="Arial"/>
            <w:color w:val="auto"/>
            <w:u w:val="none"/>
          </w:rPr>
          <w:t>TAKESHITA</w:t>
        </w:r>
      </w:hyperlink>
      <w:r w:rsidR="5FDFA914" w:rsidRPr="4238BDEF">
        <w:rPr>
          <w:rFonts w:ascii="Arial" w:eastAsia="Arial" w:hAnsi="Arial" w:cs="Arial"/>
        </w:rPr>
        <w:t xml:space="preserve">, J.; </w:t>
      </w:r>
      <w:hyperlink r:id="rId21">
        <w:r w:rsidR="5FDFA914" w:rsidRPr="4238BDEF">
          <w:rPr>
            <w:rStyle w:val="Hyperlink"/>
            <w:rFonts w:ascii="Arial" w:eastAsia="Arial" w:hAnsi="Arial" w:cs="Arial"/>
            <w:color w:val="auto"/>
            <w:u w:val="none"/>
          </w:rPr>
          <w:t>GOEBERT</w:t>
        </w:r>
      </w:hyperlink>
      <w:r w:rsidR="5FDFA914" w:rsidRPr="4238BDEF">
        <w:rPr>
          <w:rFonts w:ascii="Arial" w:eastAsia="Arial" w:hAnsi="Arial" w:cs="Arial"/>
        </w:rPr>
        <w:t xml:space="preserve">, D.; </w:t>
      </w:r>
      <w:hyperlink r:id="rId22">
        <w:r w:rsidR="5FDFA914" w:rsidRPr="4238BDEF">
          <w:rPr>
            <w:rStyle w:val="Hyperlink"/>
            <w:rFonts w:ascii="Arial" w:eastAsia="Arial" w:hAnsi="Arial" w:cs="Arial"/>
            <w:color w:val="auto"/>
            <w:u w:val="none"/>
          </w:rPr>
          <w:t>TAKESHITA</w:t>
        </w:r>
      </w:hyperlink>
      <w:r w:rsidR="5FDFA914" w:rsidRPr="4238BDEF">
        <w:rPr>
          <w:rFonts w:ascii="Arial" w:eastAsia="Arial" w:hAnsi="Arial" w:cs="Arial"/>
        </w:rPr>
        <w:t xml:space="preserve">, S.; </w:t>
      </w:r>
      <w:hyperlink r:id="rId23">
        <w:r w:rsidR="5FDFA914" w:rsidRPr="4238BDEF">
          <w:rPr>
            <w:rStyle w:val="Hyperlink"/>
            <w:rFonts w:ascii="Arial" w:eastAsia="Arial" w:hAnsi="Arial" w:cs="Arial"/>
            <w:color w:val="auto"/>
            <w:u w:val="none"/>
          </w:rPr>
          <w:t>LU</w:t>
        </w:r>
      </w:hyperlink>
      <w:r w:rsidR="5FDFA914" w:rsidRPr="4238BDEF">
        <w:rPr>
          <w:rFonts w:ascii="Arial" w:eastAsia="Arial" w:hAnsi="Arial" w:cs="Arial"/>
        </w:rPr>
        <w:t xml:space="preserve">, B.; </w:t>
      </w:r>
      <w:hyperlink r:id="rId24">
        <w:r w:rsidR="5FDFA914" w:rsidRPr="4238BDEF">
          <w:rPr>
            <w:rStyle w:val="Hyperlink"/>
            <w:rFonts w:ascii="Arial" w:eastAsia="Arial" w:hAnsi="Arial" w:cs="Arial"/>
            <w:color w:val="auto"/>
            <w:u w:val="none"/>
          </w:rPr>
          <w:t>GUILLOUX</w:t>
        </w:r>
      </w:hyperlink>
      <w:r w:rsidR="5FDFA914" w:rsidRPr="4238BDEF">
        <w:rPr>
          <w:rFonts w:ascii="Arial" w:eastAsia="Arial" w:hAnsi="Arial" w:cs="Arial"/>
        </w:rPr>
        <w:t xml:space="preserve">, A.; </w:t>
      </w:r>
      <w:hyperlink r:id="rId25">
        <w:r w:rsidR="5FDFA914" w:rsidRPr="4238BDEF">
          <w:rPr>
            <w:rStyle w:val="Hyperlink"/>
            <w:rFonts w:ascii="Arial" w:eastAsia="Arial" w:hAnsi="Arial" w:cs="Arial"/>
            <w:color w:val="auto"/>
            <w:u w:val="none"/>
          </w:rPr>
          <w:t>HIGA</w:t>
        </w:r>
      </w:hyperlink>
      <w:r w:rsidR="5FDFA914" w:rsidRPr="4238BDEF">
        <w:rPr>
          <w:rFonts w:ascii="Arial" w:eastAsia="Arial" w:hAnsi="Arial" w:cs="Arial"/>
        </w:rPr>
        <w:t xml:space="preserve"> J. Uso simultâneo de medicamentos para demência e anticolinérgicos entre asiáticos e ilhéus do Pacífico. Sociedade </w:t>
      </w:r>
      <w:proofErr w:type="spellStart"/>
      <w:r w:rsidR="5FDFA914" w:rsidRPr="4238BDEF">
        <w:rPr>
          <w:rFonts w:ascii="Arial" w:eastAsia="Arial" w:hAnsi="Arial" w:cs="Arial"/>
        </w:rPr>
        <w:t>Psicogeriátrica</w:t>
      </w:r>
      <w:proofErr w:type="spellEnd"/>
      <w:r w:rsidR="5FDFA914" w:rsidRPr="4238BDEF">
        <w:rPr>
          <w:rFonts w:ascii="Arial" w:eastAsia="Arial" w:hAnsi="Arial" w:cs="Arial"/>
        </w:rPr>
        <w:t xml:space="preserve"> Japonesa, v. (6): p. 423-429, 2017.</w:t>
      </w:r>
    </w:p>
    <w:p w14:paraId="2770843C" w14:textId="67635D44" w:rsidR="7A737658" w:rsidRDefault="7A737658" w:rsidP="4238BDEF">
      <w:pPr>
        <w:spacing w:line="257" w:lineRule="auto"/>
        <w:jc w:val="both"/>
        <w:rPr>
          <w:rFonts w:ascii="Arial" w:eastAsia="Arial" w:hAnsi="Arial" w:cs="Arial"/>
          <w:color w:val="000000" w:themeColor="text1"/>
        </w:rPr>
      </w:pPr>
      <w:r w:rsidRPr="4238BDEF">
        <w:rPr>
          <w:rFonts w:ascii="Arial" w:eastAsia="Arial" w:hAnsi="Arial" w:cs="Arial"/>
          <w:color w:val="000000" w:themeColor="text1"/>
        </w:rPr>
        <w:t>SELKOE</w:t>
      </w:r>
      <w:r w:rsidR="5AA37A45" w:rsidRPr="4238BDEF">
        <w:rPr>
          <w:rFonts w:ascii="Arial" w:eastAsia="Arial" w:hAnsi="Arial" w:cs="Arial"/>
          <w:color w:val="000000" w:themeColor="text1"/>
        </w:rPr>
        <w:t>,</w:t>
      </w:r>
      <w:r w:rsidRPr="4238BDEF">
        <w:rPr>
          <w:rFonts w:ascii="Arial" w:eastAsia="Arial" w:hAnsi="Arial" w:cs="Arial"/>
          <w:color w:val="000000" w:themeColor="text1"/>
        </w:rPr>
        <w:t xml:space="preserve"> D. </w:t>
      </w:r>
      <w:proofErr w:type="spellStart"/>
      <w:r w:rsidRPr="4238BDEF">
        <w:rPr>
          <w:rFonts w:ascii="Arial" w:eastAsia="Arial" w:hAnsi="Arial" w:cs="Arial"/>
          <w:color w:val="000000" w:themeColor="text1"/>
        </w:rPr>
        <w:t>Alzheimer's</w:t>
      </w:r>
      <w:proofErr w:type="spellEnd"/>
      <w:r w:rsidRPr="4238BDE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4238BDEF">
        <w:rPr>
          <w:rFonts w:ascii="Arial" w:eastAsia="Arial" w:hAnsi="Arial" w:cs="Arial"/>
          <w:color w:val="000000" w:themeColor="text1"/>
        </w:rPr>
        <w:t>disease</w:t>
      </w:r>
      <w:proofErr w:type="spellEnd"/>
      <w:r w:rsidRPr="4238BDEF">
        <w:rPr>
          <w:rFonts w:ascii="Arial" w:eastAsia="Arial" w:hAnsi="Arial" w:cs="Arial"/>
          <w:color w:val="000000" w:themeColor="text1"/>
        </w:rPr>
        <w:t xml:space="preserve">: genes, </w:t>
      </w:r>
      <w:proofErr w:type="spellStart"/>
      <w:r w:rsidRPr="4238BDEF">
        <w:rPr>
          <w:rFonts w:ascii="Arial" w:eastAsia="Arial" w:hAnsi="Arial" w:cs="Arial"/>
          <w:color w:val="000000" w:themeColor="text1"/>
        </w:rPr>
        <w:t>proteins</w:t>
      </w:r>
      <w:proofErr w:type="spellEnd"/>
      <w:r w:rsidRPr="4238BDEF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4238BDEF">
        <w:rPr>
          <w:rFonts w:ascii="Arial" w:eastAsia="Arial" w:hAnsi="Arial" w:cs="Arial"/>
          <w:color w:val="000000" w:themeColor="text1"/>
        </w:rPr>
        <w:t>and</w:t>
      </w:r>
      <w:proofErr w:type="spellEnd"/>
      <w:r w:rsidRPr="4238BDE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4238BDEF">
        <w:rPr>
          <w:rFonts w:ascii="Arial" w:eastAsia="Arial" w:hAnsi="Arial" w:cs="Arial"/>
          <w:color w:val="000000" w:themeColor="text1"/>
        </w:rPr>
        <w:t>therapy</w:t>
      </w:r>
      <w:proofErr w:type="spellEnd"/>
      <w:r w:rsidRPr="4238BDEF">
        <w:rPr>
          <w:rFonts w:ascii="Arial" w:eastAsia="Arial" w:hAnsi="Arial" w:cs="Arial"/>
          <w:color w:val="000000" w:themeColor="text1"/>
        </w:rPr>
        <w:t xml:space="preserve">. </w:t>
      </w:r>
      <w:proofErr w:type="spellStart"/>
      <w:r w:rsidRPr="4238BDEF">
        <w:rPr>
          <w:rFonts w:ascii="Arial" w:eastAsia="Arial" w:hAnsi="Arial" w:cs="Arial"/>
          <w:color w:val="000000" w:themeColor="text1"/>
        </w:rPr>
        <w:t>Physiol</w:t>
      </w:r>
      <w:proofErr w:type="spellEnd"/>
      <w:r w:rsidRPr="4238BDEF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507D907F" w:rsidRPr="4238BDEF">
        <w:rPr>
          <w:rFonts w:ascii="Arial" w:eastAsia="Arial" w:hAnsi="Arial" w:cs="Arial"/>
          <w:color w:val="000000" w:themeColor="text1"/>
        </w:rPr>
        <w:t>Rev</w:t>
      </w:r>
      <w:proofErr w:type="spellEnd"/>
      <w:r w:rsidR="1BFE9514" w:rsidRPr="4238BDEF">
        <w:rPr>
          <w:rFonts w:ascii="Arial" w:eastAsia="Arial" w:hAnsi="Arial" w:cs="Arial"/>
          <w:color w:val="000000" w:themeColor="text1"/>
        </w:rPr>
        <w:t xml:space="preserve">, v. </w:t>
      </w:r>
      <w:r w:rsidRPr="4238BDEF">
        <w:rPr>
          <w:rFonts w:ascii="Arial" w:eastAsia="Arial" w:hAnsi="Arial" w:cs="Arial"/>
          <w:color w:val="000000" w:themeColor="text1"/>
        </w:rPr>
        <w:t>81(2):</w:t>
      </w:r>
      <w:r w:rsidR="22652B78" w:rsidRPr="4238BDEF">
        <w:rPr>
          <w:rFonts w:ascii="Arial" w:eastAsia="Arial" w:hAnsi="Arial" w:cs="Arial"/>
          <w:color w:val="000000" w:themeColor="text1"/>
        </w:rPr>
        <w:t xml:space="preserve"> p. </w:t>
      </w:r>
      <w:r w:rsidRPr="4238BDEF">
        <w:rPr>
          <w:rFonts w:ascii="Arial" w:eastAsia="Arial" w:hAnsi="Arial" w:cs="Arial"/>
          <w:color w:val="000000" w:themeColor="text1"/>
        </w:rPr>
        <w:t>741-</w:t>
      </w:r>
      <w:r w:rsidR="7673AB92" w:rsidRPr="4238BDEF">
        <w:rPr>
          <w:rFonts w:ascii="Arial" w:eastAsia="Arial" w:hAnsi="Arial" w:cs="Arial"/>
          <w:color w:val="000000" w:themeColor="text1"/>
        </w:rPr>
        <w:t>7</w:t>
      </w:r>
      <w:r w:rsidRPr="4238BDEF">
        <w:rPr>
          <w:rFonts w:ascii="Arial" w:eastAsia="Arial" w:hAnsi="Arial" w:cs="Arial"/>
          <w:color w:val="000000" w:themeColor="text1"/>
        </w:rPr>
        <w:t>66</w:t>
      </w:r>
      <w:r w:rsidR="4E90A898" w:rsidRPr="4238BDEF">
        <w:rPr>
          <w:rFonts w:ascii="Arial" w:eastAsia="Arial" w:hAnsi="Arial" w:cs="Arial"/>
          <w:color w:val="000000" w:themeColor="text1"/>
        </w:rPr>
        <w:t xml:space="preserve">, 2001. </w:t>
      </w:r>
    </w:p>
    <w:p w14:paraId="1C9938D7" w14:textId="580EDC91" w:rsidR="658C74AD" w:rsidRDefault="658C74AD" w:rsidP="658C74AD">
      <w:pPr>
        <w:spacing w:line="257" w:lineRule="auto"/>
        <w:jc w:val="both"/>
        <w:rPr>
          <w:rFonts w:ascii="Arial" w:eastAsia="Arial" w:hAnsi="Arial" w:cs="Arial"/>
        </w:rPr>
      </w:pPr>
    </w:p>
    <w:p w14:paraId="3BEA0CAA" w14:textId="686F9973" w:rsidR="36E7020F" w:rsidRDefault="36E7020F" w:rsidP="6C927748">
      <w:pPr>
        <w:rPr>
          <w:rFonts w:ascii="Arial" w:eastAsia="Arial" w:hAnsi="Arial" w:cs="Arial"/>
          <w:sz w:val="18"/>
          <w:szCs w:val="18"/>
          <w:vertAlign w:val="superscript"/>
        </w:rPr>
      </w:pPr>
    </w:p>
    <w:sectPr w:rsidR="36E70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C3DD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41234AC">
      <w:start w:val="1"/>
      <w:numFmt w:val="lowerLetter"/>
      <w:lvlText w:val="%2."/>
      <w:lvlJc w:val="left"/>
      <w:pPr>
        <w:ind w:left="1440" w:hanging="360"/>
      </w:pPr>
    </w:lvl>
    <w:lvl w:ilvl="2" w:tplc="1C706F2C">
      <w:start w:val="1"/>
      <w:numFmt w:val="lowerRoman"/>
      <w:lvlText w:val="%3."/>
      <w:lvlJc w:val="right"/>
      <w:pPr>
        <w:ind w:left="2160" w:hanging="180"/>
      </w:pPr>
    </w:lvl>
    <w:lvl w:ilvl="3" w:tplc="6BD65A30">
      <w:start w:val="1"/>
      <w:numFmt w:val="decimal"/>
      <w:lvlText w:val="%4."/>
      <w:lvlJc w:val="left"/>
      <w:pPr>
        <w:ind w:left="2880" w:hanging="360"/>
      </w:pPr>
    </w:lvl>
    <w:lvl w:ilvl="4" w:tplc="4A3AE7F4">
      <w:start w:val="1"/>
      <w:numFmt w:val="lowerLetter"/>
      <w:lvlText w:val="%5."/>
      <w:lvlJc w:val="left"/>
      <w:pPr>
        <w:ind w:left="3600" w:hanging="360"/>
      </w:pPr>
    </w:lvl>
    <w:lvl w:ilvl="5" w:tplc="39561C4A">
      <w:start w:val="1"/>
      <w:numFmt w:val="lowerRoman"/>
      <w:lvlText w:val="%6."/>
      <w:lvlJc w:val="right"/>
      <w:pPr>
        <w:ind w:left="4320" w:hanging="180"/>
      </w:pPr>
    </w:lvl>
    <w:lvl w:ilvl="6" w:tplc="9E301BD6">
      <w:start w:val="1"/>
      <w:numFmt w:val="decimal"/>
      <w:lvlText w:val="%7."/>
      <w:lvlJc w:val="left"/>
      <w:pPr>
        <w:ind w:left="5040" w:hanging="360"/>
      </w:pPr>
    </w:lvl>
    <w:lvl w:ilvl="7" w:tplc="5334547C">
      <w:start w:val="1"/>
      <w:numFmt w:val="lowerLetter"/>
      <w:lvlText w:val="%8."/>
      <w:lvlJc w:val="left"/>
      <w:pPr>
        <w:ind w:left="5760" w:hanging="360"/>
      </w:pPr>
    </w:lvl>
    <w:lvl w:ilvl="8" w:tplc="7172BC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D366C"/>
    <w:multiLevelType w:val="hybridMultilevel"/>
    <w:tmpl w:val="04AECD42"/>
    <w:lvl w:ilvl="0" w:tplc="D57691C4">
      <w:start w:val="1"/>
      <w:numFmt w:val="decimal"/>
      <w:lvlText w:val="%1."/>
      <w:lvlJc w:val="left"/>
      <w:pPr>
        <w:ind w:left="720" w:hanging="360"/>
      </w:pPr>
    </w:lvl>
    <w:lvl w:ilvl="1" w:tplc="8C5C4258">
      <w:start w:val="1"/>
      <w:numFmt w:val="lowerLetter"/>
      <w:lvlText w:val="%2."/>
      <w:lvlJc w:val="left"/>
      <w:pPr>
        <w:ind w:left="1440" w:hanging="360"/>
      </w:pPr>
    </w:lvl>
    <w:lvl w:ilvl="2" w:tplc="BD4A6490">
      <w:start w:val="1"/>
      <w:numFmt w:val="lowerRoman"/>
      <w:lvlText w:val="%3."/>
      <w:lvlJc w:val="right"/>
      <w:pPr>
        <w:ind w:left="2160" w:hanging="180"/>
      </w:pPr>
    </w:lvl>
    <w:lvl w:ilvl="3" w:tplc="65502004">
      <w:start w:val="1"/>
      <w:numFmt w:val="decimal"/>
      <w:lvlText w:val="%4."/>
      <w:lvlJc w:val="left"/>
      <w:pPr>
        <w:ind w:left="2880" w:hanging="360"/>
      </w:pPr>
    </w:lvl>
    <w:lvl w:ilvl="4" w:tplc="BB08BCDE">
      <w:start w:val="1"/>
      <w:numFmt w:val="lowerLetter"/>
      <w:lvlText w:val="%5."/>
      <w:lvlJc w:val="left"/>
      <w:pPr>
        <w:ind w:left="3600" w:hanging="360"/>
      </w:pPr>
    </w:lvl>
    <w:lvl w:ilvl="5" w:tplc="307A1F22">
      <w:start w:val="1"/>
      <w:numFmt w:val="lowerRoman"/>
      <w:lvlText w:val="%6."/>
      <w:lvlJc w:val="right"/>
      <w:pPr>
        <w:ind w:left="4320" w:hanging="180"/>
      </w:pPr>
    </w:lvl>
    <w:lvl w:ilvl="6" w:tplc="A46EAE04">
      <w:start w:val="1"/>
      <w:numFmt w:val="decimal"/>
      <w:lvlText w:val="%7."/>
      <w:lvlJc w:val="left"/>
      <w:pPr>
        <w:ind w:left="5040" w:hanging="360"/>
      </w:pPr>
    </w:lvl>
    <w:lvl w:ilvl="7" w:tplc="6220E394">
      <w:start w:val="1"/>
      <w:numFmt w:val="lowerLetter"/>
      <w:lvlText w:val="%8."/>
      <w:lvlJc w:val="left"/>
      <w:pPr>
        <w:ind w:left="5760" w:hanging="360"/>
      </w:pPr>
    </w:lvl>
    <w:lvl w:ilvl="8" w:tplc="652E07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7D"/>
    <w:rsid w:val="00155912"/>
    <w:rsid w:val="00163454"/>
    <w:rsid w:val="001B0C5F"/>
    <w:rsid w:val="003033E5"/>
    <w:rsid w:val="003808C2"/>
    <w:rsid w:val="003942D3"/>
    <w:rsid w:val="003B3FB9"/>
    <w:rsid w:val="005610E0"/>
    <w:rsid w:val="00572432"/>
    <w:rsid w:val="006632A2"/>
    <w:rsid w:val="007F5AE5"/>
    <w:rsid w:val="0096192E"/>
    <w:rsid w:val="00A63E7D"/>
    <w:rsid w:val="00BE23D5"/>
    <w:rsid w:val="00E37959"/>
    <w:rsid w:val="00E847A4"/>
    <w:rsid w:val="012A071F"/>
    <w:rsid w:val="01E4E013"/>
    <w:rsid w:val="039ED61A"/>
    <w:rsid w:val="049FBCFF"/>
    <w:rsid w:val="04C16692"/>
    <w:rsid w:val="04EA60BE"/>
    <w:rsid w:val="05406178"/>
    <w:rsid w:val="05C6645C"/>
    <w:rsid w:val="05EABAFD"/>
    <w:rsid w:val="07E9983F"/>
    <w:rsid w:val="0817EDC3"/>
    <w:rsid w:val="087D9762"/>
    <w:rsid w:val="08C53892"/>
    <w:rsid w:val="08D1FC74"/>
    <w:rsid w:val="09225BBF"/>
    <w:rsid w:val="0A01FE87"/>
    <w:rsid w:val="0A03F362"/>
    <w:rsid w:val="0AA5C3F6"/>
    <w:rsid w:val="0B964C73"/>
    <w:rsid w:val="0BB38B97"/>
    <w:rsid w:val="0BE659EE"/>
    <w:rsid w:val="0CC02786"/>
    <w:rsid w:val="0DA3745E"/>
    <w:rsid w:val="0DB1183D"/>
    <w:rsid w:val="0DE313E7"/>
    <w:rsid w:val="0DE93596"/>
    <w:rsid w:val="0E52D35C"/>
    <w:rsid w:val="0E7EDCEC"/>
    <w:rsid w:val="0EB1EAD3"/>
    <w:rsid w:val="100321BD"/>
    <w:rsid w:val="10082F94"/>
    <w:rsid w:val="10195F8E"/>
    <w:rsid w:val="104BD0D7"/>
    <w:rsid w:val="119398A9"/>
    <w:rsid w:val="12AF9AD6"/>
    <w:rsid w:val="13183C9B"/>
    <w:rsid w:val="1322919E"/>
    <w:rsid w:val="13667FFE"/>
    <w:rsid w:val="1402161A"/>
    <w:rsid w:val="145B28A2"/>
    <w:rsid w:val="15C35FC9"/>
    <w:rsid w:val="15D33FFF"/>
    <w:rsid w:val="15DB1F1E"/>
    <w:rsid w:val="160727C8"/>
    <w:rsid w:val="166A9936"/>
    <w:rsid w:val="16BF9127"/>
    <w:rsid w:val="16E8EB85"/>
    <w:rsid w:val="1703F93C"/>
    <w:rsid w:val="170A1A7A"/>
    <w:rsid w:val="186EB5FD"/>
    <w:rsid w:val="189B09F3"/>
    <w:rsid w:val="18A39074"/>
    <w:rsid w:val="191A35D8"/>
    <w:rsid w:val="19510349"/>
    <w:rsid w:val="199F2122"/>
    <w:rsid w:val="19F7B4C1"/>
    <w:rsid w:val="1AA2DF87"/>
    <w:rsid w:val="1B01CB76"/>
    <w:rsid w:val="1B45D464"/>
    <w:rsid w:val="1BFE9514"/>
    <w:rsid w:val="1C38C501"/>
    <w:rsid w:val="1C4A60A2"/>
    <w:rsid w:val="1C4EB728"/>
    <w:rsid w:val="1D347AA2"/>
    <w:rsid w:val="1D770473"/>
    <w:rsid w:val="1EE2AE61"/>
    <w:rsid w:val="1F04ECC5"/>
    <w:rsid w:val="1F85028D"/>
    <w:rsid w:val="1FC1B9F3"/>
    <w:rsid w:val="2020BC1E"/>
    <w:rsid w:val="2027154C"/>
    <w:rsid w:val="202D3A10"/>
    <w:rsid w:val="20C7D95B"/>
    <w:rsid w:val="21543C4E"/>
    <w:rsid w:val="218B5186"/>
    <w:rsid w:val="21F9D563"/>
    <w:rsid w:val="22239F47"/>
    <w:rsid w:val="2231E925"/>
    <w:rsid w:val="22652B78"/>
    <w:rsid w:val="22845709"/>
    <w:rsid w:val="23DE39C2"/>
    <w:rsid w:val="24377B63"/>
    <w:rsid w:val="24E15E12"/>
    <w:rsid w:val="254172B9"/>
    <w:rsid w:val="25AA1A72"/>
    <w:rsid w:val="261D05F1"/>
    <w:rsid w:val="27E18339"/>
    <w:rsid w:val="29606E83"/>
    <w:rsid w:val="2961996F"/>
    <w:rsid w:val="297B298B"/>
    <w:rsid w:val="2AF7B2BF"/>
    <w:rsid w:val="2B4ABD57"/>
    <w:rsid w:val="2B9ACD98"/>
    <w:rsid w:val="2C1BAE9F"/>
    <w:rsid w:val="2C2B394F"/>
    <w:rsid w:val="2CFC57CA"/>
    <w:rsid w:val="2D4A33A2"/>
    <w:rsid w:val="2E87E605"/>
    <w:rsid w:val="2EB5D25D"/>
    <w:rsid w:val="2F61F96F"/>
    <w:rsid w:val="31086AEA"/>
    <w:rsid w:val="3117D3AC"/>
    <w:rsid w:val="32386073"/>
    <w:rsid w:val="32535483"/>
    <w:rsid w:val="32815276"/>
    <w:rsid w:val="329A7135"/>
    <w:rsid w:val="32D0A66C"/>
    <w:rsid w:val="32EC7DC2"/>
    <w:rsid w:val="34CB8F36"/>
    <w:rsid w:val="34DE6B0A"/>
    <w:rsid w:val="35D2511B"/>
    <w:rsid w:val="36549D99"/>
    <w:rsid w:val="367FFE22"/>
    <w:rsid w:val="36E7020F"/>
    <w:rsid w:val="37871530"/>
    <w:rsid w:val="3791FC3C"/>
    <w:rsid w:val="381D38AB"/>
    <w:rsid w:val="38312497"/>
    <w:rsid w:val="39511DDB"/>
    <w:rsid w:val="39792158"/>
    <w:rsid w:val="397BF1D2"/>
    <w:rsid w:val="39A6057A"/>
    <w:rsid w:val="3A263956"/>
    <w:rsid w:val="3CA5F513"/>
    <w:rsid w:val="3D1A691A"/>
    <w:rsid w:val="3D5DD5E7"/>
    <w:rsid w:val="3DE1F5E8"/>
    <w:rsid w:val="3F011D2D"/>
    <w:rsid w:val="40681995"/>
    <w:rsid w:val="408ACB18"/>
    <w:rsid w:val="4181CE2F"/>
    <w:rsid w:val="421ADB10"/>
    <w:rsid w:val="4238BDEF"/>
    <w:rsid w:val="4238DEED"/>
    <w:rsid w:val="4279EB14"/>
    <w:rsid w:val="42AABD3B"/>
    <w:rsid w:val="42F24BDD"/>
    <w:rsid w:val="437BAE83"/>
    <w:rsid w:val="4389AA9E"/>
    <w:rsid w:val="4406F61C"/>
    <w:rsid w:val="452D91A9"/>
    <w:rsid w:val="454C82E2"/>
    <w:rsid w:val="458E5CB4"/>
    <w:rsid w:val="45E25DFD"/>
    <w:rsid w:val="464045D5"/>
    <w:rsid w:val="47D23072"/>
    <w:rsid w:val="48AEC346"/>
    <w:rsid w:val="48CEF9CA"/>
    <w:rsid w:val="4AB5CF20"/>
    <w:rsid w:val="4B912CE5"/>
    <w:rsid w:val="4C133FBB"/>
    <w:rsid w:val="4C519F81"/>
    <w:rsid w:val="4D4659F0"/>
    <w:rsid w:val="4E128B2E"/>
    <w:rsid w:val="4E3812FF"/>
    <w:rsid w:val="4E4B57BA"/>
    <w:rsid w:val="4E90A898"/>
    <w:rsid w:val="4F14198C"/>
    <w:rsid w:val="4F763BCE"/>
    <w:rsid w:val="4FB03865"/>
    <w:rsid w:val="507D907F"/>
    <w:rsid w:val="50DF7186"/>
    <w:rsid w:val="515D90EE"/>
    <w:rsid w:val="517F9B13"/>
    <w:rsid w:val="51B285B4"/>
    <w:rsid w:val="52F067C2"/>
    <w:rsid w:val="53EAE811"/>
    <w:rsid w:val="53FD5B32"/>
    <w:rsid w:val="54212EE2"/>
    <w:rsid w:val="54249455"/>
    <w:rsid w:val="54A170E1"/>
    <w:rsid w:val="54BB69EE"/>
    <w:rsid w:val="54C1EAA1"/>
    <w:rsid w:val="54E19B2C"/>
    <w:rsid w:val="5590792C"/>
    <w:rsid w:val="55B22E10"/>
    <w:rsid w:val="5606518C"/>
    <w:rsid w:val="566E8D9B"/>
    <w:rsid w:val="57310435"/>
    <w:rsid w:val="57A78E6E"/>
    <w:rsid w:val="57C4381D"/>
    <w:rsid w:val="57D81A27"/>
    <w:rsid w:val="57DF88B2"/>
    <w:rsid w:val="58BB9E62"/>
    <w:rsid w:val="59955BC4"/>
    <w:rsid w:val="5995AA9F"/>
    <w:rsid w:val="59F6A627"/>
    <w:rsid w:val="5A0ABD1F"/>
    <w:rsid w:val="5A24DCF8"/>
    <w:rsid w:val="5AA37A45"/>
    <w:rsid w:val="5ADBAE67"/>
    <w:rsid w:val="5CDB1207"/>
    <w:rsid w:val="5D952AFE"/>
    <w:rsid w:val="5DCF6E4A"/>
    <w:rsid w:val="5E2599B6"/>
    <w:rsid w:val="5E54AA58"/>
    <w:rsid w:val="5ECDDD74"/>
    <w:rsid w:val="5EF6DA7B"/>
    <w:rsid w:val="5F481849"/>
    <w:rsid w:val="5FBDD13D"/>
    <w:rsid w:val="5FDFA914"/>
    <w:rsid w:val="6079FEA3"/>
    <w:rsid w:val="60FEDE47"/>
    <w:rsid w:val="618854DE"/>
    <w:rsid w:val="61EBD02D"/>
    <w:rsid w:val="62A02FB0"/>
    <w:rsid w:val="62B58B40"/>
    <w:rsid w:val="63BE3BE5"/>
    <w:rsid w:val="641E5C61"/>
    <w:rsid w:val="64E721E3"/>
    <w:rsid w:val="650BFF78"/>
    <w:rsid w:val="65844FBB"/>
    <w:rsid w:val="658C74AD"/>
    <w:rsid w:val="65DA4B86"/>
    <w:rsid w:val="65F40D33"/>
    <w:rsid w:val="667BCC52"/>
    <w:rsid w:val="668289ED"/>
    <w:rsid w:val="669584CB"/>
    <w:rsid w:val="66DDE6B2"/>
    <w:rsid w:val="66E94027"/>
    <w:rsid w:val="67036000"/>
    <w:rsid w:val="6742F91F"/>
    <w:rsid w:val="67520632"/>
    <w:rsid w:val="6882254A"/>
    <w:rsid w:val="68E35917"/>
    <w:rsid w:val="68FA940E"/>
    <w:rsid w:val="69F26377"/>
    <w:rsid w:val="6A4CEE4E"/>
    <w:rsid w:val="6C927748"/>
    <w:rsid w:val="6DE2DE31"/>
    <w:rsid w:val="6E04BEBB"/>
    <w:rsid w:val="6E495CF8"/>
    <w:rsid w:val="6EA5FD96"/>
    <w:rsid w:val="6EBA554F"/>
    <w:rsid w:val="6ECD728B"/>
    <w:rsid w:val="6ECD8F1A"/>
    <w:rsid w:val="6F11D573"/>
    <w:rsid w:val="6FB710F7"/>
    <w:rsid w:val="700F0D21"/>
    <w:rsid w:val="71737731"/>
    <w:rsid w:val="71C8A4DB"/>
    <w:rsid w:val="71E683F4"/>
    <w:rsid w:val="7215E39B"/>
    <w:rsid w:val="72179479"/>
    <w:rsid w:val="73013BDF"/>
    <w:rsid w:val="732A3410"/>
    <w:rsid w:val="73330602"/>
    <w:rsid w:val="73533F08"/>
    <w:rsid w:val="736A2139"/>
    <w:rsid w:val="73E997C3"/>
    <w:rsid w:val="7418EA3A"/>
    <w:rsid w:val="74EF0F69"/>
    <w:rsid w:val="75053333"/>
    <w:rsid w:val="7632D4B1"/>
    <w:rsid w:val="763A5AA7"/>
    <w:rsid w:val="76463C6F"/>
    <w:rsid w:val="7673AB92"/>
    <w:rsid w:val="7692FE24"/>
    <w:rsid w:val="76D5B81B"/>
    <w:rsid w:val="77DAF603"/>
    <w:rsid w:val="77E20CD0"/>
    <w:rsid w:val="78FCB3E9"/>
    <w:rsid w:val="78FCDAD0"/>
    <w:rsid w:val="7976C664"/>
    <w:rsid w:val="798EF745"/>
    <w:rsid w:val="79BE0EB7"/>
    <w:rsid w:val="7A3042D1"/>
    <w:rsid w:val="7A737658"/>
    <w:rsid w:val="7A9A8177"/>
    <w:rsid w:val="7B3FFE8C"/>
    <w:rsid w:val="7B99903D"/>
    <w:rsid w:val="7D3AE98D"/>
    <w:rsid w:val="7D6CC8D7"/>
    <w:rsid w:val="7E291495"/>
    <w:rsid w:val="7E42B865"/>
    <w:rsid w:val="7EB3B0BC"/>
    <w:rsid w:val="7F8F9C7C"/>
    <w:rsid w:val="7FB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0A30"/>
  <w15:chartTrackingRefBased/>
  <w15:docId w15:val="{E2043297-D2C1-4C62-B218-5F3DBBA4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E7D"/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63E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3E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3E7D"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ugs.com/drug_interactions.html" TargetMode="External"/><Relationship Id="rId13" Type="http://schemas.openxmlformats.org/officeDocument/2006/relationships/hyperlink" Target="https://pubmed.ncbi.nlm.nih.gov/?term=Yokoyama+Y&amp;cauthor_id=23731891" TargetMode="External"/><Relationship Id="rId18" Type="http://schemas.openxmlformats.org/officeDocument/2006/relationships/hyperlink" Target="https://pubmed.ncbi.nlm.nih.gov/?term=Someya+T&amp;cauthor_id=2461580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pubmed.ncbi.nlm.nih.gov/?term=Goebert+D&amp;cauthor_id=2838702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ubmed.ncbi.nlm.nih.gov/?term=Sasaki+A&amp;cauthor_id=23731891" TargetMode="External"/><Relationship Id="rId17" Type="http://schemas.openxmlformats.org/officeDocument/2006/relationships/hyperlink" Target="https://pubmed.ncbi.nlm.nih.gov/?term=Tajiri+M&amp;cauthor_id=24615803" TargetMode="External"/><Relationship Id="rId25" Type="http://schemas.openxmlformats.org/officeDocument/2006/relationships/hyperlink" Target="https://pubmed.ncbi.nlm.nih.gov/?term=Higa+J&amp;cauthor_id=28387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med.ncbi.nlm.nih.gov/?term=Suzuki+Y&amp;cauthor_id=24615803" TargetMode="External"/><Relationship Id="rId20" Type="http://schemas.openxmlformats.org/officeDocument/2006/relationships/hyperlink" Target="https://pubmed.ncbi.nlm.nih.gov/?term=Takeshita+J&amp;cauthor_id=2838702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med.ncbi.nlm.nih.gov/?term=Motegi+T&amp;cauthor_id=23731891" TargetMode="External"/><Relationship Id="rId24" Type="http://schemas.openxmlformats.org/officeDocument/2006/relationships/hyperlink" Target="https://pubmed.ncbi.nlm.nih.gov/?term=Guilloux+A&amp;cauthor_id=28387023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bmed.ncbi.nlm.nih.gov/?term=Igeta+H&amp;cauthor_id=24615803" TargetMode="External"/><Relationship Id="rId23" Type="http://schemas.openxmlformats.org/officeDocument/2006/relationships/hyperlink" Target="https://pubmed.ncbi.nlm.nih.gov/?term=Lu+BY&amp;cauthor_id=28387023" TargetMode="External"/><Relationship Id="rId10" Type="http://schemas.openxmlformats.org/officeDocument/2006/relationships/hyperlink" Target="https://pubmed.ncbi.nlm.nih.gov/?term=Suzuki+Y&amp;cauthor_id=24615803" TargetMode="External"/><Relationship Id="rId19" Type="http://schemas.openxmlformats.org/officeDocument/2006/relationships/hyperlink" Target="https://pubmed.ncbi.nlm.nih.gov/?term=Schultz+BR&amp;cauthor_id=2838702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bmed.ncbi.nlm.nih.gov/?term=Igeta+H&amp;cauthor_id=24615803" TargetMode="External"/><Relationship Id="rId14" Type="http://schemas.openxmlformats.org/officeDocument/2006/relationships/hyperlink" Target="https://pubmed.ncbi.nlm.nih.gov/?term=Someya+T&amp;cauthor_id=24615803" TargetMode="External"/><Relationship Id="rId22" Type="http://schemas.openxmlformats.org/officeDocument/2006/relationships/hyperlink" Target="https://pubmed.ncbi.nlm.nih.gov/?term=Takeshita+S&amp;cauthor_id=28387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9270797384A418C6EDCF1D5BAB651" ma:contentTypeVersion="10" ma:contentTypeDescription="Crie um novo documento." ma:contentTypeScope="" ma:versionID="d67a075123567b639c066073cc0b0b48">
  <xsd:schema xmlns:xsd="http://www.w3.org/2001/XMLSchema" xmlns:xs="http://www.w3.org/2001/XMLSchema" xmlns:p="http://schemas.microsoft.com/office/2006/metadata/properties" xmlns:ns2="568d2f54-50c4-401c-b989-8c5ed788a08a" targetNamespace="http://schemas.microsoft.com/office/2006/metadata/properties" ma:root="true" ma:fieldsID="f048e958d85e9feac516ef6cf4d28f51" ns2:_="">
    <xsd:import namespace="568d2f54-50c4-401c-b989-8c5ed788a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d2f54-50c4-401c-b989-8c5ed788a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4F701-72ED-408A-9B3E-A4E136142D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E5852-AE79-4142-935D-078D6A9B9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d2f54-50c4-401c-b989-8c5ed788a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C5F05-2A62-4A98-8C9E-5CAA4EDC6B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1820</Words>
  <Characters>9832</Characters>
  <Application>Microsoft Office Word</Application>
  <DocSecurity>0</DocSecurity>
  <Lines>81</Lines>
  <Paragraphs>23</Paragraphs>
  <ScaleCrop>false</ScaleCrop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Barreto da Silva</dc:creator>
  <cp:keywords/>
  <dc:description/>
  <cp:lastModifiedBy>Vinicius Barreto da Silva</cp:lastModifiedBy>
  <cp:revision>18</cp:revision>
  <dcterms:created xsi:type="dcterms:W3CDTF">2021-04-19T23:19:00Z</dcterms:created>
  <dcterms:modified xsi:type="dcterms:W3CDTF">2021-06-23T21:15:00Z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0x0101007819270797384A418C6EDCF1D5BAB651</vt:lpwstr>
  </property>
</Properties>
</file>