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3539" w14:textId="0A1C3835" w:rsidR="00D24FF9" w:rsidRPr="003136F9" w:rsidRDefault="00D24FF9" w:rsidP="00D50DFB">
      <w:pPr>
        <w:spacing w:after="0" w:line="360" w:lineRule="auto"/>
        <w:jc w:val="center"/>
        <w:rPr>
          <w:rFonts w:ascii="Arial" w:hAnsi="Arial" w:cs="Arial"/>
          <w:b/>
          <w:color w:val="000000" w:themeColor="text1"/>
          <w:sz w:val="24"/>
          <w:szCs w:val="24"/>
        </w:rPr>
      </w:pPr>
      <w:r w:rsidRPr="003136F9">
        <w:rPr>
          <w:rFonts w:ascii="Arial" w:hAnsi="Arial" w:cs="Arial"/>
          <w:b/>
          <w:color w:val="000000" w:themeColor="text1"/>
          <w:sz w:val="24"/>
          <w:szCs w:val="24"/>
        </w:rPr>
        <w:t>PONTIFÍCIA UNIVERSIDADE CATÓLICA DE GOIÁS</w:t>
      </w:r>
    </w:p>
    <w:p w14:paraId="578A8A6C" w14:textId="77777777" w:rsidR="00D24FF9" w:rsidRPr="003136F9" w:rsidRDefault="00D24FF9" w:rsidP="00D50DFB">
      <w:pPr>
        <w:spacing w:after="0" w:line="360" w:lineRule="auto"/>
        <w:jc w:val="center"/>
        <w:rPr>
          <w:rFonts w:ascii="Arial" w:hAnsi="Arial" w:cs="Arial"/>
          <w:b/>
          <w:color w:val="000000" w:themeColor="text1"/>
          <w:sz w:val="24"/>
          <w:szCs w:val="24"/>
        </w:rPr>
      </w:pPr>
      <w:r w:rsidRPr="003136F9">
        <w:rPr>
          <w:rFonts w:ascii="Arial" w:hAnsi="Arial" w:cs="Arial"/>
          <w:b/>
          <w:color w:val="000000" w:themeColor="text1"/>
          <w:sz w:val="24"/>
          <w:szCs w:val="24"/>
        </w:rPr>
        <w:t>ESCOLA DE CIÊNCIAS MÉCAS, FARMACÊUTICAS E BIOMÉDICAS</w:t>
      </w:r>
    </w:p>
    <w:p w14:paraId="78ED2C58" w14:textId="77777777" w:rsidR="00D24FF9" w:rsidRPr="003136F9" w:rsidRDefault="00D24FF9" w:rsidP="00D50DFB">
      <w:pPr>
        <w:spacing w:after="0" w:line="360" w:lineRule="auto"/>
        <w:jc w:val="center"/>
        <w:rPr>
          <w:rFonts w:ascii="Arial" w:hAnsi="Arial" w:cs="Arial"/>
          <w:b/>
          <w:color w:val="000000" w:themeColor="text1"/>
          <w:sz w:val="24"/>
          <w:szCs w:val="24"/>
        </w:rPr>
      </w:pPr>
      <w:r w:rsidRPr="003136F9">
        <w:rPr>
          <w:rFonts w:ascii="Arial" w:hAnsi="Arial" w:cs="Arial"/>
          <w:b/>
          <w:color w:val="000000" w:themeColor="text1"/>
          <w:sz w:val="24"/>
          <w:szCs w:val="24"/>
        </w:rPr>
        <w:t>CURSO DE MEDICINA</w:t>
      </w:r>
    </w:p>
    <w:p w14:paraId="3DCB2760" w14:textId="77777777" w:rsidR="00D24FF9" w:rsidRPr="003136F9" w:rsidRDefault="00D24FF9" w:rsidP="00D50DFB">
      <w:pPr>
        <w:spacing w:after="0" w:line="360" w:lineRule="auto"/>
        <w:jc w:val="center"/>
        <w:rPr>
          <w:rFonts w:ascii="Arial" w:hAnsi="Arial" w:cs="Arial"/>
          <w:b/>
          <w:color w:val="000000" w:themeColor="text1"/>
          <w:sz w:val="24"/>
          <w:szCs w:val="24"/>
        </w:rPr>
      </w:pPr>
    </w:p>
    <w:p w14:paraId="4ED288CE" w14:textId="77777777" w:rsidR="00236609" w:rsidRPr="003136F9" w:rsidRDefault="00236609" w:rsidP="00D50DFB">
      <w:pPr>
        <w:spacing w:after="0" w:line="360" w:lineRule="auto"/>
        <w:jc w:val="center"/>
        <w:rPr>
          <w:rFonts w:ascii="Arial" w:eastAsia="Times New Roman" w:hAnsi="Arial" w:cs="Arial"/>
          <w:color w:val="000000" w:themeColor="text1"/>
          <w:sz w:val="24"/>
          <w:szCs w:val="24"/>
          <w:lang w:eastAsia="pt-BR"/>
        </w:rPr>
      </w:pPr>
    </w:p>
    <w:p w14:paraId="403B9EF7" w14:textId="77777777" w:rsidR="00236609" w:rsidRPr="003136F9" w:rsidRDefault="00236609" w:rsidP="00D50DFB">
      <w:pPr>
        <w:spacing w:after="0" w:line="360" w:lineRule="auto"/>
        <w:jc w:val="center"/>
        <w:rPr>
          <w:rFonts w:ascii="Arial" w:eastAsia="Times New Roman" w:hAnsi="Arial" w:cs="Arial"/>
          <w:color w:val="000000" w:themeColor="text1"/>
          <w:sz w:val="24"/>
          <w:szCs w:val="24"/>
          <w:lang w:eastAsia="pt-BR"/>
        </w:rPr>
      </w:pPr>
    </w:p>
    <w:p w14:paraId="035C3709" w14:textId="6ABAA86C" w:rsidR="006514A8" w:rsidRPr="003136F9" w:rsidRDefault="0044684B" w:rsidP="0044684B">
      <w:pPr>
        <w:spacing w:after="0" w:line="360" w:lineRule="auto"/>
        <w:jc w:val="center"/>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INVESTIGAÇÃO DE MECANISMOS MOLECULARES DE CANABIN</w:t>
      </w:r>
      <w:r w:rsidR="0085333A">
        <w:rPr>
          <w:rFonts w:ascii="Arial" w:eastAsia="Times New Roman" w:hAnsi="Arial" w:cs="Arial"/>
          <w:color w:val="000000" w:themeColor="text1"/>
          <w:sz w:val="24"/>
          <w:szCs w:val="24"/>
          <w:lang w:eastAsia="pt-BR"/>
        </w:rPr>
        <w:t>O</w:t>
      </w:r>
      <w:r w:rsidRPr="003136F9">
        <w:rPr>
          <w:rFonts w:ascii="Arial" w:eastAsia="Times New Roman" w:hAnsi="Arial" w:cs="Arial"/>
          <w:color w:val="000000" w:themeColor="text1"/>
          <w:sz w:val="24"/>
          <w:szCs w:val="24"/>
          <w:lang w:eastAsia="pt-BR"/>
        </w:rPr>
        <w:t>IDES COM ATIVIDADE DE NEUROMODULADOR</w:t>
      </w:r>
      <w:r w:rsidR="0085333A">
        <w:rPr>
          <w:rFonts w:ascii="Arial" w:eastAsia="Times New Roman" w:hAnsi="Arial" w:cs="Arial"/>
          <w:color w:val="000000" w:themeColor="text1"/>
          <w:sz w:val="24"/>
          <w:szCs w:val="24"/>
          <w:lang w:eastAsia="pt-BR"/>
        </w:rPr>
        <w:t>A</w:t>
      </w:r>
      <w:r w:rsidRPr="003136F9">
        <w:rPr>
          <w:rFonts w:ascii="Arial" w:eastAsia="Times New Roman" w:hAnsi="Arial" w:cs="Arial"/>
          <w:color w:val="000000" w:themeColor="text1"/>
          <w:sz w:val="24"/>
          <w:szCs w:val="24"/>
          <w:lang w:eastAsia="pt-BR"/>
        </w:rPr>
        <w:t xml:space="preserve"> USANDO FERRAMENTAS </w:t>
      </w:r>
      <w:r w:rsidR="00423F89" w:rsidRPr="003136F9">
        <w:rPr>
          <w:rFonts w:ascii="Arial" w:eastAsia="Times New Roman" w:hAnsi="Arial" w:cs="Arial"/>
          <w:color w:val="000000" w:themeColor="text1"/>
          <w:sz w:val="24"/>
          <w:szCs w:val="24"/>
          <w:lang w:eastAsia="pt-BR"/>
        </w:rPr>
        <w:t>IN</w:t>
      </w:r>
      <w:r w:rsidRPr="003136F9">
        <w:rPr>
          <w:rFonts w:ascii="Arial" w:eastAsia="Times New Roman" w:hAnsi="Arial" w:cs="Arial"/>
          <w:color w:val="000000" w:themeColor="text1"/>
          <w:sz w:val="24"/>
          <w:szCs w:val="24"/>
          <w:lang w:eastAsia="pt-BR"/>
        </w:rPr>
        <w:t xml:space="preserve"> S</w:t>
      </w:r>
      <w:r w:rsidR="00423F89" w:rsidRPr="003136F9">
        <w:rPr>
          <w:rFonts w:ascii="Arial" w:eastAsia="Times New Roman" w:hAnsi="Arial" w:cs="Arial"/>
          <w:color w:val="000000" w:themeColor="text1"/>
          <w:sz w:val="24"/>
          <w:szCs w:val="24"/>
          <w:lang w:eastAsia="pt-BR"/>
        </w:rPr>
        <w:t>I</w:t>
      </w:r>
      <w:r w:rsidRPr="003136F9">
        <w:rPr>
          <w:rFonts w:ascii="Arial" w:eastAsia="Times New Roman" w:hAnsi="Arial" w:cs="Arial"/>
          <w:color w:val="000000" w:themeColor="text1"/>
          <w:sz w:val="24"/>
          <w:szCs w:val="24"/>
          <w:lang w:eastAsia="pt-BR"/>
        </w:rPr>
        <w:t>LICO</w:t>
      </w:r>
    </w:p>
    <w:p w14:paraId="44814DE8" w14:textId="77777777" w:rsidR="006514A8" w:rsidRPr="003136F9" w:rsidRDefault="006514A8" w:rsidP="00D50DFB">
      <w:pPr>
        <w:spacing w:after="0" w:line="360" w:lineRule="auto"/>
        <w:rPr>
          <w:rFonts w:ascii="Arial" w:eastAsia="Times New Roman" w:hAnsi="Arial" w:cs="Arial"/>
          <w:color w:val="000000" w:themeColor="text1"/>
          <w:sz w:val="24"/>
          <w:szCs w:val="24"/>
          <w:lang w:eastAsia="pt-BR"/>
        </w:rPr>
      </w:pPr>
    </w:p>
    <w:p w14:paraId="301D53BE" w14:textId="70226495" w:rsidR="006514A8" w:rsidRPr="003136F9" w:rsidRDefault="006514A8" w:rsidP="00D50DFB">
      <w:pPr>
        <w:spacing w:after="0" w:line="360" w:lineRule="auto"/>
        <w:jc w:val="center"/>
        <w:rPr>
          <w:rFonts w:ascii="Arial" w:eastAsia="Times New Roman" w:hAnsi="Arial" w:cs="Arial"/>
          <w:color w:val="000000" w:themeColor="text1"/>
          <w:sz w:val="24"/>
          <w:szCs w:val="24"/>
          <w:lang w:eastAsia="pt-BR"/>
        </w:rPr>
      </w:pPr>
    </w:p>
    <w:p w14:paraId="727989AF" w14:textId="1AD9438B" w:rsidR="006514A8" w:rsidRPr="003136F9" w:rsidRDefault="006514A8" w:rsidP="00D50DFB">
      <w:pPr>
        <w:spacing w:after="0" w:line="360" w:lineRule="auto"/>
        <w:jc w:val="center"/>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ALINE LINS DA SILVA </w:t>
      </w:r>
      <w:r w:rsidR="00466AD8" w:rsidRPr="003136F9">
        <w:rPr>
          <w:rFonts w:ascii="Arial" w:eastAsia="Times New Roman" w:hAnsi="Arial" w:cs="Arial"/>
          <w:color w:val="000000" w:themeColor="text1"/>
          <w:sz w:val="24"/>
          <w:szCs w:val="24"/>
          <w:lang w:eastAsia="pt-BR"/>
        </w:rPr>
        <w:t>&amp; THAIS LINHARES SILVA</w:t>
      </w:r>
    </w:p>
    <w:p w14:paraId="7D35C1EB" w14:textId="1C00E62B" w:rsidR="006A5DE0" w:rsidRPr="003136F9" w:rsidRDefault="006A5DE0" w:rsidP="00D50DFB">
      <w:pPr>
        <w:spacing w:after="0" w:line="360" w:lineRule="auto"/>
        <w:rPr>
          <w:rFonts w:ascii="Arial" w:eastAsia="Times New Roman" w:hAnsi="Arial" w:cs="Arial"/>
          <w:color w:val="000000" w:themeColor="text1"/>
          <w:sz w:val="24"/>
          <w:szCs w:val="24"/>
          <w:lang w:eastAsia="pt-BR"/>
        </w:rPr>
      </w:pPr>
    </w:p>
    <w:p w14:paraId="698ABBB6" w14:textId="0A5028E3"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403D31EE" w14:textId="06B14A69"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5A80548B" w14:textId="08382D65"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6E322772" w14:textId="1520439E"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11CEB9FA" w14:textId="42C15A6D"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0EB6E0B1" w14:textId="18D698A8"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7BAB1AE7" w14:textId="6E3400C2"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5C0E0198" w14:textId="20600C72"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1FCA3E4B" w14:textId="2CC484A9"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0A2210D4" w14:textId="57EC48CA"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1EB15AEE" w14:textId="14FA255E"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5B7856DF" w14:textId="32A98D0B"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2D94A548" w14:textId="3A957D2B" w:rsidR="00466AD8" w:rsidRPr="003136F9" w:rsidRDefault="00466AD8" w:rsidP="00D50DFB">
      <w:pPr>
        <w:spacing w:after="0" w:line="360" w:lineRule="auto"/>
        <w:rPr>
          <w:rFonts w:ascii="Arial" w:eastAsia="Times New Roman" w:hAnsi="Arial" w:cs="Arial"/>
          <w:color w:val="000000" w:themeColor="text1"/>
          <w:sz w:val="24"/>
          <w:szCs w:val="24"/>
          <w:lang w:eastAsia="pt-BR"/>
        </w:rPr>
      </w:pPr>
    </w:p>
    <w:p w14:paraId="1C268CDA" w14:textId="77777777" w:rsidR="0073437C" w:rsidRPr="003136F9" w:rsidRDefault="0073437C" w:rsidP="00D50DFB">
      <w:pPr>
        <w:spacing w:after="0" w:line="360" w:lineRule="auto"/>
        <w:jc w:val="center"/>
        <w:rPr>
          <w:rFonts w:ascii="Arial" w:eastAsia="Times New Roman" w:hAnsi="Arial" w:cs="Arial"/>
          <w:color w:val="000000" w:themeColor="text1"/>
          <w:sz w:val="24"/>
          <w:szCs w:val="24"/>
          <w:lang w:eastAsia="pt-BR"/>
        </w:rPr>
      </w:pPr>
    </w:p>
    <w:p w14:paraId="068E3845" w14:textId="77777777" w:rsidR="0073437C" w:rsidRPr="003136F9" w:rsidRDefault="0073437C" w:rsidP="00D50DFB">
      <w:pPr>
        <w:spacing w:after="0" w:line="360" w:lineRule="auto"/>
        <w:jc w:val="center"/>
        <w:rPr>
          <w:rFonts w:ascii="Arial" w:eastAsia="Times New Roman" w:hAnsi="Arial" w:cs="Arial"/>
          <w:color w:val="000000" w:themeColor="text1"/>
          <w:sz w:val="24"/>
          <w:szCs w:val="24"/>
          <w:lang w:eastAsia="pt-BR"/>
        </w:rPr>
      </w:pPr>
    </w:p>
    <w:p w14:paraId="34500243" w14:textId="77777777" w:rsidR="0073437C" w:rsidRPr="003136F9" w:rsidRDefault="0073437C" w:rsidP="00D50DFB">
      <w:pPr>
        <w:spacing w:after="0" w:line="360" w:lineRule="auto"/>
        <w:jc w:val="center"/>
        <w:rPr>
          <w:rFonts w:ascii="Arial" w:hAnsi="Arial" w:cs="Arial"/>
          <w:b/>
          <w:color w:val="000000" w:themeColor="text1"/>
          <w:sz w:val="24"/>
          <w:szCs w:val="24"/>
        </w:rPr>
      </w:pPr>
      <w:r w:rsidRPr="003136F9">
        <w:rPr>
          <w:rFonts w:ascii="Arial" w:hAnsi="Arial" w:cs="Arial"/>
          <w:b/>
          <w:color w:val="000000" w:themeColor="text1"/>
          <w:sz w:val="24"/>
          <w:szCs w:val="24"/>
        </w:rPr>
        <w:t>GOIÂNIA – GO</w:t>
      </w:r>
    </w:p>
    <w:p w14:paraId="0892CC94" w14:textId="690D0A46" w:rsidR="00466AD8" w:rsidRPr="003136F9" w:rsidRDefault="78BB7069" w:rsidP="00D50DFB">
      <w:pPr>
        <w:spacing w:after="0" w:line="360" w:lineRule="auto"/>
        <w:jc w:val="center"/>
        <w:rPr>
          <w:rFonts w:ascii="Arial" w:hAnsi="Arial" w:cs="Arial"/>
          <w:b/>
          <w:color w:val="000000" w:themeColor="text1"/>
          <w:sz w:val="24"/>
          <w:szCs w:val="24"/>
        </w:rPr>
      </w:pPr>
      <w:r w:rsidRPr="003136F9">
        <w:rPr>
          <w:rFonts w:ascii="Arial" w:hAnsi="Arial" w:cs="Arial"/>
          <w:b/>
          <w:bCs/>
          <w:color w:val="000000" w:themeColor="text1"/>
          <w:sz w:val="24"/>
          <w:szCs w:val="24"/>
        </w:rPr>
        <w:t>2021</w:t>
      </w:r>
    </w:p>
    <w:p w14:paraId="34F88C7D" w14:textId="24A638B6" w:rsidR="78BB7069" w:rsidRPr="003136F9" w:rsidRDefault="78BB7069" w:rsidP="78BB7069">
      <w:pPr>
        <w:spacing w:after="0" w:line="360" w:lineRule="auto"/>
        <w:jc w:val="both"/>
        <w:rPr>
          <w:rFonts w:ascii="Arial" w:eastAsia="Times New Roman" w:hAnsi="Arial" w:cs="Arial"/>
          <w:b/>
          <w:bCs/>
          <w:color w:val="000000" w:themeColor="text1"/>
          <w:sz w:val="24"/>
          <w:szCs w:val="24"/>
          <w:lang w:eastAsia="pt-BR"/>
        </w:rPr>
      </w:pPr>
    </w:p>
    <w:p w14:paraId="333F088D" w14:textId="2E204E9C" w:rsidR="78BB7069" w:rsidRPr="003136F9" w:rsidRDefault="78BB7069" w:rsidP="78BB7069">
      <w:pPr>
        <w:spacing w:after="0" w:line="360" w:lineRule="auto"/>
        <w:jc w:val="both"/>
        <w:rPr>
          <w:rFonts w:ascii="Arial" w:eastAsia="Times New Roman" w:hAnsi="Arial" w:cs="Arial"/>
          <w:b/>
          <w:bCs/>
          <w:color w:val="000000" w:themeColor="text1"/>
          <w:sz w:val="24"/>
          <w:szCs w:val="24"/>
          <w:lang w:eastAsia="pt-BR"/>
        </w:rPr>
      </w:pPr>
    </w:p>
    <w:p w14:paraId="6815E595" w14:textId="42D59F24" w:rsidR="78BB7069" w:rsidRPr="003136F9" w:rsidRDefault="78BB7069" w:rsidP="78BB7069">
      <w:pPr>
        <w:spacing w:after="0" w:line="360" w:lineRule="auto"/>
        <w:jc w:val="both"/>
        <w:rPr>
          <w:rFonts w:ascii="Arial" w:eastAsia="Times New Roman" w:hAnsi="Arial" w:cs="Arial"/>
          <w:b/>
          <w:bCs/>
          <w:color w:val="000000" w:themeColor="text1"/>
          <w:sz w:val="24"/>
          <w:szCs w:val="24"/>
          <w:lang w:eastAsia="pt-BR"/>
        </w:rPr>
      </w:pPr>
    </w:p>
    <w:p w14:paraId="6680869A" w14:textId="72F0B1D6" w:rsidR="78BB7069" w:rsidRPr="003136F9" w:rsidRDefault="78BB7069" w:rsidP="78BB7069">
      <w:pPr>
        <w:spacing w:after="0" w:line="360" w:lineRule="auto"/>
        <w:jc w:val="both"/>
        <w:rPr>
          <w:rFonts w:ascii="Arial" w:eastAsia="Times New Roman" w:hAnsi="Arial" w:cs="Arial"/>
          <w:b/>
          <w:bCs/>
          <w:color w:val="000000" w:themeColor="text1"/>
          <w:sz w:val="24"/>
          <w:szCs w:val="24"/>
          <w:lang w:eastAsia="pt-BR"/>
        </w:rPr>
      </w:pPr>
    </w:p>
    <w:p w14:paraId="757FC05C" w14:textId="70A4BBD1" w:rsidR="78BB7069" w:rsidRPr="003136F9" w:rsidRDefault="0044684B" w:rsidP="78BB7069">
      <w:pPr>
        <w:spacing w:after="0" w:line="360" w:lineRule="auto"/>
        <w:jc w:val="both"/>
        <w:rPr>
          <w:rFonts w:ascii="Arial" w:eastAsia="Times New Roman" w:hAnsi="Arial" w:cs="Arial"/>
          <w:b/>
          <w:bCs/>
          <w:i/>
          <w:iCs/>
          <w:color w:val="000000" w:themeColor="text1"/>
          <w:sz w:val="24"/>
          <w:szCs w:val="24"/>
          <w:lang w:eastAsia="pt-BR"/>
        </w:rPr>
      </w:pPr>
      <w:r w:rsidRPr="003136F9">
        <w:rPr>
          <w:rFonts w:ascii="Arial" w:eastAsia="Times New Roman" w:hAnsi="Arial" w:cs="Arial"/>
          <w:b/>
          <w:bCs/>
          <w:i/>
          <w:iCs/>
          <w:color w:val="000000" w:themeColor="text1"/>
          <w:sz w:val="24"/>
          <w:szCs w:val="24"/>
          <w:lang w:eastAsia="pt-BR"/>
        </w:rPr>
        <w:lastRenderedPageBreak/>
        <w:t xml:space="preserve">INVESTIGAÇÃO DE MECANISMOS MOLECULARES DE CANABINÓIDES COM ATIVIDADE DE NEUROMODULADOR USANDO FERRAMENTAS </w:t>
      </w:r>
      <w:r w:rsidR="003136F9" w:rsidRPr="003136F9">
        <w:rPr>
          <w:rFonts w:ascii="Arial" w:eastAsia="Times New Roman" w:hAnsi="Arial" w:cs="Arial"/>
          <w:b/>
          <w:bCs/>
          <w:i/>
          <w:iCs/>
          <w:color w:val="000000" w:themeColor="text1"/>
          <w:sz w:val="24"/>
          <w:szCs w:val="24"/>
          <w:lang w:eastAsia="pt-BR"/>
        </w:rPr>
        <w:t>IN</w:t>
      </w:r>
      <w:r w:rsidRPr="003136F9">
        <w:rPr>
          <w:rFonts w:ascii="Arial" w:eastAsia="Times New Roman" w:hAnsi="Arial" w:cs="Arial"/>
          <w:b/>
          <w:bCs/>
          <w:i/>
          <w:iCs/>
          <w:color w:val="000000" w:themeColor="text1"/>
          <w:sz w:val="24"/>
          <w:szCs w:val="24"/>
          <w:lang w:eastAsia="pt-BR"/>
        </w:rPr>
        <w:t xml:space="preserve"> S</w:t>
      </w:r>
      <w:r w:rsidR="003136F9" w:rsidRPr="003136F9">
        <w:rPr>
          <w:rFonts w:ascii="Arial" w:eastAsia="Times New Roman" w:hAnsi="Arial" w:cs="Arial"/>
          <w:b/>
          <w:bCs/>
          <w:i/>
          <w:iCs/>
          <w:color w:val="000000" w:themeColor="text1"/>
          <w:sz w:val="24"/>
          <w:szCs w:val="24"/>
          <w:lang w:eastAsia="pt-BR"/>
        </w:rPr>
        <w:t>I</w:t>
      </w:r>
      <w:r w:rsidRPr="003136F9">
        <w:rPr>
          <w:rFonts w:ascii="Arial" w:eastAsia="Times New Roman" w:hAnsi="Arial" w:cs="Arial"/>
          <w:b/>
          <w:bCs/>
          <w:i/>
          <w:iCs/>
          <w:color w:val="000000" w:themeColor="text1"/>
          <w:sz w:val="24"/>
          <w:szCs w:val="24"/>
          <w:lang w:eastAsia="pt-BR"/>
        </w:rPr>
        <w:t>LICO</w:t>
      </w:r>
    </w:p>
    <w:p w14:paraId="345A3E7A" w14:textId="7DB46147" w:rsidR="78BB7069" w:rsidRPr="003136F9" w:rsidRDefault="78BB7069" w:rsidP="78BB7069">
      <w:pPr>
        <w:spacing w:after="0" w:line="360" w:lineRule="auto"/>
        <w:jc w:val="both"/>
        <w:rPr>
          <w:rFonts w:ascii="Arial" w:hAnsi="Arial" w:cs="Arial"/>
          <w:b/>
          <w:bCs/>
          <w:i/>
          <w:iCs/>
          <w:color w:val="000000" w:themeColor="text1"/>
          <w:sz w:val="24"/>
          <w:szCs w:val="24"/>
        </w:rPr>
      </w:pPr>
    </w:p>
    <w:p w14:paraId="4C2F14CD" w14:textId="77777777" w:rsidR="0044684B" w:rsidRPr="003136F9" w:rsidRDefault="0044684B" w:rsidP="78BB7069">
      <w:pPr>
        <w:spacing w:after="0" w:line="360" w:lineRule="auto"/>
        <w:jc w:val="both"/>
        <w:rPr>
          <w:rFonts w:ascii="Arial" w:hAnsi="Arial" w:cs="Arial"/>
          <w:b/>
          <w:bCs/>
          <w:i/>
          <w:iCs/>
          <w:color w:val="000000" w:themeColor="text1"/>
          <w:sz w:val="24"/>
          <w:szCs w:val="24"/>
        </w:rPr>
      </w:pPr>
    </w:p>
    <w:p w14:paraId="2488A28C" w14:textId="6901541B" w:rsidR="004F3B31" w:rsidRPr="003136F9" w:rsidRDefault="004F3B31" w:rsidP="00D50DFB">
      <w:pPr>
        <w:spacing w:after="0" w:line="360" w:lineRule="auto"/>
        <w:jc w:val="both"/>
        <w:rPr>
          <w:rFonts w:ascii="Arial" w:hAnsi="Arial" w:cs="Arial"/>
          <w:b/>
          <w:color w:val="000000" w:themeColor="text1"/>
          <w:sz w:val="24"/>
          <w:szCs w:val="24"/>
        </w:rPr>
      </w:pPr>
      <w:r w:rsidRPr="003136F9">
        <w:rPr>
          <w:rFonts w:ascii="Arial" w:hAnsi="Arial" w:cs="Arial"/>
          <w:b/>
          <w:color w:val="000000" w:themeColor="text1"/>
          <w:sz w:val="24"/>
          <w:szCs w:val="24"/>
        </w:rPr>
        <w:t>Aline Lins da Silva, Thais Linhares Silva &amp; Leonardo Luiz Borges</w:t>
      </w:r>
    </w:p>
    <w:p w14:paraId="08815A0D" w14:textId="3A40BBC8" w:rsidR="00466AD8" w:rsidRPr="003136F9" w:rsidRDefault="004F3B31" w:rsidP="00D50DFB">
      <w:pPr>
        <w:spacing w:after="0" w:line="360" w:lineRule="auto"/>
        <w:jc w:val="both"/>
        <w:rPr>
          <w:rFonts w:ascii="Arial" w:hAnsi="Arial" w:cs="Arial"/>
          <w:bCs/>
          <w:i/>
          <w:color w:val="000000" w:themeColor="text1"/>
          <w:sz w:val="24"/>
          <w:szCs w:val="24"/>
        </w:rPr>
      </w:pPr>
      <w:r w:rsidRPr="003136F9">
        <w:rPr>
          <w:rFonts w:ascii="Arial" w:hAnsi="Arial" w:cs="Arial"/>
          <w:bCs/>
          <w:i/>
          <w:color w:val="000000" w:themeColor="text1"/>
          <w:sz w:val="24"/>
          <w:szCs w:val="24"/>
        </w:rPr>
        <w:t>Escola de Ciências Médicas, Farmacêuticas e Biomédicas, Pontifícia Universidade Católica de Goiás, Goiânia, Goiás, Brasil.</w:t>
      </w:r>
    </w:p>
    <w:p w14:paraId="6070B1E9" w14:textId="77777777" w:rsidR="0044684B" w:rsidRPr="003136F9" w:rsidRDefault="0044684B" w:rsidP="00D50DFB">
      <w:pPr>
        <w:spacing w:after="0" w:line="360" w:lineRule="auto"/>
        <w:jc w:val="both"/>
        <w:rPr>
          <w:rFonts w:ascii="Arial" w:hAnsi="Arial" w:cs="Arial"/>
          <w:bCs/>
          <w:i/>
          <w:color w:val="000000" w:themeColor="text1"/>
          <w:sz w:val="24"/>
          <w:szCs w:val="24"/>
        </w:rPr>
      </w:pPr>
    </w:p>
    <w:p w14:paraId="2735B13D" w14:textId="77777777" w:rsidR="0044684B" w:rsidRPr="003136F9" w:rsidRDefault="0044684B" w:rsidP="0044684B">
      <w:pPr>
        <w:spacing w:after="0" w:line="360" w:lineRule="auto"/>
        <w:rPr>
          <w:rFonts w:ascii="Arial" w:eastAsia="Times New Roman" w:hAnsi="Arial" w:cs="Arial"/>
          <w:b/>
          <w:bCs/>
          <w:color w:val="000000" w:themeColor="text1"/>
          <w:sz w:val="24"/>
          <w:szCs w:val="24"/>
          <w:lang w:eastAsia="pt-BR"/>
        </w:rPr>
      </w:pPr>
      <w:r w:rsidRPr="003136F9">
        <w:rPr>
          <w:rFonts w:ascii="Arial" w:eastAsia="Times New Roman" w:hAnsi="Arial" w:cs="Arial"/>
          <w:b/>
          <w:bCs/>
          <w:color w:val="000000" w:themeColor="text1"/>
          <w:sz w:val="24"/>
          <w:szCs w:val="24"/>
          <w:lang w:eastAsia="pt-BR"/>
        </w:rPr>
        <w:t>Resumo:</w:t>
      </w:r>
    </w:p>
    <w:p w14:paraId="51DD2C6D" w14:textId="77777777" w:rsidR="0044684B" w:rsidRPr="003136F9" w:rsidRDefault="0044684B" w:rsidP="0044684B">
      <w:pPr>
        <w:spacing w:after="0" w:line="360" w:lineRule="auto"/>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 </w:t>
      </w:r>
    </w:p>
    <w:p w14:paraId="2CFE4570" w14:textId="454D1C3A" w:rsidR="0044684B" w:rsidRPr="003136F9" w:rsidRDefault="0044684B" w:rsidP="00285F4B">
      <w:pPr>
        <w:spacing w:after="0" w:line="360" w:lineRule="auto"/>
        <w:jc w:val="both"/>
        <w:rPr>
          <w:rFonts w:ascii="Arial" w:eastAsia="Times New Roman" w:hAnsi="Arial" w:cs="Arial"/>
          <w:color w:val="000000" w:themeColor="text1"/>
          <w:sz w:val="24"/>
          <w:szCs w:val="24"/>
          <w:lang w:eastAsia="pt-BR"/>
        </w:rPr>
      </w:pPr>
      <w:r w:rsidRPr="003136F9">
        <w:rPr>
          <w:rFonts w:ascii="Arial" w:eastAsia="Times New Roman" w:hAnsi="Arial" w:cs="Arial"/>
          <w:b/>
          <w:bCs/>
          <w:color w:val="000000" w:themeColor="text1"/>
          <w:sz w:val="24"/>
          <w:szCs w:val="24"/>
          <w:lang w:eastAsia="pt-BR"/>
        </w:rPr>
        <w:t>Objetivo</w:t>
      </w:r>
      <w:r w:rsidRPr="003136F9">
        <w:rPr>
          <w:rFonts w:ascii="Arial" w:eastAsia="Times New Roman" w:hAnsi="Arial" w:cs="Arial"/>
          <w:color w:val="000000" w:themeColor="text1"/>
          <w:sz w:val="24"/>
          <w:szCs w:val="24"/>
          <w:lang w:eastAsia="pt-BR"/>
        </w:rPr>
        <w:t xml:space="preserve">: Este trabalho visa complementar as investigações dos mecanismos moleculares dos </w:t>
      </w:r>
      <w:proofErr w:type="spellStart"/>
      <w:r w:rsidRPr="003136F9">
        <w:rPr>
          <w:rFonts w:ascii="Arial" w:eastAsia="Times New Roman" w:hAnsi="Arial" w:cs="Arial"/>
          <w:color w:val="000000" w:themeColor="text1"/>
          <w:sz w:val="24"/>
          <w:szCs w:val="24"/>
          <w:lang w:eastAsia="pt-BR"/>
        </w:rPr>
        <w:t>canabinóides</w:t>
      </w:r>
      <w:proofErr w:type="spellEnd"/>
      <w:r w:rsidRPr="003136F9">
        <w:rPr>
          <w:rFonts w:ascii="Arial" w:eastAsia="Times New Roman" w:hAnsi="Arial" w:cs="Arial"/>
          <w:color w:val="000000" w:themeColor="text1"/>
          <w:sz w:val="24"/>
          <w:szCs w:val="24"/>
          <w:lang w:eastAsia="pt-BR"/>
        </w:rPr>
        <w:t xml:space="preserve"> e seus receptores, elucidando alvos moleculares que explicam o efeito dos compostos químicos presentes na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na neuromodulação central, através de métodos </w:t>
      </w:r>
      <w:r w:rsidRPr="003136F9">
        <w:rPr>
          <w:rFonts w:ascii="Arial" w:eastAsia="Times New Roman" w:hAnsi="Arial" w:cs="Arial"/>
          <w:i/>
          <w:iCs/>
          <w:color w:val="000000" w:themeColor="text1"/>
          <w:sz w:val="24"/>
          <w:szCs w:val="24"/>
          <w:lang w:eastAsia="pt-BR"/>
        </w:rPr>
        <w:t xml:space="preserve">in </w:t>
      </w:r>
      <w:proofErr w:type="spellStart"/>
      <w:r w:rsidRPr="003136F9">
        <w:rPr>
          <w:rFonts w:ascii="Arial" w:eastAsia="Times New Roman" w:hAnsi="Arial" w:cs="Arial"/>
          <w:i/>
          <w:iCs/>
          <w:color w:val="000000" w:themeColor="text1"/>
          <w:sz w:val="24"/>
          <w:szCs w:val="24"/>
          <w:lang w:eastAsia="pt-BR"/>
        </w:rPr>
        <w:t>silico</w:t>
      </w:r>
      <w:proofErr w:type="spellEnd"/>
      <w:r w:rsidRPr="003136F9">
        <w:rPr>
          <w:rFonts w:ascii="Arial" w:eastAsia="Times New Roman" w:hAnsi="Arial" w:cs="Arial"/>
          <w:color w:val="000000" w:themeColor="text1"/>
          <w:sz w:val="24"/>
          <w:szCs w:val="24"/>
          <w:lang w:eastAsia="pt-BR"/>
        </w:rPr>
        <w:t xml:space="preserve">. </w:t>
      </w:r>
      <w:r w:rsidRPr="003136F9">
        <w:rPr>
          <w:rFonts w:ascii="Arial" w:eastAsia="Times New Roman" w:hAnsi="Arial" w:cs="Arial"/>
          <w:b/>
          <w:bCs/>
          <w:color w:val="000000" w:themeColor="text1"/>
          <w:sz w:val="24"/>
          <w:szCs w:val="24"/>
          <w:lang w:eastAsia="pt-BR"/>
        </w:rPr>
        <w:t>Métodos</w:t>
      </w:r>
      <w:r w:rsidRPr="003136F9">
        <w:rPr>
          <w:rFonts w:ascii="Arial" w:eastAsia="Times New Roman" w:hAnsi="Arial" w:cs="Arial"/>
          <w:color w:val="000000" w:themeColor="text1"/>
          <w:sz w:val="24"/>
          <w:szCs w:val="24"/>
          <w:lang w:eastAsia="pt-BR"/>
        </w:rPr>
        <w:t xml:space="preserve">: Os metabólitos da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foram coletados </w:t>
      </w:r>
      <w:proofErr w:type="spellStart"/>
      <w:r w:rsidRPr="003136F9">
        <w:rPr>
          <w:rFonts w:ascii="Arial" w:eastAsia="Times New Roman" w:hAnsi="Arial" w:cs="Arial"/>
          <w:color w:val="000000" w:themeColor="text1"/>
          <w:sz w:val="24"/>
          <w:szCs w:val="24"/>
          <w:lang w:eastAsia="pt-BR"/>
        </w:rPr>
        <w:t>bibliográficamente</w:t>
      </w:r>
      <w:proofErr w:type="spellEnd"/>
      <w:r w:rsidRPr="003136F9">
        <w:rPr>
          <w:rFonts w:ascii="Arial" w:eastAsia="Times New Roman" w:hAnsi="Arial" w:cs="Arial"/>
          <w:color w:val="000000" w:themeColor="text1"/>
          <w:sz w:val="24"/>
          <w:szCs w:val="24"/>
          <w:lang w:eastAsia="pt-BR"/>
        </w:rPr>
        <w:t xml:space="preserve"> e a codificação das moléculas para realizar as predições foi obtida no site </w:t>
      </w:r>
      <w:proofErr w:type="spellStart"/>
      <w:r w:rsidRPr="003136F9">
        <w:rPr>
          <w:rFonts w:ascii="Arial" w:eastAsia="Times New Roman" w:hAnsi="Arial" w:cs="Arial"/>
          <w:color w:val="000000" w:themeColor="text1"/>
          <w:sz w:val="24"/>
          <w:szCs w:val="24"/>
          <w:lang w:eastAsia="pt-BR"/>
        </w:rPr>
        <w:t>Pubchem</w:t>
      </w:r>
      <w:proofErr w:type="spellEnd"/>
      <w:r w:rsidRPr="003136F9">
        <w:rPr>
          <w:rFonts w:ascii="Arial" w:eastAsia="Times New Roman" w:hAnsi="Arial" w:cs="Arial"/>
          <w:color w:val="000000" w:themeColor="text1"/>
          <w:sz w:val="24"/>
          <w:szCs w:val="24"/>
          <w:lang w:eastAsia="pt-BR"/>
        </w:rPr>
        <w:t xml:space="preserve">. A triagem de </w:t>
      </w:r>
      <w:proofErr w:type="spellStart"/>
      <w:r w:rsidRPr="003136F9">
        <w:rPr>
          <w:rFonts w:ascii="Arial" w:eastAsia="Times New Roman" w:hAnsi="Arial" w:cs="Arial"/>
          <w:color w:val="000000" w:themeColor="text1"/>
          <w:sz w:val="24"/>
          <w:szCs w:val="24"/>
          <w:lang w:eastAsia="pt-BR"/>
        </w:rPr>
        <w:t>bioatividade</w:t>
      </w:r>
      <w:proofErr w:type="spellEnd"/>
      <w:r w:rsidRPr="003136F9">
        <w:rPr>
          <w:rFonts w:ascii="Arial" w:eastAsia="Times New Roman" w:hAnsi="Arial" w:cs="Arial"/>
          <w:color w:val="000000" w:themeColor="text1"/>
          <w:sz w:val="24"/>
          <w:szCs w:val="24"/>
          <w:lang w:eastAsia="pt-BR"/>
        </w:rPr>
        <w:t xml:space="preserve"> foi então realizada com os programas </w:t>
      </w:r>
      <w:proofErr w:type="spellStart"/>
      <w:r w:rsidRPr="003136F9">
        <w:rPr>
          <w:rFonts w:ascii="Arial" w:eastAsia="Times New Roman" w:hAnsi="Arial" w:cs="Arial"/>
          <w:color w:val="000000" w:themeColor="text1"/>
          <w:sz w:val="24"/>
          <w:szCs w:val="24"/>
          <w:lang w:eastAsia="pt-BR"/>
        </w:rPr>
        <w:t>SwissADME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ProToxII</w:t>
      </w:r>
      <w:proofErr w:type="spellEnd"/>
      <w:r w:rsidRPr="003136F9">
        <w:rPr>
          <w:rFonts w:ascii="Arial" w:eastAsia="Times New Roman" w:hAnsi="Arial" w:cs="Arial"/>
          <w:color w:val="000000" w:themeColor="text1"/>
          <w:sz w:val="24"/>
          <w:szCs w:val="24"/>
          <w:lang w:eastAsia="pt-BR"/>
        </w:rPr>
        <w:t xml:space="preserve">, PASS e </w:t>
      </w:r>
      <w:proofErr w:type="spellStart"/>
      <w:r w:rsidRPr="003136F9">
        <w:rPr>
          <w:rFonts w:ascii="Arial" w:eastAsia="Times New Roman" w:hAnsi="Arial" w:cs="Arial"/>
          <w:color w:val="000000" w:themeColor="text1"/>
          <w:sz w:val="24"/>
          <w:szCs w:val="24"/>
          <w:lang w:eastAsia="pt-BR"/>
        </w:rPr>
        <w:t>Molinspiration</w:t>
      </w:r>
      <w:proofErr w:type="spellEnd"/>
      <w:r w:rsidRPr="003136F9">
        <w:rPr>
          <w:rFonts w:ascii="Arial" w:eastAsia="Times New Roman" w:hAnsi="Arial" w:cs="Arial"/>
          <w:color w:val="000000" w:themeColor="text1"/>
          <w:sz w:val="24"/>
          <w:szCs w:val="24"/>
          <w:lang w:eastAsia="pt-BR"/>
        </w:rPr>
        <w:t xml:space="preserve"> e a busca de alvos com servidores </w:t>
      </w:r>
      <w:proofErr w:type="spellStart"/>
      <w:r w:rsidRPr="003136F9">
        <w:rPr>
          <w:rFonts w:ascii="Arial" w:eastAsia="Times New Roman" w:hAnsi="Arial" w:cs="Arial"/>
          <w:color w:val="000000" w:themeColor="text1"/>
          <w:sz w:val="24"/>
          <w:szCs w:val="24"/>
          <w:lang w:eastAsia="pt-BR"/>
        </w:rPr>
        <w:t>SuperPred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Webserver</w:t>
      </w:r>
      <w:proofErr w:type="spellEnd"/>
      <w:r w:rsidRPr="003136F9">
        <w:rPr>
          <w:rFonts w:ascii="Arial" w:eastAsia="Times New Roman" w:hAnsi="Arial" w:cs="Arial"/>
          <w:color w:val="000000" w:themeColor="text1"/>
          <w:sz w:val="24"/>
          <w:szCs w:val="24"/>
          <w:lang w:eastAsia="pt-BR"/>
        </w:rPr>
        <w:t xml:space="preserve">. Após a identificação do alvo, a estrutura selecionada foi obtida do site </w:t>
      </w:r>
      <w:proofErr w:type="spellStart"/>
      <w:r w:rsidRPr="003136F9">
        <w:rPr>
          <w:rFonts w:ascii="Arial" w:eastAsia="Times New Roman" w:hAnsi="Arial" w:cs="Arial"/>
          <w:color w:val="000000" w:themeColor="text1"/>
          <w:sz w:val="24"/>
          <w:szCs w:val="24"/>
          <w:lang w:eastAsia="pt-BR"/>
        </w:rPr>
        <w:t>Protein</w:t>
      </w:r>
      <w:proofErr w:type="spellEnd"/>
      <w:r w:rsidRPr="003136F9">
        <w:rPr>
          <w:rFonts w:ascii="Arial" w:eastAsia="Times New Roman" w:hAnsi="Arial" w:cs="Arial"/>
          <w:color w:val="000000" w:themeColor="text1"/>
          <w:sz w:val="24"/>
          <w:szCs w:val="24"/>
          <w:lang w:eastAsia="pt-BR"/>
        </w:rPr>
        <w:t xml:space="preserve"> Data Bank (PDB) para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molecular com o programa GOLD</w:t>
      </w:r>
      <w:r w:rsidRPr="003136F9">
        <w:rPr>
          <w:rFonts w:ascii="Arial" w:eastAsia="Times New Roman" w:hAnsi="Arial" w:cs="Arial"/>
          <w:b/>
          <w:bCs/>
          <w:color w:val="000000" w:themeColor="text1"/>
          <w:sz w:val="24"/>
          <w:szCs w:val="24"/>
          <w:lang w:eastAsia="pt-BR"/>
        </w:rPr>
        <w:t>. Resultados</w:t>
      </w:r>
      <w:r w:rsidRPr="003136F9">
        <w:rPr>
          <w:rFonts w:ascii="Arial" w:eastAsia="Times New Roman" w:hAnsi="Arial" w:cs="Arial"/>
          <w:color w:val="000000" w:themeColor="text1"/>
          <w:sz w:val="24"/>
          <w:szCs w:val="24"/>
          <w:lang w:eastAsia="pt-BR"/>
        </w:rPr>
        <w:t xml:space="preserve">: Os metabólitos da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tiveram suas propriedades físico-químicas e biológicas analisadas. Os alvos de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molecular foram identificados e verificados para cada composto, com suas respectivas estruturas cristalizadas no </w:t>
      </w:r>
      <w:proofErr w:type="spellStart"/>
      <w:r w:rsidRPr="003136F9">
        <w:rPr>
          <w:rFonts w:ascii="Arial" w:eastAsia="Times New Roman" w:hAnsi="Arial" w:cs="Arial"/>
          <w:color w:val="000000" w:themeColor="text1"/>
          <w:sz w:val="24"/>
          <w:szCs w:val="24"/>
          <w:lang w:eastAsia="pt-BR"/>
        </w:rPr>
        <w:t>Protein</w:t>
      </w:r>
      <w:proofErr w:type="spellEnd"/>
      <w:r w:rsidRPr="003136F9">
        <w:rPr>
          <w:rFonts w:ascii="Arial" w:eastAsia="Times New Roman" w:hAnsi="Arial" w:cs="Arial"/>
          <w:color w:val="000000" w:themeColor="text1"/>
          <w:sz w:val="24"/>
          <w:szCs w:val="24"/>
          <w:lang w:eastAsia="pt-BR"/>
        </w:rPr>
        <w:t xml:space="preserve"> Data Bank (PDB). A molécula de </w:t>
      </w:r>
      <w:proofErr w:type="spellStart"/>
      <w:r w:rsidRPr="003136F9">
        <w:rPr>
          <w:rFonts w:ascii="Arial" w:eastAsia="Times New Roman" w:hAnsi="Arial" w:cs="Arial"/>
          <w:color w:val="000000" w:themeColor="text1"/>
          <w:sz w:val="24"/>
          <w:szCs w:val="24"/>
          <w:lang w:eastAsia="pt-BR"/>
        </w:rPr>
        <w:t>tetrahidrocanabivarina</w:t>
      </w:r>
      <w:proofErr w:type="spellEnd"/>
      <w:r w:rsidRPr="003136F9">
        <w:rPr>
          <w:rFonts w:ascii="Arial" w:eastAsia="Times New Roman" w:hAnsi="Arial" w:cs="Arial"/>
          <w:color w:val="000000" w:themeColor="text1"/>
          <w:sz w:val="24"/>
          <w:szCs w:val="24"/>
          <w:lang w:eastAsia="pt-BR"/>
        </w:rPr>
        <w:t xml:space="preserve"> (THCV) foi selecionada porque previu interação com o receptor de N-</w:t>
      </w:r>
      <w:proofErr w:type="spellStart"/>
      <w:r w:rsidRPr="003136F9">
        <w:rPr>
          <w:rFonts w:ascii="Arial" w:eastAsia="Times New Roman" w:hAnsi="Arial" w:cs="Arial"/>
          <w:color w:val="000000" w:themeColor="text1"/>
          <w:sz w:val="24"/>
          <w:szCs w:val="24"/>
          <w:lang w:eastAsia="pt-BR"/>
        </w:rPr>
        <w:t>araquidonilglicina</w:t>
      </w:r>
      <w:proofErr w:type="spellEnd"/>
      <w:r w:rsidRPr="003136F9">
        <w:rPr>
          <w:rFonts w:ascii="Arial" w:eastAsia="Times New Roman" w:hAnsi="Arial" w:cs="Arial"/>
          <w:color w:val="000000" w:themeColor="text1"/>
          <w:sz w:val="24"/>
          <w:szCs w:val="24"/>
          <w:lang w:eastAsia="pt-BR"/>
        </w:rPr>
        <w:t xml:space="preserve"> (PDB ID: 4UUQ).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revela </w:t>
      </w:r>
      <w:proofErr w:type="gramStart"/>
      <w:r w:rsidRPr="003136F9">
        <w:rPr>
          <w:rFonts w:ascii="Arial" w:eastAsia="Times New Roman" w:hAnsi="Arial" w:cs="Arial"/>
          <w:color w:val="000000" w:themeColor="text1"/>
          <w:sz w:val="24"/>
          <w:szCs w:val="24"/>
          <w:lang w:eastAsia="pt-BR"/>
        </w:rPr>
        <w:t>uma potencial</w:t>
      </w:r>
      <w:proofErr w:type="gramEnd"/>
      <w:r w:rsidRPr="003136F9">
        <w:rPr>
          <w:rFonts w:ascii="Arial" w:eastAsia="Times New Roman" w:hAnsi="Arial" w:cs="Arial"/>
          <w:color w:val="000000" w:themeColor="text1"/>
          <w:sz w:val="24"/>
          <w:szCs w:val="24"/>
          <w:lang w:eastAsia="pt-BR"/>
        </w:rPr>
        <w:t xml:space="preserve"> interação do THCV com o receptor N-</w:t>
      </w:r>
      <w:proofErr w:type="spellStart"/>
      <w:r w:rsidRPr="003136F9">
        <w:rPr>
          <w:rFonts w:ascii="Arial" w:eastAsia="Times New Roman" w:hAnsi="Arial" w:cs="Arial"/>
          <w:color w:val="000000" w:themeColor="text1"/>
          <w:sz w:val="24"/>
          <w:szCs w:val="24"/>
          <w:lang w:eastAsia="pt-BR"/>
        </w:rPr>
        <w:t>araquidonilglicina</w:t>
      </w:r>
      <w:proofErr w:type="spellEnd"/>
      <w:r w:rsidRPr="003136F9">
        <w:rPr>
          <w:rFonts w:ascii="Arial" w:eastAsia="Times New Roman" w:hAnsi="Arial" w:cs="Arial"/>
          <w:color w:val="000000" w:themeColor="text1"/>
          <w:sz w:val="24"/>
          <w:szCs w:val="24"/>
          <w:lang w:eastAsia="pt-BR"/>
        </w:rPr>
        <w:t xml:space="preserve">. Além disso, a estrutura de ligação deste estudo mostrou alinhamento </w:t>
      </w:r>
      <w:proofErr w:type="spellStart"/>
      <w:r w:rsidRPr="003136F9">
        <w:rPr>
          <w:rFonts w:ascii="Arial" w:eastAsia="Times New Roman" w:hAnsi="Arial" w:cs="Arial"/>
          <w:color w:val="000000" w:themeColor="text1"/>
          <w:sz w:val="24"/>
          <w:szCs w:val="24"/>
          <w:lang w:eastAsia="pt-BR"/>
        </w:rPr>
        <w:t>farmacofórico</w:t>
      </w:r>
      <w:proofErr w:type="spellEnd"/>
      <w:r w:rsidRPr="003136F9">
        <w:rPr>
          <w:rFonts w:ascii="Arial" w:eastAsia="Times New Roman" w:hAnsi="Arial" w:cs="Arial"/>
          <w:color w:val="000000" w:themeColor="text1"/>
          <w:sz w:val="24"/>
          <w:szCs w:val="24"/>
          <w:lang w:eastAsia="pt-BR"/>
        </w:rPr>
        <w:t xml:space="preserve"> com as 5 moléculas mais potentes capazes de antagonizar o receptor de </w:t>
      </w:r>
      <w:proofErr w:type="spellStart"/>
      <w:r w:rsidRPr="003136F9">
        <w:rPr>
          <w:rFonts w:ascii="Arial" w:eastAsia="Times New Roman" w:hAnsi="Arial" w:cs="Arial"/>
          <w:color w:val="000000" w:themeColor="text1"/>
          <w:sz w:val="24"/>
          <w:szCs w:val="24"/>
          <w:lang w:eastAsia="pt-BR"/>
        </w:rPr>
        <w:t>monoglicerato</w:t>
      </w:r>
      <w:proofErr w:type="spellEnd"/>
      <w:r w:rsidRPr="003136F9">
        <w:rPr>
          <w:rFonts w:ascii="Arial" w:eastAsia="Times New Roman" w:hAnsi="Arial" w:cs="Arial"/>
          <w:color w:val="000000" w:themeColor="text1"/>
          <w:sz w:val="24"/>
          <w:szCs w:val="24"/>
          <w:lang w:eastAsia="pt-BR"/>
        </w:rPr>
        <w:t xml:space="preserve"> lipase. </w:t>
      </w:r>
      <w:r w:rsidRPr="003136F9">
        <w:rPr>
          <w:rFonts w:ascii="Arial" w:eastAsia="Times New Roman" w:hAnsi="Arial" w:cs="Arial"/>
          <w:b/>
          <w:bCs/>
          <w:color w:val="000000" w:themeColor="text1"/>
          <w:sz w:val="24"/>
          <w:szCs w:val="24"/>
          <w:lang w:eastAsia="pt-BR"/>
        </w:rPr>
        <w:t>Conclusão</w:t>
      </w:r>
      <w:r w:rsidRPr="003136F9">
        <w:rPr>
          <w:rFonts w:ascii="Arial" w:eastAsia="Times New Roman" w:hAnsi="Arial" w:cs="Arial"/>
          <w:color w:val="000000" w:themeColor="text1"/>
          <w:sz w:val="24"/>
          <w:szCs w:val="24"/>
          <w:lang w:eastAsia="pt-BR"/>
        </w:rPr>
        <w:t xml:space="preserve">: O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do TCHV mostrou ancoragem desta molécula no sítio ativo do receptor N-</w:t>
      </w:r>
      <w:proofErr w:type="spellStart"/>
      <w:r w:rsidRPr="003136F9">
        <w:rPr>
          <w:rFonts w:ascii="Arial" w:eastAsia="Times New Roman" w:hAnsi="Arial" w:cs="Arial"/>
          <w:color w:val="000000" w:themeColor="text1"/>
          <w:sz w:val="24"/>
          <w:szCs w:val="24"/>
          <w:lang w:eastAsia="pt-BR"/>
        </w:rPr>
        <w:t>araquidonilglicina</w:t>
      </w:r>
      <w:proofErr w:type="spellEnd"/>
      <w:r w:rsidRPr="003136F9">
        <w:rPr>
          <w:rFonts w:ascii="Arial" w:eastAsia="Times New Roman" w:hAnsi="Arial" w:cs="Arial"/>
          <w:color w:val="000000" w:themeColor="text1"/>
          <w:sz w:val="24"/>
          <w:szCs w:val="24"/>
          <w:lang w:eastAsia="pt-BR"/>
        </w:rPr>
        <w:t xml:space="preserve"> devido às atividades desta espécie, portanto, este marcador poderia atuar como um antagonista desse receptor, comportando-se como um metabólito ativo com atividade </w:t>
      </w:r>
      <w:proofErr w:type="spellStart"/>
      <w:r w:rsidRPr="003136F9">
        <w:rPr>
          <w:rFonts w:ascii="Arial" w:eastAsia="Times New Roman" w:hAnsi="Arial" w:cs="Arial"/>
          <w:color w:val="000000" w:themeColor="text1"/>
          <w:sz w:val="24"/>
          <w:szCs w:val="24"/>
          <w:lang w:eastAsia="pt-BR"/>
        </w:rPr>
        <w:t>neuromodulatória</w:t>
      </w:r>
      <w:proofErr w:type="spellEnd"/>
      <w:r w:rsidRPr="003136F9">
        <w:rPr>
          <w:rFonts w:ascii="Arial" w:eastAsia="Times New Roman" w:hAnsi="Arial" w:cs="Arial"/>
          <w:color w:val="000000" w:themeColor="text1"/>
          <w:sz w:val="24"/>
          <w:szCs w:val="24"/>
          <w:lang w:eastAsia="pt-BR"/>
        </w:rPr>
        <w:t xml:space="preserve"> através de uma possível </w:t>
      </w:r>
      <w:r w:rsidRPr="003136F9">
        <w:rPr>
          <w:rFonts w:ascii="Arial" w:eastAsia="Times New Roman" w:hAnsi="Arial" w:cs="Arial"/>
          <w:color w:val="000000" w:themeColor="text1"/>
          <w:sz w:val="24"/>
          <w:szCs w:val="24"/>
          <w:lang w:eastAsia="pt-BR"/>
        </w:rPr>
        <w:lastRenderedPageBreak/>
        <w:t xml:space="preserve">alteração da atividade </w:t>
      </w:r>
      <w:proofErr w:type="spellStart"/>
      <w:r w:rsidRPr="003136F9">
        <w:rPr>
          <w:rFonts w:ascii="Arial" w:eastAsia="Times New Roman" w:hAnsi="Arial" w:cs="Arial"/>
          <w:color w:val="000000" w:themeColor="text1"/>
          <w:sz w:val="24"/>
          <w:szCs w:val="24"/>
          <w:lang w:eastAsia="pt-BR"/>
        </w:rPr>
        <w:t>microglial</w:t>
      </w:r>
      <w:proofErr w:type="spellEnd"/>
      <w:r w:rsidRPr="003136F9">
        <w:rPr>
          <w:rFonts w:ascii="Arial" w:eastAsia="Times New Roman" w:hAnsi="Arial" w:cs="Arial"/>
          <w:color w:val="000000" w:themeColor="text1"/>
          <w:sz w:val="24"/>
          <w:szCs w:val="24"/>
          <w:lang w:eastAsia="pt-BR"/>
        </w:rPr>
        <w:t xml:space="preserve"> no sistema nervoso central, que pode atuar como agente terapêutico em patologias neurodegenerativas.</w:t>
      </w:r>
    </w:p>
    <w:p w14:paraId="31BAAC7C" w14:textId="77777777" w:rsidR="0044684B" w:rsidRPr="003136F9" w:rsidRDefault="0044684B" w:rsidP="0044684B">
      <w:pPr>
        <w:spacing w:after="0" w:line="360" w:lineRule="auto"/>
        <w:rPr>
          <w:rFonts w:ascii="Arial" w:eastAsia="Times New Roman" w:hAnsi="Arial" w:cs="Arial"/>
          <w:color w:val="000000" w:themeColor="text1"/>
          <w:sz w:val="24"/>
          <w:szCs w:val="24"/>
          <w:lang w:eastAsia="pt-BR"/>
        </w:rPr>
      </w:pPr>
    </w:p>
    <w:p w14:paraId="72006C2F" w14:textId="6177DFDF" w:rsidR="00466AD8" w:rsidRPr="003136F9" w:rsidRDefault="0044684B" w:rsidP="0044684B">
      <w:pPr>
        <w:spacing w:after="0" w:line="360" w:lineRule="auto"/>
        <w:rPr>
          <w:rFonts w:ascii="Arial" w:eastAsia="Times New Roman" w:hAnsi="Arial" w:cs="Arial"/>
          <w:color w:val="000000" w:themeColor="text1"/>
          <w:sz w:val="24"/>
          <w:szCs w:val="24"/>
          <w:lang w:eastAsia="pt-BR"/>
        </w:rPr>
      </w:pPr>
      <w:r w:rsidRPr="003136F9">
        <w:rPr>
          <w:rFonts w:ascii="Arial" w:eastAsia="Times New Roman" w:hAnsi="Arial" w:cs="Arial"/>
          <w:b/>
          <w:bCs/>
          <w:color w:val="000000" w:themeColor="text1"/>
          <w:sz w:val="24"/>
          <w:szCs w:val="24"/>
          <w:lang w:eastAsia="pt-BR"/>
        </w:rPr>
        <w:t>Palavras-chave</w:t>
      </w:r>
      <w:r w:rsidRPr="003136F9">
        <w:rPr>
          <w:rFonts w:ascii="Arial" w:eastAsia="Times New Roman" w:hAnsi="Arial" w:cs="Arial"/>
          <w:color w:val="000000" w:themeColor="text1"/>
          <w:sz w:val="24"/>
          <w:szCs w:val="24"/>
          <w:lang w:eastAsia="pt-BR"/>
        </w:rPr>
        <w:t xml:space="preserve">: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sistema nervoso central; </w:t>
      </w:r>
      <w:proofErr w:type="spellStart"/>
      <w:r w:rsidRPr="003136F9">
        <w:rPr>
          <w:rFonts w:ascii="Arial" w:eastAsia="Times New Roman" w:hAnsi="Arial" w:cs="Arial"/>
          <w:color w:val="000000" w:themeColor="text1"/>
          <w:sz w:val="24"/>
          <w:szCs w:val="24"/>
          <w:lang w:eastAsia="pt-BR"/>
        </w:rPr>
        <w:t>Tetrahydrocannabivarin</w:t>
      </w:r>
      <w:proofErr w:type="spellEnd"/>
      <w:r w:rsidRPr="003136F9">
        <w:rPr>
          <w:rFonts w:ascii="Arial" w:eastAsia="Times New Roman" w:hAnsi="Arial" w:cs="Arial"/>
          <w:color w:val="000000" w:themeColor="text1"/>
          <w:sz w:val="24"/>
          <w:szCs w:val="24"/>
          <w:lang w:eastAsia="pt-BR"/>
        </w:rPr>
        <w:t>.</w:t>
      </w:r>
    </w:p>
    <w:p w14:paraId="7D451746" w14:textId="621CB90A" w:rsidR="78BB7069" w:rsidRPr="003136F9" w:rsidRDefault="78BB7069" w:rsidP="78BB7069">
      <w:pPr>
        <w:spacing w:after="0" w:line="360" w:lineRule="auto"/>
        <w:jc w:val="both"/>
        <w:rPr>
          <w:rFonts w:ascii="Arial" w:eastAsia="Times New Roman" w:hAnsi="Arial" w:cs="Arial"/>
          <w:b/>
          <w:bCs/>
          <w:color w:val="000000" w:themeColor="text1"/>
          <w:sz w:val="24"/>
          <w:szCs w:val="24"/>
          <w:lang w:eastAsia="pt-BR"/>
        </w:rPr>
      </w:pPr>
      <w:proofErr w:type="spellStart"/>
      <w:r w:rsidRPr="003136F9">
        <w:rPr>
          <w:rFonts w:ascii="Arial" w:eastAsia="Times New Roman" w:hAnsi="Arial" w:cs="Arial"/>
          <w:b/>
          <w:bCs/>
          <w:color w:val="000000" w:themeColor="text1"/>
          <w:sz w:val="24"/>
          <w:szCs w:val="24"/>
          <w:lang w:eastAsia="pt-BR"/>
        </w:rPr>
        <w:t>Summary</w:t>
      </w:r>
      <w:proofErr w:type="spellEnd"/>
      <w:r w:rsidRPr="003136F9">
        <w:rPr>
          <w:rFonts w:ascii="Arial" w:eastAsia="Times New Roman" w:hAnsi="Arial" w:cs="Arial"/>
          <w:b/>
          <w:bCs/>
          <w:color w:val="000000" w:themeColor="text1"/>
          <w:sz w:val="24"/>
          <w:szCs w:val="24"/>
          <w:lang w:eastAsia="pt-BR"/>
        </w:rPr>
        <w:t>:</w:t>
      </w:r>
    </w:p>
    <w:p w14:paraId="53AF0E2F" w14:textId="4CC1C523" w:rsidR="78BB7069" w:rsidRPr="003136F9" w:rsidRDefault="78BB7069" w:rsidP="78BB7069">
      <w:pPr>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b/>
          <w:bCs/>
          <w:color w:val="000000" w:themeColor="text1"/>
          <w:sz w:val="24"/>
          <w:szCs w:val="24"/>
          <w:lang w:eastAsia="pt-BR"/>
        </w:rPr>
        <w:t xml:space="preserve"> </w:t>
      </w:r>
    </w:p>
    <w:p w14:paraId="21CBB207" w14:textId="2948707A" w:rsidR="78BB7069" w:rsidRPr="003136F9" w:rsidRDefault="78BB7069" w:rsidP="78BB7069">
      <w:pPr>
        <w:spacing w:after="0" w:line="360" w:lineRule="auto"/>
        <w:jc w:val="both"/>
        <w:rPr>
          <w:rFonts w:ascii="Arial" w:eastAsia="Times New Roman" w:hAnsi="Arial" w:cs="Arial"/>
          <w:color w:val="000000" w:themeColor="text1"/>
          <w:sz w:val="24"/>
          <w:szCs w:val="24"/>
          <w:lang w:eastAsia="pt-BR"/>
        </w:rPr>
      </w:pPr>
      <w:proofErr w:type="spellStart"/>
      <w:r w:rsidRPr="003136F9">
        <w:rPr>
          <w:rFonts w:ascii="Arial" w:eastAsia="Times New Roman" w:hAnsi="Arial" w:cs="Arial"/>
          <w:b/>
          <w:bCs/>
          <w:color w:val="000000" w:themeColor="text1"/>
          <w:sz w:val="24"/>
          <w:szCs w:val="24"/>
          <w:lang w:eastAsia="pt-BR"/>
        </w:rPr>
        <w:t>Objective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This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work</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aims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to</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complement</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investigations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molecular </w:t>
      </w:r>
      <w:proofErr w:type="spellStart"/>
      <w:r w:rsidRPr="003136F9">
        <w:rPr>
          <w:rFonts w:ascii="Arial" w:eastAsia="Times New Roman" w:hAnsi="Arial" w:cs="Arial"/>
          <w:color w:val="000000" w:themeColor="text1"/>
          <w:sz w:val="24"/>
          <w:szCs w:val="24"/>
          <w:lang w:eastAsia="pt-BR"/>
        </w:rPr>
        <w:t>mechanisms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cannabinoids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their</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receptors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elucidating</w:t>
      </w:r>
      <w:proofErr w:type="spellEnd"/>
      <w:r w:rsidRPr="003136F9">
        <w:rPr>
          <w:rFonts w:ascii="Arial" w:eastAsia="Times New Roman" w:hAnsi="Arial" w:cs="Arial"/>
          <w:color w:val="000000" w:themeColor="text1"/>
          <w:sz w:val="24"/>
          <w:szCs w:val="24"/>
          <w:lang w:eastAsia="pt-BR"/>
        </w:rPr>
        <w:t xml:space="preserve"> molecular targets </w:t>
      </w:r>
      <w:proofErr w:type="spellStart"/>
      <w:r w:rsidRPr="003136F9">
        <w:rPr>
          <w:rFonts w:ascii="Arial" w:eastAsia="Times New Roman" w:hAnsi="Arial" w:cs="Arial"/>
          <w:color w:val="000000" w:themeColor="text1"/>
          <w:sz w:val="24"/>
          <w:szCs w:val="24"/>
          <w:lang w:eastAsia="pt-BR"/>
        </w:rPr>
        <w:t>that</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explain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effect</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chemical</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compounds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present</w:t>
      </w:r>
      <w:proofErr w:type="spellEnd"/>
      <w:r w:rsidRPr="003136F9">
        <w:rPr>
          <w:rFonts w:ascii="Arial" w:eastAsia="Times New Roman" w:hAnsi="Arial" w:cs="Arial"/>
          <w:color w:val="000000" w:themeColor="text1"/>
          <w:sz w:val="24"/>
          <w:szCs w:val="24"/>
          <w:lang w:eastAsia="pt-BR"/>
        </w:rPr>
        <w:t xml:space="preserve"> in </w:t>
      </w:r>
      <w:r w:rsidRPr="003136F9">
        <w:rPr>
          <w:rFonts w:ascii="Arial" w:eastAsia="Times New Roman" w:hAnsi="Arial" w:cs="Arial"/>
          <w:i/>
          <w:iCs/>
          <w:color w:val="000000" w:themeColor="text1"/>
          <w:sz w:val="24"/>
          <w:szCs w:val="24"/>
          <w:lang w:eastAsia="pt-BR"/>
        </w:rPr>
        <w:t xml:space="preserve">Cannabis sativa </w:t>
      </w:r>
      <w:proofErr w:type="spellStart"/>
      <w:r w:rsidRPr="003136F9">
        <w:rPr>
          <w:rFonts w:ascii="Arial" w:eastAsia="Times New Roman" w:hAnsi="Arial" w:cs="Arial"/>
          <w:color w:val="000000" w:themeColor="text1"/>
          <w:sz w:val="24"/>
          <w:szCs w:val="24"/>
          <w:lang w:eastAsia="pt-BR"/>
        </w:rPr>
        <w:t>on</w:t>
      </w:r>
      <w:proofErr w:type="spellEnd"/>
      <w:r w:rsidRPr="003136F9">
        <w:rPr>
          <w:rFonts w:ascii="Arial" w:eastAsia="Times New Roman" w:hAnsi="Arial" w:cs="Arial"/>
          <w:color w:val="000000" w:themeColor="text1"/>
          <w:sz w:val="24"/>
          <w:szCs w:val="24"/>
          <w:lang w:eastAsia="pt-BR"/>
        </w:rPr>
        <w:t xml:space="preserve"> central </w:t>
      </w:r>
      <w:proofErr w:type="spellStart"/>
      <w:r w:rsidRPr="003136F9">
        <w:rPr>
          <w:rFonts w:ascii="Arial" w:eastAsia="Times New Roman" w:hAnsi="Arial" w:cs="Arial"/>
          <w:color w:val="000000" w:themeColor="text1"/>
          <w:sz w:val="24"/>
          <w:szCs w:val="24"/>
          <w:lang w:eastAsia="pt-BR"/>
        </w:rPr>
        <w:t>neuromodulation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through</w:t>
      </w:r>
      <w:proofErr w:type="spellEnd"/>
      <w:r w:rsidRPr="003136F9">
        <w:rPr>
          <w:rFonts w:ascii="Arial" w:eastAsia="Times New Roman" w:hAnsi="Arial" w:cs="Arial"/>
          <w:color w:val="000000" w:themeColor="text1"/>
          <w:sz w:val="24"/>
          <w:szCs w:val="24"/>
          <w:lang w:eastAsia="pt-BR"/>
        </w:rPr>
        <w:t xml:space="preserve"> in </w:t>
      </w:r>
      <w:proofErr w:type="spellStart"/>
      <w:r w:rsidRPr="003136F9">
        <w:rPr>
          <w:rFonts w:ascii="Arial" w:eastAsia="Times New Roman" w:hAnsi="Arial" w:cs="Arial"/>
          <w:color w:val="000000" w:themeColor="text1"/>
          <w:sz w:val="24"/>
          <w:szCs w:val="24"/>
          <w:lang w:eastAsia="pt-BR"/>
        </w:rPr>
        <w:t>silico</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methods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b/>
          <w:bCs/>
          <w:color w:val="000000" w:themeColor="text1"/>
          <w:sz w:val="24"/>
          <w:szCs w:val="24"/>
          <w:lang w:eastAsia="pt-BR"/>
        </w:rPr>
        <w:t>Methods</w:t>
      </w:r>
      <w:proofErr w:type="spellEnd"/>
      <w:r w:rsidRPr="003136F9">
        <w:rPr>
          <w:rFonts w:ascii="Arial" w:eastAsia="Times New Roman" w:hAnsi="Arial" w:cs="Arial"/>
          <w:color w:val="000000" w:themeColor="text1"/>
          <w:sz w:val="24"/>
          <w:szCs w:val="24"/>
          <w:lang w:eastAsia="pt-BR"/>
        </w:rPr>
        <w:t xml:space="preserve">: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metabolites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were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collected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bibliographically</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coding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molecules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to</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perform</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predictions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was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obtained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from</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Pubchem</w:t>
      </w:r>
      <w:proofErr w:type="spellEnd"/>
      <w:r w:rsidRPr="003136F9">
        <w:rPr>
          <w:rFonts w:ascii="Arial" w:eastAsia="Times New Roman" w:hAnsi="Arial" w:cs="Arial"/>
          <w:color w:val="000000" w:themeColor="text1"/>
          <w:sz w:val="24"/>
          <w:szCs w:val="24"/>
          <w:lang w:eastAsia="pt-BR"/>
        </w:rPr>
        <w:t xml:space="preserve"> website. </w:t>
      </w:r>
      <w:proofErr w:type="spellStart"/>
      <w:r w:rsidRPr="003136F9">
        <w:rPr>
          <w:rFonts w:ascii="Arial" w:eastAsia="Times New Roman" w:hAnsi="Arial" w:cs="Arial"/>
          <w:color w:val="000000" w:themeColor="text1"/>
          <w:sz w:val="24"/>
          <w:szCs w:val="24"/>
          <w:lang w:eastAsia="pt-BR"/>
        </w:rPr>
        <w:t>Bioactivity</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screening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was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performed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SwissADME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ProToxII</w:t>
      </w:r>
      <w:proofErr w:type="spellEnd"/>
      <w:r w:rsidRPr="003136F9">
        <w:rPr>
          <w:rFonts w:ascii="Arial" w:eastAsia="Times New Roman" w:hAnsi="Arial" w:cs="Arial"/>
          <w:color w:val="000000" w:themeColor="text1"/>
          <w:sz w:val="24"/>
          <w:szCs w:val="24"/>
          <w:lang w:eastAsia="pt-BR"/>
        </w:rPr>
        <w:t xml:space="preserve">, PASS </w:t>
      </w:r>
      <w:proofErr w:type="spellStart"/>
      <w:r w:rsidRPr="003136F9">
        <w:rPr>
          <w:rFonts w:ascii="Arial" w:eastAsia="Times New Roman" w:hAnsi="Arial" w:cs="Arial"/>
          <w:color w:val="000000" w:themeColor="text1"/>
          <w:sz w:val="24"/>
          <w:szCs w:val="24"/>
          <w:lang w:eastAsia="pt-BR"/>
        </w:rPr>
        <w:t>and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Molinspiration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programs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and</w:t>
      </w:r>
      <w:proofErr w:type="spellEnd"/>
      <w:r w:rsidRPr="003136F9">
        <w:rPr>
          <w:rFonts w:ascii="Arial" w:eastAsia="Times New Roman" w:hAnsi="Arial" w:cs="Arial"/>
          <w:color w:val="000000" w:themeColor="text1"/>
          <w:sz w:val="24"/>
          <w:szCs w:val="24"/>
          <w:lang w:eastAsia="pt-BR"/>
        </w:rPr>
        <w:t xml:space="preserve"> target </w:t>
      </w:r>
      <w:proofErr w:type="spellStart"/>
      <w:r w:rsidRPr="003136F9">
        <w:rPr>
          <w:rFonts w:ascii="Arial" w:eastAsia="Times New Roman" w:hAnsi="Arial" w:cs="Arial"/>
          <w:color w:val="000000" w:themeColor="text1"/>
          <w:sz w:val="24"/>
          <w:szCs w:val="24"/>
          <w:lang w:eastAsia="pt-BR"/>
        </w:rPr>
        <w:t>search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SuperPred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Webserver</w:t>
      </w:r>
      <w:proofErr w:type="spellEnd"/>
      <w:r w:rsidRPr="003136F9">
        <w:rPr>
          <w:rFonts w:ascii="Arial" w:eastAsia="Times New Roman" w:hAnsi="Arial" w:cs="Arial"/>
          <w:color w:val="000000" w:themeColor="text1"/>
          <w:sz w:val="24"/>
          <w:szCs w:val="24"/>
          <w:lang w:eastAsia="pt-BR"/>
        </w:rPr>
        <w:t xml:space="preserve"> </w:t>
      </w:r>
      <w:proofErr w:type="gramStart"/>
      <w:r w:rsidRPr="003136F9">
        <w:rPr>
          <w:rFonts w:ascii="Arial" w:eastAsia="Times New Roman" w:hAnsi="Arial" w:cs="Arial"/>
          <w:color w:val="000000" w:themeColor="text1"/>
          <w:sz w:val="24"/>
          <w:szCs w:val="24"/>
          <w:lang w:eastAsia="pt-BR"/>
        </w:rPr>
        <w:t>servers</w:t>
      </w:r>
      <w:proofErr w:type="gram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After</w:t>
      </w:r>
      <w:proofErr w:type="spellEnd"/>
      <w:r w:rsidRPr="003136F9">
        <w:rPr>
          <w:rFonts w:ascii="Arial" w:eastAsia="Times New Roman" w:hAnsi="Arial" w:cs="Arial"/>
          <w:color w:val="000000" w:themeColor="text1"/>
          <w:sz w:val="24"/>
          <w:szCs w:val="24"/>
          <w:lang w:eastAsia="pt-BR"/>
        </w:rPr>
        <w:t xml:space="preserve"> target </w:t>
      </w:r>
      <w:proofErr w:type="spellStart"/>
      <w:r w:rsidRPr="003136F9">
        <w:rPr>
          <w:rFonts w:ascii="Arial" w:eastAsia="Times New Roman" w:hAnsi="Arial" w:cs="Arial"/>
          <w:color w:val="000000" w:themeColor="text1"/>
          <w:sz w:val="24"/>
          <w:szCs w:val="24"/>
          <w:lang w:eastAsia="pt-BR"/>
        </w:rPr>
        <w:t>identification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selected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structure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was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obtained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from</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Protein</w:t>
      </w:r>
      <w:proofErr w:type="spellEnd"/>
      <w:r w:rsidRPr="003136F9">
        <w:rPr>
          <w:rFonts w:ascii="Arial" w:eastAsia="Times New Roman" w:hAnsi="Arial" w:cs="Arial"/>
          <w:color w:val="000000" w:themeColor="text1"/>
          <w:sz w:val="24"/>
          <w:szCs w:val="24"/>
          <w:lang w:eastAsia="pt-BR"/>
        </w:rPr>
        <w:t xml:space="preserve"> Data Bank (PDB) site for molecular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GOLD </w:t>
      </w:r>
      <w:proofErr w:type="spellStart"/>
      <w:r w:rsidRPr="003136F9">
        <w:rPr>
          <w:rFonts w:ascii="Arial" w:eastAsia="Times New Roman" w:hAnsi="Arial" w:cs="Arial"/>
          <w:color w:val="000000" w:themeColor="text1"/>
          <w:sz w:val="24"/>
          <w:szCs w:val="24"/>
          <w:lang w:eastAsia="pt-BR"/>
        </w:rPr>
        <w:t>program</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b/>
          <w:bCs/>
          <w:color w:val="000000" w:themeColor="text1"/>
          <w:sz w:val="24"/>
          <w:szCs w:val="24"/>
          <w:lang w:eastAsia="pt-BR"/>
        </w:rPr>
        <w:t>Results</w:t>
      </w:r>
      <w:proofErr w:type="spellEnd"/>
      <w:r w:rsidRPr="003136F9">
        <w:rPr>
          <w:rFonts w:ascii="Arial" w:eastAsia="Times New Roman" w:hAnsi="Arial" w:cs="Arial"/>
          <w:b/>
          <w:bCs/>
          <w:color w:val="000000" w:themeColor="text1"/>
          <w:sz w:val="24"/>
          <w:szCs w:val="24"/>
          <w:lang w:eastAsia="pt-BR"/>
        </w:rPr>
        <w:t>:</w:t>
      </w:r>
      <w:r w:rsidRPr="003136F9">
        <w:rPr>
          <w:rFonts w:ascii="Arial" w:eastAsia="Times New Roman" w:hAnsi="Arial" w:cs="Arial"/>
          <w:color w:val="000000" w:themeColor="text1"/>
          <w:sz w:val="24"/>
          <w:szCs w:val="24"/>
          <w:lang w:eastAsia="pt-BR"/>
        </w:rPr>
        <w:t xml:space="preserve">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metabolites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had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their</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physicochemical</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biological</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properties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analyzed</w:t>
      </w:r>
      <w:proofErr w:type="spellEnd"/>
      <w:r w:rsidRPr="003136F9">
        <w:rPr>
          <w:rFonts w:ascii="Arial" w:eastAsia="Times New Roman" w:hAnsi="Arial" w:cs="Arial"/>
          <w:color w:val="000000" w:themeColor="text1"/>
          <w:sz w:val="24"/>
          <w:szCs w:val="24"/>
          <w:lang w:eastAsia="pt-BR"/>
        </w:rPr>
        <w:t xml:space="preserve">. The targets for molecular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were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identified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verified</w:t>
      </w:r>
      <w:proofErr w:type="spellEnd"/>
      <w:r w:rsidRPr="003136F9">
        <w:rPr>
          <w:rFonts w:ascii="Arial" w:eastAsia="Times New Roman" w:hAnsi="Arial" w:cs="Arial"/>
          <w:color w:val="000000" w:themeColor="text1"/>
          <w:sz w:val="24"/>
          <w:szCs w:val="24"/>
          <w:lang w:eastAsia="pt-BR"/>
        </w:rPr>
        <w:t xml:space="preserve"> for </w:t>
      </w:r>
      <w:proofErr w:type="spellStart"/>
      <w:r w:rsidRPr="003136F9">
        <w:rPr>
          <w:rFonts w:ascii="Arial" w:eastAsia="Times New Roman" w:hAnsi="Arial" w:cs="Arial"/>
          <w:color w:val="000000" w:themeColor="text1"/>
          <w:sz w:val="24"/>
          <w:szCs w:val="24"/>
          <w:lang w:eastAsia="pt-BR"/>
        </w:rPr>
        <w:t>each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compound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their</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respective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structures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crystallized</w:t>
      </w:r>
      <w:proofErr w:type="spellEnd"/>
      <w:r w:rsidRPr="003136F9">
        <w:rPr>
          <w:rFonts w:ascii="Arial" w:eastAsia="Times New Roman" w:hAnsi="Arial" w:cs="Arial"/>
          <w:color w:val="000000" w:themeColor="text1"/>
          <w:sz w:val="24"/>
          <w:szCs w:val="24"/>
          <w:lang w:eastAsia="pt-BR"/>
        </w:rPr>
        <w:t xml:space="preserve"> in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Protein</w:t>
      </w:r>
      <w:proofErr w:type="spellEnd"/>
      <w:r w:rsidRPr="003136F9">
        <w:rPr>
          <w:rFonts w:ascii="Arial" w:eastAsia="Times New Roman" w:hAnsi="Arial" w:cs="Arial"/>
          <w:color w:val="000000" w:themeColor="text1"/>
          <w:sz w:val="24"/>
          <w:szCs w:val="24"/>
          <w:lang w:eastAsia="pt-BR"/>
        </w:rPr>
        <w:t xml:space="preserve"> Data Bank (PDB). The </w:t>
      </w:r>
      <w:proofErr w:type="spellStart"/>
      <w:r w:rsidRPr="003136F9">
        <w:rPr>
          <w:rFonts w:ascii="Arial" w:eastAsia="Times New Roman" w:hAnsi="Arial" w:cs="Arial"/>
          <w:color w:val="000000" w:themeColor="text1"/>
          <w:sz w:val="24"/>
          <w:szCs w:val="24"/>
          <w:lang w:eastAsia="pt-BR"/>
        </w:rPr>
        <w:t>tetrahydrocannabivarin</w:t>
      </w:r>
      <w:proofErr w:type="spellEnd"/>
      <w:r w:rsidRPr="003136F9">
        <w:rPr>
          <w:rFonts w:ascii="Arial" w:eastAsia="Times New Roman" w:hAnsi="Arial" w:cs="Arial"/>
          <w:color w:val="000000" w:themeColor="text1"/>
          <w:sz w:val="24"/>
          <w:szCs w:val="24"/>
          <w:lang w:eastAsia="pt-BR"/>
        </w:rPr>
        <w:t xml:space="preserve"> (THCV) </w:t>
      </w:r>
      <w:proofErr w:type="spellStart"/>
      <w:r w:rsidRPr="003136F9">
        <w:rPr>
          <w:rFonts w:ascii="Arial" w:eastAsia="Times New Roman" w:hAnsi="Arial" w:cs="Arial"/>
          <w:color w:val="000000" w:themeColor="text1"/>
          <w:sz w:val="24"/>
          <w:szCs w:val="24"/>
          <w:lang w:eastAsia="pt-BR"/>
        </w:rPr>
        <w:t>molecule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was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selected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because</w:t>
      </w:r>
      <w:proofErr w:type="spellEnd"/>
      <w:r w:rsidRPr="003136F9">
        <w:rPr>
          <w:rFonts w:ascii="Arial" w:eastAsia="Times New Roman" w:hAnsi="Arial" w:cs="Arial"/>
          <w:color w:val="000000" w:themeColor="text1"/>
          <w:sz w:val="24"/>
          <w:szCs w:val="24"/>
          <w:lang w:eastAsia="pt-BR"/>
        </w:rPr>
        <w:t xml:space="preserve"> it </w:t>
      </w:r>
      <w:proofErr w:type="spellStart"/>
      <w:r w:rsidRPr="003136F9">
        <w:rPr>
          <w:rFonts w:ascii="Arial" w:eastAsia="Times New Roman" w:hAnsi="Arial" w:cs="Arial"/>
          <w:color w:val="000000" w:themeColor="text1"/>
          <w:sz w:val="24"/>
          <w:szCs w:val="24"/>
          <w:lang w:eastAsia="pt-BR"/>
        </w:rPr>
        <w:t>predicted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interaction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N-</w:t>
      </w:r>
      <w:proofErr w:type="spellStart"/>
      <w:r w:rsidRPr="003136F9">
        <w:rPr>
          <w:rFonts w:ascii="Arial" w:eastAsia="Times New Roman" w:hAnsi="Arial" w:cs="Arial"/>
          <w:color w:val="000000" w:themeColor="text1"/>
          <w:sz w:val="24"/>
          <w:szCs w:val="24"/>
          <w:lang w:eastAsia="pt-BR"/>
        </w:rPr>
        <w:t>arachidonylglycine</w:t>
      </w:r>
      <w:proofErr w:type="spellEnd"/>
      <w:r w:rsidRPr="003136F9">
        <w:rPr>
          <w:rFonts w:ascii="Arial" w:eastAsia="Times New Roman" w:hAnsi="Arial" w:cs="Arial"/>
          <w:color w:val="000000" w:themeColor="text1"/>
          <w:sz w:val="24"/>
          <w:szCs w:val="24"/>
          <w:lang w:eastAsia="pt-BR"/>
        </w:rPr>
        <w:t xml:space="preserve"> receptor (PDB ID: 4UUQ).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reveals</w:t>
      </w:r>
      <w:proofErr w:type="spellEnd"/>
      <w:r w:rsidRPr="003136F9">
        <w:rPr>
          <w:rFonts w:ascii="Arial" w:eastAsia="Times New Roman" w:hAnsi="Arial" w:cs="Arial"/>
          <w:color w:val="000000" w:themeColor="text1"/>
          <w:sz w:val="24"/>
          <w:szCs w:val="24"/>
          <w:lang w:eastAsia="pt-BR"/>
        </w:rPr>
        <w:t xml:space="preserve"> a </w:t>
      </w:r>
      <w:proofErr w:type="spellStart"/>
      <w:r w:rsidRPr="003136F9">
        <w:rPr>
          <w:rFonts w:ascii="Arial" w:eastAsia="Times New Roman" w:hAnsi="Arial" w:cs="Arial"/>
          <w:color w:val="000000" w:themeColor="text1"/>
          <w:sz w:val="24"/>
          <w:szCs w:val="24"/>
          <w:lang w:eastAsia="pt-BR"/>
        </w:rPr>
        <w:t>potential</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interaction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THCV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N-</w:t>
      </w:r>
      <w:proofErr w:type="spellStart"/>
      <w:r w:rsidRPr="003136F9">
        <w:rPr>
          <w:rFonts w:ascii="Arial" w:eastAsia="Times New Roman" w:hAnsi="Arial" w:cs="Arial"/>
          <w:color w:val="000000" w:themeColor="text1"/>
          <w:sz w:val="24"/>
          <w:szCs w:val="24"/>
          <w:lang w:eastAsia="pt-BR"/>
        </w:rPr>
        <w:t>arachidonylglycine</w:t>
      </w:r>
      <w:proofErr w:type="spellEnd"/>
      <w:r w:rsidRPr="003136F9">
        <w:rPr>
          <w:rFonts w:ascii="Arial" w:eastAsia="Times New Roman" w:hAnsi="Arial" w:cs="Arial"/>
          <w:color w:val="000000" w:themeColor="text1"/>
          <w:sz w:val="24"/>
          <w:szCs w:val="24"/>
          <w:lang w:eastAsia="pt-BR"/>
        </w:rPr>
        <w:t xml:space="preserve"> receptor. </w:t>
      </w:r>
      <w:proofErr w:type="spellStart"/>
      <w:r w:rsidRPr="003136F9">
        <w:rPr>
          <w:rFonts w:ascii="Arial" w:eastAsia="Times New Roman" w:hAnsi="Arial" w:cs="Arial"/>
          <w:color w:val="000000" w:themeColor="text1"/>
          <w:sz w:val="24"/>
          <w:szCs w:val="24"/>
          <w:lang w:eastAsia="pt-BR"/>
        </w:rPr>
        <w:t>Furthermore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binding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structure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this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study</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showed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pharmacophoric</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alignment</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5 </w:t>
      </w:r>
      <w:proofErr w:type="spellStart"/>
      <w:r w:rsidRPr="003136F9">
        <w:rPr>
          <w:rFonts w:ascii="Arial" w:eastAsia="Times New Roman" w:hAnsi="Arial" w:cs="Arial"/>
          <w:color w:val="000000" w:themeColor="text1"/>
          <w:sz w:val="24"/>
          <w:szCs w:val="24"/>
          <w:lang w:eastAsia="pt-BR"/>
        </w:rPr>
        <w:t>most</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potent</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molecules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capable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antagonizing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monoglycerate</w:t>
      </w:r>
      <w:proofErr w:type="spellEnd"/>
      <w:r w:rsidRPr="003136F9">
        <w:rPr>
          <w:rFonts w:ascii="Arial" w:eastAsia="Times New Roman" w:hAnsi="Arial" w:cs="Arial"/>
          <w:color w:val="000000" w:themeColor="text1"/>
          <w:sz w:val="24"/>
          <w:szCs w:val="24"/>
          <w:lang w:eastAsia="pt-BR"/>
        </w:rPr>
        <w:t xml:space="preserve"> lipase receptor. </w:t>
      </w:r>
      <w:proofErr w:type="spellStart"/>
      <w:r w:rsidRPr="003136F9">
        <w:rPr>
          <w:rFonts w:ascii="Arial" w:eastAsia="Times New Roman" w:hAnsi="Arial" w:cs="Arial"/>
          <w:b/>
          <w:bCs/>
          <w:color w:val="000000" w:themeColor="text1"/>
          <w:sz w:val="24"/>
          <w:szCs w:val="24"/>
          <w:lang w:eastAsia="pt-BR"/>
        </w:rPr>
        <w:t>Conclusion</w:t>
      </w:r>
      <w:proofErr w:type="spellEnd"/>
      <w:r w:rsidRPr="003136F9">
        <w:rPr>
          <w:rFonts w:ascii="Arial" w:eastAsia="Times New Roman" w:hAnsi="Arial" w:cs="Arial"/>
          <w:color w:val="000000" w:themeColor="text1"/>
          <w:sz w:val="24"/>
          <w:szCs w:val="24"/>
          <w:lang w:eastAsia="pt-BR"/>
        </w:rPr>
        <w:t xml:space="preserve">: TCHV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showed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anchoring</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this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molecule</w:t>
      </w:r>
      <w:proofErr w:type="spellEnd"/>
      <w:r w:rsidRPr="003136F9">
        <w:rPr>
          <w:rFonts w:ascii="Arial" w:eastAsia="Times New Roman" w:hAnsi="Arial" w:cs="Arial"/>
          <w:color w:val="000000" w:themeColor="text1"/>
          <w:sz w:val="24"/>
          <w:szCs w:val="24"/>
          <w:lang w:eastAsia="pt-BR"/>
        </w:rPr>
        <w:t xml:space="preserve"> in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active</w:t>
      </w:r>
      <w:proofErr w:type="spellEnd"/>
      <w:r w:rsidRPr="003136F9">
        <w:rPr>
          <w:rFonts w:ascii="Arial" w:eastAsia="Times New Roman" w:hAnsi="Arial" w:cs="Arial"/>
          <w:color w:val="000000" w:themeColor="text1"/>
          <w:sz w:val="24"/>
          <w:szCs w:val="24"/>
          <w:lang w:eastAsia="pt-BR"/>
        </w:rPr>
        <w:t xml:space="preserve"> site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N-</w:t>
      </w:r>
      <w:proofErr w:type="spellStart"/>
      <w:r w:rsidRPr="003136F9">
        <w:rPr>
          <w:rFonts w:ascii="Arial" w:eastAsia="Times New Roman" w:hAnsi="Arial" w:cs="Arial"/>
          <w:color w:val="000000" w:themeColor="text1"/>
          <w:sz w:val="24"/>
          <w:szCs w:val="24"/>
          <w:lang w:eastAsia="pt-BR"/>
        </w:rPr>
        <w:t>arachidonylglycine</w:t>
      </w:r>
      <w:proofErr w:type="spellEnd"/>
      <w:r w:rsidRPr="003136F9">
        <w:rPr>
          <w:rFonts w:ascii="Arial" w:eastAsia="Times New Roman" w:hAnsi="Arial" w:cs="Arial"/>
          <w:color w:val="000000" w:themeColor="text1"/>
          <w:sz w:val="24"/>
          <w:szCs w:val="24"/>
          <w:lang w:eastAsia="pt-BR"/>
        </w:rPr>
        <w:t xml:space="preserve"> receptor </w:t>
      </w:r>
      <w:proofErr w:type="spellStart"/>
      <w:r w:rsidRPr="003136F9">
        <w:rPr>
          <w:rFonts w:ascii="Arial" w:eastAsia="Times New Roman" w:hAnsi="Arial" w:cs="Arial"/>
          <w:color w:val="000000" w:themeColor="text1"/>
          <w:sz w:val="24"/>
          <w:szCs w:val="24"/>
          <w:lang w:eastAsia="pt-BR"/>
        </w:rPr>
        <w:t>due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to</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activities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this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species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thus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this</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marker</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could</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act</w:t>
      </w:r>
      <w:proofErr w:type="spellEnd"/>
      <w:r w:rsidRPr="003136F9">
        <w:rPr>
          <w:rFonts w:ascii="Arial" w:eastAsia="Times New Roman" w:hAnsi="Arial" w:cs="Arial"/>
          <w:color w:val="000000" w:themeColor="text1"/>
          <w:sz w:val="24"/>
          <w:szCs w:val="24"/>
          <w:lang w:eastAsia="pt-BR"/>
        </w:rPr>
        <w:t xml:space="preserve"> as </w:t>
      </w:r>
      <w:proofErr w:type="spellStart"/>
      <w:r w:rsidRPr="003136F9">
        <w:rPr>
          <w:rFonts w:ascii="Arial" w:eastAsia="Times New Roman" w:hAnsi="Arial" w:cs="Arial"/>
          <w:color w:val="000000" w:themeColor="text1"/>
          <w:sz w:val="24"/>
          <w:szCs w:val="24"/>
          <w:lang w:eastAsia="pt-BR"/>
        </w:rPr>
        <w:t>an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antagonist</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this</w:t>
      </w:r>
      <w:proofErr w:type="spellEnd"/>
      <w:r w:rsidRPr="003136F9">
        <w:rPr>
          <w:rFonts w:ascii="Arial" w:eastAsia="Times New Roman" w:hAnsi="Arial" w:cs="Arial"/>
          <w:color w:val="000000" w:themeColor="text1"/>
          <w:sz w:val="24"/>
          <w:szCs w:val="24"/>
          <w:lang w:eastAsia="pt-BR"/>
        </w:rPr>
        <w:t xml:space="preserve"> receptor, </w:t>
      </w:r>
      <w:proofErr w:type="spellStart"/>
      <w:r w:rsidRPr="003136F9">
        <w:rPr>
          <w:rFonts w:ascii="Arial" w:eastAsia="Times New Roman" w:hAnsi="Arial" w:cs="Arial"/>
          <w:color w:val="000000" w:themeColor="text1"/>
          <w:sz w:val="24"/>
          <w:szCs w:val="24"/>
          <w:lang w:eastAsia="pt-BR"/>
        </w:rPr>
        <w:t>behaving</w:t>
      </w:r>
      <w:proofErr w:type="spellEnd"/>
      <w:r w:rsidRPr="003136F9">
        <w:rPr>
          <w:rFonts w:ascii="Arial" w:eastAsia="Times New Roman" w:hAnsi="Arial" w:cs="Arial"/>
          <w:color w:val="000000" w:themeColor="text1"/>
          <w:sz w:val="24"/>
          <w:szCs w:val="24"/>
          <w:lang w:eastAsia="pt-BR"/>
        </w:rPr>
        <w:t xml:space="preserve"> as </w:t>
      </w:r>
      <w:proofErr w:type="spellStart"/>
      <w:r w:rsidRPr="003136F9">
        <w:rPr>
          <w:rFonts w:ascii="Arial" w:eastAsia="Times New Roman" w:hAnsi="Arial" w:cs="Arial"/>
          <w:color w:val="000000" w:themeColor="text1"/>
          <w:sz w:val="24"/>
          <w:szCs w:val="24"/>
          <w:lang w:eastAsia="pt-BR"/>
        </w:rPr>
        <w:t>an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active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metabolite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with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neuromodulatory</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activity</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through</w:t>
      </w:r>
      <w:proofErr w:type="spellEnd"/>
      <w:r w:rsidRPr="003136F9">
        <w:rPr>
          <w:rFonts w:ascii="Arial" w:eastAsia="Times New Roman" w:hAnsi="Arial" w:cs="Arial"/>
          <w:color w:val="000000" w:themeColor="text1"/>
          <w:sz w:val="24"/>
          <w:szCs w:val="24"/>
          <w:lang w:eastAsia="pt-BR"/>
        </w:rPr>
        <w:t xml:space="preserve"> a </w:t>
      </w:r>
      <w:proofErr w:type="spellStart"/>
      <w:r w:rsidRPr="003136F9">
        <w:rPr>
          <w:rFonts w:ascii="Arial" w:eastAsia="Times New Roman" w:hAnsi="Arial" w:cs="Arial"/>
          <w:color w:val="000000" w:themeColor="text1"/>
          <w:sz w:val="24"/>
          <w:szCs w:val="24"/>
          <w:lang w:eastAsia="pt-BR"/>
        </w:rPr>
        <w:t>possible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alteration</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of</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microglial</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activity</w:t>
      </w:r>
      <w:proofErr w:type="spellEnd"/>
      <w:r w:rsidRPr="003136F9">
        <w:rPr>
          <w:rFonts w:ascii="Arial" w:eastAsia="Times New Roman" w:hAnsi="Arial" w:cs="Arial"/>
          <w:color w:val="000000" w:themeColor="text1"/>
          <w:sz w:val="24"/>
          <w:szCs w:val="24"/>
          <w:lang w:eastAsia="pt-BR"/>
        </w:rPr>
        <w:t xml:space="preserve"> in </w:t>
      </w:r>
      <w:proofErr w:type="spellStart"/>
      <w:r w:rsidRPr="003136F9">
        <w:rPr>
          <w:rFonts w:ascii="Arial" w:eastAsia="Times New Roman" w:hAnsi="Arial" w:cs="Arial"/>
          <w:color w:val="000000" w:themeColor="text1"/>
          <w:sz w:val="24"/>
          <w:szCs w:val="24"/>
          <w:lang w:eastAsia="pt-BR"/>
        </w:rPr>
        <w:t>the</w:t>
      </w:r>
      <w:proofErr w:type="spellEnd"/>
      <w:r w:rsidRPr="003136F9">
        <w:rPr>
          <w:rFonts w:ascii="Arial" w:eastAsia="Times New Roman" w:hAnsi="Arial" w:cs="Arial"/>
          <w:color w:val="000000" w:themeColor="text1"/>
          <w:sz w:val="24"/>
          <w:szCs w:val="24"/>
          <w:lang w:eastAsia="pt-BR"/>
        </w:rPr>
        <w:t xml:space="preserve"> central </w:t>
      </w:r>
      <w:proofErr w:type="spellStart"/>
      <w:r w:rsidRPr="003136F9">
        <w:rPr>
          <w:rFonts w:ascii="Arial" w:eastAsia="Times New Roman" w:hAnsi="Arial" w:cs="Arial"/>
          <w:color w:val="000000" w:themeColor="text1"/>
          <w:sz w:val="24"/>
          <w:szCs w:val="24"/>
          <w:lang w:eastAsia="pt-BR"/>
        </w:rPr>
        <w:t>nervous</w:t>
      </w:r>
      <w:proofErr w:type="spellEnd"/>
      <w:r w:rsidRPr="003136F9">
        <w:rPr>
          <w:rFonts w:ascii="Arial" w:eastAsia="Times New Roman" w:hAnsi="Arial" w:cs="Arial"/>
          <w:color w:val="000000" w:themeColor="text1"/>
          <w:sz w:val="24"/>
          <w:szCs w:val="24"/>
          <w:lang w:eastAsia="pt-BR"/>
        </w:rPr>
        <w:t xml:space="preserve"> system, </w:t>
      </w:r>
      <w:proofErr w:type="spellStart"/>
      <w:r w:rsidRPr="003136F9">
        <w:rPr>
          <w:rFonts w:ascii="Arial" w:eastAsia="Times New Roman" w:hAnsi="Arial" w:cs="Arial"/>
          <w:color w:val="000000" w:themeColor="text1"/>
          <w:sz w:val="24"/>
          <w:szCs w:val="24"/>
          <w:lang w:eastAsia="pt-BR"/>
        </w:rPr>
        <w:t>which</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may</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act</w:t>
      </w:r>
      <w:proofErr w:type="spellEnd"/>
      <w:r w:rsidRPr="003136F9">
        <w:rPr>
          <w:rFonts w:ascii="Arial" w:eastAsia="Times New Roman" w:hAnsi="Arial" w:cs="Arial"/>
          <w:color w:val="000000" w:themeColor="text1"/>
          <w:sz w:val="24"/>
          <w:szCs w:val="24"/>
          <w:lang w:eastAsia="pt-BR"/>
        </w:rPr>
        <w:t xml:space="preserve"> as a </w:t>
      </w:r>
      <w:proofErr w:type="spellStart"/>
      <w:r w:rsidRPr="003136F9">
        <w:rPr>
          <w:rFonts w:ascii="Arial" w:eastAsia="Times New Roman" w:hAnsi="Arial" w:cs="Arial"/>
          <w:color w:val="000000" w:themeColor="text1"/>
          <w:sz w:val="24"/>
          <w:szCs w:val="24"/>
          <w:lang w:eastAsia="pt-BR"/>
        </w:rPr>
        <w:t>therapeutic</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agent</w:t>
      </w:r>
      <w:proofErr w:type="spellEnd"/>
      <w:r w:rsidRPr="003136F9">
        <w:rPr>
          <w:rFonts w:ascii="Arial" w:eastAsia="Times New Roman" w:hAnsi="Arial" w:cs="Arial"/>
          <w:color w:val="000000" w:themeColor="text1"/>
          <w:sz w:val="24"/>
          <w:szCs w:val="24"/>
          <w:lang w:eastAsia="pt-BR"/>
        </w:rPr>
        <w:t xml:space="preserve"> in </w:t>
      </w:r>
      <w:proofErr w:type="spellStart"/>
      <w:r w:rsidRPr="003136F9">
        <w:rPr>
          <w:rFonts w:ascii="Arial" w:eastAsia="Times New Roman" w:hAnsi="Arial" w:cs="Arial"/>
          <w:color w:val="000000" w:themeColor="text1"/>
          <w:sz w:val="24"/>
          <w:szCs w:val="24"/>
          <w:lang w:eastAsia="pt-BR"/>
        </w:rPr>
        <w:t>neurodegenerative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pathologies</w:t>
      </w:r>
      <w:proofErr w:type="spellEnd"/>
      <w:r w:rsidRPr="003136F9">
        <w:rPr>
          <w:rFonts w:ascii="Arial" w:eastAsia="Times New Roman" w:hAnsi="Arial" w:cs="Arial"/>
          <w:color w:val="000000" w:themeColor="text1"/>
          <w:sz w:val="24"/>
          <w:szCs w:val="24"/>
          <w:lang w:eastAsia="pt-BR"/>
        </w:rPr>
        <w:t>.</w:t>
      </w:r>
    </w:p>
    <w:p w14:paraId="46B1D9DB" w14:textId="77777777" w:rsidR="00B01A9C" w:rsidRPr="003136F9" w:rsidRDefault="00B01A9C" w:rsidP="00F2281A">
      <w:pPr>
        <w:spacing w:after="0" w:line="360" w:lineRule="auto"/>
        <w:jc w:val="both"/>
        <w:rPr>
          <w:rFonts w:ascii="Arial" w:eastAsia="Times New Roman" w:hAnsi="Arial" w:cs="Arial"/>
          <w:color w:val="000000" w:themeColor="text1"/>
          <w:sz w:val="24"/>
          <w:szCs w:val="24"/>
          <w:lang w:eastAsia="pt-BR"/>
        </w:rPr>
      </w:pPr>
    </w:p>
    <w:p w14:paraId="36265E27" w14:textId="7FD5C34A" w:rsidR="00FA35BD" w:rsidRPr="003136F9" w:rsidRDefault="00810ACD" w:rsidP="00F2281A">
      <w:pPr>
        <w:spacing w:after="0" w:line="360" w:lineRule="auto"/>
        <w:jc w:val="both"/>
        <w:rPr>
          <w:rFonts w:ascii="Arial" w:eastAsia="Times New Roman" w:hAnsi="Arial" w:cs="Arial"/>
          <w:color w:val="000000" w:themeColor="text1"/>
          <w:sz w:val="24"/>
          <w:szCs w:val="24"/>
          <w:lang w:eastAsia="pt-BR"/>
        </w:rPr>
      </w:pPr>
      <w:r w:rsidRPr="003136F9">
        <w:rPr>
          <w:rFonts w:ascii="Arial" w:eastAsia="Times New Roman" w:hAnsi="Arial" w:cs="Arial"/>
          <w:b/>
          <w:bCs/>
          <w:color w:val="000000" w:themeColor="text1"/>
          <w:sz w:val="24"/>
          <w:szCs w:val="24"/>
          <w:lang w:eastAsia="pt-BR"/>
        </w:rPr>
        <w:t>Keywords:</w:t>
      </w:r>
      <w:r w:rsidR="00D94FDA" w:rsidRPr="003136F9">
        <w:rPr>
          <w:rFonts w:ascii="Arial" w:eastAsia="Times New Roman" w:hAnsi="Arial" w:cs="Arial"/>
          <w:color w:val="000000" w:themeColor="text1"/>
          <w:sz w:val="24"/>
          <w:szCs w:val="24"/>
          <w:lang w:eastAsia="pt-BR"/>
        </w:rPr>
        <w:t xml:space="preserve">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w:t>
      </w:r>
      <w:r w:rsidR="007F376B" w:rsidRPr="003136F9">
        <w:rPr>
          <w:rFonts w:ascii="Arial" w:eastAsia="Times New Roman" w:hAnsi="Arial" w:cs="Arial"/>
          <w:color w:val="000000" w:themeColor="text1"/>
          <w:sz w:val="24"/>
          <w:szCs w:val="24"/>
          <w:lang w:eastAsia="pt-BR"/>
        </w:rPr>
        <w:t>c</w:t>
      </w:r>
      <w:r w:rsidRPr="003136F9">
        <w:rPr>
          <w:rFonts w:ascii="Arial" w:eastAsia="Times New Roman" w:hAnsi="Arial" w:cs="Arial"/>
          <w:color w:val="000000" w:themeColor="text1"/>
          <w:sz w:val="24"/>
          <w:szCs w:val="24"/>
          <w:lang w:eastAsia="pt-BR"/>
        </w:rPr>
        <w:t xml:space="preserve">entral </w:t>
      </w:r>
      <w:proofErr w:type="spellStart"/>
      <w:r w:rsidR="007F376B" w:rsidRPr="003136F9">
        <w:rPr>
          <w:rFonts w:ascii="Arial" w:eastAsia="Times New Roman" w:hAnsi="Arial" w:cs="Arial"/>
          <w:color w:val="000000" w:themeColor="text1"/>
          <w:sz w:val="24"/>
          <w:szCs w:val="24"/>
          <w:lang w:eastAsia="pt-BR"/>
        </w:rPr>
        <w:t>n</w:t>
      </w:r>
      <w:r w:rsidRPr="003136F9">
        <w:rPr>
          <w:rFonts w:ascii="Arial" w:eastAsia="Times New Roman" w:hAnsi="Arial" w:cs="Arial"/>
          <w:color w:val="000000" w:themeColor="text1"/>
          <w:sz w:val="24"/>
          <w:szCs w:val="24"/>
          <w:lang w:eastAsia="pt-BR"/>
        </w:rPr>
        <w:t>ervous</w:t>
      </w:r>
      <w:proofErr w:type="spellEnd"/>
      <w:r w:rsidRPr="003136F9">
        <w:rPr>
          <w:rFonts w:ascii="Arial" w:eastAsia="Times New Roman" w:hAnsi="Arial" w:cs="Arial"/>
          <w:color w:val="000000" w:themeColor="text1"/>
          <w:sz w:val="24"/>
          <w:szCs w:val="24"/>
          <w:lang w:eastAsia="pt-BR"/>
        </w:rPr>
        <w:t xml:space="preserve"> </w:t>
      </w:r>
      <w:r w:rsidR="007F376B" w:rsidRPr="003136F9">
        <w:rPr>
          <w:rFonts w:ascii="Arial" w:eastAsia="Times New Roman" w:hAnsi="Arial" w:cs="Arial"/>
          <w:color w:val="000000" w:themeColor="text1"/>
          <w:sz w:val="24"/>
          <w:szCs w:val="24"/>
          <w:lang w:eastAsia="pt-BR"/>
        </w:rPr>
        <w:t>s</w:t>
      </w:r>
      <w:r w:rsidRPr="003136F9">
        <w:rPr>
          <w:rFonts w:ascii="Arial" w:eastAsia="Times New Roman" w:hAnsi="Arial" w:cs="Arial"/>
          <w:color w:val="000000" w:themeColor="text1"/>
          <w:sz w:val="24"/>
          <w:szCs w:val="24"/>
          <w:lang w:eastAsia="pt-BR"/>
        </w:rPr>
        <w:t>ystem</w:t>
      </w:r>
      <w:r w:rsidR="005704E6"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Tetrahydrocannabivarin</w:t>
      </w:r>
      <w:proofErr w:type="spellEnd"/>
      <w:r w:rsidR="007F376B" w:rsidRPr="003136F9">
        <w:rPr>
          <w:rFonts w:ascii="Arial" w:eastAsia="Times New Roman" w:hAnsi="Arial" w:cs="Arial"/>
          <w:color w:val="000000" w:themeColor="text1"/>
          <w:sz w:val="24"/>
          <w:szCs w:val="24"/>
          <w:lang w:eastAsia="pt-BR"/>
        </w:rPr>
        <w:t>.</w:t>
      </w:r>
    </w:p>
    <w:p w14:paraId="0AC9369D" w14:textId="071424F1" w:rsidR="00D50DFB" w:rsidRPr="003136F9" w:rsidRDefault="00D50DFB" w:rsidP="00F2281A">
      <w:pPr>
        <w:spacing w:after="0" w:line="360" w:lineRule="auto"/>
        <w:jc w:val="both"/>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lastRenderedPageBreak/>
        <w:br w:type="page"/>
      </w:r>
    </w:p>
    <w:p w14:paraId="7A68A6C8" w14:textId="65376FFF" w:rsidR="78BB7069" w:rsidRPr="003136F9" w:rsidRDefault="78BB7069" w:rsidP="78BB7069">
      <w:pPr>
        <w:spacing w:after="0" w:line="360" w:lineRule="auto"/>
        <w:ind w:firstLine="708"/>
        <w:jc w:val="both"/>
        <w:rPr>
          <w:rFonts w:ascii="Arial" w:hAnsi="Arial" w:cs="Arial"/>
          <w:color w:val="000000" w:themeColor="text1"/>
          <w:sz w:val="24"/>
          <w:szCs w:val="24"/>
        </w:rPr>
      </w:pPr>
    </w:p>
    <w:p w14:paraId="5462E138" w14:textId="4E7155BA" w:rsidR="78BB7069" w:rsidRPr="003136F9" w:rsidRDefault="78BB7069" w:rsidP="78BB7069">
      <w:pPr>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b/>
          <w:bCs/>
          <w:color w:val="000000" w:themeColor="text1"/>
          <w:sz w:val="24"/>
          <w:szCs w:val="24"/>
          <w:lang w:eastAsia="pt-BR"/>
        </w:rPr>
        <w:t>Introdu</w:t>
      </w:r>
      <w:r w:rsidR="0044684B" w:rsidRPr="003136F9">
        <w:rPr>
          <w:rFonts w:ascii="Arial" w:eastAsia="Times New Roman" w:hAnsi="Arial" w:cs="Arial"/>
          <w:b/>
          <w:bCs/>
          <w:color w:val="000000" w:themeColor="text1"/>
          <w:sz w:val="24"/>
          <w:szCs w:val="24"/>
          <w:lang w:eastAsia="pt-BR"/>
        </w:rPr>
        <w:t>ção</w:t>
      </w:r>
    </w:p>
    <w:p w14:paraId="7F4F666B" w14:textId="7EF3DC2E" w:rsidR="78BB7069" w:rsidRPr="003136F9" w:rsidRDefault="78BB7069" w:rsidP="0044684B">
      <w:pPr>
        <w:spacing w:after="0" w:line="360" w:lineRule="auto"/>
        <w:jc w:val="both"/>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 </w:t>
      </w:r>
    </w:p>
    <w:p w14:paraId="33A40311"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A espécie conhecida como "maconha", "ganja" ou "cânhamo", está entre as plantas mais antigas que vêm sendo cultivadas e exploradas pelo homem por suas inúmeras propriedades e utilizações como obtenção de fibras, alimentos e medicamentos, também graças à sua adaptabilidade em uma ampla gama de habitats (1).</w:t>
      </w:r>
    </w:p>
    <w:p w14:paraId="36167539"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Os medicamentos à base de extratos de cannabis são produzidos para diferentes indicações terapêuticas, como Alzheimer (2), dores neuropáticas na esclerose múltipla (3) e na artrite </w:t>
      </w:r>
      <w:proofErr w:type="spellStart"/>
      <w:r w:rsidRPr="003136F9">
        <w:rPr>
          <w:rFonts w:ascii="Arial" w:hAnsi="Arial" w:cs="Arial"/>
          <w:sz w:val="24"/>
          <w:szCs w:val="24"/>
        </w:rPr>
        <w:t>reumatóide</w:t>
      </w:r>
      <w:proofErr w:type="spellEnd"/>
      <w:r w:rsidRPr="003136F9">
        <w:rPr>
          <w:rFonts w:ascii="Arial" w:hAnsi="Arial" w:cs="Arial"/>
          <w:sz w:val="24"/>
          <w:szCs w:val="24"/>
        </w:rPr>
        <w:t xml:space="preserve"> (4), esquizofrenia (5), Parkinson (6) e epilepsia (7), às vezes constituindo a única alternativa terapêutica no controle de doenças graves e incuráveis.</w:t>
      </w:r>
    </w:p>
    <w:p w14:paraId="169BE194"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 Quanto aos aspectos botânicos, a espécie </w:t>
      </w:r>
      <w:r w:rsidRPr="003136F9">
        <w:rPr>
          <w:rFonts w:ascii="Arial" w:hAnsi="Arial" w:cs="Arial"/>
          <w:i/>
          <w:iCs/>
          <w:sz w:val="24"/>
          <w:szCs w:val="24"/>
        </w:rPr>
        <w:t>C. sativa</w:t>
      </w:r>
      <w:r w:rsidRPr="003136F9">
        <w:rPr>
          <w:rFonts w:ascii="Arial" w:hAnsi="Arial" w:cs="Arial"/>
          <w:sz w:val="24"/>
          <w:szCs w:val="24"/>
        </w:rPr>
        <w:t xml:space="preserve"> é uma planta anual </w:t>
      </w:r>
      <w:proofErr w:type="spellStart"/>
      <w:r w:rsidRPr="003136F9">
        <w:rPr>
          <w:rFonts w:ascii="Arial" w:hAnsi="Arial" w:cs="Arial"/>
          <w:sz w:val="24"/>
          <w:szCs w:val="24"/>
        </w:rPr>
        <w:t>dióica</w:t>
      </w:r>
      <w:proofErr w:type="spellEnd"/>
      <w:r w:rsidRPr="003136F9">
        <w:rPr>
          <w:rFonts w:ascii="Arial" w:hAnsi="Arial" w:cs="Arial"/>
          <w:sz w:val="24"/>
          <w:szCs w:val="24"/>
        </w:rPr>
        <w:t xml:space="preserve">, raramente </w:t>
      </w:r>
      <w:proofErr w:type="spellStart"/>
      <w:r w:rsidRPr="003136F9">
        <w:rPr>
          <w:rFonts w:ascii="Arial" w:hAnsi="Arial" w:cs="Arial"/>
          <w:sz w:val="24"/>
          <w:szCs w:val="24"/>
        </w:rPr>
        <w:t>monóica</w:t>
      </w:r>
      <w:proofErr w:type="spellEnd"/>
      <w:r w:rsidRPr="003136F9">
        <w:rPr>
          <w:rFonts w:ascii="Arial" w:hAnsi="Arial" w:cs="Arial"/>
          <w:sz w:val="24"/>
          <w:szCs w:val="24"/>
        </w:rPr>
        <w:t xml:space="preserve">, rica em tricomas, protuberâncias glandulares epidérmicas que recobrem as folhas, brácteas e caules da planta (8). Esses tricomas glandulares envolvem metabólitos como os </w:t>
      </w:r>
      <w:proofErr w:type="spellStart"/>
      <w:r w:rsidRPr="003136F9">
        <w:rPr>
          <w:rFonts w:ascii="Arial" w:hAnsi="Arial" w:cs="Arial"/>
          <w:sz w:val="24"/>
          <w:szCs w:val="24"/>
        </w:rPr>
        <w:t>fitocanabinóides</w:t>
      </w:r>
      <w:proofErr w:type="spellEnd"/>
      <w:r w:rsidRPr="003136F9">
        <w:rPr>
          <w:rFonts w:ascii="Arial" w:hAnsi="Arial" w:cs="Arial"/>
          <w:sz w:val="24"/>
          <w:szCs w:val="24"/>
        </w:rPr>
        <w:t xml:space="preserve">, responsáveis ​​pela defesa e interação com herbívoros e pragas, juntamente com os </w:t>
      </w:r>
      <w:proofErr w:type="spellStart"/>
      <w:r w:rsidRPr="003136F9">
        <w:rPr>
          <w:rFonts w:ascii="Arial" w:hAnsi="Arial" w:cs="Arial"/>
          <w:sz w:val="24"/>
          <w:szCs w:val="24"/>
        </w:rPr>
        <w:t>terpenóides</w:t>
      </w:r>
      <w:proofErr w:type="spellEnd"/>
      <w:r w:rsidRPr="003136F9">
        <w:rPr>
          <w:rFonts w:ascii="Arial" w:hAnsi="Arial" w:cs="Arial"/>
          <w:sz w:val="24"/>
          <w:szCs w:val="24"/>
        </w:rPr>
        <w:t xml:space="preserve">, que geram o aroma típico de </w:t>
      </w:r>
      <w:r w:rsidRPr="003136F9">
        <w:rPr>
          <w:rFonts w:ascii="Arial" w:hAnsi="Arial" w:cs="Arial"/>
          <w:i/>
          <w:iCs/>
          <w:sz w:val="24"/>
          <w:szCs w:val="24"/>
        </w:rPr>
        <w:t>C. sativa</w:t>
      </w:r>
      <w:r w:rsidRPr="003136F9">
        <w:rPr>
          <w:rFonts w:ascii="Arial" w:hAnsi="Arial" w:cs="Arial"/>
          <w:sz w:val="24"/>
          <w:szCs w:val="24"/>
        </w:rPr>
        <w:t xml:space="preserve"> (9). É importante ressaltar que a </w:t>
      </w:r>
      <w:proofErr w:type="spellStart"/>
      <w:r w:rsidRPr="003136F9">
        <w:rPr>
          <w:rFonts w:ascii="Arial" w:hAnsi="Arial" w:cs="Arial"/>
          <w:sz w:val="24"/>
          <w:szCs w:val="24"/>
        </w:rPr>
        <w:t>dioicia</w:t>
      </w:r>
      <w:proofErr w:type="spellEnd"/>
      <w:r w:rsidRPr="003136F9">
        <w:rPr>
          <w:rFonts w:ascii="Arial" w:hAnsi="Arial" w:cs="Arial"/>
          <w:sz w:val="24"/>
          <w:szCs w:val="24"/>
        </w:rPr>
        <w:t xml:space="preserve"> facilita a variabilidade genética e, consequentemente, a adaptabilidade da planta a diferentes habitats, uma vez que requer que a reprodução seja feita em diferentes plantas.</w:t>
      </w:r>
    </w:p>
    <w:p w14:paraId="7529A462"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i/>
          <w:iCs/>
          <w:sz w:val="24"/>
          <w:szCs w:val="24"/>
        </w:rPr>
        <w:t xml:space="preserve"> C. sativa</w:t>
      </w:r>
      <w:r w:rsidRPr="003136F9">
        <w:rPr>
          <w:rFonts w:ascii="Arial" w:hAnsi="Arial" w:cs="Arial"/>
          <w:sz w:val="24"/>
          <w:szCs w:val="24"/>
        </w:rPr>
        <w:t xml:space="preserve"> é caracterizada por um complexo químico, incluindo terpenos, carboidratos, ácidos graxos e seus ésteres, amidas, aminas, </w:t>
      </w:r>
      <w:proofErr w:type="spellStart"/>
      <w:r w:rsidRPr="003136F9">
        <w:rPr>
          <w:rFonts w:ascii="Arial" w:hAnsi="Arial" w:cs="Arial"/>
          <w:sz w:val="24"/>
          <w:szCs w:val="24"/>
        </w:rPr>
        <w:t>fitoesteróis</w:t>
      </w:r>
      <w:proofErr w:type="spellEnd"/>
      <w:r w:rsidRPr="003136F9">
        <w:rPr>
          <w:rFonts w:ascii="Arial" w:hAnsi="Arial" w:cs="Arial"/>
          <w:sz w:val="24"/>
          <w:szCs w:val="24"/>
        </w:rPr>
        <w:t xml:space="preserve">, compostos fenólicos e os compostos específicos dessa planta, a saber, os </w:t>
      </w:r>
      <w:proofErr w:type="spellStart"/>
      <w:r w:rsidRPr="003136F9">
        <w:rPr>
          <w:rFonts w:ascii="Arial" w:hAnsi="Arial" w:cs="Arial"/>
          <w:sz w:val="24"/>
          <w:szCs w:val="24"/>
        </w:rPr>
        <w:t>canabinóides</w:t>
      </w:r>
      <w:proofErr w:type="spellEnd"/>
      <w:r w:rsidRPr="003136F9">
        <w:rPr>
          <w:rFonts w:ascii="Arial" w:hAnsi="Arial" w:cs="Arial"/>
          <w:sz w:val="24"/>
          <w:szCs w:val="24"/>
        </w:rPr>
        <w:t xml:space="preserve"> (9). Os </w:t>
      </w:r>
      <w:proofErr w:type="spellStart"/>
      <w:r w:rsidRPr="003136F9">
        <w:rPr>
          <w:rFonts w:ascii="Arial" w:hAnsi="Arial" w:cs="Arial"/>
          <w:sz w:val="24"/>
          <w:szCs w:val="24"/>
        </w:rPr>
        <w:t>canabinóides</w:t>
      </w:r>
      <w:proofErr w:type="spellEnd"/>
      <w:r w:rsidRPr="003136F9">
        <w:rPr>
          <w:rFonts w:ascii="Arial" w:hAnsi="Arial" w:cs="Arial"/>
          <w:sz w:val="24"/>
          <w:szCs w:val="24"/>
        </w:rPr>
        <w:t xml:space="preserve"> são </w:t>
      </w:r>
      <w:proofErr w:type="spellStart"/>
      <w:r w:rsidRPr="003136F9">
        <w:rPr>
          <w:rFonts w:ascii="Arial" w:hAnsi="Arial" w:cs="Arial"/>
          <w:sz w:val="24"/>
          <w:szCs w:val="24"/>
        </w:rPr>
        <w:t>meroterpenóides</w:t>
      </w:r>
      <w:proofErr w:type="spellEnd"/>
      <w:r w:rsidRPr="003136F9">
        <w:rPr>
          <w:rFonts w:ascii="Arial" w:hAnsi="Arial" w:cs="Arial"/>
          <w:sz w:val="24"/>
          <w:szCs w:val="24"/>
        </w:rPr>
        <w:t xml:space="preserve">, obtidos a partir da alquilação de um </w:t>
      </w:r>
      <w:proofErr w:type="spellStart"/>
      <w:r w:rsidRPr="003136F9">
        <w:rPr>
          <w:rFonts w:ascii="Arial" w:hAnsi="Arial" w:cs="Arial"/>
          <w:sz w:val="24"/>
          <w:szCs w:val="24"/>
        </w:rPr>
        <w:t>alquilresorcinol</w:t>
      </w:r>
      <w:proofErr w:type="spellEnd"/>
      <w:r w:rsidRPr="003136F9">
        <w:rPr>
          <w:rFonts w:ascii="Arial" w:hAnsi="Arial" w:cs="Arial"/>
          <w:sz w:val="24"/>
          <w:szCs w:val="24"/>
        </w:rPr>
        <w:t xml:space="preserve"> com um monoterpeno (10). São sintetizados principalmente em tricomas glandulares, que são mais abundantes nas inflorescências femininas (9).</w:t>
      </w:r>
    </w:p>
    <w:p w14:paraId="59943797" w14:textId="79B2D532"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Mais de 100 </w:t>
      </w:r>
      <w:proofErr w:type="spellStart"/>
      <w:r w:rsidRPr="003136F9">
        <w:rPr>
          <w:rFonts w:ascii="Arial" w:hAnsi="Arial" w:cs="Arial"/>
          <w:sz w:val="24"/>
          <w:szCs w:val="24"/>
        </w:rPr>
        <w:t>canabinóides</w:t>
      </w:r>
      <w:proofErr w:type="spellEnd"/>
      <w:r w:rsidRPr="003136F9">
        <w:rPr>
          <w:rFonts w:ascii="Arial" w:hAnsi="Arial" w:cs="Arial"/>
          <w:sz w:val="24"/>
          <w:szCs w:val="24"/>
        </w:rPr>
        <w:t xml:space="preserve"> foram isolados, caracterizados e divididos em 11 classes químicas. Normalmente, os </w:t>
      </w:r>
      <w:proofErr w:type="spellStart"/>
      <w:r w:rsidRPr="003136F9">
        <w:rPr>
          <w:rFonts w:ascii="Arial" w:hAnsi="Arial" w:cs="Arial"/>
          <w:sz w:val="24"/>
          <w:szCs w:val="24"/>
        </w:rPr>
        <w:t>canabinoides</w:t>
      </w:r>
      <w:proofErr w:type="spellEnd"/>
      <w:r w:rsidRPr="003136F9">
        <w:rPr>
          <w:rFonts w:ascii="Arial" w:hAnsi="Arial" w:cs="Arial"/>
          <w:sz w:val="24"/>
          <w:szCs w:val="24"/>
        </w:rPr>
        <w:t xml:space="preserve"> mais abundantes presentes em plantas de tipo de droga são ácido Δ-</w:t>
      </w:r>
      <w:proofErr w:type="spellStart"/>
      <w:r w:rsidRPr="003136F9">
        <w:rPr>
          <w:rFonts w:ascii="Arial" w:hAnsi="Arial" w:cs="Arial"/>
          <w:sz w:val="24"/>
          <w:szCs w:val="24"/>
        </w:rPr>
        <w:t>tetrahidrocanabinólico</w:t>
      </w:r>
      <w:proofErr w:type="spellEnd"/>
      <w:r w:rsidRPr="003136F9">
        <w:rPr>
          <w:rFonts w:ascii="Arial" w:hAnsi="Arial" w:cs="Arial"/>
          <w:sz w:val="24"/>
          <w:szCs w:val="24"/>
        </w:rPr>
        <w:t xml:space="preserve"> (Δ9-THCA) e Δ9-tetrahidrocanibinol (Δ9-THC), enquanto plantas de tipo de fibra são conhecidas por conterem principalmente ácidos </w:t>
      </w:r>
      <w:proofErr w:type="spellStart"/>
      <w:r w:rsidRPr="003136F9">
        <w:rPr>
          <w:rFonts w:ascii="Arial" w:hAnsi="Arial" w:cs="Arial"/>
          <w:sz w:val="24"/>
          <w:szCs w:val="24"/>
        </w:rPr>
        <w:t>canabinoides</w:t>
      </w:r>
      <w:proofErr w:type="spellEnd"/>
      <w:r w:rsidRPr="003136F9">
        <w:rPr>
          <w:rFonts w:ascii="Arial" w:hAnsi="Arial" w:cs="Arial"/>
          <w:sz w:val="24"/>
          <w:szCs w:val="24"/>
        </w:rPr>
        <w:t xml:space="preserve">, como o ácido </w:t>
      </w:r>
      <w:proofErr w:type="spellStart"/>
      <w:r w:rsidRPr="003136F9">
        <w:rPr>
          <w:rFonts w:ascii="Arial" w:hAnsi="Arial" w:cs="Arial"/>
          <w:sz w:val="24"/>
          <w:szCs w:val="24"/>
        </w:rPr>
        <w:t>canabidiólico</w:t>
      </w:r>
      <w:proofErr w:type="spellEnd"/>
      <w:r w:rsidRPr="003136F9">
        <w:rPr>
          <w:rFonts w:ascii="Arial" w:hAnsi="Arial" w:cs="Arial"/>
          <w:sz w:val="24"/>
          <w:szCs w:val="24"/>
        </w:rPr>
        <w:t xml:space="preserve"> </w:t>
      </w:r>
      <w:proofErr w:type="gramStart"/>
      <w:r w:rsidRPr="003136F9">
        <w:rPr>
          <w:rFonts w:ascii="Arial" w:hAnsi="Arial" w:cs="Arial"/>
          <w:sz w:val="24"/>
          <w:szCs w:val="24"/>
        </w:rPr>
        <w:t xml:space="preserve">( </w:t>
      </w:r>
      <w:r w:rsidRPr="003136F9">
        <w:rPr>
          <w:rFonts w:ascii="Arial" w:hAnsi="Arial" w:cs="Arial"/>
          <w:sz w:val="24"/>
          <w:szCs w:val="24"/>
        </w:rPr>
        <w:lastRenderedPageBreak/>
        <w:t>CBDA</w:t>
      </w:r>
      <w:proofErr w:type="gramEnd"/>
      <w:r w:rsidRPr="003136F9">
        <w:rPr>
          <w:rFonts w:ascii="Arial" w:hAnsi="Arial" w:cs="Arial"/>
          <w:sz w:val="24"/>
          <w:szCs w:val="24"/>
        </w:rPr>
        <w:t xml:space="preserve">) e ácido </w:t>
      </w:r>
      <w:proofErr w:type="spellStart"/>
      <w:r w:rsidRPr="003136F9">
        <w:rPr>
          <w:rFonts w:ascii="Arial" w:hAnsi="Arial" w:cs="Arial"/>
          <w:sz w:val="24"/>
          <w:szCs w:val="24"/>
        </w:rPr>
        <w:t>canabigerólico</w:t>
      </w:r>
      <w:proofErr w:type="spellEnd"/>
      <w:r w:rsidRPr="003136F9">
        <w:rPr>
          <w:rFonts w:ascii="Arial" w:hAnsi="Arial" w:cs="Arial"/>
          <w:sz w:val="24"/>
          <w:szCs w:val="24"/>
        </w:rPr>
        <w:t xml:space="preserve"> (CBGA), seguido de </w:t>
      </w:r>
      <w:proofErr w:type="spellStart"/>
      <w:r w:rsidRPr="003136F9">
        <w:rPr>
          <w:rFonts w:ascii="Arial" w:hAnsi="Arial" w:cs="Arial"/>
          <w:sz w:val="24"/>
          <w:szCs w:val="24"/>
        </w:rPr>
        <w:t>canabidiol</w:t>
      </w:r>
      <w:proofErr w:type="spellEnd"/>
      <w:r w:rsidRPr="003136F9">
        <w:rPr>
          <w:rFonts w:ascii="Arial" w:hAnsi="Arial" w:cs="Arial"/>
          <w:sz w:val="24"/>
          <w:szCs w:val="24"/>
        </w:rPr>
        <w:t xml:space="preserve"> (CBD) e </w:t>
      </w:r>
      <w:proofErr w:type="spellStart"/>
      <w:r w:rsidRPr="003136F9">
        <w:rPr>
          <w:rFonts w:ascii="Arial" w:hAnsi="Arial" w:cs="Arial"/>
          <w:sz w:val="24"/>
          <w:szCs w:val="24"/>
        </w:rPr>
        <w:t>cannabigerol</w:t>
      </w:r>
      <w:proofErr w:type="spellEnd"/>
      <w:r w:rsidRPr="003136F9">
        <w:rPr>
          <w:rFonts w:ascii="Arial" w:hAnsi="Arial" w:cs="Arial"/>
          <w:sz w:val="24"/>
          <w:szCs w:val="24"/>
        </w:rPr>
        <w:t xml:space="preserve"> (CBG) (11) (12). Outros </w:t>
      </w:r>
      <w:proofErr w:type="spellStart"/>
      <w:r w:rsidRPr="003136F9">
        <w:rPr>
          <w:rFonts w:ascii="Arial" w:hAnsi="Arial" w:cs="Arial"/>
          <w:sz w:val="24"/>
          <w:szCs w:val="24"/>
        </w:rPr>
        <w:t>canabinóides</w:t>
      </w:r>
      <w:proofErr w:type="spellEnd"/>
      <w:r w:rsidRPr="003136F9">
        <w:rPr>
          <w:rFonts w:ascii="Arial" w:hAnsi="Arial" w:cs="Arial"/>
          <w:sz w:val="24"/>
          <w:szCs w:val="24"/>
        </w:rPr>
        <w:t xml:space="preserve"> menores incluem ácido </w:t>
      </w:r>
      <w:proofErr w:type="spellStart"/>
      <w:r w:rsidRPr="003136F9">
        <w:rPr>
          <w:rFonts w:ascii="Arial" w:hAnsi="Arial" w:cs="Arial"/>
          <w:sz w:val="24"/>
          <w:szCs w:val="24"/>
        </w:rPr>
        <w:t>canabicromênico</w:t>
      </w:r>
      <w:proofErr w:type="spellEnd"/>
      <w:r w:rsidRPr="003136F9">
        <w:rPr>
          <w:rFonts w:ascii="Arial" w:hAnsi="Arial" w:cs="Arial"/>
          <w:sz w:val="24"/>
          <w:szCs w:val="24"/>
        </w:rPr>
        <w:t xml:space="preserve"> (CBCA), </w:t>
      </w:r>
      <w:proofErr w:type="spellStart"/>
      <w:r w:rsidRPr="003136F9">
        <w:rPr>
          <w:rFonts w:ascii="Arial" w:hAnsi="Arial" w:cs="Arial"/>
          <w:sz w:val="24"/>
          <w:szCs w:val="24"/>
        </w:rPr>
        <w:t>canabicromeno</w:t>
      </w:r>
      <w:proofErr w:type="spellEnd"/>
      <w:r w:rsidRPr="003136F9">
        <w:rPr>
          <w:rFonts w:ascii="Arial" w:hAnsi="Arial" w:cs="Arial"/>
          <w:sz w:val="24"/>
          <w:szCs w:val="24"/>
        </w:rPr>
        <w:t xml:space="preserve"> (CBC), ácido </w:t>
      </w:r>
      <w:proofErr w:type="spellStart"/>
      <w:r w:rsidRPr="003136F9">
        <w:rPr>
          <w:rFonts w:ascii="Arial" w:hAnsi="Arial" w:cs="Arial"/>
          <w:sz w:val="24"/>
          <w:szCs w:val="24"/>
        </w:rPr>
        <w:t>canabinólico</w:t>
      </w:r>
      <w:proofErr w:type="spellEnd"/>
      <w:r w:rsidRPr="003136F9">
        <w:rPr>
          <w:rFonts w:ascii="Arial" w:hAnsi="Arial" w:cs="Arial"/>
          <w:sz w:val="24"/>
          <w:szCs w:val="24"/>
        </w:rPr>
        <w:t xml:space="preserve"> (CBNA) e </w:t>
      </w:r>
      <w:proofErr w:type="spellStart"/>
      <w:r w:rsidRPr="003136F9">
        <w:rPr>
          <w:rFonts w:ascii="Arial" w:hAnsi="Arial" w:cs="Arial"/>
          <w:sz w:val="24"/>
          <w:szCs w:val="24"/>
        </w:rPr>
        <w:t>canabinol</w:t>
      </w:r>
      <w:proofErr w:type="spellEnd"/>
      <w:r w:rsidRPr="003136F9">
        <w:rPr>
          <w:rFonts w:ascii="Arial" w:hAnsi="Arial" w:cs="Arial"/>
          <w:sz w:val="24"/>
          <w:szCs w:val="24"/>
        </w:rPr>
        <w:t xml:space="preserve"> (CBN), com os dois últimos sendo os produtos de degradação oxidativa de Δ9-THCA e Δ9-THC, respectivamente, presentes na cannabis envelhecida.</w:t>
      </w:r>
    </w:p>
    <w:p w14:paraId="26257C97"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 Os efeitos farmacológicos são atribuídos à interação dos </w:t>
      </w:r>
      <w:proofErr w:type="spellStart"/>
      <w:r w:rsidRPr="003136F9">
        <w:rPr>
          <w:rFonts w:ascii="Arial" w:hAnsi="Arial" w:cs="Arial"/>
          <w:sz w:val="24"/>
          <w:szCs w:val="24"/>
        </w:rPr>
        <w:t>canabinóides</w:t>
      </w:r>
      <w:proofErr w:type="spellEnd"/>
      <w:r w:rsidRPr="003136F9">
        <w:rPr>
          <w:rFonts w:ascii="Arial" w:hAnsi="Arial" w:cs="Arial"/>
          <w:sz w:val="24"/>
          <w:szCs w:val="24"/>
        </w:rPr>
        <w:t xml:space="preserve"> com seus receptores distribuídos no sistema nervoso central (CB1) e periférico (CB2) (13). O Δ9 -THC liga-se aos receptores CB1 e CB2, agindo como agonista parcial, exercendo uma atividade neural mista, excitatória e inibitória, em diferentes áreas do cérebro, mostrando que não atua apenas em receptores </w:t>
      </w:r>
      <w:proofErr w:type="spellStart"/>
      <w:r w:rsidRPr="003136F9">
        <w:rPr>
          <w:rFonts w:ascii="Arial" w:hAnsi="Arial" w:cs="Arial"/>
          <w:sz w:val="24"/>
          <w:szCs w:val="24"/>
        </w:rPr>
        <w:t>canabinoides</w:t>
      </w:r>
      <w:proofErr w:type="spellEnd"/>
      <w:r w:rsidRPr="003136F9">
        <w:rPr>
          <w:rFonts w:ascii="Arial" w:hAnsi="Arial" w:cs="Arial"/>
          <w:sz w:val="24"/>
          <w:szCs w:val="24"/>
        </w:rPr>
        <w:t xml:space="preserve"> específicos (14).</w:t>
      </w:r>
    </w:p>
    <w:p w14:paraId="07297371"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 Nesse sentido, os </w:t>
      </w:r>
      <w:proofErr w:type="spellStart"/>
      <w:r w:rsidRPr="003136F9">
        <w:rPr>
          <w:rFonts w:ascii="Arial" w:hAnsi="Arial" w:cs="Arial"/>
          <w:sz w:val="24"/>
          <w:szCs w:val="24"/>
        </w:rPr>
        <w:t>endocanabinoides</w:t>
      </w:r>
      <w:proofErr w:type="spellEnd"/>
      <w:r w:rsidRPr="003136F9">
        <w:rPr>
          <w:rFonts w:ascii="Arial" w:hAnsi="Arial" w:cs="Arial"/>
          <w:sz w:val="24"/>
          <w:szCs w:val="24"/>
        </w:rPr>
        <w:t xml:space="preserve"> (ECS) aparecem como uma sinalização cerebral complexa e difundida no sistema nervoso que desempenha um papel nas funções afetivas e cognitivas e nos transtornos psicóticos, podendo ser alvo de atuação de diversos compostos terapêuticos. A elucidação da ECS também lança luz sobre o fascínio humano pela cannabis, que parece ser a única planta que produz um potente ativador </w:t>
      </w:r>
      <w:proofErr w:type="spellStart"/>
      <w:r w:rsidRPr="003136F9">
        <w:rPr>
          <w:rFonts w:ascii="Arial" w:hAnsi="Arial" w:cs="Arial"/>
          <w:sz w:val="24"/>
          <w:szCs w:val="24"/>
        </w:rPr>
        <w:t>canabinoide</w:t>
      </w:r>
      <w:proofErr w:type="spellEnd"/>
      <w:r w:rsidRPr="003136F9">
        <w:rPr>
          <w:rFonts w:ascii="Arial" w:hAnsi="Arial" w:cs="Arial"/>
          <w:sz w:val="24"/>
          <w:szCs w:val="24"/>
        </w:rPr>
        <w:t xml:space="preserve"> de CB119.</w:t>
      </w:r>
    </w:p>
    <w:p w14:paraId="5C3E6D92" w14:textId="5717B4B1"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 O desenvolvimento atual de fármacos que alteram a sinalização dos </w:t>
      </w:r>
      <w:proofErr w:type="spellStart"/>
      <w:r w:rsidRPr="003136F9">
        <w:rPr>
          <w:rFonts w:ascii="Arial" w:hAnsi="Arial" w:cs="Arial"/>
          <w:sz w:val="24"/>
          <w:szCs w:val="24"/>
        </w:rPr>
        <w:t>endocanabinoides</w:t>
      </w:r>
      <w:proofErr w:type="spellEnd"/>
      <w:r w:rsidRPr="003136F9">
        <w:rPr>
          <w:rFonts w:ascii="Arial" w:hAnsi="Arial" w:cs="Arial"/>
          <w:sz w:val="24"/>
          <w:szCs w:val="24"/>
        </w:rPr>
        <w:t xml:space="preserve"> e como esse sistema complexo pode ser farmacologicamente manipulado no futuro deve ser foco de estudos futuros. Nesse sentido, a descoberta de novas entidades químicas (NEQ), candidatas a novas drogas na Cannabis sativa, compreende uma cadeia complexa que, para ser eficaz, precisa ser bem articulada.</w:t>
      </w:r>
    </w:p>
    <w:p w14:paraId="61FE6ABB" w14:textId="36E3B95A" w:rsidR="00933BE1" w:rsidRPr="003136F9" w:rsidRDefault="00933BE1" w:rsidP="0044684B">
      <w:pPr>
        <w:spacing w:after="0" w:line="360" w:lineRule="auto"/>
        <w:jc w:val="both"/>
        <w:rPr>
          <w:rFonts w:ascii="Arial" w:hAnsi="Arial" w:cs="Arial"/>
          <w:sz w:val="24"/>
          <w:szCs w:val="24"/>
        </w:rPr>
      </w:pPr>
      <w:r w:rsidRPr="003136F9">
        <w:rPr>
          <w:rFonts w:ascii="Arial" w:hAnsi="Arial" w:cs="Arial"/>
          <w:sz w:val="24"/>
          <w:szCs w:val="24"/>
        </w:rPr>
        <w:t xml:space="preserve"> </w:t>
      </w:r>
      <w:r w:rsidR="00BF1207" w:rsidRPr="003136F9">
        <w:rPr>
          <w:rFonts w:ascii="Arial" w:hAnsi="Arial" w:cs="Arial"/>
          <w:sz w:val="24"/>
          <w:szCs w:val="24"/>
        </w:rPr>
        <w:tab/>
      </w:r>
      <w:r w:rsidRPr="003136F9">
        <w:rPr>
          <w:rFonts w:ascii="Arial" w:hAnsi="Arial" w:cs="Arial"/>
          <w:sz w:val="24"/>
          <w:szCs w:val="24"/>
        </w:rPr>
        <w:t xml:space="preserve">Assim, um novo candidato a fármaco pode surgir por meio da seleção de moléculas bioativas, do emprego de alvos moleculares e da definição das vias bioquímicas nas quais esses compostos podem interferir (9). </w:t>
      </w:r>
      <w:r w:rsidR="00BF1207" w:rsidRPr="003136F9">
        <w:rPr>
          <w:rFonts w:ascii="Arial" w:hAnsi="Arial" w:cs="Arial"/>
          <w:sz w:val="24"/>
          <w:szCs w:val="24"/>
        </w:rPr>
        <w:t>Por conseguinte</w:t>
      </w:r>
      <w:r w:rsidRPr="003136F9">
        <w:rPr>
          <w:rFonts w:ascii="Arial" w:hAnsi="Arial" w:cs="Arial"/>
          <w:sz w:val="24"/>
          <w:szCs w:val="24"/>
        </w:rPr>
        <w:t>, por meio desse planejamento, é possível predizer e verificar atividades biológicas, de interesse da farmacologia, de moléculas presentes em um potencial fármaco (15).</w:t>
      </w:r>
    </w:p>
    <w:p w14:paraId="785168F6"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 Os </w:t>
      </w:r>
      <w:proofErr w:type="spellStart"/>
      <w:r w:rsidRPr="003136F9">
        <w:rPr>
          <w:rFonts w:ascii="Arial" w:hAnsi="Arial" w:cs="Arial"/>
          <w:sz w:val="24"/>
          <w:szCs w:val="24"/>
        </w:rPr>
        <w:t>fitocanabinóides</w:t>
      </w:r>
      <w:proofErr w:type="spellEnd"/>
      <w:r w:rsidRPr="003136F9">
        <w:rPr>
          <w:rFonts w:ascii="Arial" w:hAnsi="Arial" w:cs="Arial"/>
          <w:sz w:val="24"/>
          <w:szCs w:val="24"/>
        </w:rPr>
        <w:t xml:space="preserve"> são compostos altamente únicos, de ação promíscua, modulando uma gama de alvos farmacológicos, além de apresentarem alta capacidade antioxidante devido às suas estruturas fenólicas e à presença de grupos hidroxila (16-18). Essas características, juntamente com </w:t>
      </w:r>
      <w:r w:rsidRPr="003136F9">
        <w:rPr>
          <w:rFonts w:ascii="Arial" w:hAnsi="Arial" w:cs="Arial"/>
          <w:sz w:val="24"/>
          <w:szCs w:val="24"/>
        </w:rPr>
        <w:lastRenderedPageBreak/>
        <w:t xml:space="preserve">sua </w:t>
      </w:r>
      <w:proofErr w:type="spellStart"/>
      <w:r w:rsidRPr="003136F9">
        <w:rPr>
          <w:rFonts w:ascii="Arial" w:hAnsi="Arial" w:cs="Arial"/>
          <w:sz w:val="24"/>
          <w:szCs w:val="24"/>
        </w:rPr>
        <w:t>lipofilicidade</w:t>
      </w:r>
      <w:proofErr w:type="spellEnd"/>
      <w:r w:rsidRPr="003136F9">
        <w:rPr>
          <w:rFonts w:ascii="Arial" w:hAnsi="Arial" w:cs="Arial"/>
          <w:sz w:val="24"/>
          <w:szCs w:val="24"/>
        </w:rPr>
        <w:t xml:space="preserve"> e capacidade de atuar como agentes </w:t>
      </w:r>
      <w:proofErr w:type="spellStart"/>
      <w:r w:rsidRPr="003136F9">
        <w:rPr>
          <w:rFonts w:ascii="Arial" w:hAnsi="Arial" w:cs="Arial"/>
          <w:sz w:val="24"/>
          <w:szCs w:val="24"/>
        </w:rPr>
        <w:t>antiinflamatórios</w:t>
      </w:r>
      <w:proofErr w:type="spellEnd"/>
      <w:r w:rsidRPr="003136F9">
        <w:rPr>
          <w:rFonts w:ascii="Arial" w:hAnsi="Arial" w:cs="Arial"/>
          <w:sz w:val="24"/>
          <w:szCs w:val="24"/>
        </w:rPr>
        <w:t xml:space="preserve">, tornam-nos candidatos terapêuticos desejáveis ​​para o tratamento de distúrbios do SNC, pois podem atravessar efetivamente a barreira hematoencefálica (BBB), modular a resposta imune e abordar muitos aspectos da </w:t>
      </w:r>
      <w:proofErr w:type="spellStart"/>
      <w:r w:rsidRPr="003136F9">
        <w:rPr>
          <w:rFonts w:ascii="Arial" w:hAnsi="Arial" w:cs="Arial"/>
          <w:sz w:val="24"/>
          <w:szCs w:val="24"/>
        </w:rPr>
        <w:t>neurodegeneração</w:t>
      </w:r>
      <w:proofErr w:type="spellEnd"/>
      <w:r w:rsidRPr="003136F9">
        <w:rPr>
          <w:rFonts w:ascii="Arial" w:hAnsi="Arial" w:cs="Arial"/>
          <w:sz w:val="24"/>
          <w:szCs w:val="24"/>
        </w:rPr>
        <w:t xml:space="preserve"> (19) 24.</w:t>
      </w:r>
    </w:p>
    <w:p w14:paraId="6634AE2F" w14:textId="77777777" w:rsidR="00933BE1" w:rsidRPr="003136F9" w:rsidRDefault="00933BE1" w:rsidP="0044684B">
      <w:pPr>
        <w:spacing w:after="0" w:line="360" w:lineRule="auto"/>
        <w:ind w:firstLine="708"/>
        <w:jc w:val="both"/>
        <w:rPr>
          <w:rFonts w:ascii="Arial" w:hAnsi="Arial" w:cs="Arial"/>
          <w:sz w:val="24"/>
          <w:szCs w:val="24"/>
        </w:rPr>
      </w:pPr>
      <w:r w:rsidRPr="003136F9">
        <w:rPr>
          <w:rFonts w:ascii="Arial" w:hAnsi="Arial" w:cs="Arial"/>
          <w:sz w:val="24"/>
          <w:szCs w:val="24"/>
        </w:rPr>
        <w:t xml:space="preserve"> Essas características foram bem estabelecidas para Δ9-THC e CBD, mas são menos conhecidas para alguns dos constituintes secundários da planta. Assim, para compreender todo o potencial terapêutico da Cannabis sativa, a farmacologia dos componentes menos conhecidos da planta deve ser elucidada (17).</w:t>
      </w:r>
    </w:p>
    <w:p w14:paraId="50D41C52" w14:textId="43675DD3" w:rsidR="0044684B" w:rsidRPr="003136F9" w:rsidRDefault="00BF1207" w:rsidP="0044684B">
      <w:pPr>
        <w:spacing w:after="0" w:line="360" w:lineRule="auto"/>
        <w:ind w:firstLine="708"/>
        <w:jc w:val="both"/>
        <w:rPr>
          <w:rFonts w:ascii="Arial" w:hAnsi="Arial" w:cs="Arial"/>
          <w:sz w:val="24"/>
          <w:szCs w:val="24"/>
        </w:rPr>
      </w:pPr>
      <w:r w:rsidRPr="003136F9">
        <w:rPr>
          <w:rFonts w:ascii="Arial" w:hAnsi="Arial" w:cs="Arial"/>
          <w:sz w:val="24"/>
          <w:szCs w:val="24"/>
        </w:rPr>
        <w:t>Portanto</w:t>
      </w:r>
      <w:r w:rsidR="00933BE1" w:rsidRPr="003136F9">
        <w:rPr>
          <w:rFonts w:ascii="Arial" w:hAnsi="Arial" w:cs="Arial"/>
          <w:sz w:val="24"/>
          <w:szCs w:val="24"/>
        </w:rPr>
        <w:t xml:space="preserve">, dentro do cenário atual de autorizações recentes, este trabalho visa complementar as investigações dos mecanismos moleculares de </w:t>
      </w:r>
      <w:proofErr w:type="spellStart"/>
      <w:r w:rsidR="00933BE1" w:rsidRPr="003136F9">
        <w:rPr>
          <w:rFonts w:ascii="Arial" w:hAnsi="Arial" w:cs="Arial"/>
          <w:sz w:val="24"/>
          <w:szCs w:val="24"/>
        </w:rPr>
        <w:t>canna</w:t>
      </w:r>
      <w:r w:rsidR="0044684B" w:rsidRPr="003136F9">
        <w:rPr>
          <w:rFonts w:ascii="Arial" w:hAnsi="Arial" w:cs="Arial"/>
          <w:sz w:val="24"/>
          <w:szCs w:val="24"/>
        </w:rPr>
        <w:t>binoides</w:t>
      </w:r>
      <w:proofErr w:type="spellEnd"/>
      <w:r w:rsidR="0044684B" w:rsidRPr="003136F9">
        <w:rPr>
          <w:rFonts w:ascii="Arial" w:hAnsi="Arial" w:cs="Arial"/>
          <w:sz w:val="24"/>
          <w:szCs w:val="24"/>
        </w:rPr>
        <w:t xml:space="preserve"> e seus receptores, elucidando alvos moleculares que explicam o efeito dos metabólitos </w:t>
      </w:r>
      <w:proofErr w:type="spellStart"/>
      <w:r w:rsidR="0044684B" w:rsidRPr="003136F9">
        <w:rPr>
          <w:rFonts w:ascii="Arial" w:hAnsi="Arial" w:cs="Arial"/>
          <w:sz w:val="24"/>
          <w:szCs w:val="24"/>
        </w:rPr>
        <w:t>canabinoides</w:t>
      </w:r>
      <w:proofErr w:type="spellEnd"/>
      <w:r w:rsidR="0044684B" w:rsidRPr="003136F9">
        <w:rPr>
          <w:rFonts w:ascii="Arial" w:hAnsi="Arial" w:cs="Arial"/>
          <w:sz w:val="24"/>
          <w:szCs w:val="24"/>
        </w:rPr>
        <w:t xml:space="preserve"> presentes nesta espécie na neuromodulação central, por meio de métodos </w:t>
      </w:r>
      <w:r w:rsidR="0044684B" w:rsidRPr="003136F9">
        <w:rPr>
          <w:rFonts w:ascii="Arial" w:hAnsi="Arial" w:cs="Arial"/>
          <w:i/>
          <w:iCs/>
          <w:sz w:val="24"/>
          <w:szCs w:val="24"/>
        </w:rPr>
        <w:t xml:space="preserve">in </w:t>
      </w:r>
      <w:proofErr w:type="spellStart"/>
      <w:r w:rsidR="0044684B" w:rsidRPr="003136F9">
        <w:rPr>
          <w:rFonts w:ascii="Arial" w:hAnsi="Arial" w:cs="Arial"/>
          <w:i/>
          <w:iCs/>
          <w:sz w:val="24"/>
          <w:szCs w:val="24"/>
        </w:rPr>
        <w:t>silico</w:t>
      </w:r>
      <w:proofErr w:type="spellEnd"/>
      <w:r w:rsidR="0044684B" w:rsidRPr="003136F9">
        <w:rPr>
          <w:rFonts w:ascii="Arial" w:hAnsi="Arial" w:cs="Arial"/>
          <w:sz w:val="24"/>
          <w:szCs w:val="24"/>
        </w:rPr>
        <w:t>.</w:t>
      </w:r>
    </w:p>
    <w:p w14:paraId="788E1EFE" w14:textId="744F67FA" w:rsidR="78BB7069" w:rsidRPr="003136F9" w:rsidRDefault="0044684B" w:rsidP="0044684B">
      <w:pPr>
        <w:spacing w:after="0" w:line="360" w:lineRule="auto"/>
        <w:ind w:firstLine="708"/>
        <w:jc w:val="both"/>
        <w:rPr>
          <w:rFonts w:ascii="Arial" w:eastAsia="Times New Roman" w:hAnsi="Arial" w:cs="Arial"/>
          <w:color w:val="000000" w:themeColor="text1"/>
          <w:sz w:val="24"/>
          <w:szCs w:val="24"/>
          <w:lang w:eastAsia="pt-BR"/>
        </w:rPr>
      </w:pPr>
      <w:r w:rsidRPr="003136F9">
        <w:rPr>
          <w:rFonts w:ascii="Arial" w:hAnsi="Arial" w:cs="Arial"/>
          <w:sz w:val="24"/>
          <w:szCs w:val="24"/>
        </w:rPr>
        <w:t xml:space="preserve">Portanto, este estudo dos </w:t>
      </w:r>
      <w:proofErr w:type="spellStart"/>
      <w:r w:rsidRPr="003136F9">
        <w:rPr>
          <w:rFonts w:ascii="Arial" w:hAnsi="Arial" w:cs="Arial"/>
          <w:sz w:val="24"/>
          <w:szCs w:val="24"/>
        </w:rPr>
        <w:t>canabinóides</w:t>
      </w:r>
      <w:proofErr w:type="spellEnd"/>
      <w:r w:rsidRPr="003136F9">
        <w:rPr>
          <w:rFonts w:ascii="Arial" w:hAnsi="Arial" w:cs="Arial"/>
          <w:sz w:val="24"/>
          <w:szCs w:val="24"/>
        </w:rPr>
        <w:t xml:space="preserve"> presentes na </w:t>
      </w:r>
      <w:r w:rsidRPr="003136F9">
        <w:rPr>
          <w:rFonts w:ascii="Arial" w:hAnsi="Arial" w:cs="Arial"/>
          <w:i/>
          <w:iCs/>
          <w:sz w:val="24"/>
          <w:szCs w:val="24"/>
        </w:rPr>
        <w:t>Cannabis sativa</w:t>
      </w:r>
      <w:r w:rsidRPr="003136F9">
        <w:rPr>
          <w:rFonts w:ascii="Arial" w:hAnsi="Arial" w:cs="Arial"/>
          <w:sz w:val="24"/>
          <w:szCs w:val="24"/>
        </w:rPr>
        <w:t xml:space="preserve"> pode fornecer novas informações sobre suas altas margens de eficácia e segurança, e pode continuar a inspirar uma fonte rica de compostos refinados farmacologicamente associados a novas terapias. Portanto, tais resultados podem facilitar o caminho regulatório e burocrático para que médicos e cientistas realizem estudos bem delineados, buscando amenizar os sintomas de doenças neurológicas e psiquiátricas.</w:t>
      </w:r>
      <w:r w:rsidR="78BB7069" w:rsidRPr="003136F9">
        <w:rPr>
          <w:rFonts w:ascii="Arial" w:hAnsi="Arial" w:cs="Arial"/>
          <w:sz w:val="24"/>
          <w:szCs w:val="24"/>
        </w:rPr>
        <w:tab/>
      </w:r>
    </w:p>
    <w:p w14:paraId="1DBEC597" w14:textId="2AFFA0F6" w:rsidR="78BB7069" w:rsidRPr="003136F9" w:rsidRDefault="78BB7069" w:rsidP="78BB7069">
      <w:pPr>
        <w:spacing w:after="0" w:line="360" w:lineRule="auto"/>
        <w:ind w:firstLine="708"/>
        <w:jc w:val="both"/>
        <w:rPr>
          <w:rFonts w:ascii="Arial" w:eastAsia="Times New Roman" w:hAnsi="Arial" w:cs="Arial"/>
          <w:color w:val="000000" w:themeColor="text1"/>
          <w:sz w:val="24"/>
          <w:szCs w:val="24"/>
          <w:lang w:eastAsia="pt-BR"/>
        </w:rPr>
      </w:pPr>
    </w:p>
    <w:p w14:paraId="49B5C6FE" w14:textId="241CE7AB" w:rsidR="78BB7069" w:rsidRPr="003136F9" w:rsidRDefault="78BB7069" w:rsidP="00337C3C">
      <w:pPr>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b/>
          <w:bCs/>
          <w:color w:val="000000" w:themeColor="text1"/>
          <w:sz w:val="24"/>
          <w:szCs w:val="24"/>
          <w:lang w:eastAsia="pt-BR"/>
        </w:rPr>
        <w:t>M</w:t>
      </w:r>
      <w:r w:rsidR="0044684B" w:rsidRPr="003136F9">
        <w:rPr>
          <w:rFonts w:ascii="Arial" w:eastAsia="Times New Roman" w:hAnsi="Arial" w:cs="Arial"/>
          <w:b/>
          <w:bCs/>
          <w:color w:val="000000" w:themeColor="text1"/>
          <w:sz w:val="24"/>
          <w:szCs w:val="24"/>
          <w:lang w:eastAsia="pt-BR"/>
        </w:rPr>
        <w:t>étodos</w:t>
      </w:r>
    </w:p>
    <w:p w14:paraId="317FAA3E" w14:textId="0F966962" w:rsidR="78BB7069" w:rsidRPr="003136F9" w:rsidRDefault="78BB7069" w:rsidP="78BB7069">
      <w:pPr>
        <w:spacing w:after="0" w:line="360" w:lineRule="auto"/>
        <w:ind w:firstLine="708"/>
        <w:jc w:val="both"/>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 </w:t>
      </w:r>
    </w:p>
    <w:p w14:paraId="1A7FA3B7" w14:textId="77777777" w:rsidR="00933BE1" w:rsidRPr="003136F9" w:rsidRDefault="00933BE1" w:rsidP="00933BE1">
      <w:pPr>
        <w:spacing w:after="0" w:line="360" w:lineRule="auto"/>
        <w:ind w:firstLine="708"/>
        <w:jc w:val="both"/>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Os compostos ativos presentes nas espécies de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foram identificados por meio de pesquisas em artigos científicos nas bases de dados </w:t>
      </w:r>
      <w:proofErr w:type="spellStart"/>
      <w:r w:rsidRPr="003136F9">
        <w:rPr>
          <w:rFonts w:ascii="Arial" w:eastAsia="Times New Roman" w:hAnsi="Arial" w:cs="Arial"/>
          <w:color w:val="000000" w:themeColor="text1"/>
          <w:sz w:val="24"/>
          <w:szCs w:val="24"/>
          <w:lang w:eastAsia="pt-BR"/>
        </w:rPr>
        <w:t>Pubmed</w:t>
      </w:r>
      <w:proofErr w:type="spellEnd"/>
      <w:r w:rsidRPr="003136F9">
        <w:rPr>
          <w:rFonts w:ascii="Arial" w:eastAsia="Times New Roman" w:hAnsi="Arial" w:cs="Arial"/>
          <w:color w:val="000000" w:themeColor="text1"/>
          <w:sz w:val="24"/>
          <w:szCs w:val="24"/>
          <w:lang w:eastAsia="pt-BR"/>
        </w:rPr>
        <w:t xml:space="preserve"> (https://pubmed.ncbi.nlm.nih.gov/), </w:t>
      </w:r>
      <w:proofErr w:type="spellStart"/>
      <w:r w:rsidRPr="003136F9">
        <w:rPr>
          <w:rFonts w:ascii="Arial" w:eastAsia="Times New Roman" w:hAnsi="Arial" w:cs="Arial"/>
          <w:color w:val="000000" w:themeColor="text1"/>
          <w:sz w:val="24"/>
          <w:szCs w:val="24"/>
          <w:lang w:eastAsia="pt-BR"/>
        </w:rPr>
        <w:t>Scielo</w:t>
      </w:r>
      <w:proofErr w:type="spellEnd"/>
      <w:r w:rsidRPr="003136F9">
        <w:rPr>
          <w:rFonts w:ascii="Arial" w:eastAsia="Times New Roman" w:hAnsi="Arial" w:cs="Arial"/>
          <w:color w:val="000000" w:themeColor="text1"/>
          <w:sz w:val="24"/>
          <w:szCs w:val="24"/>
          <w:lang w:eastAsia="pt-BR"/>
        </w:rPr>
        <w:t xml:space="preserve"> (https://www.scielo.org/)</w:t>
      </w:r>
      <w:proofErr w:type="gramStart"/>
      <w:r w:rsidRPr="003136F9">
        <w:rPr>
          <w:rFonts w:ascii="Arial" w:eastAsia="Times New Roman" w:hAnsi="Arial" w:cs="Arial"/>
          <w:color w:val="000000" w:themeColor="text1"/>
          <w:sz w:val="24"/>
          <w:szCs w:val="24"/>
          <w:lang w:eastAsia="pt-BR"/>
        </w:rPr>
        <w:t>) ,</w:t>
      </w:r>
      <w:proofErr w:type="gram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Sciencedirect</w:t>
      </w:r>
      <w:proofErr w:type="spellEnd"/>
      <w:r w:rsidRPr="003136F9">
        <w:rPr>
          <w:rFonts w:ascii="Arial" w:eastAsia="Times New Roman" w:hAnsi="Arial" w:cs="Arial"/>
          <w:color w:val="000000" w:themeColor="text1"/>
          <w:sz w:val="24"/>
          <w:szCs w:val="24"/>
          <w:lang w:eastAsia="pt-BR"/>
        </w:rPr>
        <w:t xml:space="preserve"> (https://www.sciencedirect.com/) e Periódicos Capes (https://www-periodicos-capes-gov-br.ezl.periodicos.capes.gov.br/index.php?). Após a identificação desses compostos, a codificação das moléculas (através dos sorrisos canônicos) foi obtida no </w:t>
      </w:r>
      <w:proofErr w:type="spellStart"/>
      <w:r w:rsidRPr="003136F9">
        <w:rPr>
          <w:rFonts w:ascii="Arial" w:eastAsia="Times New Roman" w:hAnsi="Arial" w:cs="Arial"/>
          <w:color w:val="000000" w:themeColor="text1"/>
          <w:sz w:val="24"/>
          <w:szCs w:val="24"/>
          <w:lang w:eastAsia="pt-BR"/>
        </w:rPr>
        <w:t>Pubchem</w:t>
      </w:r>
      <w:proofErr w:type="spellEnd"/>
      <w:r w:rsidRPr="003136F9">
        <w:rPr>
          <w:rFonts w:ascii="Arial" w:eastAsia="Times New Roman" w:hAnsi="Arial" w:cs="Arial"/>
          <w:color w:val="000000" w:themeColor="text1"/>
          <w:sz w:val="24"/>
          <w:szCs w:val="24"/>
          <w:lang w:eastAsia="pt-BR"/>
        </w:rPr>
        <w:t xml:space="preserve"> (https://pubchem.ncbi.nlm.nih.gov/) (20) para posterior análise. Além disso, para rastrear propriedades farmacocinéticas, biológicas e toxicológicas, foram usados ​​os programas </w:t>
      </w:r>
      <w:proofErr w:type="spellStart"/>
      <w:r w:rsidRPr="003136F9">
        <w:rPr>
          <w:rFonts w:ascii="Arial" w:eastAsia="Times New Roman" w:hAnsi="Arial" w:cs="Arial"/>
          <w:color w:val="000000" w:themeColor="text1"/>
          <w:sz w:val="24"/>
          <w:szCs w:val="24"/>
          <w:lang w:eastAsia="pt-BR"/>
        </w:rPr>
        <w:t>SwissADME</w:t>
      </w:r>
      <w:proofErr w:type="spellEnd"/>
      <w:r w:rsidRPr="003136F9">
        <w:rPr>
          <w:rFonts w:ascii="Arial" w:eastAsia="Times New Roman" w:hAnsi="Arial" w:cs="Arial"/>
          <w:color w:val="000000" w:themeColor="text1"/>
          <w:sz w:val="24"/>
          <w:szCs w:val="24"/>
          <w:lang w:eastAsia="pt-BR"/>
        </w:rPr>
        <w:t xml:space="preserve"> (21) (http://www.swissadme.ch/). PASS PREDICTION (22), (23) </w:t>
      </w:r>
      <w:r w:rsidRPr="003136F9">
        <w:rPr>
          <w:rFonts w:ascii="Arial" w:eastAsia="Times New Roman" w:hAnsi="Arial" w:cs="Arial"/>
          <w:color w:val="000000" w:themeColor="text1"/>
          <w:sz w:val="24"/>
          <w:szCs w:val="24"/>
          <w:lang w:eastAsia="pt-BR"/>
        </w:rPr>
        <w:lastRenderedPageBreak/>
        <w:t>(http://way2drug.com/</w:t>
      </w:r>
      <w:proofErr w:type="spellStart"/>
      <w:r w:rsidRPr="003136F9">
        <w:rPr>
          <w:rFonts w:ascii="Arial" w:eastAsia="Times New Roman" w:hAnsi="Arial" w:cs="Arial"/>
          <w:color w:val="000000" w:themeColor="text1"/>
          <w:sz w:val="24"/>
          <w:szCs w:val="24"/>
          <w:lang w:eastAsia="pt-BR"/>
        </w:rPr>
        <w:t>PassOnline</w:t>
      </w:r>
      <w:proofErr w:type="spellEnd"/>
      <w:r w:rsidRPr="003136F9">
        <w:rPr>
          <w:rFonts w:ascii="Arial" w:eastAsia="Times New Roman" w:hAnsi="Arial" w:cs="Arial"/>
          <w:color w:val="000000" w:themeColor="text1"/>
          <w:sz w:val="24"/>
          <w:szCs w:val="24"/>
          <w:lang w:eastAsia="pt-BR"/>
        </w:rPr>
        <w:t xml:space="preserve">/), </w:t>
      </w:r>
      <w:proofErr w:type="spellStart"/>
      <w:r w:rsidRPr="003136F9">
        <w:rPr>
          <w:rFonts w:ascii="Arial" w:eastAsia="Times New Roman" w:hAnsi="Arial" w:cs="Arial"/>
          <w:color w:val="000000" w:themeColor="text1"/>
          <w:sz w:val="24"/>
          <w:szCs w:val="24"/>
          <w:lang w:eastAsia="pt-BR"/>
        </w:rPr>
        <w:t>Molinspiration</w:t>
      </w:r>
      <w:proofErr w:type="spellEnd"/>
      <w:r w:rsidRPr="003136F9">
        <w:rPr>
          <w:rFonts w:ascii="Arial" w:eastAsia="Times New Roman" w:hAnsi="Arial" w:cs="Arial"/>
          <w:color w:val="000000" w:themeColor="text1"/>
          <w:sz w:val="24"/>
          <w:szCs w:val="24"/>
          <w:lang w:eastAsia="pt-BR"/>
        </w:rPr>
        <w:t xml:space="preserve"> (24) (http://way2drug.com/</w:t>
      </w:r>
      <w:proofErr w:type="spellStart"/>
      <w:r w:rsidRPr="003136F9">
        <w:rPr>
          <w:rFonts w:ascii="Arial" w:eastAsia="Times New Roman" w:hAnsi="Arial" w:cs="Arial"/>
          <w:color w:val="000000" w:themeColor="text1"/>
          <w:sz w:val="24"/>
          <w:szCs w:val="24"/>
          <w:lang w:eastAsia="pt-BR"/>
        </w:rPr>
        <w:t>PassOnline</w:t>
      </w:r>
      <w:proofErr w:type="spellEnd"/>
      <w:r w:rsidRPr="003136F9">
        <w:rPr>
          <w:rFonts w:ascii="Arial" w:eastAsia="Times New Roman" w:hAnsi="Arial" w:cs="Arial"/>
          <w:color w:val="000000" w:themeColor="text1"/>
          <w:sz w:val="24"/>
          <w:szCs w:val="24"/>
          <w:lang w:eastAsia="pt-BR"/>
        </w:rPr>
        <w:t xml:space="preserve">/) e </w:t>
      </w:r>
      <w:proofErr w:type="spellStart"/>
      <w:r w:rsidRPr="003136F9">
        <w:rPr>
          <w:rFonts w:ascii="Arial" w:eastAsia="Times New Roman" w:hAnsi="Arial" w:cs="Arial"/>
          <w:color w:val="000000" w:themeColor="text1"/>
          <w:sz w:val="24"/>
          <w:szCs w:val="24"/>
          <w:lang w:eastAsia="pt-BR"/>
        </w:rPr>
        <w:t>ProToxII</w:t>
      </w:r>
      <w:proofErr w:type="spellEnd"/>
      <w:r w:rsidRPr="003136F9">
        <w:rPr>
          <w:rFonts w:ascii="Arial" w:eastAsia="Times New Roman" w:hAnsi="Arial" w:cs="Arial"/>
          <w:color w:val="000000" w:themeColor="text1"/>
          <w:sz w:val="24"/>
          <w:szCs w:val="24"/>
          <w:lang w:eastAsia="pt-BR"/>
        </w:rPr>
        <w:t xml:space="preserve"> (25) (26) (https: / /tox-new.charite.de/</w:t>
      </w:r>
      <w:proofErr w:type="spellStart"/>
      <w:r w:rsidRPr="003136F9">
        <w:rPr>
          <w:rFonts w:ascii="Arial" w:eastAsia="Times New Roman" w:hAnsi="Arial" w:cs="Arial"/>
          <w:color w:val="000000" w:themeColor="text1"/>
          <w:sz w:val="24"/>
          <w:szCs w:val="24"/>
          <w:lang w:eastAsia="pt-BR"/>
        </w:rPr>
        <w:t>protox_II</w:t>
      </w:r>
      <w:proofErr w:type="spellEnd"/>
      <w:r w:rsidRPr="003136F9">
        <w:rPr>
          <w:rFonts w:ascii="Arial" w:eastAsia="Times New Roman" w:hAnsi="Arial" w:cs="Arial"/>
          <w:color w:val="000000" w:themeColor="text1"/>
          <w:sz w:val="24"/>
          <w:szCs w:val="24"/>
          <w:lang w:eastAsia="pt-BR"/>
        </w:rPr>
        <w:t>/).</w:t>
      </w:r>
    </w:p>
    <w:p w14:paraId="2DB8535C" w14:textId="77777777" w:rsidR="00933BE1" w:rsidRPr="003136F9" w:rsidRDefault="00933BE1" w:rsidP="00933BE1">
      <w:pPr>
        <w:spacing w:after="0" w:line="360" w:lineRule="auto"/>
        <w:ind w:firstLine="708"/>
        <w:jc w:val="both"/>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A partir das substâncias selecionadas, foi realizada uma busca por possíveis alvos usando o programa </w:t>
      </w:r>
      <w:proofErr w:type="spellStart"/>
      <w:r w:rsidRPr="003136F9">
        <w:rPr>
          <w:rFonts w:ascii="Arial" w:eastAsia="Times New Roman" w:hAnsi="Arial" w:cs="Arial"/>
          <w:color w:val="000000" w:themeColor="text1"/>
          <w:sz w:val="24"/>
          <w:szCs w:val="24"/>
          <w:lang w:eastAsia="pt-BR"/>
        </w:rPr>
        <w:t>SwissTargetPrediction</w:t>
      </w:r>
      <w:proofErr w:type="spellEnd"/>
      <w:r w:rsidRPr="003136F9">
        <w:rPr>
          <w:rFonts w:ascii="Arial" w:eastAsia="Times New Roman" w:hAnsi="Arial" w:cs="Arial"/>
          <w:color w:val="000000" w:themeColor="text1"/>
          <w:sz w:val="24"/>
          <w:szCs w:val="24"/>
          <w:lang w:eastAsia="pt-BR"/>
        </w:rPr>
        <w:t xml:space="preserve"> (http://www.swisstargetprediction.ch/)(27), um servidor que permite prever os alvos macromoleculares mais prováveis ​​de </w:t>
      </w:r>
      <w:proofErr w:type="gramStart"/>
      <w:r w:rsidRPr="003136F9">
        <w:rPr>
          <w:rFonts w:ascii="Arial" w:eastAsia="Times New Roman" w:hAnsi="Arial" w:cs="Arial"/>
          <w:color w:val="000000" w:themeColor="text1"/>
          <w:sz w:val="24"/>
          <w:szCs w:val="24"/>
          <w:lang w:eastAsia="pt-BR"/>
        </w:rPr>
        <w:t>uma potencial</w:t>
      </w:r>
      <w:proofErr w:type="gramEnd"/>
      <w:r w:rsidRPr="003136F9">
        <w:rPr>
          <w:rFonts w:ascii="Arial" w:eastAsia="Times New Roman" w:hAnsi="Arial" w:cs="Arial"/>
          <w:color w:val="000000" w:themeColor="text1"/>
          <w:sz w:val="24"/>
          <w:szCs w:val="24"/>
          <w:lang w:eastAsia="pt-BR"/>
        </w:rPr>
        <w:t xml:space="preserve"> molécula de ligante. Os alvos que demonstraram relação com a atividade biológica investigada foram então obtidos no banco de dados </w:t>
      </w:r>
      <w:proofErr w:type="spellStart"/>
      <w:r w:rsidRPr="003136F9">
        <w:rPr>
          <w:rFonts w:ascii="Arial" w:eastAsia="Times New Roman" w:hAnsi="Arial" w:cs="Arial"/>
          <w:color w:val="000000" w:themeColor="text1"/>
          <w:sz w:val="24"/>
          <w:szCs w:val="24"/>
          <w:lang w:eastAsia="pt-BR"/>
        </w:rPr>
        <w:t>Protein</w:t>
      </w:r>
      <w:proofErr w:type="spellEnd"/>
      <w:r w:rsidRPr="003136F9">
        <w:rPr>
          <w:rFonts w:ascii="Arial" w:eastAsia="Times New Roman" w:hAnsi="Arial" w:cs="Arial"/>
          <w:color w:val="000000" w:themeColor="text1"/>
          <w:sz w:val="24"/>
          <w:szCs w:val="24"/>
          <w:lang w:eastAsia="pt-BR"/>
        </w:rPr>
        <w:t xml:space="preserve"> Data Bank (28) (PDB) (https://www.rcsb.org/). Os compostos com os maiores escores de atividade </w:t>
      </w:r>
      <w:proofErr w:type="spellStart"/>
      <w:r w:rsidRPr="003136F9">
        <w:rPr>
          <w:rFonts w:ascii="Arial" w:eastAsia="Times New Roman" w:hAnsi="Arial" w:cs="Arial"/>
          <w:color w:val="000000" w:themeColor="text1"/>
          <w:sz w:val="24"/>
          <w:szCs w:val="24"/>
          <w:lang w:eastAsia="pt-BR"/>
        </w:rPr>
        <w:t>neuromodulatória</w:t>
      </w:r>
      <w:proofErr w:type="spellEnd"/>
      <w:r w:rsidRPr="003136F9">
        <w:rPr>
          <w:rFonts w:ascii="Arial" w:eastAsia="Times New Roman" w:hAnsi="Arial" w:cs="Arial"/>
          <w:color w:val="000000" w:themeColor="text1"/>
          <w:sz w:val="24"/>
          <w:szCs w:val="24"/>
          <w:lang w:eastAsia="pt-BR"/>
        </w:rPr>
        <w:t xml:space="preserve"> nos servidores empregados foram selecionados para simulações de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molecular.</w:t>
      </w:r>
    </w:p>
    <w:p w14:paraId="212AAD58" w14:textId="31C77E02" w:rsidR="004024B2" w:rsidRPr="003136F9" w:rsidRDefault="00933BE1" w:rsidP="00933BE1">
      <w:pPr>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 </w:t>
      </w:r>
      <w:r w:rsidRPr="003136F9">
        <w:rPr>
          <w:rFonts w:ascii="Arial" w:eastAsia="Times New Roman" w:hAnsi="Arial" w:cs="Arial"/>
          <w:color w:val="000000" w:themeColor="text1"/>
          <w:sz w:val="24"/>
          <w:szCs w:val="24"/>
          <w:lang w:eastAsia="pt-BR"/>
        </w:rPr>
        <w:tab/>
        <w:t xml:space="preserve">Após a seleção dos alvos mais prováveis, o programa GOLD </w:t>
      </w:r>
      <w:proofErr w:type="spellStart"/>
      <w:r w:rsidRPr="003136F9">
        <w:rPr>
          <w:rFonts w:ascii="Arial" w:eastAsia="Times New Roman" w:hAnsi="Arial" w:cs="Arial"/>
          <w:color w:val="000000" w:themeColor="text1"/>
          <w:sz w:val="24"/>
          <w:szCs w:val="24"/>
          <w:lang w:eastAsia="pt-BR"/>
        </w:rPr>
        <w:t>Suite</w:t>
      </w:r>
      <w:proofErr w:type="spellEnd"/>
      <w:r w:rsidRPr="003136F9">
        <w:rPr>
          <w:rFonts w:ascii="Arial" w:eastAsia="Times New Roman" w:hAnsi="Arial" w:cs="Arial"/>
          <w:color w:val="000000" w:themeColor="text1"/>
          <w:sz w:val="24"/>
          <w:szCs w:val="24"/>
          <w:lang w:eastAsia="pt-BR"/>
        </w:rPr>
        <w:t xml:space="preserve"> 5.8.0 foi usado para realizar o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molecular (29). Após a preparação dos alvos moleculares, a região de interesse utilizada (sítio de ligação) para o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foi definida como todos os resíduos de proteína em um raio de 10A em relação ao ligante </w:t>
      </w:r>
      <w:proofErr w:type="spellStart"/>
      <w:r w:rsidRPr="003136F9">
        <w:rPr>
          <w:rFonts w:ascii="Arial" w:eastAsia="Times New Roman" w:hAnsi="Arial" w:cs="Arial"/>
          <w:color w:val="000000" w:themeColor="text1"/>
          <w:sz w:val="24"/>
          <w:szCs w:val="24"/>
          <w:lang w:eastAsia="pt-BR"/>
        </w:rPr>
        <w:t>cocristalizado</w:t>
      </w:r>
      <w:proofErr w:type="spellEnd"/>
      <w:r w:rsidRPr="003136F9">
        <w:rPr>
          <w:rFonts w:ascii="Arial" w:eastAsia="Times New Roman" w:hAnsi="Arial" w:cs="Arial"/>
          <w:color w:val="000000" w:themeColor="text1"/>
          <w:sz w:val="24"/>
          <w:szCs w:val="24"/>
          <w:lang w:eastAsia="pt-BR"/>
        </w:rPr>
        <w:t xml:space="preserve">. Condições padrão de todos os outros parâmetros foram utilizadas e o complexo PDB ID: 4UUQ foi submetido à análise do algoritmo genético e para este acoplamento foi utilizada a função de pontuação CHEMPLP38 associada à função de recorte ASP. Para validar os parâmetros do modelo, o </w:t>
      </w:r>
      <w:proofErr w:type="spellStart"/>
      <w:r w:rsidRPr="003136F9">
        <w:rPr>
          <w:rFonts w:ascii="Arial" w:eastAsia="Times New Roman" w:hAnsi="Arial" w:cs="Arial"/>
          <w:color w:val="000000" w:themeColor="text1"/>
          <w:sz w:val="24"/>
          <w:szCs w:val="24"/>
          <w:lang w:eastAsia="pt-BR"/>
        </w:rPr>
        <w:t>redocking</w:t>
      </w:r>
      <w:proofErr w:type="spellEnd"/>
      <w:r w:rsidRPr="003136F9">
        <w:rPr>
          <w:rFonts w:ascii="Arial" w:eastAsia="Times New Roman" w:hAnsi="Arial" w:cs="Arial"/>
          <w:color w:val="000000" w:themeColor="text1"/>
          <w:sz w:val="24"/>
          <w:szCs w:val="24"/>
          <w:lang w:eastAsia="pt-BR"/>
        </w:rPr>
        <w:t xml:space="preserve"> foi realizado utilizando o complexo ligante </w:t>
      </w:r>
      <w:proofErr w:type="spellStart"/>
      <w:r w:rsidRPr="003136F9">
        <w:rPr>
          <w:rFonts w:ascii="Arial" w:eastAsia="Times New Roman" w:hAnsi="Arial" w:cs="Arial"/>
          <w:color w:val="000000" w:themeColor="text1"/>
          <w:sz w:val="24"/>
          <w:szCs w:val="24"/>
          <w:lang w:eastAsia="pt-BR"/>
        </w:rPr>
        <w:t>co-cristalizado</w:t>
      </w:r>
      <w:proofErr w:type="spellEnd"/>
      <w:r w:rsidRPr="003136F9">
        <w:rPr>
          <w:rFonts w:ascii="Arial" w:eastAsia="Times New Roman" w:hAnsi="Arial" w:cs="Arial"/>
          <w:color w:val="000000" w:themeColor="text1"/>
          <w:sz w:val="24"/>
          <w:szCs w:val="24"/>
          <w:lang w:eastAsia="pt-BR"/>
        </w:rPr>
        <w:t xml:space="preserve"> com a proteína </w:t>
      </w:r>
      <w:proofErr w:type="spellStart"/>
      <w:r w:rsidRPr="003136F9">
        <w:rPr>
          <w:rFonts w:ascii="Arial" w:eastAsia="Times New Roman" w:hAnsi="Arial" w:cs="Arial"/>
          <w:color w:val="000000" w:themeColor="text1"/>
          <w:sz w:val="24"/>
          <w:szCs w:val="24"/>
          <w:lang w:eastAsia="pt-BR"/>
        </w:rPr>
        <w:t>cristalografada</w:t>
      </w:r>
      <w:proofErr w:type="spellEnd"/>
      <w:r w:rsidRPr="003136F9">
        <w:rPr>
          <w:rFonts w:ascii="Arial" w:eastAsia="Times New Roman" w:hAnsi="Arial" w:cs="Arial"/>
          <w:color w:val="000000" w:themeColor="text1"/>
          <w:sz w:val="24"/>
          <w:szCs w:val="24"/>
          <w:lang w:eastAsia="pt-BR"/>
        </w:rPr>
        <w:t xml:space="preserve"> e essas condições foram utilizadas para realizar o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com os melhores ligantes da espécie</w:t>
      </w:r>
      <w:r w:rsidRPr="003136F9">
        <w:rPr>
          <w:rFonts w:ascii="Arial" w:eastAsia="Times New Roman" w:hAnsi="Arial" w:cs="Arial"/>
          <w:b/>
          <w:bCs/>
          <w:color w:val="000000" w:themeColor="text1"/>
          <w:sz w:val="24"/>
          <w:szCs w:val="24"/>
          <w:lang w:eastAsia="pt-BR"/>
        </w:rPr>
        <w:t xml:space="preserve"> </w:t>
      </w:r>
      <w:r w:rsidRPr="003136F9">
        <w:rPr>
          <w:rFonts w:ascii="Arial" w:eastAsia="Times New Roman" w:hAnsi="Arial" w:cs="Arial"/>
          <w:i/>
          <w:iCs/>
          <w:color w:val="000000" w:themeColor="text1"/>
          <w:sz w:val="24"/>
          <w:szCs w:val="24"/>
          <w:lang w:eastAsia="pt-BR"/>
        </w:rPr>
        <w:t>Cannabis sativa.</w:t>
      </w:r>
    </w:p>
    <w:p w14:paraId="48564CA7" w14:textId="77777777" w:rsidR="00933BE1" w:rsidRPr="003136F9" w:rsidRDefault="00933BE1" w:rsidP="00933BE1">
      <w:pPr>
        <w:spacing w:after="0" w:line="360" w:lineRule="auto"/>
        <w:rPr>
          <w:rFonts w:ascii="Arial" w:eastAsia="Times New Roman" w:hAnsi="Arial" w:cs="Arial"/>
          <w:b/>
          <w:bCs/>
          <w:color w:val="000000" w:themeColor="text1"/>
          <w:sz w:val="24"/>
          <w:szCs w:val="24"/>
          <w:lang w:eastAsia="pt-BR"/>
        </w:rPr>
      </w:pPr>
    </w:p>
    <w:p w14:paraId="2412208C" w14:textId="77777777" w:rsidR="00933BE1" w:rsidRPr="003136F9" w:rsidRDefault="00933BE1" w:rsidP="00933BE1">
      <w:pPr>
        <w:spacing w:after="0" w:line="360" w:lineRule="auto"/>
        <w:rPr>
          <w:rFonts w:ascii="Arial" w:hAnsi="Arial" w:cs="Arial"/>
          <w:b/>
          <w:bCs/>
          <w:color w:val="000000" w:themeColor="text1"/>
          <w:sz w:val="24"/>
          <w:szCs w:val="24"/>
        </w:rPr>
      </w:pPr>
      <w:r w:rsidRPr="003136F9">
        <w:rPr>
          <w:rFonts w:ascii="Arial" w:hAnsi="Arial" w:cs="Arial"/>
          <w:b/>
          <w:bCs/>
          <w:color w:val="000000" w:themeColor="text1"/>
          <w:sz w:val="24"/>
          <w:szCs w:val="24"/>
        </w:rPr>
        <w:t>Resultados</w:t>
      </w:r>
    </w:p>
    <w:p w14:paraId="66776064" w14:textId="77777777" w:rsidR="00933BE1" w:rsidRPr="003136F9" w:rsidRDefault="00933BE1" w:rsidP="00933BE1">
      <w:pPr>
        <w:spacing w:after="0" w:line="360" w:lineRule="auto"/>
        <w:rPr>
          <w:rFonts w:ascii="Arial" w:hAnsi="Arial" w:cs="Arial"/>
          <w:color w:val="000000" w:themeColor="text1"/>
          <w:sz w:val="24"/>
          <w:szCs w:val="24"/>
        </w:rPr>
      </w:pPr>
      <w:r w:rsidRPr="003136F9">
        <w:rPr>
          <w:rFonts w:ascii="Arial" w:hAnsi="Arial" w:cs="Arial"/>
          <w:color w:val="000000" w:themeColor="text1"/>
          <w:sz w:val="24"/>
          <w:szCs w:val="24"/>
        </w:rPr>
        <w:t xml:space="preserve"> </w:t>
      </w:r>
    </w:p>
    <w:p w14:paraId="5D6575C7" w14:textId="365673DE" w:rsidR="00F67DB6" w:rsidRPr="003136F9" w:rsidRDefault="00933BE1" w:rsidP="00933BE1">
      <w:pPr>
        <w:spacing w:after="0" w:line="360" w:lineRule="auto"/>
        <w:jc w:val="both"/>
        <w:rPr>
          <w:rFonts w:ascii="Arial" w:hAnsi="Arial" w:cs="Arial"/>
          <w:color w:val="000000" w:themeColor="text1"/>
          <w:sz w:val="24"/>
          <w:szCs w:val="24"/>
        </w:rPr>
      </w:pPr>
      <w:r w:rsidRPr="003136F9">
        <w:rPr>
          <w:rFonts w:ascii="Arial" w:hAnsi="Arial" w:cs="Arial"/>
          <w:color w:val="000000" w:themeColor="text1"/>
          <w:sz w:val="24"/>
          <w:szCs w:val="24"/>
        </w:rPr>
        <w:t xml:space="preserve">  </w:t>
      </w:r>
      <w:r w:rsidRPr="003136F9">
        <w:rPr>
          <w:rFonts w:ascii="Arial" w:hAnsi="Arial" w:cs="Arial"/>
          <w:color w:val="000000" w:themeColor="text1"/>
          <w:sz w:val="24"/>
          <w:szCs w:val="24"/>
        </w:rPr>
        <w:tab/>
        <w:t xml:space="preserve">A </w:t>
      </w:r>
      <w:proofErr w:type="gramStart"/>
      <w:r w:rsidRPr="003136F9">
        <w:rPr>
          <w:rFonts w:ascii="Arial" w:hAnsi="Arial" w:cs="Arial"/>
          <w:color w:val="000000" w:themeColor="text1"/>
          <w:sz w:val="24"/>
          <w:szCs w:val="24"/>
        </w:rPr>
        <w:t xml:space="preserve">espécie  </w:t>
      </w:r>
      <w:r w:rsidRPr="003136F9">
        <w:rPr>
          <w:rFonts w:ascii="Arial" w:hAnsi="Arial" w:cs="Arial"/>
          <w:i/>
          <w:iCs/>
          <w:color w:val="000000" w:themeColor="text1"/>
          <w:sz w:val="24"/>
          <w:szCs w:val="24"/>
        </w:rPr>
        <w:t>Cannabis</w:t>
      </w:r>
      <w:proofErr w:type="gramEnd"/>
      <w:r w:rsidRPr="003136F9">
        <w:rPr>
          <w:rFonts w:ascii="Arial" w:hAnsi="Arial" w:cs="Arial"/>
          <w:i/>
          <w:iCs/>
          <w:color w:val="000000" w:themeColor="text1"/>
          <w:sz w:val="24"/>
          <w:szCs w:val="24"/>
        </w:rPr>
        <w:t xml:space="preserve"> sativa</w:t>
      </w:r>
      <w:r w:rsidRPr="003136F9">
        <w:rPr>
          <w:rFonts w:ascii="Arial" w:hAnsi="Arial" w:cs="Arial"/>
          <w:color w:val="000000" w:themeColor="text1"/>
          <w:sz w:val="24"/>
          <w:szCs w:val="24"/>
        </w:rPr>
        <w:t xml:space="preserve"> contêm centenas de metabólitos diferentes, divididos em compostos </w:t>
      </w:r>
      <w:proofErr w:type="spellStart"/>
      <w:r w:rsidRPr="003136F9">
        <w:rPr>
          <w:rFonts w:ascii="Arial" w:hAnsi="Arial" w:cs="Arial"/>
          <w:color w:val="000000" w:themeColor="text1"/>
          <w:sz w:val="24"/>
          <w:szCs w:val="24"/>
        </w:rPr>
        <w:t>canabinoides</w:t>
      </w:r>
      <w:proofErr w:type="spellEnd"/>
      <w:r w:rsidRPr="003136F9">
        <w:rPr>
          <w:rFonts w:ascii="Arial" w:hAnsi="Arial" w:cs="Arial"/>
          <w:color w:val="000000" w:themeColor="text1"/>
          <w:sz w:val="24"/>
          <w:szCs w:val="24"/>
        </w:rPr>
        <w:t xml:space="preserve"> e compostos não </w:t>
      </w:r>
      <w:proofErr w:type="spellStart"/>
      <w:r w:rsidRPr="003136F9">
        <w:rPr>
          <w:rFonts w:ascii="Arial" w:hAnsi="Arial" w:cs="Arial"/>
          <w:color w:val="000000" w:themeColor="text1"/>
          <w:sz w:val="24"/>
          <w:szCs w:val="24"/>
        </w:rPr>
        <w:t>canabinoides</w:t>
      </w:r>
      <w:proofErr w:type="spellEnd"/>
      <w:r w:rsidRPr="003136F9">
        <w:rPr>
          <w:rFonts w:ascii="Arial" w:hAnsi="Arial" w:cs="Arial"/>
          <w:color w:val="000000" w:themeColor="text1"/>
          <w:sz w:val="24"/>
          <w:szCs w:val="24"/>
        </w:rPr>
        <w:t xml:space="preserve">. Entre esses compostos, os principais </w:t>
      </w:r>
      <w:proofErr w:type="spellStart"/>
      <w:r w:rsidRPr="003136F9">
        <w:rPr>
          <w:rFonts w:ascii="Arial" w:hAnsi="Arial" w:cs="Arial"/>
          <w:color w:val="000000" w:themeColor="text1"/>
          <w:sz w:val="24"/>
          <w:szCs w:val="24"/>
        </w:rPr>
        <w:t>canabinóides</w:t>
      </w:r>
      <w:proofErr w:type="spellEnd"/>
      <w:r w:rsidRPr="003136F9">
        <w:rPr>
          <w:rFonts w:ascii="Arial" w:hAnsi="Arial" w:cs="Arial"/>
          <w:color w:val="000000" w:themeColor="text1"/>
          <w:sz w:val="24"/>
          <w:szCs w:val="24"/>
        </w:rPr>
        <w:t xml:space="preserve"> são: </w:t>
      </w:r>
      <w:proofErr w:type="spellStart"/>
      <w:r w:rsidRPr="003136F9">
        <w:rPr>
          <w:rFonts w:ascii="Arial" w:hAnsi="Arial" w:cs="Arial"/>
          <w:color w:val="000000" w:themeColor="text1"/>
          <w:sz w:val="24"/>
          <w:szCs w:val="24"/>
        </w:rPr>
        <w:t>canabigerol</w:t>
      </w:r>
      <w:proofErr w:type="spellEnd"/>
      <w:r w:rsidRPr="003136F9">
        <w:rPr>
          <w:rFonts w:ascii="Arial" w:hAnsi="Arial" w:cs="Arial"/>
          <w:color w:val="000000" w:themeColor="text1"/>
          <w:sz w:val="24"/>
          <w:szCs w:val="24"/>
        </w:rPr>
        <w:t xml:space="preserve">, Δ9 -tetrahidrocanabinol, </w:t>
      </w:r>
      <w:proofErr w:type="spellStart"/>
      <w:r w:rsidRPr="003136F9">
        <w:rPr>
          <w:rFonts w:ascii="Arial" w:hAnsi="Arial" w:cs="Arial"/>
          <w:color w:val="000000" w:themeColor="text1"/>
          <w:sz w:val="24"/>
          <w:szCs w:val="24"/>
        </w:rPr>
        <w:t>canabicromene</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canabidiol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canabielsoína</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canabiciclol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cannabinol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canabitriol</w:t>
      </w:r>
      <w:proofErr w:type="spellEnd"/>
      <w:r w:rsidRPr="003136F9">
        <w:rPr>
          <w:rFonts w:ascii="Arial" w:hAnsi="Arial" w:cs="Arial"/>
          <w:color w:val="000000" w:themeColor="text1"/>
          <w:sz w:val="24"/>
          <w:szCs w:val="24"/>
        </w:rPr>
        <w:t xml:space="preserve">, ácido </w:t>
      </w:r>
      <w:proofErr w:type="spellStart"/>
      <w:r w:rsidRPr="003136F9">
        <w:rPr>
          <w:rFonts w:ascii="Arial" w:hAnsi="Arial" w:cs="Arial"/>
          <w:color w:val="000000" w:themeColor="text1"/>
          <w:sz w:val="24"/>
          <w:szCs w:val="24"/>
        </w:rPr>
        <w:t>canabinólico</w:t>
      </w:r>
      <w:proofErr w:type="spellEnd"/>
      <w:r w:rsidRPr="003136F9">
        <w:rPr>
          <w:rFonts w:ascii="Arial" w:hAnsi="Arial" w:cs="Arial"/>
          <w:color w:val="000000" w:themeColor="text1"/>
          <w:sz w:val="24"/>
          <w:szCs w:val="24"/>
        </w:rPr>
        <w:t xml:space="preserve">, ácido </w:t>
      </w:r>
      <w:proofErr w:type="spellStart"/>
      <w:r w:rsidRPr="003136F9">
        <w:rPr>
          <w:rFonts w:ascii="Arial" w:hAnsi="Arial" w:cs="Arial"/>
          <w:color w:val="000000" w:themeColor="text1"/>
          <w:sz w:val="24"/>
          <w:szCs w:val="24"/>
        </w:rPr>
        <w:t>canabigerólico</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tetrahidrocanabinóide</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canabidiol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canabielsoína</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canabiciclol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cannabinol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canabitriol</w:t>
      </w:r>
      <w:proofErr w:type="spellEnd"/>
      <w:r w:rsidRPr="003136F9">
        <w:rPr>
          <w:rFonts w:ascii="Arial" w:hAnsi="Arial" w:cs="Arial"/>
          <w:color w:val="000000" w:themeColor="text1"/>
          <w:sz w:val="24"/>
          <w:szCs w:val="24"/>
        </w:rPr>
        <w:t xml:space="preserve">, ácido </w:t>
      </w:r>
      <w:proofErr w:type="spellStart"/>
      <w:r w:rsidRPr="003136F9">
        <w:rPr>
          <w:rFonts w:ascii="Arial" w:hAnsi="Arial" w:cs="Arial"/>
          <w:color w:val="000000" w:themeColor="text1"/>
          <w:sz w:val="24"/>
          <w:szCs w:val="24"/>
        </w:rPr>
        <w:t>canabinólico</w:t>
      </w:r>
      <w:proofErr w:type="spellEnd"/>
      <w:r w:rsidRPr="003136F9">
        <w:rPr>
          <w:rFonts w:ascii="Arial" w:hAnsi="Arial" w:cs="Arial"/>
          <w:color w:val="000000" w:themeColor="text1"/>
          <w:sz w:val="24"/>
          <w:szCs w:val="24"/>
        </w:rPr>
        <w:t xml:space="preserve">, ácido </w:t>
      </w:r>
      <w:proofErr w:type="spellStart"/>
      <w:r w:rsidRPr="003136F9">
        <w:rPr>
          <w:rFonts w:ascii="Arial" w:hAnsi="Arial" w:cs="Arial"/>
          <w:color w:val="000000" w:themeColor="text1"/>
          <w:sz w:val="24"/>
          <w:szCs w:val="24"/>
        </w:rPr>
        <w:t>canabigerólico</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tetrahidrocanabinóide</w:t>
      </w:r>
      <w:proofErr w:type="spellEnd"/>
      <w:r w:rsidRPr="003136F9">
        <w:rPr>
          <w:rFonts w:ascii="Arial" w:hAnsi="Arial" w:cs="Arial"/>
          <w:color w:val="000000" w:themeColor="text1"/>
          <w:sz w:val="24"/>
          <w:szCs w:val="24"/>
        </w:rPr>
        <w:t xml:space="preserve"> , 3,6,7-tetrametoxi-9,10-di-hidrofenantreno-4-ol.39</w:t>
      </w:r>
      <w:r w:rsidR="00D50DFB" w:rsidRPr="003136F9">
        <w:rPr>
          <w:rFonts w:ascii="Arial" w:hAnsi="Arial" w:cs="Arial"/>
          <w:color w:val="000000" w:themeColor="text1"/>
          <w:sz w:val="24"/>
          <w:szCs w:val="24"/>
        </w:rPr>
        <w:object w:dxaOrig="3780" w:dyaOrig="1470" w14:anchorId="3898B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86.25pt" o:ole="">
            <v:imagedata r:id="rId8" o:title=""/>
          </v:shape>
          <o:OLEObject Type="Embed" ProgID="ChemDraw.Document.6.0" ShapeID="_x0000_i1025" DrawAspect="Content" ObjectID="_1685974974" r:id="rId9"/>
        </w:object>
      </w:r>
      <w:r w:rsidR="004024B2" w:rsidRPr="003136F9">
        <w:rPr>
          <w:rFonts w:ascii="Arial" w:hAnsi="Arial" w:cs="Arial"/>
          <w:color w:val="000000" w:themeColor="text1"/>
          <w:sz w:val="24"/>
          <w:szCs w:val="24"/>
        </w:rPr>
        <w:t xml:space="preserve"> </w:t>
      </w:r>
      <w:r w:rsidR="004024B2" w:rsidRPr="003136F9">
        <w:rPr>
          <w:rFonts w:ascii="Arial" w:hAnsi="Arial" w:cs="Arial"/>
          <w:color w:val="000000" w:themeColor="text1"/>
          <w:sz w:val="24"/>
          <w:szCs w:val="24"/>
        </w:rPr>
        <w:object w:dxaOrig="3795" w:dyaOrig="1470" w14:anchorId="561912CB">
          <v:shape id="_x0000_i1026" type="#_x0000_t75" style="width:187.5pt;height:1in" o:ole="">
            <v:imagedata r:id="rId10" o:title=""/>
          </v:shape>
          <o:OLEObject Type="Embed" ProgID="ChemDraw.Document.6.0" ShapeID="_x0000_i1026" DrawAspect="Content" ObjectID="_1685974975" r:id="rId11"/>
        </w:object>
      </w:r>
      <w:r w:rsidR="004024B2" w:rsidRPr="003136F9">
        <w:rPr>
          <w:rFonts w:ascii="Arial" w:hAnsi="Arial" w:cs="Arial"/>
          <w:color w:val="000000" w:themeColor="text1"/>
          <w:sz w:val="24"/>
          <w:szCs w:val="24"/>
        </w:rPr>
        <w:object w:dxaOrig="4050" w:dyaOrig="2535" w14:anchorId="1AF2DEE0">
          <v:shape id="_x0000_i1027" type="#_x0000_t75" style="width:201.75pt;height:122.25pt" o:ole="">
            <v:imagedata r:id="rId12" o:title=""/>
          </v:shape>
          <o:OLEObject Type="Embed" ProgID="ChemDraw.Document.6.0" ShapeID="_x0000_i1027" DrawAspect="Content" ObjectID="_1685974976" r:id="rId13"/>
        </w:object>
      </w:r>
      <w:r w:rsidR="004024B2" w:rsidRPr="003136F9">
        <w:rPr>
          <w:rFonts w:ascii="Arial" w:hAnsi="Arial" w:cs="Arial"/>
          <w:color w:val="000000" w:themeColor="text1"/>
          <w:sz w:val="24"/>
          <w:szCs w:val="24"/>
        </w:rPr>
        <w:t xml:space="preserve">   </w:t>
      </w:r>
      <w:r w:rsidR="004024B2" w:rsidRPr="003136F9">
        <w:rPr>
          <w:rFonts w:ascii="Arial" w:hAnsi="Arial" w:cs="Arial"/>
          <w:color w:val="000000" w:themeColor="text1"/>
          <w:sz w:val="24"/>
          <w:szCs w:val="24"/>
        </w:rPr>
        <w:object w:dxaOrig="4275" w:dyaOrig="2310" w14:anchorId="725CE4C7">
          <v:shape id="_x0000_i1028" type="#_x0000_t75" style="width:3in;height:115.5pt" o:ole="">
            <v:imagedata r:id="rId14" o:title=""/>
          </v:shape>
          <o:OLEObject Type="Embed" ProgID="ChemDraw.Document.6.0" ShapeID="_x0000_i1028" DrawAspect="Content" ObjectID="_1685974977" r:id="rId15"/>
        </w:object>
      </w:r>
      <w:r w:rsidR="004024B2" w:rsidRPr="003136F9">
        <w:rPr>
          <w:rFonts w:ascii="Arial" w:hAnsi="Arial" w:cs="Arial"/>
          <w:color w:val="000000" w:themeColor="text1"/>
          <w:sz w:val="24"/>
          <w:szCs w:val="24"/>
        </w:rPr>
        <w:t xml:space="preserve"> </w:t>
      </w:r>
      <w:r w:rsidR="003F4AB8" w:rsidRPr="003136F9">
        <w:rPr>
          <w:rFonts w:ascii="Arial" w:hAnsi="Arial" w:cs="Arial"/>
          <w:color w:val="000000" w:themeColor="text1"/>
          <w:sz w:val="24"/>
          <w:szCs w:val="24"/>
        </w:rPr>
        <w:object w:dxaOrig="3780" w:dyaOrig="2970" w14:anchorId="508A62F8">
          <v:shape id="_x0000_i1029" type="#_x0000_t75" style="width:180pt;height:2in" o:ole="">
            <v:imagedata r:id="rId16" o:title=""/>
          </v:shape>
          <o:OLEObject Type="Embed" ProgID="ChemDraw.Document.6.0" ShapeID="_x0000_i1029" DrawAspect="Content" ObjectID="_1685974978" r:id="rId17"/>
        </w:object>
      </w:r>
      <w:r w:rsidR="004024B2" w:rsidRPr="003136F9">
        <w:rPr>
          <w:rFonts w:ascii="Arial" w:hAnsi="Arial" w:cs="Arial"/>
          <w:color w:val="000000" w:themeColor="text1"/>
          <w:sz w:val="24"/>
          <w:szCs w:val="24"/>
        </w:rPr>
        <w:object w:dxaOrig="4035" w:dyaOrig="2880" w14:anchorId="6803A161">
          <v:shape id="_x0000_i1030" type="#_x0000_t75" style="width:201.75pt;height:2in" o:ole="">
            <v:imagedata r:id="rId18" o:title=""/>
          </v:shape>
          <o:OLEObject Type="Embed" ProgID="ChemDraw.Document.6.0" ShapeID="_x0000_i1030" DrawAspect="Content" ObjectID="_1685974979" r:id="rId19"/>
        </w:object>
      </w:r>
    </w:p>
    <w:p w14:paraId="5632A260" w14:textId="77777777" w:rsidR="00F67DB6" w:rsidRPr="003136F9" w:rsidRDefault="00F67DB6" w:rsidP="00D50DFB">
      <w:pPr>
        <w:spacing w:after="0" w:line="360" w:lineRule="auto"/>
        <w:jc w:val="both"/>
        <w:rPr>
          <w:rFonts w:ascii="Arial" w:hAnsi="Arial" w:cs="Arial"/>
          <w:color w:val="000000" w:themeColor="text1"/>
          <w:sz w:val="24"/>
          <w:szCs w:val="24"/>
        </w:rPr>
      </w:pPr>
    </w:p>
    <w:p w14:paraId="6EE83E47" w14:textId="77777777" w:rsidR="00F67DB6" w:rsidRPr="003136F9" w:rsidRDefault="00F67DB6" w:rsidP="00D50DFB">
      <w:pPr>
        <w:spacing w:after="0" w:line="360" w:lineRule="auto"/>
        <w:jc w:val="both"/>
        <w:rPr>
          <w:rFonts w:ascii="Arial" w:hAnsi="Arial" w:cs="Arial"/>
          <w:color w:val="000000" w:themeColor="text1"/>
          <w:sz w:val="24"/>
          <w:szCs w:val="24"/>
        </w:rPr>
      </w:pPr>
    </w:p>
    <w:p w14:paraId="2A81C926" w14:textId="0408B71D" w:rsidR="004024B2" w:rsidRPr="003136F9" w:rsidRDefault="004024B2" w:rsidP="00D50DFB">
      <w:pPr>
        <w:spacing w:after="0" w:line="360" w:lineRule="auto"/>
        <w:jc w:val="both"/>
        <w:rPr>
          <w:rFonts w:ascii="Arial" w:hAnsi="Arial" w:cs="Arial"/>
          <w:color w:val="000000" w:themeColor="text1"/>
          <w:sz w:val="24"/>
          <w:szCs w:val="24"/>
        </w:rPr>
      </w:pPr>
      <w:r w:rsidRPr="003136F9">
        <w:rPr>
          <w:rFonts w:ascii="Arial" w:hAnsi="Arial" w:cs="Arial"/>
          <w:color w:val="000000" w:themeColor="text1"/>
          <w:sz w:val="24"/>
          <w:szCs w:val="24"/>
        </w:rPr>
        <w:object w:dxaOrig="4080" w:dyaOrig="1305" w14:anchorId="6E52E58B">
          <v:shape id="_x0000_i1031" type="#_x0000_t75" style="width:201.75pt;height:64.5pt" o:ole="">
            <v:imagedata r:id="rId20" o:title=""/>
          </v:shape>
          <o:OLEObject Type="Embed" ProgID="ChemDraw.Document.6.0" ShapeID="_x0000_i1031" DrawAspect="Content" ObjectID="_1685974980" r:id="rId21"/>
        </w:object>
      </w:r>
    </w:p>
    <w:p w14:paraId="500E7598" w14:textId="23669E1D" w:rsidR="004024B2" w:rsidRPr="003136F9" w:rsidRDefault="004024B2" w:rsidP="78BB7069">
      <w:pPr>
        <w:spacing w:after="0" w:line="360" w:lineRule="auto"/>
        <w:rPr>
          <w:rFonts w:ascii="Arial" w:hAnsi="Arial" w:cs="Arial"/>
          <w:i/>
          <w:iCs/>
          <w:color w:val="000000" w:themeColor="text1"/>
          <w:sz w:val="24"/>
          <w:szCs w:val="24"/>
        </w:rPr>
      </w:pPr>
      <w:r w:rsidRPr="003136F9">
        <w:rPr>
          <w:rFonts w:ascii="Arial" w:hAnsi="Arial" w:cs="Arial"/>
          <w:color w:val="000000" w:themeColor="text1"/>
          <w:sz w:val="24"/>
          <w:szCs w:val="24"/>
        </w:rPr>
        <w:object w:dxaOrig="4350" w:dyaOrig="2415" w14:anchorId="7D3D077E">
          <v:shape id="_x0000_i1032" type="#_x0000_t75" style="width:3in;height:122.25pt" o:ole="">
            <v:imagedata r:id="rId22" o:title=""/>
          </v:shape>
          <o:OLEObject Type="Embed" ProgID="ChemDraw.Document.6.0" ShapeID="_x0000_i1032" DrawAspect="Content" ObjectID="_1685974981" r:id="rId23"/>
        </w:object>
      </w:r>
      <w:r w:rsidRPr="003136F9">
        <w:rPr>
          <w:rFonts w:ascii="Arial" w:hAnsi="Arial" w:cs="Arial"/>
          <w:color w:val="000000" w:themeColor="text1"/>
          <w:sz w:val="24"/>
          <w:szCs w:val="24"/>
        </w:rPr>
        <w:t xml:space="preserve">  </w:t>
      </w:r>
      <w:r w:rsidRPr="003136F9">
        <w:rPr>
          <w:rFonts w:ascii="Arial" w:hAnsi="Arial" w:cs="Arial"/>
          <w:color w:val="000000" w:themeColor="text1"/>
          <w:sz w:val="24"/>
          <w:szCs w:val="24"/>
        </w:rPr>
        <w:object w:dxaOrig="3465" w:dyaOrig="2190" w14:anchorId="295572AC">
          <v:shape id="_x0000_i1033" type="#_x0000_t75" style="width:172.5pt;height:108pt" o:ole="">
            <v:imagedata r:id="rId24" o:title=""/>
          </v:shape>
          <o:OLEObject Type="Embed" ProgID="ChemDraw.Document.6.0" ShapeID="_x0000_i1033" DrawAspect="Content" ObjectID="_1685974982" r:id="rId25"/>
        </w:object>
      </w:r>
      <w:r w:rsidRPr="003136F9">
        <w:rPr>
          <w:rFonts w:ascii="Arial" w:hAnsi="Arial" w:cs="Arial"/>
          <w:color w:val="000000" w:themeColor="text1"/>
          <w:sz w:val="24"/>
          <w:szCs w:val="24"/>
        </w:rPr>
        <w:t xml:space="preserve"> </w:t>
      </w:r>
      <w:r w:rsidRPr="003136F9">
        <w:rPr>
          <w:rFonts w:ascii="Arial" w:hAnsi="Arial" w:cs="Arial"/>
          <w:color w:val="000000" w:themeColor="text1"/>
          <w:sz w:val="24"/>
          <w:szCs w:val="24"/>
        </w:rPr>
        <w:object w:dxaOrig="3645" w:dyaOrig="2505" w14:anchorId="4E1CFABD">
          <v:shape id="_x0000_i1034" type="#_x0000_t75" style="width:180pt;height:129.75pt" o:ole="">
            <v:imagedata r:id="rId26" o:title=""/>
          </v:shape>
          <o:OLEObject Type="Embed" ProgID="ChemDraw.Document.6.0" ShapeID="_x0000_i1034" DrawAspect="Content" ObjectID="_1685974983" r:id="rId27"/>
        </w:object>
      </w:r>
      <w:r w:rsidRPr="003136F9">
        <w:rPr>
          <w:rFonts w:ascii="Arial" w:eastAsia="Times New Roman" w:hAnsi="Arial" w:cs="Arial"/>
          <w:color w:val="000000" w:themeColor="text1"/>
          <w:sz w:val="24"/>
          <w:szCs w:val="24"/>
          <w:lang w:eastAsia="pt-BR"/>
        </w:rPr>
        <w:br/>
      </w:r>
      <w:r w:rsidR="00933BE1" w:rsidRPr="003136F9">
        <w:rPr>
          <w:rFonts w:ascii="Arial" w:hAnsi="Arial" w:cs="Arial"/>
          <w:b/>
          <w:bCs/>
          <w:color w:val="000000" w:themeColor="text1"/>
          <w:sz w:val="24"/>
          <w:szCs w:val="24"/>
        </w:rPr>
        <w:t>Figura 1</w:t>
      </w:r>
      <w:r w:rsidR="00933BE1" w:rsidRPr="003136F9">
        <w:rPr>
          <w:rFonts w:ascii="Arial" w:hAnsi="Arial" w:cs="Arial"/>
          <w:color w:val="000000" w:themeColor="text1"/>
          <w:sz w:val="24"/>
          <w:szCs w:val="24"/>
        </w:rPr>
        <w:t>.</w:t>
      </w:r>
      <w:r w:rsidR="00933BE1" w:rsidRPr="003136F9">
        <w:rPr>
          <w:rFonts w:ascii="Arial" w:hAnsi="Arial" w:cs="Arial"/>
          <w:i/>
          <w:iCs/>
          <w:color w:val="000000" w:themeColor="text1"/>
          <w:sz w:val="24"/>
          <w:szCs w:val="24"/>
        </w:rPr>
        <w:t xml:space="preserve"> </w:t>
      </w:r>
      <w:r w:rsidR="00933BE1" w:rsidRPr="003136F9">
        <w:rPr>
          <w:rFonts w:ascii="Arial" w:hAnsi="Arial" w:cs="Arial"/>
          <w:color w:val="000000" w:themeColor="text1"/>
          <w:sz w:val="24"/>
          <w:szCs w:val="24"/>
        </w:rPr>
        <w:t>Estruturas presentes na</w:t>
      </w:r>
      <w:r w:rsidR="00933BE1" w:rsidRPr="003136F9">
        <w:rPr>
          <w:rFonts w:ascii="Arial" w:hAnsi="Arial" w:cs="Arial"/>
          <w:i/>
          <w:iCs/>
          <w:color w:val="000000" w:themeColor="text1"/>
          <w:sz w:val="24"/>
          <w:szCs w:val="24"/>
        </w:rPr>
        <w:t xml:space="preserve"> espécie Cannabis sativa.</w:t>
      </w:r>
    </w:p>
    <w:p w14:paraId="55C22A4D" w14:textId="77777777" w:rsidR="004024B2" w:rsidRPr="003136F9" w:rsidRDefault="004024B2" w:rsidP="00D50DFB">
      <w:pPr>
        <w:spacing w:after="0" w:line="360" w:lineRule="auto"/>
        <w:jc w:val="both"/>
        <w:rPr>
          <w:rFonts w:ascii="Arial" w:hAnsi="Arial" w:cs="Arial"/>
          <w:color w:val="000000" w:themeColor="text1"/>
          <w:sz w:val="24"/>
          <w:szCs w:val="24"/>
        </w:rPr>
      </w:pPr>
      <w:r w:rsidRPr="003136F9">
        <w:rPr>
          <w:rFonts w:ascii="Arial" w:hAnsi="Arial" w:cs="Arial"/>
          <w:color w:val="000000" w:themeColor="text1"/>
          <w:sz w:val="24"/>
          <w:szCs w:val="24"/>
        </w:rPr>
        <w:tab/>
      </w:r>
    </w:p>
    <w:p w14:paraId="133D26E1" w14:textId="77777777" w:rsidR="009C0EBE" w:rsidRPr="003136F9" w:rsidRDefault="004024B2" w:rsidP="009C0EBE">
      <w:pPr>
        <w:spacing w:after="0" w:line="360" w:lineRule="auto"/>
        <w:jc w:val="both"/>
        <w:rPr>
          <w:rFonts w:ascii="Arial" w:hAnsi="Arial" w:cs="Arial"/>
          <w:color w:val="000000" w:themeColor="text1"/>
          <w:sz w:val="24"/>
          <w:szCs w:val="24"/>
        </w:rPr>
      </w:pPr>
      <w:r w:rsidRPr="003136F9">
        <w:rPr>
          <w:rFonts w:ascii="Arial" w:hAnsi="Arial" w:cs="Arial"/>
          <w:color w:val="000000" w:themeColor="text1"/>
          <w:sz w:val="24"/>
          <w:szCs w:val="24"/>
        </w:rPr>
        <w:tab/>
      </w:r>
      <w:r w:rsidR="009C0EBE" w:rsidRPr="003136F9">
        <w:rPr>
          <w:rFonts w:ascii="Arial" w:hAnsi="Arial" w:cs="Arial"/>
          <w:color w:val="000000" w:themeColor="text1"/>
          <w:sz w:val="24"/>
          <w:szCs w:val="24"/>
        </w:rPr>
        <w:t xml:space="preserve">Após a obtenção dos sorrisos canônicos desses compostos no </w:t>
      </w:r>
      <w:proofErr w:type="spellStart"/>
      <w:r w:rsidR="009C0EBE" w:rsidRPr="003136F9">
        <w:rPr>
          <w:rFonts w:ascii="Arial" w:hAnsi="Arial" w:cs="Arial"/>
          <w:color w:val="000000" w:themeColor="text1"/>
          <w:sz w:val="24"/>
          <w:szCs w:val="24"/>
        </w:rPr>
        <w:t>Pubchem</w:t>
      </w:r>
      <w:proofErr w:type="spellEnd"/>
      <w:r w:rsidR="009C0EBE" w:rsidRPr="003136F9">
        <w:rPr>
          <w:rFonts w:ascii="Arial" w:hAnsi="Arial" w:cs="Arial"/>
          <w:color w:val="000000" w:themeColor="text1"/>
          <w:sz w:val="24"/>
          <w:szCs w:val="24"/>
        </w:rPr>
        <w:t xml:space="preserve"> (20), todos foram submetidos à análise de predição farmacocinética e relação com a atividade biológica por meio dos programas </w:t>
      </w:r>
      <w:proofErr w:type="spellStart"/>
      <w:r w:rsidR="009C0EBE" w:rsidRPr="003136F9">
        <w:rPr>
          <w:rFonts w:ascii="Arial" w:hAnsi="Arial" w:cs="Arial"/>
          <w:color w:val="000000" w:themeColor="text1"/>
          <w:sz w:val="24"/>
          <w:szCs w:val="24"/>
        </w:rPr>
        <w:t>SwissADME</w:t>
      </w:r>
      <w:proofErr w:type="spellEnd"/>
      <w:r w:rsidR="009C0EBE" w:rsidRPr="003136F9">
        <w:rPr>
          <w:rFonts w:ascii="Arial" w:hAnsi="Arial" w:cs="Arial"/>
          <w:color w:val="000000" w:themeColor="text1"/>
          <w:sz w:val="24"/>
          <w:szCs w:val="24"/>
        </w:rPr>
        <w:t xml:space="preserve"> (21) e </w:t>
      </w:r>
      <w:proofErr w:type="spellStart"/>
      <w:r w:rsidR="009C0EBE" w:rsidRPr="003136F9">
        <w:rPr>
          <w:rFonts w:ascii="Arial" w:hAnsi="Arial" w:cs="Arial"/>
          <w:color w:val="000000" w:themeColor="text1"/>
          <w:sz w:val="24"/>
          <w:szCs w:val="24"/>
        </w:rPr>
        <w:t>PassPrediction</w:t>
      </w:r>
      <w:proofErr w:type="spellEnd"/>
      <w:r w:rsidR="009C0EBE" w:rsidRPr="003136F9">
        <w:rPr>
          <w:rFonts w:ascii="Arial" w:hAnsi="Arial" w:cs="Arial"/>
          <w:color w:val="000000" w:themeColor="text1"/>
          <w:sz w:val="24"/>
          <w:szCs w:val="24"/>
        </w:rPr>
        <w:t xml:space="preserve"> (22) (23), respectivamente. Os compostos analisados ​​foram classificados como medicamentosos, segundo os critérios de </w:t>
      </w:r>
      <w:proofErr w:type="spellStart"/>
      <w:r w:rsidR="009C0EBE" w:rsidRPr="003136F9">
        <w:rPr>
          <w:rFonts w:ascii="Arial" w:hAnsi="Arial" w:cs="Arial"/>
          <w:color w:val="000000" w:themeColor="text1"/>
          <w:sz w:val="24"/>
          <w:szCs w:val="24"/>
        </w:rPr>
        <w:t>Lipinski</w:t>
      </w:r>
      <w:proofErr w:type="spellEnd"/>
      <w:r w:rsidR="009C0EBE" w:rsidRPr="003136F9">
        <w:rPr>
          <w:rFonts w:ascii="Arial" w:hAnsi="Arial" w:cs="Arial"/>
          <w:color w:val="000000" w:themeColor="text1"/>
          <w:sz w:val="24"/>
          <w:szCs w:val="24"/>
        </w:rPr>
        <w:t xml:space="preserve">, que </w:t>
      </w:r>
      <w:proofErr w:type="spellStart"/>
      <w:r w:rsidR="009C0EBE" w:rsidRPr="003136F9">
        <w:rPr>
          <w:rFonts w:ascii="Arial" w:hAnsi="Arial" w:cs="Arial"/>
          <w:color w:val="000000" w:themeColor="text1"/>
          <w:sz w:val="24"/>
          <w:szCs w:val="24"/>
        </w:rPr>
        <w:t>prevêem</w:t>
      </w:r>
      <w:proofErr w:type="spellEnd"/>
      <w:r w:rsidR="009C0EBE" w:rsidRPr="003136F9">
        <w:rPr>
          <w:rFonts w:ascii="Arial" w:hAnsi="Arial" w:cs="Arial"/>
          <w:color w:val="000000" w:themeColor="text1"/>
          <w:sz w:val="24"/>
          <w:szCs w:val="24"/>
        </w:rPr>
        <w:t xml:space="preserve"> a capacidade de seu comportamento ser semelhante aos medicamentos de uso oral e a atividade metabólica desses elementos (30). Todos os 15 compostos estudados eram semelhantes a drogas, com no máximo 1 violação das regras de </w:t>
      </w:r>
      <w:proofErr w:type="spellStart"/>
      <w:r w:rsidR="009C0EBE" w:rsidRPr="003136F9">
        <w:rPr>
          <w:rFonts w:ascii="Arial" w:hAnsi="Arial" w:cs="Arial"/>
          <w:color w:val="000000" w:themeColor="text1"/>
          <w:sz w:val="24"/>
          <w:szCs w:val="24"/>
        </w:rPr>
        <w:t>Lipinski</w:t>
      </w:r>
      <w:proofErr w:type="spellEnd"/>
      <w:r w:rsidR="009C0EBE" w:rsidRPr="003136F9">
        <w:rPr>
          <w:rFonts w:ascii="Arial" w:hAnsi="Arial" w:cs="Arial"/>
          <w:color w:val="000000" w:themeColor="text1"/>
          <w:sz w:val="24"/>
          <w:szCs w:val="24"/>
        </w:rPr>
        <w:t>.</w:t>
      </w:r>
    </w:p>
    <w:p w14:paraId="14D8DDA1" w14:textId="2C094D85" w:rsidR="004024B2" w:rsidRPr="003136F9" w:rsidRDefault="009C0EBE" w:rsidP="009C0EBE">
      <w:pPr>
        <w:spacing w:after="0" w:line="360" w:lineRule="auto"/>
        <w:ind w:firstLine="708"/>
        <w:jc w:val="both"/>
        <w:rPr>
          <w:rFonts w:ascii="Arial" w:hAnsi="Arial" w:cs="Arial"/>
          <w:b/>
          <w:bCs/>
          <w:color w:val="000000" w:themeColor="text1"/>
          <w:sz w:val="24"/>
          <w:szCs w:val="24"/>
        </w:rPr>
      </w:pPr>
      <w:r w:rsidRPr="003136F9">
        <w:rPr>
          <w:rFonts w:ascii="Arial" w:hAnsi="Arial" w:cs="Arial"/>
          <w:color w:val="000000" w:themeColor="text1"/>
          <w:sz w:val="24"/>
          <w:szCs w:val="24"/>
        </w:rPr>
        <w:t xml:space="preserve">Em </w:t>
      </w:r>
      <w:proofErr w:type="spellStart"/>
      <w:r w:rsidRPr="003136F9">
        <w:rPr>
          <w:rFonts w:ascii="Arial" w:hAnsi="Arial" w:cs="Arial"/>
          <w:color w:val="000000" w:themeColor="text1"/>
          <w:sz w:val="24"/>
          <w:szCs w:val="24"/>
        </w:rPr>
        <w:t>SwissADME</w:t>
      </w:r>
      <w:proofErr w:type="spellEnd"/>
      <w:r w:rsidRPr="003136F9">
        <w:rPr>
          <w:rFonts w:ascii="Arial" w:hAnsi="Arial" w:cs="Arial"/>
          <w:color w:val="000000" w:themeColor="text1"/>
          <w:sz w:val="24"/>
          <w:szCs w:val="24"/>
        </w:rPr>
        <w:t xml:space="preserve"> (21), também foi possível predizer a capacidade de absorção pelo trato gastrointestinal (TGI) e a permeabilidade na barreira hematoencefálica (BBB) ​​com base nas estruturas dos compostos. Dos compostos estudados, todos, exceto a </w:t>
      </w:r>
      <w:proofErr w:type="spellStart"/>
      <w:r w:rsidRPr="003136F9">
        <w:rPr>
          <w:rFonts w:ascii="Arial" w:hAnsi="Arial" w:cs="Arial"/>
          <w:color w:val="000000" w:themeColor="text1"/>
          <w:sz w:val="24"/>
          <w:szCs w:val="24"/>
        </w:rPr>
        <w:t>cannflavina</w:t>
      </w:r>
      <w:proofErr w:type="spellEnd"/>
      <w:r w:rsidRPr="003136F9">
        <w:rPr>
          <w:rFonts w:ascii="Arial" w:hAnsi="Arial" w:cs="Arial"/>
          <w:color w:val="000000" w:themeColor="text1"/>
          <w:sz w:val="24"/>
          <w:szCs w:val="24"/>
        </w:rPr>
        <w:t xml:space="preserve"> C, mostraram ter alta absorção por TGI. Além disso, os compostos </w:t>
      </w:r>
      <w:proofErr w:type="spellStart"/>
      <w:r w:rsidRPr="003136F9">
        <w:rPr>
          <w:rFonts w:ascii="Arial" w:hAnsi="Arial" w:cs="Arial"/>
          <w:color w:val="000000" w:themeColor="text1"/>
          <w:sz w:val="24"/>
          <w:szCs w:val="24"/>
        </w:rPr>
        <w:t>canabigerol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canabicromeno</w:t>
      </w:r>
      <w:proofErr w:type="spellEnd"/>
      <w:r w:rsidRPr="003136F9">
        <w:rPr>
          <w:rFonts w:ascii="Arial" w:hAnsi="Arial" w:cs="Arial"/>
          <w:color w:val="000000" w:themeColor="text1"/>
          <w:sz w:val="24"/>
          <w:szCs w:val="24"/>
        </w:rPr>
        <w:t xml:space="preserve">, ácido </w:t>
      </w:r>
      <w:proofErr w:type="spellStart"/>
      <w:r w:rsidRPr="003136F9">
        <w:rPr>
          <w:rFonts w:ascii="Arial" w:hAnsi="Arial" w:cs="Arial"/>
          <w:color w:val="000000" w:themeColor="text1"/>
          <w:sz w:val="24"/>
          <w:szCs w:val="24"/>
        </w:rPr>
        <w:t>canabinólico</w:t>
      </w:r>
      <w:proofErr w:type="spellEnd"/>
      <w:r w:rsidRPr="003136F9">
        <w:rPr>
          <w:rFonts w:ascii="Arial" w:hAnsi="Arial" w:cs="Arial"/>
          <w:color w:val="000000" w:themeColor="text1"/>
          <w:sz w:val="24"/>
          <w:szCs w:val="24"/>
        </w:rPr>
        <w:t xml:space="preserve">, ácido </w:t>
      </w:r>
      <w:proofErr w:type="spellStart"/>
      <w:r w:rsidRPr="003136F9">
        <w:rPr>
          <w:rFonts w:ascii="Arial" w:hAnsi="Arial" w:cs="Arial"/>
          <w:color w:val="000000" w:themeColor="text1"/>
          <w:sz w:val="24"/>
          <w:szCs w:val="24"/>
        </w:rPr>
        <w:t>canabigerólico</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cannflavina</w:t>
      </w:r>
      <w:proofErr w:type="spellEnd"/>
      <w:r w:rsidRPr="003136F9">
        <w:rPr>
          <w:rFonts w:ascii="Arial" w:hAnsi="Arial" w:cs="Arial"/>
          <w:color w:val="000000" w:themeColor="text1"/>
          <w:sz w:val="24"/>
          <w:szCs w:val="24"/>
        </w:rPr>
        <w:t xml:space="preserve"> C, </w:t>
      </w:r>
      <w:proofErr w:type="spellStart"/>
      <w:r w:rsidRPr="003136F9">
        <w:rPr>
          <w:rFonts w:ascii="Arial" w:hAnsi="Arial" w:cs="Arial"/>
          <w:color w:val="000000" w:themeColor="text1"/>
          <w:sz w:val="24"/>
          <w:szCs w:val="24"/>
        </w:rPr>
        <w:t>crioeriol</w:t>
      </w:r>
      <w:proofErr w:type="spellEnd"/>
      <w:r w:rsidRPr="003136F9">
        <w:rPr>
          <w:rFonts w:ascii="Arial" w:hAnsi="Arial" w:cs="Arial"/>
          <w:color w:val="000000" w:themeColor="text1"/>
          <w:sz w:val="24"/>
          <w:szCs w:val="24"/>
        </w:rPr>
        <w:t xml:space="preserve"> e 6-prenilapigenina não cruzam a BBB, os outros compostos sim. Além disso, a classe de toxicidade e a dose letal média (DL50) foram obtidas por meio do </w:t>
      </w:r>
      <w:proofErr w:type="spellStart"/>
      <w:r w:rsidRPr="003136F9">
        <w:rPr>
          <w:rFonts w:ascii="Arial" w:hAnsi="Arial" w:cs="Arial"/>
          <w:color w:val="000000" w:themeColor="text1"/>
          <w:sz w:val="24"/>
          <w:szCs w:val="24"/>
        </w:rPr>
        <w:t>ProToxII</w:t>
      </w:r>
      <w:proofErr w:type="spellEnd"/>
      <w:r w:rsidRPr="003136F9">
        <w:rPr>
          <w:rFonts w:ascii="Arial" w:hAnsi="Arial" w:cs="Arial"/>
          <w:color w:val="000000" w:themeColor="text1"/>
          <w:sz w:val="24"/>
          <w:szCs w:val="24"/>
        </w:rPr>
        <w:t xml:space="preserve"> (25) (26), que demonstrou toxicidade classe 4 para a maioria dos compostos, com exceção do </w:t>
      </w:r>
      <w:proofErr w:type="spellStart"/>
      <w:r w:rsidRPr="003136F9">
        <w:rPr>
          <w:rFonts w:ascii="Arial" w:hAnsi="Arial" w:cs="Arial"/>
          <w:color w:val="000000" w:themeColor="text1"/>
          <w:sz w:val="24"/>
          <w:szCs w:val="24"/>
        </w:rPr>
        <w:t>canabinol</w:t>
      </w:r>
      <w:proofErr w:type="spellEnd"/>
      <w:r w:rsidRPr="003136F9">
        <w:rPr>
          <w:rFonts w:ascii="Arial" w:hAnsi="Arial" w:cs="Arial"/>
          <w:color w:val="000000" w:themeColor="text1"/>
          <w:sz w:val="24"/>
          <w:szCs w:val="24"/>
        </w:rPr>
        <w:t xml:space="preserve">, classe 6, e aqueles que apresentaram classe 5, </w:t>
      </w:r>
      <w:proofErr w:type="spellStart"/>
      <w:r w:rsidRPr="003136F9">
        <w:rPr>
          <w:rFonts w:ascii="Arial" w:hAnsi="Arial" w:cs="Arial"/>
          <w:color w:val="000000" w:themeColor="text1"/>
          <w:sz w:val="24"/>
          <w:szCs w:val="24"/>
        </w:rPr>
        <w:t>cannflavina</w:t>
      </w:r>
      <w:proofErr w:type="spellEnd"/>
      <w:r w:rsidRPr="003136F9">
        <w:rPr>
          <w:rFonts w:ascii="Arial" w:hAnsi="Arial" w:cs="Arial"/>
          <w:color w:val="000000" w:themeColor="text1"/>
          <w:sz w:val="24"/>
          <w:szCs w:val="24"/>
        </w:rPr>
        <w:t xml:space="preserve"> C, </w:t>
      </w:r>
      <w:proofErr w:type="spellStart"/>
      <w:r w:rsidRPr="003136F9">
        <w:rPr>
          <w:rFonts w:ascii="Arial" w:hAnsi="Arial" w:cs="Arial"/>
          <w:color w:val="000000" w:themeColor="text1"/>
          <w:sz w:val="24"/>
          <w:szCs w:val="24"/>
        </w:rPr>
        <w:lastRenderedPageBreak/>
        <w:t>crioseriol</w:t>
      </w:r>
      <w:proofErr w:type="spellEnd"/>
      <w:r w:rsidRPr="003136F9">
        <w:rPr>
          <w:rFonts w:ascii="Arial" w:hAnsi="Arial" w:cs="Arial"/>
          <w:color w:val="000000" w:themeColor="text1"/>
          <w:sz w:val="24"/>
          <w:szCs w:val="24"/>
        </w:rPr>
        <w:t xml:space="preserve"> e 6-prenilapigenina. A ação desses metabólitos nos receptores do sistema nervoso central foi prevista por </w:t>
      </w:r>
      <w:proofErr w:type="spellStart"/>
      <w:r w:rsidRPr="003136F9">
        <w:rPr>
          <w:rFonts w:ascii="Arial" w:hAnsi="Arial" w:cs="Arial"/>
          <w:color w:val="000000" w:themeColor="text1"/>
          <w:sz w:val="24"/>
          <w:szCs w:val="24"/>
        </w:rPr>
        <w:t>SwissTargetPrediction</w:t>
      </w:r>
      <w:proofErr w:type="spellEnd"/>
      <w:r w:rsidRPr="003136F9">
        <w:rPr>
          <w:rFonts w:ascii="Arial" w:hAnsi="Arial" w:cs="Arial"/>
          <w:color w:val="000000" w:themeColor="text1"/>
          <w:sz w:val="24"/>
          <w:szCs w:val="24"/>
        </w:rPr>
        <w:t xml:space="preserve"> (27). Todos esses resultados estão resumidos na Tabela 1.</w:t>
      </w:r>
      <w:r w:rsidR="004024B2" w:rsidRPr="003136F9">
        <w:rPr>
          <w:rFonts w:ascii="Arial" w:hAnsi="Arial" w:cs="Arial"/>
          <w:color w:val="000000" w:themeColor="text1"/>
          <w:sz w:val="24"/>
          <w:szCs w:val="24"/>
        </w:rPr>
        <w:t xml:space="preserve"> </w:t>
      </w:r>
    </w:p>
    <w:p w14:paraId="25FA2489" w14:textId="4F014A0F" w:rsidR="78BB7069" w:rsidRPr="003136F9" w:rsidRDefault="78BB7069" w:rsidP="78BB7069">
      <w:pPr>
        <w:spacing w:after="0" w:line="360" w:lineRule="auto"/>
        <w:ind w:firstLine="708"/>
        <w:jc w:val="both"/>
        <w:rPr>
          <w:rFonts w:ascii="Arial" w:hAnsi="Arial" w:cs="Arial"/>
          <w:color w:val="000000" w:themeColor="text1"/>
          <w:sz w:val="24"/>
          <w:szCs w:val="24"/>
        </w:rPr>
      </w:pPr>
    </w:p>
    <w:p w14:paraId="5EBB1432" w14:textId="1EB13B5E" w:rsidR="004024B2" w:rsidRPr="003136F9" w:rsidRDefault="009C0EBE" w:rsidP="00D50DFB">
      <w:pPr>
        <w:spacing w:after="0" w:line="360" w:lineRule="auto"/>
        <w:jc w:val="both"/>
        <w:rPr>
          <w:rFonts w:ascii="Arial" w:hAnsi="Arial" w:cs="Arial"/>
          <w:i/>
          <w:iCs/>
          <w:color w:val="000000" w:themeColor="text1"/>
          <w:sz w:val="24"/>
          <w:szCs w:val="24"/>
        </w:rPr>
      </w:pPr>
      <w:r w:rsidRPr="003136F9">
        <w:rPr>
          <w:rFonts w:ascii="Arial" w:hAnsi="Arial" w:cs="Arial"/>
          <w:b/>
          <w:bCs/>
          <w:color w:val="000000" w:themeColor="text1"/>
          <w:sz w:val="24"/>
          <w:szCs w:val="24"/>
        </w:rPr>
        <w:t>Tabela 1</w:t>
      </w:r>
      <w:r w:rsidRPr="003136F9">
        <w:rPr>
          <w:rFonts w:ascii="Arial" w:hAnsi="Arial" w:cs="Arial"/>
          <w:color w:val="000000" w:themeColor="text1"/>
          <w:sz w:val="24"/>
          <w:szCs w:val="24"/>
        </w:rPr>
        <w:t xml:space="preserve">. Resumo das propriedades dos metabólitos presentes nas espécies de </w:t>
      </w:r>
      <w:r w:rsidRPr="003136F9">
        <w:rPr>
          <w:rFonts w:ascii="Arial" w:hAnsi="Arial" w:cs="Arial"/>
          <w:i/>
          <w:iCs/>
          <w:color w:val="000000" w:themeColor="text1"/>
          <w:sz w:val="24"/>
          <w:szCs w:val="24"/>
        </w:rPr>
        <w:t>Cannabis sativa</w:t>
      </w:r>
    </w:p>
    <w:tbl>
      <w:tblPr>
        <w:tblStyle w:val="Tabelacomgrade"/>
        <w:tblW w:w="10905" w:type="dxa"/>
        <w:tblInd w:w="-1139" w:type="dxa"/>
        <w:tblBorders>
          <w:top w:val="none" w:sz="0" w:space="0" w:color="auto"/>
          <w:left w:val="none" w:sz="0" w:space="0" w:color="auto"/>
          <w:bottom w:val="none" w:sz="0" w:space="0" w:color="auto"/>
          <w:right w:val="none" w:sz="0" w:space="0" w:color="auto"/>
          <w:insideV w:val="none" w:sz="0" w:space="0" w:color="auto"/>
        </w:tblBorders>
        <w:tblLayout w:type="fixed"/>
        <w:tblLook w:val="06A0" w:firstRow="1" w:lastRow="0" w:firstColumn="1" w:lastColumn="0" w:noHBand="1" w:noVBand="1"/>
      </w:tblPr>
      <w:tblGrid>
        <w:gridCol w:w="1561"/>
        <w:gridCol w:w="710"/>
        <w:gridCol w:w="850"/>
        <w:gridCol w:w="567"/>
        <w:gridCol w:w="709"/>
        <w:gridCol w:w="849"/>
        <w:gridCol w:w="850"/>
        <w:gridCol w:w="567"/>
        <w:gridCol w:w="713"/>
        <w:gridCol w:w="567"/>
        <w:gridCol w:w="1128"/>
        <w:gridCol w:w="567"/>
        <w:gridCol w:w="1267"/>
      </w:tblGrid>
      <w:tr w:rsidR="007F376B" w:rsidRPr="003136F9" w14:paraId="3718BD41" w14:textId="77777777" w:rsidTr="78BB7069">
        <w:tc>
          <w:tcPr>
            <w:tcW w:w="1561" w:type="dxa"/>
            <w:tcBorders>
              <w:top w:val="single" w:sz="4" w:space="0" w:color="auto"/>
              <w:left w:val="nil"/>
              <w:bottom w:val="single" w:sz="4" w:space="0" w:color="auto"/>
              <w:right w:val="nil"/>
            </w:tcBorders>
            <w:hideMark/>
          </w:tcPr>
          <w:p w14:paraId="643B4099" w14:textId="20DC1CE7" w:rsidR="004024B2" w:rsidRPr="003136F9" w:rsidRDefault="78BB7069" w:rsidP="78BB7069">
            <w:pPr>
              <w:spacing w:line="360" w:lineRule="auto"/>
              <w:jc w:val="both"/>
              <w:rPr>
                <w:rFonts w:ascii="Arial" w:hAnsi="Arial" w:cs="Arial"/>
                <w:color w:val="000000" w:themeColor="text1"/>
              </w:rPr>
            </w:pPr>
            <w:r w:rsidRPr="003136F9">
              <w:rPr>
                <w:rFonts w:ascii="Arial" w:hAnsi="Arial" w:cs="Arial"/>
                <w:color w:val="000000" w:themeColor="text1"/>
              </w:rPr>
              <w:t>Compo</w:t>
            </w:r>
            <w:r w:rsidR="009C0EBE" w:rsidRPr="003136F9">
              <w:rPr>
                <w:rFonts w:ascii="Arial" w:hAnsi="Arial" w:cs="Arial"/>
                <w:color w:val="000000" w:themeColor="text1"/>
              </w:rPr>
              <w:t>stos</w:t>
            </w:r>
          </w:p>
        </w:tc>
        <w:tc>
          <w:tcPr>
            <w:tcW w:w="710" w:type="dxa"/>
            <w:tcBorders>
              <w:top w:val="single" w:sz="4" w:space="0" w:color="auto"/>
              <w:left w:val="nil"/>
              <w:bottom w:val="single" w:sz="4" w:space="0" w:color="auto"/>
              <w:right w:val="nil"/>
            </w:tcBorders>
            <w:hideMark/>
          </w:tcPr>
          <w:p w14:paraId="502A1CB3"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 xml:space="preserve"> MW</w:t>
            </w:r>
          </w:p>
        </w:tc>
        <w:tc>
          <w:tcPr>
            <w:tcW w:w="850" w:type="dxa"/>
            <w:tcBorders>
              <w:top w:val="single" w:sz="4" w:space="0" w:color="auto"/>
              <w:left w:val="nil"/>
              <w:bottom w:val="single" w:sz="4" w:space="0" w:color="auto"/>
              <w:right w:val="nil"/>
            </w:tcBorders>
            <w:hideMark/>
          </w:tcPr>
          <w:p w14:paraId="7A9BE72D" w14:textId="77777777" w:rsidR="004024B2" w:rsidRPr="003136F9" w:rsidRDefault="004024B2" w:rsidP="00D50DFB">
            <w:pPr>
              <w:spacing w:line="360" w:lineRule="auto"/>
              <w:jc w:val="both"/>
              <w:rPr>
                <w:rFonts w:ascii="Arial" w:hAnsi="Arial" w:cs="Arial"/>
                <w:bCs/>
                <w:color w:val="000000" w:themeColor="text1"/>
              </w:rPr>
            </w:pPr>
            <w:proofErr w:type="spellStart"/>
            <w:r w:rsidRPr="003136F9">
              <w:rPr>
                <w:rFonts w:ascii="Arial" w:hAnsi="Arial" w:cs="Arial"/>
                <w:bCs/>
                <w:color w:val="000000" w:themeColor="text1"/>
              </w:rPr>
              <w:t>nOHNH</w:t>
            </w:r>
            <w:proofErr w:type="spellEnd"/>
          </w:p>
        </w:tc>
        <w:tc>
          <w:tcPr>
            <w:tcW w:w="567" w:type="dxa"/>
            <w:tcBorders>
              <w:top w:val="single" w:sz="4" w:space="0" w:color="auto"/>
              <w:left w:val="nil"/>
              <w:bottom w:val="single" w:sz="4" w:space="0" w:color="auto"/>
              <w:right w:val="nil"/>
            </w:tcBorders>
            <w:hideMark/>
          </w:tcPr>
          <w:p w14:paraId="4A00959E" w14:textId="77777777" w:rsidR="004024B2" w:rsidRPr="003136F9" w:rsidRDefault="004024B2" w:rsidP="00D50DFB">
            <w:pPr>
              <w:spacing w:line="360" w:lineRule="auto"/>
              <w:jc w:val="both"/>
              <w:rPr>
                <w:rFonts w:ascii="Arial" w:hAnsi="Arial" w:cs="Arial"/>
                <w:bCs/>
                <w:color w:val="000000" w:themeColor="text1"/>
              </w:rPr>
            </w:pPr>
            <w:proofErr w:type="spellStart"/>
            <w:r w:rsidRPr="003136F9">
              <w:rPr>
                <w:rFonts w:ascii="Arial" w:hAnsi="Arial" w:cs="Arial"/>
                <w:bCs/>
                <w:color w:val="000000" w:themeColor="text1"/>
              </w:rPr>
              <w:t>nON</w:t>
            </w:r>
            <w:proofErr w:type="spellEnd"/>
          </w:p>
        </w:tc>
        <w:tc>
          <w:tcPr>
            <w:tcW w:w="709" w:type="dxa"/>
            <w:tcBorders>
              <w:top w:val="single" w:sz="4" w:space="0" w:color="auto"/>
              <w:left w:val="nil"/>
              <w:bottom w:val="single" w:sz="4" w:space="0" w:color="auto"/>
              <w:right w:val="nil"/>
            </w:tcBorders>
            <w:hideMark/>
          </w:tcPr>
          <w:p w14:paraId="1378BA60"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TPSA</w:t>
            </w:r>
          </w:p>
        </w:tc>
        <w:tc>
          <w:tcPr>
            <w:tcW w:w="849" w:type="dxa"/>
            <w:tcBorders>
              <w:top w:val="single" w:sz="4" w:space="0" w:color="auto"/>
              <w:left w:val="nil"/>
              <w:bottom w:val="single" w:sz="4" w:space="0" w:color="auto"/>
              <w:right w:val="nil"/>
            </w:tcBorders>
            <w:hideMark/>
          </w:tcPr>
          <w:p w14:paraId="19929E8A" w14:textId="77777777" w:rsidR="004024B2" w:rsidRPr="003136F9" w:rsidRDefault="004024B2" w:rsidP="00D50DFB">
            <w:pPr>
              <w:spacing w:line="360" w:lineRule="auto"/>
              <w:jc w:val="both"/>
              <w:rPr>
                <w:rFonts w:ascii="Arial" w:hAnsi="Arial" w:cs="Arial"/>
                <w:bCs/>
                <w:color w:val="000000" w:themeColor="text1"/>
              </w:rPr>
            </w:pPr>
            <w:proofErr w:type="spellStart"/>
            <w:r w:rsidRPr="003136F9">
              <w:rPr>
                <w:rFonts w:ascii="Arial" w:hAnsi="Arial" w:cs="Arial"/>
                <w:bCs/>
                <w:color w:val="000000" w:themeColor="text1"/>
              </w:rPr>
              <w:t>miLogP</w:t>
            </w:r>
            <w:proofErr w:type="spellEnd"/>
          </w:p>
        </w:tc>
        <w:tc>
          <w:tcPr>
            <w:tcW w:w="850" w:type="dxa"/>
            <w:tcBorders>
              <w:top w:val="single" w:sz="4" w:space="0" w:color="auto"/>
              <w:left w:val="nil"/>
              <w:bottom w:val="single" w:sz="4" w:space="0" w:color="auto"/>
              <w:right w:val="nil"/>
            </w:tcBorders>
            <w:hideMark/>
          </w:tcPr>
          <w:p w14:paraId="28D8C750" w14:textId="77777777" w:rsidR="004024B2" w:rsidRPr="003136F9" w:rsidRDefault="004024B2" w:rsidP="00D50DFB">
            <w:pPr>
              <w:spacing w:line="360" w:lineRule="auto"/>
              <w:jc w:val="both"/>
              <w:rPr>
                <w:rFonts w:ascii="Arial" w:hAnsi="Arial" w:cs="Arial"/>
                <w:bCs/>
                <w:color w:val="000000" w:themeColor="text1"/>
              </w:rPr>
            </w:pPr>
            <w:proofErr w:type="spellStart"/>
            <w:r w:rsidRPr="003136F9">
              <w:rPr>
                <w:rFonts w:ascii="Arial" w:hAnsi="Arial" w:cs="Arial"/>
                <w:bCs/>
                <w:color w:val="000000" w:themeColor="text1"/>
              </w:rPr>
              <w:t>Druglike</w:t>
            </w:r>
            <w:proofErr w:type="spellEnd"/>
          </w:p>
        </w:tc>
        <w:tc>
          <w:tcPr>
            <w:tcW w:w="567" w:type="dxa"/>
            <w:tcBorders>
              <w:top w:val="single" w:sz="4" w:space="0" w:color="auto"/>
              <w:left w:val="nil"/>
              <w:bottom w:val="single" w:sz="4" w:space="0" w:color="auto"/>
              <w:right w:val="nil"/>
            </w:tcBorders>
            <w:hideMark/>
          </w:tcPr>
          <w:p w14:paraId="1F62FDDD" w14:textId="77777777" w:rsidR="004024B2" w:rsidRPr="003136F9" w:rsidRDefault="004024B2" w:rsidP="00D50DFB">
            <w:pPr>
              <w:spacing w:line="360" w:lineRule="auto"/>
              <w:jc w:val="both"/>
              <w:rPr>
                <w:rFonts w:ascii="Arial" w:hAnsi="Arial" w:cs="Arial"/>
                <w:bCs/>
                <w:color w:val="000000" w:themeColor="text1"/>
              </w:rPr>
            </w:pPr>
            <w:proofErr w:type="spellStart"/>
            <w:r w:rsidRPr="003136F9">
              <w:rPr>
                <w:rFonts w:ascii="Arial" w:hAnsi="Arial" w:cs="Arial"/>
                <w:bCs/>
                <w:color w:val="000000" w:themeColor="text1"/>
              </w:rPr>
              <w:t>Viol</w:t>
            </w:r>
            <w:proofErr w:type="spellEnd"/>
          </w:p>
        </w:tc>
        <w:tc>
          <w:tcPr>
            <w:tcW w:w="713" w:type="dxa"/>
            <w:tcBorders>
              <w:top w:val="single" w:sz="4" w:space="0" w:color="auto"/>
              <w:left w:val="nil"/>
              <w:bottom w:val="single" w:sz="4" w:space="0" w:color="auto"/>
              <w:right w:val="nil"/>
            </w:tcBorders>
            <w:hideMark/>
          </w:tcPr>
          <w:p w14:paraId="33B1CACC"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 xml:space="preserve">TGI </w:t>
            </w:r>
          </w:p>
        </w:tc>
        <w:tc>
          <w:tcPr>
            <w:tcW w:w="567" w:type="dxa"/>
            <w:tcBorders>
              <w:top w:val="single" w:sz="4" w:space="0" w:color="auto"/>
              <w:left w:val="nil"/>
              <w:bottom w:val="single" w:sz="4" w:space="0" w:color="auto"/>
              <w:right w:val="nil"/>
            </w:tcBorders>
            <w:hideMark/>
          </w:tcPr>
          <w:p w14:paraId="46BDC0D6" w14:textId="4FFC1371" w:rsidR="004024B2" w:rsidRPr="003136F9" w:rsidRDefault="00EB4F16" w:rsidP="00D50DFB">
            <w:pPr>
              <w:spacing w:line="360" w:lineRule="auto"/>
              <w:jc w:val="both"/>
              <w:rPr>
                <w:rFonts w:ascii="Arial" w:hAnsi="Arial" w:cs="Arial"/>
                <w:bCs/>
                <w:color w:val="000000" w:themeColor="text1"/>
              </w:rPr>
            </w:pPr>
            <w:r w:rsidRPr="003136F9">
              <w:rPr>
                <w:rFonts w:ascii="Arial" w:hAnsi="Arial" w:cs="Arial"/>
                <w:bCs/>
                <w:color w:val="000000" w:themeColor="text1"/>
              </w:rPr>
              <w:t>BBB</w:t>
            </w:r>
          </w:p>
        </w:tc>
        <w:tc>
          <w:tcPr>
            <w:tcW w:w="1128" w:type="dxa"/>
            <w:tcBorders>
              <w:top w:val="single" w:sz="4" w:space="0" w:color="auto"/>
              <w:left w:val="nil"/>
              <w:bottom w:val="single" w:sz="4" w:space="0" w:color="auto"/>
              <w:right w:val="nil"/>
            </w:tcBorders>
            <w:hideMark/>
          </w:tcPr>
          <w:p w14:paraId="789BAB94"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DL50</w:t>
            </w:r>
          </w:p>
        </w:tc>
        <w:tc>
          <w:tcPr>
            <w:tcW w:w="567" w:type="dxa"/>
            <w:tcBorders>
              <w:top w:val="single" w:sz="4" w:space="0" w:color="auto"/>
              <w:left w:val="nil"/>
              <w:bottom w:val="single" w:sz="4" w:space="0" w:color="auto"/>
              <w:right w:val="nil"/>
            </w:tcBorders>
            <w:hideMark/>
          </w:tcPr>
          <w:p w14:paraId="071244CE"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CT</w:t>
            </w:r>
          </w:p>
        </w:tc>
        <w:tc>
          <w:tcPr>
            <w:tcW w:w="1267" w:type="dxa"/>
            <w:tcBorders>
              <w:top w:val="single" w:sz="4" w:space="0" w:color="auto"/>
              <w:left w:val="nil"/>
              <w:bottom w:val="single" w:sz="4" w:space="0" w:color="auto"/>
              <w:right w:val="nil"/>
            </w:tcBorders>
            <w:hideMark/>
          </w:tcPr>
          <w:p w14:paraId="62E64603" w14:textId="5FA9CD6E"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Alvo no sistema nervoso</w:t>
            </w:r>
          </w:p>
        </w:tc>
      </w:tr>
      <w:tr w:rsidR="007F376B" w:rsidRPr="003136F9" w14:paraId="5CE5021F" w14:textId="77777777" w:rsidTr="78BB7069">
        <w:trPr>
          <w:trHeight w:val="483"/>
        </w:trPr>
        <w:tc>
          <w:tcPr>
            <w:tcW w:w="1561" w:type="dxa"/>
            <w:tcBorders>
              <w:top w:val="single" w:sz="4" w:space="0" w:color="auto"/>
              <w:left w:val="nil"/>
              <w:bottom w:val="single" w:sz="4" w:space="0" w:color="auto"/>
              <w:right w:val="nil"/>
            </w:tcBorders>
            <w:hideMark/>
          </w:tcPr>
          <w:p w14:paraId="4B212A20" w14:textId="374D8A22" w:rsidR="004024B2" w:rsidRPr="003136F9" w:rsidRDefault="78BB7069"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t>Canabigerol</w:t>
            </w:r>
            <w:proofErr w:type="spellEnd"/>
          </w:p>
        </w:tc>
        <w:tc>
          <w:tcPr>
            <w:tcW w:w="710" w:type="dxa"/>
            <w:tcBorders>
              <w:top w:val="single" w:sz="4" w:space="0" w:color="auto"/>
              <w:left w:val="nil"/>
              <w:bottom w:val="single" w:sz="4" w:space="0" w:color="auto"/>
              <w:right w:val="nil"/>
            </w:tcBorders>
            <w:hideMark/>
          </w:tcPr>
          <w:p w14:paraId="5259DA5A"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 xml:space="preserve"> 23</w:t>
            </w:r>
          </w:p>
        </w:tc>
        <w:tc>
          <w:tcPr>
            <w:tcW w:w="850" w:type="dxa"/>
            <w:tcBorders>
              <w:top w:val="single" w:sz="4" w:space="0" w:color="auto"/>
              <w:left w:val="nil"/>
              <w:bottom w:val="single" w:sz="4" w:space="0" w:color="auto"/>
              <w:right w:val="nil"/>
            </w:tcBorders>
            <w:hideMark/>
          </w:tcPr>
          <w:p w14:paraId="5C1A8888"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567" w:type="dxa"/>
            <w:tcBorders>
              <w:top w:val="single" w:sz="4" w:space="0" w:color="auto"/>
              <w:left w:val="nil"/>
              <w:bottom w:val="single" w:sz="4" w:space="0" w:color="auto"/>
              <w:right w:val="nil"/>
            </w:tcBorders>
            <w:hideMark/>
          </w:tcPr>
          <w:p w14:paraId="00F4C172"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709" w:type="dxa"/>
            <w:tcBorders>
              <w:top w:val="single" w:sz="4" w:space="0" w:color="auto"/>
              <w:left w:val="nil"/>
              <w:bottom w:val="single" w:sz="4" w:space="0" w:color="auto"/>
              <w:right w:val="nil"/>
            </w:tcBorders>
            <w:hideMark/>
          </w:tcPr>
          <w:p w14:paraId="48ADE571"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40.46</w:t>
            </w:r>
          </w:p>
        </w:tc>
        <w:tc>
          <w:tcPr>
            <w:tcW w:w="849" w:type="dxa"/>
            <w:tcBorders>
              <w:top w:val="single" w:sz="4" w:space="0" w:color="auto"/>
              <w:left w:val="nil"/>
              <w:bottom w:val="single" w:sz="4" w:space="0" w:color="auto"/>
              <w:right w:val="nil"/>
            </w:tcBorders>
            <w:hideMark/>
          </w:tcPr>
          <w:p w14:paraId="5247EE4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7.84</w:t>
            </w:r>
          </w:p>
        </w:tc>
        <w:tc>
          <w:tcPr>
            <w:tcW w:w="850" w:type="dxa"/>
            <w:tcBorders>
              <w:top w:val="single" w:sz="4" w:space="0" w:color="auto"/>
              <w:left w:val="nil"/>
              <w:bottom w:val="single" w:sz="4" w:space="0" w:color="auto"/>
              <w:right w:val="nil"/>
            </w:tcBorders>
            <w:hideMark/>
          </w:tcPr>
          <w:p w14:paraId="2C8CF103" w14:textId="0E470F89"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3606C40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713" w:type="dxa"/>
            <w:tcBorders>
              <w:top w:val="single" w:sz="4" w:space="0" w:color="auto"/>
              <w:left w:val="nil"/>
              <w:bottom w:val="single" w:sz="4" w:space="0" w:color="auto"/>
              <w:right w:val="nil"/>
            </w:tcBorders>
            <w:hideMark/>
          </w:tcPr>
          <w:p w14:paraId="3C9BF6E5" w14:textId="19EF8317"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465B96AB" w14:textId="1484BFFB" w:rsidR="004024B2" w:rsidRPr="003136F9" w:rsidRDefault="00A007F8" w:rsidP="00D50DFB">
            <w:pPr>
              <w:spacing w:line="360" w:lineRule="auto"/>
              <w:jc w:val="center"/>
              <w:rPr>
                <w:rFonts w:ascii="Arial" w:hAnsi="Arial" w:cs="Arial"/>
                <w:bCs/>
                <w:color w:val="000000" w:themeColor="text1"/>
              </w:rPr>
            </w:pPr>
            <w:r w:rsidRPr="003136F9">
              <w:rPr>
                <w:rFonts w:ascii="Arial" w:hAnsi="Arial" w:cs="Arial"/>
                <w:bCs/>
                <w:color w:val="000000" w:themeColor="text1"/>
              </w:rPr>
              <w:t>N</w:t>
            </w:r>
            <w:r w:rsidR="009C0EBE" w:rsidRPr="003136F9">
              <w:rPr>
                <w:rFonts w:ascii="Arial" w:hAnsi="Arial" w:cs="Arial"/>
                <w:bCs/>
                <w:color w:val="000000" w:themeColor="text1"/>
              </w:rPr>
              <w:t>Ã</w:t>
            </w:r>
            <w:r w:rsidRPr="003136F9">
              <w:rPr>
                <w:rFonts w:ascii="Arial" w:hAnsi="Arial" w:cs="Arial"/>
                <w:bCs/>
                <w:color w:val="000000" w:themeColor="text1"/>
              </w:rPr>
              <w:t>O</w:t>
            </w:r>
          </w:p>
        </w:tc>
        <w:tc>
          <w:tcPr>
            <w:tcW w:w="1128" w:type="dxa"/>
            <w:tcBorders>
              <w:top w:val="single" w:sz="4" w:space="0" w:color="auto"/>
              <w:left w:val="nil"/>
              <w:bottom w:val="single" w:sz="4" w:space="0" w:color="auto"/>
              <w:right w:val="nil"/>
            </w:tcBorders>
          </w:tcPr>
          <w:p w14:paraId="42AFF20A"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500mg/kg</w:t>
            </w:r>
          </w:p>
          <w:p w14:paraId="72E55441"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62DE2DA8"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008A838A" w14:textId="20A22410"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canabinóide</w:t>
            </w:r>
            <w:proofErr w:type="spellEnd"/>
            <w:r w:rsidRPr="003136F9">
              <w:rPr>
                <w:rFonts w:ascii="Arial" w:hAnsi="Arial" w:cs="Arial"/>
                <w:color w:val="000000" w:themeColor="text1"/>
              </w:rPr>
              <w:t xml:space="preserve"> 1 e 2; </w:t>
            </w:r>
            <w:proofErr w:type="gramStart"/>
            <w:r w:rsidRPr="003136F9">
              <w:rPr>
                <w:rFonts w:ascii="Arial" w:hAnsi="Arial" w:cs="Arial"/>
                <w:color w:val="000000" w:themeColor="text1"/>
              </w:rPr>
              <w:t>Receptor</w:t>
            </w:r>
            <w:proofErr w:type="gramEnd"/>
            <w:r w:rsidRPr="003136F9">
              <w:rPr>
                <w:rFonts w:ascii="Arial" w:hAnsi="Arial" w:cs="Arial"/>
                <w:color w:val="000000" w:themeColor="text1"/>
              </w:rPr>
              <w:t xml:space="preserve"> acoplado à proteína G55</w:t>
            </w:r>
          </w:p>
        </w:tc>
      </w:tr>
      <w:tr w:rsidR="007F376B" w:rsidRPr="003136F9" w14:paraId="69352D96" w14:textId="77777777" w:rsidTr="78BB7069">
        <w:tc>
          <w:tcPr>
            <w:tcW w:w="1561" w:type="dxa"/>
            <w:tcBorders>
              <w:top w:val="single" w:sz="4" w:space="0" w:color="auto"/>
              <w:left w:val="nil"/>
              <w:bottom w:val="single" w:sz="4" w:space="0" w:color="auto"/>
              <w:right w:val="nil"/>
            </w:tcBorders>
            <w:hideMark/>
          </w:tcPr>
          <w:p w14:paraId="588F59EB" w14:textId="228010C8" w:rsidR="004024B2" w:rsidRPr="003136F9" w:rsidRDefault="009C0EBE" w:rsidP="78BB7069">
            <w:pPr>
              <w:spacing w:line="360" w:lineRule="auto"/>
              <w:jc w:val="both"/>
              <w:rPr>
                <w:rFonts w:ascii="Arial" w:hAnsi="Arial" w:cs="Arial"/>
                <w:color w:val="000000" w:themeColor="text1"/>
              </w:rPr>
            </w:pPr>
            <w:r w:rsidRPr="003136F9">
              <w:rPr>
                <w:rFonts w:ascii="Arial" w:hAnsi="Arial" w:cs="Arial"/>
                <w:color w:val="000000" w:themeColor="text1"/>
              </w:rPr>
              <w:t>Δ9-tetrahidrocanabinol</w:t>
            </w:r>
          </w:p>
        </w:tc>
        <w:tc>
          <w:tcPr>
            <w:tcW w:w="710" w:type="dxa"/>
            <w:tcBorders>
              <w:top w:val="single" w:sz="4" w:space="0" w:color="auto"/>
              <w:left w:val="nil"/>
              <w:bottom w:val="single" w:sz="4" w:space="0" w:color="auto"/>
              <w:right w:val="nil"/>
            </w:tcBorders>
            <w:hideMark/>
          </w:tcPr>
          <w:p w14:paraId="0E797EF1"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314.47</w:t>
            </w:r>
          </w:p>
        </w:tc>
        <w:tc>
          <w:tcPr>
            <w:tcW w:w="850" w:type="dxa"/>
            <w:tcBorders>
              <w:top w:val="single" w:sz="4" w:space="0" w:color="auto"/>
              <w:left w:val="nil"/>
              <w:bottom w:val="single" w:sz="4" w:space="0" w:color="auto"/>
              <w:right w:val="nil"/>
            </w:tcBorders>
            <w:hideMark/>
          </w:tcPr>
          <w:p w14:paraId="66078C9C"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567" w:type="dxa"/>
            <w:tcBorders>
              <w:top w:val="single" w:sz="4" w:space="0" w:color="auto"/>
              <w:left w:val="nil"/>
              <w:bottom w:val="single" w:sz="4" w:space="0" w:color="auto"/>
              <w:right w:val="nil"/>
            </w:tcBorders>
            <w:hideMark/>
          </w:tcPr>
          <w:p w14:paraId="4AAA2B31"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709" w:type="dxa"/>
            <w:tcBorders>
              <w:top w:val="single" w:sz="4" w:space="0" w:color="auto"/>
              <w:left w:val="nil"/>
              <w:bottom w:val="single" w:sz="4" w:space="0" w:color="auto"/>
              <w:right w:val="nil"/>
            </w:tcBorders>
            <w:hideMark/>
          </w:tcPr>
          <w:p w14:paraId="7D47CD90"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29.46</w:t>
            </w:r>
          </w:p>
        </w:tc>
        <w:tc>
          <w:tcPr>
            <w:tcW w:w="849" w:type="dxa"/>
            <w:tcBorders>
              <w:top w:val="single" w:sz="4" w:space="0" w:color="auto"/>
              <w:left w:val="nil"/>
              <w:bottom w:val="single" w:sz="4" w:space="0" w:color="auto"/>
              <w:right w:val="nil"/>
            </w:tcBorders>
            <w:hideMark/>
          </w:tcPr>
          <w:p w14:paraId="46A61A8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6.69</w:t>
            </w:r>
          </w:p>
        </w:tc>
        <w:tc>
          <w:tcPr>
            <w:tcW w:w="850" w:type="dxa"/>
            <w:tcBorders>
              <w:top w:val="single" w:sz="4" w:space="0" w:color="auto"/>
              <w:left w:val="nil"/>
              <w:bottom w:val="single" w:sz="4" w:space="0" w:color="auto"/>
              <w:right w:val="nil"/>
            </w:tcBorders>
            <w:hideMark/>
          </w:tcPr>
          <w:p w14:paraId="6D557C32" w14:textId="2204AE5B"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038A765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713" w:type="dxa"/>
            <w:tcBorders>
              <w:top w:val="single" w:sz="4" w:space="0" w:color="auto"/>
              <w:left w:val="nil"/>
              <w:bottom w:val="single" w:sz="4" w:space="0" w:color="auto"/>
              <w:right w:val="nil"/>
            </w:tcBorders>
            <w:hideMark/>
          </w:tcPr>
          <w:p w14:paraId="71EB8C59" w14:textId="2359DCE7"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747425DE" w14:textId="1CD2BC3A"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26DDB973"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482mg/kg</w:t>
            </w:r>
          </w:p>
          <w:p w14:paraId="232037BD"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260701AA"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75D78C7A" w14:textId="61040AE5"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canabinóide</w:t>
            </w:r>
            <w:proofErr w:type="spellEnd"/>
            <w:r w:rsidRPr="003136F9">
              <w:rPr>
                <w:rFonts w:ascii="Arial" w:hAnsi="Arial" w:cs="Arial"/>
                <w:color w:val="000000" w:themeColor="text1"/>
              </w:rPr>
              <w:t xml:space="preserve"> 1 e 2; Receptor N-</w:t>
            </w:r>
            <w:proofErr w:type="spellStart"/>
            <w:r w:rsidRPr="003136F9">
              <w:rPr>
                <w:rFonts w:ascii="Arial" w:hAnsi="Arial" w:cs="Arial"/>
                <w:color w:val="000000" w:themeColor="text1"/>
              </w:rPr>
              <w:t>araquidonilglicina</w:t>
            </w:r>
            <w:proofErr w:type="spellEnd"/>
          </w:p>
        </w:tc>
      </w:tr>
      <w:tr w:rsidR="007F376B" w:rsidRPr="003136F9" w14:paraId="32C5B267" w14:textId="77777777" w:rsidTr="78BB7069">
        <w:tc>
          <w:tcPr>
            <w:tcW w:w="1561" w:type="dxa"/>
            <w:tcBorders>
              <w:top w:val="single" w:sz="4" w:space="0" w:color="auto"/>
              <w:left w:val="nil"/>
              <w:bottom w:val="single" w:sz="4" w:space="0" w:color="auto"/>
              <w:right w:val="nil"/>
            </w:tcBorders>
            <w:hideMark/>
          </w:tcPr>
          <w:p w14:paraId="3822CAB4" w14:textId="1D9AE0CB" w:rsidR="004024B2" w:rsidRPr="003136F9" w:rsidRDefault="009C0EBE"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t>Canabicromo</w:t>
            </w:r>
            <w:proofErr w:type="spellEnd"/>
          </w:p>
        </w:tc>
        <w:tc>
          <w:tcPr>
            <w:tcW w:w="710" w:type="dxa"/>
            <w:tcBorders>
              <w:top w:val="single" w:sz="4" w:space="0" w:color="auto"/>
              <w:left w:val="nil"/>
              <w:bottom w:val="single" w:sz="4" w:space="0" w:color="auto"/>
              <w:right w:val="nil"/>
            </w:tcBorders>
            <w:hideMark/>
          </w:tcPr>
          <w:p w14:paraId="29C734DB"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314.47</w:t>
            </w:r>
          </w:p>
        </w:tc>
        <w:tc>
          <w:tcPr>
            <w:tcW w:w="850" w:type="dxa"/>
            <w:tcBorders>
              <w:top w:val="single" w:sz="4" w:space="0" w:color="auto"/>
              <w:left w:val="nil"/>
              <w:bottom w:val="single" w:sz="4" w:space="0" w:color="auto"/>
              <w:right w:val="nil"/>
            </w:tcBorders>
            <w:hideMark/>
          </w:tcPr>
          <w:p w14:paraId="5A438AC0"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567" w:type="dxa"/>
            <w:tcBorders>
              <w:top w:val="single" w:sz="4" w:space="0" w:color="auto"/>
              <w:left w:val="nil"/>
              <w:bottom w:val="single" w:sz="4" w:space="0" w:color="auto"/>
              <w:right w:val="nil"/>
            </w:tcBorders>
            <w:hideMark/>
          </w:tcPr>
          <w:p w14:paraId="6C2ED5BE"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709" w:type="dxa"/>
            <w:tcBorders>
              <w:top w:val="single" w:sz="4" w:space="0" w:color="auto"/>
              <w:left w:val="nil"/>
              <w:bottom w:val="single" w:sz="4" w:space="0" w:color="auto"/>
              <w:right w:val="nil"/>
            </w:tcBorders>
            <w:hideMark/>
          </w:tcPr>
          <w:p w14:paraId="5BCACCB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29.46</w:t>
            </w:r>
          </w:p>
        </w:tc>
        <w:tc>
          <w:tcPr>
            <w:tcW w:w="849" w:type="dxa"/>
            <w:tcBorders>
              <w:top w:val="single" w:sz="4" w:space="0" w:color="auto"/>
              <w:left w:val="nil"/>
              <w:bottom w:val="single" w:sz="4" w:space="0" w:color="auto"/>
              <w:right w:val="nil"/>
            </w:tcBorders>
            <w:hideMark/>
          </w:tcPr>
          <w:p w14:paraId="0E1D4C19"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7.50</w:t>
            </w:r>
          </w:p>
        </w:tc>
        <w:tc>
          <w:tcPr>
            <w:tcW w:w="850" w:type="dxa"/>
            <w:tcBorders>
              <w:top w:val="single" w:sz="4" w:space="0" w:color="auto"/>
              <w:left w:val="nil"/>
              <w:bottom w:val="single" w:sz="4" w:space="0" w:color="auto"/>
              <w:right w:val="nil"/>
            </w:tcBorders>
            <w:hideMark/>
          </w:tcPr>
          <w:p w14:paraId="14FD21F8" w14:textId="51EB0DD4"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4E0CD420"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713" w:type="dxa"/>
            <w:tcBorders>
              <w:top w:val="single" w:sz="4" w:space="0" w:color="auto"/>
              <w:left w:val="nil"/>
              <w:bottom w:val="single" w:sz="4" w:space="0" w:color="auto"/>
              <w:right w:val="nil"/>
            </w:tcBorders>
            <w:hideMark/>
          </w:tcPr>
          <w:p w14:paraId="5D32AFD5" w14:textId="2FCA9A06"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7C9060E8" w14:textId="417E4EB7" w:rsidR="004024B2" w:rsidRPr="003136F9" w:rsidRDefault="00A007F8" w:rsidP="00D50DFB">
            <w:pPr>
              <w:spacing w:line="360" w:lineRule="auto"/>
              <w:jc w:val="center"/>
              <w:rPr>
                <w:rFonts w:ascii="Arial" w:hAnsi="Arial" w:cs="Arial"/>
                <w:bCs/>
                <w:color w:val="000000" w:themeColor="text1"/>
              </w:rPr>
            </w:pPr>
            <w:r w:rsidRPr="003136F9">
              <w:rPr>
                <w:rFonts w:ascii="Arial" w:hAnsi="Arial" w:cs="Arial"/>
                <w:bCs/>
                <w:color w:val="000000" w:themeColor="text1"/>
              </w:rPr>
              <w:t>N</w:t>
            </w:r>
            <w:r w:rsidR="009C0EBE" w:rsidRPr="003136F9">
              <w:rPr>
                <w:rFonts w:ascii="Arial" w:hAnsi="Arial" w:cs="Arial"/>
                <w:bCs/>
                <w:color w:val="000000" w:themeColor="text1"/>
              </w:rPr>
              <w:t>Ã</w:t>
            </w:r>
            <w:r w:rsidRPr="003136F9">
              <w:rPr>
                <w:rFonts w:ascii="Arial" w:hAnsi="Arial" w:cs="Arial"/>
                <w:bCs/>
                <w:color w:val="000000" w:themeColor="text1"/>
              </w:rPr>
              <w:t>O</w:t>
            </w:r>
          </w:p>
        </w:tc>
        <w:tc>
          <w:tcPr>
            <w:tcW w:w="1128" w:type="dxa"/>
            <w:tcBorders>
              <w:top w:val="single" w:sz="4" w:space="0" w:color="auto"/>
              <w:left w:val="nil"/>
              <w:bottom w:val="single" w:sz="4" w:space="0" w:color="auto"/>
              <w:right w:val="nil"/>
            </w:tcBorders>
          </w:tcPr>
          <w:p w14:paraId="49E29F03"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750mg/kg</w:t>
            </w:r>
          </w:p>
          <w:p w14:paraId="15FB2450"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5EACCBF4"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26194701" w14:textId="68C94D2B"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canabinoide</w:t>
            </w:r>
            <w:proofErr w:type="spellEnd"/>
            <w:r w:rsidRPr="003136F9">
              <w:rPr>
                <w:rFonts w:ascii="Arial" w:hAnsi="Arial" w:cs="Arial"/>
                <w:color w:val="000000" w:themeColor="text1"/>
              </w:rPr>
              <w:t xml:space="preserve"> 1 e 2</w:t>
            </w:r>
          </w:p>
        </w:tc>
      </w:tr>
      <w:tr w:rsidR="007F376B" w:rsidRPr="003136F9" w14:paraId="44A781CB" w14:textId="77777777" w:rsidTr="78BB7069">
        <w:tc>
          <w:tcPr>
            <w:tcW w:w="1561" w:type="dxa"/>
            <w:tcBorders>
              <w:top w:val="single" w:sz="4" w:space="0" w:color="auto"/>
              <w:left w:val="nil"/>
              <w:bottom w:val="single" w:sz="4" w:space="0" w:color="auto"/>
              <w:right w:val="nil"/>
            </w:tcBorders>
            <w:hideMark/>
          </w:tcPr>
          <w:p w14:paraId="6559E65E" w14:textId="2BE810D3" w:rsidR="004024B2" w:rsidRPr="003136F9" w:rsidRDefault="78BB7069"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t>Canabidiol</w:t>
            </w:r>
            <w:proofErr w:type="spellEnd"/>
          </w:p>
        </w:tc>
        <w:tc>
          <w:tcPr>
            <w:tcW w:w="710" w:type="dxa"/>
            <w:tcBorders>
              <w:top w:val="single" w:sz="4" w:space="0" w:color="auto"/>
              <w:left w:val="nil"/>
              <w:bottom w:val="single" w:sz="4" w:space="0" w:color="auto"/>
              <w:right w:val="nil"/>
            </w:tcBorders>
            <w:hideMark/>
          </w:tcPr>
          <w:p w14:paraId="44E792E4"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314.47</w:t>
            </w:r>
          </w:p>
        </w:tc>
        <w:tc>
          <w:tcPr>
            <w:tcW w:w="850" w:type="dxa"/>
            <w:tcBorders>
              <w:top w:val="single" w:sz="4" w:space="0" w:color="auto"/>
              <w:left w:val="nil"/>
              <w:bottom w:val="single" w:sz="4" w:space="0" w:color="auto"/>
              <w:right w:val="nil"/>
            </w:tcBorders>
            <w:hideMark/>
          </w:tcPr>
          <w:p w14:paraId="02FB2081"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567" w:type="dxa"/>
            <w:tcBorders>
              <w:top w:val="single" w:sz="4" w:space="0" w:color="auto"/>
              <w:left w:val="nil"/>
              <w:bottom w:val="single" w:sz="4" w:space="0" w:color="auto"/>
              <w:right w:val="nil"/>
            </w:tcBorders>
            <w:hideMark/>
          </w:tcPr>
          <w:p w14:paraId="771AA903"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709" w:type="dxa"/>
            <w:tcBorders>
              <w:top w:val="single" w:sz="4" w:space="0" w:color="auto"/>
              <w:left w:val="nil"/>
              <w:bottom w:val="single" w:sz="4" w:space="0" w:color="auto"/>
              <w:right w:val="nil"/>
            </w:tcBorders>
            <w:hideMark/>
          </w:tcPr>
          <w:p w14:paraId="54D2C21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40.46</w:t>
            </w:r>
          </w:p>
        </w:tc>
        <w:tc>
          <w:tcPr>
            <w:tcW w:w="849" w:type="dxa"/>
            <w:tcBorders>
              <w:top w:val="single" w:sz="4" w:space="0" w:color="auto"/>
              <w:left w:val="nil"/>
              <w:bottom w:val="single" w:sz="4" w:space="0" w:color="auto"/>
              <w:right w:val="nil"/>
            </w:tcBorders>
            <w:hideMark/>
          </w:tcPr>
          <w:p w14:paraId="346DC434"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7.14</w:t>
            </w:r>
          </w:p>
        </w:tc>
        <w:tc>
          <w:tcPr>
            <w:tcW w:w="850" w:type="dxa"/>
            <w:tcBorders>
              <w:top w:val="single" w:sz="4" w:space="0" w:color="auto"/>
              <w:left w:val="nil"/>
              <w:bottom w:val="single" w:sz="4" w:space="0" w:color="auto"/>
              <w:right w:val="nil"/>
            </w:tcBorders>
            <w:hideMark/>
          </w:tcPr>
          <w:p w14:paraId="720CC76B" w14:textId="1D28D410"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6F4B4D7A"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713" w:type="dxa"/>
            <w:tcBorders>
              <w:top w:val="single" w:sz="4" w:space="0" w:color="auto"/>
              <w:left w:val="nil"/>
              <w:bottom w:val="single" w:sz="4" w:space="0" w:color="auto"/>
              <w:right w:val="nil"/>
            </w:tcBorders>
            <w:hideMark/>
          </w:tcPr>
          <w:p w14:paraId="36E83A08" w14:textId="296E7F17"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0607105D" w14:textId="68FB8431"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580B6FE3"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500mg/kg</w:t>
            </w:r>
          </w:p>
          <w:p w14:paraId="49D048D5"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5686E666"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1041BACA" w14:textId="1F424B0E"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canabinói</w:t>
            </w:r>
            <w:r w:rsidRPr="003136F9">
              <w:rPr>
                <w:rFonts w:ascii="Arial" w:hAnsi="Arial" w:cs="Arial"/>
                <w:color w:val="000000" w:themeColor="text1"/>
              </w:rPr>
              <w:lastRenderedPageBreak/>
              <w:t>de</w:t>
            </w:r>
            <w:proofErr w:type="spellEnd"/>
            <w:r w:rsidRPr="003136F9">
              <w:rPr>
                <w:rFonts w:ascii="Arial" w:hAnsi="Arial" w:cs="Arial"/>
                <w:color w:val="000000" w:themeColor="text1"/>
              </w:rPr>
              <w:t xml:space="preserve"> 1 e 2; </w:t>
            </w:r>
            <w:proofErr w:type="gramStart"/>
            <w:r w:rsidRPr="003136F9">
              <w:rPr>
                <w:rFonts w:ascii="Arial" w:hAnsi="Arial" w:cs="Arial"/>
                <w:color w:val="000000" w:themeColor="text1"/>
              </w:rPr>
              <w:t>Receptor</w:t>
            </w:r>
            <w:proofErr w:type="gramEnd"/>
            <w:r w:rsidRPr="003136F9">
              <w:rPr>
                <w:rFonts w:ascii="Arial" w:hAnsi="Arial" w:cs="Arial"/>
                <w:color w:val="000000" w:themeColor="text1"/>
              </w:rPr>
              <w:t xml:space="preserve"> acoplado à proteína G55</w:t>
            </w:r>
          </w:p>
        </w:tc>
      </w:tr>
      <w:tr w:rsidR="007F376B" w:rsidRPr="003136F9" w14:paraId="4DE61126" w14:textId="77777777" w:rsidTr="78BB7069">
        <w:tc>
          <w:tcPr>
            <w:tcW w:w="1561" w:type="dxa"/>
            <w:tcBorders>
              <w:top w:val="single" w:sz="4" w:space="0" w:color="auto"/>
              <w:left w:val="nil"/>
              <w:bottom w:val="single" w:sz="4" w:space="0" w:color="auto"/>
              <w:right w:val="nil"/>
            </w:tcBorders>
            <w:hideMark/>
          </w:tcPr>
          <w:p w14:paraId="692B1B3D" w14:textId="31CE3726" w:rsidR="004024B2" w:rsidRPr="003136F9" w:rsidRDefault="009C0EBE"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lastRenderedPageBreak/>
              <w:t>Canabielsoína</w:t>
            </w:r>
            <w:proofErr w:type="spellEnd"/>
          </w:p>
        </w:tc>
        <w:tc>
          <w:tcPr>
            <w:tcW w:w="710" w:type="dxa"/>
            <w:tcBorders>
              <w:top w:val="single" w:sz="4" w:space="0" w:color="auto"/>
              <w:left w:val="nil"/>
              <w:bottom w:val="single" w:sz="4" w:space="0" w:color="auto"/>
              <w:right w:val="nil"/>
            </w:tcBorders>
            <w:hideMark/>
          </w:tcPr>
          <w:p w14:paraId="35C0F2D7"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330.47</w:t>
            </w:r>
          </w:p>
        </w:tc>
        <w:tc>
          <w:tcPr>
            <w:tcW w:w="850" w:type="dxa"/>
            <w:tcBorders>
              <w:top w:val="single" w:sz="4" w:space="0" w:color="auto"/>
              <w:left w:val="nil"/>
              <w:bottom w:val="single" w:sz="4" w:space="0" w:color="auto"/>
              <w:right w:val="nil"/>
            </w:tcBorders>
            <w:hideMark/>
          </w:tcPr>
          <w:p w14:paraId="4630E95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567" w:type="dxa"/>
            <w:tcBorders>
              <w:top w:val="single" w:sz="4" w:space="0" w:color="auto"/>
              <w:left w:val="nil"/>
              <w:bottom w:val="single" w:sz="4" w:space="0" w:color="auto"/>
              <w:right w:val="nil"/>
            </w:tcBorders>
            <w:hideMark/>
          </w:tcPr>
          <w:p w14:paraId="5D7564A8"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3</w:t>
            </w:r>
          </w:p>
        </w:tc>
        <w:tc>
          <w:tcPr>
            <w:tcW w:w="709" w:type="dxa"/>
            <w:tcBorders>
              <w:top w:val="single" w:sz="4" w:space="0" w:color="auto"/>
              <w:left w:val="nil"/>
              <w:bottom w:val="single" w:sz="4" w:space="0" w:color="auto"/>
              <w:right w:val="nil"/>
            </w:tcBorders>
            <w:hideMark/>
          </w:tcPr>
          <w:p w14:paraId="7BA372FE"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49.69</w:t>
            </w:r>
          </w:p>
        </w:tc>
        <w:tc>
          <w:tcPr>
            <w:tcW w:w="849" w:type="dxa"/>
            <w:tcBorders>
              <w:top w:val="single" w:sz="4" w:space="0" w:color="auto"/>
              <w:left w:val="nil"/>
              <w:bottom w:val="single" w:sz="4" w:space="0" w:color="auto"/>
              <w:right w:val="nil"/>
            </w:tcBorders>
            <w:hideMark/>
          </w:tcPr>
          <w:p w14:paraId="487F850A"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5.79</w:t>
            </w:r>
          </w:p>
        </w:tc>
        <w:tc>
          <w:tcPr>
            <w:tcW w:w="850" w:type="dxa"/>
            <w:tcBorders>
              <w:top w:val="single" w:sz="4" w:space="0" w:color="auto"/>
              <w:left w:val="nil"/>
              <w:bottom w:val="single" w:sz="4" w:space="0" w:color="auto"/>
              <w:right w:val="nil"/>
            </w:tcBorders>
            <w:hideMark/>
          </w:tcPr>
          <w:p w14:paraId="5F1FB9C1" w14:textId="12D3105F"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5F261B3F"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53F01C92" w14:textId="6E023192"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3D850154" w14:textId="34811640"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3290C9C2"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500mg/kg</w:t>
            </w:r>
          </w:p>
          <w:p w14:paraId="7798F3EF"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41D31D92"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5B224CB8" w14:textId="3A4E82E6"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canabinoide</w:t>
            </w:r>
            <w:proofErr w:type="spellEnd"/>
            <w:r w:rsidRPr="003136F9">
              <w:rPr>
                <w:rFonts w:ascii="Arial" w:hAnsi="Arial" w:cs="Arial"/>
                <w:color w:val="000000" w:themeColor="text1"/>
              </w:rPr>
              <w:t xml:space="preserve"> 1 e 2</w:t>
            </w:r>
          </w:p>
        </w:tc>
      </w:tr>
      <w:tr w:rsidR="007F376B" w:rsidRPr="003136F9" w14:paraId="572691F8" w14:textId="77777777" w:rsidTr="78BB7069">
        <w:tc>
          <w:tcPr>
            <w:tcW w:w="1561" w:type="dxa"/>
            <w:tcBorders>
              <w:top w:val="single" w:sz="4" w:space="0" w:color="auto"/>
              <w:left w:val="nil"/>
              <w:bottom w:val="single" w:sz="4" w:space="0" w:color="auto"/>
              <w:right w:val="nil"/>
            </w:tcBorders>
            <w:hideMark/>
          </w:tcPr>
          <w:p w14:paraId="0E2CC4A3" w14:textId="01881D4A" w:rsidR="004024B2" w:rsidRPr="003136F9" w:rsidRDefault="009C0EBE"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t>Canabiciclol</w:t>
            </w:r>
            <w:proofErr w:type="spellEnd"/>
          </w:p>
        </w:tc>
        <w:tc>
          <w:tcPr>
            <w:tcW w:w="710" w:type="dxa"/>
            <w:tcBorders>
              <w:top w:val="single" w:sz="4" w:space="0" w:color="auto"/>
              <w:left w:val="nil"/>
              <w:bottom w:val="single" w:sz="4" w:space="0" w:color="auto"/>
              <w:right w:val="nil"/>
            </w:tcBorders>
            <w:hideMark/>
          </w:tcPr>
          <w:p w14:paraId="66804EEB"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314.47</w:t>
            </w:r>
          </w:p>
        </w:tc>
        <w:tc>
          <w:tcPr>
            <w:tcW w:w="850" w:type="dxa"/>
            <w:tcBorders>
              <w:top w:val="single" w:sz="4" w:space="0" w:color="auto"/>
              <w:left w:val="nil"/>
              <w:bottom w:val="single" w:sz="4" w:space="0" w:color="auto"/>
              <w:right w:val="nil"/>
            </w:tcBorders>
            <w:hideMark/>
          </w:tcPr>
          <w:p w14:paraId="636085EE"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567" w:type="dxa"/>
            <w:tcBorders>
              <w:top w:val="single" w:sz="4" w:space="0" w:color="auto"/>
              <w:left w:val="nil"/>
              <w:bottom w:val="single" w:sz="4" w:space="0" w:color="auto"/>
              <w:right w:val="nil"/>
            </w:tcBorders>
            <w:hideMark/>
          </w:tcPr>
          <w:p w14:paraId="08FEDF45"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709" w:type="dxa"/>
            <w:tcBorders>
              <w:top w:val="single" w:sz="4" w:space="0" w:color="auto"/>
              <w:left w:val="nil"/>
              <w:bottom w:val="single" w:sz="4" w:space="0" w:color="auto"/>
              <w:right w:val="nil"/>
            </w:tcBorders>
            <w:hideMark/>
          </w:tcPr>
          <w:p w14:paraId="34C80B72"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29.46</w:t>
            </w:r>
          </w:p>
        </w:tc>
        <w:tc>
          <w:tcPr>
            <w:tcW w:w="849" w:type="dxa"/>
            <w:tcBorders>
              <w:top w:val="single" w:sz="4" w:space="0" w:color="auto"/>
              <w:left w:val="nil"/>
              <w:bottom w:val="single" w:sz="4" w:space="0" w:color="auto"/>
              <w:right w:val="nil"/>
            </w:tcBorders>
            <w:hideMark/>
          </w:tcPr>
          <w:p w14:paraId="796BE2C9"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6.64</w:t>
            </w:r>
          </w:p>
        </w:tc>
        <w:tc>
          <w:tcPr>
            <w:tcW w:w="850" w:type="dxa"/>
            <w:tcBorders>
              <w:top w:val="single" w:sz="4" w:space="0" w:color="auto"/>
              <w:left w:val="nil"/>
              <w:bottom w:val="single" w:sz="4" w:space="0" w:color="auto"/>
              <w:right w:val="nil"/>
            </w:tcBorders>
            <w:hideMark/>
          </w:tcPr>
          <w:p w14:paraId="3AE83913" w14:textId="32F3CD90"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79E251B6"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713" w:type="dxa"/>
            <w:tcBorders>
              <w:top w:val="single" w:sz="4" w:space="0" w:color="auto"/>
              <w:left w:val="nil"/>
              <w:bottom w:val="single" w:sz="4" w:space="0" w:color="auto"/>
              <w:right w:val="nil"/>
            </w:tcBorders>
            <w:hideMark/>
          </w:tcPr>
          <w:p w14:paraId="7A659BB7" w14:textId="115DCEDC"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2713AB33" w14:textId="2CADEC70"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389B96C6"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860mg/kg</w:t>
            </w:r>
          </w:p>
          <w:p w14:paraId="43F3FC33"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021F1B4E"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7E672C97" w14:textId="55E307CB"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canabinoide</w:t>
            </w:r>
            <w:proofErr w:type="spellEnd"/>
            <w:r w:rsidRPr="003136F9">
              <w:rPr>
                <w:rFonts w:ascii="Arial" w:hAnsi="Arial" w:cs="Arial"/>
                <w:color w:val="000000" w:themeColor="text1"/>
              </w:rPr>
              <w:t xml:space="preserve"> 1 e 2</w:t>
            </w:r>
          </w:p>
        </w:tc>
      </w:tr>
      <w:tr w:rsidR="007F376B" w:rsidRPr="003136F9" w14:paraId="4C95D7CE" w14:textId="77777777" w:rsidTr="78BB7069">
        <w:tc>
          <w:tcPr>
            <w:tcW w:w="1561" w:type="dxa"/>
            <w:tcBorders>
              <w:top w:val="single" w:sz="4" w:space="0" w:color="auto"/>
              <w:left w:val="nil"/>
              <w:bottom w:val="single" w:sz="4" w:space="0" w:color="auto"/>
              <w:right w:val="nil"/>
            </w:tcBorders>
            <w:hideMark/>
          </w:tcPr>
          <w:p w14:paraId="7DBAC443" w14:textId="468DCAD2" w:rsidR="004024B2" w:rsidRPr="003136F9" w:rsidRDefault="009C0EBE" w:rsidP="78BB7069">
            <w:pPr>
              <w:spacing w:line="360" w:lineRule="auto"/>
              <w:jc w:val="both"/>
              <w:rPr>
                <w:rFonts w:ascii="Arial" w:hAnsi="Arial" w:cs="Arial"/>
                <w:color w:val="000000" w:themeColor="text1"/>
              </w:rPr>
            </w:pPr>
            <w:r w:rsidRPr="003136F9">
              <w:rPr>
                <w:rFonts w:ascii="Arial" w:hAnsi="Arial" w:cs="Arial"/>
                <w:color w:val="000000" w:themeColor="text1"/>
              </w:rPr>
              <w:t>Canabinol</w:t>
            </w:r>
          </w:p>
        </w:tc>
        <w:tc>
          <w:tcPr>
            <w:tcW w:w="710" w:type="dxa"/>
            <w:tcBorders>
              <w:top w:val="single" w:sz="4" w:space="0" w:color="auto"/>
              <w:left w:val="nil"/>
              <w:bottom w:val="single" w:sz="4" w:space="0" w:color="auto"/>
              <w:right w:val="nil"/>
            </w:tcBorders>
            <w:hideMark/>
          </w:tcPr>
          <w:p w14:paraId="01083122"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310.44</w:t>
            </w:r>
          </w:p>
        </w:tc>
        <w:tc>
          <w:tcPr>
            <w:tcW w:w="850" w:type="dxa"/>
            <w:tcBorders>
              <w:top w:val="single" w:sz="4" w:space="0" w:color="auto"/>
              <w:left w:val="nil"/>
              <w:bottom w:val="single" w:sz="4" w:space="0" w:color="auto"/>
              <w:right w:val="nil"/>
            </w:tcBorders>
            <w:hideMark/>
          </w:tcPr>
          <w:p w14:paraId="3251A352"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567" w:type="dxa"/>
            <w:tcBorders>
              <w:top w:val="single" w:sz="4" w:space="0" w:color="auto"/>
              <w:left w:val="nil"/>
              <w:bottom w:val="single" w:sz="4" w:space="0" w:color="auto"/>
              <w:right w:val="nil"/>
            </w:tcBorders>
            <w:hideMark/>
          </w:tcPr>
          <w:p w14:paraId="00F33C96"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709" w:type="dxa"/>
            <w:tcBorders>
              <w:top w:val="single" w:sz="4" w:space="0" w:color="auto"/>
              <w:left w:val="nil"/>
              <w:bottom w:val="single" w:sz="4" w:space="0" w:color="auto"/>
              <w:right w:val="nil"/>
            </w:tcBorders>
            <w:hideMark/>
          </w:tcPr>
          <w:p w14:paraId="0E680386"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29.46</w:t>
            </w:r>
          </w:p>
        </w:tc>
        <w:tc>
          <w:tcPr>
            <w:tcW w:w="849" w:type="dxa"/>
            <w:tcBorders>
              <w:top w:val="single" w:sz="4" w:space="0" w:color="auto"/>
              <w:left w:val="nil"/>
              <w:bottom w:val="single" w:sz="4" w:space="0" w:color="auto"/>
              <w:right w:val="nil"/>
            </w:tcBorders>
            <w:hideMark/>
          </w:tcPr>
          <w:p w14:paraId="475BF04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6.81</w:t>
            </w:r>
          </w:p>
        </w:tc>
        <w:tc>
          <w:tcPr>
            <w:tcW w:w="850" w:type="dxa"/>
            <w:tcBorders>
              <w:top w:val="single" w:sz="4" w:space="0" w:color="auto"/>
              <w:left w:val="nil"/>
              <w:bottom w:val="single" w:sz="4" w:space="0" w:color="auto"/>
              <w:right w:val="nil"/>
            </w:tcBorders>
            <w:hideMark/>
          </w:tcPr>
          <w:p w14:paraId="2D1DB128" w14:textId="19A1926B"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67220B71"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713" w:type="dxa"/>
            <w:tcBorders>
              <w:top w:val="single" w:sz="4" w:space="0" w:color="auto"/>
              <w:left w:val="nil"/>
              <w:bottom w:val="single" w:sz="4" w:space="0" w:color="auto"/>
              <w:right w:val="nil"/>
            </w:tcBorders>
            <w:hideMark/>
          </w:tcPr>
          <w:p w14:paraId="201DEBEF" w14:textId="110A668C"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36F0E94C" w14:textId="4DAD717F"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5332C84C"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13500mg/kg</w:t>
            </w:r>
          </w:p>
          <w:p w14:paraId="5E3AF495"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16C5E454"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6</w:t>
            </w:r>
          </w:p>
        </w:tc>
        <w:tc>
          <w:tcPr>
            <w:tcW w:w="1267" w:type="dxa"/>
            <w:tcBorders>
              <w:top w:val="single" w:sz="4" w:space="0" w:color="auto"/>
              <w:left w:val="nil"/>
              <w:bottom w:val="single" w:sz="4" w:space="0" w:color="auto"/>
              <w:right w:val="nil"/>
            </w:tcBorders>
            <w:hideMark/>
          </w:tcPr>
          <w:p w14:paraId="40D52915" w14:textId="149301FD"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canabinoide</w:t>
            </w:r>
            <w:proofErr w:type="spellEnd"/>
            <w:r w:rsidRPr="003136F9">
              <w:rPr>
                <w:rFonts w:ascii="Arial" w:hAnsi="Arial" w:cs="Arial"/>
                <w:color w:val="000000" w:themeColor="text1"/>
              </w:rPr>
              <w:t xml:space="preserve"> 1 e 2</w:t>
            </w:r>
          </w:p>
        </w:tc>
      </w:tr>
      <w:tr w:rsidR="007F376B" w:rsidRPr="003136F9" w14:paraId="5F2115E4" w14:textId="77777777" w:rsidTr="78BB7069">
        <w:tc>
          <w:tcPr>
            <w:tcW w:w="1561" w:type="dxa"/>
            <w:tcBorders>
              <w:top w:val="single" w:sz="4" w:space="0" w:color="auto"/>
              <w:left w:val="nil"/>
              <w:bottom w:val="single" w:sz="4" w:space="0" w:color="auto"/>
              <w:right w:val="nil"/>
            </w:tcBorders>
            <w:hideMark/>
          </w:tcPr>
          <w:p w14:paraId="2B84D720" w14:textId="0138C2AD" w:rsidR="004024B2" w:rsidRPr="003136F9" w:rsidRDefault="009C0EBE"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t>Canabitriol</w:t>
            </w:r>
            <w:proofErr w:type="spellEnd"/>
          </w:p>
        </w:tc>
        <w:tc>
          <w:tcPr>
            <w:tcW w:w="710" w:type="dxa"/>
            <w:tcBorders>
              <w:top w:val="single" w:sz="4" w:space="0" w:color="auto"/>
              <w:left w:val="nil"/>
              <w:bottom w:val="single" w:sz="4" w:space="0" w:color="auto"/>
              <w:right w:val="nil"/>
            </w:tcBorders>
            <w:hideMark/>
          </w:tcPr>
          <w:p w14:paraId="223D9F93"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346.47</w:t>
            </w:r>
          </w:p>
        </w:tc>
        <w:tc>
          <w:tcPr>
            <w:tcW w:w="850" w:type="dxa"/>
            <w:tcBorders>
              <w:top w:val="single" w:sz="4" w:space="0" w:color="auto"/>
              <w:left w:val="nil"/>
              <w:bottom w:val="single" w:sz="4" w:space="0" w:color="auto"/>
              <w:right w:val="nil"/>
            </w:tcBorders>
            <w:hideMark/>
          </w:tcPr>
          <w:p w14:paraId="311F7FA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3</w:t>
            </w:r>
          </w:p>
        </w:tc>
        <w:tc>
          <w:tcPr>
            <w:tcW w:w="567" w:type="dxa"/>
            <w:tcBorders>
              <w:top w:val="single" w:sz="4" w:space="0" w:color="auto"/>
              <w:left w:val="nil"/>
              <w:bottom w:val="single" w:sz="4" w:space="0" w:color="auto"/>
              <w:right w:val="nil"/>
            </w:tcBorders>
            <w:hideMark/>
          </w:tcPr>
          <w:p w14:paraId="2071EF4F"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w:t>
            </w:r>
          </w:p>
        </w:tc>
        <w:tc>
          <w:tcPr>
            <w:tcW w:w="709" w:type="dxa"/>
            <w:tcBorders>
              <w:top w:val="single" w:sz="4" w:space="0" w:color="auto"/>
              <w:left w:val="nil"/>
              <w:bottom w:val="single" w:sz="4" w:space="0" w:color="auto"/>
              <w:right w:val="nil"/>
            </w:tcBorders>
            <w:hideMark/>
          </w:tcPr>
          <w:p w14:paraId="4DF66CE9"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69.92</w:t>
            </w:r>
          </w:p>
        </w:tc>
        <w:tc>
          <w:tcPr>
            <w:tcW w:w="849" w:type="dxa"/>
            <w:tcBorders>
              <w:top w:val="single" w:sz="4" w:space="0" w:color="auto"/>
              <w:left w:val="nil"/>
              <w:bottom w:val="single" w:sz="4" w:space="0" w:color="auto"/>
              <w:right w:val="nil"/>
            </w:tcBorders>
            <w:hideMark/>
          </w:tcPr>
          <w:p w14:paraId="01BCFDD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4.61</w:t>
            </w:r>
          </w:p>
        </w:tc>
        <w:tc>
          <w:tcPr>
            <w:tcW w:w="850" w:type="dxa"/>
            <w:tcBorders>
              <w:top w:val="single" w:sz="4" w:space="0" w:color="auto"/>
              <w:left w:val="nil"/>
              <w:bottom w:val="single" w:sz="4" w:space="0" w:color="auto"/>
              <w:right w:val="nil"/>
            </w:tcBorders>
            <w:hideMark/>
          </w:tcPr>
          <w:p w14:paraId="4A63CB3F" w14:textId="43649478"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7179000F"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4A043DEE" w14:textId="2BC6CB48"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1FC89E51" w14:textId="1CE3477D" w:rsidR="004024B2" w:rsidRPr="003136F9" w:rsidRDefault="009C0EBE"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6E6E4E82"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750mg/kg</w:t>
            </w:r>
          </w:p>
          <w:p w14:paraId="18C6BD33"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1B551DA1"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2B5E63A2" w14:textId="74942C1C"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canabinoide</w:t>
            </w:r>
            <w:proofErr w:type="spellEnd"/>
            <w:r w:rsidRPr="003136F9">
              <w:rPr>
                <w:rFonts w:ascii="Arial" w:hAnsi="Arial" w:cs="Arial"/>
                <w:color w:val="000000" w:themeColor="text1"/>
              </w:rPr>
              <w:t xml:space="preserve"> 1 e 2</w:t>
            </w:r>
          </w:p>
        </w:tc>
      </w:tr>
      <w:tr w:rsidR="007F376B" w:rsidRPr="003136F9" w14:paraId="2CF9C834" w14:textId="77777777" w:rsidTr="78BB7069">
        <w:tc>
          <w:tcPr>
            <w:tcW w:w="1561" w:type="dxa"/>
            <w:tcBorders>
              <w:top w:val="single" w:sz="4" w:space="0" w:color="auto"/>
              <w:left w:val="nil"/>
              <w:bottom w:val="single" w:sz="4" w:space="0" w:color="auto"/>
              <w:right w:val="nil"/>
            </w:tcBorders>
            <w:hideMark/>
          </w:tcPr>
          <w:p w14:paraId="1351B614" w14:textId="77D129B2" w:rsidR="004024B2" w:rsidRPr="003136F9" w:rsidRDefault="009C0EBE" w:rsidP="78BB7069">
            <w:pPr>
              <w:spacing w:line="360" w:lineRule="auto"/>
              <w:jc w:val="both"/>
              <w:rPr>
                <w:rFonts w:ascii="Arial" w:hAnsi="Arial" w:cs="Arial"/>
                <w:color w:val="000000" w:themeColor="text1"/>
              </w:rPr>
            </w:pPr>
            <w:r w:rsidRPr="003136F9">
              <w:rPr>
                <w:rFonts w:ascii="Arial" w:hAnsi="Arial" w:cs="Arial"/>
                <w:color w:val="000000" w:themeColor="text1"/>
              </w:rPr>
              <w:t xml:space="preserve">Ácido </w:t>
            </w:r>
            <w:proofErr w:type="spellStart"/>
            <w:r w:rsidRPr="003136F9">
              <w:rPr>
                <w:rFonts w:ascii="Arial" w:hAnsi="Arial" w:cs="Arial"/>
                <w:color w:val="000000" w:themeColor="text1"/>
              </w:rPr>
              <w:t>canabinólico</w:t>
            </w:r>
            <w:proofErr w:type="spellEnd"/>
          </w:p>
        </w:tc>
        <w:tc>
          <w:tcPr>
            <w:tcW w:w="710" w:type="dxa"/>
            <w:tcBorders>
              <w:top w:val="single" w:sz="4" w:space="0" w:color="auto"/>
              <w:left w:val="nil"/>
              <w:bottom w:val="single" w:sz="4" w:space="0" w:color="auto"/>
              <w:right w:val="nil"/>
            </w:tcBorders>
            <w:hideMark/>
          </w:tcPr>
          <w:p w14:paraId="40C2E679"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354.45</w:t>
            </w:r>
          </w:p>
        </w:tc>
        <w:tc>
          <w:tcPr>
            <w:tcW w:w="850" w:type="dxa"/>
            <w:tcBorders>
              <w:top w:val="single" w:sz="4" w:space="0" w:color="auto"/>
              <w:left w:val="nil"/>
              <w:bottom w:val="single" w:sz="4" w:space="0" w:color="auto"/>
              <w:right w:val="nil"/>
            </w:tcBorders>
            <w:hideMark/>
          </w:tcPr>
          <w:p w14:paraId="10107532"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567" w:type="dxa"/>
            <w:tcBorders>
              <w:top w:val="single" w:sz="4" w:space="0" w:color="auto"/>
              <w:left w:val="nil"/>
              <w:bottom w:val="single" w:sz="4" w:space="0" w:color="auto"/>
              <w:right w:val="nil"/>
            </w:tcBorders>
            <w:hideMark/>
          </w:tcPr>
          <w:p w14:paraId="626CAC58"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w:t>
            </w:r>
          </w:p>
        </w:tc>
        <w:tc>
          <w:tcPr>
            <w:tcW w:w="709" w:type="dxa"/>
            <w:tcBorders>
              <w:top w:val="single" w:sz="4" w:space="0" w:color="auto"/>
              <w:left w:val="nil"/>
              <w:bottom w:val="single" w:sz="4" w:space="0" w:color="auto"/>
              <w:right w:val="nil"/>
            </w:tcBorders>
            <w:hideMark/>
          </w:tcPr>
          <w:p w14:paraId="7E1C9A1C"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66.76</w:t>
            </w:r>
          </w:p>
        </w:tc>
        <w:tc>
          <w:tcPr>
            <w:tcW w:w="849" w:type="dxa"/>
            <w:tcBorders>
              <w:top w:val="single" w:sz="4" w:space="0" w:color="auto"/>
              <w:left w:val="nil"/>
              <w:bottom w:val="single" w:sz="4" w:space="0" w:color="auto"/>
              <w:right w:val="nil"/>
            </w:tcBorders>
            <w:hideMark/>
          </w:tcPr>
          <w:p w14:paraId="2A5124D3"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6.31</w:t>
            </w:r>
          </w:p>
        </w:tc>
        <w:tc>
          <w:tcPr>
            <w:tcW w:w="850" w:type="dxa"/>
            <w:tcBorders>
              <w:top w:val="single" w:sz="4" w:space="0" w:color="auto"/>
              <w:left w:val="nil"/>
              <w:bottom w:val="single" w:sz="4" w:space="0" w:color="auto"/>
              <w:right w:val="nil"/>
            </w:tcBorders>
            <w:hideMark/>
          </w:tcPr>
          <w:p w14:paraId="05FE87DA" w14:textId="15EDD234"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10AE577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0B5E3C96" w14:textId="28516799"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3946FD7E" w14:textId="3A2135D2" w:rsidR="004024B2" w:rsidRPr="003136F9" w:rsidRDefault="00A007F8" w:rsidP="00D50DFB">
            <w:pPr>
              <w:spacing w:line="360" w:lineRule="auto"/>
              <w:jc w:val="center"/>
              <w:rPr>
                <w:rFonts w:ascii="Arial" w:hAnsi="Arial" w:cs="Arial"/>
                <w:bCs/>
                <w:color w:val="000000" w:themeColor="text1"/>
              </w:rPr>
            </w:pPr>
            <w:r w:rsidRPr="003136F9">
              <w:rPr>
                <w:rFonts w:ascii="Arial" w:hAnsi="Arial" w:cs="Arial"/>
                <w:bCs/>
                <w:color w:val="000000" w:themeColor="text1"/>
              </w:rPr>
              <w:t>N</w:t>
            </w:r>
            <w:r w:rsidR="004A28D1" w:rsidRPr="003136F9">
              <w:rPr>
                <w:rFonts w:ascii="Arial" w:hAnsi="Arial" w:cs="Arial"/>
                <w:bCs/>
                <w:color w:val="000000" w:themeColor="text1"/>
              </w:rPr>
              <w:t>ÃO</w:t>
            </w:r>
          </w:p>
        </w:tc>
        <w:tc>
          <w:tcPr>
            <w:tcW w:w="1128" w:type="dxa"/>
            <w:tcBorders>
              <w:top w:val="single" w:sz="4" w:space="0" w:color="auto"/>
              <w:left w:val="nil"/>
              <w:bottom w:val="single" w:sz="4" w:space="0" w:color="auto"/>
              <w:right w:val="nil"/>
            </w:tcBorders>
          </w:tcPr>
          <w:p w14:paraId="73778AAF"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400mg/kg</w:t>
            </w:r>
          </w:p>
          <w:p w14:paraId="4C105974"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2A4496FA"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2460B483" w14:textId="3B48C7AB"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canabinoide</w:t>
            </w:r>
            <w:proofErr w:type="spellEnd"/>
            <w:r w:rsidRPr="003136F9">
              <w:rPr>
                <w:rFonts w:ascii="Arial" w:hAnsi="Arial" w:cs="Arial"/>
                <w:color w:val="000000" w:themeColor="text1"/>
              </w:rPr>
              <w:t xml:space="preserve"> 1 e 2</w:t>
            </w:r>
          </w:p>
        </w:tc>
      </w:tr>
      <w:tr w:rsidR="007F376B" w:rsidRPr="003136F9" w14:paraId="12F3194C" w14:textId="77777777" w:rsidTr="78BB7069">
        <w:tc>
          <w:tcPr>
            <w:tcW w:w="1561" w:type="dxa"/>
            <w:tcBorders>
              <w:top w:val="single" w:sz="4" w:space="0" w:color="auto"/>
              <w:left w:val="nil"/>
              <w:bottom w:val="single" w:sz="4" w:space="0" w:color="auto"/>
              <w:right w:val="nil"/>
            </w:tcBorders>
            <w:hideMark/>
          </w:tcPr>
          <w:p w14:paraId="058238BA" w14:textId="7E0497E7" w:rsidR="004024B2" w:rsidRPr="003136F9" w:rsidRDefault="004A28D1" w:rsidP="78BB7069">
            <w:pPr>
              <w:spacing w:line="360" w:lineRule="auto"/>
              <w:jc w:val="both"/>
              <w:rPr>
                <w:rFonts w:ascii="Arial" w:hAnsi="Arial" w:cs="Arial"/>
                <w:color w:val="000000" w:themeColor="text1"/>
              </w:rPr>
            </w:pPr>
            <w:r w:rsidRPr="003136F9">
              <w:rPr>
                <w:rFonts w:ascii="Arial" w:hAnsi="Arial" w:cs="Arial"/>
                <w:color w:val="000000" w:themeColor="text1"/>
              </w:rPr>
              <w:t xml:space="preserve">Ácido </w:t>
            </w:r>
            <w:proofErr w:type="spellStart"/>
            <w:r w:rsidRPr="003136F9">
              <w:rPr>
                <w:rFonts w:ascii="Arial" w:hAnsi="Arial" w:cs="Arial"/>
                <w:color w:val="000000" w:themeColor="text1"/>
              </w:rPr>
              <w:t>canabigerólico</w:t>
            </w:r>
            <w:proofErr w:type="spellEnd"/>
          </w:p>
        </w:tc>
        <w:tc>
          <w:tcPr>
            <w:tcW w:w="710" w:type="dxa"/>
            <w:tcBorders>
              <w:top w:val="single" w:sz="4" w:space="0" w:color="auto"/>
              <w:left w:val="nil"/>
              <w:bottom w:val="single" w:sz="4" w:space="0" w:color="auto"/>
              <w:right w:val="nil"/>
            </w:tcBorders>
            <w:hideMark/>
          </w:tcPr>
          <w:p w14:paraId="6FC6F622"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360.49</w:t>
            </w:r>
          </w:p>
        </w:tc>
        <w:tc>
          <w:tcPr>
            <w:tcW w:w="850" w:type="dxa"/>
            <w:tcBorders>
              <w:top w:val="single" w:sz="4" w:space="0" w:color="auto"/>
              <w:left w:val="nil"/>
              <w:bottom w:val="single" w:sz="4" w:space="0" w:color="auto"/>
              <w:right w:val="nil"/>
            </w:tcBorders>
            <w:hideMark/>
          </w:tcPr>
          <w:p w14:paraId="3EDD69E4"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3</w:t>
            </w:r>
          </w:p>
        </w:tc>
        <w:tc>
          <w:tcPr>
            <w:tcW w:w="567" w:type="dxa"/>
            <w:tcBorders>
              <w:top w:val="single" w:sz="4" w:space="0" w:color="auto"/>
              <w:left w:val="nil"/>
              <w:bottom w:val="single" w:sz="4" w:space="0" w:color="auto"/>
              <w:right w:val="nil"/>
            </w:tcBorders>
            <w:hideMark/>
          </w:tcPr>
          <w:p w14:paraId="4F342D43"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w:t>
            </w:r>
          </w:p>
        </w:tc>
        <w:tc>
          <w:tcPr>
            <w:tcW w:w="709" w:type="dxa"/>
            <w:tcBorders>
              <w:top w:val="single" w:sz="4" w:space="0" w:color="auto"/>
              <w:left w:val="nil"/>
              <w:bottom w:val="single" w:sz="4" w:space="0" w:color="auto"/>
              <w:right w:val="nil"/>
            </w:tcBorders>
            <w:hideMark/>
          </w:tcPr>
          <w:p w14:paraId="1FB95096"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77.75</w:t>
            </w:r>
          </w:p>
        </w:tc>
        <w:tc>
          <w:tcPr>
            <w:tcW w:w="849" w:type="dxa"/>
            <w:tcBorders>
              <w:top w:val="single" w:sz="4" w:space="0" w:color="auto"/>
              <w:left w:val="nil"/>
              <w:bottom w:val="single" w:sz="4" w:space="0" w:color="auto"/>
              <w:right w:val="nil"/>
            </w:tcBorders>
            <w:hideMark/>
          </w:tcPr>
          <w:p w14:paraId="23555DE4"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7.13</w:t>
            </w:r>
          </w:p>
        </w:tc>
        <w:tc>
          <w:tcPr>
            <w:tcW w:w="850" w:type="dxa"/>
            <w:tcBorders>
              <w:top w:val="single" w:sz="4" w:space="0" w:color="auto"/>
              <w:left w:val="nil"/>
              <w:bottom w:val="single" w:sz="4" w:space="0" w:color="auto"/>
              <w:right w:val="nil"/>
            </w:tcBorders>
            <w:hideMark/>
          </w:tcPr>
          <w:p w14:paraId="1CFFADAD" w14:textId="33199EC5"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17B68205"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713" w:type="dxa"/>
            <w:tcBorders>
              <w:top w:val="single" w:sz="4" w:space="0" w:color="auto"/>
              <w:left w:val="nil"/>
              <w:bottom w:val="single" w:sz="4" w:space="0" w:color="auto"/>
              <w:right w:val="nil"/>
            </w:tcBorders>
            <w:hideMark/>
          </w:tcPr>
          <w:p w14:paraId="4FA6A7D2" w14:textId="23C07875"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4781115C" w14:textId="49F6C708" w:rsidR="004024B2" w:rsidRPr="003136F9" w:rsidRDefault="0085714E" w:rsidP="00D50DFB">
            <w:pPr>
              <w:spacing w:line="360" w:lineRule="auto"/>
              <w:jc w:val="center"/>
              <w:rPr>
                <w:rFonts w:ascii="Arial" w:hAnsi="Arial" w:cs="Arial"/>
                <w:bCs/>
                <w:color w:val="000000" w:themeColor="text1"/>
              </w:rPr>
            </w:pPr>
            <w:r w:rsidRPr="003136F9">
              <w:rPr>
                <w:rFonts w:ascii="Arial" w:hAnsi="Arial" w:cs="Arial"/>
                <w:bCs/>
                <w:color w:val="000000" w:themeColor="text1"/>
              </w:rPr>
              <w:t>N</w:t>
            </w:r>
            <w:r w:rsidR="004A28D1" w:rsidRPr="003136F9">
              <w:rPr>
                <w:rFonts w:ascii="Arial" w:hAnsi="Arial" w:cs="Arial"/>
                <w:bCs/>
                <w:color w:val="000000" w:themeColor="text1"/>
              </w:rPr>
              <w:t>ÃO</w:t>
            </w:r>
          </w:p>
        </w:tc>
        <w:tc>
          <w:tcPr>
            <w:tcW w:w="1128" w:type="dxa"/>
            <w:tcBorders>
              <w:top w:val="single" w:sz="4" w:space="0" w:color="auto"/>
              <w:left w:val="nil"/>
              <w:bottom w:val="single" w:sz="4" w:space="0" w:color="auto"/>
              <w:right w:val="nil"/>
            </w:tcBorders>
          </w:tcPr>
          <w:p w14:paraId="3D83C9BE"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1000mg/kg</w:t>
            </w:r>
          </w:p>
          <w:p w14:paraId="03DF5744"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2A238BFE"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30BE6345" w14:textId="10DBE2AE"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canabinoide</w:t>
            </w:r>
            <w:proofErr w:type="spellEnd"/>
            <w:r w:rsidRPr="003136F9">
              <w:rPr>
                <w:rFonts w:ascii="Arial" w:hAnsi="Arial" w:cs="Arial"/>
                <w:color w:val="000000" w:themeColor="text1"/>
              </w:rPr>
              <w:t xml:space="preserve"> 1 e 2</w:t>
            </w:r>
          </w:p>
        </w:tc>
      </w:tr>
      <w:tr w:rsidR="007F376B" w:rsidRPr="003136F9" w14:paraId="6B1144B0" w14:textId="77777777" w:rsidTr="78BB7069">
        <w:tc>
          <w:tcPr>
            <w:tcW w:w="1561" w:type="dxa"/>
            <w:tcBorders>
              <w:top w:val="single" w:sz="4" w:space="0" w:color="auto"/>
              <w:left w:val="nil"/>
              <w:bottom w:val="single" w:sz="4" w:space="0" w:color="auto"/>
              <w:right w:val="nil"/>
            </w:tcBorders>
            <w:hideMark/>
          </w:tcPr>
          <w:p w14:paraId="131E3A2D" w14:textId="2E667D63" w:rsidR="004024B2" w:rsidRPr="003136F9" w:rsidRDefault="004A28D1"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t>Tetrahidrocanabivarina</w:t>
            </w:r>
            <w:proofErr w:type="spellEnd"/>
          </w:p>
        </w:tc>
        <w:tc>
          <w:tcPr>
            <w:tcW w:w="710" w:type="dxa"/>
            <w:tcBorders>
              <w:top w:val="single" w:sz="4" w:space="0" w:color="auto"/>
              <w:left w:val="nil"/>
              <w:bottom w:val="single" w:sz="4" w:space="0" w:color="auto"/>
              <w:right w:val="nil"/>
            </w:tcBorders>
            <w:hideMark/>
          </w:tcPr>
          <w:p w14:paraId="09AA815B"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286.42</w:t>
            </w:r>
          </w:p>
        </w:tc>
        <w:tc>
          <w:tcPr>
            <w:tcW w:w="850" w:type="dxa"/>
            <w:tcBorders>
              <w:top w:val="single" w:sz="4" w:space="0" w:color="auto"/>
              <w:left w:val="nil"/>
              <w:bottom w:val="single" w:sz="4" w:space="0" w:color="auto"/>
              <w:right w:val="nil"/>
            </w:tcBorders>
            <w:hideMark/>
          </w:tcPr>
          <w:p w14:paraId="6D312B9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567" w:type="dxa"/>
            <w:tcBorders>
              <w:top w:val="single" w:sz="4" w:space="0" w:color="auto"/>
              <w:left w:val="nil"/>
              <w:bottom w:val="single" w:sz="4" w:space="0" w:color="auto"/>
              <w:right w:val="nil"/>
            </w:tcBorders>
            <w:hideMark/>
          </w:tcPr>
          <w:p w14:paraId="12622E2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w:t>
            </w:r>
          </w:p>
        </w:tc>
        <w:tc>
          <w:tcPr>
            <w:tcW w:w="709" w:type="dxa"/>
            <w:tcBorders>
              <w:top w:val="single" w:sz="4" w:space="0" w:color="auto"/>
              <w:left w:val="nil"/>
              <w:bottom w:val="single" w:sz="4" w:space="0" w:color="auto"/>
              <w:right w:val="nil"/>
            </w:tcBorders>
            <w:hideMark/>
          </w:tcPr>
          <w:p w14:paraId="5B91500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29.46</w:t>
            </w:r>
          </w:p>
        </w:tc>
        <w:tc>
          <w:tcPr>
            <w:tcW w:w="849" w:type="dxa"/>
            <w:tcBorders>
              <w:top w:val="single" w:sz="4" w:space="0" w:color="auto"/>
              <w:left w:val="nil"/>
              <w:bottom w:val="single" w:sz="4" w:space="0" w:color="auto"/>
              <w:right w:val="nil"/>
            </w:tcBorders>
            <w:hideMark/>
          </w:tcPr>
          <w:p w14:paraId="70B80FC8"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5.62</w:t>
            </w:r>
          </w:p>
        </w:tc>
        <w:tc>
          <w:tcPr>
            <w:tcW w:w="850" w:type="dxa"/>
            <w:tcBorders>
              <w:top w:val="single" w:sz="4" w:space="0" w:color="auto"/>
              <w:left w:val="nil"/>
              <w:bottom w:val="single" w:sz="4" w:space="0" w:color="auto"/>
              <w:right w:val="nil"/>
            </w:tcBorders>
            <w:hideMark/>
          </w:tcPr>
          <w:p w14:paraId="6042536E" w14:textId="63D3F182"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6B8792D4"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4B18B01F" w14:textId="67E315ED"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0D297EB0" w14:textId="37A6B073"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0BEDEF39"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482mg/kg</w:t>
            </w:r>
          </w:p>
          <w:p w14:paraId="41FF038C"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6F37E148"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hideMark/>
          </w:tcPr>
          <w:p w14:paraId="4DCA75AD" w14:textId="6443347E" w:rsidR="004024B2" w:rsidRPr="003136F9" w:rsidRDefault="009C0EBE" w:rsidP="78BB7069">
            <w:pPr>
              <w:spacing w:line="360" w:lineRule="auto"/>
              <w:jc w:val="center"/>
              <w:rPr>
                <w:rFonts w:ascii="Arial" w:hAnsi="Arial" w:cs="Arial"/>
                <w:color w:val="000000" w:themeColor="text1"/>
              </w:rPr>
            </w:pPr>
            <w:r w:rsidRPr="003136F9">
              <w:rPr>
                <w:rFonts w:ascii="Arial" w:hAnsi="Arial" w:cs="Arial"/>
                <w:color w:val="000000" w:themeColor="text1"/>
              </w:rPr>
              <w:t xml:space="preserve">Receptor de </w:t>
            </w:r>
            <w:proofErr w:type="spellStart"/>
            <w:r w:rsidRPr="003136F9">
              <w:rPr>
                <w:rFonts w:ascii="Arial" w:hAnsi="Arial" w:cs="Arial"/>
                <w:color w:val="000000" w:themeColor="text1"/>
              </w:rPr>
              <w:t>canabinói</w:t>
            </w:r>
            <w:r w:rsidRPr="003136F9">
              <w:rPr>
                <w:rFonts w:ascii="Arial" w:hAnsi="Arial" w:cs="Arial"/>
                <w:color w:val="000000" w:themeColor="text1"/>
              </w:rPr>
              <w:lastRenderedPageBreak/>
              <w:t>de</w:t>
            </w:r>
            <w:proofErr w:type="spellEnd"/>
            <w:r w:rsidRPr="003136F9">
              <w:rPr>
                <w:rFonts w:ascii="Arial" w:hAnsi="Arial" w:cs="Arial"/>
                <w:color w:val="000000" w:themeColor="text1"/>
              </w:rPr>
              <w:t xml:space="preserve"> 1 e 2; </w:t>
            </w:r>
            <w:proofErr w:type="gramStart"/>
            <w:r w:rsidRPr="003136F9">
              <w:rPr>
                <w:rFonts w:ascii="Arial" w:hAnsi="Arial" w:cs="Arial"/>
                <w:color w:val="000000" w:themeColor="text1"/>
              </w:rPr>
              <w:t>Receptor</w:t>
            </w:r>
            <w:proofErr w:type="gramEnd"/>
            <w:r w:rsidRPr="003136F9">
              <w:rPr>
                <w:rFonts w:ascii="Arial" w:hAnsi="Arial" w:cs="Arial"/>
                <w:color w:val="000000" w:themeColor="text1"/>
              </w:rPr>
              <w:t xml:space="preserve"> de N-</w:t>
            </w:r>
            <w:proofErr w:type="spellStart"/>
            <w:r w:rsidRPr="003136F9">
              <w:rPr>
                <w:rFonts w:ascii="Arial" w:hAnsi="Arial" w:cs="Arial"/>
                <w:color w:val="000000" w:themeColor="text1"/>
              </w:rPr>
              <w:t>araquidonilglicina</w:t>
            </w:r>
            <w:proofErr w:type="spellEnd"/>
            <w:r w:rsidRPr="003136F9">
              <w:rPr>
                <w:rFonts w:ascii="Arial" w:hAnsi="Arial" w:cs="Arial"/>
                <w:color w:val="000000" w:themeColor="text1"/>
              </w:rPr>
              <w:t xml:space="preserve"> e subunidade alfa-1 do receptor de glicina</w:t>
            </w:r>
          </w:p>
        </w:tc>
      </w:tr>
      <w:tr w:rsidR="007F376B" w:rsidRPr="003136F9" w14:paraId="27017F3D" w14:textId="77777777" w:rsidTr="78BB7069">
        <w:tc>
          <w:tcPr>
            <w:tcW w:w="1561" w:type="dxa"/>
            <w:tcBorders>
              <w:top w:val="single" w:sz="4" w:space="0" w:color="auto"/>
              <w:left w:val="nil"/>
              <w:bottom w:val="single" w:sz="4" w:space="0" w:color="auto"/>
              <w:right w:val="nil"/>
            </w:tcBorders>
            <w:hideMark/>
          </w:tcPr>
          <w:p w14:paraId="108501C9" w14:textId="38BD8366" w:rsidR="004024B2" w:rsidRPr="003136F9" w:rsidRDefault="78BB7069"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lastRenderedPageBreak/>
              <w:t>Cannflavin</w:t>
            </w:r>
            <w:proofErr w:type="spellEnd"/>
            <w:r w:rsidRPr="003136F9">
              <w:rPr>
                <w:rFonts w:ascii="Arial" w:hAnsi="Arial" w:cs="Arial"/>
                <w:color w:val="000000" w:themeColor="text1"/>
              </w:rPr>
              <w:t xml:space="preserve"> C</w:t>
            </w:r>
          </w:p>
        </w:tc>
        <w:tc>
          <w:tcPr>
            <w:tcW w:w="710" w:type="dxa"/>
            <w:tcBorders>
              <w:top w:val="single" w:sz="4" w:space="0" w:color="auto"/>
              <w:left w:val="nil"/>
              <w:bottom w:val="single" w:sz="4" w:space="0" w:color="auto"/>
              <w:right w:val="nil"/>
            </w:tcBorders>
            <w:hideMark/>
          </w:tcPr>
          <w:p w14:paraId="59A23A95"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436.50</w:t>
            </w:r>
          </w:p>
        </w:tc>
        <w:tc>
          <w:tcPr>
            <w:tcW w:w="850" w:type="dxa"/>
            <w:tcBorders>
              <w:top w:val="single" w:sz="4" w:space="0" w:color="auto"/>
              <w:left w:val="nil"/>
              <w:bottom w:val="single" w:sz="4" w:space="0" w:color="auto"/>
              <w:right w:val="nil"/>
            </w:tcBorders>
            <w:hideMark/>
          </w:tcPr>
          <w:p w14:paraId="3FAE59AB"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3</w:t>
            </w:r>
          </w:p>
        </w:tc>
        <w:tc>
          <w:tcPr>
            <w:tcW w:w="567" w:type="dxa"/>
            <w:tcBorders>
              <w:top w:val="single" w:sz="4" w:space="0" w:color="auto"/>
              <w:left w:val="nil"/>
              <w:bottom w:val="single" w:sz="4" w:space="0" w:color="auto"/>
              <w:right w:val="nil"/>
            </w:tcBorders>
            <w:hideMark/>
          </w:tcPr>
          <w:p w14:paraId="1EB2D269"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w:t>
            </w:r>
          </w:p>
        </w:tc>
        <w:tc>
          <w:tcPr>
            <w:tcW w:w="709" w:type="dxa"/>
            <w:tcBorders>
              <w:top w:val="single" w:sz="4" w:space="0" w:color="auto"/>
              <w:left w:val="nil"/>
              <w:bottom w:val="single" w:sz="4" w:space="0" w:color="auto"/>
              <w:right w:val="nil"/>
            </w:tcBorders>
            <w:hideMark/>
          </w:tcPr>
          <w:p w14:paraId="4D3EBF1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100.13</w:t>
            </w:r>
          </w:p>
        </w:tc>
        <w:tc>
          <w:tcPr>
            <w:tcW w:w="849" w:type="dxa"/>
            <w:tcBorders>
              <w:top w:val="single" w:sz="4" w:space="0" w:color="auto"/>
              <w:left w:val="nil"/>
              <w:bottom w:val="single" w:sz="4" w:space="0" w:color="auto"/>
              <w:right w:val="nil"/>
            </w:tcBorders>
            <w:hideMark/>
          </w:tcPr>
          <w:p w14:paraId="7B35B0F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6.38</w:t>
            </w:r>
          </w:p>
        </w:tc>
        <w:tc>
          <w:tcPr>
            <w:tcW w:w="850" w:type="dxa"/>
            <w:tcBorders>
              <w:top w:val="single" w:sz="4" w:space="0" w:color="auto"/>
              <w:left w:val="nil"/>
              <w:bottom w:val="single" w:sz="4" w:space="0" w:color="auto"/>
              <w:right w:val="nil"/>
            </w:tcBorders>
            <w:hideMark/>
          </w:tcPr>
          <w:p w14:paraId="55D3DFBB" w14:textId="023274E9"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3C3AF2A8"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3C7BFC2F" w14:textId="43BC9DC7"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BAIXA</w:t>
            </w:r>
          </w:p>
        </w:tc>
        <w:tc>
          <w:tcPr>
            <w:tcW w:w="567" w:type="dxa"/>
            <w:tcBorders>
              <w:top w:val="single" w:sz="4" w:space="0" w:color="auto"/>
              <w:left w:val="nil"/>
              <w:bottom w:val="single" w:sz="4" w:space="0" w:color="auto"/>
              <w:right w:val="nil"/>
            </w:tcBorders>
            <w:hideMark/>
          </w:tcPr>
          <w:p w14:paraId="7B867927" w14:textId="4CEFAD31"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N</w:t>
            </w:r>
            <w:r w:rsidR="004A28D1" w:rsidRPr="003136F9">
              <w:rPr>
                <w:rFonts w:ascii="Arial" w:hAnsi="Arial" w:cs="Arial"/>
                <w:bCs/>
                <w:color w:val="000000" w:themeColor="text1"/>
              </w:rPr>
              <w:t>Ã</w:t>
            </w:r>
            <w:r w:rsidR="00A007F8" w:rsidRPr="003136F9">
              <w:rPr>
                <w:rFonts w:ascii="Arial" w:hAnsi="Arial" w:cs="Arial"/>
                <w:bCs/>
                <w:color w:val="000000" w:themeColor="text1"/>
              </w:rPr>
              <w:t>O</w:t>
            </w:r>
          </w:p>
        </w:tc>
        <w:tc>
          <w:tcPr>
            <w:tcW w:w="1128" w:type="dxa"/>
            <w:tcBorders>
              <w:top w:val="single" w:sz="4" w:space="0" w:color="auto"/>
              <w:left w:val="nil"/>
              <w:bottom w:val="single" w:sz="4" w:space="0" w:color="auto"/>
              <w:right w:val="nil"/>
            </w:tcBorders>
          </w:tcPr>
          <w:p w14:paraId="70E2C473"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3919mg/kg</w:t>
            </w:r>
          </w:p>
          <w:p w14:paraId="46977693"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3BACB68D"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5</w:t>
            </w:r>
          </w:p>
        </w:tc>
        <w:tc>
          <w:tcPr>
            <w:tcW w:w="1267" w:type="dxa"/>
            <w:tcBorders>
              <w:top w:val="single" w:sz="4" w:space="0" w:color="auto"/>
              <w:left w:val="nil"/>
              <w:bottom w:val="single" w:sz="4" w:space="0" w:color="auto"/>
              <w:right w:val="nil"/>
            </w:tcBorders>
            <w:hideMark/>
          </w:tcPr>
          <w:p w14:paraId="6BE40E32"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w:t>
            </w:r>
          </w:p>
        </w:tc>
      </w:tr>
      <w:tr w:rsidR="007F376B" w:rsidRPr="003136F9" w14:paraId="29B952A9" w14:textId="77777777" w:rsidTr="78BB7069">
        <w:tc>
          <w:tcPr>
            <w:tcW w:w="1561" w:type="dxa"/>
            <w:tcBorders>
              <w:top w:val="single" w:sz="4" w:space="0" w:color="auto"/>
              <w:left w:val="nil"/>
              <w:bottom w:val="single" w:sz="4" w:space="0" w:color="auto"/>
              <w:right w:val="nil"/>
            </w:tcBorders>
            <w:hideMark/>
          </w:tcPr>
          <w:p w14:paraId="7F7B105D" w14:textId="0DA98473" w:rsidR="004024B2" w:rsidRPr="003136F9" w:rsidRDefault="004A28D1" w:rsidP="78BB7069">
            <w:pPr>
              <w:spacing w:line="360" w:lineRule="auto"/>
              <w:jc w:val="both"/>
              <w:rPr>
                <w:rFonts w:ascii="Arial" w:hAnsi="Arial" w:cs="Arial"/>
                <w:color w:val="000000" w:themeColor="text1"/>
              </w:rPr>
            </w:pPr>
            <w:proofErr w:type="spellStart"/>
            <w:r w:rsidRPr="003136F9">
              <w:rPr>
                <w:rFonts w:ascii="Arial" w:hAnsi="Arial" w:cs="Arial"/>
                <w:color w:val="000000" w:themeColor="text1"/>
              </w:rPr>
              <w:t>Crioserol</w:t>
            </w:r>
            <w:proofErr w:type="spellEnd"/>
          </w:p>
        </w:tc>
        <w:tc>
          <w:tcPr>
            <w:tcW w:w="710" w:type="dxa"/>
            <w:tcBorders>
              <w:top w:val="single" w:sz="4" w:space="0" w:color="auto"/>
              <w:left w:val="nil"/>
              <w:bottom w:val="single" w:sz="4" w:space="0" w:color="auto"/>
              <w:right w:val="nil"/>
            </w:tcBorders>
            <w:hideMark/>
          </w:tcPr>
          <w:p w14:paraId="2F2FAB62"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30.27</w:t>
            </w:r>
          </w:p>
        </w:tc>
        <w:tc>
          <w:tcPr>
            <w:tcW w:w="850" w:type="dxa"/>
            <w:tcBorders>
              <w:top w:val="single" w:sz="4" w:space="0" w:color="auto"/>
              <w:left w:val="nil"/>
              <w:bottom w:val="single" w:sz="4" w:space="0" w:color="auto"/>
              <w:right w:val="nil"/>
            </w:tcBorders>
            <w:hideMark/>
          </w:tcPr>
          <w:p w14:paraId="52CEA225"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3</w:t>
            </w:r>
          </w:p>
        </w:tc>
        <w:tc>
          <w:tcPr>
            <w:tcW w:w="567" w:type="dxa"/>
            <w:tcBorders>
              <w:top w:val="single" w:sz="4" w:space="0" w:color="auto"/>
              <w:left w:val="nil"/>
              <w:bottom w:val="single" w:sz="4" w:space="0" w:color="auto"/>
              <w:right w:val="nil"/>
            </w:tcBorders>
            <w:hideMark/>
          </w:tcPr>
          <w:p w14:paraId="5C2F5396"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6</w:t>
            </w:r>
          </w:p>
        </w:tc>
        <w:tc>
          <w:tcPr>
            <w:tcW w:w="709" w:type="dxa"/>
            <w:tcBorders>
              <w:top w:val="single" w:sz="4" w:space="0" w:color="auto"/>
              <w:left w:val="nil"/>
              <w:bottom w:val="single" w:sz="4" w:space="0" w:color="auto"/>
              <w:right w:val="nil"/>
            </w:tcBorders>
            <w:hideMark/>
          </w:tcPr>
          <w:p w14:paraId="1EA67BC8"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100.13</w:t>
            </w:r>
          </w:p>
        </w:tc>
        <w:tc>
          <w:tcPr>
            <w:tcW w:w="849" w:type="dxa"/>
            <w:tcBorders>
              <w:top w:val="single" w:sz="4" w:space="0" w:color="auto"/>
              <w:left w:val="nil"/>
              <w:bottom w:val="single" w:sz="4" w:space="0" w:color="auto"/>
              <w:right w:val="nil"/>
            </w:tcBorders>
            <w:hideMark/>
          </w:tcPr>
          <w:p w14:paraId="73E77CC6"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2.28</w:t>
            </w:r>
          </w:p>
        </w:tc>
        <w:tc>
          <w:tcPr>
            <w:tcW w:w="850" w:type="dxa"/>
            <w:tcBorders>
              <w:top w:val="single" w:sz="4" w:space="0" w:color="auto"/>
              <w:left w:val="nil"/>
              <w:bottom w:val="single" w:sz="4" w:space="0" w:color="auto"/>
              <w:right w:val="nil"/>
            </w:tcBorders>
            <w:hideMark/>
          </w:tcPr>
          <w:p w14:paraId="12AA9EF6" w14:textId="2B417980"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36A0ED8D"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56C61E2D" w14:textId="7FF9450E" w:rsidR="004024B2" w:rsidRPr="003136F9" w:rsidRDefault="004A28D1"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ALTA</w:t>
            </w:r>
          </w:p>
        </w:tc>
        <w:tc>
          <w:tcPr>
            <w:tcW w:w="567" w:type="dxa"/>
            <w:tcBorders>
              <w:top w:val="single" w:sz="4" w:space="0" w:color="auto"/>
              <w:left w:val="nil"/>
              <w:bottom w:val="single" w:sz="4" w:space="0" w:color="auto"/>
              <w:right w:val="nil"/>
            </w:tcBorders>
            <w:hideMark/>
          </w:tcPr>
          <w:p w14:paraId="09808A07" w14:textId="51B5F7C9" w:rsidR="004024B2" w:rsidRPr="003136F9" w:rsidRDefault="00D77DE8" w:rsidP="00D50DFB">
            <w:pPr>
              <w:spacing w:line="360" w:lineRule="auto"/>
              <w:jc w:val="center"/>
              <w:rPr>
                <w:rFonts w:ascii="Arial" w:hAnsi="Arial" w:cs="Arial"/>
                <w:bCs/>
                <w:color w:val="000000" w:themeColor="text1"/>
              </w:rPr>
            </w:pPr>
            <w:r w:rsidRPr="003136F9">
              <w:rPr>
                <w:rFonts w:ascii="Arial" w:hAnsi="Arial" w:cs="Arial"/>
                <w:bCs/>
                <w:color w:val="000000" w:themeColor="text1"/>
              </w:rPr>
              <w:t>N</w:t>
            </w:r>
            <w:r w:rsidR="004A28D1" w:rsidRPr="003136F9">
              <w:rPr>
                <w:rFonts w:ascii="Arial" w:hAnsi="Arial" w:cs="Arial"/>
                <w:bCs/>
                <w:color w:val="000000" w:themeColor="text1"/>
              </w:rPr>
              <w:t>ÃO</w:t>
            </w:r>
          </w:p>
        </w:tc>
        <w:tc>
          <w:tcPr>
            <w:tcW w:w="1128" w:type="dxa"/>
            <w:tcBorders>
              <w:top w:val="single" w:sz="4" w:space="0" w:color="auto"/>
              <w:left w:val="nil"/>
              <w:bottom w:val="single" w:sz="4" w:space="0" w:color="auto"/>
              <w:right w:val="nil"/>
            </w:tcBorders>
          </w:tcPr>
          <w:p w14:paraId="233BF4AE"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4000mg/kg</w:t>
            </w:r>
          </w:p>
          <w:p w14:paraId="4E266B49"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32EEB293"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5</w:t>
            </w:r>
          </w:p>
        </w:tc>
        <w:tc>
          <w:tcPr>
            <w:tcW w:w="1267" w:type="dxa"/>
            <w:tcBorders>
              <w:top w:val="single" w:sz="4" w:space="0" w:color="auto"/>
              <w:left w:val="nil"/>
              <w:bottom w:val="single" w:sz="4" w:space="0" w:color="auto"/>
              <w:right w:val="nil"/>
            </w:tcBorders>
            <w:hideMark/>
          </w:tcPr>
          <w:p w14:paraId="0A459031"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w:t>
            </w:r>
          </w:p>
        </w:tc>
      </w:tr>
      <w:tr w:rsidR="007F376B" w:rsidRPr="003136F9" w14:paraId="76C76627" w14:textId="77777777" w:rsidTr="78BB7069">
        <w:tc>
          <w:tcPr>
            <w:tcW w:w="1561" w:type="dxa"/>
            <w:tcBorders>
              <w:top w:val="single" w:sz="4" w:space="0" w:color="auto"/>
              <w:left w:val="nil"/>
              <w:bottom w:val="single" w:sz="4" w:space="0" w:color="auto"/>
              <w:right w:val="nil"/>
            </w:tcBorders>
            <w:hideMark/>
          </w:tcPr>
          <w:p w14:paraId="45A4F356" w14:textId="0332AAA1" w:rsidR="004024B2" w:rsidRPr="003136F9" w:rsidRDefault="001B6591" w:rsidP="78BB7069">
            <w:pPr>
              <w:spacing w:line="360" w:lineRule="auto"/>
              <w:jc w:val="both"/>
              <w:rPr>
                <w:rFonts w:ascii="Arial" w:hAnsi="Arial" w:cs="Arial"/>
                <w:color w:val="000000" w:themeColor="text1"/>
              </w:rPr>
            </w:pPr>
            <w:r w:rsidRPr="003136F9">
              <w:rPr>
                <w:rFonts w:ascii="Arial" w:hAnsi="Arial" w:cs="Arial"/>
                <w:color w:val="000000" w:themeColor="text1"/>
              </w:rPr>
              <w:t>6-</w:t>
            </w:r>
            <w:proofErr w:type="gramStart"/>
            <w:r w:rsidRPr="003136F9">
              <w:rPr>
                <w:rFonts w:ascii="Arial" w:hAnsi="Arial" w:cs="Arial"/>
                <w:color w:val="000000" w:themeColor="text1"/>
              </w:rPr>
              <w:t>prenilapigenina</w:t>
            </w:r>
            <w:proofErr w:type="gramEnd"/>
          </w:p>
        </w:tc>
        <w:tc>
          <w:tcPr>
            <w:tcW w:w="710" w:type="dxa"/>
            <w:tcBorders>
              <w:top w:val="single" w:sz="4" w:space="0" w:color="auto"/>
              <w:left w:val="nil"/>
              <w:bottom w:val="single" w:sz="4" w:space="0" w:color="auto"/>
              <w:right w:val="nil"/>
            </w:tcBorders>
            <w:hideMark/>
          </w:tcPr>
          <w:p w14:paraId="64181131"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338.36</w:t>
            </w:r>
          </w:p>
        </w:tc>
        <w:tc>
          <w:tcPr>
            <w:tcW w:w="850" w:type="dxa"/>
            <w:tcBorders>
              <w:top w:val="single" w:sz="4" w:space="0" w:color="auto"/>
              <w:left w:val="nil"/>
              <w:bottom w:val="single" w:sz="4" w:space="0" w:color="auto"/>
              <w:right w:val="nil"/>
            </w:tcBorders>
            <w:hideMark/>
          </w:tcPr>
          <w:p w14:paraId="0A5874AC"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3</w:t>
            </w:r>
          </w:p>
        </w:tc>
        <w:tc>
          <w:tcPr>
            <w:tcW w:w="567" w:type="dxa"/>
            <w:tcBorders>
              <w:top w:val="single" w:sz="4" w:space="0" w:color="auto"/>
              <w:left w:val="nil"/>
              <w:bottom w:val="single" w:sz="4" w:space="0" w:color="auto"/>
              <w:right w:val="nil"/>
            </w:tcBorders>
            <w:hideMark/>
          </w:tcPr>
          <w:p w14:paraId="7E80A53A"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5</w:t>
            </w:r>
          </w:p>
        </w:tc>
        <w:tc>
          <w:tcPr>
            <w:tcW w:w="709" w:type="dxa"/>
            <w:tcBorders>
              <w:top w:val="single" w:sz="4" w:space="0" w:color="auto"/>
              <w:left w:val="nil"/>
              <w:bottom w:val="single" w:sz="4" w:space="0" w:color="auto"/>
              <w:right w:val="nil"/>
            </w:tcBorders>
            <w:hideMark/>
          </w:tcPr>
          <w:p w14:paraId="284F8B7F"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90.89</w:t>
            </w:r>
          </w:p>
        </w:tc>
        <w:tc>
          <w:tcPr>
            <w:tcW w:w="849" w:type="dxa"/>
            <w:tcBorders>
              <w:top w:val="single" w:sz="4" w:space="0" w:color="auto"/>
              <w:left w:val="nil"/>
              <w:bottom w:val="single" w:sz="4" w:space="0" w:color="auto"/>
              <w:right w:val="nil"/>
            </w:tcBorders>
            <w:hideMark/>
          </w:tcPr>
          <w:p w14:paraId="0EA7507F"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4.71</w:t>
            </w:r>
          </w:p>
        </w:tc>
        <w:tc>
          <w:tcPr>
            <w:tcW w:w="850" w:type="dxa"/>
            <w:tcBorders>
              <w:top w:val="single" w:sz="4" w:space="0" w:color="auto"/>
              <w:left w:val="nil"/>
              <w:bottom w:val="single" w:sz="4" w:space="0" w:color="auto"/>
              <w:right w:val="nil"/>
            </w:tcBorders>
            <w:hideMark/>
          </w:tcPr>
          <w:p w14:paraId="43C7C4F2" w14:textId="38BDF58F" w:rsidR="004024B2" w:rsidRPr="003136F9" w:rsidRDefault="001B659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61DB433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33AE83E0" w14:textId="29A7996E" w:rsidR="004024B2" w:rsidRPr="003136F9" w:rsidRDefault="001B6591"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w:t>
            </w:r>
            <w:r w:rsidR="004A28D1" w:rsidRPr="003136F9">
              <w:rPr>
                <w:rFonts w:ascii="Arial" w:hAnsi="Arial" w:cs="Arial"/>
                <w:bCs/>
                <w:color w:val="000000" w:themeColor="text1"/>
              </w:rPr>
              <w:t>A</w:t>
            </w:r>
          </w:p>
        </w:tc>
        <w:tc>
          <w:tcPr>
            <w:tcW w:w="567" w:type="dxa"/>
            <w:tcBorders>
              <w:top w:val="single" w:sz="4" w:space="0" w:color="auto"/>
              <w:left w:val="nil"/>
              <w:bottom w:val="single" w:sz="4" w:space="0" w:color="auto"/>
              <w:right w:val="nil"/>
            </w:tcBorders>
            <w:hideMark/>
          </w:tcPr>
          <w:p w14:paraId="4905FB9F" w14:textId="07ED4E90"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N</w:t>
            </w:r>
            <w:r w:rsidR="001B6591" w:rsidRPr="003136F9">
              <w:rPr>
                <w:rFonts w:ascii="Arial" w:hAnsi="Arial" w:cs="Arial"/>
                <w:bCs/>
                <w:color w:val="000000" w:themeColor="text1"/>
              </w:rPr>
              <w:t>ÃO</w:t>
            </w:r>
          </w:p>
        </w:tc>
        <w:tc>
          <w:tcPr>
            <w:tcW w:w="1128" w:type="dxa"/>
            <w:tcBorders>
              <w:top w:val="single" w:sz="4" w:space="0" w:color="auto"/>
              <w:left w:val="nil"/>
              <w:bottom w:val="single" w:sz="4" w:space="0" w:color="auto"/>
              <w:right w:val="nil"/>
            </w:tcBorders>
          </w:tcPr>
          <w:p w14:paraId="0592D509"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3919mg/kg</w:t>
            </w:r>
          </w:p>
          <w:p w14:paraId="6D037EAD"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3A1FACD5"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5</w:t>
            </w:r>
          </w:p>
        </w:tc>
        <w:tc>
          <w:tcPr>
            <w:tcW w:w="1267" w:type="dxa"/>
            <w:tcBorders>
              <w:top w:val="single" w:sz="4" w:space="0" w:color="auto"/>
              <w:left w:val="nil"/>
              <w:bottom w:val="single" w:sz="4" w:space="0" w:color="auto"/>
              <w:right w:val="nil"/>
            </w:tcBorders>
            <w:hideMark/>
          </w:tcPr>
          <w:p w14:paraId="6C363620"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w:t>
            </w:r>
          </w:p>
        </w:tc>
      </w:tr>
      <w:tr w:rsidR="007F376B" w:rsidRPr="003136F9" w14:paraId="2C01DB18" w14:textId="77777777" w:rsidTr="78BB7069">
        <w:tc>
          <w:tcPr>
            <w:tcW w:w="1561" w:type="dxa"/>
            <w:tcBorders>
              <w:top w:val="single" w:sz="4" w:space="0" w:color="auto"/>
              <w:left w:val="nil"/>
              <w:bottom w:val="single" w:sz="4" w:space="0" w:color="auto"/>
              <w:right w:val="nil"/>
            </w:tcBorders>
          </w:tcPr>
          <w:p w14:paraId="094BD1FF" w14:textId="627E4F3C" w:rsidR="004024B2" w:rsidRPr="003136F9" w:rsidRDefault="001B6591" w:rsidP="78BB7069">
            <w:pPr>
              <w:spacing w:line="360" w:lineRule="auto"/>
              <w:jc w:val="both"/>
              <w:rPr>
                <w:rFonts w:ascii="Arial" w:hAnsi="Arial" w:cs="Arial"/>
                <w:color w:val="000000" w:themeColor="text1"/>
              </w:rPr>
            </w:pPr>
            <w:r w:rsidRPr="003136F9">
              <w:rPr>
                <w:rFonts w:ascii="Arial" w:hAnsi="Arial" w:cs="Arial"/>
                <w:color w:val="000000" w:themeColor="text1"/>
              </w:rPr>
              <w:t>2,3,6,7-Tetrametoxi-9,10-dihidrofenantreno-4-ol</w:t>
            </w:r>
          </w:p>
        </w:tc>
        <w:tc>
          <w:tcPr>
            <w:tcW w:w="710" w:type="dxa"/>
            <w:tcBorders>
              <w:top w:val="single" w:sz="4" w:space="0" w:color="auto"/>
              <w:left w:val="nil"/>
              <w:bottom w:val="single" w:sz="4" w:space="0" w:color="auto"/>
              <w:right w:val="nil"/>
            </w:tcBorders>
            <w:hideMark/>
          </w:tcPr>
          <w:p w14:paraId="3CC3CECC" w14:textId="77777777" w:rsidR="004024B2" w:rsidRPr="003136F9" w:rsidRDefault="004024B2" w:rsidP="00D50DFB">
            <w:pPr>
              <w:spacing w:line="360" w:lineRule="auto"/>
              <w:jc w:val="both"/>
              <w:rPr>
                <w:rFonts w:ascii="Arial" w:hAnsi="Arial" w:cs="Arial"/>
                <w:bCs/>
                <w:color w:val="000000" w:themeColor="text1"/>
              </w:rPr>
            </w:pPr>
            <w:r w:rsidRPr="003136F9">
              <w:rPr>
                <w:rFonts w:ascii="Arial" w:hAnsi="Arial" w:cs="Arial"/>
                <w:bCs/>
                <w:color w:val="000000" w:themeColor="text1"/>
              </w:rPr>
              <w:t>316.35</w:t>
            </w:r>
          </w:p>
        </w:tc>
        <w:tc>
          <w:tcPr>
            <w:tcW w:w="850" w:type="dxa"/>
            <w:tcBorders>
              <w:top w:val="single" w:sz="4" w:space="0" w:color="auto"/>
              <w:left w:val="nil"/>
              <w:bottom w:val="single" w:sz="4" w:space="0" w:color="auto"/>
              <w:right w:val="nil"/>
            </w:tcBorders>
            <w:hideMark/>
          </w:tcPr>
          <w:p w14:paraId="3EE13390"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1</w:t>
            </w:r>
          </w:p>
        </w:tc>
        <w:tc>
          <w:tcPr>
            <w:tcW w:w="567" w:type="dxa"/>
            <w:tcBorders>
              <w:top w:val="single" w:sz="4" w:space="0" w:color="auto"/>
              <w:left w:val="nil"/>
              <w:bottom w:val="single" w:sz="4" w:space="0" w:color="auto"/>
              <w:right w:val="nil"/>
            </w:tcBorders>
            <w:hideMark/>
          </w:tcPr>
          <w:p w14:paraId="6083F1C7"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5</w:t>
            </w:r>
          </w:p>
        </w:tc>
        <w:tc>
          <w:tcPr>
            <w:tcW w:w="709" w:type="dxa"/>
            <w:tcBorders>
              <w:top w:val="single" w:sz="4" w:space="0" w:color="auto"/>
              <w:left w:val="nil"/>
              <w:bottom w:val="single" w:sz="4" w:space="0" w:color="auto"/>
              <w:right w:val="nil"/>
            </w:tcBorders>
            <w:hideMark/>
          </w:tcPr>
          <w:p w14:paraId="40DF50A9"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57.16</w:t>
            </w:r>
          </w:p>
        </w:tc>
        <w:tc>
          <w:tcPr>
            <w:tcW w:w="849" w:type="dxa"/>
            <w:tcBorders>
              <w:top w:val="single" w:sz="4" w:space="0" w:color="auto"/>
              <w:left w:val="nil"/>
              <w:bottom w:val="single" w:sz="4" w:space="0" w:color="auto"/>
              <w:right w:val="nil"/>
            </w:tcBorders>
            <w:hideMark/>
          </w:tcPr>
          <w:p w14:paraId="5226366A"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3.01</w:t>
            </w:r>
          </w:p>
        </w:tc>
        <w:tc>
          <w:tcPr>
            <w:tcW w:w="850" w:type="dxa"/>
            <w:tcBorders>
              <w:top w:val="single" w:sz="4" w:space="0" w:color="auto"/>
              <w:left w:val="nil"/>
              <w:bottom w:val="single" w:sz="4" w:space="0" w:color="auto"/>
              <w:right w:val="nil"/>
            </w:tcBorders>
            <w:hideMark/>
          </w:tcPr>
          <w:p w14:paraId="1F02643D" w14:textId="0B9E20C6" w:rsidR="004024B2" w:rsidRPr="003136F9" w:rsidRDefault="001B659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567" w:type="dxa"/>
            <w:tcBorders>
              <w:top w:val="single" w:sz="4" w:space="0" w:color="auto"/>
              <w:left w:val="nil"/>
              <w:bottom w:val="single" w:sz="4" w:space="0" w:color="auto"/>
              <w:right w:val="nil"/>
            </w:tcBorders>
            <w:hideMark/>
          </w:tcPr>
          <w:p w14:paraId="39CC48EF" w14:textId="77777777" w:rsidR="004024B2" w:rsidRPr="003136F9" w:rsidRDefault="004024B2" w:rsidP="00D50DFB">
            <w:pPr>
              <w:spacing w:line="360" w:lineRule="auto"/>
              <w:jc w:val="center"/>
              <w:rPr>
                <w:rFonts w:ascii="Arial" w:hAnsi="Arial" w:cs="Arial"/>
                <w:bCs/>
                <w:color w:val="000000" w:themeColor="text1"/>
              </w:rPr>
            </w:pPr>
            <w:r w:rsidRPr="003136F9">
              <w:rPr>
                <w:rFonts w:ascii="Arial" w:hAnsi="Arial" w:cs="Arial"/>
                <w:bCs/>
                <w:color w:val="000000" w:themeColor="text1"/>
              </w:rPr>
              <w:t>0</w:t>
            </w:r>
          </w:p>
        </w:tc>
        <w:tc>
          <w:tcPr>
            <w:tcW w:w="713" w:type="dxa"/>
            <w:tcBorders>
              <w:top w:val="single" w:sz="4" w:space="0" w:color="auto"/>
              <w:left w:val="nil"/>
              <w:bottom w:val="single" w:sz="4" w:space="0" w:color="auto"/>
              <w:right w:val="nil"/>
            </w:tcBorders>
            <w:hideMark/>
          </w:tcPr>
          <w:p w14:paraId="6D16CB51" w14:textId="6334D7BA" w:rsidR="004024B2" w:rsidRPr="003136F9" w:rsidRDefault="001B6591" w:rsidP="00D50DFB">
            <w:pPr>
              <w:spacing w:line="360" w:lineRule="auto"/>
              <w:jc w:val="center"/>
              <w:rPr>
                <w:rFonts w:ascii="Arial" w:hAnsi="Arial" w:cs="Arial"/>
                <w:bCs/>
                <w:color w:val="000000" w:themeColor="text1"/>
              </w:rPr>
            </w:pPr>
            <w:r w:rsidRPr="003136F9">
              <w:rPr>
                <w:rFonts w:ascii="Arial" w:hAnsi="Arial" w:cs="Arial"/>
                <w:bCs/>
                <w:color w:val="000000" w:themeColor="text1"/>
              </w:rPr>
              <w:t>ALT</w:t>
            </w:r>
            <w:r w:rsidR="004A28D1" w:rsidRPr="003136F9">
              <w:rPr>
                <w:rFonts w:ascii="Arial" w:hAnsi="Arial" w:cs="Arial"/>
                <w:bCs/>
                <w:color w:val="000000" w:themeColor="text1"/>
              </w:rPr>
              <w:t>A</w:t>
            </w:r>
          </w:p>
        </w:tc>
        <w:tc>
          <w:tcPr>
            <w:tcW w:w="567" w:type="dxa"/>
            <w:tcBorders>
              <w:top w:val="single" w:sz="4" w:space="0" w:color="auto"/>
              <w:left w:val="nil"/>
              <w:bottom w:val="single" w:sz="4" w:space="0" w:color="auto"/>
              <w:right w:val="nil"/>
            </w:tcBorders>
            <w:hideMark/>
          </w:tcPr>
          <w:p w14:paraId="1E82E21B" w14:textId="2F009241" w:rsidR="004024B2" w:rsidRPr="003136F9" w:rsidRDefault="001B6591" w:rsidP="00D50DFB">
            <w:pPr>
              <w:spacing w:line="360" w:lineRule="auto"/>
              <w:jc w:val="center"/>
              <w:rPr>
                <w:rFonts w:ascii="Arial" w:hAnsi="Arial" w:cs="Arial"/>
                <w:bCs/>
                <w:color w:val="000000" w:themeColor="text1"/>
              </w:rPr>
            </w:pPr>
            <w:r w:rsidRPr="003136F9">
              <w:rPr>
                <w:rFonts w:ascii="Arial" w:hAnsi="Arial" w:cs="Arial"/>
                <w:bCs/>
                <w:color w:val="000000" w:themeColor="text1"/>
              </w:rPr>
              <w:t>SIM</w:t>
            </w:r>
          </w:p>
        </w:tc>
        <w:tc>
          <w:tcPr>
            <w:tcW w:w="1128" w:type="dxa"/>
            <w:tcBorders>
              <w:top w:val="single" w:sz="4" w:space="0" w:color="auto"/>
              <w:left w:val="nil"/>
              <w:bottom w:val="single" w:sz="4" w:space="0" w:color="auto"/>
              <w:right w:val="nil"/>
            </w:tcBorders>
          </w:tcPr>
          <w:p w14:paraId="1E28ED11" w14:textId="77777777" w:rsidR="004024B2" w:rsidRPr="003136F9" w:rsidRDefault="004024B2" w:rsidP="00D50DFB">
            <w:pPr>
              <w:spacing w:line="360" w:lineRule="auto"/>
              <w:rPr>
                <w:rFonts w:ascii="Arial" w:hAnsi="Arial" w:cs="Arial"/>
                <w:color w:val="000000" w:themeColor="text1"/>
                <w:shd w:val="clear" w:color="auto" w:fill="FFFFFF"/>
              </w:rPr>
            </w:pPr>
            <w:r w:rsidRPr="003136F9">
              <w:rPr>
                <w:rFonts w:ascii="Arial" w:hAnsi="Arial" w:cs="Arial"/>
                <w:color w:val="000000" w:themeColor="text1"/>
                <w:shd w:val="clear" w:color="auto" w:fill="FFFFFF"/>
              </w:rPr>
              <w:t>1000mg/kg</w:t>
            </w:r>
          </w:p>
          <w:p w14:paraId="231B750D" w14:textId="77777777" w:rsidR="004024B2" w:rsidRPr="003136F9" w:rsidRDefault="004024B2" w:rsidP="00D50DFB">
            <w:pPr>
              <w:spacing w:line="360" w:lineRule="auto"/>
              <w:rPr>
                <w:rFonts w:ascii="Arial" w:hAnsi="Arial" w:cs="Arial"/>
                <w:color w:val="000000" w:themeColor="text1"/>
                <w:shd w:val="clear" w:color="auto" w:fill="FFFFFF"/>
              </w:rPr>
            </w:pPr>
          </w:p>
        </w:tc>
        <w:tc>
          <w:tcPr>
            <w:tcW w:w="567" w:type="dxa"/>
            <w:tcBorders>
              <w:top w:val="single" w:sz="4" w:space="0" w:color="auto"/>
              <w:left w:val="nil"/>
              <w:bottom w:val="single" w:sz="4" w:space="0" w:color="auto"/>
              <w:right w:val="nil"/>
            </w:tcBorders>
            <w:hideMark/>
          </w:tcPr>
          <w:p w14:paraId="6F663F53" w14:textId="77777777" w:rsidR="004024B2" w:rsidRPr="003136F9" w:rsidRDefault="004024B2" w:rsidP="00D50DFB">
            <w:pPr>
              <w:spacing w:line="360" w:lineRule="auto"/>
              <w:jc w:val="center"/>
              <w:rPr>
                <w:rFonts w:ascii="Arial" w:hAnsi="Arial" w:cs="Arial"/>
                <w:color w:val="000000" w:themeColor="text1"/>
                <w:shd w:val="clear" w:color="auto" w:fill="FFFFFF"/>
              </w:rPr>
            </w:pPr>
            <w:r w:rsidRPr="003136F9">
              <w:rPr>
                <w:rFonts w:ascii="Arial" w:hAnsi="Arial" w:cs="Arial"/>
                <w:color w:val="000000" w:themeColor="text1"/>
                <w:shd w:val="clear" w:color="auto" w:fill="FFFFFF"/>
              </w:rPr>
              <w:t>4</w:t>
            </w:r>
          </w:p>
        </w:tc>
        <w:tc>
          <w:tcPr>
            <w:tcW w:w="1267" w:type="dxa"/>
            <w:tcBorders>
              <w:top w:val="single" w:sz="4" w:space="0" w:color="auto"/>
              <w:left w:val="nil"/>
              <w:bottom w:val="single" w:sz="4" w:space="0" w:color="auto"/>
              <w:right w:val="nil"/>
            </w:tcBorders>
          </w:tcPr>
          <w:p w14:paraId="2A982BB6" w14:textId="2BC6378D" w:rsidR="004024B2" w:rsidRPr="003136F9" w:rsidRDefault="00045DE1" w:rsidP="00045DE1">
            <w:pPr>
              <w:spacing w:line="360" w:lineRule="auto"/>
              <w:jc w:val="center"/>
              <w:rPr>
                <w:rFonts w:ascii="Arial" w:hAnsi="Arial" w:cs="Arial"/>
                <w:bCs/>
                <w:color w:val="000000" w:themeColor="text1"/>
              </w:rPr>
            </w:pPr>
            <w:r w:rsidRPr="003136F9">
              <w:rPr>
                <w:rFonts w:ascii="Arial" w:hAnsi="Arial" w:cs="Arial"/>
                <w:bCs/>
                <w:color w:val="000000" w:themeColor="text1"/>
              </w:rPr>
              <w:t>-----</w:t>
            </w:r>
          </w:p>
          <w:p w14:paraId="2AD1B8E3" w14:textId="77777777" w:rsidR="004024B2" w:rsidRPr="003136F9" w:rsidRDefault="004024B2" w:rsidP="00D50DFB">
            <w:pPr>
              <w:spacing w:line="360" w:lineRule="auto"/>
              <w:jc w:val="both"/>
              <w:rPr>
                <w:rFonts w:ascii="Arial" w:hAnsi="Arial" w:cs="Arial"/>
                <w:bCs/>
                <w:color w:val="000000" w:themeColor="text1"/>
              </w:rPr>
            </w:pPr>
          </w:p>
          <w:p w14:paraId="4AAEB927" w14:textId="77777777" w:rsidR="004024B2" w:rsidRPr="003136F9" w:rsidRDefault="004024B2" w:rsidP="00D50DFB">
            <w:pPr>
              <w:spacing w:line="360" w:lineRule="auto"/>
              <w:jc w:val="both"/>
              <w:rPr>
                <w:rFonts w:ascii="Arial" w:hAnsi="Arial" w:cs="Arial"/>
                <w:bCs/>
                <w:color w:val="000000" w:themeColor="text1"/>
              </w:rPr>
            </w:pPr>
          </w:p>
        </w:tc>
      </w:tr>
    </w:tbl>
    <w:p w14:paraId="75355647" w14:textId="473D3592" w:rsidR="78BB7069" w:rsidRPr="003136F9" w:rsidRDefault="001B6591" w:rsidP="78BB7069">
      <w:pPr>
        <w:spacing w:after="0" w:line="360" w:lineRule="auto"/>
        <w:jc w:val="both"/>
        <w:rPr>
          <w:rFonts w:ascii="Arial" w:hAnsi="Arial" w:cs="Arial"/>
          <w:color w:val="000000" w:themeColor="text1"/>
          <w:sz w:val="24"/>
          <w:szCs w:val="24"/>
        </w:rPr>
      </w:pPr>
      <w:r w:rsidRPr="003136F9">
        <w:rPr>
          <w:rFonts w:ascii="Arial" w:hAnsi="Arial" w:cs="Arial"/>
          <w:color w:val="000000" w:themeColor="text1"/>
          <w:sz w:val="24"/>
          <w:szCs w:val="24"/>
        </w:rPr>
        <w:t xml:space="preserve">Legenda: </w:t>
      </w:r>
      <w:proofErr w:type="spellStart"/>
      <w:r w:rsidRPr="003136F9">
        <w:rPr>
          <w:rFonts w:ascii="Arial" w:hAnsi="Arial" w:cs="Arial"/>
          <w:color w:val="000000" w:themeColor="text1"/>
          <w:sz w:val="24"/>
          <w:szCs w:val="24"/>
        </w:rPr>
        <w:t>Viol</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violations</w:t>
      </w:r>
      <w:proofErr w:type="spellEnd"/>
      <w:r w:rsidRPr="003136F9">
        <w:rPr>
          <w:rFonts w:ascii="Arial" w:hAnsi="Arial" w:cs="Arial"/>
          <w:color w:val="000000" w:themeColor="text1"/>
          <w:sz w:val="24"/>
          <w:szCs w:val="24"/>
        </w:rPr>
        <w:t>; TGI: trato gastrointestinal; BBB: barreira hematoencefálica; CT: classe de toxicidade; SN: sistema nervoso.</w:t>
      </w:r>
    </w:p>
    <w:p w14:paraId="123CEB66" w14:textId="77777777" w:rsidR="001B6591" w:rsidRPr="003136F9" w:rsidRDefault="001B6591" w:rsidP="78BB7069">
      <w:pPr>
        <w:spacing w:after="0" w:line="360" w:lineRule="auto"/>
        <w:jc w:val="both"/>
        <w:rPr>
          <w:rFonts w:ascii="Arial" w:hAnsi="Arial" w:cs="Arial"/>
          <w:color w:val="000000" w:themeColor="text1"/>
          <w:sz w:val="24"/>
          <w:szCs w:val="24"/>
        </w:rPr>
      </w:pPr>
    </w:p>
    <w:p w14:paraId="64255F98" w14:textId="77777777" w:rsidR="001B6591" w:rsidRPr="003136F9" w:rsidRDefault="001B6591" w:rsidP="001B6591">
      <w:pPr>
        <w:shd w:val="clear" w:color="auto" w:fill="FFFFFF"/>
        <w:spacing w:after="0" w:line="360" w:lineRule="auto"/>
        <w:ind w:firstLine="708"/>
        <w:jc w:val="both"/>
        <w:rPr>
          <w:rFonts w:ascii="Arial" w:hAnsi="Arial" w:cs="Arial"/>
          <w:noProof/>
          <w:color w:val="000000" w:themeColor="text1"/>
          <w:sz w:val="24"/>
          <w:szCs w:val="24"/>
        </w:rPr>
      </w:pPr>
      <w:r w:rsidRPr="003136F9">
        <w:rPr>
          <w:rFonts w:ascii="Arial" w:hAnsi="Arial" w:cs="Arial"/>
          <w:noProof/>
          <w:color w:val="000000" w:themeColor="text1"/>
          <w:sz w:val="24"/>
          <w:szCs w:val="24"/>
        </w:rPr>
        <w:t xml:space="preserve">Na busca por alvos para realizar docking molecular utilizando os programas SuperPredWebserver (31) (https://prediction.charite.de/) e SwissTargetPrediction (27), os alvos de cada composto e suas respectivas estruturas cristalográficas no PDB (28) (Protein Data Bank) foram verificados. Dos compostos mostrados na Tabela 1, a molécula de tetrahidrocanabivarina (THCV) foi selecionada por ter interações com receptores no sistema nervoso </w:t>
      </w:r>
      <w:r w:rsidRPr="003136F9">
        <w:rPr>
          <w:rFonts w:ascii="Arial" w:hAnsi="Arial" w:cs="Arial"/>
          <w:noProof/>
          <w:color w:val="000000" w:themeColor="text1"/>
          <w:sz w:val="24"/>
          <w:szCs w:val="24"/>
        </w:rPr>
        <w:lastRenderedPageBreak/>
        <w:t>central, como receptor de canabinoide 1, receptor de canabinoide 2 e N-araquidonilglina.</w:t>
      </w:r>
    </w:p>
    <w:p w14:paraId="08D13AFD" w14:textId="612BA028" w:rsidR="001B6591" w:rsidRPr="003136F9" w:rsidRDefault="001B6591" w:rsidP="001B6591">
      <w:pPr>
        <w:shd w:val="clear" w:color="auto" w:fill="FFFFFF"/>
        <w:spacing w:after="0" w:line="360" w:lineRule="auto"/>
        <w:ind w:firstLine="708"/>
        <w:jc w:val="both"/>
        <w:rPr>
          <w:rFonts w:ascii="Arial" w:hAnsi="Arial" w:cs="Arial"/>
          <w:noProof/>
          <w:color w:val="000000" w:themeColor="text1"/>
          <w:sz w:val="24"/>
          <w:szCs w:val="24"/>
        </w:rPr>
      </w:pPr>
      <w:r w:rsidRPr="003136F9">
        <w:rPr>
          <w:rFonts w:ascii="Arial" w:hAnsi="Arial" w:cs="Arial"/>
          <w:noProof/>
          <w:color w:val="000000" w:themeColor="text1"/>
          <w:sz w:val="24"/>
          <w:szCs w:val="24"/>
        </w:rPr>
        <w:t>Assim, o THCV foi escolhido por suas características, sendo druglikness, segundo os critérios de Lipinski, sem violações, apresentando alta absorção pelo TGI, cruzando a barreira hematoencefálica e possuindo dose letal média segura (DL50). Dessa forma, a estrutura ID: 4UUQ para o receptor N-araquidonilglicina foi usada para realizar o estudo de ancoragem molecular.</w:t>
      </w:r>
    </w:p>
    <w:p w14:paraId="2DDADEE2" w14:textId="5DD0BD8C" w:rsidR="004024B2" w:rsidRPr="003136F9" w:rsidRDefault="001B6591" w:rsidP="001B6591">
      <w:pPr>
        <w:shd w:val="clear" w:color="auto" w:fill="FFFFFF"/>
        <w:spacing w:after="0" w:line="360" w:lineRule="auto"/>
        <w:ind w:firstLine="708"/>
        <w:jc w:val="both"/>
        <w:rPr>
          <w:rFonts w:ascii="Arial" w:hAnsi="Arial" w:cs="Arial"/>
          <w:noProof/>
          <w:color w:val="000000" w:themeColor="text1"/>
          <w:sz w:val="24"/>
          <w:szCs w:val="24"/>
        </w:rPr>
      </w:pPr>
      <w:r w:rsidRPr="003136F9">
        <w:rPr>
          <w:rFonts w:ascii="Arial" w:hAnsi="Arial" w:cs="Arial"/>
          <w:noProof/>
          <w:color w:val="000000" w:themeColor="text1"/>
          <w:sz w:val="24"/>
          <w:szCs w:val="24"/>
        </w:rPr>
        <w:t xml:space="preserve"> Inicialmente, o redocking (Figura 2) foi realizado para validar os parâmetros do modelo, usando o ligante cristalografado 4 - ({[(4-clorofenil) sulfonil] amino} metil) ácido piperidina-1-carboxílico (64D) e como local de ligação a a estrutura 4UUQ a fim de demonstrar a ocorrência da ligação do ácido 4 - ({[(4-clorofenil) sulfonil] amino} metil) piperidina-1-carboxílico na estrutura do receptor de N-araquidonilglicina, na mesma posição da estrutura depositado no APO (28). Após a definição dos parâmetros do modelo a ser utilizado para docking, foram realizadas simulações com tetrahidrocanabivarina no sítio ativo do alvo 4UUQ.</w:t>
      </w:r>
    </w:p>
    <w:p w14:paraId="40A557CC" w14:textId="45627952" w:rsidR="004024B2" w:rsidRPr="003136F9" w:rsidRDefault="004024B2" w:rsidP="00D50DFB">
      <w:pPr>
        <w:shd w:val="clear" w:color="auto" w:fill="FFFFFF"/>
        <w:spacing w:after="0" w:line="360" w:lineRule="auto"/>
        <w:rPr>
          <w:rFonts w:ascii="Arial" w:hAnsi="Arial" w:cs="Arial"/>
          <w:color w:val="000000" w:themeColor="text1"/>
          <w:sz w:val="24"/>
          <w:szCs w:val="24"/>
        </w:rPr>
      </w:pPr>
      <w:r w:rsidRPr="003136F9">
        <w:rPr>
          <w:rFonts w:ascii="Arial" w:hAnsi="Arial" w:cs="Arial"/>
          <w:noProof/>
          <w:color w:val="000000" w:themeColor="text1"/>
          <w:sz w:val="24"/>
          <w:szCs w:val="24"/>
          <w:lang w:eastAsia="pt-BR"/>
        </w:rPr>
        <w:drawing>
          <wp:inline distT="0" distB="0" distL="0" distR="0" wp14:anchorId="48CBFEB9" wp14:editId="365EA7DB">
            <wp:extent cx="4042342" cy="2219325"/>
            <wp:effectExtent l="0" t="0" r="0" b="0"/>
            <wp:docPr id="4" name="Imagem 4" descr="Tela de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rotWithShape="1">
                    <a:blip r:embed="rId28">
                      <a:extLst>
                        <a:ext uri="{28A0092B-C50C-407E-A947-70E740481C1C}">
                          <a14:useLocalDpi xmlns:a14="http://schemas.microsoft.com/office/drawing/2010/main" val="0"/>
                        </a:ext>
                      </a:extLst>
                    </a:blip>
                    <a:srcRect l="44248" t="41253" r="20358" b="26986"/>
                    <a:stretch/>
                  </pic:blipFill>
                  <pic:spPr bwMode="auto">
                    <a:xfrm>
                      <a:off x="0" y="0"/>
                      <a:ext cx="4051012" cy="2224085"/>
                    </a:xfrm>
                    <a:prstGeom prst="rect">
                      <a:avLst/>
                    </a:prstGeom>
                    <a:ln>
                      <a:noFill/>
                    </a:ln>
                    <a:extLst>
                      <a:ext uri="{53640926-AAD7-44D8-BBD7-CCE9431645EC}">
                        <a14:shadowObscured xmlns:a14="http://schemas.microsoft.com/office/drawing/2010/main"/>
                      </a:ext>
                    </a:extLst>
                  </pic:spPr>
                </pic:pic>
              </a:graphicData>
            </a:graphic>
          </wp:inline>
        </w:drawing>
      </w:r>
      <w:r w:rsidRPr="003136F9">
        <w:rPr>
          <w:rFonts w:ascii="Arial" w:hAnsi="Arial" w:cs="Arial"/>
          <w:color w:val="000000" w:themeColor="text1"/>
          <w:sz w:val="24"/>
          <w:szCs w:val="24"/>
        </w:rPr>
        <w:t xml:space="preserve"> </w:t>
      </w:r>
    </w:p>
    <w:p w14:paraId="0E191CCE" w14:textId="29D516EC" w:rsidR="78BB7069" w:rsidRPr="003136F9" w:rsidRDefault="78BB7069" w:rsidP="78BB7069">
      <w:pPr>
        <w:shd w:val="clear" w:color="auto" w:fill="FFFFFF" w:themeFill="background1"/>
        <w:spacing w:after="0" w:line="360" w:lineRule="auto"/>
        <w:jc w:val="both"/>
        <w:rPr>
          <w:rFonts w:ascii="Arial" w:hAnsi="Arial" w:cs="Arial"/>
          <w:color w:val="000000" w:themeColor="text1"/>
          <w:sz w:val="24"/>
          <w:szCs w:val="24"/>
        </w:rPr>
      </w:pPr>
      <w:r w:rsidRPr="003136F9">
        <w:rPr>
          <w:rFonts w:ascii="Arial" w:hAnsi="Arial" w:cs="Arial"/>
          <w:b/>
          <w:bCs/>
          <w:color w:val="000000" w:themeColor="text1"/>
          <w:sz w:val="24"/>
          <w:szCs w:val="24"/>
        </w:rPr>
        <w:t>Figur</w:t>
      </w:r>
      <w:r w:rsidR="001B6591" w:rsidRPr="003136F9">
        <w:rPr>
          <w:rFonts w:ascii="Arial" w:hAnsi="Arial" w:cs="Arial"/>
          <w:b/>
          <w:bCs/>
          <w:color w:val="000000" w:themeColor="text1"/>
          <w:sz w:val="24"/>
          <w:szCs w:val="24"/>
        </w:rPr>
        <w:t>a</w:t>
      </w:r>
      <w:r w:rsidRPr="003136F9">
        <w:rPr>
          <w:rFonts w:ascii="Arial" w:hAnsi="Arial" w:cs="Arial"/>
          <w:b/>
          <w:bCs/>
          <w:color w:val="000000" w:themeColor="text1"/>
          <w:sz w:val="24"/>
          <w:szCs w:val="24"/>
        </w:rPr>
        <w:t xml:space="preserve"> 2</w:t>
      </w:r>
      <w:r w:rsidRPr="003136F9">
        <w:rPr>
          <w:rFonts w:ascii="Arial" w:hAnsi="Arial" w:cs="Arial"/>
          <w:color w:val="000000" w:themeColor="text1"/>
          <w:sz w:val="24"/>
          <w:szCs w:val="24"/>
        </w:rPr>
        <w:t xml:space="preserve">. </w:t>
      </w:r>
      <w:proofErr w:type="spellStart"/>
      <w:r w:rsidR="001B6591" w:rsidRPr="003136F9">
        <w:rPr>
          <w:rFonts w:ascii="Arial" w:hAnsi="Arial" w:cs="Arial"/>
          <w:color w:val="000000" w:themeColor="text1"/>
          <w:sz w:val="24"/>
          <w:szCs w:val="24"/>
        </w:rPr>
        <w:t>Redocking</w:t>
      </w:r>
      <w:proofErr w:type="spellEnd"/>
      <w:r w:rsidR="001B6591" w:rsidRPr="003136F9">
        <w:rPr>
          <w:rFonts w:ascii="Arial" w:hAnsi="Arial" w:cs="Arial"/>
          <w:color w:val="000000" w:themeColor="text1"/>
          <w:sz w:val="24"/>
          <w:szCs w:val="24"/>
        </w:rPr>
        <w:t xml:space="preserve"> de ácido 4 - ({[(4-clorofenil) </w:t>
      </w:r>
      <w:proofErr w:type="spellStart"/>
      <w:r w:rsidR="001B6591" w:rsidRPr="003136F9">
        <w:rPr>
          <w:rFonts w:ascii="Arial" w:hAnsi="Arial" w:cs="Arial"/>
          <w:color w:val="000000" w:themeColor="text1"/>
          <w:sz w:val="24"/>
          <w:szCs w:val="24"/>
        </w:rPr>
        <w:t>sulfonil</w:t>
      </w:r>
      <w:proofErr w:type="spellEnd"/>
      <w:r w:rsidR="001B6591" w:rsidRPr="003136F9">
        <w:rPr>
          <w:rFonts w:ascii="Arial" w:hAnsi="Arial" w:cs="Arial"/>
          <w:color w:val="000000" w:themeColor="text1"/>
          <w:sz w:val="24"/>
          <w:szCs w:val="24"/>
        </w:rPr>
        <w:t>] amino} metil) piperidina-1-carboxílico no receptor de N-</w:t>
      </w:r>
      <w:proofErr w:type="spellStart"/>
      <w:r w:rsidR="001B6591" w:rsidRPr="003136F9">
        <w:rPr>
          <w:rFonts w:ascii="Arial" w:hAnsi="Arial" w:cs="Arial"/>
          <w:color w:val="000000" w:themeColor="text1"/>
          <w:sz w:val="24"/>
          <w:szCs w:val="24"/>
        </w:rPr>
        <w:t>araquidonilglicina</w:t>
      </w:r>
      <w:proofErr w:type="spellEnd"/>
    </w:p>
    <w:p w14:paraId="1F3CFB32" w14:textId="3BAA3597" w:rsidR="004024B2" w:rsidRPr="003136F9" w:rsidRDefault="001B6591" w:rsidP="001B6591">
      <w:pPr>
        <w:shd w:val="clear" w:color="auto" w:fill="FFFFFF"/>
        <w:spacing w:after="0" w:line="360" w:lineRule="auto"/>
        <w:ind w:firstLine="708"/>
        <w:rPr>
          <w:rFonts w:ascii="Arial" w:hAnsi="Arial" w:cs="Arial"/>
          <w:color w:val="000000" w:themeColor="text1"/>
          <w:sz w:val="24"/>
          <w:szCs w:val="24"/>
        </w:rPr>
      </w:pPr>
      <w:r w:rsidRPr="003136F9">
        <w:rPr>
          <w:rFonts w:ascii="Arial" w:hAnsi="Arial" w:cs="Arial"/>
          <w:color w:val="000000" w:themeColor="text1"/>
          <w:sz w:val="24"/>
          <w:szCs w:val="24"/>
        </w:rPr>
        <w:t xml:space="preserve">O </w:t>
      </w:r>
      <w:proofErr w:type="spellStart"/>
      <w:r w:rsidRPr="003136F9">
        <w:rPr>
          <w:rFonts w:ascii="Arial" w:hAnsi="Arial" w:cs="Arial"/>
          <w:color w:val="000000" w:themeColor="text1"/>
          <w:sz w:val="24"/>
          <w:szCs w:val="24"/>
        </w:rPr>
        <w:t>docking</w:t>
      </w:r>
      <w:proofErr w:type="spellEnd"/>
      <w:r w:rsidRPr="003136F9">
        <w:rPr>
          <w:rFonts w:ascii="Arial" w:hAnsi="Arial" w:cs="Arial"/>
          <w:color w:val="000000" w:themeColor="text1"/>
          <w:sz w:val="24"/>
          <w:szCs w:val="24"/>
        </w:rPr>
        <w:t xml:space="preserve"> revela </w:t>
      </w:r>
      <w:proofErr w:type="gramStart"/>
      <w:r w:rsidRPr="003136F9">
        <w:rPr>
          <w:rFonts w:ascii="Arial" w:hAnsi="Arial" w:cs="Arial"/>
          <w:color w:val="000000" w:themeColor="text1"/>
          <w:sz w:val="24"/>
          <w:szCs w:val="24"/>
        </w:rPr>
        <w:t>uma potencial</w:t>
      </w:r>
      <w:proofErr w:type="gramEnd"/>
      <w:r w:rsidRPr="003136F9">
        <w:rPr>
          <w:rFonts w:ascii="Arial" w:hAnsi="Arial" w:cs="Arial"/>
          <w:color w:val="000000" w:themeColor="text1"/>
          <w:sz w:val="24"/>
          <w:szCs w:val="24"/>
        </w:rPr>
        <w:t xml:space="preserve"> interação do THCV com o receptor do receptor N-</w:t>
      </w:r>
      <w:proofErr w:type="spellStart"/>
      <w:r w:rsidRPr="003136F9">
        <w:rPr>
          <w:rFonts w:ascii="Arial" w:hAnsi="Arial" w:cs="Arial"/>
          <w:color w:val="000000" w:themeColor="text1"/>
          <w:sz w:val="24"/>
          <w:szCs w:val="24"/>
        </w:rPr>
        <w:t>araquidonilglicina</w:t>
      </w:r>
      <w:proofErr w:type="spellEnd"/>
      <w:r w:rsidRPr="003136F9">
        <w:rPr>
          <w:rFonts w:ascii="Arial" w:hAnsi="Arial" w:cs="Arial"/>
          <w:color w:val="000000" w:themeColor="text1"/>
          <w:sz w:val="24"/>
          <w:szCs w:val="24"/>
        </w:rPr>
        <w:t xml:space="preserve">. A Figura 3 revela o mapa bidimensional das interações que podem ocorrer entre a </w:t>
      </w:r>
      <w:proofErr w:type="spellStart"/>
      <w:r w:rsidRPr="003136F9">
        <w:rPr>
          <w:rFonts w:ascii="Arial" w:hAnsi="Arial" w:cs="Arial"/>
          <w:color w:val="000000" w:themeColor="text1"/>
          <w:sz w:val="24"/>
          <w:szCs w:val="24"/>
        </w:rPr>
        <w:t>tetrahidrocanabivarina</w:t>
      </w:r>
      <w:proofErr w:type="spellEnd"/>
      <w:r w:rsidRPr="003136F9">
        <w:rPr>
          <w:rFonts w:ascii="Arial" w:hAnsi="Arial" w:cs="Arial"/>
          <w:color w:val="000000" w:themeColor="text1"/>
          <w:sz w:val="24"/>
          <w:szCs w:val="24"/>
        </w:rPr>
        <w:t xml:space="preserve"> e o receptor de N-</w:t>
      </w:r>
      <w:proofErr w:type="spellStart"/>
      <w:r w:rsidRPr="003136F9">
        <w:rPr>
          <w:rFonts w:ascii="Arial" w:hAnsi="Arial" w:cs="Arial"/>
          <w:color w:val="000000" w:themeColor="text1"/>
          <w:sz w:val="24"/>
          <w:szCs w:val="24"/>
        </w:rPr>
        <w:t>araquidonilglicina</w:t>
      </w:r>
      <w:proofErr w:type="spellEnd"/>
      <w:r w:rsidRPr="003136F9">
        <w:rPr>
          <w:rFonts w:ascii="Arial" w:hAnsi="Arial" w:cs="Arial"/>
          <w:color w:val="000000" w:themeColor="text1"/>
          <w:sz w:val="24"/>
          <w:szCs w:val="24"/>
        </w:rPr>
        <w:t>. As principais interações que a análise sugere serem capazes de suportar a estrutura no sítio ativo são: uma ligação de hidrogênio com SER165, π-</w:t>
      </w:r>
      <w:proofErr w:type="spellStart"/>
      <w:r w:rsidRPr="003136F9">
        <w:rPr>
          <w:rFonts w:ascii="Arial" w:hAnsi="Arial" w:cs="Arial"/>
          <w:color w:val="000000" w:themeColor="text1"/>
          <w:sz w:val="24"/>
          <w:szCs w:val="24"/>
        </w:rPr>
        <w:t>alquil</w:t>
      </w:r>
      <w:proofErr w:type="spellEnd"/>
      <w:r w:rsidRPr="003136F9">
        <w:rPr>
          <w:rFonts w:ascii="Arial" w:hAnsi="Arial" w:cs="Arial"/>
          <w:color w:val="000000" w:themeColor="text1"/>
          <w:sz w:val="24"/>
          <w:szCs w:val="24"/>
        </w:rPr>
        <w:t xml:space="preserve"> e </w:t>
      </w:r>
      <w:proofErr w:type="spellStart"/>
      <w:r w:rsidRPr="003136F9">
        <w:rPr>
          <w:rFonts w:ascii="Arial" w:hAnsi="Arial" w:cs="Arial"/>
          <w:color w:val="000000" w:themeColor="text1"/>
          <w:sz w:val="24"/>
          <w:szCs w:val="24"/>
        </w:rPr>
        <w:t>alquil-alquil</w:t>
      </w:r>
      <w:proofErr w:type="spellEnd"/>
      <w:r w:rsidRPr="003136F9">
        <w:rPr>
          <w:rFonts w:ascii="Arial" w:hAnsi="Arial" w:cs="Arial"/>
          <w:color w:val="000000" w:themeColor="text1"/>
          <w:sz w:val="24"/>
          <w:szCs w:val="24"/>
        </w:rPr>
        <w:t xml:space="preserve"> interações com resíduos de ALA174, VAL217, LEU215, ALA166, LEU186, LEU224, ALA161, LEU223, LEU158, </w:t>
      </w:r>
      <w:r w:rsidRPr="003136F9">
        <w:rPr>
          <w:rFonts w:ascii="Arial" w:hAnsi="Arial" w:cs="Arial"/>
          <w:color w:val="000000" w:themeColor="text1"/>
          <w:sz w:val="24"/>
          <w:szCs w:val="24"/>
        </w:rPr>
        <w:lastRenderedPageBreak/>
        <w:t xml:space="preserve">VAL227, LEU25, GLY220, LYS216 e ASN162. A representação tridimensional da possível interação entre a </w:t>
      </w:r>
      <w:proofErr w:type="spellStart"/>
      <w:r w:rsidRPr="003136F9">
        <w:rPr>
          <w:rFonts w:ascii="Arial" w:hAnsi="Arial" w:cs="Arial"/>
          <w:color w:val="000000" w:themeColor="text1"/>
          <w:sz w:val="24"/>
          <w:szCs w:val="24"/>
        </w:rPr>
        <w:t>tetrahidrocanabivarina</w:t>
      </w:r>
      <w:proofErr w:type="spellEnd"/>
      <w:r w:rsidRPr="003136F9">
        <w:rPr>
          <w:rFonts w:ascii="Arial" w:hAnsi="Arial" w:cs="Arial"/>
          <w:color w:val="000000" w:themeColor="text1"/>
          <w:sz w:val="24"/>
          <w:szCs w:val="24"/>
        </w:rPr>
        <w:t xml:space="preserve"> e o sítio ativo do receptor N-</w:t>
      </w:r>
      <w:proofErr w:type="spellStart"/>
      <w:r w:rsidRPr="003136F9">
        <w:rPr>
          <w:rFonts w:ascii="Arial" w:hAnsi="Arial" w:cs="Arial"/>
          <w:color w:val="000000" w:themeColor="text1"/>
          <w:sz w:val="24"/>
          <w:szCs w:val="24"/>
        </w:rPr>
        <w:t>araquidonilglicina</w:t>
      </w:r>
      <w:proofErr w:type="spellEnd"/>
      <w:r w:rsidRPr="003136F9">
        <w:rPr>
          <w:rFonts w:ascii="Arial" w:hAnsi="Arial" w:cs="Arial"/>
          <w:color w:val="000000" w:themeColor="text1"/>
          <w:sz w:val="24"/>
          <w:szCs w:val="24"/>
        </w:rPr>
        <w:t xml:space="preserve"> pode ser vista na Figura 4. E o mapeamento </w:t>
      </w:r>
      <w:proofErr w:type="spellStart"/>
      <w:r w:rsidRPr="003136F9">
        <w:rPr>
          <w:rFonts w:ascii="Arial" w:hAnsi="Arial" w:cs="Arial"/>
          <w:color w:val="000000" w:themeColor="text1"/>
          <w:sz w:val="24"/>
          <w:szCs w:val="24"/>
        </w:rPr>
        <w:t>farmacofórico</w:t>
      </w:r>
      <w:proofErr w:type="spellEnd"/>
      <w:r w:rsidRPr="003136F9">
        <w:rPr>
          <w:rFonts w:ascii="Arial" w:hAnsi="Arial" w:cs="Arial"/>
          <w:color w:val="000000" w:themeColor="text1"/>
          <w:sz w:val="24"/>
          <w:szCs w:val="24"/>
        </w:rPr>
        <w:t xml:space="preserve"> da substância </w:t>
      </w:r>
      <w:proofErr w:type="spellStart"/>
      <w:r w:rsidRPr="003136F9">
        <w:rPr>
          <w:rFonts w:ascii="Arial" w:hAnsi="Arial" w:cs="Arial"/>
          <w:color w:val="000000" w:themeColor="text1"/>
          <w:sz w:val="24"/>
          <w:szCs w:val="24"/>
        </w:rPr>
        <w:t>tetrahidrocanabivarina</w:t>
      </w:r>
      <w:proofErr w:type="spellEnd"/>
      <w:r w:rsidRPr="003136F9">
        <w:rPr>
          <w:rFonts w:ascii="Arial" w:hAnsi="Arial" w:cs="Arial"/>
          <w:color w:val="000000" w:themeColor="text1"/>
          <w:sz w:val="24"/>
          <w:szCs w:val="24"/>
        </w:rPr>
        <w:t xml:space="preserve"> com os 5 ligantes antagonistas mais potentes para o alvo da </w:t>
      </w:r>
      <w:proofErr w:type="spellStart"/>
      <w:r w:rsidRPr="003136F9">
        <w:rPr>
          <w:rFonts w:ascii="Arial" w:hAnsi="Arial" w:cs="Arial"/>
          <w:color w:val="000000" w:themeColor="text1"/>
          <w:sz w:val="24"/>
          <w:szCs w:val="24"/>
        </w:rPr>
        <w:t>monoglicerato</w:t>
      </w:r>
      <w:proofErr w:type="spellEnd"/>
      <w:r w:rsidRPr="003136F9">
        <w:rPr>
          <w:rFonts w:ascii="Arial" w:hAnsi="Arial" w:cs="Arial"/>
          <w:color w:val="000000" w:themeColor="text1"/>
          <w:sz w:val="24"/>
          <w:szCs w:val="24"/>
        </w:rPr>
        <w:t xml:space="preserve"> lipase é mostrado na Figura 5.</w:t>
      </w:r>
      <w:r w:rsidR="004024B2" w:rsidRPr="003136F9">
        <w:rPr>
          <w:rFonts w:ascii="Arial" w:hAnsi="Arial" w:cs="Arial"/>
          <w:color w:val="000000" w:themeColor="text1"/>
          <w:sz w:val="24"/>
          <w:szCs w:val="24"/>
        </w:rPr>
        <w:t xml:space="preserve">     </w:t>
      </w:r>
    </w:p>
    <w:p w14:paraId="7B91A265" w14:textId="77777777" w:rsidR="00E602A1" w:rsidRPr="003136F9" w:rsidRDefault="004024B2" w:rsidP="00E602A1">
      <w:pPr>
        <w:shd w:val="clear" w:color="auto" w:fill="FFFFFF" w:themeFill="background1"/>
        <w:spacing w:after="0" w:line="360" w:lineRule="auto"/>
        <w:rPr>
          <w:rFonts w:ascii="Arial" w:hAnsi="Arial" w:cs="Arial"/>
          <w:color w:val="000000" w:themeColor="text1"/>
          <w:sz w:val="24"/>
          <w:szCs w:val="24"/>
        </w:rPr>
      </w:pPr>
      <w:r w:rsidRPr="003136F9">
        <w:rPr>
          <w:rFonts w:ascii="Arial" w:hAnsi="Arial" w:cs="Arial"/>
          <w:noProof/>
          <w:sz w:val="24"/>
          <w:szCs w:val="24"/>
        </w:rPr>
        <w:drawing>
          <wp:inline distT="0" distB="0" distL="0" distR="0" wp14:anchorId="54F7E5C8" wp14:editId="078BB530">
            <wp:extent cx="2476500" cy="2276475"/>
            <wp:effectExtent l="0" t="0" r="0" b="9525"/>
            <wp:docPr id="3" name="Imagem 3"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29">
                      <a:extLst>
                        <a:ext uri="{28A0092B-C50C-407E-A947-70E740481C1C}">
                          <a14:useLocalDpi xmlns:a14="http://schemas.microsoft.com/office/drawing/2010/main" val="0"/>
                        </a:ext>
                      </a:extLst>
                    </a:blip>
                    <a:srcRect l="58630" t="18282" r="1337" b="9641"/>
                    <a:stretch>
                      <a:fillRect/>
                    </a:stretch>
                  </pic:blipFill>
                  <pic:spPr>
                    <a:xfrm>
                      <a:off x="0" y="0"/>
                      <a:ext cx="2476500" cy="2276475"/>
                    </a:xfrm>
                    <a:prstGeom prst="rect">
                      <a:avLst/>
                    </a:prstGeom>
                  </pic:spPr>
                </pic:pic>
              </a:graphicData>
            </a:graphic>
          </wp:inline>
        </w:drawing>
      </w:r>
    </w:p>
    <w:p w14:paraId="243F4760" w14:textId="5E6F947C" w:rsidR="004024B2" w:rsidRPr="003136F9" w:rsidRDefault="78BB7069" w:rsidP="78BB7069">
      <w:pPr>
        <w:shd w:val="clear" w:color="auto" w:fill="FFFFFF" w:themeFill="background1"/>
        <w:spacing w:after="0" w:line="360" w:lineRule="auto"/>
        <w:jc w:val="both"/>
        <w:rPr>
          <w:rFonts w:ascii="Arial" w:hAnsi="Arial" w:cs="Arial"/>
          <w:color w:val="000000" w:themeColor="text1"/>
          <w:sz w:val="24"/>
          <w:szCs w:val="24"/>
        </w:rPr>
      </w:pPr>
      <w:r w:rsidRPr="003136F9">
        <w:rPr>
          <w:rFonts w:ascii="Arial" w:hAnsi="Arial" w:cs="Arial"/>
          <w:b/>
          <w:bCs/>
          <w:color w:val="000000" w:themeColor="text1"/>
          <w:sz w:val="24"/>
          <w:szCs w:val="24"/>
        </w:rPr>
        <w:t>Figur</w:t>
      </w:r>
      <w:r w:rsidR="001B6591" w:rsidRPr="003136F9">
        <w:rPr>
          <w:rFonts w:ascii="Arial" w:hAnsi="Arial" w:cs="Arial"/>
          <w:b/>
          <w:bCs/>
          <w:color w:val="000000" w:themeColor="text1"/>
          <w:sz w:val="24"/>
          <w:szCs w:val="24"/>
        </w:rPr>
        <w:t>a</w:t>
      </w:r>
      <w:r w:rsidRPr="003136F9">
        <w:rPr>
          <w:rFonts w:ascii="Arial" w:hAnsi="Arial" w:cs="Arial"/>
          <w:b/>
          <w:bCs/>
          <w:color w:val="000000" w:themeColor="text1"/>
          <w:sz w:val="24"/>
          <w:szCs w:val="24"/>
        </w:rPr>
        <w:t xml:space="preserve"> 3</w:t>
      </w:r>
      <w:r w:rsidRPr="003136F9">
        <w:rPr>
          <w:rFonts w:ascii="Arial" w:hAnsi="Arial" w:cs="Arial"/>
          <w:color w:val="000000" w:themeColor="text1"/>
          <w:sz w:val="24"/>
          <w:szCs w:val="24"/>
        </w:rPr>
        <w:t>.</w:t>
      </w:r>
      <w:r w:rsidR="001B6591" w:rsidRPr="003136F9">
        <w:rPr>
          <w:rFonts w:ascii="Arial" w:hAnsi="Arial" w:cs="Arial"/>
          <w:color w:val="000000" w:themeColor="text1"/>
          <w:sz w:val="24"/>
          <w:szCs w:val="24"/>
        </w:rPr>
        <w:t xml:space="preserve"> Pose 1 de ancoragem de </w:t>
      </w:r>
      <w:proofErr w:type="spellStart"/>
      <w:r w:rsidR="001B6591" w:rsidRPr="003136F9">
        <w:rPr>
          <w:rFonts w:ascii="Arial" w:hAnsi="Arial" w:cs="Arial"/>
          <w:color w:val="000000" w:themeColor="text1"/>
          <w:sz w:val="24"/>
          <w:szCs w:val="24"/>
        </w:rPr>
        <w:t>tetrahidrocanabivarina</w:t>
      </w:r>
      <w:proofErr w:type="spellEnd"/>
      <w:r w:rsidR="001B6591" w:rsidRPr="003136F9">
        <w:rPr>
          <w:rFonts w:ascii="Arial" w:hAnsi="Arial" w:cs="Arial"/>
          <w:color w:val="000000" w:themeColor="text1"/>
          <w:sz w:val="24"/>
          <w:szCs w:val="24"/>
        </w:rPr>
        <w:t xml:space="preserve"> no local do receptor de N-</w:t>
      </w:r>
      <w:proofErr w:type="spellStart"/>
      <w:r w:rsidR="001B6591" w:rsidRPr="003136F9">
        <w:rPr>
          <w:rFonts w:ascii="Arial" w:hAnsi="Arial" w:cs="Arial"/>
          <w:color w:val="000000" w:themeColor="text1"/>
          <w:sz w:val="24"/>
          <w:szCs w:val="24"/>
        </w:rPr>
        <w:t>araquidonilglicina</w:t>
      </w:r>
      <w:proofErr w:type="spellEnd"/>
      <w:r w:rsidR="001B6591" w:rsidRPr="003136F9">
        <w:rPr>
          <w:rFonts w:ascii="Arial" w:hAnsi="Arial" w:cs="Arial"/>
          <w:color w:val="000000" w:themeColor="text1"/>
          <w:sz w:val="24"/>
          <w:szCs w:val="24"/>
        </w:rPr>
        <w:t xml:space="preserve"> Figura gerada com o software </w:t>
      </w:r>
      <w:proofErr w:type="spellStart"/>
      <w:r w:rsidR="001B6591" w:rsidRPr="003136F9">
        <w:rPr>
          <w:rFonts w:ascii="Arial" w:hAnsi="Arial" w:cs="Arial"/>
          <w:color w:val="000000" w:themeColor="text1"/>
          <w:sz w:val="24"/>
          <w:szCs w:val="24"/>
        </w:rPr>
        <w:t>Pymol</w:t>
      </w:r>
      <w:proofErr w:type="spellEnd"/>
      <w:r w:rsidR="001B6591" w:rsidRPr="003136F9">
        <w:rPr>
          <w:rFonts w:ascii="Arial" w:hAnsi="Arial" w:cs="Arial"/>
          <w:color w:val="000000" w:themeColor="text1"/>
          <w:sz w:val="24"/>
          <w:szCs w:val="24"/>
        </w:rPr>
        <w:t xml:space="preserve"> 1.1r1</w:t>
      </w:r>
      <w:r w:rsidRPr="003136F9">
        <w:rPr>
          <w:rFonts w:ascii="Arial" w:hAnsi="Arial" w:cs="Arial"/>
          <w:color w:val="000000" w:themeColor="text1"/>
          <w:sz w:val="24"/>
          <w:szCs w:val="24"/>
        </w:rPr>
        <w:t>.</w:t>
      </w:r>
    </w:p>
    <w:p w14:paraId="2AA1F13D" w14:textId="382B21C8" w:rsidR="004024B2" w:rsidRPr="003136F9" w:rsidRDefault="004024B2" w:rsidP="00D50DFB">
      <w:pPr>
        <w:shd w:val="clear" w:color="auto" w:fill="FFFFFF"/>
        <w:spacing w:after="0" w:line="360" w:lineRule="auto"/>
        <w:jc w:val="both"/>
        <w:rPr>
          <w:rFonts w:ascii="Arial" w:hAnsi="Arial" w:cs="Arial"/>
          <w:color w:val="000000" w:themeColor="text1"/>
          <w:sz w:val="24"/>
          <w:szCs w:val="24"/>
        </w:rPr>
      </w:pPr>
      <w:r w:rsidRPr="003136F9">
        <w:rPr>
          <w:rFonts w:ascii="Arial" w:hAnsi="Arial" w:cs="Arial"/>
          <w:noProof/>
          <w:sz w:val="24"/>
          <w:szCs w:val="24"/>
        </w:rPr>
        <w:drawing>
          <wp:inline distT="0" distB="0" distL="0" distR="0" wp14:anchorId="45371D0C" wp14:editId="4251BC38">
            <wp:extent cx="3914775" cy="1504950"/>
            <wp:effectExtent l="0" t="0" r="9525" b="0"/>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30">
                      <a:extLst>
                        <a:ext uri="{28A0092B-C50C-407E-A947-70E740481C1C}">
                          <a14:useLocalDpi xmlns:a14="http://schemas.microsoft.com/office/drawing/2010/main" val="0"/>
                        </a:ext>
                      </a:extLst>
                    </a:blip>
                    <a:stretch>
                      <a:fillRect/>
                    </a:stretch>
                  </pic:blipFill>
                  <pic:spPr>
                    <a:xfrm>
                      <a:off x="0" y="0"/>
                      <a:ext cx="3914775" cy="1504950"/>
                    </a:xfrm>
                    <a:prstGeom prst="rect">
                      <a:avLst/>
                    </a:prstGeom>
                  </pic:spPr>
                </pic:pic>
              </a:graphicData>
            </a:graphic>
          </wp:inline>
        </w:drawing>
      </w:r>
    </w:p>
    <w:p w14:paraId="08C39F5D" w14:textId="6FA70762" w:rsidR="004024B2" w:rsidRPr="003136F9" w:rsidRDefault="78BB7069" w:rsidP="78BB7069">
      <w:pPr>
        <w:shd w:val="clear" w:color="auto" w:fill="FFFFFF" w:themeFill="background1"/>
        <w:spacing w:after="0" w:line="360" w:lineRule="auto"/>
        <w:jc w:val="both"/>
        <w:rPr>
          <w:rFonts w:ascii="Arial" w:hAnsi="Arial" w:cs="Arial"/>
          <w:color w:val="000000" w:themeColor="text1"/>
          <w:sz w:val="24"/>
          <w:szCs w:val="24"/>
        </w:rPr>
      </w:pPr>
      <w:r w:rsidRPr="003136F9">
        <w:rPr>
          <w:rFonts w:ascii="Arial" w:hAnsi="Arial" w:cs="Arial"/>
          <w:b/>
          <w:bCs/>
          <w:color w:val="000000" w:themeColor="text1"/>
          <w:sz w:val="24"/>
          <w:szCs w:val="24"/>
        </w:rPr>
        <w:t>Figur</w:t>
      </w:r>
      <w:r w:rsidR="001B6591" w:rsidRPr="003136F9">
        <w:rPr>
          <w:rFonts w:ascii="Arial" w:hAnsi="Arial" w:cs="Arial"/>
          <w:b/>
          <w:bCs/>
          <w:color w:val="000000" w:themeColor="text1"/>
          <w:sz w:val="24"/>
          <w:szCs w:val="24"/>
        </w:rPr>
        <w:t>a</w:t>
      </w:r>
      <w:r w:rsidRPr="003136F9">
        <w:rPr>
          <w:rFonts w:ascii="Arial" w:hAnsi="Arial" w:cs="Arial"/>
          <w:b/>
          <w:bCs/>
          <w:color w:val="000000" w:themeColor="text1"/>
          <w:sz w:val="24"/>
          <w:szCs w:val="24"/>
        </w:rPr>
        <w:t xml:space="preserve"> 4</w:t>
      </w:r>
      <w:r w:rsidRPr="003136F9">
        <w:rPr>
          <w:rFonts w:ascii="Arial" w:hAnsi="Arial" w:cs="Arial"/>
          <w:color w:val="000000" w:themeColor="text1"/>
          <w:sz w:val="24"/>
          <w:szCs w:val="24"/>
        </w:rPr>
        <w:t xml:space="preserve">. </w:t>
      </w:r>
      <w:r w:rsidR="001B6591" w:rsidRPr="003136F9">
        <w:rPr>
          <w:rFonts w:ascii="Arial" w:hAnsi="Arial" w:cs="Arial"/>
          <w:color w:val="000000" w:themeColor="text1"/>
          <w:sz w:val="24"/>
          <w:szCs w:val="24"/>
        </w:rPr>
        <w:t xml:space="preserve">Diagrama de interação 2D de </w:t>
      </w:r>
      <w:proofErr w:type="spellStart"/>
      <w:r w:rsidR="001B6591" w:rsidRPr="003136F9">
        <w:rPr>
          <w:rFonts w:ascii="Arial" w:hAnsi="Arial" w:cs="Arial"/>
          <w:color w:val="000000" w:themeColor="text1"/>
          <w:sz w:val="24"/>
          <w:szCs w:val="24"/>
        </w:rPr>
        <w:t>tetrahidrocanabivarina</w:t>
      </w:r>
      <w:proofErr w:type="spellEnd"/>
      <w:r w:rsidR="001B6591" w:rsidRPr="003136F9">
        <w:rPr>
          <w:rFonts w:ascii="Arial" w:hAnsi="Arial" w:cs="Arial"/>
          <w:color w:val="000000" w:themeColor="text1"/>
          <w:sz w:val="24"/>
          <w:szCs w:val="24"/>
        </w:rPr>
        <w:t xml:space="preserve"> na posição 1 no receptor de N-</w:t>
      </w:r>
      <w:proofErr w:type="spellStart"/>
      <w:r w:rsidR="001B6591" w:rsidRPr="003136F9">
        <w:rPr>
          <w:rFonts w:ascii="Arial" w:hAnsi="Arial" w:cs="Arial"/>
          <w:color w:val="000000" w:themeColor="text1"/>
          <w:sz w:val="24"/>
          <w:szCs w:val="24"/>
        </w:rPr>
        <w:t>araquidonilglicina</w:t>
      </w:r>
      <w:proofErr w:type="spellEnd"/>
      <w:r w:rsidR="001B6591" w:rsidRPr="003136F9">
        <w:rPr>
          <w:rFonts w:ascii="Arial" w:hAnsi="Arial" w:cs="Arial"/>
          <w:color w:val="000000" w:themeColor="text1"/>
          <w:sz w:val="24"/>
          <w:szCs w:val="24"/>
        </w:rPr>
        <w:t xml:space="preserve">. Esta imagem foi gerada com o Discovery Studio 3.5 </w:t>
      </w:r>
      <w:proofErr w:type="spellStart"/>
      <w:r w:rsidR="001B6591" w:rsidRPr="003136F9">
        <w:rPr>
          <w:rFonts w:ascii="Arial" w:hAnsi="Arial" w:cs="Arial"/>
          <w:color w:val="000000" w:themeColor="text1"/>
          <w:sz w:val="24"/>
          <w:szCs w:val="24"/>
        </w:rPr>
        <w:t>Visualizer</w:t>
      </w:r>
      <w:proofErr w:type="spellEnd"/>
      <w:r w:rsidR="001B6591" w:rsidRPr="003136F9">
        <w:rPr>
          <w:rFonts w:ascii="Arial" w:hAnsi="Arial" w:cs="Arial"/>
          <w:color w:val="000000" w:themeColor="text1"/>
          <w:sz w:val="24"/>
          <w:szCs w:val="24"/>
        </w:rPr>
        <w:t>.</w:t>
      </w:r>
    </w:p>
    <w:p w14:paraId="53C55D58" w14:textId="212DFED2" w:rsidR="004024B2" w:rsidRPr="003136F9" w:rsidRDefault="004024B2" w:rsidP="5AFA2200">
      <w:pPr>
        <w:shd w:val="clear" w:color="auto" w:fill="FFFFFF" w:themeFill="background1"/>
        <w:spacing w:after="0" w:line="360" w:lineRule="auto"/>
        <w:jc w:val="both"/>
        <w:rPr>
          <w:rFonts w:ascii="Arial" w:hAnsi="Arial" w:cs="Arial"/>
          <w:color w:val="000000" w:themeColor="text1"/>
          <w:sz w:val="24"/>
          <w:szCs w:val="24"/>
        </w:rPr>
      </w:pPr>
      <w:r w:rsidRPr="003136F9">
        <w:rPr>
          <w:rFonts w:ascii="Arial" w:hAnsi="Arial" w:cs="Arial"/>
          <w:noProof/>
          <w:sz w:val="24"/>
          <w:szCs w:val="24"/>
        </w:rPr>
        <w:lastRenderedPageBreak/>
        <w:drawing>
          <wp:inline distT="0" distB="0" distL="0" distR="0" wp14:anchorId="6E6224B5" wp14:editId="3C525645">
            <wp:extent cx="2733675" cy="24955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31">
                      <a:extLst>
                        <a:ext uri="{28A0092B-C50C-407E-A947-70E740481C1C}">
                          <a14:useLocalDpi xmlns:a14="http://schemas.microsoft.com/office/drawing/2010/main" val="0"/>
                        </a:ext>
                      </a:extLst>
                    </a:blip>
                    <a:srcRect l="56905" t="19923" r="16093" b="36304"/>
                    <a:stretch>
                      <a:fillRect/>
                    </a:stretch>
                  </pic:blipFill>
                  <pic:spPr>
                    <a:xfrm>
                      <a:off x="0" y="0"/>
                      <a:ext cx="2733675" cy="2495550"/>
                    </a:xfrm>
                    <a:prstGeom prst="rect">
                      <a:avLst/>
                    </a:prstGeom>
                  </pic:spPr>
                </pic:pic>
              </a:graphicData>
            </a:graphic>
          </wp:inline>
        </w:drawing>
      </w:r>
    </w:p>
    <w:p w14:paraId="0721B5B6" w14:textId="068EC6C5" w:rsidR="0027380F" w:rsidRPr="003136F9" w:rsidRDefault="78BB7069" w:rsidP="00D50DFB">
      <w:pPr>
        <w:spacing w:after="0" w:line="360" w:lineRule="auto"/>
        <w:jc w:val="both"/>
        <w:rPr>
          <w:rFonts w:ascii="Arial" w:hAnsi="Arial" w:cs="Arial"/>
          <w:color w:val="000000" w:themeColor="text1"/>
          <w:sz w:val="24"/>
          <w:szCs w:val="24"/>
          <w:lang w:eastAsia="pt-BR"/>
        </w:rPr>
      </w:pPr>
      <w:r w:rsidRPr="003136F9">
        <w:rPr>
          <w:rFonts w:ascii="Arial" w:hAnsi="Arial" w:cs="Arial"/>
          <w:b/>
          <w:bCs/>
          <w:color w:val="000000" w:themeColor="text1"/>
          <w:sz w:val="24"/>
          <w:szCs w:val="24"/>
          <w:lang w:eastAsia="pt-BR"/>
        </w:rPr>
        <w:t>Figur</w:t>
      </w:r>
      <w:r w:rsidR="001B6591" w:rsidRPr="003136F9">
        <w:rPr>
          <w:rFonts w:ascii="Arial" w:hAnsi="Arial" w:cs="Arial"/>
          <w:b/>
          <w:bCs/>
          <w:color w:val="000000" w:themeColor="text1"/>
          <w:sz w:val="24"/>
          <w:szCs w:val="24"/>
          <w:lang w:eastAsia="pt-BR"/>
        </w:rPr>
        <w:t>a</w:t>
      </w:r>
      <w:r w:rsidRPr="003136F9">
        <w:rPr>
          <w:rFonts w:ascii="Arial" w:hAnsi="Arial" w:cs="Arial"/>
          <w:b/>
          <w:bCs/>
          <w:color w:val="000000" w:themeColor="text1"/>
          <w:sz w:val="24"/>
          <w:szCs w:val="24"/>
          <w:lang w:eastAsia="pt-BR"/>
        </w:rPr>
        <w:t xml:space="preserve"> </w:t>
      </w:r>
      <w:proofErr w:type="gramStart"/>
      <w:r w:rsidRPr="003136F9">
        <w:rPr>
          <w:rFonts w:ascii="Arial" w:hAnsi="Arial" w:cs="Arial"/>
          <w:b/>
          <w:bCs/>
          <w:color w:val="000000" w:themeColor="text1"/>
          <w:sz w:val="24"/>
          <w:szCs w:val="24"/>
          <w:lang w:eastAsia="pt-BR"/>
        </w:rPr>
        <w:t>5</w:t>
      </w:r>
      <w:r w:rsidR="001B6591" w:rsidRPr="003136F9">
        <w:rPr>
          <w:rFonts w:ascii="Arial" w:hAnsi="Arial" w:cs="Arial"/>
          <w:color w:val="000000" w:themeColor="text1"/>
          <w:sz w:val="24"/>
          <w:szCs w:val="24"/>
          <w:lang w:eastAsia="pt-BR"/>
        </w:rPr>
        <w:t xml:space="preserve"> .</w:t>
      </w:r>
      <w:proofErr w:type="gramEnd"/>
      <w:r w:rsidR="001B6591" w:rsidRPr="003136F9">
        <w:rPr>
          <w:rFonts w:ascii="Arial" w:hAnsi="Arial" w:cs="Arial"/>
          <w:color w:val="000000" w:themeColor="text1"/>
          <w:sz w:val="24"/>
          <w:szCs w:val="24"/>
          <w:lang w:eastAsia="pt-BR"/>
        </w:rPr>
        <w:t xml:space="preserve"> Mapeamento </w:t>
      </w:r>
      <w:proofErr w:type="spellStart"/>
      <w:r w:rsidR="001B6591" w:rsidRPr="003136F9">
        <w:rPr>
          <w:rFonts w:ascii="Arial" w:hAnsi="Arial" w:cs="Arial"/>
          <w:color w:val="000000" w:themeColor="text1"/>
          <w:sz w:val="24"/>
          <w:szCs w:val="24"/>
          <w:lang w:eastAsia="pt-BR"/>
        </w:rPr>
        <w:t>farmacofórico</w:t>
      </w:r>
      <w:proofErr w:type="spellEnd"/>
      <w:r w:rsidR="001B6591" w:rsidRPr="003136F9">
        <w:rPr>
          <w:rFonts w:ascii="Arial" w:hAnsi="Arial" w:cs="Arial"/>
          <w:color w:val="000000" w:themeColor="text1"/>
          <w:sz w:val="24"/>
          <w:szCs w:val="24"/>
          <w:lang w:eastAsia="pt-BR"/>
        </w:rPr>
        <w:t xml:space="preserve"> da substância </w:t>
      </w:r>
      <w:proofErr w:type="spellStart"/>
      <w:r w:rsidR="001B6591" w:rsidRPr="003136F9">
        <w:rPr>
          <w:rFonts w:ascii="Arial" w:hAnsi="Arial" w:cs="Arial"/>
          <w:color w:val="000000" w:themeColor="text1"/>
          <w:sz w:val="24"/>
          <w:szCs w:val="24"/>
          <w:lang w:eastAsia="pt-BR"/>
        </w:rPr>
        <w:t>tetrahidrocanabivarina</w:t>
      </w:r>
      <w:proofErr w:type="spellEnd"/>
      <w:r w:rsidR="001B6591" w:rsidRPr="003136F9">
        <w:rPr>
          <w:rFonts w:ascii="Arial" w:hAnsi="Arial" w:cs="Arial"/>
          <w:color w:val="000000" w:themeColor="text1"/>
          <w:sz w:val="24"/>
          <w:szCs w:val="24"/>
          <w:lang w:eastAsia="pt-BR"/>
        </w:rPr>
        <w:t xml:space="preserve"> com os 5 ligantes antagonistas mais potentes para o alvo da </w:t>
      </w:r>
      <w:proofErr w:type="spellStart"/>
      <w:r w:rsidR="001B6591" w:rsidRPr="003136F9">
        <w:rPr>
          <w:rFonts w:ascii="Arial" w:hAnsi="Arial" w:cs="Arial"/>
          <w:color w:val="000000" w:themeColor="text1"/>
          <w:sz w:val="24"/>
          <w:szCs w:val="24"/>
          <w:lang w:eastAsia="pt-BR"/>
        </w:rPr>
        <w:t>monoglicerato</w:t>
      </w:r>
      <w:proofErr w:type="spellEnd"/>
      <w:r w:rsidR="001B6591" w:rsidRPr="003136F9">
        <w:rPr>
          <w:rFonts w:ascii="Arial" w:hAnsi="Arial" w:cs="Arial"/>
          <w:color w:val="000000" w:themeColor="text1"/>
          <w:sz w:val="24"/>
          <w:szCs w:val="24"/>
          <w:lang w:eastAsia="pt-BR"/>
        </w:rPr>
        <w:t xml:space="preserve"> lipase. As características </w:t>
      </w:r>
      <w:proofErr w:type="spellStart"/>
      <w:r w:rsidR="001B6591" w:rsidRPr="003136F9">
        <w:rPr>
          <w:rFonts w:ascii="Arial" w:hAnsi="Arial" w:cs="Arial"/>
          <w:color w:val="000000" w:themeColor="text1"/>
          <w:sz w:val="24"/>
          <w:szCs w:val="24"/>
          <w:lang w:eastAsia="pt-BR"/>
        </w:rPr>
        <w:t>farmacofóricas</w:t>
      </w:r>
      <w:proofErr w:type="spellEnd"/>
      <w:r w:rsidR="001B6591" w:rsidRPr="003136F9">
        <w:rPr>
          <w:rFonts w:ascii="Arial" w:hAnsi="Arial" w:cs="Arial"/>
          <w:color w:val="000000" w:themeColor="text1"/>
          <w:sz w:val="24"/>
          <w:szCs w:val="24"/>
          <w:lang w:eastAsia="pt-BR"/>
        </w:rPr>
        <w:t xml:space="preserve"> são coloridas em vermelho para aceitadores de ligações de hidrogênio e azul para anéis aromáticos (B).</w:t>
      </w:r>
    </w:p>
    <w:p w14:paraId="55778E26" w14:textId="25C092B0" w:rsidR="78BB7069" w:rsidRPr="003136F9" w:rsidRDefault="78BB7069" w:rsidP="78BB7069">
      <w:pPr>
        <w:spacing w:after="0" w:line="360" w:lineRule="auto"/>
        <w:jc w:val="both"/>
        <w:rPr>
          <w:rFonts w:ascii="Arial" w:hAnsi="Arial" w:cs="Arial"/>
          <w:color w:val="000000" w:themeColor="text1"/>
          <w:sz w:val="24"/>
          <w:szCs w:val="24"/>
          <w:lang w:eastAsia="pt-BR"/>
        </w:rPr>
      </w:pPr>
    </w:p>
    <w:p w14:paraId="493EAF3D" w14:textId="6D1FFD1D" w:rsidR="78BB7069" w:rsidRPr="003136F9" w:rsidRDefault="78BB7069" w:rsidP="006A4BED">
      <w:pPr>
        <w:shd w:val="clear" w:color="auto" w:fill="FFFFFF" w:themeFill="background1"/>
        <w:spacing w:after="0" w:line="360" w:lineRule="auto"/>
        <w:jc w:val="both"/>
        <w:rPr>
          <w:rFonts w:ascii="Arial" w:hAnsi="Arial" w:cs="Arial"/>
          <w:b/>
          <w:bCs/>
          <w:color w:val="000000" w:themeColor="text1"/>
          <w:sz w:val="24"/>
          <w:szCs w:val="24"/>
        </w:rPr>
      </w:pPr>
      <w:r w:rsidRPr="003136F9">
        <w:rPr>
          <w:rFonts w:ascii="Arial" w:hAnsi="Arial" w:cs="Arial"/>
          <w:b/>
          <w:bCs/>
          <w:color w:val="000000" w:themeColor="text1"/>
          <w:sz w:val="24"/>
          <w:szCs w:val="24"/>
        </w:rPr>
        <w:t>Discuss</w:t>
      </w:r>
      <w:r w:rsidR="001014A3" w:rsidRPr="003136F9">
        <w:rPr>
          <w:rFonts w:ascii="Arial" w:hAnsi="Arial" w:cs="Arial"/>
          <w:b/>
          <w:bCs/>
          <w:color w:val="000000" w:themeColor="text1"/>
          <w:sz w:val="24"/>
          <w:szCs w:val="24"/>
        </w:rPr>
        <w:t>ão</w:t>
      </w:r>
    </w:p>
    <w:p w14:paraId="53A6D906" w14:textId="4AB618CA" w:rsidR="78BB7069" w:rsidRPr="003136F9" w:rsidRDefault="78BB7069" w:rsidP="78BB7069">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w:t>
      </w:r>
    </w:p>
    <w:p w14:paraId="749C35CE"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Vale enfatizar uma breve consideração sobre o contexto recente das políticas de regulamentação da cannabis sativa no Brasil. Diante do clamor e pressão dos movimentos sociais (32), o Conselho Federal de Medicina (CFM) regulamentou a prescrição de extratos de cannabis no final de 2014 e, a partir desse fato, a Resolução da Diretoria Colegiada (RDC) nº 156 , publicado no Diário Oficial da União de 8 de maio de 2017, incluiu a erva na Farmacopeia Brasileira, código farmacêutico oficial do Brasil, reconhecendo-a como planta medicinal.</w:t>
      </w:r>
    </w:p>
    <w:p w14:paraId="27C9055E"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Além disso, recentemente, a Resolução da Diretoria Colegiada (RDC) nº 327, publicada no Diário Oficial da União de 09 de dezembro de 2019, dispôs sobre as condições e procedimentos para concessão da Autorização Sanitária de fabricação e importação, bem como estabelece requisitos para a comercialização, prescrição, dispensação, monitoramento e fiscalização de produtos industrializados contendo derivados vegetais ou fitofármacos da </w:t>
      </w:r>
      <w:r w:rsidRPr="003136F9">
        <w:rPr>
          <w:rFonts w:ascii="Arial" w:hAnsi="Arial" w:cs="Arial"/>
          <w:i/>
          <w:iCs/>
          <w:color w:val="000000" w:themeColor="text1"/>
          <w:sz w:val="24"/>
          <w:szCs w:val="24"/>
        </w:rPr>
        <w:t>Cannabis sativa</w:t>
      </w:r>
      <w:r w:rsidRPr="003136F9">
        <w:rPr>
          <w:rFonts w:ascii="Arial" w:hAnsi="Arial" w:cs="Arial"/>
          <w:color w:val="000000" w:themeColor="text1"/>
          <w:sz w:val="24"/>
          <w:szCs w:val="24"/>
        </w:rPr>
        <w:t>, denominados produtos Cannabis.</w:t>
      </w:r>
    </w:p>
    <w:p w14:paraId="65DF9F6B"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Em relação aos aspectos farmacológicos da espécie, é importante conhecer o sistema </w:t>
      </w:r>
      <w:proofErr w:type="spellStart"/>
      <w:r w:rsidRPr="003136F9">
        <w:rPr>
          <w:rFonts w:ascii="Arial" w:hAnsi="Arial" w:cs="Arial"/>
          <w:color w:val="000000" w:themeColor="text1"/>
          <w:sz w:val="24"/>
          <w:szCs w:val="24"/>
        </w:rPr>
        <w:t>endocanabinoide</w:t>
      </w:r>
      <w:proofErr w:type="spellEnd"/>
      <w:r w:rsidRPr="003136F9">
        <w:rPr>
          <w:rFonts w:ascii="Arial" w:hAnsi="Arial" w:cs="Arial"/>
          <w:color w:val="000000" w:themeColor="text1"/>
          <w:sz w:val="24"/>
          <w:szCs w:val="24"/>
        </w:rPr>
        <w:t xml:space="preserve"> (BCE), que, por sua vez, se expressa </w:t>
      </w:r>
      <w:r w:rsidRPr="003136F9">
        <w:rPr>
          <w:rFonts w:ascii="Arial" w:hAnsi="Arial" w:cs="Arial"/>
          <w:color w:val="000000" w:themeColor="text1"/>
          <w:sz w:val="24"/>
          <w:szCs w:val="24"/>
        </w:rPr>
        <w:lastRenderedPageBreak/>
        <w:t xml:space="preserve">amplamente no sistema nervoso central, desempenhando papéis na regulação da plasticidade sináptica por meio de sinalização retrógrada. Em sentido estrito, é composto de receptores </w:t>
      </w:r>
      <w:proofErr w:type="spellStart"/>
      <w:r w:rsidRPr="003136F9">
        <w:rPr>
          <w:rFonts w:ascii="Arial" w:hAnsi="Arial" w:cs="Arial"/>
          <w:color w:val="000000" w:themeColor="text1"/>
          <w:sz w:val="24"/>
          <w:szCs w:val="24"/>
        </w:rPr>
        <w:t>canabinóides</w:t>
      </w:r>
      <w:proofErr w:type="spellEnd"/>
      <w:r w:rsidRPr="003136F9">
        <w:rPr>
          <w:rFonts w:ascii="Arial" w:hAnsi="Arial" w:cs="Arial"/>
          <w:color w:val="000000" w:themeColor="text1"/>
          <w:sz w:val="24"/>
          <w:szCs w:val="24"/>
        </w:rPr>
        <w:t xml:space="preserve"> do tipo 1 (CB1, amplamente expresso no sistema nervoso) e do tipo 2 (CB2, expresso principalmente em células imunes), suas moléculas sinalizadoras de </w:t>
      </w:r>
      <w:proofErr w:type="spellStart"/>
      <w:r w:rsidRPr="003136F9">
        <w:rPr>
          <w:rFonts w:ascii="Arial" w:hAnsi="Arial" w:cs="Arial"/>
          <w:color w:val="000000" w:themeColor="text1"/>
          <w:sz w:val="24"/>
          <w:szCs w:val="24"/>
        </w:rPr>
        <w:t>endocanabinóides</w:t>
      </w:r>
      <w:proofErr w:type="spellEnd"/>
      <w:r w:rsidRPr="003136F9">
        <w:rPr>
          <w:rFonts w:ascii="Arial" w:hAnsi="Arial" w:cs="Arial"/>
          <w:color w:val="000000" w:themeColor="text1"/>
          <w:sz w:val="24"/>
          <w:szCs w:val="24"/>
        </w:rPr>
        <w:t xml:space="preserve"> (por exemplo, </w:t>
      </w:r>
      <w:proofErr w:type="spellStart"/>
      <w:r w:rsidRPr="003136F9">
        <w:rPr>
          <w:rFonts w:ascii="Arial" w:hAnsi="Arial" w:cs="Arial"/>
          <w:color w:val="000000" w:themeColor="text1"/>
          <w:sz w:val="24"/>
          <w:szCs w:val="24"/>
        </w:rPr>
        <w:t>anandamida</w:t>
      </w:r>
      <w:proofErr w:type="spellEnd"/>
      <w:r w:rsidRPr="003136F9">
        <w:rPr>
          <w:rFonts w:ascii="Arial" w:hAnsi="Arial" w:cs="Arial"/>
          <w:color w:val="000000" w:themeColor="text1"/>
          <w:sz w:val="24"/>
          <w:szCs w:val="24"/>
        </w:rPr>
        <w:t xml:space="preserve"> (AEA); e 2-araquidonoilglicerol (2-AG), e suas enzimas metabólicas (NAPE-PLD, DAGL, FAAH e MAGL) (33).</w:t>
      </w:r>
    </w:p>
    <w:p w14:paraId="4EF3B585"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Alterações no sistema de ECB foram observadas em uma variedade de doenças em áreas terapêuticas. Por exemplo, mudanças nas concentrações de AEA e 2-AG nos tecidos foram observadas em dor e inflamação (34), distúrbios imunológicos (35), condições neurológicas e psiquiátricas (36), obesidade e síndromes metabólicas (37) (38) e câncer (39). Essas observações alimentaram um interesse significativo no desenvolvimento de medicamentos que manipulam a ECB para tratar essas condições (40) (41).</w:t>
      </w:r>
    </w:p>
    <w:p w14:paraId="76878D80"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Dada a ampla gama de efeitos </w:t>
      </w:r>
      <w:proofErr w:type="spellStart"/>
      <w:r w:rsidRPr="003136F9">
        <w:rPr>
          <w:rFonts w:ascii="Arial" w:hAnsi="Arial" w:cs="Arial"/>
          <w:color w:val="000000" w:themeColor="text1"/>
          <w:sz w:val="24"/>
          <w:szCs w:val="24"/>
        </w:rPr>
        <w:t>neuroprotetores</w:t>
      </w:r>
      <w:proofErr w:type="spellEnd"/>
      <w:r w:rsidRPr="003136F9">
        <w:rPr>
          <w:rFonts w:ascii="Arial" w:hAnsi="Arial" w:cs="Arial"/>
          <w:color w:val="000000" w:themeColor="text1"/>
          <w:sz w:val="24"/>
          <w:szCs w:val="24"/>
        </w:rPr>
        <w:t xml:space="preserve"> do Δ9-THC e do CBD já estabelecidos, é necessário sugerir que outros </w:t>
      </w:r>
      <w:proofErr w:type="spellStart"/>
      <w:r w:rsidRPr="003136F9">
        <w:rPr>
          <w:rFonts w:ascii="Arial" w:hAnsi="Arial" w:cs="Arial"/>
          <w:color w:val="000000" w:themeColor="text1"/>
          <w:sz w:val="24"/>
          <w:szCs w:val="24"/>
        </w:rPr>
        <w:t>fitocanabinóides</w:t>
      </w:r>
      <w:proofErr w:type="spellEnd"/>
      <w:r w:rsidRPr="003136F9">
        <w:rPr>
          <w:rFonts w:ascii="Arial" w:hAnsi="Arial" w:cs="Arial"/>
          <w:color w:val="000000" w:themeColor="text1"/>
          <w:sz w:val="24"/>
          <w:szCs w:val="24"/>
        </w:rPr>
        <w:t xml:space="preserve"> podem exibir propriedades </w:t>
      </w:r>
      <w:proofErr w:type="spellStart"/>
      <w:r w:rsidRPr="003136F9">
        <w:rPr>
          <w:rFonts w:ascii="Arial" w:hAnsi="Arial" w:cs="Arial"/>
          <w:color w:val="000000" w:themeColor="text1"/>
          <w:sz w:val="24"/>
          <w:szCs w:val="24"/>
        </w:rPr>
        <w:t>neuroprotetoras</w:t>
      </w:r>
      <w:proofErr w:type="spellEnd"/>
      <w:r w:rsidRPr="003136F9">
        <w:rPr>
          <w:rFonts w:ascii="Arial" w:hAnsi="Arial" w:cs="Arial"/>
          <w:color w:val="000000" w:themeColor="text1"/>
          <w:sz w:val="24"/>
          <w:szCs w:val="24"/>
        </w:rPr>
        <w:t xml:space="preserve"> semelhantes ou mais potentes (42). Neste contexto, a partir do levantamento dos metabólitos ativos da </w:t>
      </w:r>
      <w:r w:rsidRPr="003136F9">
        <w:rPr>
          <w:rFonts w:ascii="Arial" w:hAnsi="Arial" w:cs="Arial"/>
          <w:i/>
          <w:iCs/>
          <w:color w:val="000000" w:themeColor="text1"/>
          <w:sz w:val="24"/>
          <w:szCs w:val="24"/>
        </w:rPr>
        <w:t>Cannabis sativa</w:t>
      </w:r>
      <w:r w:rsidRPr="003136F9">
        <w:rPr>
          <w:rFonts w:ascii="Arial" w:hAnsi="Arial" w:cs="Arial"/>
          <w:color w:val="000000" w:themeColor="text1"/>
          <w:sz w:val="24"/>
          <w:szCs w:val="24"/>
        </w:rPr>
        <w:t xml:space="preserve">, suas análises preditivas farmacocinéticas, biológicas e toxicológicas, classificação de similaridade a drogas, o composto </w:t>
      </w:r>
      <w:proofErr w:type="spellStart"/>
      <w:r w:rsidRPr="003136F9">
        <w:rPr>
          <w:rFonts w:ascii="Arial" w:hAnsi="Arial" w:cs="Arial"/>
          <w:color w:val="000000" w:themeColor="text1"/>
          <w:sz w:val="24"/>
          <w:szCs w:val="24"/>
        </w:rPr>
        <w:t>tetrahidrocanabivarina</w:t>
      </w:r>
      <w:proofErr w:type="spellEnd"/>
      <w:r w:rsidRPr="003136F9">
        <w:rPr>
          <w:rFonts w:ascii="Arial" w:hAnsi="Arial" w:cs="Arial"/>
          <w:color w:val="000000" w:themeColor="text1"/>
          <w:sz w:val="24"/>
          <w:szCs w:val="24"/>
        </w:rPr>
        <w:t xml:space="preserve"> (THCV) surge como um potencial tratamento para condições neurológicas e psiquiátricas.</w:t>
      </w:r>
    </w:p>
    <w:p w14:paraId="494C4DB4"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Todos os compostos listados na triagem realizada neste estudo apresentaram características promissoras de solubilidade e permeabilidade, de acordo com </w:t>
      </w:r>
      <w:proofErr w:type="spellStart"/>
      <w:r w:rsidRPr="003136F9">
        <w:rPr>
          <w:rFonts w:ascii="Arial" w:hAnsi="Arial" w:cs="Arial"/>
          <w:color w:val="000000" w:themeColor="text1"/>
          <w:sz w:val="24"/>
          <w:szCs w:val="24"/>
        </w:rPr>
        <w:t>Lipinski</w:t>
      </w:r>
      <w:proofErr w:type="spellEnd"/>
      <w:r w:rsidRPr="003136F9">
        <w:rPr>
          <w:rFonts w:ascii="Arial" w:hAnsi="Arial" w:cs="Arial"/>
          <w:color w:val="000000" w:themeColor="text1"/>
          <w:sz w:val="24"/>
          <w:szCs w:val="24"/>
        </w:rPr>
        <w:t xml:space="preserve"> 1997. Essa classificação é amplamente utilizada para determinar propriedades moleculares importantes para a predição farmacocinética de substâncias in vivo. De acordo com a regra de cinco de </w:t>
      </w:r>
      <w:proofErr w:type="spellStart"/>
      <w:r w:rsidRPr="003136F9">
        <w:rPr>
          <w:rFonts w:ascii="Arial" w:hAnsi="Arial" w:cs="Arial"/>
          <w:color w:val="000000" w:themeColor="text1"/>
          <w:sz w:val="24"/>
          <w:szCs w:val="24"/>
        </w:rPr>
        <w:t>Lipinski</w:t>
      </w:r>
      <w:proofErr w:type="spellEnd"/>
      <w:r w:rsidRPr="003136F9">
        <w:rPr>
          <w:rFonts w:ascii="Arial" w:hAnsi="Arial" w:cs="Arial"/>
          <w:color w:val="000000" w:themeColor="text1"/>
          <w:sz w:val="24"/>
          <w:szCs w:val="24"/>
        </w:rPr>
        <w:t xml:space="preserve"> na qual esta classificação se baseia, uma molécula candidata tem mais probabilidade de ter propriedades favoráveis ​​se o peso molecular for inferior a 500 </w:t>
      </w:r>
      <w:proofErr w:type="spellStart"/>
      <w:r w:rsidRPr="003136F9">
        <w:rPr>
          <w:rFonts w:ascii="Arial" w:hAnsi="Arial" w:cs="Arial"/>
          <w:color w:val="000000" w:themeColor="text1"/>
          <w:sz w:val="24"/>
          <w:szCs w:val="24"/>
        </w:rPr>
        <w:t>daltons</w:t>
      </w:r>
      <w:proofErr w:type="spellEnd"/>
      <w:r w:rsidRPr="003136F9">
        <w:rPr>
          <w:rFonts w:ascii="Arial" w:hAnsi="Arial" w:cs="Arial"/>
          <w:color w:val="000000" w:themeColor="text1"/>
          <w:sz w:val="24"/>
          <w:szCs w:val="24"/>
        </w:rPr>
        <w:t xml:space="preserve">, o coeficiente de partição </w:t>
      </w:r>
      <w:proofErr w:type="spellStart"/>
      <w:r w:rsidRPr="003136F9">
        <w:rPr>
          <w:rFonts w:ascii="Arial" w:hAnsi="Arial" w:cs="Arial"/>
          <w:color w:val="000000" w:themeColor="text1"/>
          <w:sz w:val="24"/>
          <w:szCs w:val="24"/>
        </w:rPr>
        <w:t>octanol</w:t>
      </w:r>
      <w:proofErr w:type="spellEnd"/>
      <w:r w:rsidRPr="003136F9">
        <w:rPr>
          <w:rFonts w:ascii="Arial" w:hAnsi="Arial" w:cs="Arial"/>
          <w:color w:val="000000" w:themeColor="text1"/>
          <w:sz w:val="24"/>
          <w:szCs w:val="24"/>
        </w:rPr>
        <w:t xml:space="preserve"> / água (log P) for inferior a 5, se não houver mais de 5 doadores de ligação de hidrogênio (grupos OH e NH) e se não houver 10 aceitadores de ligação de hidrogênio (nomeadamente N e O) (43). O THCV, por sua vez, apresentou os parâmetros citados dentro desses limites favoráveis.</w:t>
      </w:r>
    </w:p>
    <w:p w14:paraId="0F4DC2F1"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lastRenderedPageBreak/>
        <w:t xml:space="preserve">∆9-THCV é um homólogo de ∆9-THC diferindo apenas por uma cadeia lateral de </w:t>
      </w:r>
      <w:proofErr w:type="spellStart"/>
      <w:r w:rsidRPr="003136F9">
        <w:rPr>
          <w:rFonts w:ascii="Arial" w:hAnsi="Arial" w:cs="Arial"/>
          <w:color w:val="000000" w:themeColor="text1"/>
          <w:sz w:val="24"/>
          <w:szCs w:val="24"/>
        </w:rPr>
        <w:t>propil</w:t>
      </w:r>
      <w:proofErr w:type="spellEnd"/>
      <w:r w:rsidRPr="003136F9">
        <w:rPr>
          <w:rFonts w:ascii="Arial" w:hAnsi="Arial" w:cs="Arial"/>
          <w:color w:val="000000" w:themeColor="text1"/>
          <w:sz w:val="24"/>
          <w:szCs w:val="24"/>
        </w:rPr>
        <w:t>, e estudos sugeriram que ∆9-THCV atua como um agonista do receptor CB1, compartilhando propriedades com ∆9-THC, embora com menos potência (</w:t>
      </w:r>
      <w:proofErr w:type="gramStart"/>
      <w:r w:rsidRPr="003136F9">
        <w:rPr>
          <w:rFonts w:ascii="Arial" w:hAnsi="Arial" w:cs="Arial"/>
          <w:color w:val="000000" w:themeColor="text1"/>
          <w:sz w:val="24"/>
          <w:szCs w:val="24"/>
        </w:rPr>
        <w:t>14 )</w:t>
      </w:r>
      <w:proofErr w:type="gramEnd"/>
      <w:r w:rsidRPr="003136F9">
        <w:rPr>
          <w:rFonts w:ascii="Arial" w:hAnsi="Arial" w:cs="Arial"/>
          <w:color w:val="000000" w:themeColor="text1"/>
          <w:sz w:val="24"/>
          <w:szCs w:val="24"/>
        </w:rPr>
        <w:t>, (44). Eles mostram semelhanças em seus efeitos in vivo, como induzir catalepsia em camundongos e efeitos semelhantes ao to9 -THC em humanos.</w:t>
      </w:r>
    </w:p>
    <w:p w14:paraId="353C5525" w14:textId="2B8BAD5B"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Dois estudos foram encontrados onde o ∆9-THCV mostrou-se promissor como um agente antiepiléptico e neurônios protegidos em dois modelos de doença de Parkinson, a teoria é que o ∆9-THCV promove alguns de seus efeitos protetores agindo nos receptores CB1 e CB2, mas, em de qualquer forma, os possíveis mecanismos de ação do ∆9-THCV eram amplamente inexplorados (45). Assim, embora haja evidências para sugerir que o ∆9-THCV medeia alguns de seus efeitos protetores por meio dos receptores CB1 e CB2, os dados permanecem em grande parte obscuros e há uma falta de investigação sobre o potencial do ∆9-THCV para atuar em outros alvos </w:t>
      </w:r>
      <w:proofErr w:type="spellStart"/>
      <w:r w:rsidRPr="003136F9">
        <w:rPr>
          <w:rFonts w:ascii="Arial" w:hAnsi="Arial" w:cs="Arial"/>
          <w:color w:val="000000" w:themeColor="text1"/>
          <w:sz w:val="24"/>
          <w:szCs w:val="24"/>
        </w:rPr>
        <w:t>canabinoides</w:t>
      </w:r>
      <w:proofErr w:type="spellEnd"/>
      <w:r w:rsidRPr="003136F9">
        <w:rPr>
          <w:rFonts w:ascii="Arial" w:hAnsi="Arial" w:cs="Arial"/>
          <w:color w:val="000000" w:themeColor="text1"/>
          <w:sz w:val="24"/>
          <w:szCs w:val="24"/>
        </w:rPr>
        <w:t xml:space="preserve"> </w:t>
      </w:r>
      <w:r w:rsidR="001B6591" w:rsidRPr="003136F9">
        <w:rPr>
          <w:rFonts w:ascii="Arial" w:hAnsi="Arial" w:cs="Arial"/>
          <w:color w:val="000000" w:themeColor="text1"/>
          <w:sz w:val="24"/>
          <w:szCs w:val="24"/>
        </w:rPr>
        <w:t>conhecidos.</w:t>
      </w:r>
    </w:p>
    <w:p w14:paraId="669B2BC1"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A N-</w:t>
      </w:r>
      <w:proofErr w:type="spellStart"/>
      <w:r w:rsidRPr="003136F9">
        <w:rPr>
          <w:rFonts w:ascii="Arial" w:hAnsi="Arial" w:cs="Arial"/>
          <w:color w:val="000000" w:themeColor="text1"/>
          <w:sz w:val="24"/>
          <w:szCs w:val="24"/>
        </w:rPr>
        <w:t>araquidonoilglicina</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NAGly</w:t>
      </w:r>
      <w:proofErr w:type="spellEnd"/>
      <w:r w:rsidRPr="003136F9">
        <w:rPr>
          <w:rFonts w:ascii="Arial" w:hAnsi="Arial" w:cs="Arial"/>
          <w:color w:val="000000" w:themeColor="text1"/>
          <w:sz w:val="24"/>
          <w:szCs w:val="24"/>
        </w:rPr>
        <w:t xml:space="preserve">) é um produto do metabolismo oxidativo da </w:t>
      </w:r>
      <w:proofErr w:type="spellStart"/>
      <w:r w:rsidRPr="003136F9">
        <w:rPr>
          <w:rFonts w:ascii="Arial" w:hAnsi="Arial" w:cs="Arial"/>
          <w:color w:val="000000" w:themeColor="text1"/>
          <w:sz w:val="24"/>
          <w:szCs w:val="24"/>
        </w:rPr>
        <w:t>anandamida</w:t>
      </w:r>
      <w:proofErr w:type="spellEnd"/>
      <w:r w:rsidRPr="003136F9">
        <w:rPr>
          <w:rFonts w:ascii="Arial" w:hAnsi="Arial" w:cs="Arial"/>
          <w:color w:val="000000" w:themeColor="text1"/>
          <w:sz w:val="24"/>
          <w:szCs w:val="24"/>
        </w:rPr>
        <w:t xml:space="preserve"> e compartilha uma semelhança estrutural com este </w:t>
      </w:r>
      <w:proofErr w:type="spellStart"/>
      <w:r w:rsidRPr="003136F9">
        <w:rPr>
          <w:rFonts w:ascii="Arial" w:hAnsi="Arial" w:cs="Arial"/>
          <w:color w:val="000000" w:themeColor="text1"/>
          <w:sz w:val="24"/>
          <w:szCs w:val="24"/>
        </w:rPr>
        <w:t>endocanabinóide</w:t>
      </w:r>
      <w:proofErr w:type="spellEnd"/>
      <w:r w:rsidRPr="003136F9">
        <w:rPr>
          <w:rFonts w:ascii="Arial" w:hAnsi="Arial" w:cs="Arial"/>
          <w:color w:val="000000" w:themeColor="text1"/>
          <w:sz w:val="24"/>
          <w:szCs w:val="24"/>
        </w:rPr>
        <w:t xml:space="preserve"> (46-48). Acredita-se que o </w:t>
      </w:r>
      <w:proofErr w:type="spellStart"/>
      <w:r w:rsidRPr="003136F9">
        <w:rPr>
          <w:rFonts w:ascii="Arial" w:hAnsi="Arial" w:cs="Arial"/>
          <w:color w:val="000000" w:themeColor="text1"/>
          <w:sz w:val="24"/>
          <w:szCs w:val="24"/>
        </w:rPr>
        <w:t>NAGly</w:t>
      </w:r>
      <w:proofErr w:type="spellEnd"/>
      <w:r w:rsidRPr="003136F9">
        <w:rPr>
          <w:rFonts w:ascii="Arial" w:hAnsi="Arial" w:cs="Arial"/>
          <w:color w:val="000000" w:themeColor="text1"/>
          <w:sz w:val="24"/>
          <w:szCs w:val="24"/>
        </w:rPr>
        <w:t xml:space="preserve"> ative o receptor </w:t>
      </w:r>
      <w:proofErr w:type="spellStart"/>
      <w:r w:rsidRPr="003136F9">
        <w:rPr>
          <w:rFonts w:ascii="Arial" w:hAnsi="Arial" w:cs="Arial"/>
          <w:color w:val="000000" w:themeColor="text1"/>
          <w:sz w:val="24"/>
          <w:szCs w:val="24"/>
        </w:rPr>
        <w:t>canabinoide</w:t>
      </w:r>
      <w:proofErr w:type="spellEnd"/>
      <w:r w:rsidRPr="003136F9">
        <w:rPr>
          <w:rFonts w:ascii="Arial" w:hAnsi="Arial" w:cs="Arial"/>
          <w:color w:val="000000" w:themeColor="text1"/>
          <w:sz w:val="24"/>
          <w:szCs w:val="24"/>
        </w:rPr>
        <w:t xml:space="preserve"> GPR18, mas não tem afinidade para o receptor </w:t>
      </w:r>
      <w:proofErr w:type="spellStart"/>
      <w:r w:rsidRPr="003136F9">
        <w:rPr>
          <w:rFonts w:ascii="Arial" w:hAnsi="Arial" w:cs="Arial"/>
          <w:color w:val="000000" w:themeColor="text1"/>
          <w:sz w:val="24"/>
          <w:szCs w:val="24"/>
        </w:rPr>
        <w:t>canabinoide</w:t>
      </w:r>
      <w:proofErr w:type="spellEnd"/>
      <w:r w:rsidRPr="003136F9">
        <w:rPr>
          <w:rFonts w:ascii="Arial" w:hAnsi="Arial" w:cs="Arial"/>
          <w:color w:val="000000" w:themeColor="text1"/>
          <w:sz w:val="24"/>
          <w:szCs w:val="24"/>
        </w:rPr>
        <w:t xml:space="preserve"> (CB) e o potencial receptor </w:t>
      </w:r>
      <w:proofErr w:type="spellStart"/>
      <w:r w:rsidRPr="003136F9">
        <w:rPr>
          <w:rFonts w:ascii="Arial" w:hAnsi="Arial" w:cs="Arial"/>
          <w:color w:val="000000" w:themeColor="text1"/>
          <w:sz w:val="24"/>
          <w:szCs w:val="24"/>
        </w:rPr>
        <w:t>vanilóide</w:t>
      </w:r>
      <w:proofErr w:type="spellEnd"/>
      <w:r w:rsidRPr="003136F9">
        <w:rPr>
          <w:rFonts w:ascii="Arial" w:hAnsi="Arial" w:cs="Arial"/>
          <w:color w:val="000000" w:themeColor="text1"/>
          <w:sz w:val="24"/>
          <w:szCs w:val="24"/>
        </w:rPr>
        <w:t xml:space="preserve"> transitório 1 (TRPV1) (46-48).</w:t>
      </w:r>
    </w:p>
    <w:p w14:paraId="5F565D61"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O receptor GPR18 ou N-</w:t>
      </w:r>
      <w:proofErr w:type="spellStart"/>
      <w:r w:rsidRPr="003136F9">
        <w:rPr>
          <w:rFonts w:ascii="Arial" w:hAnsi="Arial" w:cs="Arial"/>
          <w:color w:val="000000" w:themeColor="text1"/>
          <w:sz w:val="24"/>
          <w:szCs w:val="24"/>
        </w:rPr>
        <w:t>araquidonilglicina</w:t>
      </w:r>
      <w:proofErr w:type="spellEnd"/>
      <w:r w:rsidRPr="003136F9">
        <w:rPr>
          <w:rFonts w:ascii="Arial" w:hAnsi="Arial" w:cs="Arial"/>
          <w:color w:val="000000" w:themeColor="text1"/>
          <w:sz w:val="24"/>
          <w:szCs w:val="24"/>
        </w:rPr>
        <w:t xml:space="preserve">, usado neste estudo, é um receptor acoplado à proteína G de sete transmembrana consistindo </w:t>
      </w:r>
      <w:proofErr w:type="gramStart"/>
      <w:r w:rsidRPr="003136F9">
        <w:rPr>
          <w:rFonts w:ascii="Arial" w:hAnsi="Arial" w:cs="Arial"/>
          <w:color w:val="000000" w:themeColor="text1"/>
          <w:sz w:val="24"/>
          <w:szCs w:val="24"/>
        </w:rPr>
        <w:t>de</w:t>
      </w:r>
      <w:proofErr w:type="gramEnd"/>
      <w:r w:rsidRPr="003136F9">
        <w:rPr>
          <w:rFonts w:ascii="Arial" w:hAnsi="Arial" w:cs="Arial"/>
          <w:color w:val="000000" w:themeColor="text1"/>
          <w:sz w:val="24"/>
          <w:szCs w:val="24"/>
        </w:rPr>
        <w:t xml:space="preserve"> 331 aminoácidos. O GPR18 foi encontrado em células do sangue periférico, tecidos linfoides, macrófagos com diferentes níveis de expressão para células citotóxicas e </w:t>
      </w:r>
      <w:proofErr w:type="spellStart"/>
      <w:r w:rsidRPr="003136F9">
        <w:rPr>
          <w:rFonts w:ascii="Arial" w:hAnsi="Arial" w:cs="Arial"/>
          <w:color w:val="000000" w:themeColor="text1"/>
          <w:sz w:val="24"/>
          <w:szCs w:val="24"/>
        </w:rPr>
        <w:t>reparativas</w:t>
      </w:r>
      <w:proofErr w:type="spellEnd"/>
      <w:r w:rsidRPr="003136F9">
        <w:rPr>
          <w:rFonts w:ascii="Arial" w:hAnsi="Arial" w:cs="Arial"/>
          <w:color w:val="000000" w:themeColor="text1"/>
          <w:sz w:val="24"/>
          <w:szCs w:val="24"/>
        </w:rPr>
        <w:t xml:space="preserve"> (49). Também está presente no cérebro (50), (51) e em algumas células de glioblastoma multiforme (52).</w:t>
      </w:r>
    </w:p>
    <w:p w14:paraId="0F492C02"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A sinalização de N-</w:t>
      </w:r>
      <w:proofErr w:type="spellStart"/>
      <w:r w:rsidRPr="003136F9">
        <w:rPr>
          <w:rFonts w:ascii="Arial" w:hAnsi="Arial" w:cs="Arial"/>
          <w:color w:val="000000" w:themeColor="text1"/>
          <w:sz w:val="24"/>
          <w:szCs w:val="24"/>
        </w:rPr>
        <w:t>araquidonoil</w:t>
      </w:r>
      <w:proofErr w:type="spellEnd"/>
      <w:r w:rsidRPr="003136F9">
        <w:rPr>
          <w:rFonts w:ascii="Arial" w:hAnsi="Arial" w:cs="Arial"/>
          <w:color w:val="000000" w:themeColor="text1"/>
          <w:sz w:val="24"/>
          <w:szCs w:val="24"/>
        </w:rPr>
        <w:t xml:space="preserve"> glicina (</w:t>
      </w:r>
      <w:proofErr w:type="spellStart"/>
      <w:r w:rsidRPr="003136F9">
        <w:rPr>
          <w:rFonts w:ascii="Arial" w:hAnsi="Arial" w:cs="Arial"/>
          <w:color w:val="000000" w:themeColor="text1"/>
          <w:sz w:val="24"/>
          <w:szCs w:val="24"/>
        </w:rPr>
        <w:t>NAGly</w:t>
      </w:r>
      <w:proofErr w:type="spellEnd"/>
      <w:r w:rsidRPr="003136F9">
        <w:rPr>
          <w:rFonts w:ascii="Arial" w:hAnsi="Arial" w:cs="Arial"/>
          <w:color w:val="000000" w:themeColor="text1"/>
          <w:sz w:val="24"/>
          <w:szCs w:val="24"/>
        </w:rPr>
        <w:t xml:space="preserve">) -GPR18 foi introduzida como uma via importante na comunicação neuronal </w:t>
      </w:r>
      <w:proofErr w:type="spellStart"/>
      <w:r w:rsidRPr="003136F9">
        <w:rPr>
          <w:rFonts w:ascii="Arial" w:hAnsi="Arial" w:cs="Arial"/>
          <w:color w:val="000000" w:themeColor="text1"/>
          <w:sz w:val="24"/>
          <w:szCs w:val="24"/>
        </w:rPr>
        <w:t>microglial</w:t>
      </w:r>
      <w:proofErr w:type="spellEnd"/>
      <w:r w:rsidRPr="003136F9">
        <w:rPr>
          <w:rFonts w:ascii="Arial" w:hAnsi="Arial" w:cs="Arial"/>
          <w:color w:val="000000" w:themeColor="text1"/>
          <w:sz w:val="24"/>
          <w:szCs w:val="24"/>
        </w:rPr>
        <w:t xml:space="preserve">, fornecendo um novo mecanismo (receptor e ligante) para migração direcionada e alterações fenotípicas na </w:t>
      </w:r>
      <w:proofErr w:type="spellStart"/>
      <w:r w:rsidRPr="003136F9">
        <w:rPr>
          <w:rFonts w:ascii="Arial" w:hAnsi="Arial" w:cs="Arial"/>
          <w:color w:val="000000" w:themeColor="text1"/>
          <w:sz w:val="24"/>
          <w:szCs w:val="24"/>
        </w:rPr>
        <w:t>microglia</w:t>
      </w:r>
      <w:proofErr w:type="spellEnd"/>
      <w:r w:rsidRPr="003136F9">
        <w:rPr>
          <w:rFonts w:ascii="Arial" w:hAnsi="Arial" w:cs="Arial"/>
          <w:color w:val="000000" w:themeColor="text1"/>
          <w:sz w:val="24"/>
          <w:szCs w:val="24"/>
        </w:rPr>
        <w:t xml:space="preserve"> (53). Os dados publicados apoiam fortemente um papel significativo para </w:t>
      </w:r>
      <w:proofErr w:type="spellStart"/>
      <w:r w:rsidRPr="003136F9">
        <w:rPr>
          <w:rFonts w:ascii="Arial" w:hAnsi="Arial" w:cs="Arial"/>
          <w:color w:val="000000" w:themeColor="text1"/>
          <w:sz w:val="24"/>
          <w:szCs w:val="24"/>
        </w:rPr>
        <w:t>NAGly</w:t>
      </w:r>
      <w:proofErr w:type="spellEnd"/>
      <w:r w:rsidRPr="003136F9">
        <w:rPr>
          <w:rFonts w:ascii="Arial" w:hAnsi="Arial" w:cs="Arial"/>
          <w:color w:val="000000" w:themeColor="text1"/>
          <w:sz w:val="24"/>
          <w:szCs w:val="24"/>
        </w:rPr>
        <w:t xml:space="preserve"> e GPR18 na regulação da </w:t>
      </w:r>
      <w:proofErr w:type="spellStart"/>
      <w:r w:rsidRPr="003136F9">
        <w:rPr>
          <w:rFonts w:ascii="Arial" w:hAnsi="Arial" w:cs="Arial"/>
          <w:color w:val="000000" w:themeColor="text1"/>
          <w:sz w:val="24"/>
          <w:szCs w:val="24"/>
        </w:rPr>
        <w:t>microglia</w:t>
      </w:r>
      <w:proofErr w:type="spellEnd"/>
      <w:r w:rsidRPr="003136F9">
        <w:rPr>
          <w:rFonts w:ascii="Arial" w:hAnsi="Arial" w:cs="Arial"/>
          <w:color w:val="000000" w:themeColor="text1"/>
          <w:sz w:val="24"/>
          <w:szCs w:val="24"/>
        </w:rPr>
        <w:t xml:space="preserve"> no Sistema Nervoso Central e, juntamente com o trabalho subsequente, têm implicações mais amplas para a nossa compreensão do sistema de ECB (54).</w:t>
      </w:r>
    </w:p>
    <w:p w14:paraId="0529F889"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lastRenderedPageBreak/>
        <w:t xml:space="preserve">É importante notar que a migração dirigida, fagocitose seletiva e produção de radicais livres são funções críticas da </w:t>
      </w:r>
      <w:proofErr w:type="spellStart"/>
      <w:r w:rsidRPr="003136F9">
        <w:rPr>
          <w:rFonts w:ascii="Arial" w:hAnsi="Arial" w:cs="Arial"/>
          <w:color w:val="000000" w:themeColor="text1"/>
          <w:sz w:val="24"/>
          <w:szCs w:val="24"/>
        </w:rPr>
        <w:t>microglia</w:t>
      </w:r>
      <w:proofErr w:type="spellEnd"/>
      <w:r w:rsidRPr="003136F9">
        <w:rPr>
          <w:rFonts w:ascii="Arial" w:hAnsi="Arial" w:cs="Arial"/>
          <w:color w:val="000000" w:themeColor="text1"/>
          <w:sz w:val="24"/>
          <w:szCs w:val="24"/>
        </w:rPr>
        <w:t xml:space="preserve"> que têm um impacto significativo na estabilidade geral do Sistema Nervoso Central, tanto de uma perspectiva aguda como de longo prazo (55), (</w:t>
      </w:r>
      <w:proofErr w:type="gramStart"/>
      <w:r w:rsidRPr="003136F9">
        <w:rPr>
          <w:rFonts w:ascii="Arial" w:hAnsi="Arial" w:cs="Arial"/>
          <w:color w:val="000000" w:themeColor="text1"/>
          <w:sz w:val="24"/>
          <w:szCs w:val="24"/>
        </w:rPr>
        <w:t>56 )</w:t>
      </w:r>
      <w:proofErr w:type="gramEnd"/>
    </w:p>
    <w:p w14:paraId="36304EE6"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Neste estudo, o THCV se comportou como um ligante antagonista na estrutura do Receptor N-</w:t>
      </w:r>
      <w:proofErr w:type="spellStart"/>
      <w:r w:rsidRPr="003136F9">
        <w:rPr>
          <w:rFonts w:ascii="Arial" w:hAnsi="Arial" w:cs="Arial"/>
          <w:color w:val="000000" w:themeColor="text1"/>
          <w:sz w:val="24"/>
          <w:szCs w:val="24"/>
        </w:rPr>
        <w:t>araquidonilglicina</w:t>
      </w:r>
      <w:proofErr w:type="spellEnd"/>
      <w:r w:rsidRPr="003136F9">
        <w:rPr>
          <w:rFonts w:ascii="Arial" w:hAnsi="Arial" w:cs="Arial"/>
          <w:color w:val="000000" w:themeColor="text1"/>
          <w:sz w:val="24"/>
          <w:szCs w:val="24"/>
        </w:rPr>
        <w:t xml:space="preserve">, permitindo a inferência da possível ação </w:t>
      </w:r>
      <w:proofErr w:type="spellStart"/>
      <w:r w:rsidRPr="003136F9">
        <w:rPr>
          <w:rFonts w:ascii="Arial" w:hAnsi="Arial" w:cs="Arial"/>
          <w:color w:val="000000" w:themeColor="text1"/>
          <w:sz w:val="24"/>
          <w:szCs w:val="24"/>
        </w:rPr>
        <w:t>neuromoduladora</w:t>
      </w:r>
      <w:proofErr w:type="spellEnd"/>
      <w:r w:rsidRPr="003136F9">
        <w:rPr>
          <w:rFonts w:ascii="Arial" w:hAnsi="Arial" w:cs="Arial"/>
          <w:color w:val="000000" w:themeColor="text1"/>
          <w:sz w:val="24"/>
          <w:szCs w:val="24"/>
        </w:rPr>
        <w:t xml:space="preserve"> desta molécula, à semelhança do que foi demonstrado no </w:t>
      </w:r>
      <w:proofErr w:type="spellStart"/>
      <w:r w:rsidRPr="003136F9">
        <w:rPr>
          <w:rFonts w:ascii="Arial" w:hAnsi="Arial" w:cs="Arial"/>
          <w:color w:val="000000" w:themeColor="text1"/>
          <w:sz w:val="24"/>
          <w:szCs w:val="24"/>
        </w:rPr>
        <w:t>redocking</w:t>
      </w:r>
      <w:proofErr w:type="spellEnd"/>
      <w:r w:rsidRPr="003136F9">
        <w:rPr>
          <w:rFonts w:ascii="Arial" w:hAnsi="Arial" w:cs="Arial"/>
          <w:color w:val="000000" w:themeColor="text1"/>
          <w:sz w:val="24"/>
          <w:szCs w:val="24"/>
        </w:rPr>
        <w:t xml:space="preserve">, no qual o complexo do ligante </w:t>
      </w:r>
      <w:proofErr w:type="spellStart"/>
      <w:r w:rsidRPr="003136F9">
        <w:rPr>
          <w:rFonts w:ascii="Arial" w:hAnsi="Arial" w:cs="Arial"/>
          <w:color w:val="000000" w:themeColor="text1"/>
          <w:sz w:val="24"/>
          <w:szCs w:val="24"/>
        </w:rPr>
        <w:t>co-cristalizou</w:t>
      </w:r>
      <w:proofErr w:type="spellEnd"/>
      <w:r w:rsidRPr="003136F9">
        <w:rPr>
          <w:rFonts w:ascii="Arial" w:hAnsi="Arial" w:cs="Arial"/>
          <w:color w:val="000000" w:themeColor="text1"/>
          <w:sz w:val="24"/>
          <w:szCs w:val="24"/>
        </w:rPr>
        <w:t xml:space="preserve"> 4- Ácido ({[(4-clorofenil) </w:t>
      </w:r>
      <w:proofErr w:type="spellStart"/>
      <w:r w:rsidRPr="003136F9">
        <w:rPr>
          <w:rFonts w:ascii="Arial" w:hAnsi="Arial" w:cs="Arial"/>
          <w:color w:val="000000" w:themeColor="text1"/>
          <w:sz w:val="24"/>
          <w:szCs w:val="24"/>
        </w:rPr>
        <w:t>sulfonil</w:t>
      </w:r>
      <w:proofErr w:type="spellEnd"/>
      <w:r w:rsidRPr="003136F9">
        <w:rPr>
          <w:rFonts w:ascii="Arial" w:hAnsi="Arial" w:cs="Arial"/>
          <w:color w:val="000000" w:themeColor="text1"/>
          <w:sz w:val="24"/>
          <w:szCs w:val="24"/>
        </w:rPr>
        <w:t>] amino} metil) piperidina-1-carboxílico ligado à estrutura do receptor N-</w:t>
      </w:r>
      <w:proofErr w:type="spellStart"/>
      <w:r w:rsidRPr="003136F9">
        <w:rPr>
          <w:rFonts w:ascii="Arial" w:hAnsi="Arial" w:cs="Arial"/>
          <w:color w:val="000000" w:themeColor="text1"/>
          <w:sz w:val="24"/>
          <w:szCs w:val="24"/>
        </w:rPr>
        <w:t>araquidonilglicina</w:t>
      </w:r>
      <w:proofErr w:type="spellEnd"/>
      <w:r w:rsidRPr="003136F9">
        <w:rPr>
          <w:rFonts w:ascii="Arial" w:hAnsi="Arial" w:cs="Arial"/>
          <w:color w:val="000000" w:themeColor="text1"/>
          <w:sz w:val="24"/>
          <w:szCs w:val="24"/>
        </w:rPr>
        <w:t xml:space="preserve"> no local da proteína </w:t>
      </w:r>
      <w:proofErr w:type="spellStart"/>
      <w:r w:rsidRPr="003136F9">
        <w:rPr>
          <w:rFonts w:ascii="Arial" w:hAnsi="Arial" w:cs="Arial"/>
          <w:color w:val="000000" w:themeColor="text1"/>
          <w:sz w:val="24"/>
          <w:szCs w:val="24"/>
        </w:rPr>
        <w:t>cristalografada</w:t>
      </w:r>
      <w:proofErr w:type="spellEnd"/>
      <w:r w:rsidRPr="003136F9">
        <w:rPr>
          <w:rFonts w:ascii="Arial" w:hAnsi="Arial" w:cs="Arial"/>
          <w:color w:val="000000" w:themeColor="text1"/>
          <w:sz w:val="24"/>
          <w:szCs w:val="24"/>
        </w:rPr>
        <w:t xml:space="preserve"> (4UUQ).</w:t>
      </w:r>
    </w:p>
    <w:p w14:paraId="764FB10E"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Até o momento, não há terapias medicamentosas aprovadas pela Food </w:t>
      </w:r>
      <w:proofErr w:type="spellStart"/>
      <w:r w:rsidRPr="003136F9">
        <w:rPr>
          <w:rFonts w:ascii="Arial" w:hAnsi="Arial" w:cs="Arial"/>
          <w:color w:val="000000" w:themeColor="text1"/>
          <w:sz w:val="24"/>
          <w:szCs w:val="24"/>
        </w:rPr>
        <w:t>and</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Drug</w:t>
      </w:r>
      <w:proofErr w:type="spellEnd"/>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Administration</w:t>
      </w:r>
      <w:proofErr w:type="spellEnd"/>
      <w:r w:rsidRPr="003136F9">
        <w:rPr>
          <w:rFonts w:ascii="Arial" w:hAnsi="Arial" w:cs="Arial"/>
          <w:color w:val="000000" w:themeColor="text1"/>
          <w:sz w:val="24"/>
          <w:szCs w:val="24"/>
        </w:rPr>
        <w:t xml:space="preserve"> que visem as interações receptor-ligante neuronal </w:t>
      </w:r>
      <w:proofErr w:type="spellStart"/>
      <w:r w:rsidRPr="003136F9">
        <w:rPr>
          <w:rFonts w:ascii="Arial" w:hAnsi="Arial" w:cs="Arial"/>
          <w:color w:val="000000" w:themeColor="text1"/>
          <w:sz w:val="24"/>
          <w:szCs w:val="24"/>
        </w:rPr>
        <w:t>microglial</w:t>
      </w:r>
      <w:proofErr w:type="spellEnd"/>
      <w:r w:rsidRPr="003136F9">
        <w:rPr>
          <w:rFonts w:ascii="Arial" w:hAnsi="Arial" w:cs="Arial"/>
          <w:color w:val="000000" w:themeColor="text1"/>
          <w:sz w:val="24"/>
          <w:szCs w:val="24"/>
        </w:rPr>
        <w:t>. Em linha com isso, elucidar o sistema de comunicação neuronal-</w:t>
      </w:r>
      <w:proofErr w:type="spellStart"/>
      <w:r w:rsidRPr="003136F9">
        <w:rPr>
          <w:rFonts w:ascii="Arial" w:hAnsi="Arial" w:cs="Arial"/>
          <w:color w:val="000000" w:themeColor="text1"/>
          <w:sz w:val="24"/>
          <w:szCs w:val="24"/>
        </w:rPr>
        <w:t>microglial</w:t>
      </w:r>
      <w:proofErr w:type="spellEnd"/>
      <w:r w:rsidRPr="003136F9">
        <w:rPr>
          <w:rFonts w:ascii="Arial" w:hAnsi="Arial" w:cs="Arial"/>
          <w:color w:val="000000" w:themeColor="text1"/>
          <w:sz w:val="24"/>
          <w:szCs w:val="24"/>
        </w:rPr>
        <w:t xml:space="preserve"> NAGly-GPR18 tem o potencial de levar a novas farmacoterapias focadas no aumento (ligantes GPR18 otimizados) ou supressão (antagonistas GPR18 otimizados) da ativação </w:t>
      </w:r>
      <w:proofErr w:type="spellStart"/>
      <w:r w:rsidRPr="003136F9">
        <w:rPr>
          <w:rFonts w:ascii="Arial" w:hAnsi="Arial" w:cs="Arial"/>
          <w:color w:val="000000" w:themeColor="text1"/>
          <w:sz w:val="24"/>
          <w:szCs w:val="24"/>
        </w:rPr>
        <w:t>microglial</w:t>
      </w:r>
      <w:proofErr w:type="spellEnd"/>
      <w:r w:rsidRPr="003136F9">
        <w:rPr>
          <w:rFonts w:ascii="Arial" w:hAnsi="Arial" w:cs="Arial"/>
          <w:color w:val="000000" w:themeColor="text1"/>
          <w:sz w:val="24"/>
          <w:szCs w:val="24"/>
        </w:rPr>
        <w:t xml:space="preserve"> no Sistema Nervoso Central.</w:t>
      </w:r>
    </w:p>
    <w:p w14:paraId="6A486EAE"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A molécula do THCV foi selecionada para </w:t>
      </w:r>
      <w:proofErr w:type="spellStart"/>
      <w:r w:rsidRPr="003136F9">
        <w:rPr>
          <w:rFonts w:ascii="Arial" w:hAnsi="Arial" w:cs="Arial"/>
          <w:color w:val="000000" w:themeColor="text1"/>
          <w:sz w:val="24"/>
          <w:szCs w:val="24"/>
        </w:rPr>
        <w:t>docking</w:t>
      </w:r>
      <w:proofErr w:type="spellEnd"/>
      <w:r w:rsidRPr="003136F9">
        <w:rPr>
          <w:rFonts w:ascii="Arial" w:hAnsi="Arial" w:cs="Arial"/>
          <w:color w:val="000000" w:themeColor="text1"/>
          <w:sz w:val="24"/>
          <w:szCs w:val="24"/>
        </w:rPr>
        <w:t xml:space="preserve"> molecular por apresentar maior predição de interação com o receptor N-</w:t>
      </w:r>
      <w:proofErr w:type="spellStart"/>
      <w:r w:rsidRPr="003136F9">
        <w:rPr>
          <w:rFonts w:ascii="Arial" w:hAnsi="Arial" w:cs="Arial"/>
          <w:color w:val="000000" w:themeColor="text1"/>
          <w:sz w:val="24"/>
          <w:szCs w:val="24"/>
        </w:rPr>
        <w:t>araquidonilglicina</w:t>
      </w:r>
      <w:proofErr w:type="spellEnd"/>
      <w:r w:rsidRPr="003136F9">
        <w:rPr>
          <w:rFonts w:ascii="Arial" w:hAnsi="Arial" w:cs="Arial"/>
          <w:color w:val="000000" w:themeColor="text1"/>
          <w:sz w:val="24"/>
          <w:szCs w:val="24"/>
        </w:rPr>
        <w:t xml:space="preserve"> ancorando-se no sítio ativo desse receptor e foi considerada, pelas análises farmacológicas computacionais descritas neste artigo, como um antagonista e, portanto, uma possível alteração da atividade </w:t>
      </w:r>
      <w:proofErr w:type="spellStart"/>
      <w:r w:rsidRPr="003136F9">
        <w:rPr>
          <w:rFonts w:ascii="Arial" w:hAnsi="Arial" w:cs="Arial"/>
          <w:color w:val="000000" w:themeColor="text1"/>
          <w:sz w:val="24"/>
          <w:szCs w:val="24"/>
        </w:rPr>
        <w:t>microglial</w:t>
      </w:r>
      <w:proofErr w:type="spellEnd"/>
      <w:r w:rsidRPr="003136F9">
        <w:rPr>
          <w:rFonts w:ascii="Arial" w:hAnsi="Arial" w:cs="Arial"/>
          <w:color w:val="000000" w:themeColor="text1"/>
          <w:sz w:val="24"/>
          <w:szCs w:val="24"/>
        </w:rPr>
        <w:t xml:space="preserve"> no SNC, um achado que merece uma investigação mais aprofundada.</w:t>
      </w:r>
    </w:p>
    <w:p w14:paraId="77CAE824" w14:textId="77777777"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A ativação </w:t>
      </w:r>
      <w:proofErr w:type="spellStart"/>
      <w:r w:rsidRPr="003136F9">
        <w:rPr>
          <w:rFonts w:ascii="Arial" w:hAnsi="Arial" w:cs="Arial"/>
          <w:color w:val="000000" w:themeColor="text1"/>
          <w:sz w:val="24"/>
          <w:szCs w:val="24"/>
        </w:rPr>
        <w:t>microglial</w:t>
      </w:r>
      <w:proofErr w:type="spellEnd"/>
      <w:r w:rsidRPr="003136F9">
        <w:rPr>
          <w:rFonts w:ascii="Arial" w:hAnsi="Arial" w:cs="Arial"/>
          <w:color w:val="000000" w:themeColor="text1"/>
          <w:sz w:val="24"/>
          <w:szCs w:val="24"/>
        </w:rPr>
        <w:t xml:space="preserve"> e a presença de fatores </w:t>
      </w:r>
      <w:proofErr w:type="spellStart"/>
      <w:r w:rsidRPr="003136F9">
        <w:rPr>
          <w:rFonts w:ascii="Arial" w:hAnsi="Arial" w:cs="Arial"/>
          <w:color w:val="000000" w:themeColor="text1"/>
          <w:sz w:val="24"/>
          <w:szCs w:val="24"/>
        </w:rPr>
        <w:t>neuroinflamatórios</w:t>
      </w:r>
      <w:proofErr w:type="spellEnd"/>
      <w:r w:rsidRPr="003136F9">
        <w:rPr>
          <w:rFonts w:ascii="Arial" w:hAnsi="Arial" w:cs="Arial"/>
          <w:color w:val="000000" w:themeColor="text1"/>
          <w:sz w:val="24"/>
          <w:szCs w:val="24"/>
        </w:rPr>
        <w:t xml:space="preserve"> são características bem conhecidas da doença de Parkinson e bem documentadas entre os pacientes68. Além disso, estudos têm demonstrado que a </w:t>
      </w:r>
      <w:proofErr w:type="spellStart"/>
      <w:r w:rsidRPr="003136F9">
        <w:rPr>
          <w:rFonts w:ascii="Arial" w:hAnsi="Arial" w:cs="Arial"/>
          <w:color w:val="000000" w:themeColor="text1"/>
          <w:sz w:val="24"/>
          <w:szCs w:val="24"/>
        </w:rPr>
        <w:t>superativação</w:t>
      </w:r>
      <w:proofErr w:type="spellEnd"/>
      <w:r w:rsidRPr="003136F9">
        <w:rPr>
          <w:rFonts w:ascii="Arial" w:hAnsi="Arial" w:cs="Arial"/>
          <w:color w:val="000000" w:themeColor="text1"/>
          <w:sz w:val="24"/>
          <w:szCs w:val="24"/>
        </w:rPr>
        <w:t xml:space="preserve"> da </w:t>
      </w:r>
      <w:proofErr w:type="spellStart"/>
      <w:r w:rsidRPr="003136F9">
        <w:rPr>
          <w:rFonts w:ascii="Arial" w:hAnsi="Arial" w:cs="Arial"/>
          <w:color w:val="000000" w:themeColor="text1"/>
          <w:sz w:val="24"/>
          <w:szCs w:val="24"/>
        </w:rPr>
        <w:t>microglia</w:t>
      </w:r>
      <w:proofErr w:type="spellEnd"/>
      <w:r w:rsidRPr="003136F9">
        <w:rPr>
          <w:rFonts w:ascii="Arial" w:hAnsi="Arial" w:cs="Arial"/>
          <w:color w:val="000000" w:themeColor="text1"/>
          <w:sz w:val="24"/>
          <w:szCs w:val="24"/>
        </w:rPr>
        <w:t xml:space="preserve"> leva a efeitos deletérios e exacerbação da resposta imune, especialmente a liberação de mediadores pró-inflamatórios. Conforme observado com o derivado CBG VC -003.2, a ativação </w:t>
      </w:r>
      <w:proofErr w:type="spellStart"/>
      <w:r w:rsidRPr="003136F9">
        <w:rPr>
          <w:rFonts w:ascii="Arial" w:hAnsi="Arial" w:cs="Arial"/>
          <w:color w:val="000000" w:themeColor="text1"/>
          <w:sz w:val="24"/>
          <w:szCs w:val="24"/>
        </w:rPr>
        <w:t>microglial</w:t>
      </w:r>
      <w:proofErr w:type="spellEnd"/>
      <w:r w:rsidRPr="003136F9">
        <w:rPr>
          <w:rFonts w:ascii="Arial" w:hAnsi="Arial" w:cs="Arial"/>
          <w:color w:val="000000" w:themeColor="text1"/>
          <w:sz w:val="24"/>
          <w:szCs w:val="24"/>
        </w:rPr>
        <w:t xml:space="preserve"> foi diminuída em ∆9-THCV, induzindo um efeito protetor ao amortecer a resposta imune (52)</w:t>
      </w:r>
    </w:p>
    <w:p w14:paraId="60F5D6DA" w14:textId="458BCAEC" w:rsidR="001014A3" w:rsidRPr="003136F9" w:rsidRDefault="001014A3" w:rsidP="001014A3">
      <w:pPr>
        <w:spacing w:after="0" w:line="360" w:lineRule="auto"/>
        <w:ind w:firstLine="708"/>
        <w:jc w:val="both"/>
        <w:rPr>
          <w:rFonts w:ascii="Arial" w:hAnsi="Arial" w:cs="Arial"/>
          <w:color w:val="000000" w:themeColor="text1"/>
          <w:sz w:val="24"/>
          <w:szCs w:val="24"/>
        </w:rPr>
      </w:pPr>
      <w:r w:rsidRPr="003136F9">
        <w:rPr>
          <w:rFonts w:ascii="Arial" w:hAnsi="Arial" w:cs="Arial"/>
          <w:color w:val="000000" w:themeColor="text1"/>
          <w:sz w:val="24"/>
          <w:szCs w:val="24"/>
        </w:rPr>
        <w:t xml:space="preserve"> Assim, este artigo, utilizando técnicas in </w:t>
      </w:r>
      <w:proofErr w:type="spellStart"/>
      <w:r w:rsidRPr="003136F9">
        <w:rPr>
          <w:rFonts w:ascii="Arial" w:hAnsi="Arial" w:cs="Arial"/>
          <w:color w:val="000000" w:themeColor="text1"/>
          <w:sz w:val="24"/>
          <w:szCs w:val="24"/>
        </w:rPr>
        <w:t>silico</w:t>
      </w:r>
      <w:proofErr w:type="spellEnd"/>
      <w:r w:rsidRPr="003136F9">
        <w:rPr>
          <w:rFonts w:ascii="Arial" w:hAnsi="Arial" w:cs="Arial"/>
          <w:color w:val="000000" w:themeColor="text1"/>
          <w:sz w:val="24"/>
          <w:szCs w:val="24"/>
        </w:rPr>
        <w:t xml:space="preserve"> com </w:t>
      </w:r>
      <w:r w:rsidRPr="003136F9">
        <w:rPr>
          <w:rFonts w:ascii="Arial" w:hAnsi="Arial" w:cs="Arial"/>
          <w:i/>
          <w:iCs/>
          <w:color w:val="000000" w:themeColor="text1"/>
          <w:sz w:val="24"/>
          <w:szCs w:val="24"/>
        </w:rPr>
        <w:t>Cannabis sativa</w:t>
      </w:r>
      <w:r w:rsidRPr="003136F9">
        <w:rPr>
          <w:rFonts w:ascii="Arial" w:hAnsi="Arial" w:cs="Arial"/>
          <w:color w:val="000000" w:themeColor="text1"/>
          <w:sz w:val="24"/>
          <w:szCs w:val="24"/>
        </w:rPr>
        <w:t xml:space="preserve">, levantou dados importantes para o planejamento futuro de um medicamento que tenha como base essa espécie vegetal. Portanto, é imprescindível a continuação dos trabalhos desenvolvidos in vitro e in vivo para aprofundar o estudo do THCV da </w:t>
      </w:r>
      <w:r w:rsidRPr="003136F9">
        <w:rPr>
          <w:rFonts w:ascii="Arial" w:hAnsi="Arial" w:cs="Arial"/>
          <w:i/>
          <w:iCs/>
          <w:color w:val="000000" w:themeColor="text1"/>
          <w:sz w:val="24"/>
          <w:szCs w:val="24"/>
        </w:rPr>
        <w:t>Cannabis sativa</w:t>
      </w:r>
      <w:r w:rsidRPr="003136F9">
        <w:rPr>
          <w:rFonts w:ascii="Arial" w:hAnsi="Arial" w:cs="Arial"/>
          <w:color w:val="000000" w:themeColor="text1"/>
          <w:sz w:val="24"/>
          <w:szCs w:val="24"/>
        </w:rPr>
        <w:t xml:space="preserve"> como possível </w:t>
      </w:r>
      <w:r w:rsidR="001B6591" w:rsidRPr="003136F9">
        <w:rPr>
          <w:rFonts w:ascii="Arial" w:hAnsi="Arial" w:cs="Arial"/>
          <w:color w:val="000000" w:themeColor="text1"/>
          <w:sz w:val="24"/>
          <w:szCs w:val="24"/>
        </w:rPr>
        <w:t>fármaco</w:t>
      </w:r>
      <w:r w:rsidRPr="003136F9">
        <w:rPr>
          <w:rFonts w:ascii="Arial" w:hAnsi="Arial" w:cs="Arial"/>
          <w:color w:val="000000" w:themeColor="text1"/>
          <w:sz w:val="24"/>
          <w:szCs w:val="24"/>
        </w:rPr>
        <w:t xml:space="preserve"> </w:t>
      </w:r>
      <w:proofErr w:type="spellStart"/>
      <w:r w:rsidRPr="003136F9">
        <w:rPr>
          <w:rFonts w:ascii="Arial" w:hAnsi="Arial" w:cs="Arial"/>
          <w:color w:val="000000" w:themeColor="text1"/>
          <w:sz w:val="24"/>
          <w:szCs w:val="24"/>
        </w:rPr>
        <w:t>neuroprotetor</w:t>
      </w:r>
      <w:proofErr w:type="spellEnd"/>
      <w:r w:rsidRPr="003136F9">
        <w:rPr>
          <w:rFonts w:ascii="Arial" w:hAnsi="Arial" w:cs="Arial"/>
          <w:color w:val="000000" w:themeColor="text1"/>
          <w:sz w:val="24"/>
          <w:szCs w:val="24"/>
        </w:rPr>
        <w:t>.</w:t>
      </w:r>
    </w:p>
    <w:p w14:paraId="73E34DE0" w14:textId="20288BCC" w:rsidR="00020F28" w:rsidRPr="003136F9" w:rsidRDefault="00020F28" w:rsidP="78BB7069">
      <w:pPr>
        <w:spacing w:after="0" w:line="360" w:lineRule="auto"/>
        <w:ind w:firstLine="708"/>
        <w:jc w:val="both"/>
        <w:rPr>
          <w:rFonts w:ascii="Arial" w:eastAsia="Times New Roman" w:hAnsi="Arial" w:cs="Arial"/>
          <w:color w:val="000000" w:themeColor="text1"/>
          <w:sz w:val="24"/>
          <w:szCs w:val="24"/>
          <w:lang w:eastAsia="pt-BR"/>
        </w:rPr>
      </w:pPr>
    </w:p>
    <w:p w14:paraId="6A85F8DD" w14:textId="0CB46E15" w:rsidR="00020F28" w:rsidRPr="003136F9" w:rsidRDefault="78BB7069" w:rsidP="0091248D">
      <w:pPr>
        <w:shd w:val="clear" w:color="auto" w:fill="FFFFFF" w:themeFill="background1"/>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b/>
          <w:bCs/>
          <w:color w:val="000000" w:themeColor="text1"/>
          <w:sz w:val="24"/>
          <w:szCs w:val="24"/>
          <w:lang w:eastAsia="pt-BR"/>
        </w:rPr>
        <w:t>Conclus</w:t>
      </w:r>
      <w:r w:rsidR="001014A3" w:rsidRPr="003136F9">
        <w:rPr>
          <w:rFonts w:ascii="Arial" w:eastAsia="Times New Roman" w:hAnsi="Arial" w:cs="Arial"/>
          <w:b/>
          <w:bCs/>
          <w:color w:val="000000" w:themeColor="text1"/>
          <w:sz w:val="24"/>
          <w:szCs w:val="24"/>
          <w:lang w:eastAsia="pt-BR"/>
        </w:rPr>
        <w:t>ão</w:t>
      </w:r>
    </w:p>
    <w:p w14:paraId="47B2A239" w14:textId="1BA6CC54" w:rsidR="00020F28" w:rsidRPr="003136F9" w:rsidRDefault="78BB7069" w:rsidP="78BB7069">
      <w:pPr>
        <w:spacing w:after="0" w:line="360" w:lineRule="auto"/>
        <w:ind w:firstLine="708"/>
        <w:jc w:val="both"/>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 </w:t>
      </w:r>
    </w:p>
    <w:p w14:paraId="5FA3C04A" w14:textId="77777777" w:rsidR="00441CEA" w:rsidRPr="003136F9" w:rsidRDefault="00441CEA" w:rsidP="001014A3">
      <w:pPr>
        <w:spacing w:after="0" w:line="360" w:lineRule="auto"/>
        <w:ind w:firstLine="708"/>
        <w:jc w:val="both"/>
        <w:rPr>
          <w:rFonts w:ascii="Arial" w:eastAsia="Times New Roman" w:hAnsi="Arial" w:cs="Arial"/>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Há evidências crescentes de que as disfunções </w:t>
      </w:r>
      <w:proofErr w:type="spellStart"/>
      <w:r w:rsidRPr="003136F9">
        <w:rPr>
          <w:rFonts w:ascii="Arial" w:eastAsia="Times New Roman" w:hAnsi="Arial" w:cs="Arial"/>
          <w:color w:val="000000" w:themeColor="text1"/>
          <w:sz w:val="24"/>
          <w:szCs w:val="24"/>
          <w:lang w:eastAsia="pt-BR"/>
        </w:rPr>
        <w:t>astrocíticas</w:t>
      </w:r>
      <w:proofErr w:type="spellEnd"/>
      <w:r w:rsidRPr="003136F9">
        <w:rPr>
          <w:rFonts w:ascii="Arial" w:eastAsia="Times New Roman" w:hAnsi="Arial" w:cs="Arial"/>
          <w:color w:val="000000" w:themeColor="text1"/>
          <w:sz w:val="24"/>
          <w:szCs w:val="24"/>
          <w:lang w:eastAsia="pt-BR"/>
        </w:rPr>
        <w:t xml:space="preserve"> podem ser as principais causas da patogênese de várias doenças neurodegenerativas, como doença de Parkinson (DP), doença de Alzheimer (DA), tumor, acidente vascular cerebral, neurotoxicidade associada ao HIV e esclerose lateral amiotrófica (ELA). A geração de abordagens de terapia celular para a substituição de células gliais (e não neuronais) em tecidos lesados, bem como o desenvolvimento de drogas direcionadas às células gliais, podem abrir novas perspectivas para a restauração do cérebro humano.</w:t>
      </w:r>
    </w:p>
    <w:p w14:paraId="0461DE30" w14:textId="00EFC18C" w:rsidR="00E602A1" w:rsidRPr="003136F9" w:rsidRDefault="00441CEA" w:rsidP="00441CEA">
      <w:pPr>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color w:val="000000" w:themeColor="text1"/>
          <w:sz w:val="24"/>
          <w:szCs w:val="24"/>
          <w:lang w:eastAsia="pt-BR"/>
        </w:rPr>
        <w:t xml:space="preserve"> </w:t>
      </w:r>
      <w:r w:rsidRPr="003136F9">
        <w:rPr>
          <w:rFonts w:ascii="Arial" w:eastAsia="Times New Roman" w:hAnsi="Arial" w:cs="Arial"/>
          <w:color w:val="000000" w:themeColor="text1"/>
          <w:sz w:val="24"/>
          <w:szCs w:val="24"/>
          <w:lang w:eastAsia="pt-BR"/>
        </w:rPr>
        <w:tab/>
        <w:t xml:space="preserve">Nesse contexto, o estudo </w:t>
      </w:r>
      <w:r w:rsidRPr="003136F9">
        <w:rPr>
          <w:rFonts w:ascii="Arial" w:eastAsia="Times New Roman" w:hAnsi="Arial" w:cs="Arial"/>
          <w:i/>
          <w:iCs/>
          <w:color w:val="000000" w:themeColor="text1"/>
          <w:sz w:val="24"/>
          <w:szCs w:val="24"/>
          <w:lang w:eastAsia="pt-BR"/>
        </w:rPr>
        <w:t xml:space="preserve">in </w:t>
      </w:r>
      <w:proofErr w:type="spellStart"/>
      <w:r w:rsidRPr="003136F9">
        <w:rPr>
          <w:rFonts w:ascii="Arial" w:eastAsia="Times New Roman" w:hAnsi="Arial" w:cs="Arial"/>
          <w:i/>
          <w:iCs/>
          <w:color w:val="000000" w:themeColor="text1"/>
          <w:sz w:val="24"/>
          <w:szCs w:val="24"/>
          <w:lang w:eastAsia="pt-BR"/>
        </w:rPr>
        <w:t>silico</w:t>
      </w:r>
      <w:proofErr w:type="spellEnd"/>
      <w:r w:rsidRPr="003136F9">
        <w:rPr>
          <w:rFonts w:ascii="Arial" w:eastAsia="Times New Roman" w:hAnsi="Arial" w:cs="Arial"/>
          <w:color w:val="000000" w:themeColor="text1"/>
          <w:sz w:val="24"/>
          <w:szCs w:val="24"/>
          <w:lang w:eastAsia="pt-BR"/>
        </w:rPr>
        <w:t xml:space="preserve"> da </w:t>
      </w:r>
      <w:r w:rsidRPr="003136F9">
        <w:rPr>
          <w:rFonts w:ascii="Arial" w:eastAsia="Times New Roman" w:hAnsi="Arial" w:cs="Arial"/>
          <w:i/>
          <w:iCs/>
          <w:color w:val="000000" w:themeColor="text1"/>
          <w:sz w:val="24"/>
          <w:szCs w:val="24"/>
          <w:lang w:eastAsia="pt-BR"/>
        </w:rPr>
        <w:t>Cannabis sativa</w:t>
      </w:r>
      <w:r w:rsidRPr="003136F9">
        <w:rPr>
          <w:rFonts w:ascii="Arial" w:eastAsia="Times New Roman" w:hAnsi="Arial" w:cs="Arial"/>
          <w:color w:val="000000" w:themeColor="text1"/>
          <w:sz w:val="24"/>
          <w:szCs w:val="24"/>
          <w:lang w:eastAsia="pt-BR"/>
        </w:rPr>
        <w:t xml:space="preserve">, abordado neste trabalho, elegeu o THCV como um metabólito ativo com atividade </w:t>
      </w:r>
      <w:proofErr w:type="spellStart"/>
      <w:r w:rsidRPr="003136F9">
        <w:rPr>
          <w:rFonts w:ascii="Arial" w:eastAsia="Times New Roman" w:hAnsi="Arial" w:cs="Arial"/>
          <w:color w:val="000000" w:themeColor="text1"/>
          <w:sz w:val="24"/>
          <w:szCs w:val="24"/>
          <w:lang w:eastAsia="pt-BR"/>
        </w:rPr>
        <w:t>neuromoduladora</w:t>
      </w:r>
      <w:proofErr w:type="spellEnd"/>
      <w:r w:rsidRPr="003136F9">
        <w:rPr>
          <w:rFonts w:ascii="Arial" w:eastAsia="Times New Roman" w:hAnsi="Arial" w:cs="Arial"/>
          <w:color w:val="000000" w:themeColor="text1"/>
          <w:sz w:val="24"/>
          <w:szCs w:val="24"/>
          <w:lang w:eastAsia="pt-BR"/>
        </w:rPr>
        <w:t xml:space="preserve"> por meio de uma possível alteração da atividade </w:t>
      </w:r>
      <w:proofErr w:type="spellStart"/>
      <w:r w:rsidRPr="003136F9">
        <w:rPr>
          <w:rFonts w:ascii="Arial" w:eastAsia="Times New Roman" w:hAnsi="Arial" w:cs="Arial"/>
          <w:color w:val="000000" w:themeColor="text1"/>
          <w:sz w:val="24"/>
          <w:szCs w:val="24"/>
          <w:lang w:eastAsia="pt-BR"/>
        </w:rPr>
        <w:t>microglial</w:t>
      </w:r>
      <w:proofErr w:type="spellEnd"/>
      <w:r w:rsidRPr="003136F9">
        <w:rPr>
          <w:rFonts w:ascii="Arial" w:eastAsia="Times New Roman" w:hAnsi="Arial" w:cs="Arial"/>
          <w:color w:val="000000" w:themeColor="text1"/>
          <w:sz w:val="24"/>
          <w:szCs w:val="24"/>
          <w:lang w:eastAsia="pt-BR"/>
        </w:rPr>
        <w:t xml:space="preserve"> no SNC. O </w:t>
      </w:r>
      <w:proofErr w:type="spellStart"/>
      <w:r w:rsidRPr="003136F9">
        <w:rPr>
          <w:rFonts w:ascii="Arial" w:eastAsia="Times New Roman" w:hAnsi="Arial" w:cs="Arial"/>
          <w:color w:val="000000" w:themeColor="text1"/>
          <w:sz w:val="24"/>
          <w:szCs w:val="24"/>
          <w:lang w:eastAsia="pt-BR"/>
        </w:rPr>
        <w:t>docking</w:t>
      </w:r>
      <w:proofErr w:type="spellEnd"/>
      <w:r w:rsidRPr="003136F9">
        <w:rPr>
          <w:rFonts w:ascii="Arial" w:eastAsia="Times New Roman" w:hAnsi="Arial" w:cs="Arial"/>
          <w:color w:val="000000" w:themeColor="text1"/>
          <w:sz w:val="24"/>
          <w:szCs w:val="24"/>
          <w:lang w:eastAsia="pt-BR"/>
        </w:rPr>
        <w:t xml:space="preserve"> do TCHV mostrou ancoragem dessa molécula no sítio ativo do receptor N-</w:t>
      </w:r>
      <w:proofErr w:type="spellStart"/>
      <w:r w:rsidRPr="003136F9">
        <w:rPr>
          <w:rFonts w:ascii="Arial" w:eastAsia="Times New Roman" w:hAnsi="Arial" w:cs="Arial"/>
          <w:color w:val="000000" w:themeColor="text1"/>
          <w:sz w:val="24"/>
          <w:szCs w:val="24"/>
          <w:lang w:eastAsia="pt-BR"/>
        </w:rPr>
        <w:t>araquidonilglicina</w:t>
      </w:r>
      <w:proofErr w:type="spellEnd"/>
      <w:r w:rsidRPr="003136F9">
        <w:rPr>
          <w:rFonts w:ascii="Arial" w:eastAsia="Times New Roman" w:hAnsi="Arial" w:cs="Arial"/>
          <w:color w:val="000000" w:themeColor="text1"/>
          <w:sz w:val="24"/>
          <w:szCs w:val="24"/>
          <w:lang w:eastAsia="pt-BR"/>
        </w:rPr>
        <w:t xml:space="preserve"> devido às atividades dessa espécie, portanto, esse marcador poderia atuar como um antagonista desse receptor, atuando como agente terapêutico nessas patologias neurodegenerativas</w:t>
      </w:r>
      <w:r w:rsidRPr="003136F9">
        <w:rPr>
          <w:rFonts w:ascii="Arial" w:eastAsia="Times New Roman" w:hAnsi="Arial" w:cs="Arial"/>
          <w:b/>
          <w:bCs/>
          <w:color w:val="000000" w:themeColor="text1"/>
          <w:sz w:val="24"/>
          <w:szCs w:val="24"/>
          <w:lang w:eastAsia="pt-BR"/>
        </w:rPr>
        <w:t>.</w:t>
      </w:r>
    </w:p>
    <w:p w14:paraId="08E0C7E4" w14:textId="77777777" w:rsidR="001014A3" w:rsidRPr="003136F9" w:rsidRDefault="001014A3" w:rsidP="00441CEA">
      <w:pPr>
        <w:spacing w:after="0" w:line="360" w:lineRule="auto"/>
        <w:jc w:val="both"/>
        <w:rPr>
          <w:rFonts w:ascii="Arial" w:eastAsia="Times New Roman" w:hAnsi="Arial" w:cs="Arial"/>
          <w:b/>
          <w:bCs/>
          <w:color w:val="000000" w:themeColor="text1"/>
          <w:sz w:val="24"/>
          <w:szCs w:val="24"/>
          <w:lang w:eastAsia="pt-BR"/>
        </w:rPr>
      </w:pPr>
    </w:p>
    <w:p w14:paraId="7716898C" w14:textId="32E3025B" w:rsidR="00240E0E" w:rsidRPr="003136F9" w:rsidRDefault="00240E0E" w:rsidP="00A70AAD">
      <w:pPr>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b/>
          <w:bCs/>
          <w:color w:val="000000" w:themeColor="text1"/>
          <w:sz w:val="24"/>
          <w:szCs w:val="24"/>
          <w:lang w:eastAsia="pt-BR"/>
        </w:rPr>
        <w:t xml:space="preserve">Referências: </w:t>
      </w:r>
    </w:p>
    <w:p w14:paraId="6CDA0ED7" w14:textId="7D2F0A04" w:rsidR="0091248D" w:rsidRPr="003136F9" w:rsidRDefault="00240E0E"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eastAsia="Times New Roman" w:hAnsi="Arial" w:cs="Arial"/>
          <w:b/>
          <w:bCs/>
          <w:color w:val="000000" w:themeColor="text1"/>
          <w:sz w:val="24"/>
          <w:szCs w:val="24"/>
          <w:lang w:eastAsia="pt-BR"/>
        </w:rPr>
        <w:fldChar w:fldCharType="begin" w:fldLock="1"/>
      </w:r>
      <w:r w:rsidRPr="003136F9">
        <w:rPr>
          <w:rFonts w:ascii="Arial" w:eastAsia="Times New Roman" w:hAnsi="Arial" w:cs="Arial"/>
          <w:b/>
          <w:bCs/>
          <w:color w:val="000000" w:themeColor="text1"/>
          <w:sz w:val="24"/>
          <w:szCs w:val="24"/>
          <w:lang w:eastAsia="pt-BR"/>
        </w:rPr>
        <w:instrText xml:space="preserve">ADDIN Mendeley Bibliography CSL_BIBLIOGRAPHY </w:instrText>
      </w:r>
      <w:r w:rsidRPr="003136F9">
        <w:rPr>
          <w:rFonts w:ascii="Arial" w:eastAsia="Times New Roman" w:hAnsi="Arial" w:cs="Arial"/>
          <w:b/>
          <w:bCs/>
          <w:color w:val="000000" w:themeColor="text1"/>
          <w:sz w:val="24"/>
          <w:szCs w:val="24"/>
          <w:lang w:eastAsia="pt-BR"/>
        </w:rPr>
        <w:fldChar w:fldCharType="separate"/>
      </w:r>
      <w:r w:rsidR="0091248D" w:rsidRPr="003136F9">
        <w:rPr>
          <w:rFonts w:ascii="Arial" w:hAnsi="Arial" w:cs="Arial"/>
          <w:noProof/>
          <w:sz w:val="24"/>
          <w:szCs w:val="24"/>
        </w:rPr>
        <w:t xml:space="preserve">1. </w:t>
      </w:r>
      <w:r w:rsidR="0091248D" w:rsidRPr="003136F9">
        <w:rPr>
          <w:rFonts w:ascii="Arial" w:hAnsi="Arial" w:cs="Arial"/>
          <w:noProof/>
          <w:sz w:val="24"/>
          <w:szCs w:val="24"/>
        </w:rPr>
        <w:tab/>
        <w:t xml:space="preserve">Hillig KW. Genetic evidence for speciation in Cannabis (Cannabaceae). Genet Resour Crop Evol. 2005;52(2):161–80. </w:t>
      </w:r>
    </w:p>
    <w:p w14:paraId="04783D7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 </w:t>
      </w:r>
      <w:r w:rsidRPr="003136F9">
        <w:rPr>
          <w:rFonts w:ascii="Arial" w:hAnsi="Arial" w:cs="Arial"/>
          <w:noProof/>
          <w:sz w:val="24"/>
          <w:szCs w:val="24"/>
        </w:rPr>
        <w:tab/>
        <w:t xml:space="preserve">Iuvone T, Esposito G, Esposito R, Santamaria R, Di Rosa M, Izzo AA. Neuroprotective effect of cannabidiol, a non-psychoactive component from Cannabis sativa, on β-amyloid-induced toxicity in PC12 cells. J Neurochem. 2004;89(1):134–41. </w:t>
      </w:r>
    </w:p>
    <w:p w14:paraId="13DA3B9F"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 </w:t>
      </w:r>
      <w:r w:rsidRPr="003136F9">
        <w:rPr>
          <w:rFonts w:ascii="Arial" w:hAnsi="Arial" w:cs="Arial"/>
          <w:noProof/>
          <w:sz w:val="24"/>
          <w:szCs w:val="24"/>
        </w:rPr>
        <w:tab/>
        <w:t xml:space="preserve">Brucki SMD, Frota NA, Schestatsky P, Souza AH, Carvalho VN, Manreza MLG, et al. Cannabinoids in neurology - Brazilian academy of neurology. Arq Neuropsiquiatr. 2015;73(4):371–4. </w:t>
      </w:r>
    </w:p>
    <w:p w14:paraId="362E0A3F"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 </w:t>
      </w:r>
      <w:r w:rsidRPr="003136F9">
        <w:rPr>
          <w:rFonts w:ascii="Arial" w:hAnsi="Arial" w:cs="Arial"/>
          <w:noProof/>
          <w:sz w:val="24"/>
          <w:szCs w:val="24"/>
        </w:rPr>
        <w:tab/>
        <w:t xml:space="preserve">Blake DR, Robson P, Ho M, Jubb RW, McCabe CS. Preliminary assessment of the efficacy, tolerability and safety of a cannabis-based medicine (Sativex) in the treatment of pain caused by rheumatoid arthritis. Rheumatology. 2006;45(1):50–2. </w:t>
      </w:r>
    </w:p>
    <w:p w14:paraId="1F4BD14E"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 </w:t>
      </w:r>
      <w:r w:rsidRPr="003136F9">
        <w:rPr>
          <w:rFonts w:ascii="Arial" w:hAnsi="Arial" w:cs="Arial"/>
          <w:noProof/>
          <w:sz w:val="24"/>
          <w:szCs w:val="24"/>
        </w:rPr>
        <w:tab/>
        <w:t xml:space="preserve">Zuardi AW, Crippa JAS, Hallak JEC, Moreira FA, Guimarães FS. </w:t>
      </w:r>
      <w:r w:rsidRPr="003136F9">
        <w:rPr>
          <w:rFonts w:ascii="Arial" w:hAnsi="Arial" w:cs="Arial"/>
          <w:noProof/>
          <w:sz w:val="24"/>
          <w:szCs w:val="24"/>
        </w:rPr>
        <w:lastRenderedPageBreak/>
        <w:t xml:space="preserve">Cannabidiol, a Cannabis sativa constituent, as an antipsychotic drug. Brazilian J Med Biol Res. 2006;39(4):421–9. </w:t>
      </w:r>
    </w:p>
    <w:p w14:paraId="3AA95C93"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6. </w:t>
      </w:r>
      <w:r w:rsidRPr="003136F9">
        <w:rPr>
          <w:rFonts w:ascii="Arial" w:hAnsi="Arial" w:cs="Arial"/>
          <w:noProof/>
          <w:sz w:val="24"/>
          <w:szCs w:val="24"/>
        </w:rPr>
        <w:tab/>
        <w:t xml:space="preserve">Zuardi AW, Crippa JAS, Hallak JEC, Pinto JP, Chagas MHN, Rodrigues GGR, et al. Cannabidiol for the treatment of psychosis in Parkinsons disease. J Psychopharmacol. 2009;23(8):979–83. </w:t>
      </w:r>
    </w:p>
    <w:p w14:paraId="0E5158EF"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7. </w:t>
      </w:r>
      <w:r w:rsidRPr="003136F9">
        <w:rPr>
          <w:rFonts w:ascii="Arial" w:hAnsi="Arial" w:cs="Arial"/>
          <w:noProof/>
          <w:sz w:val="24"/>
          <w:szCs w:val="24"/>
        </w:rPr>
        <w:tab/>
        <w:t>Hussain SA, Zhou R, Jacobson C, Weng J, Cheng E, Lay J, et al. Perceived efficacy of cannabidiol-enriched cannabis extracts for treatment of pediatric epilepsy: A potential role for infantile spasms and Lennox-Gastaut syndrome. Epilepsy Behav [Internet]. 2015;47:138–41. Available from: http://dx.doi.org/10.1016/j.yebeh.2015.04.009</w:t>
      </w:r>
    </w:p>
    <w:p w14:paraId="61CD8105"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8. </w:t>
      </w:r>
      <w:r w:rsidRPr="003136F9">
        <w:rPr>
          <w:rFonts w:ascii="Arial" w:hAnsi="Arial" w:cs="Arial"/>
          <w:noProof/>
          <w:sz w:val="24"/>
          <w:szCs w:val="24"/>
        </w:rPr>
        <w:tab/>
        <w:t xml:space="preserve">Huchelmann A, Boutry M, Hachez C. Plant Glandular Trichomes : Natural Cell Factories of High Biotechnological Interest 1 [ OPEN ]. 2017;175(September):6–22. </w:t>
      </w:r>
    </w:p>
    <w:p w14:paraId="23DB7F80"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9. </w:t>
      </w:r>
      <w:r w:rsidRPr="003136F9">
        <w:rPr>
          <w:rFonts w:ascii="Arial" w:hAnsi="Arial" w:cs="Arial"/>
          <w:noProof/>
          <w:sz w:val="24"/>
          <w:szCs w:val="24"/>
        </w:rPr>
        <w:tab/>
        <w:t xml:space="preserve">Andre CM, Hausman JF, Guerriero G. Cannabis sativa: The plant of the thousand and one molecules. Front Plant Sci. 2016;7(FEB2016):1–17. </w:t>
      </w:r>
    </w:p>
    <w:p w14:paraId="36B70D72"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10. </w:t>
      </w:r>
      <w:r w:rsidRPr="003136F9">
        <w:rPr>
          <w:rFonts w:ascii="Arial" w:hAnsi="Arial" w:cs="Arial"/>
          <w:noProof/>
          <w:sz w:val="24"/>
          <w:szCs w:val="24"/>
        </w:rPr>
        <w:tab/>
        <w:t xml:space="preserve">Appendino G, Chianese G, Taglialatela-Scafati O. Cannabinoids: Occurrence and Medicinal Chemistry. Curr Med Chem. 2011;18(7):1085–99. </w:t>
      </w:r>
    </w:p>
    <w:p w14:paraId="278B8DE1"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11. </w:t>
      </w:r>
      <w:r w:rsidRPr="003136F9">
        <w:rPr>
          <w:rFonts w:ascii="Arial" w:hAnsi="Arial" w:cs="Arial"/>
          <w:noProof/>
          <w:sz w:val="24"/>
          <w:szCs w:val="24"/>
        </w:rPr>
        <w:tab/>
        <w:t>Brighenti V, Pellati F, Steinbach M, Maran D, Benvenuti S. Development of a new extraction technique and HPLC method for the analysis of non-psychoactive cannabinoids in fibre-type Cannabis sativa L. (hemp). J Pharm Biomed Anal [Internet]. 2017;143:228–36. Available from: http://dx.doi.org/10.1016/j.jpba.2017.05.049</w:t>
      </w:r>
    </w:p>
    <w:p w14:paraId="2FCEC4CF"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12. </w:t>
      </w:r>
      <w:r w:rsidRPr="003136F9">
        <w:rPr>
          <w:rFonts w:ascii="Arial" w:hAnsi="Arial" w:cs="Arial"/>
          <w:noProof/>
          <w:sz w:val="24"/>
          <w:szCs w:val="24"/>
        </w:rPr>
        <w:tab/>
        <w:t xml:space="preserve">Pellati F, Brighenti V, Sperlea J, Marchetti L, Bertelli D, Benvenuti S. New methods for the comprehensive analysis of bioactive compounds in Cannabis sativa L. (hemp). Molecules. 2018;23(10). </w:t>
      </w:r>
    </w:p>
    <w:p w14:paraId="2A610B66"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13. </w:t>
      </w:r>
      <w:r w:rsidRPr="003136F9">
        <w:rPr>
          <w:rFonts w:ascii="Arial" w:hAnsi="Arial" w:cs="Arial"/>
          <w:noProof/>
          <w:sz w:val="24"/>
          <w:szCs w:val="24"/>
        </w:rPr>
        <w:tab/>
        <w:t xml:space="preserve">Leweke FM, Koethe D. Cannabis and psychiatric disorders: It is not only addiction. Addict Biol. 2008;13(2):264–75. </w:t>
      </w:r>
    </w:p>
    <w:p w14:paraId="67FF057E"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14. </w:t>
      </w:r>
      <w:r w:rsidRPr="003136F9">
        <w:rPr>
          <w:rFonts w:ascii="Arial" w:hAnsi="Arial" w:cs="Arial"/>
          <w:noProof/>
          <w:sz w:val="24"/>
          <w:szCs w:val="24"/>
        </w:rPr>
        <w:tab/>
        <w:t xml:space="preserve">Pertwee RG. The diverse CB 1 and CB 2 receptor pharmacology of three plant cannabinoids: Δ 9-tetrahydrocannabinol, cannabidiol and Δ 9-tetrahydrocannabivarin. Br J Pharmacol. 2008;153(2):199–215. </w:t>
      </w:r>
    </w:p>
    <w:p w14:paraId="3D82B0E1"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15. </w:t>
      </w:r>
      <w:r w:rsidRPr="003136F9">
        <w:rPr>
          <w:rFonts w:ascii="Arial" w:hAnsi="Arial" w:cs="Arial"/>
          <w:noProof/>
          <w:sz w:val="24"/>
          <w:szCs w:val="24"/>
        </w:rPr>
        <w:tab/>
        <w:t xml:space="preserve">Lima LM. Biologia Molecular Década De 80.Pdf. 2007;30(6):1456–68. </w:t>
      </w:r>
    </w:p>
    <w:p w14:paraId="59C8761D"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16. </w:t>
      </w:r>
      <w:r w:rsidRPr="003136F9">
        <w:rPr>
          <w:rFonts w:ascii="Arial" w:hAnsi="Arial" w:cs="Arial"/>
          <w:noProof/>
          <w:sz w:val="24"/>
          <w:szCs w:val="24"/>
        </w:rPr>
        <w:tab/>
        <w:t xml:space="preserve">Borges RS, Batista J, Viana RB, Baetas AC, Orestes E, Andrade MA, et al. Understanding the molecular aspects of tetrahydrocannabinol and </w:t>
      </w:r>
      <w:r w:rsidRPr="003136F9">
        <w:rPr>
          <w:rFonts w:ascii="Arial" w:hAnsi="Arial" w:cs="Arial"/>
          <w:noProof/>
          <w:sz w:val="24"/>
          <w:szCs w:val="24"/>
        </w:rPr>
        <w:lastRenderedPageBreak/>
        <w:t xml:space="preserve">cannabidiol as antioxidants. Molecules. 2013;18(10):12663–74. </w:t>
      </w:r>
    </w:p>
    <w:p w14:paraId="7A681039"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17. </w:t>
      </w:r>
      <w:r w:rsidRPr="003136F9">
        <w:rPr>
          <w:rFonts w:ascii="Arial" w:hAnsi="Arial" w:cs="Arial"/>
          <w:noProof/>
          <w:sz w:val="24"/>
          <w:szCs w:val="24"/>
        </w:rPr>
        <w:tab/>
        <w:t xml:space="preserve">Hampson AJ, Grimaldi M, Axelrod J, Wink D. Cannabidiol and (-)Δ9-tetrahydrocannabinol are neuroprotective antioxidants. Proc Natl Acad Sci U S A. 1998;95(14):8268–73. </w:t>
      </w:r>
    </w:p>
    <w:p w14:paraId="054344CF"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18. </w:t>
      </w:r>
      <w:r w:rsidRPr="003136F9">
        <w:rPr>
          <w:rFonts w:ascii="Arial" w:hAnsi="Arial" w:cs="Arial"/>
          <w:noProof/>
          <w:sz w:val="24"/>
          <w:szCs w:val="24"/>
        </w:rPr>
        <w:tab/>
        <w:t>Jiang R, Yamaori S, Takeda S, Yamamoto I, Watanabe K. Identification of cytochrome P450 enzymes responsible for metabolism of cannabidiol by human liver microsomes. Life Sci [Internet]. 2011;89(5–6):165–70. Available from: http://dx.doi.org/10.1016/j.lfs.2011.05.018</w:t>
      </w:r>
    </w:p>
    <w:p w14:paraId="00B37479"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19. </w:t>
      </w:r>
      <w:r w:rsidRPr="003136F9">
        <w:rPr>
          <w:rFonts w:ascii="Arial" w:hAnsi="Arial" w:cs="Arial"/>
          <w:noProof/>
          <w:sz w:val="24"/>
          <w:szCs w:val="24"/>
        </w:rPr>
        <w:tab/>
        <w:t xml:space="preserve">Grotenhermen F. Phytocannabinoide. Handbuch Psychoaktive Substanzen. 2018. 659–667 p. </w:t>
      </w:r>
    </w:p>
    <w:p w14:paraId="7F87ED11"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20. </w:t>
      </w:r>
      <w:r w:rsidRPr="003136F9">
        <w:rPr>
          <w:rFonts w:ascii="Arial" w:hAnsi="Arial" w:cs="Arial"/>
          <w:noProof/>
          <w:sz w:val="24"/>
          <w:szCs w:val="24"/>
        </w:rPr>
        <w:tab/>
        <w:t xml:space="preserve">Kim S, Chen J, Cheng T, Gindulyte A, He J, He S, et al. PubChem 2019 update: Improved access to chemical data. Nucleic Acids Res. 2019;47(D1):D1102–9. </w:t>
      </w:r>
    </w:p>
    <w:p w14:paraId="1C9E9E57"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21. </w:t>
      </w:r>
      <w:r w:rsidRPr="003136F9">
        <w:rPr>
          <w:rFonts w:ascii="Arial" w:hAnsi="Arial" w:cs="Arial"/>
          <w:noProof/>
          <w:sz w:val="24"/>
          <w:szCs w:val="24"/>
        </w:rPr>
        <w:tab/>
        <w:t xml:space="preserve">Daina A, Michielin O, Zoete V. SwissADME: A free web tool to evaluate pharmacokinetics, drug-likeness and medicinal chemistry friendliness of small molecules. Sci Rep. 2017;7(January):1–13. </w:t>
      </w:r>
    </w:p>
    <w:p w14:paraId="0C2D23AF"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22. </w:t>
      </w:r>
      <w:r w:rsidRPr="003136F9">
        <w:rPr>
          <w:rFonts w:ascii="Arial" w:hAnsi="Arial" w:cs="Arial"/>
          <w:noProof/>
          <w:sz w:val="24"/>
          <w:szCs w:val="24"/>
        </w:rPr>
        <w:tab/>
        <w:t xml:space="preserve">Sadym A, Lagunin A, Filimonov D, Poroikov V. Prediction of biological activity spectra via the Internet. SAR QSAR Environ Res. 2003;14(5–6):339–47. </w:t>
      </w:r>
    </w:p>
    <w:p w14:paraId="3ABEAD4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23. </w:t>
      </w:r>
      <w:r w:rsidRPr="003136F9">
        <w:rPr>
          <w:rFonts w:ascii="Arial" w:hAnsi="Arial" w:cs="Arial"/>
          <w:noProof/>
          <w:sz w:val="24"/>
          <w:szCs w:val="24"/>
        </w:rPr>
        <w:tab/>
        <w:t xml:space="preserve">Poroikov V V., Filimonov DA. How to acquire new biological activities in old compounds by computer prediction. J Comput Aided Mol Des. 2002;16(11):819–24. </w:t>
      </w:r>
    </w:p>
    <w:p w14:paraId="4009E87D"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24. </w:t>
      </w:r>
      <w:r w:rsidRPr="003136F9">
        <w:rPr>
          <w:rFonts w:ascii="Arial" w:hAnsi="Arial" w:cs="Arial"/>
          <w:noProof/>
          <w:sz w:val="24"/>
          <w:szCs w:val="24"/>
        </w:rPr>
        <w:tab/>
        <w:t xml:space="preserve">Jarrahpour A, Fathi J, Mimouni M, Hadda T Ben, Sheikh J, Chohan Z, et al. Petra, Osiris and Molinspiration (POM) together as a successful support in drug design: Antibacterial activity and biopharmaceutical characterization of some azo Schiff bases. Med Chem Res. 2012;21(8):1984–90. </w:t>
      </w:r>
    </w:p>
    <w:p w14:paraId="5728D4A2"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25. </w:t>
      </w:r>
      <w:r w:rsidRPr="003136F9">
        <w:rPr>
          <w:rFonts w:ascii="Arial" w:hAnsi="Arial" w:cs="Arial"/>
          <w:noProof/>
          <w:sz w:val="24"/>
          <w:szCs w:val="24"/>
        </w:rPr>
        <w:tab/>
        <w:t xml:space="preserve">Banerjee P, Eckert AO, Schrey AK, Preissner R. ProTox-II: A webserver for the prediction of toxicity of chemicals. Nucleic Acids Res. 2018;46(W1):W257–63. </w:t>
      </w:r>
    </w:p>
    <w:p w14:paraId="547220CB"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26. </w:t>
      </w:r>
      <w:r w:rsidRPr="003136F9">
        <w:rPr>
          <w:rFonts w:ascii="Arial" w:hAnsi="Arial" w:cs="Arial"/>
          <w:noProof/>
          <w:sz w:val="24"/>
          <w:szCs w:val="24"/>
        </w:rPr>
        <w:tab/>
        <w:t xml:space="preserve">Drwal MN, Banerjee P, Dunkel M, Wettig MR, Preissner R. ProTox: A web server for the in silico prediction of rodent oral toxicity. Nucleic Acids Res. 2014;42(W1):3–8. </w:t>
      </w:r>
    </w:p>
    <w:p w14:paraId="3960F2B3"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27. </w:t>
      </w:r>
      <w:r w:rsidRPr="003136F9">
        <w:rPr>
          <w:rFonts w:ascii="Arial" w:hAnsi="Arial" w:cs="Arial"/>
          <w:noProof/>
          <w:sz w:val="24"/>
          <w:szCs w:val="24"/>
        </w:rPr>
        <w:tab/>
        <w:t xml:space="preserve">Daina A, Michielin O, Zoete V. SwissTargetPrediction: updated data and </w:t>
      </w:r>
      <w:r w:rsidRPr="003136F9">
        <w:rPr>
          <w:rFonts w:ascii="Arial" w:hAnsi="Arial" w:cs="Arial"/>
          <w:noProof/>
          <w:sz w:val="24"/>
          <w:szCs w:val="24"/>
        </w:rPr>
        <w:lastRenderedPageBreak/>
        <w:t xml:space="preserve">new features for efficient prediction of protein targets of small molecules. Nucleic Acids Res. 2019;47(W1):W357–3664. </w:t>
      </w:r>
    </w:p>
    <w:p w14:paraId="574B8688"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28. </w:t>
      </w:r>
      <w:r w:rsidRPr="003136F9">
        <w:rPr>
          <w:rFonts w:ascii="Arial" w:hAnsi="Arial" w:cs="Arial"/>
          <w:noProof/>
          <w:sz w:val="24"/>
          <w:szCs w:val="24"/>
        </w:rPr>
        <w:tab/>
        <w:t xml:space="preserve">Berman HM, Battistuz T, Bhat TN, Bluhm WF, Bourne PE, Burkhardt K, et al. The protein data bank. Acta Crystallogr Sect D Biol Crystallogr. 2002;58(6 I):899–907. </w:t>
      </w:r>
    </w:p>
    <w:p w14:paraId="0774F08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29. </w:t>
      </w:r>
      <w:r w:rsidRPr="003136F9">
        <w:rPr>
          <w:rFonts w:ascii="Arial" w:hAnsi="Arial" w:cs="Arial"/>
          <w:noProof/>
          <w:sz w:val="24"/>
          <w:szCs w:val="24"/>
        </w:rPr>
        <w:tab/>
        <w:t xml:space="preserve">Korb O, Stützle T, Exner TE. Empirical scoring functions for advanced Protein-Ligand docking with PLANTS. J Chem Inf Model. 2009;49(1):84–96. </w:t>
      </w:r>
    </w:p>
    <w:p w14:paraId="2C3BBB0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30. </w:t>
      </w:r>
      <w:r w:rsidRPr="003136F9">
        <w:rPr>
          <w:rFonts w:ascii="Arial" w:hAnsi="Arial" w:cs="Arial"/>
          <w:noProof/>
          <w:sz w:val="24"/>
          <w:szCs w:val="24"/>
        </w:rPr>
        <w:tab/>
        <w:t xml:space="preserve">Lipinski CA. Lead- and drug-like compounds: The rule-of-five revolution. Drug Discov Today Technol. 2004;1(4):337–41. </w:t>
      </w:r>
    </w:p>
    <w:p w14:paraId="0A8251BD"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31. </w:t>
      </w:r>
      <w:r w:rsidRPr="003136F9">
        <w:rPr>
          <w:rFonts w:ascii="Arial" w:hAnsi="Arial" w:cs="Arial"/>
          <w:noProof/>
          <w:sz w:val="24"/>
          <w:szCs w:val="24"/>
        </w:rPr>
        <w:tab/>
        <w:t xml:space="preserve">Dunkel M, Günther S, Ahmed J, Wittig B, Preissner R. SuperPred: drug classification and target prediction. Nucleic Acids Res. 2008;36(Web Server issue):55–9. </w:t>
      </w:r>
    </w:p>
    <w:p w14:paraId="44866580"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32. </w:t>
      </w:r>
      <w:r w:rsidRPr="003136F9">
        <w:rPr>
          <w:rFonts w:ascii="Arial" w:hAnsi="Arial" w:cs="Arial"/>
          <w:noProof/>
          <w:sz w:val="24"/>
          <w:szCs w:val="24"/>
        </w:rPr>
        <w:tab/>
        <w:t xml:space="preserve">Carvalho VM. Farmacannabis-UFRJ: The first laboratory in Brazil to analyze therapeutic products derived from Cannabis. Brazilian J Anal Chem. 2017;4(16):44–9. </w:t>
      </w:r>
    </w:p>
    <w:p w14:paraId="72F0AEEC"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33. </w:t>
      </w:r>
      <w:r w:rsidRPr="003136F9">
        <w:rPr>
          <w:rFonts w:ascii="Arial" w:hAnsi="Arial" w:cs="Arial"/>
          <w:noProof/>
          <w:sz w:val="24"/>
          <w:szCs w:val="24"/>
        </w:rPr>
        <w:tab/>
        <w:t xml:space="preserve">Hohmann AG, Suplita RL. Endocannabinoid mechanisms of pain modulation. AAPS J. 2006;8(4):693–708. </w:t>
      </w:r>
    </w:p>
    <w:p w14:paraId="16738242"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34. </w:t>
      </w:r>
      <w:r w:rsidRPr="003136F9">
        <w:rPr>
          <w:rFonts w:ascii="Arial" w:hAnsi="Arial" w:cs="Arial"/>
          <w:noProof/>
          <w:sz w:val="24"/>
          <w:szCs w:val="24"/>
        </w:rPr>
        <w:tab/>
        <w:t xml:space="preserve">Jhaveri MD, Richardson D, Chapman V. Endocannabinoid metabolism and uptake: Novel targets for neuropathic and inflammatory pain. Br J Pharmacol. 2007;152(5):624–32. </w:t>
      </w:r>
    </w:p>
    <w:p w14:paraId="6858CE7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35. </w:t>
      </w:r>
      <w:r w:rsidRPr="003136F9">
        <w:rPr>
          <w:rFonts w:ascii="Arial" w:hAnsi="Arial" w:cs="Arial"/>
          <w:noProof/>
          <w:sz w:val="24"/>
          <w:szCs w:val="24"/>
        </w:rPr>
        <w:tab/>
        <w:t xml:space="preserve">Lambert DM. Allergic contact dermatitis and the endocannabinoid system: From mechanisms to skin care. ChemMedChem. 2007;2(12):1701–2. </w:t>
      </w:r>
    </w:p>
    <w:p w14:paraId="31F525FD"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36. </w:t>
      </w:r>
      <w:r w:rsidRPr="003136F9">
        <w:rPr>
          <w:rFonts w:ascii="Arial" w:hAnsi="Arial" w:cs="Arial"/>
          <w:noProof/>
          <w:sz w:val="24"/>
          <w:szCs w:val="24"/>
        </w:rPr>
        <w:tab/>
        <w:t xml:space="preserve">Bisogno T, Di Marzo V. Short- and long-term plasticity of the endocannabinoid system in neuropsychiatric and neurological disorders. Pharmacol Res. 2007;56(5):428–42. </w:t>
      </w:r>
    </w:p>
    <w:p w14:paraId="24BF195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37. </w:t>
      </w:r>
      <w:r w:rsidRPr="003136F9">
        <w:rPr>
          <w:rFonts w:ascii="Arial" w:hAnsi="Arial" w:cs="Arial"/>
          <w:noProof/>
          <w:sz w:val="24"/>
          <w:szCs w:val="24"/>
        </w:rPr>
        <w:tab/>
        <w:t xml:space="preserve">Matias I, Di Marzo V. Endocannabinoids and the control of energy balance. Trends Endocrinol Metab. 2007;18(1):27–37. </w:t>
      </w:r>
    </w:p>
    <w:p w14:paraId="523B6AC1"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38. </w:t>
      </w:r>
      <w:r w:rsidRPr="003136F9">
        <w:rPr>
          <w:rFonts w:ascii="Arial" w:hAnsi="Arial" w:cs="Arial"/>
          <w:noProof/>
          <w:sz w:val="24"/>
          <w:szCs w:val="24"/>
        </w:rPr>
        <w:tab/>
        <w:t xml:space="preserve">Pagotto U, Marsicano G, Cota D, Lutz B, Pasquali R. The emerging role of the endocannabinoid system in endocrine regulation and energy balance. Endocr Rev. 2006;27(1):73–100. </w:t>
      </w:r>
    </w:p>
    <w:p w14:paraId="4C7B53A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39. </w:t>
      </w:r>
      <w:r w:rsidRPr="003136F9">
        <w:rPr>
          <w:rFonts w:ascii="Arial" w:hAnsi="Arial" w:cs="Arial"/>
          <w:noProof/>
          <w:sz w:val="24"/>
          <w:szCs w:val="24"/>
        </w:rPr>
        <w:tab/>
        <w:t xml:space="preserve">Bifulco M, Laezza C, Gazzerro P, Pentimalli F. Endocannabinoids as emerging suppressors of angiogenesis and tumor invasion (Review). Oncol Rep. 2007;17(4):813–6. </w:t>
      </w:r>
    </w:p>
    <w:p w14:paraId="32449924"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lastRenderedPageBreak/>
        <w:t xml:space="preserve">40. </w:t>
      </w:r>
      <w:r w:rsidRPr="003136F9">
        <w:rPr>
          <w:rFonts w:ascii="Arial" w:hAnsi="Arial" w:cs="Arial"/>
          <w:noProof/>
          <w:sz w:val="24"/>
          <w:szCs w:val="24"/>
        </w:rPr>
        <w:tab/>
        <w:t xml:space="preserve">Di Marzo V. Targeting the endocannabinoid system: To enhance or reduce? Nat Rev Drug Discov. 2008;7(5):438–55. </w:t>
      </w:r>
    </w:p>
    <w:p w14:paraId="0CB3B666"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41. </w:t>
      </w:r>
      <w:r w:rsidRPr="003136F9">
        <w:rPr>
          <w:rFonts w:ascii="Arial" w:hAnsi="Arial" w:cs="Arial"/>
          <w:noProof/>
          <w:sz w:val="24"/>
          <w:szCs w:val="24"/>
        </w:rPr>
        <w:tab/>
        <w:t xml:space="preserve">Di Marzo V, Bifulco M, De Petrocellis L. The endocannabinoid system and its therapeutic exploitation. Nat Rev Drug Discov. 2004;3(9):771–84. </w:t>
      </w:r>
    </w:p>
    <w:p w14:paraId="656922FF"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42. </w:t>
      </w:r>
      <w:r w:rsidRPr="003136F9">
        <w:rPr>
          <w:rFonts w:ascii="Arial" w:hAnsi="Arial" w:cs="Arial"/>
          <w:noProof/>
          <w:sz w:val="24"/>
          <w:szCs w:val="24"/>
        </w:rPr>
        <w:tab/>
        <w:t xml:space="preserve">D. P. The endocannabinoid system: a drug discovery perspective. :672–9. </w:t>
      </w:r>
    </w:p>
    <w:p w14:paraId="0D707678"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43. </w:t>
      </w:r>
      <w:r w:rsidRPr="003136F9">
        <w:rPr>
          <w:rFonts w:ascii="Arial" w:hAnsi="Arial" w:cs="Arial"/>
          <w:noProof/>
          <w:sz w:val="24"/>
          <w:szCs w:val="24"/>
        </w:rPr>
        <w:tab/>
        <w:t xml:space="preserve">Lipinski CA, Lombardo F, Dominy BW, Feeney PJ. Experimental and computational approaches to estimate solubility and permeability in drug discovery and development settings. Adv Drug Deliv Rev. 2012;64(SUPPL.):4–17. </w:t>
      </w:r>
    </w:p>
    <w:p w14:paraId="2E7D874D"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44. </w:t>
      </w:r>
      <w:r w:rsidRPr="003136F9">
        <w:rPr>
          <w:rFonts w:ascii="Arial" w:hAnsi="Arial" w:cs="Arial"/>
          <w:noProof/>
          <w:sz w:val="24"/>
          <w:szCs w:val="24"/>
        </w:rPr>
        <w:tab/>
        <w:t>Pak, , William L.; Grossfield, Joseph; Arnold KS. © 1970 Nature Publishing Group. Nat Publ Gr [Internet]. 1970;228:726–34. Available from: http://www.mendeley.com/research/discreteness-conductance-chnge-n-bimolecular-lipid-membrane-presence-certin-antibiotics/</w:t>
      </w:r>
    </w:p>
    <w:p w14:paraId="20BC672C"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45. </w:t>
      </w:r>
      <w:r w:rsidRPr="003136F9">
        <w:rPr>
          <w:rFonts w:ascii="Arial" w:hAnsi="Arial" w:cs="Arial"/>
          <w:noProof/>
          <w:sz w:val="24"/>
          <w:szCs w:val="24"/>
        </w:rPr>
        <w:tab/>
        <w:t xml:space="preserve">García C, Palomo-Garo C, García-Arencibia M, Ramos JA, Pertwee RG, Fernández-Ruiz J. Symptom-relieving and neuroprotective effects of the phytocannabinoid Δ 9-THCV in animal models of Parkinson’s disease. Br J Pharmacol. 2011;163(7):1495–506. </w:t>
      </w:r>
    </w:p>
    <w:p w14:paraId="76CEC06C"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46. </w:t>
      </w:r>
      <w:r w:rsidRPr="003136F9">
        <w:rPr>
          <w:rFonts w:ascii="Arial" w:hAnsi="Arial" w:cs="Arial"/>
          <w:noProof/>
          <w:sz w:val="24"/>
          <w:szCs w:val="24"/>
        </w:rPr>
        <w:tab/>
        <w:t xml:space="preserve">Huang SM, Bisogno T, Petros TJ, Chang SY, Zavitsanos PA, Zipkin RE, et al. Identification of a New Class of Molecules, the Arachidonyl Amino Acids, and Characterization of One Member That Inhibits Pain. J Biol Chem. 2001;276(46):42639–44. </w:t>
      </w:r>
    </w:p>
    <w:p w14:paraId="74B8ED56"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47. </w:t>
      </w:r>
      <w:r w:rsidRPr="003136F9">
        <w:rPr>
          <w:rFonts w:ascii="Arial" w:hAnsi="Arial" w:cs="Arial"/>
          <w:noProof/>
          <w:sz w:val="24"/>
          <w:szCs w:val="24"/>
        </w:rPr>
        <w:tab/>
        <w:t xml:space="preserve">Parmar N, Ho WSV. N-arachidonoyl glycine, an endogenous lipid that acts as a vasorelaxant via nitric oxide and large conductance calcium-activated potassium channels. Br J Pharmacol. 2010;160(3):594–603. </w:t>
      </w:r>
    </w:p>
    <w:p w14:paraId="7575F10D"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48. </w:t>
      </w:r>
      <w:r w:rsidRPr="003136F9">
        <w:rPr>
          <w:rFonts w:ascii="Arial" w:hAnsi="Arial" w:cs="Arial"/>
          <w:noProof/>
          <w:sz w:val="24"/>
          <w:szCs w:val="24"/>
        </w:rPr>
        <w:tab/>
        <w:t xml:space="preserve">Sheskin T, Hanuš L, Slager J, Vogel Z, Mechoulam R. Structural requirements for binding of anandamide-type compounds to the brain cannabinoid receptor. J Med Chem. 1997;40(5):659–67. </w:t>
      </w:r>
    </w:p>
    <w:p w14:paraId="48AD86D1"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49. </w:t>
      </w:r>
      <w:r w:rsidRPr="003136F9">
        <w:rPr>
          <w:rFonts w:ascii="Arial" w:hAnsi="Arial" w:cs="Arial"/>
          <w:noProof/>
          <w:sz w:val="24"/>
          <w:szCs w:val="24"/>
        </w:rPr>
        <w:tab/>
        <w:t>Takenouchi R, Inoue K, Kambe Y, Miyata A. N-arachidonoyl glycine induces macrophage apoptosis via GPR18. Biochem Biophys Res Commun [Internet]. 2012;418(2):366–71. Available from: http://dx.doi.org/10.1016/j.bbrc.2012.01.027</w:t>
      </w:r>
    </w:p>
    <w:p w14:paraId="4419ECF2"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50. </w:t>
      </w:r>
      <w:r w:rsidRPr="003136F9">
        <w:rPr>
          <w:rFonts w:ascii="Arial" w:hAnsi="Arial" w:cs="Arial"/>
          <w:noProof/>
          <w:sz w:val="24"/>
          <w:szCs w:val="24"/>
        </w:rPr>
        <w:tab/>
        <w:t xml:space="preserve">Gantz I, Muraoka A, Yang YK, Samuelson LC, Zimmerman EM, Cook H, et al. Cloning and chromosomal localization of a gene (GPR18) encoding a novel seven transmembrane receptor highly expressed in spleen and </w:t>
      </w:r>
      <w:r w:rsidRPr="003136F9">
        <w:rPr>
          <w:rFonts w:ascii="Arial" w:hAnsi="Arial" w:cs="Arial"/>
          <w:noProof/>
          <w:sz w:val="24"/>
          <w:szCs w:val="24"/>
        </w:rPr>
        <w:lastRenderedPageBreak/>
        <w:t xml:space="preserve">testis. Genomics. 1997;42(3):462–6. </w:t>
      </w:r>
    </w:p>
    <w:p w14:paraId="31A3E4C5"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51. </w:t>
      </w:r>
      <w:r w:rsidRPr="003136F9">
        <w:rPr>
          <w:rFonts w:ascii="Arial" w:hAnsi="Arial" w:cs="Arial"/>
          <w:noProof/>
          <w:sz w:val="24"/>
          <w:szCs w:val="24"/>
        </w:rPr>
        <w:tab/>
        <w:t xml:space="preserve">Kohno M, Hasegawa H, Inoue A, Muraoka M, Miyazaki T, Oka K, et al. Identification of N-arachidonylglycine as the endogenous ligand for orphan G-protein-coupled receptor GPR18. Biochem Biophys Res Commun. 2006;347(3):827–32. </w:t>
      </w:r>
    </w:p>
    <w:p w14:paraId="778C1FC5"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52. </w:t>
      </w:r>
      <w:r w:rsidRPr="003136F9">
        <w:rPr>
          <w:rFonts w:ascii="Arial" w:hAnsi="Arial" w:cs="Arial"/>
          <w:noProof/>
          <w:sz w:val="24"/>
          <w:szCs w:val="24"/>
        </w:rPr>
        <w:tab/>
        <w:t xml:space="preserve">Finlay DB, Joseph WR, Grimsey NL, Glass M. GPR18 undergoes a high degree of constitutive trafficking but is unresponsive to N-Arachidonoyl Glycine. PeerJ. 2016;2016(3):1–29. </w:t>
      </w:r>
    </w:p>
    <w:p w14:paraId="55ABD056"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53. </w:t>
      </w:r>
      <w:r w:rsidRPr="003136F9">
        <w:rPr>
          <w:rFonts w:ascii="Arial" w:hAnsi="Arial" w:cs="Arial"/>
          <w:noProof/>
          <w:sz w:val="24"/>
          <w:szCs w:val="24"/>
        </w:rPr>
        <w:tab/>
        <w:t xml:space="preserve">McHugh D, Hu SSJ, Rimmerman N, Juknat A, Vogel Z, Walker JM, et al. N-arachidonoyl glycine, an abundant endogenous lipid, potently drives directed cellular migration through GPR18, the putative abnormal cannabidiol receptor. BMC Neurosci. 2010;11. </w:t>
      </w:r>
    </w:p>
    <w:p w14:paraId="3B64522D"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54. </w:t>
      </w:r>
      <w:r w:rsidRPr="003136F9">
        <w:rPr>
          <w:rFonts w:ascii="Arial" w:hAnsi="Arial" w:cs="Arial"/>
          <w:noProof/>
          <w:sz w:val="24"/>
          <w:szCs w:val="24"/>
        </w:rPr>
        <w:tab/>
        <w:t xml:space="preserve">McHugh D. GPR18 in microglia: Implications for the CNS and endocannabinoid system signalling. Br J Pharmacol. 2012;167(8):1575–82. </w:t>
      </w:r>
    </w:p>
    <w:p w14:paraId="12B16782"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55. </w:t>
      </w:r>
      <w:r w:rsidRPr="003136F9">
        <w:rPr>
          <w:rFonts w:ascii="Arial" w:hAnsi="Arial" w:cs="Arial"/>
          <w:noProof/>
          <w:sz w:val="24"/>
          <w:szCs w:val="24"/>
        </w:rPr>
        <w:tab/>
        <w:t xml:space="preserve">Ferrer I, Bernet E, Soriano E, Del Rio T, Fonseca M. Naturally occurring cell death in the cerebral cortex of the rat and removal of dead cells by transitory phagocytes. Neuroscience. 1990;39(2):451–8. </w:t>
      </w:r>
    </w:p>
    <w:p w14:paraId="3ADCB3EE" w14:textId="77777777" w:rsidR="0091248D" w:rsidRPr="003136F9" w:rsidRDefault="0091248D" w:rsidP="0091248D">
      <w:pPr>
        <w:widowControl w:val="0"/>
        <w:autoSpaceDE w:val="0"/>
        <w:autoSpaceDN w:val="0"/>
        <w:adjustRightInd w:val="0"/>
        <w:spacing w:after="0" w:line="360" w:lineRule="auto"/>
        <w:ind w:left="640" w:hanging="640"/>
        <w:jc w:val="both"/>
        <w:rPr>
          <w:rFonts w:ascii="Arial" w:hAnsi="Arial" w:cs="Arial"/>
          <w:noProof/>
          <w:sz w:val="24"/>
          <w:szCs w:val="24"/>
        </w:rPr>
      </w:pPr>
      <w:r w:rsidRPr="003136F9">
        <w:rPr>
          <w:rFonts w:ascii="Arial" w:hAnsi="Arial" w:cs="Arial"/>
          <w:noProof/>
          <w:sz w:val="24"/>
          <w:szCs w:val="24"/>
        </w:rPr>
        <w:t xml:space="preserve">56. </w:t>
      </w:r>
      <w:r w:rsidRPr="003136F9">
        <w:rPr>
          <w:rFonts w:ascii="Arial" w:hAnsi="Arial" w:cs="Arial"/>
          <w:noProof/>
          <w:sz w:val="24"/>
          <w:szCs w:val="24"/>
        </w:rPr>
        <w:tab/>
        <w:t xml:space="preserve">Wake H, Moorhouse AJ, Jinno S, Kohsaka S, Nabekura J. Resting microglia directly monitor the functional state of synapses in vivo and determine the fate of ischemic terminals. J Neurosci. 2009;29(13):3974–80. </w:t>
      </w:r>
    </w:p>
    <w:p w14:paraId="49DE32ED" w14:textId="7ED177A5" w:rsidR="00240E0E" w:rsidRPr="003136F9" w:rsidRDefault="00240E0E" w:rsidP="0091248D">
      <w:pPr>
        <w:spacing w:after="0" w:line="360" w:lineRule="auto"/>
        <w:jc w:val="both"/>
        <w:rPr>
          <w:rFonts w:ascii="Arial" w:eastAsia="Times New Roman" w:hAnsi="Arial" w:cs="Arial"/>
          <w:b/>
          <w:bCs/>
          <w:color w:val="000000" w:themeColor="text1"/>
          <w:sz w:val="24"/>
          <w:szCs w:val="24"/>
          <w:lang w:eastAsia="pt-BR"/>
        </w:rPr>
      </w:pPr>
      <w:r w:rsidRPr="003136F9">
        <w:rPr>
          <w:rFonts w:ascii="Arial" w:eastAsia="Times New Roman" w:hAnsi="Arial" w:cs="Arial"/>
          <w:b/>
          <w:bCs/>
          <w:color w:val="000000" w:themeColor="text1"/>
          <w:sz w:val="24"/>
          <w:szCs w:val="24"/>
          <w:lang w:eastAsia="pt-BR"/>
        </w:rPr>
        <w:fldChar w:fldCharType="end"/>
      </w:r>
    </w:p>
    <w:p w14:paraId="4E983BC6" w14:textId="0E666087" w:rsidR="00534B71" w:rsidRPr="003136F9" w:rsidRDefault="00534B71" w:rsidP="0091248D">
      <w:pPr>
        <w:widowControl w:val="0"/>
        <w:autoSpaceDE w:val="0"/>
        <w:autoSpaceDN w:val="0"/>
        <w:adjustRightInd w:val="0"/>
        <w:spacing w:after="0" w:line="360" w:lineRule="auto"/>
        <w:jc w:val="both"/>
        <w:rPr>
          <w:rFonts w:ascii="Arial" w:hAnsi="Arial" w:cs="Arial"/>
          <w:noProof/>
          <w:color w:val="000000" w:themeColor="text1"/>
          <w:sz w:val="24"/>
          <w:szCs w:val="24"/>
        </w:rPr>
      </w:pPr>
    </w:p>
    <w:sectPr w:rsidR="00534B71" w:rsidRPr="003136F9">
      <w:footerReference w:type="defaul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5D6C" w14:textId="77777777" w:rsidR="002B6706" w:rsidRDefault="002B6706" w:rsidP="00954A9F">
      <w:pPr>
        <w:spacing w:after="0" w:line="240" w:lineRule="auto"/>
      </w:pPr>
      <w:r>
        <w:separator/>
      </w:r>
    </w:p>
  </w:endnote>
  <w:endnote w:type="continuationSeparator" w:id="0">
    <w:p w14:paraId="56936EC5" w14:textId="77777777" w:rsidR="002B6706" w:rsidRDefault="002B6706" w:rsidP="0095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351553"/>
      <w:docPartObj>
        <w:docPartGallery w:val="Page Numbers (Bottom of Page)"/>
        <w:docPartUnique/>
      </w:docPartObj>
    </w:sdtPr>
    <w:sdtEndPr/>
    <w:sdtContent>
      <w:p w14:paraId="12AD9FEC" w14:textId="1AA00C71" w:rsidR="00DD2A86" w:rsidRDefault="00DD2A86">
        <w:pPr>
          <w:pStyle w:val="Rodap"/>
          <w:jc w:val="right"/>
        </w:pPr>
        <w:r>
          <w:fldChar w:fldCharType="begin"/>
        </w:r>
        <w:r>
          <w:instrText>PAGE   \* MERGEFORMAT</w:instrText>
        </w:r>
        <w:r>
          <w:fldChar w:fldCharType="separate"/>
        </w:r>
        <w:r w:rsidR="006F165E">
          <w:rPr>
            <w:noProof/>
          </w:rPr>
          <w:t>23</w:t>
        </w:r>
        <w:r>
          <w:fldChar w:fldCharType="end"/>
        </w:r>
      </w:p>
    </w:sdtContent>
  </w:sdt>
  <w:p w14:paraId="0D7B08D2" w14:textId="77777777" w:rsidR="00DD2A86" w:rsidRDefault="00DD2A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22E4" w14:textId="77777777" w:rsidR="002B6706" w:rsidRDefault="002B6706" w:rsidP="00954A9F">
      <w:pPr>
        <w:spacing w:after="0" w:line="240" w:lineRule="auto"/>
      </w:pPr>
      <w:r>
        <w:separator/>
      </w:r>
    </w:p>
  </w:footnote>
  <w:footnote w:type="continuationSeparator" w:id="0">
    <w:p w14:paraId="6AA39EEB" w14:textId="77777777" w:rsidR="002B6706" w:rsidRDefault="002B6706" w:rsidP="00954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B1B"/>
    <w:multiLevelType w:val="hybridMultilevel"/>
    <w:tmpl w:val="E3A83D1E"/>
    <w:lvl w:ilvl="0" w:tplc="9E4EC2A8">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16053B"/>
    <w:multiLevelType w:val="hybridMultilevel"/>
    <w:tmpl w:val="5D1C95C8"/>
    <w:lvl w:ilvl="0" w:tplc="9E4EC2A8">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5B2E26"/>
    <w:multiLevelType w:val="hybridMultilevel"/>
    <w:tmpl w:val="D2C44B14"/>
    <w:lvl w:ilvl="0" w:tplc="33E8C94A">
      <w:start w:val="65"/>
      <w:numFmt w:val="decimal"/>
      <w:lvlText w:val="%1."/>
      <w:lvlJc w:val="left"/>
      <w:pPr>
        <w:ind w:left="1080" w:hanging="360"/>
      </w:pPr>
      <w:rPr>
        <w:rFonts w:asciiTheme="minorHAnsi" w:hAnsiTheme="minorHAnsi" w:cstheme="minorBidi" w:hint="default"/>
        <w:b w:val="0"/>
        <w:color w:val="000000"/>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3CE475E"/>
    <w:multiLevelType w:val="hybridMultilevel"/>
    <w:tmpl w:val="23FAA9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zA0MDY1NrU0tTRR0lEKTi0uzszPAykwqgUAemIPNiwAAAA="/>
  </w:docVars>
  <w:rsids>
    <w:rsidRoot w:val="00020F28"/>
    <w:rsid w:val="00002473"/>
    <w:rsid w:val="00010D91"/>
    <w:rsid w:val="00012F80"/>
    <w:rsid w:val="00020F28"/>
    <w:rsid w:val="00023CEE"/>
    <w:rsid w:val="0002662B"/>
    <w:rsid w:val="000271EC"/>
    <w:rsid w:val="00032B62"/>
    <w:rsid w:val="00034077"/>
    <w:rsid w:val="00036A5B"/>
    <w:rsid w:val="0004554E"/>
    <w:rsid w:val="00045DE1"/>
    <w:rsid w:val="0005570B"/>
    <w:rsid w:val="00055E24"/>
    <w:rsid w:val="000641C2"/>
    <w:rsid w:val="00064491"/>
    <w:rsid w:val="00074AFE"/>
    <w:rsid w:val="00075C3E"/>
    <w:rsid w:val="000935B9"/>
    <w:rsid w:val="000A458B"/>
    <w:rsid w:val="000A5282"/>
    <w:rsid w:val="000A601B"/>
    <w:rsid w:val="000B2C0B"/>
    <w:rsid w:val="000C423D"/>
    <w:rsid w:val="000C499C"/>
    <w:rsid w:val="000D1729"/>
    <w:rsid w:val="000D1D5E"/>
    <w:rsid w:val="000D3CAF"/>
    <w:rsid w:val="000D62D4"/>
    <w:rsid w:val="000F180C"/>
    <w:rsid w:val="000F334C"/>
    <w:rsid w:val="00100E2E"/>
    <w:rsid w:val="001014A3"/>
    <w:rsid w:val="0010634A"/>
    <w:rsid w:val="00107896"/>
    <w:rsid w:val="00111D33"/>
    <w:rsid w:val="00112E32"/>
    <w:rsid w:val="00121E36"/>
    <w:rsid w:val="001234EE"/>
    <w:rsid w:val="00124631"/>
    <w:rsid w:val="00133D2D"/>
    <w:rsid w:val="001376AE"/>
    <w:rsid w:val="00137D4F"/>
    <w:rsid w:val="001463FD"/>
    <w:rsid w:val="00154515"/>
    <w:rsid w:val="00154E25"/>
    <w:rsid w:val="001571FC"/>
    <w:rsid w:val="00161DC0"/>
    <w:rsid w:val="00166B32"/>
    <w:rsid w:val="0017703F"/>
    <w:rsid w:val="00180942"/>
    <w:rsid w:val="0018571C"/>
    <w:rsid w:val="0018594E"/>
    <w:rsid w:val="0018656D"/>
    <w:rsid w:val="00193A64"/>
    <w:rsid w:val="00197AD2"/>
    <w:rsid w:val="00197C33"/>
    <w:rsid w:val="001A0D44"/>
    <w:rsid w:val="001B0F6D"/>
    <w:rsid w:val="001B5117"/>
    <w:rsid w:val="001B5B61"/>
    <w:rsid w:val="001B6591"/>
    <w:rsid w:val="001B705D"/>
    <w:rsid w:val="001C7925"/>
    <w:rsid w:val="001D27CE"/>
    <w:rsid w:val="001D6C50"/>
    <w:rsid w:val="001D7F52"/>
    <w:rsid w:val="001E3BAB"/>
    <w:rsid w:val="001E5185"/>
    <w:rsid w:val="001E68AA"/>
    <w:rsid w:val="00203405"/>
    <w:rsid w:val="00204EE4"/>
    <w:rsid w:val="002122FA"/>
    <w:rsid w:val="002151FF"/>
    <w:rsid w:val="0021711E"/>
    <w:rsid w:val="002203EE"/>
    <w:rsid w:val="002268C2"/>
    <w:rsid w:val="00236609"/>
    <w:rsid w:val="00240E0E"/>
    <w:rsid w:val="00244DB1"/>
    <w:rsid w:val="00246ABA"/>
    <w:rsid w:val="002504DA"/>
    <w:rsid w:val="00256CBF"/>
    <w:rsid w:val="002660A4"/>
    <w:rsid w:val="002713E6"/>
    <w:rsid w:val="0027380F"/>
    <w:rsid w:val="00281C4C"/>
    <w:rsid w:val="00282269"/>
    <w:rsid w:val="002822A5"/>
    <w:rsid w:val="0028460C"/>
    <w:rsid w:val="0028480E"/>
    <w:rsid w:val="00285F4B"/>
    <w:rsid w:val="00290183"/>
    <w:rsid w:val="00290BBF"/>
    <w:rsid w:val="002A00BD"/>
    <w:rsid w:val="002A3A57"/>
    <w:rsid w:val="002A5DFE"/>
    <w:rsid w:val="002B3CBF"/>
    <w:rsid w:val="002B6706"/>
    <w:rsid w:val="002C3257"/>
    <w:rsid w:val="002D171C"/>
    <w:rsid w:val="002D1F16"/>
    <w:rsid w:val="002E6891"/>
    <w:rsid w:val="002F2438"/>
    <w:rsid w:val="00301D26"/>
    <w:rsid w:val="003110E7"/>
    <w:rsid w:val="003136F9"/>
    <w:rsid w:val="003335CE"/>
    <w:rsid w:val="003369C8"/>
    <w:rsid w:val="003373D5"/>
    <w:rsid w:val="00337C3C"/>
    <w:rsid w:val="00341296"/>
    <w:rsid w:val="00351D6F"/>
    <w:rsid w:val="00365A08"/>
    <w:rsid w:val="00370BDF"/>
    <w:rsid w:val="00372A05"/>
    <w:rsid w:val="00373EA1"/>
    <w:rsid w:val="00375AF8"/>
    <w:rsid w:val="0038003D"/>
    <w:rsid w:val="00383E0A"/>
    <w:rsid w:val="0038525F"/>
    <w:rsid w:val="003858FE"/>
    <w:rsid w:val="00386005"/>
    <w:rsid w:val="00390B96"/>
    <w:rsid w:val="003950A7"/>
    <w:rsid w:val="003969DC"/>
    <w:rsid w:val="003A45EC"/>
    <w:rsid w:val="003C060C"/>
    <w:rsid w:val="003C1881"/>
    <w:rsid w:val="003D14FD"/>
    <w:rsid w:val="003F24F1"/>
    <w:rsid w:val="003F25A7"/>
    <w:rsid w:val="003F4AB8"/>
    <w:rsid w:val="004024B2"/>
    <w:rsid w:val="00413D1B"/>
    <w:rsid w:val="00413EFC"/>
    <w:rsid w:val="0041536C"/>
    <w:rsid w:val="004238CD"/>
    <w:rsid w:val="00423F89"/>
    <w:rsid w:val="00430FA1"/>
    <w:rsid w:val="00434DB3"/>
    <w:rsid w:val="00435C74"/>
    <w:rsid w:val="00441CEA"/>
    <w:rsid w:val="0044352F"/>
    <w:rsid w:val="0044600A"/>
    <w:rsid w:val="0044684B"/>
    <w:rsid w:val="00447779"/>
    <w:rsid w:val="00451E69"/>
    <w:rsid w:val="004570AD"/>
    <w:rsid w:val="004627EB"/>
    <w:rsid w:val="004665D9"/>
    <w:rsid w:val="00466AD8"/>
    <w:rsid w:val="00466EFE"/>
    <w:rsid w:val="00467424"/>
    <w:rsid w:val="00480678"/>
    <w:rsid w:val="00482573"/>
    <w:rsid w:val="004868CA"/>
    <w:rsid w:val="00492A21"/>
    <w:rsid w:val="004962DA"/>
    <w:rsid w:val="00496533"/>
    <w:rsid w:val="004A28D1"/>
    <w:rsid w:val="004A2C03"/>
    <w:rsid w:val="004B357C"/>
    <w:rsid w:val="004B3783"/>
    <w:rsid w:val="004B4F1C"/>
    <w:rsid w:val="004B5B0A"/>
    <w:rsid w:val="004C19B9"/>
    <w:rsid w:val="004C7ED5"/>
    <w:rsid w:val="004D64B4"/>
    <w:rsid w:val="004E3634"/>
    <w:rsid w:val="004E7AEB"/>
    <w:rsid w:val="004F1016"/>
    <w:rsid w:val="004F3B31"/>
    <w:rsid w:val="004F47B5"/>
    <w:rsid w:val="004F4BE8"/>
    <w:rsid w:val="004F54D3"/>
    <w:rsid w:val="0051251D"/>
    <w:rsid w:val="0051417A"/>
    <w:rsid w:val="00515A82"/>
    <w:rsid w:val="0052230B"/>
    <w:rsid w:val="00524972"/>
    <w:rsid w:val="00534B71"/>
    <w:rsid w:val="00545753"/>
    <w:rsid w:val="005458B2"/>
    <w:rsid w:val="00546B5F"/>
    <w:rsid w:val="0055548B"/>
    <w:rsid w:val="005617C6"/>
    <w:rsid w:val="00564E6B"/>
    <w:rsid w:val="005704E6"/>
    <w:rsid w:val="00572350"/>
    <w:rsid w:val="0057543A"/>
    <w:rsid w:val="0058029B"/>
    <w:rsid w:val="005832FD"/>
    <w:rsid w:val="005843E3"/>
    <w:rsid w:val="00584F59"/>
    <w:rsid w:val="00587DC4"/>
    <w:rsid w:val="005940D2"/>
    <w:rsid w:val="005B56F6"/>
    <w:rsid w:val="005B6D4B"/>
    <w:rsid w:val="005C24FE"/>
    <w:rsid w:val="005C2C4C"/>
    <w:rsid w:val="005C3B65"/>
    <w:rsid w:val="005D17EA"/>
    <w:rsid w:val="005D4B53"/>
    <w:rsid w:val="005D573C"/>
    <w:rsid w:val="005E27A6"/>
    <w:rsid w:val="005E4441"/>
    <w:rsid w:val="005E538A"/>
    <w:rsid w:val="005F00D0"/>
    <w:rsid w:val="005F25A7"/>
    <w:rsid w:val="005F364C"/>
    <w:rsid w:val="005F4FE6"/>
    <w:rsid w:val="00601A9A"/>
    <w:rsid w:val="00611605"/>
    <w:rsid w:val="00611946"/>
    <w:rsid w:val="006177CA"/>
    <w:rsid w:val="006204BE"/>
    <w:rsid w:val="0062149D"/>
    <w:rsid w:val="00623D18"/>
    <w:rsid w:val="00626859"/>
    <w:rsid w:val="00632638"/>
    <w:rsid w:val="00642A1A"/>
    <w:rsid w:val="006452EA"/>
    <w:rsid w:val="0064775C"/>
    <w:rsid w:val="006514A8"/>
    <w:rsid w:val="006554B8"/>
    <w:rsid w:val="006620E1"/>
    <w:rsid w:val="0066300B"/>
    <w:rsid w:val="00665936"/>
    <w:rsid w:val="006670C5"/>
    <w:rsid w:val="00670A0C"/>
    <w:rsid w:val="00684D90"/>
    <w:rsid w:val="00685B58"/>
    <w:rsid w:val="006905A7"/>
    <w:rsid w:val="0069288A"/>
    <w:rsid w:val="0069385C"/>
    <w:rsid w:val="00695949"/>
    <w:rsid w:val="00697643"/>
    <w:rsid w:val="006A2CFB"/>
    <w:rsid w:val="006A4BED"/>
    <w:rsid w:val="006A5424"/>
    <w:rsid w:val="006A5DE0"/>
    <w:rsid w:val="006C2DC2"/>
    <w:rsid w:val="006C41BA"/>
    <w:rsid w:val="006D6200"/>
    <w:rsid w:val="006E00C6"/>
    <w:rsid w:val="006E706C"/>
    <w:rsid w:val="006F08D9"/>
    <w:rsid w:val="006F165E"/>
    <w:rsid w:val="006F2A5A"/>
    <w:rsid w:val="006F2FFE"/>
    <w:rsid w:val="006F4B1D"/>
    <w:rsid w:val="006F5195"/>
    <w:rsid w:val="00702B89"/>
    <w:rsid w:val="007115D3"/>
    <w:rsid w:val="0071373E"/>
    <w:rsid w:val="00720D44"/>
    <w:rsid w:val="00720EE7"/>
    <w:rsid w:val="00727036"/>
    <w:rsid w:val="00727631"/>
    <w:rsid w:val="00733C64"/>
    <w:rsid w:val="0073437C"/>
    <w:rsid w:val="00746EA9"/>
    <w:rsid w:val="0075001E"/>
    <w:rsid w:val="0075340D"/>
    <w:rsid w:val="00757FDD"/>
    <w:rsid w:val="0076382D"/>
    <w:rsid w:val="00767F41"/>
    <w:rsid w:val="007741C3"/>
    <w:rsid w:val="0077675A"/>
    <w:rsid w:val="007817A4"/>
    <w:rsid w:val="007849CA"/>
    <w:rsid w:val="00784A89"/>
    <w:rsid w:val="007A4435"/>
    <w:rsid w:val="007B1684"/>
    <w:rsid w:val="007B385D"/>
    <w:rsid w:val="007B4552"/>
    <w:rsid w:val="007B48F7"/>
    <w:rsid w:val="007B57AE"/>
    <w:rsid w:val="007D1E39"/>
    <w:rsid w:val="007D5126"/>
    <w:rsid w:val="007E0117"/>
    <w:rsid w:val="007E1B7A"/>
    <w:rsid w:val="007E224A"/>
    <w:rsid w:val="007E603C"/>
    <w:rsid w:val="007F2E33"/>
    <w:rsid w:val="007F376B"/>
    <w:rsid w:val="007F68F0"/>
    <w:rsid w:val="008010E2"/>
    <w:rsid w:val="00803EBE"/>
    <w:rsid w:val="00810ACD"/>
    <w:rsid w:val="008159E3"/>
    <w:rsid w:val="0082623D"/>
    <w:rsid w:val="00826E74"/>
    <w:rsid w:val="008359A9"/>
    <w:rsid w:val="008373B4"/>
    <w:rsid w:val="0084012A"/>
    <w:rsid w:val="00850BCB"/>
    <w:rsid w:val="0085171D"/>
    <w:rsid w:val="0085333A"/>
    <w:rsid w:val="008540DB"/>
    <w:rsid w:val="0085714E"/>
    <w:rsid w:val="008600CC"/>
    <w:rsid w:val="00860D7E"/>
    <w:rsid w:val="008661DC"/>
    <w:rsid w:val="0087095F"/>
    <w:rsid w:val="00877A1D"/>
    <w:rsid w:val="00881F57"/>
    <w:rsid w:val="00886DE0"/>
    <w:rsid w:val="00890411"/>
    <w:rsid w:val="008940A1"/>
    <w:rsid w:val="008A01F0"/>
    <w:rsid w:val="008A2DBE"/>
    <w:rsid w:val="008A394F"/>
    <w:rsid w:val="008A3F22"/>
    <w:rsid w:val="008A6BA0"/>
    <w:rsid w:val="008B1393"/>
    <w:rsid w:val="008B314C"/>
    <w:rsid w:val="008B7232"/>
    <w:rsid w:val="008B740A"/>
    <w:rsid w:val="008B7C70"/>
    <w:rsid w:val="008C2141"/>
    <w:rsid w:val="008C6DAB"/>
    <w:rsid w:val="008C7FE0"/>
    <w:rsid w:val="008D12A9"/>
    <w:rsid w:val="008D476E"/>
    <w:rsid w:val="008D4773"/>
    <w:rsid w:val="008D529C"/>
    <w:rsid w:val="008E3772"/>
    <w:rsid w:val="008E3858"/>
    <w:rsid w:val="008E4951"/>
    <w:rsid w:val="008E65DB"/>
    <w:rsid w:val="008F0529"/>
    <w:rsid w:val="009024CB"/>
    <w:rsid w:val="00906886"/>
    <w:rsid w:val="00910B4B"/>
    <w:rsid w:val="0091248D"/>
    <w:rsid w:val="00915F7A"/>
    <w:rsid w:val="0092011E"/>
    <w:rsid w:val="00920577"/>
    <w:rsid w:val="0092546B"/>
    <w:rsid w:val="00927F7B"/>
    <w:rsid w:val="00930029"/>
    <w:rsid w:val="0093105A"/>
    <w:rsid w:val="00932123"/>
    <w:rsid w:val="00933BE1"/>
    <w:rsid w:val="00935985"/>
    <w:rsid w:val="0093760E"/>
    <w:rsid w:val="009378C2"/>
    <w:rsid w:val="00942B63"/>
    <w:rsid w:val="009460BC"/>
    <w:rsid w:val="009467FD"/>
    <w:rsid w:val="00954A9F"/>
    <w:rsid w:val="0095752F"/>
    <w:rsid w:val="00957AB5"/>
    <w:rsid w:val="00964749"/>
    <w:rsid w:val="00965999"/>
    <w:rsid w:val="00982A70"/>
    <w:rsid w:val="00984242"/>
    <w:rsid w:val="00984F73"/>
    <w:rsid w:val="009856BF"/>
    <w:rsid w:val="00992D8E"/>
    <w:rsid w:val="009948C4"/>
    <w:rsid w:val="009964E0"/>
    <w:rsid w:val="00996945"/>
    <w:rsid w:val="009A068C"/>
    <w:rsid w:val="009A13BE"/>
    <w:rsid w:val="009A5141"/>
    <w:rsid w:val="009A69FC"/>
    <w:rsid w:val="009A6AED"/>
    <w:rsid w:val="009B3515"/>
    <w:rsid w:val="009C0EBE"/>
    <w:rsid w:val="009C34FC"/>
    <w:rsid w:val="009E280E"/>
    <w:rsid w:val="009F1B67"/>
    <w:rsid w:val="00A007F8"/>
    <w:rsid w:val="00A079EC"/>
    <w:rsid w:val="00A1178F"/>
    <w:rsid w:val="00A13585"/>
    <w:rsid w:val="00A16E4A"/>
    <w:rsid w:val="00A242A0"/>
    <w:rsid w:val="00A346E0"/>
    <w:rsid w:val="00A51F3B"/>
    <w:rsid w:val="00A70AAD"/>
    <w:rsid w:val="00A7385D"/>
    <w:rsid w:val="00A8270E"/>
    <w:rsid w:val="00A83F72"/>
    <w:rsid w:val="00AB0BC2"/>
    <w:rsid w:val="00AB254B"/>
    <w:rsid w:val="00AB5F6A"/>
    <w:rsid w:val="00AC0993"/>
    <w:rsid w:val="00AC72C3"/>
    <w:rsid w:val="00AD1781"/>
    <w:rsid w:val="00AD287C"/>
    <w:rsid w:val="00AD343F"/>
    <w:rsid w:val="00AD4152"/>
    <w:rsid w:val="00AE2B64"/>
    <w:rsid w:val="00AF451B"/>
    <w:rsid w:val="00B01A9C"/>
    <w:rsid w:val="00B02737"/>
    <w:rsid w:val="00B04082"/>
    <w:rsid w:val="00B26646"/>
    <w:rsid w:val="00B305BE"/>
    <w:rsid w:val="00B32651"/>
    <w:rsid w:val="00B32E66"/>
    <w:rsid w:val="00B35B35"/>
    <w:rsid w:val="00B37605"/>
    <w:rsid w:val="00B40343"/>
    <w:rsid w:val="00B44120"/>
    <w:rsid w:val="00B5141A"/>
    <w:rsid w:val="00B56368"/>
    <w:rsid w:val="00B63838"/>
    <w:rsid w:val="00B644D7"/>
    <w:rsid w:val="00B827E9"/>
    <w:rsid w:val="00B839FB"/>
    <w:rsid w:val="00B92AB5"/>
    <w:rsid w:val="00B93DC2"/>
    <w:rsid w:val="00B9459F"/>
    <w:rsid w:val="00B955DA"/>
    <w:rsid w:val="00B96B5A"/>
    <w:rsid w:val="00BA1B60"/>
    <w:rsid w:val="00BA2C10"/>
    <w:rsid w:val="00BA57ED"/>
    <w:rsid w:val="00BA6E71"/>
    <w:rsid w:val="00BB3E6B"/>
    <w:rsid w:val="00BC0090"/>
    <w:rsid w:val="00BC19C9"/>
    <w:rsid w:val="00BD3141"/>
    <w:rsid w:val="00BD6D14"/>
    <w:rsid w:val="00BE29CA"/>
    <w:rsid w:val="00BE554A"/>
    <w:rsid w:val="00BF1207"/>
    <w:rsid w:val="00C05761"/>
    <w:rsid w:val="00C11AFB"/>
    <w:rsid w:val="00C167F9"/>
    <w:rsid w:val="00C1694F"/>
    <w:rsid w:val="00C16AB5"/>
    <w:rsid w:val="00C171F9"/>
    <w:rsid w:val="00C172DD"/>
    <w:rsid w:val="00C26AB7"/>
    <w:rsid w:val="00C33F8D"/>
    <w:rsid w:val="00C346E9"/>
    <w:rsid w:val="00C60D84"/>
    <w:rsid w:val="00C64837"/>
    <w:rsid w:val="00C65BB9"/>
    <w:rsid w:val="00C735E8"/>
    <w:rsid w:val="00C73BB9"/>
    <w:rsid w:val="00C85727"/>
    <w:rsid w:val="00C94915"/>
    <w:rsid w:val="00C94B5E"/>
    <w:rsid w:val="00CB541F"/>
    <w:rsid w:val="00CC277C"/>
    <w:rsid w:val="00CC29FF"/>
    <w:rsid w:val="00CC33BC"/>
    <w:rsid w:val="00CE0816"/>
    <w:rsid w:val="00CE1263"/>
    <w:rsid w:val="00CE49FF"/>
    <w:rsid w:val="00CE4CBD"/>
    <w:rsid w:val="00CE59C2"/>
    <w:rsid w:val="00CE7C52"/>
    <w:rsid w:val="00CF388A"/>
    <w:rsid w:val="00CF4904"/>
    <w:rsid w:val="00D004A5"/>
    <w:rsid w:val="00D02865"/>
    <w:rsid w:val="00D02968"/>
    <w:rsid w:val="00D03C63"/>
    <w:rsid w:val="00D15AE9"/>
    <w:rsid w:val="00D24FF9"/>
    <w:rsid w:val="00D45B6E"/>
    <w:rsid w:val="00D473F8"/>
    <w:rsid w:val="00D50DFB"/>
    <w:rsid w:val="00D52337"/>
    <w:rsid w:val="00D540B3"/>
    <w:rsid w:val="00D57737"/>
    <w:rsid w:val="00D61B2D"/>
    <w:rsid w:val="00D640C0"/>
    <w:rsid w:val="00D641BC"/>
    <w:rsid w:val="00D6684B"/>
    <w:rsid w:val="00D777D7"/>
    <w:rsid w:val="00D77DE8"/>
    <w:rsid w:val="00D84987"/>
    <w:rsid w:val="00D90F3B"/>
    <w:rsid w:val="00D92BB3"/>
    <w:rsid w:val="00D94FDA"/>
    <w:rsid w:val="00D959AD"/>
    <w:rsid w:val="00DA14AE"/>
    <w:rsid w:val="00DA2B74"/>
    <w:rsid w:val="00DA3074"/>
    <w:rsid w:val="00DA4417"/>
    <w:rsid w:val="00DA52E4"/>
    <w:rsid w:val="00DA7AE9"/>
    <w:rsid w:val="00DB2CD4"/>
    <w:rsid w:val="00DB6DEF"/>
    <w:rsid w:val="00DB71E6"/>
    <w:rsid w:val="00DC0BC8"/>
    <w:rsid w:val="00DC33C3"/>
    <w:rsid w:val="00DC54F8"/>
    <w:rsid w:val="00DC7A23"/>
    <w:rsid w:val="00DD2A86"/>
    <w:rsid w:val="00DE2ACA"/>
    <w:rsid w:val="00DE6ACB"/>
    <w:rsid w:val="00DF28D3"/>
    <w:rsid w:val="00DF4FE4"/>
    <w:rsid w:val="00E04264"/>
    <w:rsid w:val="00E1455F"/>
    <w:rsid w:val="00E16D22"/>
    <w:rsid w:val="00E2063D"/>
    <w:rsid w:val="00E210BB"/>
    <w:rsid w:val="00E2523B"/>
    <w:rsid w:val="00E26AC1"/>
    <w:rsid w:val="00E434A5"/>
    <w:rsid w:val="00E44B08"/>
    <w:rsid w:val="00E47B9C"/>
    <w:rsid w:val="00E60060"/>
    <w:rsid w:val="00E602A1"/>
    <w:rsid w:val="00E61C9B"/>
    <w:rsid w:val="00E736FE"/>
    <w:rsid w:val="00E7496E"/>
    <w:rsid w:val="00E87D34"/>
    <w:rsid w:val="00E908DC"/>
    <w:rsid w:val="00E9172F"/>
    <w:rsid w:val="00E94914"/>
    <w:rsid w:val="00EA2AB8"/>
    <w:rsid w:val="00EB4F16"/>
    <w:rsid w:val="00EB57A6"/>
    <w:rsid w:val="00EC4869"/>
    <w:rsid w:val="00ED3196"/>
    <w:rsid w:val="00ED4417"/>
    <w:rsid w:val="00ED7A9C"/>
    <w:rsid w:val="00EE06BE"/>
    <w:rsid w:val="00EE24BD"/>
    <w:rsid w:val="00EE5CDF"/>
    <w:rsid w:val="00EE5F55"/>
    <w:rsid w:val="00EF21A8"/>
    <w:rsid w:val="00EF2A03"/>
    <w:rsid w:val="00EF32E1"/>
    <w:rsid w:val="00EF387F"/>
    <w:rsid w:val="00EF4453"/>
    <w:rsid w:val="00EF7E44"/>
    <w:rsid w:val="00F02072"/>
    <w:rsid w:val="00F107BE"/>
    <w:rsid w:val="00F2281A"/>
    <w:rsid w:val="00F23777"/>
    <w:rsid w:val="00F30176"/>
    <w:rsid w:val="00F35C31"/>
    <w:rsid w:val="00F35F8F"/>
    <w:rsid w:val="00F423DC"/>
    <w:rsid w:val="00F511D3"/>
    <w:rsid w:val="00F516DC"/>
    <w:rsid w:val="00F61D53"/>
    <w:rsid w:val="00F623B3"/>
    <w:rsid w:val="00F6281A"/>
    <w:rsid w:val="00F67DB6"/>
    <w:rsid w:val="00F75939"/>
    <w:rsid w:val="00F840DA"/>
    <w:rsid w:val="00F90B38"/>
    <w:rsid w:val="00F943BF"/>
    <w:rsid w:val="00F956D9"/>
    <w:rsid w:val="00F96601"/>
    <w:rsid w:val="00FA35BD"/>
    <w:rsid w:val="00FA3AEA"/>
    <w:rsid w:val="00FA45D8"/>
    <w:rsid w:val="00FA639F"/>
    <w:rsid w:val="00FA6508"/>
    <w:rsid w:val="00FC1A1A"/>
    <w:rsid w:val="00FC6670"/>
    <w:rsid w:val="00FE22A0"/>
    <w:rsid w:val="00FE2751"/>
    <w:rsid w:val="00FF0542"/>
    <w:rsid w:val="00FF32CA"/>
    <w:rsid w:val="00FF4C02"/>
    <w:rsid w:val="0228D9D8"/>
    <w:rsid w:val="0300BD7A"/>
    <w:rsid w:val="041ADBFF"/>
    <w:rsid w:val="0652DBCC"/>
    <w:rsid w:val="135ADC14"/>
    <w:rsid w:val="15FF9023"/>
    <w:rsid w:val="1773FA9F"/>
    <w:rsid w:val="180F4D33"/>
    <w:rsid w:val="19289AF4"/>
    <w:rsid w:val="1AD8C2C2"/>
    <w:rsid w:val="1D28C78F"/>
    <w:rsid w:val="1EB1E52D"/>
    <w:rsid w:val="1F4AFAD6"/>
    <w:rsid w:val="2550983E"/>
    <w:rsid w:val="27942E0C"/>
    <w:rsid w:val="2CE09A37"/>
    <w:rsid w:val="2D346E1D"/>
    <w:rsid w:val="3072FF4B"/>
    <w:rsid w:val="357AC3FE"/>
    <w:rsid w:val="35F5D3EA"/>
    <w:rsid w:val="36218D4C"/>
    <w:rsid w:val="3A363BB4"/>
    <w:rsid w:val="3C999AD4"/>
    <w:rsid w:val="404B1D8D"/>
    <w:rsid w:val="464B863B"/>
    <w:rsid w:val="4667EBF1"/>
    <w:rsid w:val="4B28AA51"/>
    <w:rsid w:val="4B411E90"/>
    <w:rsid w:val="4C718645"/>
    <w:rsid w:val="4ED222DE"/>
    <w:rsid w:val="4F4C5351"/>
    <w:rsid w:val="51BCA01C"/>
    <w:rsid w:val="543F8EC1"/>
    <w:rsid w:val="55429352"/>
    <w:rsid w:val="5AFA2200"/>
    <w:rsid w:val="5B023F84"/>
    <w:rsid w:val="67BF65A3"/>
    <w:rsid w:val="78BB7069"/>
    <w:rsid w:val="79D2780F"/>
    <w:rsid w:val="7A854ABA"/>
    <w:rsid w:val="7F85B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16B5"/>
  <w15:chartTrackingRefBased/>
  <w15:docId w15:val="{91754F3C-41CF-4711-8DE2-56EC936B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024B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020F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20F28"/>
  </w:style>
  <w:style w:type="character" w:customStyle="1" w:styleId="apple-converted-space">
    <w:name w:val="apple-converted-space"/>
    <w:rsid w:val="008159E3"/>
  </w:style>
  <w:style w:type="character" w:customStyle="1" w:styleId="s1">
    <w:name w:val="s1"/>
    <w:rsid w:val="008159E3"/>
  </w:style>
  <w:style w:type="character" w:styleId="nfase">
    <w:name w:val="Emphasis"/>
    <w:uiPriority w:val="20"/>
    <w:qFormat/>
    <w:rsid w:val="008159E3"/>
    <w:rPr>
      <w:i/>
      <w:iCs/>
    </w:rPr>
  </w:style>
  <w:style w:type="paragraph" w:customStyle="1" w:styleId="identifica">
    <w:name w:val="identifica"/>
    <w:basedOn w:val="Normal"/>
    <w:rsid w:val="008159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8159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078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E2ACA"/>
    <w:rPr>
      <w:color w:val="0000FF"/>
      <w:u w:val="single"/>
    </w:rPr>
  </w:style>
  <w:style w:type="character" w:customStyle="1" w:styleId="Ttulo1Char">
    <w:name w:val="Título 1 Char"/>
    <w:basedOn w:val="Fontepargpadro"/>
    <w:link w:val="Ttulo1"/>
    <w:uiPriority w:val="9"/>
    <w:rsid w:val="004024B2"/>
    <w:rPr>
      <w:rFonts w:asciiTheme="majorHAnsi" w:eastAsiaTheme="majorEastAsia" w:hAnsiTheme="majorHAnsi" w:cstheme="majorBidi"/>
      <w:color w:val="2F5496" w:themeColor="accent1" w:themeShade="BF"/>
      <w:sz w:val="32"/>
      <w:szCs w:val="32"/>
    </w:rPr>
  </w:style>
  <w:style w:type="paragraph" w:styleId="Textodecomentrio">
    <w:name w:val="annotation text"/>
    <w:basedOn w:val="Normal"/>
    <w:link w:val="TextodecomentrioChar"/>
    <w:uiPriority w:val="99"/>
    <w:semiHidden/>
    <w:unhideWhenUsed/>
    <w:rsid w:val="004024B2"/>
    <w:pPr>
      <w:spacing w:after="0" w:line="240" w:lineRule="auto"/>
    </w:pPr>
    <w:rPr>
      <w:rFonts w:ascii="Times New Roman" w:eastAsiaTheme="minorEastAsia"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4024B2"/>
    <w:rPr>
      <w:rFonts w:ascii="Times New Roman" w:eastAsiaTheme="minorEastAsia" w:hAnsi="Times New Roman" w:cs="Times New Roman"/>
      <w:sz w:val="20"/>
      <w:szCs w:val="20"/>
      <w:lang w:eastAsia="pt-BR"/>
    </w:rPr>
  </w:style>
  <w:style w:type="character" w:styleId="Refdecomentrio">
    <w:name w:val="annotation reference"/>
    <w:basedOn w:val="Fontepargpadro"/>
    <w:uiPriority w:val="99"/>
    <w:semiHidden/>
    <w:unhideWhenUsed/>
    <w:rsid w:val="004024B2"/>
    <w:rPr>
      <w:sz w:val="16"/>
      <w:szCs w:val="16"/>
    </w:rPr>
  </w:style>
  <w:style w:type="table" w:styleId="Tabelacomgrade">
    <w:name w:val="Table Grid"/>
    <w:basedOn w:val="Tabelanormal"/>
    <w:uiPriority w:val="39"/>
    <w:rsid w:val="004024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4F8"/>
    <w:pPr>
      <w:ind w:left="720"/>
      <w:contextualSpacing/>
    </w:pPr>
  </w:style>
  <w:style w:type="character" w:customStyle="1" w:styleId="MenoPendente1">
    <w:name w:val="Menção Pendente1"/>
    <w:basedOn w:val="Fontepargpadro"/>
    <w:uiPriority w:val="99"/>
    <w:semiHidden/>
    <w:unhideWhenUsed/>
    <w:rsid w:val="008C2141"/>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390B9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390B96"/>
    <w:rPr>
      <w:rFonts w:ascii="Times New Roman" w:eastAsiaTheme="minorEastAsia" w:hAnsi="Times New Roman" w:cs="Times New Roman"/>
      <w:b/>
      <w:bCs/>
      <w:sz w:val="20"/>
      <w:szCs w:val="20"/>
      <w:lang w:eastAsia="pt-BR"/>
    </w:rPr>
  </w:style>
  <w:style w:type="paragraph" w:styleId="Pr-formataoHTML">
    <w:name w:val="HTML Preformatted"/>
    <w:basedOn w:val="Normal"/>
    <w:link w:val="Pr-formataoHTMLChar"/>
    <w:uiPriority w:val="99"/>
    <w:unhideWhenUsed/>
    <w:rsid w:val="00F5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511D3"/>
    <w:rPr>
      <w:rFonts w:ascii="Courier New" w:eastAsia="Times New Roman" w:hAnsi="Courier New" w:cs="Courier New"/>
      <w:sz w:val="20"/>
      <w:szCs w:val="20"/>
      <w:lang w:eastAsia="pt-BR"/>
    </w:rPr>
  </w:style>
  <w:style w:type="character" w:customStyle="1" w:styleId="y2iqfc">
    <w:name w:val="y2iqfc"/>
    <w:basedOn w:val="Fontepargpadro"/>
    <w:rsid w:val="00F511D3"/>
  </w:style>
  <w:style w:type="paragraph" w:styleId="SemEspaamento">
    <w:name w:val="No Spacing"/>
    <w:uiPriority w:val="1"/>
    <w:qFormat/>
    <w:rsid w:val="00915F7A"/>
    <w:pPr>
      <w:spacing w:after="0" w:line="240" w:lineRule="auto"/>
    </w:pPr>
  </w:style>
  <w:style w:type="paragraph" w:styleId="Cabealho">
    <w:name w:val="header"/>
    <w:basedOn w:val="Normal"/>
    <w:link w:val="CabealhoChar"/>
    <w:uiPriority w:val="99"/>
    <w:unhideWhenUsed/>
    <w:rsid w:val="00954A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4A9F"/>
  </w:style>
  <w:style w:type="paragraph" w:styleId="Rodap">
    <w:name w:val="footer"/>
    <w:basedOn w:val="Normal"/>
    <w:link w:val="RodapChar"/>
    <w:uiPriority w:val="99"/>
    <w:unhideWhenUsed/>
    <w:rsid w:val="00954A9F"/>
    <w:pPr>
      <w:tabs>
        <w:tab w:val="center" w:pos="4252"/>
        <w:tab w:val="right" w:pos="8504"/>
      </w:tabs>
      <w:spacing w:after="0" w:line="240" w:lineRule="auto"/>
    </w:pPr>
  </w:style>
  <w:style w:type="character" w:customStyle="1" w:styleId="RodapChar">
    <w:name w:val="Rodapé Char"/>
    <w:basedOn w:val="Fontepargpadro"/>
    <w:link w:val="Rodap"/>
    <w:uiPriority w:val="99"/>
    <w:rsid w:val="00954A9F"/>
  </w:style>
  <w:style w:type="character" w:customStyle="1" w:styleId="ref-title">
    <w:name w:val="ref-title"/>
    <w:basedOn w:val="Fontepargpadro"/>
    <w:rsid w:val="006E00C6"/>
  </w:style>
  <w:style w:type="character" w:customStyle="1" w:styleId="ref-journal">
    <w:name w:val="ref-journal"/>
    <w:basedOn w:val="Fontepargpadro"/>
    <w:rsid w:val="006E00C6"/>
  </w:style>
  <w:style w:type="character" w:customStyle="1" w:styleId="ref-vol">
    <w:name w:val="ref-vol"/>
    <w:basedOn w:val="Fontepargpadro"/>
    <w:rsid w:val="006E00C6"/>
  </w:style>
  <w:style w:type="character" w:styleId="HiperlinkVisitado">
    <w:name w:val="FollowedHyperlink"/>
    <w:basedOn w:val="Fontepargpadro"/>
    <w:uiPriority w:val="99"/>
    <w:semiHidden/>
    <w:unhideWhenUsed/>
    <w:rsid w:val="00FE22A0"/>
    <w:rPr>
      <w:color w:val="954F72" w:themeColor="followedHyperlink"/>
      <w:u w:val="single"/>
    </w:rPr>
  </w:style>
  <w:style w:type="character" w:customStyle="1" w:styleId="element-citation">
    <w:name w:val="element-citation"/>
    <w:basedOn w:val="Fontepargpadro"/>
    <w:rsid w:val="008E4951"/>
  </w:style>
  <w:style w:type="character" w:customStyle="1" w:styleId="nowrap">
    <w:name w:val="nowrap"/>
    <w:basedOn w:val="Fontepargpadro"/>
    <w:rsid w:val="008E4951"/>
  </w:style>
  <w:style w:type="paragraph" w:styleId="Textodebalo">
    <w:name w:val="Balloon Text"/>
    <w:basedOn w:val="Normal"/>
    <w:link w:val="TextodebaloChar"/>
    <w:uiPriority w:val="99"/>
    <w:semiHidden/>
    <w:unhideWhenUsed/>
    <w:rsid w:val="006F16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165E"/>
    <w:rPr>
      <w:rFonts w:ascii="Segoe UI" w:hAnsi="Segoe UI" w:cs="Segoe UI"/>
      <w:sz w:val="18"/>
      <w:szCs w:val="18"/>
    </w:rPr>
  </w:style>
  <w:style w:type="character" w:styleId="MenoPendente">
    <w:name w:val="Unresolved Mention"/>
    <w:basedOn w:val="Fontepargpadro"/>
    <w:uiPriority w:val="99"/>
    <w:semiHidden/>
    <w:unhideWhenUsed/>
    <w:rsid w:val="006A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075">
      <w:bodyDiv w:val="1"/>
      <w:marLeft w:val="0"/>
      <w:marRight w:val="0"/>
      <w:marTop w:val="0"/>
      <w:marBottom w:val="0"/>
      <w:divBdr>
        <w:top w:val="none" w:sz="0" w:space="0" w:color="auto"/>
        <w:left w:val="none" w:sz="0" w:space="0" w:color="auto"/>
        <w:bottom w:val="none" w:sz="0" w:space="0" w:color="auto"/>
        <w:right w:val="none" w:sz="0" w:space="0" w:color="auto"/>
      </w:divBdr>
    </w:div>
    <w:div w:id="27492090">
      <w:bodyDiv w:val="1"/>
      <w:marLeft w:val="0"/>
      <w:marRight w:val="0"/>
      <w:marTop w:val="0"/>
      <w:marBottom w:val="0"/>
      <w:divBdr>
        <w:top w:val="none" w:sz="0" w:space="0" w:color="auto"/>
        <w:left w:val="none" w:sz="0" w:space="0" w:color="auto"/>
        <w:bottom w:val="none" w:sz="0" w:space="0" w:color="auto"/>
        <w:right w:val="none" w:sz="0" w:space="0" w:color="auto"/>
      </w:divBdr>
      <w:divsChild>
        <w:div w:id="104426993">
          <w:marLeft w:val="0"/>
          <w:marRight w:val="0"/>
          <w:marTop w:val="166"/>
          <w:marBottom w:val="166"/>
          <w:divBdr>
            <w:top w:val="none" w:sz="0" w:space="0" w:color="auto"/>
            <w:left w:val="none" w:sz="0" w:space="0" w:color="auto"/>
            <w:bottom w:val="none" w:sz="0" w:space="0" w:color="auto"/>
            <w:right w:val="none" w:sz="0" w:space="0" w:color="auto"/>
          </w:divBdr>
        </w:div>
        <w:div w:id="1666131434">
          <w:marLeft w:val="0"/>
          <w:marRight w:val="0"/>
          <w:marTop w:val="166"/>
          <w:marBottom w:val="166"/>
          <w:divBdr>
            <w:top w:val="none" w:sz="0" w:space="0" w:color="auto"/>
            <w:left w:val="none" w:sz="0" w:space="0" w:color="auto"/>
            <w:bottom w:val="none" w:sz="0" w:space="0" w:color="auto"/>
            <w:right w:val="none" w:sz="0" w:space="0" w:color="auto"/>
          </w:divBdr>
        </w:div>
        <w:div w:id="599871115">
          <w:marLeft w:val="0"/>
          <w:marRight w:val="0"/>
          <w:marTop w:val="166"/>
          <w:marBottom w:val="166"/>
          <w:divBdr>
            <w:top w:val="none" w:sz="0" w:space="0" w:color="auto"/>
            <w:left w:val="none" w:sz="0" w:space="0" w:color="auto"/>
            <w:bottom w:val="none" w:sz="0" w:space="0" w:color="auto"/>
            <w:right w:val="none" w:sz="0" w:space="0" w:color="auto"/>
          </w:divBdr>
        </w:div>
        <w:div w:id="1099181536">
          <w:marLeft w:val="0"/>
          <w:marRight w:val="0"/>
          <w:marTop w:val="166"/>
          <w:marBottom w:val="166"/>
          <w:divBdr>
            <w:top w:val="none" w:sz="0" w:space="0" w:color="auto"/>
            <w:left w:val="none" w:sz="0" w:space="0" w:color="auto"/>
            <w:bottom w:val="none" w:sz="0" w:space="0" w:color="auto"/>
            <w:right w:val="none" w:sz="0" w:space="0" w:color="auto"/>
          </w:divBdr>
        </w:div>
      </w:divsChild>
    </w:div>
    <w:div w:id="407776770">
      <w:bodyDiv w:val="1"/>
      <w:marLeft w:val="0"/>
      <w:marRight w:val="0"/>
      <w:marTop w:val="0"/>
      <w:marBottom w:val="0"/>
      <w:divBdr>
        <w:top w:val="none" w:sz="0" w:space="0" w:color="auto"/>
        <w:left w:val="none" w:sz="0" w:space="0" w:color="auto"/>
        <w:bottom w:val="none" w:sz="0" w:space="0" w:color="auto"/>
        <w:right w:val="none" w:sz="0" w:space="0" w:color="auto"/>
      </w:divBdr>
    </w:div>
    <w:div w:id="635647089">
      <w:bodyDiv w:val="1"/>
      <w:marLeft w:val="0"/>
      <w:marRight w:val="0"/>
      <w:marTop w:val="0"/>
      <w:marBottom w:val="0"/>
      <w:divBdr>
        <w:top w:val="none" w:sz="0" w:space="0" w:color="auto"/>
        <w:left w:val="none" w:sz="0" w:space="0" w:color="auto"/>
        <w:bottom w:val="none" w:sz="0" w:space="0" w:color="auto"/>
        <w:right w:val="none" w:sz="0" w:space="0" w:color="auto"/>
      </w:divBdr>
    </w:div>
    <w:div w:id="693772350">
      <w:bodyDiv w:val="1"/>
      <w:marLeft w:val="0"/>
      <w:marRight w:val="0"/>
      <w:marTop w:val="0"/>
      <w:marBottom w:val="0"/>
      <w:divBdr>
        <w:top w:val="none" w:sz="0" w:space="0" w:color="auto"/>
        <w:left w:val="none" w:sz="0" w:space="0" w:color="auto"/>
        <w:bottom w:val="none" w:sz="0" w:space="0" w:color="auto"/>
        <w:right w:val="none" w:sz="0" w:space="0" w:color="auto"/>
      </w:divBdr>
    </w:div>
    <w:div w:id="732974360">
      <w:bodyDiv w:val="1"/>
      <w:marLeft w:val="0"/>
      <w:marRight w:val="0"/>
      <w:marTop w:val="0"/>
      <w:marBottom w:val="0"/>
      <w:divBdr>
        <w:top w:val="none" w:sz="0" w:space="0" w:color="auto"/>
        <w:left w:val="none" w:sz="0" w:space="0" w:color="auto"/>
        <w:bottom w:val="none" w:sz="0" w:space="0" w:color="auto"/>
        <w:right w:val="none" w:sz="0" w:space="0" w:color="auto"/>
      </w:divBdr>
    </w:div>
    <w:div w:id="765274125">
      <w:bodyDiv w:val="1"/>
      <w:marLeft w:val="0"/>
      <w:marRight w:val="0"/>
      <w:marTop w:val="0"/>
      <w:marBottom w:val="0"/>
      <w:divBdr>
        <w:top w:val="none" w:sz="0" w:space="0" w:color="auto"/>
        <w:left w:val="none" w:sz="0" w:space="0" w:color="auto"/>
        <w:bottom w:val="none" w:sz="0" w:space="0" w:color="auto"/>
        <w:right w:val="none" w:sz="0" w:space="0" w:color="auto"/>
      </w:divBdr>
    </w:div>
    <w:div w:id="943654642">
      <w:bodyDiv w:val="1"/>
      <w:marLeft w:val="0"/>
      <w:marRight w:val="0"/>
      <w:marTop w:val="0"/>
      <w:marBottom w:val="0"/>
      <w:divBdr>
        <w:top w:val="none" w:sz="0" w:space="0" w:color="auto"/>
        <w:left w:val="none" w:sz="0" w:space="0" w:color="auto"/>
        <w:bottom w:val="none" w:sz="0" w:space="0" w:color="auto"/>
        <w:right w:val="none" w:sz="0" w:space="0" w:color="auto"/>
      </w:divBdr>
    </w:div>
    <w:div w:id="1199051406">
      <w:bodyDiv w:val="1"/>
      <w:marLeft w:val="0"/>
      <w:marRight w:val="0"/>
      <w:marTop w:val="0"/>
      <w:marBottom w:val="0"/>
      <w:divBdr>
        <w:top w:val="none" w:sz="0" w:space="0" w:color="auto"/>
        <w:left w:val="none" w:sz="0" w:space="0" w:color="auto"/>
        <w:bottom w:val="none" w:sz="0" w:space="0" w:color="auto"/>
        <w:right w:val="none" w:sz="0" w:space="0" w:color="auto"/>
      </w:divBdr>
    </w:div>
    <w:div w:id="1428844414">
      <w:bodyDiv w:val="1"/>
      <w:marLeft w:val="0"/>
      <w:marRight w:val="0"/>
      <w:marTop w:val="0"/>
      <w:marBottom w:val="0"/>
      <w:divBdr>
        <w:top w:val="none" w:sz="0" w:space="0" w:color="auto"/>
        <w:left w:val="none" w:sz="0" w:space="0" w:color="auto"/>
        <w:bottom w:val="none" w:sz="0" w:space="0" w:color="auto"/>
        <w:right w:val="none" w:sz="0" w:space="0" w:color="auto"/>
      </w:divBdr>
    </w:div>
    <w:div w:id="1443650805">
      <w:bodyDiv w:val="1"/>
      <w:marLeft w:val="0"/>
      <w:marRight w:val="0"/>
      <w:marTop w:val="0"/>
      <w:marBottom w:val="0"/>
      <w:divBdr>
        <w:top w:val="none" w:sz="0" w:space="0" w:color="auto"/>
        <w:left w:val="none" w:sz="0" w:space="0" w:color="auto"/>
        <w:bottom w:val="none" w:sz="0" w:space="0" w:color="auto"/>
        <w:right w:val="none" w:sz="0" w:space="0" w:color="auto"/>
      </w:divBdr>
    </w:div>
    <w:div w:id="1479303813">
      <w:bodyDiv w:val="1"/>
      <w:marLeft w:val="0"/>
      <w:marRight w:val="0"/>
      <w:marTop w:val="0"/>
      <w:marBottom w:val="0"/>
      <w:divBdr>
        <w:top w:val="none" w:sz="0" w:space="0" w:color="auto"/>
        <w:left w:val="none" w:sz="0" w:space="0" w:color="auto"/>
        <w:bottom w:val="none" w:sz="0" w:space="0" w:color="auto"/>
        <w:right w:val="none" w:sz="0" w:space="0" w:color="auto"/>
      </w:divBdr>
    </w:div>
    <w:div w:id="1522428061">
      <w:bodyDiv w:val="1"/>
      <w:marLeft w:val="0"/>
      <w:marRight w:val="0"/>
      <w:marTop w:val="0"/>
      <w:marBottom w:val="0"/>
      <w:divBdr>
        <w:top w:val="none" w:sz="0" w:space="0" w:color="auto"/>
        <w:left w:val="none" w:sz="0" w:space="0" w:color="auto"/>
        <w:bottom w:val="none" w:sz="0" w:space="0" w:color="auto"/>
        <w:right w:val="none" w:sz="0" w:space="0" w:color="auto"/>
      </w:divBdr>
    </w:div>
    <w:div w:id="1794211237">
      <w:bodyDiv w:val="1"/>
      <w:marLeft w:val="0"/>
      <w:marRight w:val="0"/>
      <w:marTop w:val="0"/>
      <w:marBottom w:val="0"/>
      <w:divBdr>
        <w:top w:val="none" w:sz="0" w:space="0" w:color="auto"/>
        <w:left w:val="none" w:sz="0" w:space="0" w:color="auto"/>
        <w:bottom w:val="none" w:sz="0" w:space="0" w:color="auto"/>
        <w:right w:val="none" w:sz="0" w:space="0" w:color="auto"/>
      </w:divBdr>
    </w:div>
    <w:div w:id="1894925868">
      <w:bodyDiv w:val="1"/>
      <w:marLeft w:val="0"/>
      <w:marRight w:val="0"/>
      <w:marTop w:val="0"/>
      <w:marBottom w:val="0"/>
      <w:divBdr>
        <w:top w:val="none" w:sz="0" w:space="0" w:color="auto"/>
        <w:left w:val="none" w:sz="0" w:space="0" w:color="auto"/>
        <w:bottom w:val="none" w:sz="0" w:space="0" w:color="auto"/>
        <w:right w:val="none" w:sz="0" w:space="0" w:color="auto"/>
      </w:divBdr>
    </w:div>
    <w:div w:id="1981492686">
      <w:bodyDiv w:val="1"/>
      <w:marLeft w:val="0"/>
      <w:marRight w:val="0"/>
      <w:marTop w:val="0"/>
      <w:marBottom w:val="0"/>
      <w:divBdr>
        <w:top w:val="none" w:sz="0" w:space="0" w:color="auto"/>
        <w:left w:val="none" w:sz="0" w:space="0" w:color="auto"/>
        <w:bottom w:val="none" w:sz="0" w:space="0" w:color="auto"/>
        <w:right w:val="none" w:sz="0" w:space="0" w:color="auto"/>
      </w:divBdr>
    </w:div>
    <w:div w:id="2070423339">
      <w:bodyDiv w:val="1"/>
      <w:marLeft w:val="0"/>
      <w:marRight w:val="0"/>
      <w:marTop w:val="0"/>
      <w:marBottom w:val="0"/>
      <w:divBdr>
        <w:top w:val="none" w:sz="0" w:space="0" w:color="auto"/>
        <w:left w:val="none" w:sz="0" w:space="0" w:color="auto"/>
        <w:bottom w:val="none" w:sz="0" w:space="0" w:color="auto"/>
        <w:right w:val="none" w:sz="0" w:space="0" w:color="auto"/>
      </w:divBdr>
      <w:divsChild>
        <w:div w:id="592666649">
          <w:marLeft w:val="0"/>
          <w:marRight w:val="0"/>
          <w:marTop w:val="166"/>
          <w:marBottom w:val="166"/>
          <w:divBdr>
            <w:top w:val="none" w:sz="0" w:space="0" w:color="auto"/>
            <w:left w:val="none" w:sz="0" w:space="0" w:color="auto"/>
            <w:bottom w:val="none" w:sz="0" w:space="0" w:color="auto"/>
            <w:right w:val="none" w:sz="0" w:space="0" w:color="auto"/>
          </w:divBdr>
        </w:div>
        <w:div w:id="1298533193">
          <w:marLeft w:val="0"/>
          <w:marRight w:val="0"/>
          <w:marTop w:val="166"/>
          <w:marBottom w:val="166"/>
          <w:divBdr>
            <w:top w:val="none" w:sz="0" w:space="0" w:color="auto"/>
            <w:left w:val="none" w:sz="0" w:space="0" w:color="auto"/>
            <w:bottom w:val="none" w:sz="0" w:space="0" w:color="auto"/>
            <w:right w:val="none" w:sz="0" w:space="0" w:color="auto"/>
          </w:divBdr>
        </w:div>
        <w:div w:id="210315110">
          <w:marLeft w:val="0"/>
          <w:marRight w:val="0"/>
          <w:marTop w:val="166"/>
          <w:marBottom w:val="166"/>
          <w:divBdr>
            <w:top w:val="none" w:sz="0" w:space="0" w:color="auto"/>
            <w:left w:val="none" w:sz="0" w:space="0" w:color="auto"/>
            <w:bottom w:val="none" w:sz="0" w:space="0" w:color="auto"/>
            <w:right w:val="none" w:sz="0" w:space="0" w:color="auto"/>
          </w:divBdr>
        </w:div>
      </w:divsChild>
    </w:div>
    <w:div w:id="21110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3.jpg"/><Relationship Id="rId8"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29E04-D698-4AAA-B61B-32AF5AD2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6237</Words>
  <Characters>33684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Lins</dc:creator>
  <cp:keywords/>
  <dc:description/>
  <cp:lastModifiedBy>LEONARDO LUIZ BORGES</cp:lastModifiedBy>
  <cp:revision>6</cp:revision>
  <dcterms:created xsi:type="dcterms:W3CDTF">2021-06-23T18:21:00Z</dcterms:created>
  <dcterms:modified xsi:type="dcterms:W3CDTF">2021-06-23T20:36:00Z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f99ec4ab-6b80-30e4-90d1-2c0ce48711f8</vt:lpwstr>
  </property>
</Properties>
</file>