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AD594" w14:textId="77777777" w:rsidR="00D92B01" w:rsidRPr="00131A11" w:rsidRDefault="00D92B01" w:rsidP="00D92B01">
      <w:pPr>
        <w:jc w:val="center"/>
        <w:rPr>
          <w:b/>
        </w:rPr>
      </w:pPr>
      <w:r w:rsidRPr="00131A11">
        <w:rPr>
          <w:b/>
        </w:rPr>
        <w:t>PONTIFÍCIA UNIVERSIDADE CATÓLICA DE GOIÁS</w:t>
      </w:r>
    </w:p>
    <w:p w14:paraId="47E0458A" w14:textId="77777777" w:rsidR="00D92B01" w:rsidRPr="00131A11" w:rsidRDefault="00D92B01" w:rsidP="00D92B01">
      <w:pPr>
        <w:jc w:val="center"/>
        <w:rPr>
          <w:b/>
        </w:rPr>
      </w:pPr>
      <w:r w:rsidRPr="00131A11">
        <w:rPr>
          <w:b/>
        </w:rPr>
        <w:t>ESCOLA DE CIÊNCIAS MÉCAS, FARMACÊUTICAS E BIOMÉDICAS</w:t>
      </w:r>
    </w:p>
    <w:p w14:paraId="01D89082" w14:textId="77777777" w:rsidR="00D92B01" w:rsidRPr="00131A11" w:rsidRDefault="00D92B01" w:rsidP="00D92B01">
      <w:pPr>
        <w:jc w:val="center"/>
        <w:rPr>
          <w:b/>
        </w:rPr>
      </w:pPr>
      <w:r w:rsidRPr="00131A11">
        <w:rPr>
          <w:b/>
        </w:rPr>
        <w:t>CURSO DE MEDICINA</w:t>
      </w:r>
    </w:p>
    <w:p w14:paraId="6C2C88BE" w14:textId="77777777" w:rsidR="00D92B01" w:rsidRPr="00131A11" w:rsidRDefault="00D92B01" w:rsidP="00D92B01">
      <w:pPr>
        <w:jc w:val="center"/>
        <w:rPr>
          <w:b/>
        </w:rPr>
      </w:pPr>
    </w:p>
    <w:p w14:paraId="0386BFBD" w14:textId="77777777" w:rsidR="00D92B01" w:rsidRPr="00131A11" w:rsidRDefault="00D92B01" w:rsidP="00D92B01">
      <w:pPr>
        <w:jc w:val="center"/>
        <w:rPr>
          <w:b/>
        </w:rPr>
      </w:pPr>
    </w:p>
    <w:p w14:paraId="637670A0" w14:textId="77777777" w:rsidR="00D92B01" w:rsidRPr="00131A11" w:rsidRDefault="00D92B01" w:rsidP="00D92B01">
      <w:pPr>
        <w:jc w:val="center"/>
        <w:rPr>
          <w:b/>
        </w:rPr>
      </w:pPr>
    </w:p>
    <w:p w14:paraId="51CBA874" w14:textId="77777777" w:rsidR="00D92B01" w:rsidRPr="00131A11" w:rsidRDefault="00D92B01" w:rsidP="00D92B01">
      <w:pPr>
        <w:jc w:val="center"/>
        <w:rPr>
          <w:b/>
        </w:rPr>
      </w:pPr>
    </w:p>
    <w:p w14:paraId="0D0A4D6D" w14:textId="77777777" w:rsidR="00D92B01" w:rsidRPr="00131A11" w:rsidRDefault="00D92B01" w:rsidP="00D92B01">
      <w:pPr>
        <w:jc w:val="both"/>
        <w:rPr>
          <w:b/>
          <w:sz w:val="28"/>
          <w:szCs w:val="28"/>
        </w:rPr>
      </w:pPr>
    </w:p>
    <w:p w14:paraId="0D015A2D" w14:textId="25D16DD8" w:rsidR="00D92B01" w:rsidRPr="00131A11" w:rsidRDefault="00C1507E" w:rsidP="00710D8F">
      <w:pPr>
        <w:jc w:val="center"/>
        <w:rPr>
          <w:b/>
          <w:iCs/>
          <w:sz w:val="28"/>
          <w:szCs w:val="28"/>
        </w:rPr>
      </w:pPr>
      <w:r w:rsidRPr="00131A11">
        <w:rPr>
          <w:b/>
          <w:sz w:val="28"/>
          <w:szCs w:val="28"/>
        </w:rPr>
        <w:t xml:space="preserve">Busca </w:t>
      </w:r>
      <w:r w:rsidR="00B6611C" w:rsidRPr="00131A11">
        <w:rPr>
          <w:b/>
          <w:i/>
          <w:sz w:val="28"/>
          <w:szCs w:val="28"/>
        </w:rPr>
        <w:t xml:space="preserve">in </w:t>
      </w:r>
      <w:proofErr w:type="spellStart"/>
      <w:r w:rsidR="00B6611C" w:rsidRPr="00131A11">
        <w:rPr>
          <w:b/>
          <w:i/>
          <w:sz w:val="28"/>
          <w:szCs w:val="28"/>
        </w:rPr>
        <w:t>silico</w:t>
      </w:r>
      <w:proofErr w:type="spellEnd"/>
      <w:r w:rsidR="00B6611C" w:rsidRPr="00131A11">
        <w:rPr>
          <w:b/>
          <w:sz w:val="28"/>
          <w:szCs w:val="28"/>
        </w:rPr>
        <w:t xml:space="preserve"> do potencial terapêutico da </w:t>
      </w:r>
      <w:proofErr w:type="spellStart"/>
      <w:r w:rsidR="00B6611C" w:rsidRPr="00131A11">
        <w:rPr>
          <w:b/>
          <w:sz w:val="28"/>
          <w:szCs w:val="28"/>
        </w:rPr>
        <w:t>curcumina</w:t>
      </w:r>
      <w:proofErr w:type="spellEnd"/>
      <w:r w:rsidR="00B6611C" w:rsidRPr="00131A11">
        <w:rPr>
          <w:b/>
          <w:sz w:val="28"/>
          <w:szCs w:val="28"/>
        </w:rPr>
        <w:t xml:space="preserve"> sobre o câncer de pulmão de células não pequenas via receptor do fator de crescimento epidermal</w:t>
      </w:r>
    </w:p>
    <w:p w14:paraId="509C173E" w14:textId="0F348C55" w:rsidR="00C1507E" w:rsidRPr="00131A11" w:rsidRDefault="00C1507E" w:rsidP="00D92B01">
      <w:pPr>
        <w:jc w:val="center"/>
        <w:rPr>
          <w:b/>
          <w:sz w:val="28"/>
          <w:szCs w:val="28"/>
        </w:rPr>
      </w:pPr>
    </w:p>
    <w:p w14:paraId="72295BBE" w14:textId="37B181A2" w:rsidR="00C1507E" w:rsidRPr="00131A11" w:rsidRDefault="00C1507E" w:rsidP="00B6611C">
      <w:pPr>
        <w:rPr>
          <w:b/>
          <w:sz w:val="28"/>
          <w:szCs w:val="28"/>
        </w:rPr>
      </w:pPr>
    </w:p>
    <w:p w14:paraId="6E6FC5D7" w14:textId="77777777" w:rsidR="00B6611C" w:rsidRPr="00131A11" w:rsidRDefault="00B6611C" w:rsidP="00B6611C">
      <w:pPr>
        <w:rPr>
          <w:b/>
          <w:sz w:val="28"/>
          <w:szCs w:val="28"/>
        </w:rPr>
      </w:pPr>
    </w:p>
    <w:p w14:paraId="2FC6F633" w14:textId="77777777" w:rsidR="00C1507E" w:rsidRPr="00131A11" w:rsidRDefault="00C1507E" w:rsidP="00D92B01">
      <w:pPr>
        <w:jc w:val="center"/>
        <w:rPr>
          <w:b/>
          <w:sz w:val="28"/>
          <w:szCs w:val="28"/>
        </w:rPr>
      </w:pPr>
    </w:p>
    <w:p w14:paraId="0BB82697" w14:textId="497712A9" w:rsidR="00D92B01" w:rsidRPr="00131A11" w:rsidRDefault="00B6611C" w:rsidP="00C1507E">
      <w:pPr>
        <w:jc w:val="center"/>
        <w:rPr>
          <w:b/>
        </w:rPr>
      </w:pPr>
      <w:r w:rsidRPr="00131A11">
        <w:rPr>
          <w:b/>
        </w:rPr>
        <w:t>CLAUDIO RAIMUNDO BARBOZA FILHO &amp; STÉFANO VASCONCELOS PÔRTO</w:t>
      </w:r>
    </w:p>
    <w:p w14:paraId="27322318" w14:textId="49791A32" w:rsidR="00C1507E" w:rsidRPr="00131A11" w:rsidRDefault="00C1507E" w:rsidP="00C1507E">
      <w:pPr>
        <w:jc w:val="center"/>
        <w:rPr>
          <w:b/>
        </w:rPr>
      </w:pPr>
    </w:p>
    <w:p w14:paraId="45EEDF22" w14:textId="77F2F590" w:rsidR="00C1507E" w:rsidRPr="00131A11" w:rsidRDefault="00C1507E" w:rsidP="00C1507E">
      <w:pPr>
        <w:jc w:val="center"/>
        <w:rPr>
          <w:b/>
        </w:rPr>
      </w:pPr>
    </w:p>
    <w:p w14:paraId="3EC389D4" w14:textId="6E8B4EDF" w:rsidR="00C1507E" w:rsidRPr="00131A11" w:rsidRDefault="00C1507E" w:rsidP="00C1507E">
      <w:pPr>
        <w:jc w:val="center"/>
        <w:rPr>
          <w:b/>
        </w:rPr>
      </w:pPr>
    </w:p>
    <w:p w14:paraId="5AF84DEB" w14:textId="77777777" w:rsidR="00C1507E" w:rsidRPr="00131A11" w:rsidRDefault="00C1507E" w:rsidP="00C1507E">
      <w:pPr>
        <w:jc w:val="right"/>
        <w:rPr>
          <w:b/>
        </w:rPr>
      </w:pPr>
    </w:p>
    <w:p w14:paraId="6AEB0CC7" w14:textId="565623DB" w:rsidR="00C1507E" w:rsidRPr="00131A11" w:rsidRDefault="00C1507E" w:rsidP="00D92B01">
      <w:pPr>
        <w:jc w:val="right"/>
        <w:rPr>
          <w:b/>
        </w:rPr>
      </w:pPr>
    </w:p>
    <w:p w14:paraId="41AA623F" w14:textId="77777777" w:rsidR="00C1507E" w:rsidRPr="00131A11" w:rsidRDefault="00C1507E" w:rsidP="00D92B01">
      <w:pPr>
        <w:jc w:val="right"/>
        <w:rPr>
          <w:b/>
        </w:rPr>
      </w:pPr>
    </w:p>
    <w:p w14:paraId="32AD2F38" w14:textId="77777777" w:rsidR="00D92B01" w:rsidRPr="00131A11" w:rsidRDefault="00D92B01" w:rsidP="00D92B01">
      <w:pPr>
        <w:jc w:val="right"/>
        <w:rPr>
          <w:b/>
        </w:rPr>
      </w:pPr>
    </w:p>
    <w:p w14:paraId="38F9524F" w14:textId="77777777" w:rsidR="00D92B01" w:rsidRPr="00131A11" w:rsidRDefault="00D92B01" w:rsidP="00D92B01">
      <w:pPr>
        <w:jc w:val="right"/>
        <w:rPr>
          <w:b/>
        </w:rPr>
      </w:pPr>
    </w:p>
    <w:p w14:paraId="4FD767CE" w14:textId="77777777" w:rsidR="00D92B01" w:rsidRPr="00131A11" w:rsidRDefault="00D92B01" w:rsidP="00D92B01">
      <w:pPr>
        <w:jc w:val="right"/>
        <w:rPr>
          <w:b/>
        </w:rPr>
      </w:pPr>
    </w:p>
    <w:p w14:paraId="15B63224" w14:textId="77777777" w:rsidR="00D92B01" w:rsidRPr="00131A11" w:rsidRDefault="00D92B01" w:rsidP="00D92B01">
      <w:pPr>
        <w:jc w:val="right"/>
        <w:rPr>
          <w:b/>
        </w:rPr>
      </w:pPr>
    </w:p>
    <w:p w14:paraId="09AE3C90" w14:textId="77777777" w:rsidR="00D92B01" w:rsidRPr="00131A11" w:rsidRDefault="00D92B01" w:rsidP="00D92B01">
      <w:pPr>
        <w:jc w:val="right"/>
        <w:rPr>
          <w:b/>
        </w:rPr>
      </w:pPr>
    </w:p>
    <w:p w14:paraId="7C561D9A" w14:textId="77777777" w:rsidR="00D92B01" w:rsidRPr="00131A11" w:rsidRDefault="00D92B01" w:rsidP="00D92B01">
      <w:pPr>
        <w:jc w:val="right"/>
        <w:rPr>
          <w:b/>
        </w:rPr>
      </w:pPr>
    </w:p>
    <w:p w14:paraId="0EBA8D1E" w14:textId="77777777" w:rsidR="00D92B01" w:rsidRPr="00131A11" w:rsidRDefault="00D92B01" w:rsidP="00D92B01">
      <w:pPr>
        <w:jc w:val="right"/>
        <w:rPr>
          <w:b/>
        </w:rPr>
      </w:pPr>
    </w:p>
    <w:p w14:paraId="25C4683B" w14:textId="289F3109" w:rsidR="00D92B01" w:rsidRPr="00131A11" w:rsidRDefault="00D92B01" w:rsidP="00D92B01">
      <w:pPr>
        <w:jc w:val="right"/>
        <w:rPr>
          <w:b/>
        </w:rPr>
      </w:pPr>
    </w:p>
    <w:p w14:paraId="7E28FDC8" w14:textId="059CE7DB" w:rsidR="00C1507E" w:rsidRPr="00131A11" w:rsidRDefault="00C1507E" w:rsidP="00D92B01">
      <w:pPr>
        <w:jc w:val="right"/>
        <w:rPr>
          <w:b/>
        </w:rPr>
      </w:pPr>
    </w:p>
    <w:p w14:paraId="6F777C52" w14:textId="55E945BB" w:rsidR="00C1507E" w:rsidRPr="00131A11" w:rsidRDefault="00C1507E" w:rsidP="00D92B01">
      <w:pPr>
        <w:jc w:val="right"/>
        <w:rPr>
          <w:b/>
        </w:rPr>
      </w:pPr>
    </w:p>
    <w:p w14:paraId="7124FF28" w14:textId="335D94C6" w:rsidR="00C1507E" w:rsidRPr="00131A11" w:rsidRDefault="00C1507E" w:rsidP="00D92B01">
      <w:pPr>
        <w:jc w:val="right"/>
        <w:rPr>
          <w:b/>
        </w:rPr>
      </w:pPr>
    </w:p>
    <w:p w14:paraId="2821317E" w14:textId="1C748624" w:rsidR="00C1507E" w:rsidRPr="00131A11" w:rsidRDefault="00C1507E" w:rsidP="00D92B01">
      <w:pPr>
        <w:jc w:val="right"/>
        <w:rPr>
          <w:b/>
        </w:rPr>
      </w:pPr>
    </w:p>
    <w:p w14:paraId="3D4AE4FA" w14:textId="7D3F12C0" w:rsidR="00C1507E" w:rsidRPr="00131A11" w:rsidRDefault="00C1507E" w:rsidP="00D92B01">
      <w:pPr>
        <w:jc w:val="right"/>
        <w:rPr>
          <w:b/>
        </w:rPr>
      </w:pPr>
    </w:p>
    <w:p w14:paraId="77BF37F9" w14:textId="7DD33EC5" w:rsidR="00C1507E" w:rsidRPr="00131A11" w:rsidRDefault="00C1507E" w:rsidP="00D92B01">
      <w:pPr>
        <w:jc w:val="right"/>
        <w:rPr>
          <w:b/>
        </w:rPr>
      </w:pPr>
    </w:p>
    <w:p w14:paraId="2C1BFA63" w14:textId="48617451" w:rsidR="00C1507E" w:rsidRPr="00131A11" w:rsidRDefault="00C1507E" w:rsidP="00D92B01">
      <w:pPr>
        <w:jc w:val="right"/>
        <w:rPr>
          <w:b/>
        </w:rPr>
      </w:pPr>
    </w:p>
    <w:p w14:paraId="1B115D8F" w14:textId="043EF990" w:rsidR="00C1507E" w:rsidRPr="00131A11" w:rsidRDefault="00C1507E" w:rsidP="00D92B01">
      <w:pPr>
        <w:jc w:val="right"/>
        <w:rPr>
          <w:b/>
        </w:rPr>
      </w:pPr>
    </w:p>
    <w:p w14:paraId="7EF8CF24" w14:textId="2A2FA35F" w:rsidR="00C1507E" w:rsidRPr="00131A11" w:rsidRDefault="00C1507E" w:rsidP="00D92B01">
      <w:pPr>
        <w:jc w:val="right"/>
        <w:rPr>
          <w:b/>
        </w:rPr>
      </w:pPr>
    </w:p>
    <w:p w14:paraId="009B40C4" w14:textId="5F105D18" w:rsidR="00C1507E" w:rsidRPr="00131A11" w:rsidRDefault="00C1507E" w:rsidP="00D92B01">
      <w:pPr>
        <w:jc w:val="right"/>
        <w:rPr>
          <w:b/>
        </w:rPr>
      </w:pPr>
    </w:p>
    <w:p w14:paraId="11D03CE9" w14:textId="7CBD77C1" w:rsidR="00C1507E" w:rsidRPr="00131A11" w:rsidRDefault="00C1507E" w:rsidP="00D92B01">
      <w:pPr>
        <w:jc w:val="right"/>
        <w:rPr>
          <w:b/>
        </w:rPr>
      </w:pPr>
    </w:p>
    <w:p w14:paraId="0BA82166" w14:textId="77777777" w:rsidR="00C1507E" w:rsidRPr="00131A11" w:rsidRDefault="00C1507E" w:rsidP="00D92B01">
      <w:pPr>
        <w:jc w:val="right"/>
        <w:rPr>
          <w:b/>
        </w:rPr>
      </w:pPr>
    </w:p>
    <w:p w14:paraId="7ADF58FA" w14:textId="77777777" w:rsidR="00D92B01" w:rsidRPr="00131A11" w:rsidRDefault="00D92B01" w:rsidP="00D92B01">
      <w:pPr>
        <w:jc w:val="right"/>
        <w:rPr>
          <w:b/>
        </w:rPr>
      </w:pPr>
    </w:p>
    <w:p w14:paraId="65655BD7" w14:textId="77777777" w:rsidR="00D92B01" w:rsidRPr="00131A11" w:rsidRDefault="00D92B01" w:rsidP="00D92B01">
      <w:pPr>
        <w:jc w:val="right"/>
        <w:rPr>
          <w:b/>
        </w:rPr>
      </w:pPr>
    </w:p>
    <w:p w14:paraId="7C812C08" w14:textId="77777777" w:rsidR="00D92B01" w:rsidRPr="00131A11" w:rsidRDefault="00D92B01" w:rsidP="00D92B01">
      <w:pPr>
        <w:jc w:val="right"/>
        <w:rPr>
          <w:b/>
        </w:rPr>
      </w:pPr>
    </w:p>
    <w:p w14:paraId="02832273" w14:textId="77777777" w:rsidR="00D92B01" w:rsidRPr="00131A11" w:rsidRDefault="00D92B01" w:rsidP="00D92B01">
      <w:pPr>
        <w:jc w:val="center"/>
        <w:rPr>
          <w:b/>
        </w:rPr>
      </w:pPr>
      <w:r w:rsidRPr="00131A11">
        <w:rPr>
          <w:b/>
        </w:rPr>
        <w:t>GOIÂNIA – GO</w:t>
      </w:r>
    </w:p>
    <w:p w14:paraId="7BCD4CD9" w14:textId="2541634D" w:rsidR="00D92B01" w:rsidRPr="00131A11" w:rsidRDefault="00B6611C" w:rsidP="00D92B01">
      <w:pPr>
        <w:jc w:val="center"/>
        <w:rPr>
          <w:b/>
          <w:sz w:val="28"/>
          <w:szCs w:val="28"/>
        </w:rPr>
      </w:pPr>
      <w:r w:rsidRPr="00131A11">
        <w:rPr>
          <w:b/>
          <w:sz w:val="28"/>
          <w:szCs w:val="28"/>
        </w:rPr>
        <w:t>2021</w:t>
      </w:r>
    </w:p>
    <w:p w14:paraId="558525B0" w14:textId="72F2010E" w:rsidR="00D92B01" w:rsidRPr="00131A11" w:rsidRDefault="00D92B01">
      <w:pPr>
        <w:rPr>
          <w:b/>
          <w:bCs/>
        </w:rPr>
      </w:pPr>
      <w:r w:rsidRPr="00131A11">
        <w:rPr>
          <w:b/>
          <w:bCs/>
        </w:rPr>
        <w:br w:type="page"/>
      </w:r>
    </w:p>
    <w:p w14:paraId="197F8CA8" w14:textId="4AD381E6" w:rsidR="009F13CD" w:rsidRPr="00131A11" w:rsidRDefault="00B6611C" w:rsidP="009C1D7E">
      <w:pPr>
        <w:spacing w:line="360" w:lineRule="auto"/>
        <w:jc w:val="both"/>
        <w:rPr>
          <w:b/>
          <w:bCs/>
          <w:i/>
        </w:rPr>
      </w:pPr>
      <w:r w:rsidRPr="00131A11">
        <w:rPr>
          <w:b/>
          <w:sz w:val="28"/>
          <w:szCs w:val="28"/>
        </w:rPr>
        <w:lastRenderedPageBreak/>
        <w:t xml:space="preserve">Busca </w:t>
      </w:r>
      <w:r w:rsidRPr="00131A11">
        <w:rPr>
          <w:b/>
          <w:i/>
          <w:sz w:val="28"/>
          <w:szCs w:val="28"/>
        </w:rPr>
        <w:t xml:space="preserve">in </w:t>
      </w:r>
      <w:proofErr w:type="spellStart"/>
      <w:r w:rsidRPr="00131A11">
        <w:rPr>
          <w:b/>
          <w:i/>
          <w:sz w:val="28"/>
          <w:szCs w:val="28"/>
        </w:rPr>
        <w:t>silico</w:t>
      </w:r>
      <w:proofErr w:type="spellEnd"/>
      <w:r w:rsidRPr="00131A11">
        <w:rPr>
          <w:b/>
          <w:sz w:val="28"/>
          <w:szCs w:val="28"/>
        </w:rPr>
        <w:t xml:space="preserve"> do potencial terapêutico da </w:t>
      </w:r>
      <w:proofErr w:type="spellStart"/>
      <w:r w:rsidRPr="00131A11">
        <w:rPr>
          <w:b/>
          <w:sz w:val="28"/>
          <w:szCs w:val="28"/>
        </w:rPr>
        <w:t>curcumina</w:t>
      </w:r>
      <w:proofErr w:type="spellEnd"/>
      <w:r w:rsidRPr="00131A11">
        <w:rPr>
          <w:b/>
          <w:sz w:val="28"/>
          <w:szCs w:val="28"/>
        </w:rPr>
        <w:t xml:space="preserve"> sobre o câncer de pulmão de células não pequenas via receptor do fator de crescimento epidermal</w:t>
      </w:r>
    </w:p>
    <w:p w14:paraId="4D43D36F" w14:textId="77777777" w:rsidR="00B73CD2" w:rsidRPr="00131A11" w:rsidRDefault="00B73CD2" w:rsidP="009C1D7E">
      <w:pPr>
        <w:spacing w:line="360" w:lineRule="auto"/>
        <w:jc w:val="both"/>
        <w:rPr>
          <w:b/>
          <w:bCs/>
          <w:i/>
        </w:rPr>
      </w:pPr>
    </w:p>
    <w:p w14:paraId="3D911067" w14:textId="77777777" w:rsidR="00B6611C" w:rsidRPr="00131A11" w:rsidRDefault="00B6611C" w:rsidP="009C1D7E">
      <w:pPr>
        <w:spacing w:line="360" w:lineRule="auto"/>
        <w:jc w:val="both"/>
        <w:rPr>
          <w:b/>
        </w:rPr>
      </w:pPr>
      <w:r w:rsidRPr="00131A11">
        <w:rPr>
          <w:b/>
        </w:rPr>
        <w:t xml:space="preserve">Claudio Raimundo Barboza Filho, </w:t>
      </w:r>
      <w:proofErr w:type="spellStart"/>
      <w:r w:rsidRPr="00131A11">
        <w:rPr>
          <w:b/>
        </w:rPr>
        <w:t>Stéfano</w:t>
      </w:r>
      <w:proofErr w:type="spellEnd"/>
      <w:r w:rsidRPr="00131A11">
        <w:rPr>
          <w:b/>
        </w:rPr>
        <w:t xml:space="preserve"> Vasconcelos </w:t>
      </w:r>
      <w:proofErr w:type="spellStart"/>
      <w:r w:rsidRPr="00131A11">
        <w:rPr>
          <w:b/>
        </w:rPr>
        <w:t>Pôrto</w:t>
      </w:r>
      <w:proofErr w:type="spellEnd"/>
      <w:r w:rsidRPr="00131A11">
        <w:rPr>
          <w:b/>
        </w:rPr>
        <w:t xml:space="preserve"> &amp; Leonardo Luiz Borges</w:t>
      </w:r>
    </w:p>
    <w:p w14:paraId="01581B7E" w14:textId="012F16B7" w:rsidR="00B73CD2" w:rsidRPr="00131A11" w:rsidRDefault="00B73CD2" w:rsidP="009C1D7E">
      <w:pPr>
        <w:spacing w:line="360" w:lineRule="auto"/>
        <w:jc w:val="both"/>
        <w:rPr>
          <w:b/>
          <w:iCs/>
        </w:rPr>
      </w:pPr>
      <w:r w:rsidRPr="00131A11">
        <w:rPr>
          <w:b/>
          <w:iCs/>
        </w:rPr>
        <w:t>Escola de Ciências Médicas, Farmacêuticas e Biomédicas, Pontifícia Universidade Católica de Goiás, Goiânia, Goiás, Brasil.</w:t>
      </w:r>
    </w:p>
    <w:p w14:paraId="62FAF1BE" w14:textId="77777777" w:rsidR="00B73CD2" w:rsidRPr="00131A11" w:rsidRDefault="00B73CD2" w:rsidP="009C1D7E">
      <w:pPr>
        <w:spacing w:line="360" w:lineRule="auto"/>
        <w:jc w:val="both"/>
        <w:rPr>
          <w:rFonts w:ascii="Arial" w:hAnsi="Arial" w:cs="Arial"/>
          <w:b/>
          <w:i/>
          <w:iCs/>
        </w:rPr>
      </w:pPr>
    </w:p>
    <w:p w14:paraId="2FD17187" w14:textId="79FB426F" w:rsidR="004727CC" w:rsidRPr="00131A11" w:rsidRDefault="00596558" w:rsidP="005C6D81">
      <w:pPr>
        <w:shd w:val="clear" w:color="auto" w:fill="FFFFFF"/>
        <w:spacing w:line="360" w:lineRule="auto"/>
        <w:jc w:val="both"/>
        <w:rPr>
          <w:b/>
        </w:rPr>
      </w:pPr>
      <w:r>
        <w:rPr>
          <w:b/>
        </w:rPr>
        <w:t>Resumo</w:t>
      </w:r>
      <w:r w:rsidR="00F4434E" w:rsidRPr="00131A11">
        <w:rPr>
          <w:b/>
        </w:rPr>
        <w:t>:</w:t>
      </w:r>
    </w:p>
    <w:p w14:paraId="78F041B0" w14:textId="2E14857F" w:rsidR="004727CC" w:rsidRPr="00131A11" w:rsidRDefault="0013713C" w:rsidP="005C6D81">
      <w:pPr>
        <w:shd w:val="clear" w:color="auto" w:fill="FFFFFF"/>
        <w:spacing w:line="360" w:lineRule="auto"/>
        <w:jc w:val="both"/>
        <w:rPr>
          <w:bCs/>
          <w:i/>
        </w:rPr>
      </w:pPr>
      <w:r w:rsidRPr="00131A11">
        <w:t xml:space="preserve">OBJETIVOS: </w:t>
      </w:r>
      <w:r w:rsidR="004727CC" w:rsidRPr="00131A11">
        <w:t>A</w:t>
      </w:r>
      <w:r w:rsidR="002B3621" w:rsidRPr="00131A11">
        <w:t>valiar</w:t>
      </w:r>
      <w:r w:rsidR="00B6611C" w:rsidRPr="00131A11">
        <w:t xml:space="preserve"> o potencial terapêutico da </w:t>
      </w:r>
      <w:proofErr w:type="spellStart"/>
      <w:r w:rsidR="00B6611C" w:rsidRPr="00131A11">
        <w:t>curcumina</w:t>
      </w:r>
      <w:proofErr w:type="spellEnd"/>
      <w:r w:rsidR="00B6611C" w:rsidRPr="00131A11">
        <w:t xml:space="preserve">, principal substrato da </w:t>
      </w:r>
      <w:r w:rsidR="00B6611C" w:rsidRPr="00131A11">
        <w:rPr>
          <w:i/>
        </w:rPr>
        <w:t>Curcuma longa</w:t>
      </w:r>
      <w:r w:rsidR="00B6611C" w:rsidRPr="00131A11">
        <w:t>, sobre o câncer de pulmão de células não pequenas</w:t>
      </w:r>
      <w:r w:rsidR="002C0E56" w:rsidRPr="00131A11">
        <w:rPr>
          <w:bCs/>
          <w:i/>
        </w:rPr>
        <w:t>.</w:t>
      </w:r>
    </w:p>
    <w:p w14:paraId="44CF9382" w14:textId="525F3E0D" w:rsidR="004727CC" w:rsidRPr="00131A11" w:rsidRDefault="00410B49" w:rsidP="005C6D81">
      <w:pPr>
        <w:shd w:val="clear" w:color="auto" w:fill="FFFFFF"/>
        <w:spacing w:line="360" w:lineRule="auto"/>
        <w:jc w:val="both"/>
      </w:pPr>
      <w:r w:rsidRPr="00131A11">
        <w:rPr>
          <w:bCs/>
        </w:rPr>
        <w:t xml:space="preserve">MÉTODOS: </w:t>
      </w:r>
      <w:r w:rsidR="001071BE" w:rsidRPr="00131A11">
        <w:t>O</w:t>
      </w:r>
      <w:r w:rsidR="00B6611C" w:rsidRPr="00131A11">
        <w:t>s metabólitos</w:t>
      </w:r>
      <w:r w:rsidR="002B3621" w:rsidRPr="00131A11">
        <w:t xml:space="preserve"> do </w:t>
      </w:r>
      <w:r w:rsidR="00B6611C" w:rsidRPr="00131A11">
        <w:t>açafrão-da-terra</w:t>
      </w:r>
      <w:r w:rsidR="002B3621" w:rsidRPr="00131A11">
        <w:t xml:space="preserve"> foram levantados bibliograficamente </w:t>
      </w:r>
      <w:r w:rsidR="002B3621" w:rsidRPr="00131A11">
        <w:rPr>
          <w:iCs/>
        </w:rPr>
        <w:t xml:space="preserve">e </w:t>
      </w:r>
      <w:r w:rsidR="002B3621" w:rsidRPr="00131A11">
        <w:t xml:space="preserve">a codificação das moléculas para a realização das predições foi obtida no site </w:t>
      </w:r>
      <w:proofErr w:type="spellStart"/>
      <w:r w:rsidR="002B3621" w:rsidRPr="00131A11">
        <w:t>Pubchem</w:t>
      </w:r>
      <w:proofErr w:type="spellEnd"/>
      <w:r w:rsidR="002B3621" w:rsidRPr="00131A11">
        <w:t xml:space="preserve">. Realizou-se então triagem de </w:t>
      </w:r>
      <w:proofErr w:type="spellStart"/>
      <w:r w:rsidR="002B3621" w:rsidRPr="00131A11">
        <w:t>bioatividade</w:t>
      </w:r>
      <w:proofErr w:type="spellEnd"/>
      <w:r w:rsidR="002B3621" w:rsidRPr="00131A11">
        <w:t xml:space="preserve"> com os pro</w:t>
      </w:r>
      <w:r w:rsidR="00B6611C" w:rsidRPr="00131A11">
        <w:t xml:space="preserve">gramas </w:t>
      </w:r>
      <w:proofErr w:type="spellStart"/>
      <w:r w:rsidR="00B6611C" w:rsidRPr="00131A11">
        <w:t>SwissADME</w:t>
      </w:r>
      <w:proofErr w:type="spellEnd"/>
      <w:r w:rsidR="00B6611C" w:rsidRPr="00131A11">
        <w:t xml:space="preserve">, </w:t>
      </w:r>
      <w:proofErr w:type="spellStart"/>
      <w:r w:rsidR="00B6611C" w:rsidRPr="00131A11">
        <w:t>ProToxII</w:t>
      </w:r>
      <w:proofErr w:type="spellEnd"/>
      <w:r w:rsidR="00B6611C" w:rsidRPr="00131A11">
        <w:t>,</w:t>
      </w:r>
      <w:r w:rsidR="002B3621" w:rsidRPr="00131A11">
        <w:t xml:space="preserve"> e </w:t>
      </w:r>
      <w:proofErr w:type="spellStart"/>
      <w:r w:rsidR="002B3621" w:rsidRPr="00131A11">
        <w:t>Molinspiration</w:t>
      </w:r>
      <w:proofErr w:type="spellEnd"/>
      <w:r w:rsidR="002B3621" w:rsidRPr="00131A11">
        <w:t xml:space="preserve"> e pesquisa de alvos</w:t>
      </w:r>
      <w:r w:rsidR="00781E8B" w:rsidRPr="00131A11">
        <w:t xml:space="preserve">, </w:t>
      </w:r>
      <w:r w:rsidR="002B3621" w:rsidRPr="00131A11">
        <w:t>com o</w:t>
      </w:r>
      <w:r w:rsidR="002C0E56" w:rsidRPr="00131A11">
        <w:t>s servidores</w:t>
      </w:r>
      <w:r w:rsidR="002B3621" w:rsidRPr="00131A11">
        <w:t xml:space="preserve"> </w:t>
      </w:r>
      <w:proofErr w:type="spellStart"/>
      <w:r w:rsidR="002B3621" w:rsidRPr="00131A11">
        <w:t>SuperPred</w:t>
      </w:r>
      <w:proofErr w:type="spellEnd"/>
      <w:r w:rsidR="002B3621" w:rsidRPr="00131A11">
        <w:t xml:space="preserve"> </w:t>
      </w:r>
      <w:proofErr w:type="spellStart"/>
      <w:r w:rsidR="002B3621" w:rsidRPr="00131A11">
        <w:t>Webserver</w:t>
      </w:r>
      <w:proofErr w:type="spellEnd"/>
      <w:r w:rsidR="002C0E56" w:rsidRPr="00131A11">
        <w:t>. Após a identificação do alvo, a estrutura selecionada foi obtida pelo site</w:t>
      </w:r>
      <w:r w:rsidR="002B3621" w:rsidRPr="00131A11">
        <w:t xml:space="preserve"> </w:t>
      </w:r>
      <w:proofErr w:type="spellStart"/>
      <w:r w:rsidR="00A91842" w:rsidRPr="00131A11">
        <w:t>Protein</w:t>
      </w:r>
      <w:proofErr w:type="spellEnd"/>
      <w:r w:rsidR="00A91842" w:rsidRPr="00131A11">
        <w:t xml:space="preserve"> Data Bank (PDB) </w:t>
      </w:r>
      <w:r w:rsidR="002B3621" w:rsidRPr="00131A11">
        <w:t xml:space="preserve">para o </w:t>
      </w:r>
      <w:proofErr w:type="spellStart"/>
      <w:r w:rsidR="002B3621" w:rsidRPr="00131A11">
        <w:rPr>
          <w:i/>
          <w:iCs/>
        </w:rPr>
        <w:t>docking</w:t>
      </w:r>
      <w:proofErr w:type="spellEnd"/>
      <w:r w:rsidR="002B3621" w:rsidRPr="00131A11">
        <w:t xml:space="preserve"> molecular com o programa GOLD.</w:t>
      </w:r>
    </w:p>
    <w:p w14:paraId="0624ADBD" w14:textId="1761FE51" w:rsidR="004727CC" w:rsidRPr="00131A11" w:rsidRDefault="00410B49" w:rsidP="005C6D81">
      <w:pPr>
        <w:shd w:val="clear" w:color="auto" w:fill="FFFFFF"/>
        <w:spacing w:line="360" w:lineRule="auto"/>
        <w:jc w:val="both"/>
      </w:pPr>
      <w:r w:rsidRPr="00131A11">
        <w:t xml:space="preserve">RESULTADOS: </w:t>
      </w:r>
      <w:r w:rsidR="00B6611C" w:rsidRPr="00131A11">
        <w:t xml:space="preserve">A </w:t>
      </w:r>
      <w:proofErr w:type="spellStart"/>
      <w:r w:rsidR="00B6611C" w:rsidRPr="00131A11">
        <w:t>curcumina</w:t>
      </w:r>
      <w:proofErr w:type="spellEnd"/>
      <w:r w:rsidR="00B6611C" w:rsidRPr="00131A11">
        <w:t xml:space="preserve"> foi selecionada e</w:t>
      </w:r>
      <w:r w:rsidR="00170A66" w:rsidRPr="00131A11">
        <w:rPr>
          <w:i/>
        </w:rPr>
        <w:t xml:space="preserve"> </w:t>
      </w:r>
      <w:r w:rsidR="00B6611C" w:rsidRPr="00131A11">
        <w:t xml:space="preserve">teve </w:t>
      </w:r>
      <w:r w:rsidR="00170A66" w:rsidRPr="00131A11">
        <w:t>suas propriedades físico-quím</w:t>
      </w:r>
      <w:r w:rsidR="00B6611C" w:rsidRPr="00131A11">
        <w:t>icas e biológicas analisadas. Os alvos</w:t>
      </w:r>
      <w:r w:rsidR="00170A66" w:rsidRPr="00131A11">
        <w:t xml:space="preserve"> para o </w:t>
      </w:r>
      <w:proofErr w:type="spellStart"/>
      <w:r w:rsidR="00170A66" w:rsidRPr="00131A11">
        <w:rPr>
          <w:i/>
          <w:iCs/>
        </w:rPr>
        <w:t>docking</w:t>
      </w:r>
      <w:proofErr w:type="spellEnd"/>
      <w:r w:rsidR="00170A66" w:rsidRPr="00131A11">
        <w:t xml:space="preserve"> molecular foram identificados </w:t>
      </w:r>
      <w:r w:rsidR="00B6611C" w:rsidRPr="00131A11">
        <w:t xml:space="preserve">e verificados para a </w:t>
      </w:r>
      <w:proofErr w:type="spellStart"/>
      <w:r w:rsidR="00B6611C" w:rsidRPr="00131A11">
        <w:t>curcumina</w:t>
      </w:r>
      <w:proofErr w:type="spellEnd"/>
      <w:r w:rsidR="00170A66" w:rsidRPr="00131A11">
        <w:t>, com suas respectivas estruturas cristalografadas</w:t>
      </w:r>
      <w:r w:rsidR="0027158C" w:rsidRPr="00131A11">
        <w:t xml:space="preserve"> no </w:t>
      </w:r>
      <w:proofErr w:type="spellStart"/>
      <w:r w:rsidR="0027158C" w:rsidRPr="00131A11">
        <w:t>Protein</w:t>
      </w:r>
      <w:proofErr w:type="spellEnd"/>
      <w:r w:rsidR="0027158C" w:rsidRPr="00131A11">
        <w:t xml:space="preserve"> Data Bank (PDB)</w:t>
      </w:r>
      <w:r w:rsidR="00170A66" w:rsidRPr="00131A11">
        <w:t>.</w:t>
      </w:r>
      <w:r w:rsidR="00B6611C" w:rsidRPr="00131A11">
        <w:t xml:space="preserve"> A molécula de </w:t>
      </w:r>
      <w:proofErr w:type="spellStart"/>
      <w:r w:rsidR="00B6611C" w:rsidRPr="00131A11">
        <w:t>curcumina</w:t>
      </w:r>
      <w:proofErr w:type="spellEnd"/>
      <w:r w:rsidR="00170A66" w:rsidRPr="00131A11">
        <w:t xml:space="preserve"> foi selecionada pois apresentou predição de inte</w:t>
      </w:r>
      <w:r w:rsidR="00B6611C" w:rsidRPr="00131A11">
        <w:t>ração com o receptor do fator de crescimento epidermal (EGFR)</w:t>
      </w:r>
      <w:r w:rsidR="007416C4" w:rsidRPr="00131A11">
        <w:t xml:space="preserve"> de </w:t>
      </w:r>
      <w:r w:rsidR="00B6611C" w:rsidRPr="00131A11">
        <w:t>ID: 2</w:t>
      </w:r>
      <w:r w:rsidR="007416C4" w:rsidRPr="00131A11">
        <w:t>RGP</w:t>
      </w:r>
      <w:r w:rsidR="00170A66" w:rsidRPr="00131A11">
        <w:t xml:space="preserve">. O </w:t>
      </w:r>
      <w:proofErr w:type="spellStart"/>
      <w:r w:rsidR="00170A66" w:rsidRPr="00131A11">
        <w:rPr>
          <w:i/>
          <w:iCs/>
        </w:rPr>
        <w:t>docking</w:t>
      </w:r>
      <w:proofErr w:type="spellEnd"/>
      <w:r w:rsidR="007416C4" w:rsidRPr="00131A11">
        <w:t xml:space="preserve"> revelou interação da </w:t>
      </w:r>
      <w:proofErr w:type="spellStart"/>
      <w:r w:rsidR="007416C4" w:rsidRPr="00131A11">
        <w:t>curcumina</w:t>
      </w:r>
      <w:proofErr w:type="spellEnd"/>
      <w:r w:rsidR="007416C4" w:rsidRPr="00131A11">
        <w:t xml:space="preserve"> com o EGFR</w:t>
      </w:r>
      <w:r w:rsidR="00170A66" w:rsidRPr="00131A11">
        <w:t xml:space="preserve">, </w:t>
      </w:r>
      <w:r w:rsidR="00A91842" w:rsidRPr="00131A11">
        <w:t>o que poderia auxiliar na explicação p</w:t>
      </w:r>
      <w:r w:rsidR="007416C4" w:rsidRPr="00131A11">
        <w:t>ara os efeitos antitumorais</w:t>
      </w:r>
      <w:r w:rsidR="00A91842" w:rsidRPr="00131A11">
        <w:t xml:space="preserve"> desta espécie vegetal</w:t>
      </w:r>
      <w:r w:rsidR="00E30C03" w:rsidRPr="00131A11">
        <w:t>.</w:t>
      </w:r>
    </w:p>
    <w:p w14:paraId="030DC798" w14:textId="56B9AEC7" w:rsidR="002B3621" w:rsidRPr="00131A11" w:rsidRDefault="007416C4" w:rsidP="005C6D81">
      <w:pPr>
        <w:shd w:val="clear" w:color="auto" w:fill="FFFFFF"/>
        <w:spacing w:line="360" w:lineRule="auto"/>
        <w:jc w:val="both"/>
        <w:rPr>
          <w:b/>
        </w:rPr>
      </w:pPr>
      <w:r w:rsidRPr="00131A11">
        <w:t xml:space="preserve">CONCLUSÕES: </w:t>
      </w:r>
      <w:r w:rsidR="00D455A8" w:rsidRPr="00131A11">
        <w:t xml:space="preserve">O </w:t>
      </w:r>
      <w:proofErr w:type="spellStart"/>
      <w:r w:rsidR="00D455A8" w:rsidRPr="00131A11">
        <w:rPr>
          <w:i/>
        </w:rPr>
        <w:t>docking</w:t>
      </w:r>
      <w:proofErr w:type="spellEnd"/>
      <w:r w:rsidR="00D455A8" w:rsidRPr="00131A11">
        <w:t xml:space="preserve"> da</w:t>
      </w:r>
      <w:r w:rsidRPr="00131A11">
        <w:t xml:space="preserve"> </w:t>
      </w:r>
      <w:proofErr w:type="spellStart"/>
      <w:r w:rsidRPr="00131A11">
        <w:t>curcumina</w:t>
      </w:r>
      <w:proofErr w:type="spellEnd"/>
      <w:r w:rsidR="00170A66" w:rsidRPr="00131A11">
        <w:t xml:space="preserve"> mostrou ancoragem dest</w:t>
      </w:r>
      <w:r w:rsidRPr="00131A11">
        <w:t>a molécula no sítio ativo do EGFR</w:t>
      </w:r>
      <w:r w:rsidR="00170A66" w:rsidRPr="00131A11">
        <w:t xml:space="preserve"> </w:t>
      </w:r>
      <w:r w:rsidR="00A91842" w:rsidRPr="00131A11">
        <w:t>devido as atividades desta espécie</w:t>
      </w:r>
      <w:r w:rsidR="00170A66" w:rsidRPr="00131A11">
        <w:t>,</w:t>
      </w:r>
      <w:r w:rsidR="00A91842" w:rsidRPr="00131A11">
        <w:t xml:space="preserve"> </w:t>
      </w:r>
      <w:r w:rsidRPr="00131A11">
        <w:t xml:space="preserve">portanto, este marcador poderia atuar bloqueando esse receptor, apresentando possível atividade </w:t>
      </w:r>
      <w:proofErr w:type="spellStart"/>
      <w:r w:rsidRPr="00131A11">
        <w:t>antineoplásica</w:t>
      </w:r>
      <w:proofErr w:type="spellEnd"/>
      <w:r w:rsidRPr="00131A11">
        <w:t>.</w:t>
      </w:r>
    </w:p>
    <w:p w14:paraId="029E82D3" w14:textId="5A6460F3" w:rsidR="00B73CD2" w:rsidRPr="00131A11" w:rsidRDefault="00596558" w:rsidP="005C6D81">
      <w:pPr>
        <w:spacing w:line="360" w:lineRule="auto"/>
        <w:jc w:val="both"/>
        <w:rPr>
          <w:b/>
        </w:rPr>
      </w:pPr>
      <w:r>
        <w:rPr>
          <w:b/>
        </w:rPr>
        <w:t>Palavras-chave</w:t>
      </w:r>
      <w:r w:rsidR="00F4434E" w:rsidRPr="00131A11">
        <w:rPr>
          <w:b/>
        </w:rPr>
        <w:t>:</w:t>
      </w:r>
      <w:r w:rsidR="00FB066C" w:rsidRPr="00131A11">
        <w:rPr>
          <w:b/>
        </w:rPr>
        <w:t xml:space="preserve"> </w:t>
      </w:r>
      <w:r w:rsidR="00A04F36">
        <w:t>açafrão</w:t>
      </w:r>
      <w:r w:rsidR="007416C4" w:rsidRPr="00131A11">
        <w:t xml:space="preserve">, </w:t>
      </w:r>
      <w:proofErr w:type="spellStart"/>
      <w:r w:rsidR="007416C4" w:rsidRPr="00131A11">
        <w:t>antineoplásico</w:t>
      </w:r>
      <w:proofErr w:type="spellEnd"/>
      <w:r w:rsidR="00FB066C" w:rsidRPr="00131A11">
        <w:rPr>
          <w:bCs/>
          <w:i/>
        </w:rPr>
        <w:t>,</w:t>
      </w:r>
      <w:r w:rsidR="00301843" w:rsidRPr="00131A11">
        <w:rPr>
          <w:bCs/>
        </w:rPr>
        <w:t xml:space="preserve"> </w:t>
      </w:r>
      <w:proofErr w:type="spellStart"/>
      <w:r w:rsidR="00301843" w:rsidRPr="00131A11">
        <w:rPr>
          <w:bCs/>
          <w:i/>
          <w:iCs/>
        </w:rPr>
        <w:t>docking</w:t>
      </w:r>
      <w:proofErr w:type="spellEnd"/>
      <w:r w:rsidR="007416C4" w:rsidRPr="00131A11">
        <w:rPr>
          <w:bCs/>
        </w:rPr>
        <w:t xml:space="preserve"> molecular,</w:t>
      </w:r>
      <w:r w:rsidR="00A04F36">
        <w:rPr>
          <w:bCs/>
        </w:rPr>
        <w:t xml:space="preserve"> métodos alternativos, neoplasia</w:t>
      </w:r>
      <w:r w:rsidR="007416C4" w:rsidRPr="00131A11">
        <w:rPr>
          <w:bCs/>
        </w:rPr>
        <w:t>.</w:t>
      </w:r>
    </w:p>
    <w:p w14:paraId="25A79D29" w14:textId="77777777" w:rsidR="00023E91" w:rsidRPr="00131A11" w:rsidRDefault="00023E91" w:rsidP="005C6D81">
      <w:pPr>
        <w:spacing w:line="360" w:lineRule="auto"/>
        <w:jc w:val="both"/>
        <w:rPr>
          <w:b/>
          <w:bCs/>
        </w:rPr>
      </w:pPr>
    </w:p>
    <w:p w14:paraId="6555593E" w14:textId="77777777" w:rsidR="005C6D81" w:rsidRPr="00131A11" w:rsidRDefault="005C6D81" w:rsidP="005C6D81">
      <w:pPr>
        <w:spacing w:line="360" w:lineRule="auto"/>
        <w:jc w:val="both"/>
        <w:rPr>
          <w:b/>
          <w:bCs/>
        </w:rPr>
      </w:pPr>
    </w:p>
    <w:p w14:paraId="164D7E16" w14:textId="77777777" w:rsidR="005C6D81" w:rsidRPr="00131A11" w:rsidRDefault="005C6D81" w:rsidP="005C6D81">
      <w:pPr>
        <w:spacing w:line="360" w:lineRule="auto"/>
        <w:jc w:val="both"/>
        <w:rPr>
          <w:b/>
          <w:bCs/>
        </w:rPr>
      </w:pPr>
    </w:p>
    <w:p w14:paraId="6F144D51" w14:textId="2714C45E" w:rsidR="00023E91" w:rsidRPr="00131A11" w:rsidRDefault="00596558" w:rsidP="005C6D81">
      <w:pPr>
        <w:spacing w:line="360" w:lineRule="auto"/>
        <w:jc w:val="both"/>
        <w:rPr>
          <w:b/>
          <w:bCs/>
          <w:lang w:val="en-US"/>
        </w:rPr>
      </w:pPr>
      <w:r>
        <w:rPr>
          <w:b/>
          <w:bCs/>
          <w:lang w:val="en-US"/>
        </w:rPr>
        <w:lastRenderedPageBreak/>
        <w:t>Abstract</w:t>
      </w:r>
      <w:r w:rsidR="00023E91" w:rsidRPr="00131A11">
        <w:rPr>
          <w:b/>
          <w:bCs/>
          <w:lang w:val="en-US"/>
        </w:rPr>
        <w:t>:</w:t>
      </w:r>
    </w:p>
    <w:p w14:paraId="78E720AC" w14:textId="43C477EB" w:rsidR="00023E91" w:rsidRPr="00131A11" w:rsidRDefault="007416C4" w:rsidP="005C6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rPr>
      </w:pPr>
      <w:r w:rsidRPr="00131A11">
        <w:rPr>
          <w:lang w:val="en"/>
        </w:rPr>
        <w:t xml:space="preserve">AIMS: To evaluate the therapeutic potential of </w:t>
      </w:r>
      <w:proofErr w:type="spellStart"/>
      <w:r w:rsidRPr="00131A11">
        <w:rPr>
          <w:lang w:val="en"/>
        </w:rPr>
        <w:t>curcumin</w:t>
      </w:r>
      <w:proofErr w:type="spellEnd"/>
      <w:r w:rsidRPr="00131A11">
        <w:rPr>
          <w:lang w:val="en"/>
        </w:rPr>
        <w:t>, the main substrate of Curcuma longa, on non-small cell lung cancer.</w:t>
      </w:r>
    </w:p>
    <w:p w14:paraId="55DD5740" w14:textId="78BE24C3" w:rsidR="00023E91" w:rsidRPr="00131A11" w:rsidRDefault="00023E91" w:rsidP="005C6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rPr>
      </w:pPr>
      <w:r w:rsidRPr="00131A11">
        <w:rPr>
          <w:lang w:val="en"/>
        </w:rPr>
        <w:t>METHODS</w:t>
      </w:r>
      <w:r w:rsidR="007416C4" w:rsidRPr="00131A11">
        <w:rPr>
          <w:lang w:val="en"/>
        </w:rPr>
        <w:t xml:space="preserve">: The metabolites of turmeric were surveyed bibliographically and the coding of the molecules for making the predictions was obtained on the </w:t>
      </w:r>
      <w:proofErr w:type="spellStart"/>
      <w:r w:rsidR="007416C4" w:rsidRPr="00131A11">
        <w:rPr>
          <w:lang w:val="en"/>
        </w:rPr>
        <w:t>Pubchem</w:t>
      </w:r>
      <w:proofErr w:type="spellEnd"/>
      <w:r w:rsidR="007416C4" w:rsidRPr="00131A11">
        <w:rPr>
          <w:lang w:val="en"/>
        </w:rPr>
        <w:t xml:space="preserve"> website. Then, bioactivity screening was carried out with the </w:t>
      </w:r>
      <w:proofErr w:type="spellStart"/>
      <w:r w:rsidR="007416C4" w:rsidRPr="00131A11">
        <w:rPr>
          <w:lang w:val="en"/>
        </w:rPr>
        <w:t>SwissADME</w:t>
      </w:r>
      <w:proofErr w:type="spellEnd"/>
      <w:r w:rsidR="007416C4" w:rsidRPr="00131A11">
        <w:rPr>
          <w:lang w:val="en"/>
        </w:rPr>
        <w:t xml:space="preserve">, </w:t>
      </w:r>
      <w:proofErr w:type="spellStart"/>
      <w:r w:rsidR="007416C4" w:rsidRPr="00131A11">
        <w:rPr>
          <w:lang w:val="en"/>
        </w:rPr>
        <w:t>ProToxII</w:t>
      </w:r>
      <w:proofErr w:type="spellEnd"/>
      <w:r w:rsidR="007416C4" w:rsidRPr="00131A11">
        <w:rPr>
          <w:lang w:val="en"/>
        </w:rPr>
        <w:t xml:space="preserve">, and </w:t>
      </w:r>
      <w:proofErr w:type="spellStart"/>
      <w:r w:rsidR="007416C4" w:rsidRPr="00131A11">
        <w:rPr>
          <w:lang w:val="en"/>
        </w:rPr>
        <w:t>Molinspiration</w:t>
      </w:r>
      <w:proofErr w:type="spellEnd"/>
      <w:r w:rsidR="007416C4" w:rsidRPr="00131A11">
        <w:rPr>
          <w:lang w:val="en"/>
        </w:rPr>
        <w:t xml:space="preserve"> programs and target research, with the </w:t>
      </w:r>
      <w:proofErr w:type="spellStart"/>
      <w:r w:rsidR="007416C4" w:rsidRPr="00131A11">
        <w:rPr>
          <w:lang w:val="en"/>
        </w:rPr>
        <w:t>SuperPred</w:t>
      </w:r>
      <w:proofErr w:type="spellEnd"/>
      <w:r w:rsidR="007416C4" w:rsidRPr="00131A11">
        <w:rPr>
          <w:lang w:val="en"/>
        </w:rPr>
        <w:t xml:space="preserve"> Webserver servers. After identifying the target, the selected structure was obtained from the Protein Data Bank (PDB) website for molecular docking with the GOLD program.</w:t>
      </w:r>
    </w:p>
    <w:p w14:paraId="27691A54" w14:textId="7F88A6B2" w:rsidR="00023E91" w:rsidRPr="00131A11" w:rsidRDefault="007416C4" w:rsidP="005C6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rPr>
      </w:pPr>
      <w:r w:rsidRPr="00131A11">
        <w:rPr>
          <w:lang w:val="en"/>
        </w:rPr>
        <w:t xml:space="preserve">RESULTS: </w:t>
      </w:r>
      <w:proofErr w:type="spellStart"/>
      <w:r w:rsidRPr="00131A11">
        <w:rPr>
          <w:lang w:val="en"/>
        </w:rPr>
        <w:t>Curcumin</w:t>
      </w:r>
      <w:proofErr w:type="spellEnd"/>
      <w:r w:rsidRPr="00131A11">
        <w:rPr>
          <w:lang w:val="en"/>
        </w:rPr>
        <w:t xml:space="preserve"> was selected and its physical-chemical and biological properties were analyzed. The targets for molecular docking were identified and verified for </w:t>
      </w:r>
      <w:proofErr w:type="spellStart"/>
      <w:r w:rsidRPr="00131A11">
        <w:rPr>
          <w:lang w:val="en"/>
        </w:rPr>
        <w:t>curcumin</w:t>
      </w:r>
      <w:proofErr w:type="spellEnd"/>
      <w:r w:rsidRPr="00131A11">
        <w:rPr>
          <w:lang w:val="en"/>
        </w:rPr>
        <w:t xml:space="preserve">, with their respective crystallographic structures in the Protein Data Bank (PDB). The </w:t>
      </w:r>
      <w:proofErr w:type="spellStart"/>
      <w:r w:rsidRPr="00131A11">
        <w:rPr>
          <w:lang w:val="en"/>
        </w:rPr>
        <w:t>curcumin</w:t>
      </w:r>
      <w:proofErr w:type="spellEnd"/>
      <w:r w:rsidRPr="00131A11">
        <w:rPr>
          <w:lang w:val="en"/>
        </w:rPr>
        <w:t xml:space="preserve"> molecule was selected because it presented a prediction of interaction with the epidermal growth factor receptor (EGFR) of ID: 2RGP. Docking revealed an interaction between </w:t>
      </w:r>
      <w:proofErr w:type="spellStart"/>
      <w:r w:rsidRPr="00131A11">
        <w:rPr>
          <w:lang w:val="en"/>
        </w:rPr>
        <w:t>curcumin</w:t>
      </w:r>
      <w:proofErr w:type="spellEnd"/>
      <w:r w:rsidRPr="00131A11">
        <w:rPr>
          <w:lang w:val="en"/>
        </w:rPr>
        <w:t xml:space="preserve"> and EGFR, which could help explain the anti-tumor effects of this plant species</w:t>
      </w:r>
    </w:p>
    <w:p w14:paraId="0623C776" w14:textId="69B34800" w:rsidR="00023E91" w:rsidRPr="00131A11" w:rsidRDefault="00023E91" w:rsidP="005C6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rPr>
      </w:pPr>
      <w:r w:rsidRPr="00131A11">
        <w:rPr>
          <w:lang w:val="en"/>
        </w:rPr>
        <w:t xml:space="preserve">CONCLUSIONS: </w:t>
      </w:r>
      <w:r w:rsidR="007416C4" w:rsidRPr="00131A11">
        <w:rPr>
          <w:lang w:val="en"/>
        </w:rPr>
        <w:t xml:space="preserve">The docking of </w:t>
      </w:r>
      <w:proofErr w:type="spellStart"/>
      <w:r w:rsidR="007416C4" w:rsidRPr="00131A11">
        <w:rPr>
          <w:lang w:val="en"/>
        </w:rPr>
        <w:t>curcumin</w:t>
      </w:r>
      <w:proofErr w:type="spellEnd"/>
      <w:r w:rsidR="007416C4" w:rsidRPr="00131A11">
        <w:rPr>
          <w:lang w:val="en"/>
        </w:rPr>
        <w:t xml:space="preserve"> showed anchoring of this molecule in the active site of EGFR due to the activities of this species, therefore, this marker could act by blocking this receptor, showing possible antineoplastic activity.</w:t>
      </w:r>
    </w:p>
    <w:p w14:paraId="64F30887" w14:textId="4F35E781" w:rsidR="005C6D81" w:rsidRPr="00131A11" w:rsidRDefault="00596558" w:rsidP="005C6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rPr>
      </w:pPr>
      <w:r>
        <w:rPr>
          <w:b/>
          <w:lang w:val="en"/>
        </w:rPr>
        <w:t>Keywords</w:t>
      </w:r>
      <w:r w:rsidR="005C6D81" w:rsidRPr="00131A11">
        <w:rPr>
          <w:b/>
          <w:lang w:val="en"/>
        </w:rPr>
        <w:t xml:space="preserve">: </w:t>
      </w:r>
      <w:r w:rsidR="00A04F36">
        <w:rPr>
          <w:lang w:val="en"/>
        </w:rPr>
        <w:t xml:space="preserve">saffron, antineoplastic, molecular docking, </w:t>
      </w:r>
      <w:r w:rsidR="00A04F36" w:rsidRPr="00A04F36">
        <w:rPr>
          <w:lang w:val="en"/>
        </w:rPr>
        <w:t>alternative methods</w:t>
      </w:r>
      <w:r w:rsidR="00A04F36">
        <w:rPr>
          <w:lang w:val="en"/>
        </w:rPr>
        <w:t>, neoplasm</w:t>
      </w:r>
      <w:r w:rsidR="005C6D81" w:rsidRPr="00131A11">
        <w:rPr>
          <w:lang w:val="en"/>
        </w:rPr>
        <w:t>.</w:t>
      </w:r>
    </w:p>
    <w:p w14:paraId="21B9F4AC" w14:textId="29FB255E" w:rsidR="00B73CD2" w:rsidRPr="00131A11" w:rsidRDefault="00B73CD2" w:rsidP="009C1D7E">
      <w:pPr>
        <w:spacing w:line="360" w:lineRule="auto"/>
        <w:jc w:val="both"/>
        <w:rPr>
          <w:rFonts w:ascii="Arial" w:hAnsi="Arial" w:cs="Arial"/>
          <w:b/>
          <w:bCs/>
          <w:lang w:val="en"/>
        </w:rPr>
      </w:pPr>
    </w:p>
    <w:p w14:paraId="780F642D" w14:textId="77777777" w:rsidR="005C6D81" w:rsidRPr="00131A11" w:rsidRDefault="005C6D81" w:rsidP="009C1D7E">
      <w:pPr>
        <w:spacing w:line="360" w:lineRule="auto"/>
        <w:jc w:val="both"/>
        <w:outlineLvl w:val="0"/>
        <w:rPr>
          <w:rFonts w:ascii="Arial" w:hAnsi="Arial" w:cs="Arial"/>
          <w:b/>
          <w:lang w:val="en"/>
        </w:rPr>
      </w:pPr>
    </w:p>
    <w:p w14:paraId="0182F867" w14:textId="77777777" w:rsidR="005C6D81" w:rsidRPr="00131A11" w:rsidRDefault="005C6D81" w:rsidP="009C1D7E">
      <w:pPr>
        <w:spacing w:line="360" w:lineRule="auto"/>
        <w:jc w:val="both"/>
        <w:outlineLvl w:val="0"/>
        <w:rPr>
          <w:rFonts w:ascii="Arial" w:hAnsi="Arial" w:cs="Arial"/>
          <w:b/>
          <w:lang w:val="en"/>
        </w:rPr>
      </w:pPr>
    </w:p>
    <w:p w14:paraId="18804A2F" w14:textId="77777777" w:rsidR="005C6D81" w:rsidRPr="00131A11" w:rsidRDefault="005C6D81" w:rsidP="009C1D7E">
      <w:pPr>
        <w:spacing w:line="360" w:lineRule="auto"/>
        <w:jc w:val="both"/>
        <w:outlineLvl w:val="0"/>
        <w:rPr>
          <w:rFonts w:ascii="Arial" w:hAnsi="Arial" w:cs="Arial"/>
          <w:b/>
          <w:lang w:val="en"/>
        </w:rPr>
      </w:pPr>
    </w:p>
    <w:p w14:paraId="0CAA9A7C" w14:textId="77777777" w:rsidR="005C6D81" w:rsidRPr="00131A11" w:rsidRDefault="005C6D81" w:rsidP="009C1D7E">
      <w:pPr>
        <w:spacing w:line="360" w:lineRule="auto"/>
        <w:jc w:val="both"/>
        <w:outlineLvl w:val="0"/>
        <w:rPr>
          <w:rFonts w:ascii="Arial" w:hAnsi="Arial" w:cs="Arial"/>
          <w:b/>
          <w:lang w:val="en"/>
        </w:rPr>
      </w:pPr>
    </w:p>
    <w:p w14:paraId="07F548E0" w14:textId="77777777" w:rsidR="005C6D81" w:rsidRPr="00131A11" w:rsidRDefault="005C6D81" w:rsidP="009C1D7E">
      <w:pPr>
        <w:spacing w:line="360" w:lineRule="auto"/>
        <w:jc w:val="both"/>
        <w:outlineLvl w:val="0"/>
        <w:rPr>
          <w:rFonts w:ascii="Arial" w:hAnsi="Arial" w:cs="Arial"/>
          <w:b/>
          <w:lang w:val="en"/>
        </w:rPr>
      </w:pPr>
    </w:p>
    <w:p w14:paraId="67F96F95" w14:textId="77777777" w:rsidR="005C6D81" w:rsidRPr="00131A11" w:rsidRDefault="005C6D81" w:rsidP="009C1D7E">
      <w:pPr>
        <w:spacing w:line="360" w:lineRule="auto"/>
        <w:jc w:val="both"/>
        <w:outlineLvl w:val="0"/>
        <w:rPr>
          <w:rFonts w:ascii="Arial" w:hAnsi="Arial" w:cs="Arial"/>
          <w:b/>
          <w:lang w:val="en"/>
        </w:rPr>
      </w:pPr>
    </w:p>
    <w:p w14:paraId="673AA425" w14:textId="77777777" w:rsidR="005C6D81" w:rsidRPr="00131A11" w:rsidRDefault="005C6D81" w:rsidP="009C1D7E">
      <w:pPr>
        <w:spacing w:line="360" w:lineRule="auto"/>
        <w:jc w:val="both"/>
        <w:outlineLvl w:val="0"/>
        <w:rPr>
          <w:rFonts w:ascii="Arial" w:hAnsi="Arial" w:cs="Arial"/>
          <w:b/>
          <w:lang w:val="en"/>
        </w:rPr>
      </w:pPr>
    </w:p>
    <w:p w14:paraId="4FB80F15" w14:textId="77777777" w:rsidR="005C6D81" w:rsidRPr="00131A11" w:rsidRDefault="005C6D81" w:rsidP="009C1D7E">
      <w:pPr>
        <w:spacing w:line="360" w:lineRule="auto"/>
        <w:jc w:val="both"/>
        <w:outlineLvl w:val="0"/>
        <w:rPr>
          <w:rFonts w:ascii="Arial" w:hAnsi="Arial" w:cs="Arial"/>
          <w:b/>
          <w:lang w:val="en"/>
        </w:rPr>
      </w:pPr>
    </w:p>
    <w:p w14:paraId="63278B31" w14:textId="77777777" w:rsidR="005C6D81" w:rsidRPr="00131A11" w:rsidRDefault="005C6D81" w:rsidP="009C1D7E">
      <w:pPr>
        <w:spacing w:line="360" w:lineRule="auto"/>
        <w:jc w:val="both"/>
        <w:outlineLvl w:val="0"/>
        <w:rPr>
          <w:rFonts w:ascii="Arial" w:hAnsi="Arial" w:cs="Arial"/>
          <w:b/>
          <w:lang w:val="en"/>
        </w:rPr>
      </w:pPr>
    </w:p>
    <w:p w14:paraId="7F13CC96" w14:textId="77777777" w:rsidR="005C6D81" w:rsidRPr="00131A11" w:rsidRDefault="005C6D81" w:rsidP="009C1D7E">
      <w:pPr>
        <w:spacing w:line="360" w:lineRule="auto"/>
        <w:jc w:val="both"/>
        <w:outlineLvl w:val="0"/>
        <w:rPr>
          <w:rFonts w:ascii="Arial" w:hAnsi="Arial" w:cs="Arial"/>
          <w:b/>
          <w:lang w:val="en"/>
        </w:rPr>
      </w:pPr>
    </w:p>
    <w:p w14:paraId="359C8503" w14:textId="77777777" w:rsidR="005C6D81" w:rsidRPr="00131A11" w:rsidRDefault="005C6D81" w:rsidP="009C1D7E">
      <w:pPr>
        <w:spacing w:line="360" w:lineRule="auto"/>
        <w:jc w:val="both"/>
        <w:outlineLvl w:val="0"/>
        <w:rPr>
          <w:rFonts w:ascii="Arial" w:hAnsi="Arial" w:cs="Arial"/>
          <w:b/>
          <w:lang w:val="en"/>
        </w:rPr>
      </w:pPr>
    </w:p>
    <w:p w14:paraId="35EACE4F" w14:textId="77777777" w:rsidR="005C6D81" w:rsidRPr="00131A11" w:rsidRDefault="005C6D81" w:rsidP="009C1D7E">
      <w:pPr>
        <w:spacing w:line="360" w:lineRule="auto"/>
        <w:jc w:val="both"/>
        <w:outlineLvl w:val="0"/>
        <w:rPr>
          <w:rFonts w:ascii="Arial" w:hAnsi="Arial" w:cs="Arial"/>
          <w:b/>
          <w:lang w:val="en"/>
        </w:rPr>
      </w:pPr>
    </w:p>
    <w:p w14:paraId="0BF98F02" w14:textId="77777777" w:rsidR="005C6D81" w:rsidRPr="00131A11" w:rsidRDefault="005C6D81" w:rsidP="009C1D7E">
      <w:pPr>
        <w:spacing w:line="360" w:lineRule="auto"/>
        <w:jc w:val="both"/>
        <w:outlineLvl w:val="0"/>
        <w:rPr>
          <w:rFonts w:ascii="Arial" w:hAnsi="Arial" w:cs="Arial"/>
          <w:b/>
          <w:lang w:val="en"/>
        </w:rPr>
      </w:pPr>
    </w:p>
    <w:p w14:paraId="3CE6DA37" w14:textId="71E9B31C" w:rsidR="0049239E" w:rsidRPr="006725DC" w:rsidRDefault="00596558" w:rsidP="0049239E">
      <w:pPr>
        <w:pStyle w:val="NormalWeb"/>
        <w:spacing w:before="0" w:beforeAutospacing="0" w:after="0" w:afterAutospacing="0" w:line="360" w:lineRule="auto"/>
        <w:jc w:val="both"/>
        <w:rPr>
          <w:b/>
          <w:bCs/>
        </w:rPr>
      </w:pPr>
      <w:r w:rsidRPr="006725DC">
        <w:rPr>
          <w:b/>
          <w:bCs/>
        </w:rPr>
        <w:lastRenderedPageBreak/>
        <w:t>Introdução</w:t>
      </w:r>
    </w:p>
    <w:p w14:paraId="7F4E3BBB" w14:textId="77777777" w:rsidR="0049239E" w:rsidRPr="00131A11" w:rsidRDefault="0049239E" w:rsidP="0049239E">
      <w:pPr>
        <w:pStyle w:val="NormalWeb"/>
        <w:spacing w:before="0" w:beforeAutospacing="0" w:after="0" w:afterAutospacing="0" w:line="360" w:lineRule="auto"/>
        <w:ind w:firstLine="708"/>
        <w:jc w:val="both"/>
      </w:pPr>
      <w:proofErr w:type="spellStart"/>
      <w:r w:rsidRPr="00131A11">
        <w:rPr>
          <w:i/>
          <w:iCs/>
        </w:rPr>
        <w:t>Curcuma</w:t>
      </w:r>
      <w:proofErr w:type="spellEnd"/>
      <w:r w:rsidRPr="00131A11">
        <w:rPr>
          <w:i/>
          <w:iCs/>
        </w:rPr>
        <w:t xml:space="preserve"> longa</w:t>
      </w:r>
      <w:r w:rsidRPr="00131A11">
        <w:t xml:space="preserve">, também chamada de </w:t>
      </w:r>
      <w:r w:rsidRPr="00131A11">
        <w:rPr>
          <w:i/>
          <w:iCs/>
        </w:rPr>
        <w:t>Curcuma domestica</w:t>
      </w:r>
      <w:r w:rsidRPr="00131A11">
        <w:t xml:space="preserve"> ou açafrão-da-terra, é uma espécie vegetal, pertencente à família </w:t>
      </w:r>
      <w:r w:rsidRPr="00131A11">
        <w:rPr>
          <w:i/>
          <w:iCs/>
        </w:rPr>
        <w:t>Zingiberaceae,</w:t>
      </w:r>
      <w:r w:rsidRPr="00131A11">
        <w:t xml:space="preserve"> utilizada com finalidade medicinal há mais de 4000 anos. Existem relatos desta espécie ser empregada na cultura védica na Índia como condimento, além de seu significado religioso. Na medicina tradicional, o “açafrão-da-terra” é utilizado para artrite reumatoide, uveíte anterior crônica, conjuntivite, câncer de pele, varíola, catapora, cicatrização de feridas, infecções de trato urinário e doenças do fígado, fortalecendo a energia geral do corpo, anti-helmíntico, regulador do ciclo menstrual, para cálculos biliares, entre outras condições </w:t>
      </w:r>
      <w:r w:rsidRPr="00131A11">
        <w:fldChar w:fldCharType="begin" w:fldLock="1"/>
      </w:r>
      <w:r w:rsidRPr="00131A11">
        <w:instrText>ADDIN CSL_CITATION {"citationItems":[{"id":"ITEM-1","itemData":{"author":[{"dropping-particle":"","family":"Salehi","given":"B","non-dropping-particle":"","parse-names":false,"suffix":""},{"dropping-particle":"","family":"Stojanović-Radić","given":"Z","non-dropping-particle":"","parse-names":false,"suffix":""},{"dropping-particle":"","family":"…","given":"J Matejić - European journal of","non-dropping-particle":"","parse-names":false,"suffix":""},{"dropping-particle":"","family":"2019","given":"Undefined","non-dropping-particle":"","parse-names":false,"suffix":""}],"container-title":"European journal of medicinal chemistry","id":"ITEM-1","issued":{"date-parts":[["2019"]]},"page":"527-545","title":"The therapeutic potential of curcumin: A review of clinical trials","type":"article-journal","volume":"163"},"uris":["http://www.mendeley.com/documents/?uuid=dbe99e88-cc3e-3db2-9ea8-327147e6965a"]}],"mendeley":{"formattedCitation":"(SALEHI et al., 2019)","plainTextFormattedCitation":"(SALEHI et al., 2019)","previouslyFormattedCitation":"(SALEHI et al., 2019)"},"properties":{"noteIndex":0},"schema":"https://github.com/citation-style-language/schema/raw/master/csl-citation.json"}</w:instrText>
      </w:r>
      <w:r w:rsidRPr="00131A11">
        <w:fldChar w:fldCharType="separate"/>
      </w:r>
      <w:r w:rsidRPr="00131A11">
        <w:rPr>
          <w:noProof/>
        </w:rPr>
        <w:t>(SALEHI et al., 2019)</w:t>
      </w:r>
      <w:r w:rsidRPr="00131A11">
        <w:fldChar w:fldCharType="end"/>
      </w:r>
      <w:r w:rsidRPr="00131A11">
        <w:t xml:space="preserve">. A </w:t>
      </w:r>
      <w:r w:rsidRPr="00131A11">
        <w:rPr>
          <w:i/>
        </w:rPr>
        <w:t>Curcuma longa</w:t>
      </w:r>
      <w:r w:rsidRPr="00131A11">
        <w:t xml:space="preserve"> possui em sua composição química mais de 3% de </w:t>
      </w:r>
      <w:proofErr w:type="spellStart"/>
      <w:r w:rsidRPr="00131A11">
        <w:t>curcumina</w:t>
      </w:r>
      <w:proofErr w:type="spellEnd"/>
      <w:r w:rsidRPr="00131A11">
        <w:t xml:space="preserve"> (CUR), 1,4% de desmetoxicurcumina (DMC) e 1,2% de bisdesmetoxicurcumina, que coletivamente são conhecidas como curcuminoides </w:t>
      </w:r>
      <w:r w:rsidRPr="00131A11">
        <w:fldChar w:fldCharType="begin" w:fldLock="1"/>
      </w:r>
      <w:r w:rsidRPr="00131A11">
        <w:instrText>ADDIN CSL_CITATION {"citationItems":[{"id":"ITEM-1","itemData":{"DOI":"10.2174/2210290601102010028","ISSN":"22102906","abstract":"Chemical constituents of various tissues of turmeric (Curcuma longa L.) have been extensively investigated. To date, at least 235 compounds, primarily phenolic compounds and terpenoids have been identified from the species, in-cluding 22 diarylheptanoids and diarylpentanoids, eight phenylpropene and other phenolic compounds, 68 monoterpenes, 109 sesquiterpenes, five diterpenes, three triterpenoids, four sterols, two alkaloids, and 14 other compounds. Curcumi-noids (diarylheptanoids) and essential oils are major bioactive ingredients showing various bioactivities in in vitro and in vivo bioassays. Curcuminoids in turmeric are primarily accumulated in rhizomes. The essential oils from leaves and flowers are usually dominated by monoterpenes while those from roots and rhizomes primarily contained sesquiterpenes. The contents of curcuminoids in turmeric rhizomes vary often with varieties, locations, sources, and cultivation condi-tions, while there are significant variations in composition of essential oils of turmeric rhizomes with varieties and geo-graphical locations. Further, both curcuminoids and essential oils vary in contents with different extraction methods and are unstable with extraction and storage processes. As a result, the quality of commercial turmeric products can be mark-edly varied. While curcumin (1), demethoxycurcumin (2), and bisdemethoxycurcumin (5) have been used as marker com-pounds for the quality control of rhizomes, powders, and extract (\" curcumin \") products, Ar-turmerone (99), -turmerone (100), and -turmerone (101) may be used to control the product quality of turmeric oil and oleoresin products. Authentication of turmeric products can be achieved by chromatographic and NMR techniques, DNA markers, with morphological and anatomic data as well as GAP and other information available.","author":[{"dropping-particle":"","family":"Li","given":"Shiyou","non-dropping-particle":"","parse-names":false,"suffix":""}],"container-title":"Pharmaceutical Crops","id":"ITEM-1","issue":"1","issued":{"date-parts":[["2011"]]},"page":"28-54","title":"Chemical Composition and Product Quality Control of Turmeric (Curcuma longa L.)","type":"article-journal","volume":"2"},"uris":["http://www.mendeley.com/documents/?uuid=f8e69bca-d122-49d5-8df2-7acc3b426d2c"]}],"mendeley":{"formattedCitation":"(LI, 2011)","plainTextFormattedCitation":"(LI, 2011)","previouslyFormattedCitation":"(LI, 2011)"},"properties":{"noteIndex":0},"schema":"https://github.com/citation-style-language/schema/raw/master/csl-citation.json"}</w:instrText>
      </w:r>
      <w:r w:rsidRPr="00131A11">
        <w:fldChar w:fldCharType="separate"/>
      </w:r>
      <w:r w:rsidRPr="00131A11">
        <w:rPr>
          <w:noProof/>
        </w:rPr>
        <w:t>(LI, 2011)</w:t>
      </w:r>
      <w:r w:rsidRPr="00131A11">
        <w:fldChar w:fldCharType="end"/>
      </w:r>
      <w:r w:rsidRPr="00131A11">
        <w:t>.</w:t>
      </w:r>
    </w:p>
    <w:p w14:paraId="55A022DB" w14:textId="77777777" w:rsidR="00A3438E" w:rsidRDefault="0049239E" w:rsidP="0049239E">
      <w:pPr>
        <w:pStyle w:val="NormalWeb"/>
        <w:spacing w:before="0" w:beforeAutospacing="0" w:after="0" w:afterAutospacing="0" w:line="360" w:lineRule="auto"/>
        <w:ind w:firstLine="708"/>
        <w:jc w:val="both"/>
        <w:rPr>
          <w:lang w:val="pt-PT"/>
        </w:rPr>
      </w:pPr>
      <w:r w:rsidRPr="00131A11">
        <w:t>Os pacientes com câncer usam frequentemente durante seu tratamento produtos naturais e fitoterápicos. Uma revisão de BERRET</w:t>
      </w:r>
      <w:r w:rsidR="006725DC">
        <w:t>T</w:t>
      </w:r>
      <w:r w:rsidRPr="00131A11">
        <w:t xml:space="preserve">A et al. (2017) relatou que metade de todos os pacientes com câncer usa abordagens médicas complementares e/ou alternativas, porém essas podem variar amplamente de acordo com a cultura e a disponibilidade de intervenções e medicamentos. Diversos produtos ou substâncias naturais derivadas de plantas ou outras fontes naturais já foram avaliadas em diferentes condições médicas, especialmente os curcuminoides </w:t>
      </w:r>
      <w:r w:rsidRPr="00131A11">
        <w:fldChar w:fldCharType="begin" w:fldLock="1"/>
      </w:r>
      <w:r w:rsidRPr="00131A11">
        <w:instrText>ADDIN CSL_CITATION {"citationItems":[{"id":"ITEM-1","itemData":{"DOI":"10.3390/ijms20081808","ISSN":"14220067","PMID":"31013694","abstract":"Cancer patients frequently use complementary medicine. Curcumin (CUR) and its derivates (from the extract of Curcuma longa L.) represent some of the most frequently used ones, having a long history in traditional Asian medicine. CUR was demonstrated, both in vitro and in vivo, to have significant anti-inflammatory effects, thus potentially counteracting cancer-promoting inflammation, which is a hallmark of cancer. CUR modulate a plethora of signaling pathways in cancer cells, comprising the NF-κB (nuclear factor k-light-chain-enhancer of activated B cells), the JAK/STAT (Janus-Kinase/Signal Transducers and Activators of Transcription), and the TGF-β (transforming growth factor-β) pathways. Furthermore, CUR confers properties of electron receptors, which destabilize radical oxygen species (ROS), explaining its antioxidant and anti-apopototic effects. Although CUR has a low bioavailability, its role in advanced cancer treatment and supportive care was addressed in numerous clinical trials. After promising results in phase I–II trials, multiple phase III trials in different indications are currently under way to test for direct anti-cancer effects. In addition, CUR exerts beneficial effects on cancer treatment-related neurotoxcity, cardiotoxicity, nephrotoxicity, hemato-toxicity, and others. More efficient galenic formulations are tested to optimze CUR’s usability in cancer treatment. This review should provide a comprehensive overview of basic science, and pre-clinical and clinical data on CUR in the field of oncology.","author":[{"dropping-particle":"","family":"Willenbacher","given":"Ella","non-dropping-particle":"","parse-names":false,"suffix":""},{"dropping-particle":"","family":"Khan","given":"Shah Zeb","non-dropping-particle":"","parse-names":false,"suffix":""},{"dropping-particle":"","family":"Mujica","given":"Sara Cecilia Altuna","non-dropping-particle":"","parse-names":false,"suffix":""},{"dropping-particle":"","family":"Trapani","given":"Dario","non-dropping-particle":"","parse-names":false,"suffix":""},{"dropping-particle":"","family":"Hussain","given":"Sadaqat","non-dropping-particle":"","parse-names":false,"suffix":""},{"dropping-particle":"","family":"Wolf","given":"Dominik","non-dropping-particle":"","parse-names":false,"suffix":""},{"dropping-particle":"","family":"Willenbacher","given":"Wolfgang","non-dropping-particle":"","parse-names":false,"suffix":""},{"dropping-particle":"","family":"Spizzo","given":"Gilbert","non-dropping-particle":"","parse-names":false,"suffix":""},{"dropping-particle":"","family":"Seeber","given":"Andreas","non-dropping-particle":"","parse-names":false,"suffix":""}],"container-title":"International Journal of Molecular Sciences","id":"ITEM-1","issue":"8","issued":{"date-parts":[["2019"]]},"page":"1-13","title":"Curcumin: New insights into an ancient ingredient against cancer","type":"article-journal","volume":"20"},"uris":["http://www.mendeley.com/documents/?uuid=4414afc3-5416-4e6d-9665-f330fd50afd1"]}],"mendeley":{"formattedCitation":"(WILLENBACHER et al., 2019)","plainTextFormattedCitation":"(WILLENBACHER et al., 2019)","previouslyFormattedCitation":"(WILLENBACHER et al., 2019)"},"properties":{"noteIndex":0},"schema":"https://github.com/citation-style-language/schema/raw/master/csl-citation.json"}</w:instrText>
      </w:r>
      <w:r w:rsidRPr="00131A11">
        <w:fldChar w:fldCharType="separate"/>
      </w:r>
      <w:r w:rsidRPr="00131A11">
        <w:rPr>
          <w:noProof/>
        </w:rPr>
        <w:t>(WILLENBACHER et al., 2019)</w:t>
      </w:r>
      <w:r w:rsidRPr="00131A11">
        <w:fldChar w:fldCharType="end"/>
      </w:r>
      <w:r w:rsidRPr="00131A11">
        <w:t xml:space="preserve">. Para além de suas propriedades anti-inflamatórias, a CUR demonstrou apresentar efeitos antioxidantes em modelos celulares </w:t>
      </w:r>
      <w:r w:rsidRPr="00131A11">
        <w:rPr>
          <w:i/>
        </w:rPr>
        <w:t xml:space="preserve">in vitro </w:t>
      </w:r>
      <w:r w:rsidRPr="00131A11">
        <w:t xml:space="preserve">e </w:t>
      </w:r>
      <w:r w:rsidRPr="00131A11">
        <w:rPr>
          <w:i/>
        </w:rPr>
        <w:t>in vivo</w:t>
      </w:r>
      <w:r w:rsidRPr="00131A11">
        <w:t xml:space="preserve">. </w:t>
      </w:r>
      <w:r w:rsidRPr="00131A11">
        <w:rPr>
          <w:lang w:val="pt-PT"/>
        </w:rPr>
        <w:t>Uma estrutura molecular rica em grupos fenólicos e caracter</w:t>
      </w:r>
      <w:r w:rsidR="00CF53F5">
        <w:rPr>
          <w:lang w:val="pt-PT"/>
        </w:rPr>
        <w:t>ísticas biofísicas permite que a</w:t>
      </w:r>
      <w:r w:rsidRPr="00131A11">
        <w:rPr>
          <w:lang w:val="pt-PT"/>
        </w:rPr>
        <w:t xml:space="preserve"> CUR interaja</w:t>
      </w:r>
      <w:r w:rsidR="00CF53F5">
        <w:rPr>
          <w:lang w:val="pt-PT"/>
        </w:rPr>
        <w:t xml:space="preserve"> com muitas proteínas distintas</w:t>
      </w:r>
      <w:r w:rsidRPr="00131A11">
        <w:rPr>
          <w:lang w:val="pt-PT"/>
        </w:rPr>
        <w:t xml:space="preserve"> em diferentes estágios, o que pode explicar os diversos efeitos antitumorais </w:t>
      </w:r>
      <w:r w:rsidRPr="00131A11">
        <w:rPr>
          <w:lang w:val="pt-PT"/>
        </w:rPr>
        <w:fldChar w:fldCharType="begin" w:fldLock="1"/>
      </w:r>
      <w:r w:rsidRPr="00131A11">
        <w:rPr>
          <w:lang w:val="pt-PT"/>
        </w:rPr>
        <w:instrText>ADDIN CSL_CITATION {"citationItems":[{"id":"ITEM-1","itemData":{"DOI":"10.1016/j.jtcme.2016.08.002","ISSN":"22254110","abstract":"Curcumin is a natural anti-inflammatory agent that has been used for treating medical conditions for many years. Several experimental and pharmacologic trials have demonstrated its efficacy in the role as an anti-inflammatory agent. Curcumin has been shown to be effective in treating chronic conditions like rheumatoid arthritis, inflammatory bowel disease, Alzheimer's and common malignancies like colon, stomach, lung, breast, and skin cancers. As treatments in medicine become more and more complex, the answer may be something simpler. This is a review article written with the objective to systematically analyze the wealth of information regarding the medical use of curcumin, the “curry spice”, and to understand the existent gaps which have prevented its widespread application in the medical community.","author":[{"dropping-particle":"","family":"Fadus","given":"Matthew C.","non-dropping-particle":"","parse-names":false,"suffix":""},{"dropping-particle":"","family":"Lau","given":"Cecilia","non-dropping-particle":"","parse-names":false,"suffix":""},{"dropping-particle":"","family":"Bikhchandani","given":"Jai","non-dropping-particle":"","parse-names":false,"suffix":""},{"dropping-particle":"","family":"Lynch","given":"Henry T.","non-dropping-particle":"","parse-names":false,"suffix":""}],"container-title":"Journal of Traditional and Complementary Medicine","id":"ITEM-1","issue":"3","issued":{"date-parts":[["2016"]]},"page":"1-8","publisher":"Elsevier Ltd","title":"Curcumin: An age-old anti-inflammatory and anti-neoplastic agent","type":"article-journal","volume":"7"},"uris":["http://www.mendeley.com/documents/?uuid=2502c909-a752-4403-a660-fea457fae81c"]}],"mendeley":{"formattedCitation":"(FADUS et al., 2016)","plainTextFormattedCitation":"(FADUS et al., 2016)","previouslyFormattedCitation":"(FADUS et al., 2016)"},"properties":{"noteIndex":0},"schema":"https://github.com/citation-style-language/schema/raw/master/csl-citation.json"}</w:instrText>
      </w:r>
      <w:r w:rsidRPr="00131A11">
        <w:rPr>
          <w:lang w:val="pt-PT"/>
        </w:rPr>
        <w:fldChar w:fldCharType="separate"/>
      </w:r>
      <w:r w:rsidRPr="00131A11">
        <w:rPr>
          <w:noProof/>
          <w:lang w:val="pt-PT"/>
        </w:rPr>
        <w:t>(FADUS et al., 2016)</w:t>
      </w:r>
      <w:r w:rsidRPr="00131A11">
        <w:rPr>
          <w:lang w:val="pt-PT"/>
        </w:rPr>
        <w:fldChar w:fldCharType="end"/>
      </w:r>
      <w:r w:rsidRPr="00131A11">
        <w:rPr>
          <w:lang w:val="pt-PT"/>
        </w:rPr>
        <w:t>.</w:t>
      </w:r>
    </w:p>
    <w:p w14:paraId="77566745" w14:textId="4868B757" w:rsidR="0049239E" w:rsidRPr="00131A11" w:rsidRDefault="0049239E" w:rsidP="0049239E">
      <w:pPr>
        <w:pStyle w:val="NormalWeb"/>
        <w:spacing w:before="0" w:beforeAutospacing="0" w:after="0" w:afterAutospacing="0" w:line="360" w:lineRule="auto"/>
        <w:ind w:firstLine="708"/>
        <w:jc w:val="both"/>
        <w:rPr>
          <w:lang w:val="pt-PT"/>
        </w:rPr>
      </w:pPr>
      <w:r w:rsidRPr="00131A11">
        <w:rPr>
          <w:lang w:val="pt-PT"/>
        </w:rPr>
        <w:t xml:space="preserve">A regulação de enzimas e a ativação e desativação de vias de crescimento e morte celular programada fazem da CUR um potencial agente terapêutico para um amplo espectro de cânceres, uma vez que os efeitos observados em modelos de células cancerígenas não poderiam ser replicados em células não neoplásicas. Este fato pode explicar a baixa toxicidade relatada em ensaios de intervenção em humanos </w:t>
      </w:r>
      <w:r w:rsidRPr="00131A11">
        <w:rPr>
          <w:lang w:val="pt-PT"/>
        </w:rPr>
        <w:fldChar w:fldCharType="begin" w:fldLock="1"/>
      </w:r>
      <w:r w:rsidRPr="00131A11">
        <w:rPr>
          <w:lang w:val="pt-PT"/>
        </w:rPr>
        <w:instrText>ADDIN CSL_CITATION {"citationItems":[{"id":"ITEM-1","itemData":{"DOI":"10.1016/j.ijbiomac.2015.09.026","ISSN":"18790003","PMID":"26391597","abstract":"Turmeric (Curcuma longa) is a popular Indian spice that has been used for centuries in herbal medicines for the treatment of a variety of ailments such as rheumatism, diabetic ulcers, anorexia, cough and sinusitis. Curcumin (diferuloylmethane) is the main curcuminoid present in turmeric and responsible for its yellow color. Curcumin has been shown to possess significant anti-inflammatory, anti-oxidant, anti-carcinogenic, anti-mutagenic, anticoagulant and anti-infective effects. This review summarizes and discusses recently published papers on the key biomedical applications of curcumin based materials. The highlighted studies in the review provide evidence of the ability of curcumin to show the significant vitro antioxidant, diabetic complication, antimicrobial, neuroprotective, anti-cancer activities and detection of hypochlorous acid, wound healing, treatment of major depression, healing of paracentesis, and treatment of carcinoma and optical detection of pyrrole properties. Hydrophobic nature of this polyphenolic compound along with its rapid metabolism, physicochemical and biological instability contribute to its poor bioavailability. To redress these problems several approaches have been proposed like encapsulation of curcumin in liposomes and polymeric micelles, inclusion complex formation with cyclodextrin, formation of polymer-curcumin conjugates, etc.","author":[{"dropping-particle":"","family":"Mahmood","given":"Kashif","non-dropping-particle":"","parse-names":false,"suffix":""},{"dropping-particle":"","family":"Zia","given":"Khalid Mahmood","non-dropping-particle":"","parse-names":false,"suffix":""},{"dropping-particle":"","family":"Zuber","given":"Mohammad","non-dropping-particle":"","parse-names":false,"suffix":""},{"dropping-particle":"","family":"Salman","given":"Mahwish","non-dropping-particle":"","parse-names":false,"suffix":""},{"dropping-particle":"","family":"Anjum","given":"Muhammad Naveed","non-dropping-particle":"","parse-names":false,"suffix":""}],"container-title":"International Journal of Biological Macromolecules","id":"ITEM-1","issued":{"date-parts":[["2015"]]},"page":"1-65","publisher":"Elsevier B.V.","title":"Recent developments in curcumin and curcumin based polymeric materials for biomedical applications: A review","type":"article-journal"},"uris":["http://www.mendeley.com/documents/?uuid=ada4030a-3021-49ef-ae6c-ad7d44f1764e"]}],"mendeley":{"formattedCitation":"(MAHMOOD et al., 2015)","plainTextFormattedCitation":"(MAHMOOD et al., 2015)","previouslyFormattedCitation":"(MAHMOOD et al., 2015)"},"properties":{"noteIndex":0},"schema":"https://github.com/citation-style-language/schema/raw/master/csl-citation.json"}</w:instrText>
      </w:r>
      <w:r w:rsidRPr="00131A11">
        <w:rPr>
          <w:lang w:val="pt-PT"/>
        </w:rPr>
        <w:fldChar w:fldCharType="separate"/>
      </w:r>
      <w:r w:rsidRPr="00131A11">
        <w:rPr>
          <w:noProof/>
          <w:lang w:val="pt-PT"/>
        </w:rPr>
        <w:t>(MAHMOOD et al., 2015)</w:t>
      </w:r>
      <w:r w:rsidRPr="00131A11">
        <w:rPr>
          <w:lang w:val="pt-PT"/>
        </w:rPr>
        <w:fldChar w:fldCharType="end"/>
      </w:r>
      <w:r w:rsidRPr="00131A11">
        <w:rPr>
          <w:lang w:val="pt-PT"/>
        </w:rPr>
        <w:t>. Os efeitos antitumorais da CUR giram em torno da indução de apoptose por meio da interação complexa de proteínas no STAT-3, HIF1 / ROS</w:t>
      </w:r>
      <w:r w:rsidR="00A04F36">
        <w:rPr>
          <w:lang w:val="pt-PT"/>
        </w:rPr>
        <w:t xml:space="preserve"> (fator 1 indutível por hipóxia/</w:t>
      </w:r>
      <w:r w:rsidRPr="00131A11">
        <w:rPr>
          <w:lang w:val="pt-PT"/>
        </w:rPr>
        <w:t xml:space="preserve">espécies reativas de oxigênio), via β-catenina e Sp-1 (proteína de especificidade 1), bem como indução das vias das caspases, principalmente por meio da </w:t>
      </w:r>
      <w:r w:rsidRPr="00131A11">
        <w:rPr>
          <w:lang w:val="pt-PT"/>
        </w:rPr>
        <w:lastRenderedPageBreak/>
        <w:t>ativação da caspase-3 e da caspase-8. A regulação negativa da expressão de genes antiapoptóticos, como Bcl-2 e Bcl-X, torna as células cancerosas mais vulneráveis à apoptose e, em modelos celulares com superexpressão de Bcl-2, alguns análogos desativam a proteína associada a Fas (CD95) com domínio de morte , resultando em morte celular programada. CUR também pode inibir promotores de crescimento e fatores de crescimento, como o receptor do fator de crescimento epidermal (EGFR</w:t>
      </w:r>
      <w:r w:rsidR="00A3438E">
        <w:rPr>
          <w:lang w:val="pt-PT"/>
        </w:rPr>
        <w:t xml:space="preserve"> - </w:t>
      </w:r>
      <w:r w:rsidR="00A3438E" w:rsidRPr="00A3438E">
        <w:rPr>
          <w:i/>
        </w:rPr>
        <w:t xml:space="preserve">epidermal </w:t>
      </w:r>
      <w:proofErr w:type="spellStart"/>
      <w:r w:rsidR="00A3438E" w:rsidRPr="00A3438E">
        <w:rPr>
          <w:i/>
        </w:rPr>
        <w:t>growth</w:t>
      </w:r>
      <w:proofErr w:type="spellEnd"/>
      <w:r w:rsidR="00A3438E" w:rsidRPr="00A3438E">
        <w:rPr>
          <w:i/>
        </w:rPr>
        <w:t xml:space="preserve"> </w:t>
      </w:r>
      <w:proofErr w:type="spellStart"/>
      <w:r w:rsidR="00A3438E" w:rsidRPr="00A3438E">
        <w:rPr>
          <w:i/>
        </w:rPr>
        <w:t>factor</w:t>
      </w:r>
      <w:proofErr w:type="spellEnd"/>
      <w:r w:rsidR="00A3438E" w:rsidRPr="00A3438E">
        <w:rPr>
          <w:i/>
        </w:rPr>
        <w:t xml:space="preserve"> receptor</w:t>
      </w:r>
      <w:r w:rsidRPr="00131A11">
        <w:rPr>
          <w:lang w:val="pt-PT"/>
        </w:rPr>
        <w:t xml:space="preserve">) e a ciclina D1 </w:t>
      </w:r>
      <w:r w:rsidRPr="00131A11">
        <w:rPr>
          <w:lang w:val="pt-PT"/>
        </w:rPr>
        <w:fldChar w:fldCharType="begin" w:fldLock="1"/>
      </w:r>
      <w:r w:rsidRPr="00131A11">
        <w:rPr>
          <w:lang w:val="pt-PT"/>
        </w:rPr>
        <w:instrText>ADDIN CSL_CITATION {"citationItems":[{"id":"ITEM-1","itemData":{"abstract":"cancers, including breast cancer, prostate cancer, head and neck squamous cell carcinoma, multiple myeloma, lymphomas and leukemia, brain cancer, colon, gastric, esophageal, ovarian, nasopharyngeal and pancreatic cancer (36-47). Nevertheless, it is not completely understood why STAT3 is constitutively active in cancer cells. Curcumin inhibits the STAT3 and NF-ĸB signaling pathways, which -as it has already been mentioned-play key-roles in cancer development and progression (48). Constitutive activation of the STAT3 and NF-ĸB signaling pathways has been demonstrated in prostate cancer cell lines and clinical samples of prostate cancer (49-52). Curcumin and Other Transcription Factors Curcumin has also been suggested to induce apoptosis and cause down-regulation of EGFR, Akt, cMET cyclin D1, in CL-5 xenograft tumors (53). In addition, it has been documented to inhibit lung cell invasion and metastasis through up-regulation of HLJ1 expression in cancer cells (54). Apart from its action on STAT3 and NF-ĸB pathways, curcumin has been shown to inhibit cell proliferation, cell cycle arrest and stimulate apoptosis via modulation of other transcription factors, such as AP-1, Erg-1, p53, β-catenin, Notch-1, Hif-1, and PPAR-α (55).","author":[{"dropping-particle":"","family":"Vallianou","given":"Natalia G","non-dropping-particle":"","parse-names":false,"suffix":""},{"dropping-particle":"","family":"Evangelopoulos","given":"Angelos","non-dropping-particle":"","parse-names":false,"suffix":""},{"dropping-particle":"","family":"Schizas","given":"Nikos","non-dropping-particle":"","parse-names":false,"suffix":""},{"dropping-particle":"","family":"Kazazis","given":"Christos","non-dropping-particle":"","parse-names":false,"suffix":""}],"container-title":"Anticancer Research","id":"ITEM-1","issued":{"date-parts":[["2015"]]},"page":"645-652","title":"Potential Anticancer Properties and Mechanisms of Action of Curcumin","type":"article-journal","volume":"35"},"uris":["http://www.mendeley.com/documents/?uuid=d07748e6-a6f0-4a73-9348-81ef50723025"]},{"id":"ITEM-2","itemData":{"DOI":"10.1208/s12248-009-9128-x","ISSN":"15507416","PMID":"19590964","abstract":"Cancer is a hyperproliferative disorder that is usually treated by chemotherapeutic agents that are toxic not only to tumor cells but also to normal cells, so these agents produce major side effects. In addition, these agents are highly expensive and thus not affordable for most. Moreover, such agents cannot be used for cancer prevention. Traditional medicines are generally free of the deleterious side effects and usually inexpensive. Curcumin, a component of turmeric (Curcuma longa), is one such agent that is safe, affordable, and efficacious. How curcumin kills tumor cells is the focus of this review. We show that curcumin modulates growth of tumor cells through regulation of multiple cell signaling pathways including cell proliferation pathway (cyclin D1, c-myc), cell survival pathway (Bcl-2, Bcl-xL, cFLIP, XIAP, c-IAP1), caspase activation pathway (caspase-8, 3, 9), tumor suppressor pathway (p53, p21) death receptor pathway (DR4, DR5), mitochondrial pathways, and protein kinase pathway (JNK, Akt, and AMPK). How curcumin selectively kills tumor cells, and not normal cells, is also described in detail. © 2009 American Association of Pharmaceutical Scientists.","author":[{"dropping-particle":"","family":"Ravindran","given":"Jayaraj","non-dropping-particle":"","parse-names":false,"suffix":""},{"dropping-particle":"","family":"Prasad","given":"Sahdeo","non-dropping-particle":"","parse-names":false,"suffix":""},{"dropping-particle":"","family":"Aggarwal","given":"Bharat B.","non-dropping-particle":"","parse-names":false,"suffix":""}],"container-title":"AAPS Journal","id":"ITEM-2","issue":"3","issued":{"date-parts":[["2009"]]},"page":"495-510","title":"Curcumin and cancer cells: How many ways can curry kill tumor cells selectively?","type":"article-journal","volume":"11"},"uris":["http://www.mendeley.com/documents/?uuid=03c61584-13ca-4c94-ab18-8a1087803753"]}],"mendeley":{"formattedCitation":"(RAVINDRAN; PRASAD; AGGARWAL, 2009; VALLIANOU et al., 2015)","plainTextFormattedCitation":"(RAVINDRAN; PRASAD; AGGARWAL, 2009; VALLIANOU et al., 2015)","previouslyFormattedCitation":"(RAVINDRAN; PRASAD; AGGARWAL, 2009; VALLIANOU et al., 2015)"},"properties":{"noteIndex":0},"schema":"https://github.com/citation-style-language/schema/raw/master/csl-citation.json"}</w:instrText>
      </w:r>
      <w:r w:rsidRPr="00131A11">
        <w:rPr>
          <w:lang w:val="pt-PT"/>
        </w:rPr>
        <w:fldChar w:fldCharType="separate"/>
      </w:r>
      <w:r w:rsidRPr="00131A11">
        <w:rPr>
          <w:noProof/>
          <w:lang w:val="pt-PT"/>
        </w:rPr>
        <w:t>(RAVINDRAN; PRASAD; AGGARWAL, 2009; VALLIANOU et al., 2015)</w:t>
      </w:r>
      <w:r w:rsidRPr="00131A11">
        <w:rPr>
          <w:lang w:val="pt-PT"/>
        </w:rPr>
        <w:fldChar w:fldCharType="end"/>
      </w:r>
      <w:r w:rsidRPr="00131A11">
        <w:rPr>
          <w:lang w:val="pt-PT"/>
        </w:rPr>
        <w:t>.</w:t>
      </w:r>
    </w:p>
    <w:p w14:paraId="5759D089" w14:textId="24D7B69A" w:rsidR="00A3438E" w:rsidRDefault="0049239E" w:rsidP="00A3438E">
      <w:pPr>
        <w:pStyle w:val="NormalWeb"/>
        <w:spacing w:line="360" w:lineRule="auto"/>
        <w:ind w:firstLine="708"/>
        <w:jc w:val="both"/>
        <w:rPr>
          <w:lang w:val="pt-PT"/>
        </w:rPr>
      </w:pPr>
      <w:r w:rsidRPr="00131A11">
        <w:rPr>
          <w:lang w:val="pt-PT"/>
        </w:rPr>
        <w:t>O câncer de pulmão foi estimado em 2020 como o segundo mais incidente (11,4% ou 2.206.771) e o mais letal (18% ou 1.796.144) em todo o mundo para ambos os sexos e todas as idades de acordo com o GLOBOCAN 2020. Aproximadamente 85% dessa modalidade de câncer são classificados como câncer de pulmão de células não pequenas (NSCLC</w:t>
      </w:r>
      <w:r w:rsidR="00A3438E">
        <w:rPr>
          <w:lang w:val="pt-PT"/>
        </w:rPr>
        <w:t xml:space="preserve"> - </w:t>
      </w:r>
      <w:r w:rsidR="00A3438E" w:rsidRPr="00A3438E">
        <w:rPr>
          <w:i/>
          <w:lang w:val="pt-PT"/>
        </w:rPr>
        <w:t>non-small cell lung cancer</w:t>
      </w:r>
      <w:r w:rsidRPr="00131A11">
        <w:rPr>
          <w:lang w:val="pt-PT"/>
        </w:rPr>
        <w:t>) e incluem os subtipos histológicos de adenocarcinoma de pulmão, carcinoma de células escamosas (SCC</w:t>
      </w:r>
      <w:r w:rsidR="00A3438E">
        <w:rPr>
          <w:lang w:val="pt-PT"/>
        </w:rPr>
        <w:t xml:space="preserve"> - </w:t>
      </w:r>
      <w:r w:rsidR="00A3438E" w:rsidRPr="00A3438E">
        <w:rPr>
          <w:i/>
          <w:lang w:val="pt-PT"/>
        </w:rPr>
        <w:t>squamous cell carcinoma</w:t>
      </w:r>
      <w:r w:rsidRPr="00131A11">
        <w:rPr>
          <w:lang w:val="pt-PT"/>
        </w:rPr>
        <w:t>) e carcinoma de células grandes (LCC</w:t>
      </w:r>
      <w:r w:rsidR="00A3438E">
        <w:rPr>
          <w:lang w:val="pt-PT"/>
        </w:rPr>
        <w:t xml:space="preserve"> - </w:t>
      </w:r>
      <w:r w:rsidR="00A3438E" w:rsidRPr="00A3438E">
        <w:rPr>
          <w:i/>
          <w:lang w:val="pt-PT"/>
        </w:rPr>
        <w:t>large cell carcinoma</w:t>
      </w:r>
      <w:r w:rsidRPr="00131A11">
        <w:rPr>
          <w:lang w:val="pt-PT"/>
        </w:rPr>
        <w:t xml:space="preserve">), enquanto os 15% restantes referem-se ao de pequenas células. Muitos avanços nas últimas décadas proporcionou uma maior compreensão acerca do câncer de pulmão, especialmente o NSCLC, que é definido como um grupo de doenças diferentes e, como um </w:t>
      </w:r>
      <w:r w:rsidRPr="00131A11">
        <w:rPr>
          <w:iCs/>
          <w:lang w:val="pt-PT"/>
        </w:rPr>
        <w:t>guia</w:t>
      </w:r>
      <w:r w:rsidRPr="00131A11">
        <w:rPr>
          <w:i/>
          <w:iCs/>
          <w:lang w:val="pt-PT"/>
        </w:rPr>
        <w:t xml:space="preserve"> </w:t>
      </w:r>
      <w:r w:rsidRPr="00131A11">
        <w:rPr>
          <w:lang w:val="pt-PT"/>
        </w:rPr>
        <w:t>oncogênico, o EGFR foi identificado e seu bloqueio com inibidores específicos de tirosina quinase (ITKs) pode ger</w:t>
      </w:r>
      <w:r w:rsidR="00A3438E">
        <w:rPr>
          <w:lang w:val="pt-PT"/>
        </w:rPr>
        <w:t xml:space="preserve">ar respostas tumorais promissoras </w:t>
      </w:r>
      <w:r w:rsidR="00A3438E" w:rsidRPr="00131A11">
        <w:rPr>
          <w:lang w:val="pt-PT"/>
        </w:rPr>
        <w:t xml:space="preserve"> </w:t>
      </w:r>
      <w:r w:rsidR="00A3438E" w:rsidRPr="00131A11">
        <w:rPr>
          <w:lang w:val="pt-PT"/>
        </w:rPr>
        <w:fldChar w:fldCharType="begin" w:fldLock="1"/>
      </w:r>
      <w:r w:rsidR="00A3438E" w:rsidRPr="00131A11">
        <w:rPr>
          <w:lang w:val="pt-PT"/>
        </w:rPr>
        <w:instrText>ADDIN CSL_CITATION {"citationItems":[{"id":"ITEM-1","itemData":{"DOI":"10.18632/oncotarget.16854","ISSN":"19492553","abstract":"Lung cancer is a leading cause of cancer mortality worldwide. In tumors, the important role of noncoding RNA regulatory networks has been more and more reveal. EGFR has been identified as an oncogenic driver of NSCLC, especially activating mutations EGFR and its inhibition with specific TKIs can generate dramatic tumor responses. Studies have shown that EGFR plays significant roles in the progression of NSCLC. Subset analysis of the small proportion of patients with EGFR-mutant lung cancer showed a disease-free survival benefit, but was underpowered to detect a survival advantage. Herein, we highlight the progression of EGFR, noncoding RNA, and their roles in carcinogenesis. We also focus on anti-lung cancer drug development and EGFR-related drug resistance.","author":[{"dropping-particle":"","family":"Liu","given":"Xiaomin","non-dropping-particle":"","parse-names":false,"suffix":""},{"dropping-particle":"","family":"Wang","given":"Ping","non-dropping-particle":"","parse-names":false,"suffix":""},{"dropping-particle":"","family":"Zhang","given":"Caiyan","non-dropping-particle":"","parse-names":false,"suffix":""},{"dropping-particle":"","family":"Ma","given":"Zhongliang","non-dropping-particle":"","parse-names":false,"suffix":""}],"container-title":"Oncotarget","id":"ITEM-1","issue":"30","issued":{"date-parts":[["2017"]]},"page":"50209-50220","title":"Epidermal growth factor receptor (EGFR): A rising star in the era of precision medicine of lung cancer","type":"article-journal","volume":"8"},"uris":["http://www.mendeley.com/documents/?uuid=72bb7fe3-98d4-41db-95bf-5c2740b92e1b"]}],"mendeley":{"formattedCitation":"(LIU et al., 2017)","plainTextFormattedCitation":"(LIU et al., 2017)","previouslyFormattedCitation":"(LIU et al., 2017)"},"properties":{"noteIndex":0},"schema":"https://github.com/citation-style-language/schema/raw/master/csl-citation.json"}</w:instrText>
      </w:r>
      <w:r w:rsidR="00A3438E" w:rsidRPr="00131A11">
        <w:rPr>
          <w:lang w:val="pt-PT"/>
        </w:rPr>
        <w:fldChar w:fldCharType="separate"/>
      </w:r>
      <w:r w:rsidR="00A3438E" w:rsidRPr="00131A11">
        <w:rPr>
          <w:noProof/>
          <w:lang w:val="pt-PT"/>
        </w:rPr>
        <w:t>(LIU et al., 2017)</w:t>
      </w:r>
      <w:r w:rsidR="00A3438E" w:rsidRPr="00131A11">
        <w:rPr>
          <w:lang w:val="pt-PT"/>
        </w:rPr>
        <w:fldChar w:fldCharType="end"/>
      </w:r>
      <w:r w:rsidRPr="00131A11">
        <w:rPr>
          <w:lang w:val="pt-PT"/>
        </w:rPr>
        <w:t xml:space="preserve">. </w:t>
      </w:r>
    </w:p>
    <w:p w14:paraId="62C19ADD" w14:textId="143025ED" w:rsidR="00A3438E" w:rsidRDefault="00A3438E" w:rsidP="00A3438E">
      <w:pPr>
        <w:pStyle w:val="NormalWeb"/>
        <w:spacing w:line="360" w:lineRule="auto"/>
        <w:ind w:firstLine="708"/>
        <w:jc w:val="both"/>
        <w:rPr>
          <w:lang w:val="pt-PT"/>
        </w:rPr>
      </w:pPr>
      <w:r>
        <w:rPr>
          <w:lang w:val="pt-PT"/>
        </w:rPr>
        <w:t xml:space="preserve">O </w:t>
      </w:r>
      <w:r w:rsidR="0049239E" w:rsidRPr="00131A11">
        <w:rPr>
          <w:lang w:val="pt-PT"/>
        </w:rPr>
        <w:t xml:space="preserve">EGFR é um dos quatro membros da família de receptores HER, que compõe EGFR / HER1 / erbB1, HER2 / erbB2, HER3 / erbB3 e HER4 / erbB4. Existem 11 espécies na família HER de fatores de crescimento que podem ser amplamente divididos naqueles que se ligam especificamente com EGFR (EGF, TGF-α, Anfiregulina (AR)), aqueles que se ligam com EGFR e HER4 (BTC, HB-EGF, Reguladores epidérmicos), e aqueles que se ligam a HER3 e HER4 (neuregulina). Embora HER2 não tenha um ligante correspondente, ele geralmente se liga a um ligante semelhante ao que o ativa, formando prontamente um dímero com outros membros da família HER. Além disso, o EGFR é um receptor da tirosina quinase (RTK). É constituída por uma região intracelular C-terminal que possui a atividade quinase, e um N-terminal extracelular ligando sítio de ligação, um domínio transmembranar hidrofóbico. A rede de sinalização EGFR desempenha um papel significativo na manutenção e crescimento dos tecidos epiteliais, a sinalização EGFR </w:t>
      </w:r>
      <w:r w:rsidR="0049239E" w:rsidRPr="00131A11">
        <w:rPr>
          <w:lang w:val="pt-PT"/>
        </w:rPr>
        <w:lastRenderedPageBreak/>
        <w:t>ativa é frequentemente observada no câncer de pulmão, e o nível de EGFR está relacionado com o estágio avançado da doença e mau prognóstico. Como se sabe, a malformação relacionada ao receptor da família HER de tumores pulmonares primários, as metástases cerebrais do NSCLC têm algumas diferenças marcantes. Portanto, no desenvolvimento de novos medicamentos para o tratamento do câncer, o EGFR e seus componentes de sinalização podem ser usados como potenciais alvos para anticorpos monoclonais quiméricos (panitumumabe e cetuximabe) e ITKs (gefitinibe, erlotinibe e afatinibe). No entanto, até o momento, a heterogeneidade do câncer e a resistência aos medicamentos limitam muito a utilidade dos agentes anti-EGFR</w:t>
      </w:r>
      <w:r>
        <w:rPr>
          <w:lang w:val="pt-PT"/>
        </w:rPr>
        <w:t xml:space="preserve"> </w:t>
      </w:r>
      <w:r w:rsidRPr="00131A11">
        <w:rPr>
          <w:lang w:val="pt-PT"/>
        </w:rPr>
        <w:t xml:space="preserve"> </w:t>
      </w:r>
      <w:r w:rsidRPr="00131A11">
        <w:rPr>
          <w:lang w:val="pt-PT"/>
        </w:rPr>
        <w:fldChar w:fldCharType="begin" w:fldLock="1"/>
      </w:r>
      <w:r w:rsidRPr="00131A11">
        <w:rPr>
          <w:lang w:val="pt-PT"/>
        </w:rPr>
        <w:instrText>ADDIN CSL_CITATION {"citationItems":[{"id":"ITEM-1","itemData":{"DOI":"10.18632/oncotarget.16854","ISSN":"19492553","abstract":"Lung cancer is a leading cause of cancer mortality worldwide. In tumors, the important role of noncoding RNA regulatory networks has been more and more reveal. EGFR has been identified as an oncogenic driver of NSCLC, especially activating mutations EGFR and its inhibition with specific TKIs can generate dramatic tumor responses. Studies have shown that EGFR plays significant roles in the progression of NSCLC. Subset analysis of the small proportion of patients with EGFR-mutant lung cancer showed a disease-free survival benefit, but was underpowered to detect a survival advantage. Herein, we highlight the progression of EGFR, noncoding RNA, and their roles in carcinogenesis. We also focus on anti-lung cancer drug development and EGFR-related drug resistance.","author":[{"dropping-particle":"","family":"Liu","given":"Xiaomin","non-dropping-particle":"","parse-names":false,"suffix":""},{"dropping-particle":"","family":"Wang","given":"Ping","non-dropping-particle":"","parse-names":false,"suffix":""},{"dropping-particle":"","family":"Zhang","given":"Caiyan","non-dropping-particle":"","parse-names":false,"suffix":""},{"dropping-particle":"","family":"Ma","given":"Zhongliang","non-dropping-particle":"","parse-names":false,"suffix":""}],"container-title":"Oncotarget","id":"ITEM-1","issue":"30","issued":{"date-parts":[["2017"]]},"page":"50209-50220","title":"Epidermal growth factor receptor (EGFR): A rising star in the era of precision medicine of lung cancer","type":"article-journal","volume":"8"},"uris":["http://www.mendeley.com/documents/?uuid=72bb7fe3-98d4-41db-95bf-5c2740b92e1b"]}],"mendeley":{"formattedCitation":"(LIU et al., 2017)","plainTextFormattedCitation":"(LIU et al., 2017)","previouslyFormattedCitation":"(LIU et al., 2017)"},"properties":{"noteIndex":0},"schema":"https://github.com/citation-style-language/schema/raw/master/csl-citation.json"}</w:instrText>
      </w:r>
      <w:r w:rsidRPr="00131A11">
        <w:rPr>
          <w:lang w:val="pt-PT"/>
        </w:rPr>
        <w:fldChar w:fldCharType="separate"/>
      </w:r>
      <w:r w:rsidRPr="00131A11">
        <w:rPr>
          <w:noProof/>
          <w:lang w:val="pt-PT"/>
        </w:rPr>
        <w:t>(LIU et al., 2017)</w:t>
      </w:r>
      <w:r w:rsidRPr="00131A11">
        <w:rPr>
          <w:lang w:val="pt-PT"/>
        </w:rPr>
        <w:fldChar w:fldCharType="end"/>
      </w:r>
      <w:r w:rsidR="0049239E" w:rsidRPr="00131A11">
        <w:rPr>
          <w:lang w:val="pt-PT"/>
        </w:rPr>
        <w:t xml:space="preserve">. </w:t>
      </w:r>
    </w:p>
    <w:p w14:paraId="48C4C976" w14:textId="385EF417" w:rsidR="0049239E" w:rsidRPr="00131A11" w:rsidRDefault="0049239E" w:rsidP="00A3438E">
      <w:pPr>
        <w:pStyle w:val="NormalWeb"/>
        <w:spacing w:line="360" w:lineRule="auto"/>
        <w:ind w:firstLine="708"/>
        <w:jc w:val="both"/>
        <w:rPr>
          <w:lang w:val="pt-PT"/>
        </w:rPr>
      </w:pPr>
      <w:r w:rsidRPr="00131A11">
        <w:rPr>
          <w:lang w:val="pt-PT"/>
        </w:rPr>
        <w:t xml:space="preserve">O gene EGFR é um gene dirigido por oncogene, tirosina quinases (TK) ativa. Enquanto isso, descoberta em 2004, a mutação do EGFR é a primeira alteração molecular no câncer de pulmão que é mostrada para conferir sensibilidade a terapias direcionadas específicas, a saber, ITKs. EGFR-ITKs podem inibir a ativação da autofosforilação de EGFR e suas vias de sinalização a jusante por meio da ligação competitiva com a região de ligação de EGFR, evitando a ligação de receptores de ATP e EGFR </w:t>
      </w:r>
      <w:r w:rsidRPr="00131A11">
        <w:rPr>
          <w:lang w:val="pt-PT"/>
        </w:rPr>
        <w:fldChar w:fldCharType="begin" w:fldLock="1"/>
      </w:r>
      <w:r w:rsidRPr="00131A11">
        <w:rPr>
          <w:lang w:val="pt-PT"/>
        </w:rPr>
        <w:instrText>ADDIN CSL_CITATION {"citationItems":[{"id":"ITEM-1","itemData":{"DOI":"10.18632/oncotarget.16854","ISSN":"19492553","abstract":"Lung cancer is a leading cause of cancer mortality worldwide. In tumors, the important role of noncoding RNA regulatory networks has been more and more reveal. EGFR has been identified as an oncogenic driver of NSCLC, especially activating mutations EGFR and its inhibition with specific TKIs can generate dramatic tumor responses. Studies have shown that EGFR plays significant roles in the progression of NSCLC. Subset analysis of the small proportion of patients with EGFR-mutant lung cancer showed a disease-free survival benefit, but was underpowered to detect a survival advantage. Herein, we highlight the progression of EGFR, noncoding RNA, and their roles in carcinogenesis. We also focus on anti-lung cancer drug development and EGFR-related drug resistance.","author":[{"dropping-particle":"","family":"Liu","given":"Xiaomin","non-dropping-particle":"","parse-names":false,"suffix":""},{"dropping-particle":"","family":"Wang","given":"Ping","non-dropping-particle":"","parse-names":false,"suffix":""},{"dropping-particle":"","family":"Zhang","given":"Caiyan","non-dropping-particle":"","parse-names":false,"suffix":""},{"dropping-particle":"","family":"Ma","given":"Zhongliang","non-dropping-particle":"","parse-names":false,"suffix":""}],"container-title":"Oncotarget","id":"ITEM-1","issue":"30","issued":{"date-parts":[["2017"]]},"page":"50209-50220","title":"Epidermal growth factor receptor (EGFR): A rising star in the era of precision medicine of lung cancer","type":"article-journal","volume":"8"},"uris":["http://www.mendeley.com/documents/?uuid=72bb7fe3-98d4-41db-95bf-5c2740b92e1b"]}],"mendeley":{"formattedCitation":"(LIU et al., 2017)","plainTextFormattedCitation":"(LIU et al., 2017)","previouslyFormattedCitation":"(LIU et al., 2017)"},"properties":{"noteIndex":0},"schema":"https://github.com/citation-style-language/schema/raw/master/csl-citation.json"}</w:instrText>
      </w:r>
      <w:r w:rsidRPr="00131A11">
        <w:rPr>
          <w:lang w:val="pt-PT"/>
        </w:rPr>
        <w:fldChar w:fldCharType="separate"/>
      </w:r>
      <w:r w:rsidRPr="00131A11">
        <w:rPr>
          <w:noProof/>
          <w:lang w:val="pt-PT"/>
        </w:rPr>
        <w:t>(LIU et al., 2017)</w:t>
      </w:r>
      <w:r w:rsidRPr="00131A11">
        <w:rPr>
          <w:lang w:val="pt-PT"/>
        </w:rPr>
        <w:fldChar w:fldCharType="end"/>
      </w:r>
      <w:r w:rsidRPr="00131A11">
        <w:rPr>
          <w:lang w:val="pt-PT"/>
        </w:rPr>
        <w:t>.</w:t>
      </w:r>
    </w:p>
    <w:p w14:paraId="40719666" w14:textId="77777777" w:rsidR="0049239E" w:rsidRPr="00131A11" w:rsidRDefault="0049239E" w:rsidP="0049239E">
      <w:pPr>
        <w:pStyle w:val="NormalWeb"/>
        <w:spacing w:before="0" w:beforeAutospacing="0" w:after="0" w:afterAutospacing="0" w:line="360" w:lineRule="auto"/>
        <w:ind w:firstLine="708"/>
        <w:jc w:val="both"/>
        <w:rPr>
          <w:lang w:val="pt-PT"/>
        </w:rPr>
      </w:pPr>
      <w:r w:rsidRPr="00131A11">
        <w:rPr>
          <w:lang w:val="pt-PT"/>
        </w:rPr>
        <w:t>É extremamente necessário a identificação dessas alterações do EGFR, também chamadas mutações direcionáveis. O padrão de diagnóstico de mutações de EGFR é atualmente baseado em métodos de reação em cadeia da polimerase, particularmente a reação em cadeia da polimerase quantitativa em tempo real. Nos últimos anos, o sequenciamento de nova geração tornou-se cada vez mais importante. Cerca de 90% das mutações de EGFR são deleções do exon 19 e da mutação pontual L858R no exon 21. Estas são referidas como mutações "clássicas". Aproximadamente 10% do número total de mutações EGFR são atribuíveis a alterações menos frequentes no gene E</w:t>
      </w:r>
      <w:r w:rsidRPr="00131A11">
        <w:t>GF</w:t>
      </w:r>
      <w:r w:rsidRPr="00131A11">
        <w:rPr>
          <w:lang w:val="pt-PT"/>
        </w:rPr>
        <w:t xml:space="preserve">R. Devido à baixa incidência de NSCLC com mutações de EGFR, as informações sobre seu significado preditivo ainda estão incompletas. A maioria dos dados para o tratamento de casos com mutações incomuns foi coletada a partir de análises retrospectivas e avaliações de pequenas coortes </w:t>
      </w:r>
      <w:r w:rsidRPr="00131A11">
        <w:rPr>
          <w:lang w:val="pt-PT"/>
        </w:rPr>
        <w:fldChar w:fldCharType="begin" w:fldLock="1"/>
      </w:r>
      <w:r w:rsidRPr="00131A11">
        <w:rPr>
          <w:lang w:val="pt-PT"/>
        </w:rPr>
        <w:instrText>ADDIN CSL_CITATION {"citationItems":[{"id":"ITEM-1","itemData":{"author":[{"dropping-particle":"","family":"Bílek","given":"O","non-dropping-particle":"","parse-names":false,"suffix":""},{"dropping-particle":"","family":"Holánek","given":"M","non-dropping-particle":"","parse-names":false,"suffix":""},{"dropping-particle":"","family":"…","given":"J Berkovcová - … : casopis Ceske a","non-dropping-particle":"","parse-names":false,"suffix":""},{"dropping-particle":"","family":"2019","given":"Undefined","non-dropping-particle":"","parse-names":false,"suffix":""}],"container-title":"Klinicka onkologie: casopis Ceske a Slovenske onkologicke spolecnosti","id":"ITEM-1","issue":"Supplementum3","issued":{"date-parts":[["2019"]]},"page":"6-12","title":"Uncommon EGFR Mutations in Non-Small Cell Lung Cancer and Their Impact on the Treatment","type":"article-journal","volume":"32"},"uris":["http://www.mendeley.com/documents/?uuid=88262f12-3c81-39e0-b134-01b5964be9bc"]}],"mendeley":{"formattedCitation":"(BÍLEK et al., 2019)","plainTextFormattedCitation":"(BÍLEK et al., 2019)","previouslyFormattedCitation":"(BÍLEK et al., 2019)"},"properties":{"noteIndex":0},"schema":"https://github.com/citation-style-language/schema/raw/master/csl-citation.json"}</w:instrText>
      </w:r>
      <w:r w:rsidRPr="00131A11">
        <w:rPr>
          <w:lang w:val="pt-PT"/>
        </w:rPr>
        <w:fldChar w:fldCharType="separate"/>
      </w:r>
      <w:r w:rsidRPr="00131A11">
        <w:rPr>
          <w:noProof/>
          <w:lang w:val="pt-PT"/>
        </w:rPr>
        <w:t>(BÍLEK et al., 2019)</w:t>
      </w:r>
      <w:r w:rsidRPr="00131A11">
        <w:rPr>
          <w:lang w:val="pt-PT"/>
        </w:rPr>
        <w:fldChar w:fldCharType="end"/>
      </w:r>
      <w:r w:rsidRPr="00131A11">
        <w:rPr>
          <w:lang w:val="pt-PT"/>
        </w:rPr>
        <w:t>.</w:t>
      </w:r>
    </w:p>
    <w:p w14:paraId="60A39B6C" w14:textId="77777777" w:rsidR="0049239E" w:rsidRPr="00131A11" w:rsidRDefault="0049239E" w:rsidP="0049239E">
      <w:pPr>
        <w:pStyle w:val="NormalWeb"/>
        <w:spacing w:before="0" w:beforeAutospacing="0" w:after="0" w:afterAutospacing="0" w:line="360" w:lineRule="auto"/>
        <w:ind w:firstLine="708"/>
        <w:jc w:val="both"/>
        <w:rPr>
          <w:lang w:val="pt-PT"/>
        </w:rPr>
      </w:pPr>
      <w:r w:rsidRPr="00131A11">
        <w:t xml:space="preserve">A química medicinal desempenha um papel importantíssimo nas ciências farmacêuticas, sobretudo no que tange </w:t>
      </w:r>
      <w:r w:rsidRPr="00131A11">
        <w:rPr>
          <w:lang w:val="pt-PT"/>
        </w:rPr>
        <w:t xml:space="preserve">a pureza das substâncias medicamentosas durante a síntese, estudos farmacocinéticos, estabilidade da droga, elucidação das vias metabólicas da droga, interações droga-proteína, entre outros, fornecendo subsídios para </w:t>
      </w:r>
      <w:r w:rsidRPr="00131A11">
        <w:rPr>
          <w:lang w:val="pt-PT"/>
        </w:rPr>
        <w:lastRenderedPageBreak/>
        <w:t xml:space="preserve">a descoberta e desenvolvimento de novos fármacos. </w:t>
      </w:r>
      <w:r w:rsidRPr="00131A11">
        <w:rPr>
          <w:lang w:val="pt-PT"/>
        </w:rPr>
        <w:fldChar w:fldCharType="begin" w:fldLock="1"/>
      </w:r>
      <w:r w:rsidRPr="00131A11">
        <w:rPr>
          <w:lang w:val="pt-PT"/>
        </w:rPr>
        <w:instrText>ADDIN CSL_CITATION {"citationItems":[{"id":"ITEM-1","itemData":{"DOI":"10.3390/molecules25163560","ISSN":"14203049","PMID":"32764423","author":[{"dropping-particle":"","family":"Zacharis","given":"Constantinos K.","non-dropping-particle":"","parse-names":false,"suffix":""},{"dropping-particle":"","family":"Markopoulou","given":"Catherine K.","non-dropping-particle":"","parse-names":false,"suffix":""}],"container-title":"Molecules","id":"ITEM-1","issue":"3560","issued":{"date-parts":[["2020"]]},"page":"1-4","title":"Recent trends in pharmaceutical analytical chemistry","type":"article-journal","volume":"25"},"uris":["http://www.mendeley.com/documents/?uuid=da5e872b-75a5-405a-9bc2-0846c6171d69"]}],"mendeley":{"formattedCitation":"(ZACHARIS; MARKOPOULOU, 2020)","plainTextFormattedCitation":"(ZACHARIS; MARKOPOULOU, 2020)","previouslyFormattedCitation":"(ZACHARIS; MARKOPOULOU, 2020)"},"properties":{"noteIndex":0},"schema":"https://github.com/citation-style-language/schema/raw/master/csl-citation.json"}</w:instrText>
      </w:r>
      <w:r w:rsidRPr="00131A11">
        <w:rPr>
          <w:lang w:val="pt-PT"/>
        </w:rPr>
        <w:fldChar w:fldCharType="separate"/>
      </w:r>
      <w:r w:rsidRPr="00131A11">
        <w:rPr>
          <w:noProof/>
          <w:lang w:val="pt-PT"/>
        </w:rPr>
        <w:t>(ZACHARIS; MARKOPOULOU, 2020)</w:t>
      </w:r>
      <w:r w:rsidRPr="00131A11">
        <w:rPr>
          <w:lang w:val="pt-PT"/>
        </w:rPr>
        <w:fldChar w:fldCharType="end"/>
      </w:r>
      <w:r w:rsidRPr="00131A11">
        <w:rPr>
          <w:lang w:val="pt-PT"/>
        </w:rPr>
        <w:t xml:space="preserve">. </w:t>
      </w:r>
    </w:p>
    <w:p w14:paraId="7F8E6C4D" w14:textId="77777777" w:rsidR="0049239E" w:rsidRPr="00131A11" w:rsidRDefault="0049239E" w:rsidP="0049239E">
      <w:pPr>
        <w:pStyle w:val="NormalWeb"/>
        <w:spacing w:before="0" w:beforeAutospacing="0" w:after="0" w:afterAutospacing="0" w:line="360" w:lineRule="auto"/>
        <w:ind w:firstLine="708"/>
        <w:jc w:val="both"/>
        <w:rPr>
          <w:lang w:val="pt-PT"/>
        </w:rPr>
      </w:pPr>
      <w:r w:rsidRPr="00131A11">
        <w:rPr>
          <w:lang w:val="pt-PT"/>
        </w:rPr>
        <w:t xml:space="preserve">Portanto, deve-se destacar que o EGFR tem papel muito importante na gênese do NSCLC e que a CUR pode ter papel importante nesse mecanismo a partir da sua interação com o EGFR. Este trabalho por meio do uso de ferramentas </w:t>
      </w:r>
      <w:r w:rsidRPr="00A3438E">
        <w:rPr>
          <w:i/>
          <w:lang w:val="pt-PT"/>
        </w:rPr>
        <w:t>in silico</w:t>
      </w:r>
      <w:r w:rsidRPr="00131A11">
        <w:rPr>
          <w:lang w:val="pt-PT"/>
        </w:rPr>
        <w:t xml:space="preserve"> tem por objetivo apontar potenciais moléculas capazes de interagir com o EGRF pra encontrar assim novos candidatos para futuros ensaios </w:t>
      </w:r>
      <w:r w:rsidRPr="00131A11">
        <w:rPr>
          <w:i/>
          <w:iCs/>
          <w:lang w:val="pt-PT"/>
        </w:rPr>
        <w:t>in vitro</w:t>
      </w:r>
      <w:r w:rsidRPr="00131A11">
        <w:rPr>
          <w:lang w:val="pt-PT"/>
        </w:rPr>
        <w:t xml:space="preserve"> e </w:t>
      </w:r>
      <w:r w:rsidRPr="00131A11">
        <w:rPr>
          <w:i/>
          <w:iCs/>
          <w:lang w:val="pt-PT"/>
        </w:rPr>
        <w:t>in vivo</w:t>
      </w:r>
      <w:r w:rsidRPr="00131A11">
        <w:rPr>
          <w:lang w:val="pt-PT"/>
        </w:rPr>
        <w:t xml:space="preserve">. </w:t>
      </w:r>
    </w:p>
    <w:p w14:paraId="715ABE0A" w14:textId="77777777" w:rsidR="003F60F0" w:rsidRPr="00131A11" w:rsidRDefault="003F60F0" w:rsidP="009C1D7E">
      <w:pPr>
        <w:spacing w:line="360" w:lineRule="auto"/>
        <w:jc w:val="both"/>
        <w:rPr>
          <w:rFonts w:ascii="Arial" w:hAnsi="Arial" w:cs="Arial"/>
          <w:b/>
          <w:lang w:val="pt-PT"/>
        </w:rPr>
      </w:pPr>
    </w:p>
    <w:p w14:paraId="41396790" w14:textId="203DBFB0" w:rsidR="000D7D0E" w:rsidRPr="00131A11" w:rsidRDefault="00596558" w:rsidP="009C1D7E">
      <w:pPr>
        <w:spacing w:line="360" w:lineRule="auto"/>
        <w:jc w:val="both"/>
        <w:rPr>
          <w:b/>
        </w:rPr>
      </w:pPr>
      <w:r>
        <w:rPr>
          <w:b/>
        </w:rPr>
        <w:t>Material e métodos</w:t>
      </w:r>
    </w:p>
    <w:p w14:paraId="1299DD81" w14:textId="77777777" w:rsidR="0049239E" w:rsidRPr="00131A11" w:rsidRDefault="0049239E" w:rsidP="0049239E">
      <w:pPr>
        <w:spacing w:before="240" w:line="360" w:lineRule="auto"/>
        <w:ind w:firstLine="708"/>
        <w:jc w:val="both"/>
      </w:pPr>
      <w:r w:rsidRPr="00131A11">
        <w:t xml:space="preserve">Os metabólitos ativos presentes na </w:t>
      </w:r>
      <w:r w:rsidRPr="00131A11">
        <w:rPr>
          <w:i/>
          <w:iCs/>
        </w:rPr>
        <w:t xml:space="preserve">Curcuma longa </w:t>
      </w:r>
      <w:r w:rsidRPr="00131A11">
        <w:t xml:space="preserve">foram identificados através da busca de artigos científicos sobre a espécie </w:t>
      </w:r>
      <w:r w:rsidRPr="00131A11">
        <w:rPr>
          <w:i/>
          <w:iCs/>
        </w:rPr>
        <w:t>Curcuma longa</w:t>
      </w:r>
      <w:r w:rsidRPr="00131A11">
        <w:t xml:space="preserve">. Após a identificação dessas estruturas, a codificação das moléculas para a realização de predições foi obtida no site </w:t>
      </w:r>
      <w:proofErr w:type="spellStart"/>
      <w:r w:rsidRPr="00131A11">
        <w:t>Pubchem</w:t>
      </w:r>
      <w:proofErr w:type="spellEnd"/>
      <w:r w:rsidRPr="00131A11">
        <w:t xml:space="preserve"> (https://pubchem.ncbi.nlm.nih.gov/) para as análises posteriores.</w:t>
      </w:r>
    </w:p>
    <w:p w14:paraId="33D357EF" w14:textId="77777777" w:rsidR="0049239E" w:rsidRPr="00131A11" w:rsidRDefault="0049239E" w:rsidP="0049239E">
      <w:pPr>
        <w:spacing w:line="360" w:lineRule="auto"/>
        <w:ind w:firstLine="708"/>
        <w:jc w:val="both"/>
      </w:pPr>
      <w:r w:rsidRPr="00131A11">
        <w:t xml:space="preserve">A etapa de triagem de </w:t>
      </w:r>
      <w:proofErr w:type="spellStart"/>
      <w:r w:rsidRPr="00131A11">
        <w:t>bioatividade</w:t>
      </w:r>
      <w:proofErr w:type="spellEnd"/>
      <w:r w:rsidRPr="00131A11">
        <w:t xml:space="preserve">, para os marcadores químicos, foi realizada com os programas </w:t>
      </w:r>
      <w:proofErr w:type="spellStart"/>
      <w:r w:rsidRPr="00131A11">
        <w:t>SwissADME</w:t>
      </w:r>
      <w:proofErr w:type="spellEnd"/>
      <w:r w:rsidRPr="00131A11">
        <w:t xml:space="preserve"> (http://www.swissadme.ch/index.php) (DAINA </w:t>
      </w:r>
      <w:proofErr w:type="spellStart"/>
      <w:r w:rsidRPr="00131A11">
        <w:t>el</w:t>
      </w:r>
      <w:proofErr w:type="spellEnd"/>
      <w:r w:rsidRPr="00131A11">
        <w:t xml:space="preserve"> al. 2017), </w:t>
      </w:r>
      <w:proofErr w:type="spellStart"/>
      <w:r w:rsidRPr="00131A11">
        <w:t>ProToxII</w:t>
      </w:r>
      <w:proofErr w:type="spellEnd"/>
      <w:r w:rsidRPr="00131A11">
        <w:t xml:space="preserve"> (https://tox-new.charite.de/protox_II/) (BANERJEE </w:t>
      </w:r>
      <w:proofErr w:type="spellStart"/>
      <w:r w:rsidRPr="00131A11">
        <w:t>el</w:t>
      </w:r>
      <w:proofErr w:type="spellEnd"/>
      <w:r w:rsidRPr="00131A11">
        <w:t xml:space="preserve"> al. 2018) </w:t>
      </w:r>
      <w:proofErr w:type="spellStart"/>
      <w:r w:rsidRPr="00131A11">
        <w:t>Molinspiration</w:t>
      </w:r>
      <w:proofErr w:type="spellEnd"/>
      <w:r w:rsidRPr="00131A11">
        <w:t xml:space="preserve"> (https://www.molinspiration.com/) (JARRAHPOUR et al. 2012). Nessa etapa, foi possível obter uma lista com possíveis atividades biológicas para cada uma das substâncias em função de suas estruturas químicas, segundo as bases metodológicas de cada programa.</w:t>
      </w:r>
    </w:p>
    <w:p w14:paraId="4DE13CE5" w14:textId="77777777" w:rsidR="0049239E" w:rsidRPr="00131A11" w:rsidRDefault="0049239E" w:rsidP="0049239E">
      <w:pPr>
        <w:spacing w:line="360" w:lineRule="auto"/>
        <w:ind w:firstLine="708"/>
        <w:jc w:val="both"/>
      </w:pPr>
      <w:r w:rsidRPr="00131A11">
        <w:t xml:space="preserve">A pesquisa de possíveis alvos para a verificação do </w:t>
      </w:r>
      <w:proofErr w:type="spellStart"/>
      <w:r w:rsidRPr="00131A11">
        <w:rPr>
          <w:i/>
          <w:iCs/>
        </w:rPr>
        <w:t>docking</w:t>
      </w:r>
      <w:proofErr w:type="spellEnd"/>
      <w:r w:rsidRPr="00131A11">
        <w:t xml:space="preserve"> molecular foi realizada com o programa </w:t>
      </w:r>
      <w:proofErr w:type="spellStart"/>
      <w:r w:rsidRPr="00131A11">
        <w:t>SuperPred</w:t>
      </w:r>
      <w:proofErr w:type="spellEnd"/>
      <w:r w:rsidRPr="00131A11">
        <w:t xml:space="preserve"> </w:t>
      </w:r>
      <w:proofErr w:type="spellStart"/>
      <w:r w:rsidRPr="00131A11">
        <w:t>Webserver</w:t>
      </w:r>
      <w:proofErr w:type="spellEnd"/>
      <w:r w:rsidRPr="00131A11">
        <w:t xml:space="preserve"> (NICKEL et al. 2014), um servidor para a predição de alvos moleculares com potencial de interação com os ligantes investigados. Os alvos, que apresentaram relação com a atividade biológica investigada, foram obtidos no banco de dados </w:t>
      </w:r>
      <w:proofErr w:type="spellStart"/>
      <w:r w:rsidRPr="00131A11">
        <w:t>Protein</w:t>
      </w:r>
      <w:proofErr w:type="spellEnd"/>
      <w:r w:rsidRPr="00131A11">
        <w:t xml:space="preserve"> Data Bank (PDB). Os compostos com maior pontuação para a atividade terapêutica da </w:t>
      </w:r>
      <w:proofErr w:type="spellStart"/>
      <w:r w:rsidRPr="00131A11">
        <w:t>curcumina</w:t>
      </w:r>
      <w:proofErr w:type="spellEnd"/>
      <w:r w:rsidRPr="00131A11">
        <w:t xml:space="preserve"> sobre o NSCLC foram selecionados para simulações de </w:t>
      </w:r>
      <w:proofErr w:type="spellStart"/>
      <w:r w:rsidRPr="00131A11">
        <w:t>docagem</w:t>
      </w:r>
      <w:proofErr w:type="spellEnd"/>
      <w:r w:rsidRPr="00131A11">
        <w:t xml:space="preserve"> molecular.</w:t>
      </w:r>
    </w:p>
    <w:p w14:paraId="54EA0B8F" w14:textId="77777777" w:rsidR="0049239E" w:rsidRPr="00131A11" w:rsidRDefault="0049239E" w:rsidP="0049239E">
      <w:pPr>
        <w:spacing w:line="360" w:lineRule="auto"/>
        <w:ind w:firstLine="708"/>
        <w:jc w:val="both"/>
      </w:pPr>
      <w:r w:rsidRPr="00131A11">
        <w:t xml:space="preserve">O visualizador Hermes GOLD </w:t>
      </w:r>
      <w:proofErr w:type="spellStart"/>
      <w:r w:rsidRPr="00131A11">
        <w:t>Suite</w:t>
      </w:r>
      <w:proofErr w:type="spellEnd"/>
      <w:r w:rsidRPr="00131A11">
        <w:t xml:space="preserve"> 5.7.0 (JONES </w:t>
      </w:r>
      <w:proofErr w:type="spellStart"/>
      <w:r w:rsidRPr="00131A11">
        <w:t>el</w:t>
      </w:r>
      <w:proofErr w:type="spellEnd"/>
      <w:r w:rsidRPr="00131A11">
        <w:t xml:space="preserve"> al. 1997; SCHNEIDMAN-DUHOVNY et al. 2008) foi utilizado para preparar os receptores para o acoplamento. A região de interesse usada para o </w:t>
      </w:r>
      <w:proofErr w:type="spellStart"/>
      <w:r w:rsidRPr="00131A11">
        <w:rPr>
          <w:i/>
          <w:iCs/>
        </w:rPr>
        <w:t>docking</w:t>
      </w:r>
      <w:proofErr w:type="spellEnd"/>
      <w:r w:rsidRPr="00131A11">
        <w:t xml:space="preserve"> foi definida como todos os resíduos de proteína dentro dos ligantes de referência que acompanhavam os complexos de proteína baixados. Valores padrão de todos os outros parâmetros foram utilizados e os complexos foram submetidos a corridas de algoritmos genéticos usando a função de adequação CHEMPLP.</w:t>
      </w:r>
    </w:p>
    <w:p w14:paraId="31CA5C25" w14:textId="77777777" w:rsidR="0049239E" w:rsidRPr="00131A11" w:rsidRDefault="0049239E" w:rsidP="0049239E">
      <w:pPr>
        <w:spacing w:line="360" w:lineRule="auto"/>
        <w:ind w:firstLine="708"/>
        <w:jc w:val="both"/>
      </w:pPr>
      <w:r w:rsidRPr="00131A11">
        <w:lastRenderedPageBreak/>
        <w:t xml:space="preserve">Para a validação dos parâmetros do modelo, foi realizado o </w:t>
      </w:r>
      <w:r w:rsidRPr="00131A11">
        <w:rPr>
          <w:i/>
          <w:iCs/>
        </w:rPr>
        <w:t>redocking</w:t>
      </w:r>
      <w:r w:rsidRPr="00131A11">
        <w:t xml:space="preserve">, utilizando o complexo ligante-proteína cristalografada e essas condições foram utilizadas para a realização do </w:t>
      </w:r>
      <w:proofErr w:type="spellStart"/>
      <w:r w:rsidRPr="00131A11">
        <w:rPr>
          <w:i/>
          <w:iCs/>
        </w:rPr>
        <w:t>docking</w:t>
      </w:r>
      <w:proofErr w:type="spellEnd"/>
      <w:r w:rsidRPr="00131A11">
        <w:t xml:space="preserve"> com o melhor ligante da espécie </w:t>
      </w:r>
      <w:r w:rsidRPr="00131A11">
        <w:rPr>
          <w:i/>
          <w:iCs/>
        </w:rPr>
        <w:t>Curcuma longa</w:t>
      </w:r>
      <w:r w:rsidRPr="00131A11">
        <w:t>, a CUR.</w:t>
      </w:r>
    </w:p>
    <w:p w14:paraId="37ECCDA4" w14:textId="77777777" w:rsidR="0049239E" w:rsidRPr="00131A11" w:rsidRDefault="0049239E" w:rsidP="009C1D7E">
      <w:pPr>
        <w:spacing w:line="360" w:lineRule="auto"/>
        <w:jc w:val="both"/>
        <w:rPr>
          <w:b/>
        </w:rPr>
      </w:pPr>
    </w:p>
    <w:p w14:paraId="1E15E0C1" w14:textId="77777777" w:rsidR="00F6205E" w:rsidRPr="00131A11" w:rsidRDefault="00F6205E" w:rsidP="009C1D7E">
      <w:pPr>
        <w:shd w:val="clear" w:color="auto" w:fill="FFFFFF"/>
        <w:spacing w:line="360" w:lineRule="auto"/>
        <w:ind w:firstLine="708"/>
        <w:jc w:val="both"/>
        <w:rPr>
          <w:rFonts w:ascii="Arial" w:hAnsi="Arial" w:cs="Arial"/>
        </w:rPr>
      </w:pPr>
    </w:p>
    <w:p w14:paraId="0360C263" w14:textId="77777777" w:rsidR="001355F9" w:rsidRDefault="001355F9" w:rsidP="009C1D7E">
      <w:pPr>
        <w:shd w:val="clear" w:color="auto" w:fill="FFFFFF"/>
        <w:spacing w:line="360" w:lineRule="auto"/>
        <w:jc w:val="both"/>
        <w:rPr>
          <w:b/>
        </w:rPr>
      </w:pPr>
    </w:p>
    <w:p w14:paraId="320DF8E0" w14:textId="77777777" w:rsidR="001355F9" w:rsidRDefault="001355F9" w:rsidP="009C1D7E">
      <w:pPr>
        <w:shd w:val="clear" w:color="auto" w:fill="FFFFFF"/>
        <w:spacing w:line="360" w:lineRule="auto"/>
        <w:jc w:val="both"/>
        <w:rPr>
          <w:b/>
        </w:rPr>
      </w:pPr>
    </w:p>
    <w:p w14:paraId="5D1189F5" w14:textId="77777777" w:rsidR="001355F9" w:rsidRDefault="001355F9" w:rsidP="009C1D7E">
      <w:pPr>
        <w:shd w:val="clear" w:color="auto" w:fill="FFFFFF"/>
        <w:spacing w:line="360" w:lineRule="auto"/>
        <w:jc w:val="both"/>
        <w:rPr>
          <w:b/>
        </w:rPr>
      </w:pPr>
    </w:p>
    <w:p w14:paraId="1099454B" w14:textId="31899989" w:rsidR="00EC70C8" w:rsidRPr="00131A11" w:rsidRDefault="00596558" w:rsidP="009C1D7E">
      <w:pPr>
        <w:shd w:val="clear" w:color="auto" w:fill="FFFFFF"/>
        <w:spacing w:line="360" w:lineRule="auto"/>
        <w:jc w:val="both"/>
        <w:rPr>
          <w:b/>
        </w:rPr>
      </w:pPr>
      <w:r>
        <w:rPr>
          <w:b/>
        </w:rPr>
        <w:t>Resultados</w:t>
      </w:r>
    </w:p>
    <w:p w14:paraId="5673F7BD" w14:textId="5DAE838A" w:rsidR="0049239E" w:rsidRPr="00131A11" w:rsidRDefault="0049239E" w:rsidP="0049239E">
      <w:pPr>
        <w:shd w:val="clear" w:color="auto" w:fill="FFFFFF"/>
        <w:spacing w:line="360" w:lineRule="auto"/>
        <w:ind w:firstLine="708"/>
        <w:jc w:val="both"/>
        <w:rPr>
          <w:rFonts w:ascii="Arial" w:hAnsi="Arial" w:cs="Arial"/>
        </w:rPr>
      </w:pPr>
      <w:r w:rsidRPr="00131A11">
        <w:t xml:space="preserve">Dentre os metabólitos ativos da </w:t>
      </w:r>
      <w:r w:rsidRPr="00131A11">
        <w:rPr>
          <w:i/>
        </w:rPr>
        <w:t xml:space="preserve">Curcuma longa </w:t>
      </w:r>
      <w:r w:rsidRPr="00131A11">
        <w:rPr>
          <w:iCs/>
        </w:rPr>
        <w:t>L</w:t>
      </w:r>
      <w:r w:rsidRPr="00131A11">
        <w:t>., a CUR (Figura 1) foi a escolhida para análise devido as propriedades desejáveis encontradas nos resultados das diferentes predições computacionais</w:t>
      </w:r>
      <w:r w:rsidRPr="00131A11">
        <w:rPr>
          <w:rFonts w:ascii="Arial" w:hAnsi="Arial" w:cs="Arial"/>
        </w:rPr>
        <w:t>.</w:t>
      </w:r>
    </w:p>
    <w:p w14:paraId="0AF937ED" w14:textId="77777777" w:rsidR="0049239E" w:rsidRPr="00131A11" w:rsidRDefault="0049239E" w:rsidP="0049239E">
      <w:pPr>
        <w:shd w:val="clear" w:color="auto" w:fill="FFFFFF"/>
        <w:spacing w:line="360" w:lineRule="auto"/>
        <w:ind w:firstLine="708"/>
        <w:jc w:val="both"/>
        <w:rPr>
          <w:rFonts w:ascii="Arial" w:hAnsi="Arial" w:cs="Arial"/>
        </w:rPr>
      </w:pPr>
    </w:p>
    <w:p w14:paraId="760F1A59" w14:textId="0A35E1EC" w:rsidR="0049239E" w:rsidRPr="00131A11" w:rsidRDefault="0049239E" w:rsidP="00710D8F">
      <w:pPr>
        <w:shd w:val="clear" w:color="auto" w:fill="FFFFFF"/>
        <w:spacing w:line="360" w:lineRule="auto"/>
        <w:ind w:firstLine="708"/>
        <w:jc w:val="both"/>
        <w:rPr>
          <w:rFonts w:ascii="Arial" w:hAnsi="Arial" w:cs="Arial"/>
        </w:rPr>
      </w:pPr>
      <w:r w:rsidRPr="00131A11">
        <w:rPr>
          <w:noProof/>
        </w:rPr>
        <w:drawing>
          <wp:inline distT="0" distB="0" distL="0" distR="0" wp14:anchorId="21D27E61" wp14:editId="23470171">
            <wp:extent cx="3809414" cy="2114092"/>
            <wp:effectExtent l="0" t="0" r="63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rutura química da Curcumina.png"/>
                    <pic:cNvPicPr/>
                  </pic:nvPicPr>
                  <pic:blipFill rotWithShape="1">
                    <a:blip r:embed="rId8">
                      <a:extLst>
                        <a:ext uri="{28A0092B-C50C-407E-A947-70E740481C1C}">
                          <a14:useLocalDpi xmlns:a14="http://schemas.microsoft.com/office/drawing/2010/main" val="0"/>
                        </a:ext>
                      </a:extLst>
                    </a:blip>
                    <a:srcRect t="21888" b="22615"/>
                    <a:stretch/>
                  </pic:blipFill>
                  <pic:spPr bwMode="auto">
                    <a:xfrm>
                      <a:off x="0" y="0"/>
                      <a:ext cx="3810000" cy="2114417"/>
                    </a:xfrm>
                    <a:prstGeom prst="rect">
                      <a:avLst/>
                    </a:prstGeom>
                    <a:ln>
                      <a:noFill/>
                    </a:ln>
                    <a:extLst>
                      <a:ext uri="{53640926-AAD7-44D8-BBD7-CCE9431645EC}">
                        <a14:shadowObscured xmlns:a14="http://schemas.microsoft.com/office/drawing/2010/main"/>
                      </a:ext>
                    </a:extLst>
                  </pic:spPr>
                </pic:pic>
              </a:graphicData>
            </a:graphic>
          </wp:inline>
        </w:drawing>
      </w:r>
    </w:p>
    <w:p w14:paraId="15EBBBF4" w14:textId="104DB669" w:rsidR="0049239E" w:rsidRPr="00596558" w:rsidRDefault="0049239E" w:rsidP="00201A24">
      <w:pPr>
        <w:jc w:val="both"/>
        <w:rPr>
          <w:sz w:val="22"/>
          <w:szCs w:val="22"/>
        </w:rPr>
      </w:pPr>
      <w:r w:rsidRPr="00596558">
        <w:rPr>
          <w:b/>
          <w:sz w:val="22"/>
          <w:szCs w:val="22"/>
        </w:rPr>
        <w:t xml:space="preserve">Figura 1. </w:t>
      </w:r>
      <w:r w:rsidRPr="00596558">
        <w:rPr>
          <w:sz w:val="22"/>
          <w:szCs w:val="22"/>
        </w:rPr>
        <w:t xml:space="preserve">Estrutura do metabólito </w:t>
      </w:r>
      <w:proofErr w:type="spellStart"/>
      <w:r w:rsidRPr="00596558">
        <w:rPr>
          <w:sz w:val="22"/>
          <w:szCs w:val="22"/>
        </w:rPr>
        <w:t>curcumina</w:t>
      </w:r>
      <w:proofErr w:type="spellEnd"/>
      <w:r w:rsidRPr="00596558">
        <w:rPr>
          <w:sz w:val="22"/>
          <w:szCs w:val="22"/>
        </w:rPr>
        <w:t xml:space="preserve"> presente na espécie </w:t>
      </w:r>
      <w:r w:rsidRPr="00596558">
        <w:rPr>
          <w:i/>
          <w:sz w:val="22"/>
          <w:szCs w:val="22"/>
        </w:rPr>
        <w:t xml:space="preserve">Curcuma longa </w:t>
      </w:r>
      <w:r w:rsidRPr="00596558">
        <w:rPr>
          <w:iCs/>
          <w:sz w:val="22"/>
          <w:szCs w:val="22"/>
        </w:rPr>
        <w:t>L</w:t>
      </w:r>
      <w:r w:rsidRPr="00596558">
        <w:rPr>
          <w:sz w:val="22"/>
          <w:szCs w:val="22"/>
        </w:rPr>
        <w:t xml:space="preserve">. </w:t>
      </w:r>
    </w:p>
    <w:p w14:paraId="105B8E73" w14:textId="77777777" w:rsidR="0049239E" w:rsidRPr="00131A11" w:rsidRDefault="0049239E" w:rsidP="0049239E">
      <w:pPr>
        <w:spacing w:line="360" w:lineRule="auto"/>
        <w:jc w:val="both"/>
      </w:pPr>
    </w:p>
    <w:p w14:paraId="23747D03" w14:textId="77777777" w:rsidR="0049239E" w:rsidRPr="00131A11" w:rsidRDefault="0049239E" w:rsidP="0049239E">
      <w:pPr>
        <w:spacing w:line="360" w:lineRule="auto"/>
        <w:jc w:val="both"/>
      </w:pPr>
    </w:p>
    <w:p w14:paraId="00EFA9F1" w14:textId="7B95B52C" w:rsidR="0049239E" w:rsidRPr="00131A11" w:rsidRDefault="0049239E" w:rsidP="0049239E">
      <w:pPr>
        <w:spacing w:line="360" w:lineRule="auto"/>
        <w:ind w:firstLine="708"/>
        <w:jc w:val="both"/>
      </w:pPr>
      <w:r w:rsidRPr="00131A11">
        <w:t xml:space="preserve">Esse composto foi submetido à triagem farmacocinética nos softwares </w:t>
      </w:r>
      <w:proofErr w:type="spellStart"/>
      <w:r w:rsidRPr="00131A11">
        <w:t>SwissADME</w:t>
      </w:r>
      <w:proofErr w:type="spellEnd"/>
      <w:r w:rsidRPr="00131A11">
        <w:t xml:space="preserve"> e </w:t>
      </w:r>
      <w:proofErr w:type="spellStart"/>
      <w:r w:rsidRPr="00131A11">
        <w:t>Molinspiration</w:t>
      </w:r>
      <w:proofErr w:type="spellEnd"/>
      <w:r w:rsidRPr="00131A11">
        <w:t>. Esses softwares utilizaram parâmetros como a massa molecular (MW), número de título de hidrogênios aceitáveis (</w:t>
      </w:r>
      <w:proofErr w:type="spellStart"/>
      <w:r w:rsidRPr="00131A11">
        <w:t>nHBA</w:t>
      </w:r>
      <w:proofErr w:type="spellEnd"/>
      <w:r w:rsidRPr="00131A11">
        <w:t>), número de título de hidrogênios doáveis (</w:t>
      </w:r>
      <w:proofErr w:type="spellStart"/>
      <w:r w:rsidRPr="00131A11">
        <w:t>nHBD</w:t>
      </w:r>
      <w:proofErr w:type="spellEnd"/>
      <w:r w:rsidRPr="00131A11">
        <w:t xml:space="preserve">), </w:t>
      </w:r>
      <w:proofErr w:type="spellStart"/>
      <w:r w:rsidRPr="00131A11">
        <w:t>refratividade</w:t>
      </w:r>
      <w:proofErr w:type="spellEnd"/>
      <w:r w:rsidRPr="00131A11">
        <w:t xml:space="preserve"> molar (MR), área de superfície polar topológica (TPSA) para a predições de propriedades farmacocinéticas de cada substância. Foi realizada a classificação </w:t>
      </w:r>
      <w:proofErr w:type="spellStart"/>
      <w:r w:rsidRPr="00131A11">
        <w:rPr>
          <w:i/>
          <w:iCs/>
        </w:rPr>
        <w:t>Druglikeness</w:t>
      </w:r>
      <w:proofErr w:type="spellEnd"/>
      <w:r w:rsidRPr="00131A11">
        <w:t xml:space="preserve"> segundo a Regra dos Cinco de </w:t>
      </w:r>
      <w:proofErr w:type="spellStart"/>
      <w:r w:rsidRPr="00131A11">
        <w:t>Lipinski</w:t>
      </w:r>
      <w:proofErr w:type="spellEnd"/>
      <w:r w:rsidRPr="00131A11">
        <w:t xml:space="preserve"> com nenhuma violação para a CUR, o que reflete a capacidade deste composto apresentar comportamentos farmacocinéticos semelhantes a fármacos empregados por via oral. Além disso, a capacidade de absorção pelo trato gastrointestinal (TGI), a permeabilidade pela barreira hematoencefálica (BHE), a dose letal média (DL</w:t>
      </w:r>
      <w:r w:rsidRPr="00131A11">
        <w:rPr>
          <w:vertAlign w:val="subscript"/>
        </w:rPr>
        <w:t>50</w:t>
      </w:r>
      <w:r w:rsidRPr="00131A11">
        <w:t xml:space="preserve">) e a classe de toxicidade </w:t>
      </w:r>
      <w:r w:rsidRPr="00131A11">
        <w:lastRenderedPageBreak/>
        <w:t xml:space="preserve">foram obtidas nos softwares </w:t>
      </w:r>
      <w:proofErr w:type="spellStart"/>
      <w:r w:rsidRPr="00131A11">
        <w:t>SwissADME</w:t>
      </w:r>
      <w:proofErr w:type="spellEnd"/>
      <w:r w:rsidRPr="00131A11">
        <w:t xml:space="preserve"> e </w:t>
      </w:r>
      <w:proofErr w:type="spellStart"/>
      <w:r w:rsidRPr="00131A11">
        <w:t>ProToxII</w:t>
      </w:r>
      <w:proofErr w:type="spellEnd"/>
      <w:r w:rsidRPr="00131A11">
        <w:t>. Todos os resultados elencados aqui estão resumidos na Tabela 1.</w:t>
      </w:r>
    </w:p>
    <w:p w14:paraId="395459F8" w14:textId="77777777" w:rsidR="0049239E" w:rsidRPr="00131A11" w:rsidRDefault="0049239E" w:rsidP="0049239E">
      <w:pPr>
        <w:spacing w:line="360" w:lineRule="auto"/>
        <w:ind w:firstLine="708"/>
        <w:jc w:val="both"/>
      </w:pPr>
    </w:p>
    <w:p w14:paraId="4E1FA0DE" w14:textId="77777777" w:rsidR="0049239E" w:rsidRPr="00131A11" w:rsidRDefault="0049239E" w:rsidP="0049239E">
      <w:pPr>
        <w:spacing w:line="360" w:lineRule="auto"/>
        <w:ind w:firstLine="708"/>
        <w:jc w:val="both"/>
      </w:pPr>
    </w:p>
    <w:p w14:paraId="04E65B04" w14:textId="77777777" w:rsidR="001355F9" w:rsidRDefault="001355F9" w:rsidP="00710D8F">
      <w:pPr>
        <w:spacing w:line="360" w:lineRule="auto"/>
        <w:jc w:val="both"/>
        <w:rPr>
          <w:b/>
        </w:rPr>
      </w:pPr>
    </w:p>
    <w:p w14:paraId="740C58C8" w14:textId="6EBF4873" w:rsidR="0049239E" w:rsidRPr="00596558" w:rsidRDefault="0049239E" w:rsidP="00201A24">
      <w:pPr>
        <w:jc w:val="both"/>
        <w:rPr>
          <w:sz w:val="22"/>
          <w:szCs w:val="22"/>
        </w:rPr>
      </w:pPr>
      <w:r w:rsidRPr="00596558">
        <w:rPr>
          <w:b/>
          <w:sz w:val="22"/>
          <w:szCs w:val="22"/>
        </w:rPr>
        <w:t>Tabela 1.</w:t>
      </w:r>
      <w:r w:rsidRPr="00596558">
        <w:rPr>
          <w:sz w:val="22"/>
          <w:szCs w:val="22"/>
        </w:rPr>
        <w:t xml:space="preserve"> Propriedades físico-químicas do metabólito CUR da espécie </w:t>
      </w:r>
      <w:r w:rsidRPr="00596558">
        <w:rPr>
          <w:i/>
          <w:sz w:val="22"/>
          <w:szCs w:val="22"/>
        </w:rPr>
        <w:t>Curcuma longa L</w:t>
      </w:r>
      <w:r w:rsidRPr="00596558">
        <w:rPr>
          <w:sz w:val="22"/>
          <w:szCs w:val="22"/>
        </w:rPr>
        <w:t xml:space="preserve">; classificação </w:t>
      </w:r>
      <w:proofErr w:type="spellStart"/>
      <w:r w:rsidRPr="00A3438E">
        <w:rPr>
          <w:i/>
          <w:sz w:val="22"/>
          <w:szCs w:val="22"/>
        </w:rPr>
        <w:t>Druglikeness</w:t>
      </w:r>
      <w:proofErr w:type="spellEnd"/>
      <w:r w:rsidRPr="00596558">
        <w:rPr>
          <w:sz w:val="22"/>
          <w:szCs w:val="22"/>
        </w:rPr>
        <w:t xml:space="preserve"> e suas violações; e capacidade de absorção no TGI, permeabilidade na BHE, DL50 e classe de toxicidade.</w:t>
      </w:r>
    </w:p>
    <w:p w14:paraId="464F6415" w14:textId="77777777" w:rsidR="0049239E" w:rsidRPr="00131A11" w:rsidRDefault="0049239E" w:rsidP="0049239E">
      <w:pPr>
        <w:spacing w:line="360" w:lineRule="auto"/>
        <w:jc w:val="both"/>
      </w:pPr>
    </w:p>
    <w:tbl>
      <w:tblPr>
        <w:tblStyle w:val="TabeladeLista7Colorida"/>
        <w:tblW w:w="9260" w:type="dxa"/>
        <w:tblBorders>
          <w:top w:val="single" w:sz="4" w:space="0" w:color="auto"/>
          <w:left w:val="single" w:sz="4" w:space="0" w:color="auto"/>
          <w:bottom w:val="single" w:sz="4" w:space="0" w:color="auto"/>
          <w:right w:val="single" w:sz="4" w:space="0" w:color="auto"/>
        </w:tblBorders>
        <w:shd w:val="clear" w:color="auto" w:fill="FFFFFF" w:themeFill="background1"/>
        <w:tblLook w:val="04A0" w:firstRow="1" w:lastRow="0" w:firstColumn="1" w:lastColumn="0" w:noHBand="0" w:noVBand="1"/>
      </w:tblPr>
      <w:tblGrid>
        <w:gridCol w:w="4630"/>
        <w:gridCol w:w="4630"/>
      </w:tblGrid>
      <w:tr w:rsidR="00131A11" w:rsidRPr="00131A11" w14:paraId="1F57C899" w14:textId="77777777" w:rsidTr="0049239E">
        <w:trPr>
          <w:cnfStyle w:val="100000000000" w:firstRow="1" w:lastRow="0" w:firstColumn="0" w:lastColumn="0" w:oddVBand="0" w:evenVBand="0" w:oddHBand="0" w:evenHBand="0" w:firstRowFirstColumn="0" w:firstRowLastColumn="0" w:lastRowFirstColumn="0" w:lastRowLastColumn="0"/>
          <w:trHeight w:val="310"/>
        </w:trPr>
        <w:tc>
          <w:tcPr>
            <w:cnfStyle w:val="001000000100" w:firstRow="0" w:lastRow="0" w:firstColumn="1" w:lastColumn="0" w:oddVBand="0" w:evenVBand="0" w:oddHBand="0" w:evenHBand="0" w:firstRowFirstColumn="1" w:firstRowLastColumn="0" w:lastRowFirstColumn="0" w:lastRowLastColumn="0"/>
            <w:tcW w:w="4630" w:type="dxa"/>
            <w:tcBorders>
              <w:right w:val="single" w:sz="4" w:space="0" w:color="auto"/>
            </w:tcBorders>
          </w:tcPr>
          <w:p w14:paraId="5C7C6209" w14:textId="77777777" w:rsidR="0049239E" w:rsidRPr="00131A11" w:rsidRDefault="0049239E" w:rsidP="00635E28">
            <w:pPr>
              <w:spacing w:line="360" w:lineRule="auto"/>
              <w:jc w:val="center"/>
              <w:rPr>
                <w:b/>
                <w:color w:val="auto"/>
              </w:rPr>
            </w:pPr>
            <w:r w:rsidRPr="00131A11">
              <w:rPr>
                <w:b/>
                <w:color w:val="auto"/>
              </w:rPr>
              <w:t>Composto</w:t>
            </w:r>
          </w:p>
        </w:tc>
        <w:tc>
          <w:tcPr>
            <w:tcW w:w="4630" w:type="dxa"/>
            <w:tcBorders>
              <w:top w:val="single" w:sz="4" w:space="0" w:color="auto"/>
              <w:left w:val="single" w:sz="4" w:space="0" w:color="auto"/>
              <w:bottom w:val="single" w:sz="4" w:space="0" w:color="auto"/>
            </w:tcBorders>
          </w:tcPr>
          <w:p w14:paraId="2AC9EB62" w14:textId="77777777" w:rsidR="0049239E" w:rsidRPr="00131A11" w:rsidRDefault="0049239E" w:rsidP="00635E28">
            <w:pPr>
              <w:spacing w:line="360" w:lineRule="auto"/>
              <w:jc w:val="center"/>
              <w:cnfStyle w:val="100000000000" w:firstRow="1" w:lastRow="0" w:firstColumn="0" w:lastColumn="0" w:oddVBand="0" w:evenVBand="0" w:oddHBand="0" w:evenHBand="0" w:firstRowFirstColumn="0" w:firstRowLastColumn="0" w:lastRowFirstColumn="0" w:lastRowLastColumn="0"/>
              <w:rPr>
                <w:i w:val="0"/>
                <w:color w:val="auto"/>
              </w:rPr>
            </w:pPr>
            <w:r w:rsidRPr="00131A11">
              <w:rPr>
                <w:i w:val="0"/>
                <w:color w:val="auto"/>
              </w:rPr>
              <w:t>CUR</w:t>
            </w:r>
          </w:p>
        </w:tc>
      </w:tr>
      <w:tr w:rsidR="00131A11" w:rsidRPr="00131A11" w14:paraId="07EEE7A3" w14:textId="77777777" w:rsidTr="0049239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30" w:type="dxa"/>
            <w:tcBorders>
              <w:right w:val="single" w:sz="4" w:space="0" w:color="auto"/>
            </w:tcBorders>
          </w:tcPr>
          <w:p w14:paraId="05B75FB1" w14:textId="77777777" w:rsidR="0049239E" w:rsidRPr="00131A11" w:rsidRDefault="0049239E" w:rsidP="00635E28">
            <w:pPr>
              <w:spacing w:line="360" w:lineRule="auto"/>
              <w:jc w:val="center"/>
              <w:rPr>
                <w:b/>
                <w:color w:val="auto"/>
              </w:rPr>
            </w:pPr>
            <w:r w:rsidRPr="00131A11">
              <w:rPr>
                <w:b/>
                <w:color w:val="auto"/>
              </w:rPr>
              <w:t>MW</w:t>
            </w:r>
          </w:p>
        </w:tc>
        <w:tc>
          <w:tcPr>
            <w:tcW w:w="4630" w:type="dxa"/>
            <w:tcBorders>
              <w:top w:val="single" w:sz="4" w:space="0" w:color="auto"/>
              <w:left w:val="single" w:sz="4" w:space="0" w:color="auto"/>
              <w:bottom w:val="single" w:sz="4" w:space="0" w:color="auto"/>
            </w:tcBorders>
            <w:shd w:val="clear" w:color="auto" w:fill="FFFFFF" w:themeFill="background1"/>
          </w:tcPr>
          <w:p w14:paraId="66DEAF10" w14:textId="77777777" w:rsidR="0049239E" w:rsidRPr="00131A11" w:rsidRDefault="0049239E" w:rsidP="00635E28">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131A11">
              <w:rPr>
                <w:color w:val="auto"/>
              </w:rPr>
              <w:t>368,38g/mol</w:t>
            </w:r>
          </w:p>
        </w:tc>
      </w:tr>
      <w:tr w:rsidR="00131A11" w:rsidRPr="00131A11" w14:paraId="218689B7" w14:textId="77777777" w:rsidTr="0049239E">
        <w:trPr>
          <w:trHeight w:val="327"/>
        </w:trPr>
        <w:tc>
          <w:tcPr>
            <w:cnfStyle w:val="001000000000" w:firstRow="0" w:lastRow="0" w:firstColumn="1" w:lastColumn="0" w:oddVBand="0" w:evenVBand="0" w:oddHBand="0" w:evenHBand="0" w:firstRowFirstColumn="0" w:firstRowLastColumn="0" w:lastRowFirstColumn="0" w:lastRowLastColumn="0"/>
            <w:tcW w:w="4630" w:type="dxa"/>
            <w:tcBorders>
              <w:right w:val="single" w:sz="4" w:space="0" w:color="auto"/>
            </w:tcBorders>
          </w:tcPr>
          <w:p w14:paraId="7338FE20" w14:textId="77777777" w:rsidR="0049239E" w:rsidRPr="00131A11" w:rsidRDefault="0049239E" w:rsidP="00635E28">
            <w:pPr>
              <w:spacing w:line="360" w:lineRule="auto"/>
              <w:jc w:val="center"/>
              <w:rPr>
                <w:b/>
                <w:color w:val="auto"/>
              </w:rPr>
            </w:pPr>
            <w:proofErr w:type="spellStart"/>
            <w:proofErr w:type="gramStart"/>
            <w:r w:rsidRPr="00131A11">
              <w:rPr>
                <w:b/>
                <w:color w:val="auto"/>
              </w:rPr>
              <w:t>nHBA</w:t>
            </w:r>
            <w:proofErr w:type="spellEnd"/>
            <w:proofErr w:type="gramEnd"/>
          </w:p>
        </w:tc>
        <w:tc>
          <w:tcPr>
            <w:tcW w:w="4630" w:type="dxa"/>
            <w:tcBorders>
              <w:top w:val="single" w:sz="4" w:space="0" w:color="auto"/>
              <w:left w:val="single" w:sz="4" w:space="0" w:color="auto"/>
              <w:bottom w:val="single" w:sz="4" w:space="0" w:color="auto"/>
            </w:tcBorders>
            <w:shd w:val="clear" w:color="auto" w:fill="FFFFFF" w:themeFill="background1"/>
          </w:tcPr>
          <w:p w14:paraId="6C7A0E61" w14:textId="77777777" w:rsidR="0049239E" w:rsidRPr="00131A11" w:rsidRDefault="0049239E" w:rsidP="00635E28">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131A11">
              <w:rPr>
                <w:color w:val="auto"/>
              </w:rPr>
              <w:t>6</w:t>
            </w:r>
          </w:p>
        </w:tc>
      </w:tr>
      <w:tr w:rsidR="00131A11" w:rsidRPr="00131A11" w14:paraId="12552FE6" w14:textId="77777777" w:rsidTr="0049239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30" w:type="dxa"/>
            <w:tcBorders>
              <w:right w:val="single" w:sz="4" w:space="0" w:color="auto"/>
            </w:tcBorders>
          </w:tcPr>
          <w:p w14:paraId="415DE94D" w14:textId="77777777" w:rsidR="0049239E" w:rsidRPr="00131A11" w:rsidRDefault="0049239E" w:rsidP="00635E28">
            <w:pPr>
              <w:spacing w:line="360" w:lineRule="auto"/>
              <w:jc w:val="center"/>
              <w:rPr>
                <w:b/>
                <w:color w:val="auto"/>
              </w:rPr>
            </w:pPr>
            <w:proofErr w:type="spellStart"/>
            <w:proofErr w:type="gramStart"/>
            <w:r w:rsidRPr="00131A11">
              <w:rPr>
                <w:b/>
                <w:color w:val="auto"/>
              </w:rPr>
              <w:t>nHBD</w:t>
            </w:r>
            <w:proofErr w:type="spellEnd"/>
            <w:proofErr w:type="gramEnd"/>
          </w:p>
        </w:tc>
        <w:tc>
          <w:tcPr>
            <w:tcW w:w="4630" w:type="dxa"/>
            <w:tcBorders>
              <w:top w:val="single" w:sz="4" w:space="0" w:color="auto"/>
              <w:left w:val="single" w:sz="4" w:space="0" w:color="auto"/>
              <w:bottom w:val="single" w:sz="4" w:space="0" w:color="auto"/>
            </w:tcBorders>
            <w:shd w:val="clear" w:color="auto" w:fill="FFFFFF" w:themeFill="background1"/>
          </w:tcPr>
          <w:p w14:paraId="4ACC152D" w14:textId="77777777" w:rsidR="0049239E" w:rsidRPr="00131A11" w:rsidRDefault="0049239E" w:rsidP="00635E28">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131A11">
              <w:rPr>
                <w:color w:val="auto"/>
              </w:rPr>
              <w:t>2</w:t>
            </w:r>
          </w:p>
        </w:tc>
      </w:tr>
      <w:tr w:rsidR="00131A11" w:rsidRPr="00131A11" w14:paraId="101E0066" w14:textId="77777777" w:rsidTr="0049239E">
        <w:trPr>
          <w:trHeight w:val="327"/>
        </w:trPr>
        <w:tc>
          <w:tcPr>
            <w:cnfStyle w:val="001000000000" w:firstRow="0" w:lastRow="0" w:firstColumn="1" w:lastColumn="0" w:oddVBand="0" w:evenVBand="0" w:oddHBand="0" w:evenHBand="0" w:firstRowFirstColumn="0" w:firstRowLastColumn="0" w:lastRowFirstColumn="0" w:lastRowLastColumn="0"/>
            <w:tcW w:w="4630" w:type="dxa"/>
            <w:tcBorders>
              <w:right w:val="single" w:sz="4" w:space="0" w:color="auto"/>
            </w:tcBorders>
          </w:tcPr>
          <w:p w14:paraId="691B4825" w14:textId="77777777" w:rsidR="0049239E" w:rsidRPr="00131A11" w:rsidRDefault="0049239E" w:rsidP="00635E28">
            <w:pPr>
              <w:spacing w:line="360" w:lineRule="auto"/>
              <w:jc w:val="center"/>
              <w:rPr>
                <w:b/>
                <w:color w:val="auto"/>
              </w:rPr>
            </w:pPr>
            <w:r w:rsidRPr="00131A11">
              <w:rPr>
                <w:b/>
                <w:color w:val="auto"/>
              </w:rPr>
              <w:t>MR</w:t>
            </w:r>
          </w:p>
        </w:tc>
        <w:tc>
          <w:tcPr>
            <w:tcW w:w="4630" w:type="dxa"/>
            <w:tcBorders>
              <w:top w:val="single" w:sz="4" w:space="0" w:color="auto"/>
              <w:left w:val="single" w:sz="4" w:space="0" w:color="auto"/>
              <w:bottom w:val="single" w:sz="4" w:space="0" w:color="auto"/>
            </w:tcBorders>
            <w:shd w:val="clear" w:color="auto" w:fill="FFFFFF" w:themeFill="background1"/>
          </w:tcPr>
          <w:p w14:paraId="56AB991E" w14:textId="77777777" w:rsidR="0049239E" w:rsidRPr="00131A11" w:rsidRDefault="0049239E" w:rsidP="00635E28">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131A11">
              <w:rPr>
                <w:color w:val="auto"/>
              </w:rPr>
              <w:t>102,80</w:t>
            </w:r>
          </w:p>
        </w:tc>
      </w:tr>
      <w:tr w:rsidR="00131A11" w:rsidRPr="00131A11" w14:paraId="0C7F8AC9" w14:textId="77777777" w:rsidTr="0049239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30" w:type="dxa"/>
            <w:tcBorders>
              <w:right w:val="single" w:sz="4" w:space="0" w:color="auto"/>
            </w:tcBorders>
          </w:tcPr>
          <w:p w14:paraId="6A01FD21" w14:textId="77777777" w:rsidR="0049239E" w:rsidRPr="00131A11" w:rsidRDefault="0049239E" w:rsidP="00635E28">
            <w:pPr>
              <w:spacing w:line="360" w:lineRule="auto"/>
              <w:jc w:val="center"/>
              <w:rPr>
                <w:b/>
                <w:color w:val="auto"/>
              </w:rPr>
            </w:pPr>
            <w:r w:rsidRPr="00131A11">
              <w:rPr>
                <w:b/>
                <w:color w:val="auto"/>
              </w:rPr>
              <w:t>TPSA</w:t>
            </w:r>
          </w:p>
        </w:tc>
        <w:tc>
          <w:tcPr>
            <w:tcW w:w="4630" w:type="dxa"/>
            <w:tcBorders>
              <w:top w:val="single" w:sz="4" w:space="0" w:color="auto"/>
              <w:left w:val="single" w:sz="4" w:space="0" w:color="auto"/>
              <w:bottom w:val="single" w:sz="4" w:space="0" w:color="auto"/>
            </w:tcBorders>
            <w:shd w:val="clear" w:color="auto" w:fill="FFFFFF" w:themeFill="background1"/>
          </w:tcPr>
          <w:p w14:paraId="6958BE0B" w14:textId="77777777" w:rsidR="0049239E" w:rsidRPr="00131A11" w:rsidRDefault="0049239E" w:rsidP="00635E28">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131A11">
              <w:rPr>
                <w:color w:val="auto"/>
              </w:rPr>
              <w:t>93,06 Å²</w:t>
            </w:r>
          </w:p>
        </w:tc>
      </w:tr>
      <w:tr w:rsidR="00131A11" w:rsidRPr="00131A11" w14:paraId="6648B629" w14:textId="77777777" w:rsidTr="0049239E">
        <w:trPr>
          <w:trHeight w:val="310"/>
        </w:trPr>
        <w:tc>
          <w:tcPr>
            <w:cnfStyle w:val="001000000000" w:firstRow="0" w:lastRow="0" w:firstColumn="1" w:lastColumn="0" w:oddVBand="0" w:evenVBand="0" w:oddHBand="0" w:evenHBand="0" w:firstRowFirstColumn="0" w:firstRowLastColumn="0" w:lastRowFirstColumn="0" w:lastRowLastColumn="0"/>
            <w:tcW w:w="4630" w:type="dxa"/>
            <w:tcBorders>
              <w:right w:val="single" w:sz="4" w:space="0" w:color="auto"/>
            </w:tcBorders>
          </w:tcPr>
          <w:p w14:paraId="13FBEBE2" w14:textId="77777777" w:rsidR="0049239E" w:rsidRPr="00131A11" w:rsidRDefault="0049239E" w:rsidP="00635E28">
            <w:pPr>
              <w:spacing w:line="360" w:lineRule="auto"/>
              <w:jc w:val="center"/>
              <w:rPr>
                <w:b/>
                <w:color w:val="auto"/>
              </w:rPr>
            </w:pPr>
            <w:r w:rsidRPr="00131A11">
              <w:rPr>
                <w:b/>
                <w:color w:val="auto"/>
              </w:rPr>
              <w:t>MLOGP</w:t>
            </w:r>
          </w:p>
        </w:tc>
        <w:tc>
          <w:tcPr>
            <w:tcW w:w="4630" w:type="dxa"/>
            <w:tcBorders>
              <w:top w:val="single" w:sz="4" w:space="0" w:color="auto"/>
              <w:left w:val="single" w:sz="4" w:space="0" w:color="auto"/>
              <w:bottom w:val="single" w:sz="4" w:space="0" w:color="auto"/>
            </w:tcBorders>
            <w:shd w:val="clear" w:color="auto" w:fill="FFFFFF" w:themeFill="background1"/>
          </w:tcPr>
          <w:p w14:paraId="4294ECAE" w14:textId="77777777" w:rsidR="0049239E" w:rsidRPr="00131A11" w:rsidRDefault="0049239E" w:rsidP="00635E28">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131A11">
              <w:rPr>
                <w:color w:val="auto"/>
              </w:rPr>
              <w:t>1,47</w:t>
            </w:r>
          </w:p>
        </w:tc>
      </w:tr>
      <w:tr w:rsidR="00131A11" w:rsidRPr="00131A11" w14:paraId="4C8C8456" w14:textId="77777777" w:rsidTr="0049239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30" w:type="dxa"/>
            <w:tcBorders>
              <w:right w:val="single" w:sz="4" w:space="0" w:color="auto"/>
            </w:tcBorders>
          </w:tcPr>
          <w:p w14:paraId="0E8132C4" w14:textId="77777777" w:rsidR="0049239E" w:rsidRPr="00131A11" w:rsidRDefault="0049239E" w:rsidP="00635E28">
            <w:pPr>
              <w:spacing w:line="360" w:lineRule="auto"/>
              <w:jc w:val="center"/>
              <w:rPr>
                <w:b/>
                <w:color w:val="auto"/>
              </w:rPr>
            </w:pPr>
            <w:proofErr w:type="spellStart"/>
            <w:r w:rsidRPr="00131A11">
              <w:rPr>
                <w:b/>
                <w:color w:val="auto"/>
              </w:rPr>
              <w:t>Druglike</w:t>
            </w:r>
            <w:proofErr w:type="spellEnd"/>
          </w:p>
        </w:tc>
        <w:tc>
          <w:tcPr>
            <w:tcW w:w="4630" w:type="dxa"/>
            <w:tcBorders>
              <w:top w:val="single" w:sz="4" w:space="0" w:color="auto"/>
              <w:left w:val="single" w:sz="4" w:space="0" w:color="auto"/>
              <w:bottom w:val="single" w:sz="4" w:space="0" w:color="auto"/>
            </w:tcBorders>
            <w:shd w:val="clear" w:color="auto" w:fill="FFFFFF" w:themeFill="background1"/>
          </w:tcPr>
          <w:p w14:paraId="0D8543F3" w14:textId="77777777" w:rsidR="0049239E" w:rsidRPr="00131A11" w:rsidRDefault="0049239E" w:rsidP="00635E28">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131A11">
              <w:rPr>
                <w:color w:val="auto"/>
              </w:rPr>
              <w:t>Sim</w:t>
            </w:r>
          </w:p>
        </w:tc>
      </w:tr>
      <w:tr w:rsidR="00131A11" w:rsidRPr="00131A11" w14:paraId="0536758D" w14:textId="77777777" w:rsidTr="0049239E">
        <w:trPr>
          <w:trHeight w:val="327"/>
        </w:trPr>
        <w:tc>
          <w:tcPr>
            <w:cnfStyle w:val="001000000000" w:firstRow="0" w:lastRow="0" w:firstColumn="1" w:lastColumn="0" w:oddVBand="0" w:evenVBand="0" w:oddHBand="0" w:evenHBand="0" w:firstRowFirstColumn="0" w:firstRowLastColumn="0" w:lastRowFirstColumn="0" w:lastRowLastColumn="0"/>
            <w:tcW w:w="4630" w:type="dxa"/>
            <w:tcBorders>
              <w:right w:val="single" w:sz="4" w:space="0" w:color="auto"/>
            </w:tcBorders>
          </w:tcPr>
          <w:p w14:paraId="45BDC6E3" w14:textId="77777777" w:rsidR="0049239E" w:rsidRPr="00131A11" w:rsidRDefault="0049239E" w:rsidP="00635E28">
            <w:pPr>
              <w:spacing w:line="360" w:lineRule="auto"/>
              <w:jc w:val="center"/>
              <w:rPr>
                <w:b/>
                <w:color w:val="auto"/>
              </w:rPr>
            </w:pPr>
            <w:r w:rsidRPr="00131A11">
              <w:rPr>
                <w:b/>
                <w:color w:val="auto"/>
              </w:rPr>
              <w:t>Violações</w:t>
            </w:r>
          </w:p>
        </w:tc>
        <w:tc>
          <w:tcPr>
            <w:tcW w:w="4630" w:type="dxa"/>
            <w:tcBorders>
              <w:top w:val="single" w:sz="4" w:space="0" w:color="auto"/>
              <w:left w:val="single" w:sz="4" w:space="0" w:color="auto"/>
              <w:bottom w:val="single" w:sz="4" w:space="0" w:color="auto"/>
            </w:tcBorders>
            <w:shd w:val="clear" w:color="auto" w:fill="FFFFFF" w:themeFill="background1"/>
          </w:tcPr>
          <w:p w14:paraId="1C83BEAB" w14:textId="77777777" w:rsidR="0049239E" w:rsidRPr="00131A11" w:rsidRDefault="0049239E" w:rsidP="00635E28">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131A11">
              <w:rPr>
                <w:color w:val="auto"/>
              </w:rPr>
              <w:t>0</w:t>
            </w:r>
          </w:p>
        </w:tc>
      </w:tr>
      <w:tr w:rsidR="00131A11" w:rsidRPr="00131A11" w14:paraId="39885F39" w14:textId="77777777" w:rsidTr="0049239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30" w:type="dxa"/>
            <w:tcBorders>
              <w:right w:val="single" w:sz="4" w:space="0" w:color="auto"/>
            </w:tcBorders>
          </w:tcPr>
          <w:p w14:paraId="15484405" w14:textId="77777777" w:rsidR="0049239E" w:rsidRPr="00131A11" w:rsidRDefault="0049239E" w:rsidP="00635E28">
            <w:pPr>
              <w:spacing w:line="360" w:lineRule="auto"/>
              <w:jc w:val="center"/>
              <w:rPr>
                <w:b/>
                <w:color w:val="auto"/>
              </w:rPr>
            </w:pPr>
            <w:r w:rsidRPr="00131A11">
              <w:rPr>
                <w:b/>
                <w:color w:val="auto"/>
              </w:rPr>
              <w:t>TGI</w:t>
            </w:r>
          </w:p>
        </w:tc>
        <w:tc>
          <w:tcPr>
            <w:tcW w:w="4630" w:type="dxa"/>
            <w:tcBorders>
              <w:top w:val="single" w:sz="4" w:space="0" w:color="auto"/>
              <w:left w:val="single" w:sz="4" w:space="0" w:color="auto"/>
              <w:bottom w:val="single" w:sz="4" w:space="0" w:color="auto"/>
            </w:tcBorders>
            <w:shd w:val="clear" w:color="auto" w:fill="FFFFFF" w:themeFill="background1"/>
          </w:tcPr>
          <w:p w14:paraId="10662439" w14:textId="77777777" w:rsidR="0049239E" w:rsidRPr="00131A11" w:rsidRDefault="0049239E" w:rsidP="00635E28">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131A11">
              <w:rPr>
                <w:color w:val="auto"/>
              </w:rPr>
              <w:t>Alta</w:t>
            </w:r>
          </w:p>
        </w:tc>
      </w:tr>
      <w:tr w:rsidR="00131A11" w:rsidRPr="00131A11" w14:paraId="24A711CD" w14:textId="77777777" w:rsidTr="0049239E">
        <w:trPr>
          <w:trHeight w:val="327"/>
        </w:trPr>
        <w:tc>
          <w:tcPr>
            <w:cnfStyle w:val="001000000000" w:firstRow="0" w:lastRow="0" w:firstColumn="1" w:lastColumn="0" w:oddVBand="0" w:evenVBand="0" w:oddHBand="0" w:evenHBand="0" w:firstRowFirstColumn="0" w:firstRowLastColumn="0" w:lastRowFirstColumn="0" w:lastRowLastColumn="0"/>
            <w:tcW w:w="4630" w:type="dxa"/>
            <w:tcBorders>
              <w:right w:val="single" w:sz="4" w:space="0" w:color="auto"/>
            </w:tcBorders>
          </w:tcPr>
          <w:p w14:paraId="3FB9D03E" w14:textId="77777777" w:rsidR="0049239E" w:rsidRPr="00131A11" w:rsidRDefault="0049239E" w:rsidP="00635E28">
            <w:pPr>
              <w:spacing w:line="360" w:lineRule="auto"/>
              <w:jc w:val="center"/>
              <w:rPr>
                <w:b/>
                <w:color w:val="auto"/>
              </w:rPr>
            </w:pPr>
            <w:r w:rsidRPr="00131A11">
              <w:rPr>
                <w:b/>
                <w:color w:val="auto"/>
              </w:rPr>
              <w:t>BHE</w:t>
            </w:r>
          </w:p>
        </w:tc>
        <w:tc>
          <w:tcPr>
            <w:tcW w:w="4630" w:type="dxa"/>
            <w:tcBorders>
              <w:top w:val="single" w:sz="4" w:space="0" w:color="auto"/>
              <w:left w:val="single" w:sz="4" w:space="0" w:color="auto"/>
              <w:bottom w:val="single" w:sz="4" w:space="0" w:color="auto"/>
            </w:tcBorders>
            <w:shd w:val="clear" w:color="auto" w:fill="FFFFFF" w:themeFill="background1"/>
          </w:tcPr>
          <w:p w14:paraId="5676BFC0" w14:textId="77777777" w:rsidR="0049239E" w:rsidRPr="00131A11" w:rsidRDefault="0049239E" w:rsidP="00635E28">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131A11">
              <w:rPr>
                <w:color w:val="auto"/>
              </w:rPr>
              <w:t>Não</w:t>
            </w:r>
          </w:p>
        </w:tc>
      </w:tr>
      <w:tr w:rsidR="00131A11" w:rsidRPr="00131A11" w14:paraId="5B6ED9B6" w14:textId="77777777" w:rsidTr="0049239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30" w:type="dxa"/>
            <w:tcBorders>
              <w:right w:val="single" w:sz="4" w:space="0" w:color="auto"/>
            </w:tcBorders>
          </w:tcPr>
          <w:p w14:paraId="3862B246" w14:textId="77777777" w:rsidR="0049239E" w:rsidRPr="00131A11" w:rsidRDefault="0049239E" w:rsidP="00635E28">
            <w:pPr>
              <w:spacing w:line="360" w:lineRule="auto"/>
              <w:jc w:val="center"/>
              <w:rPr>
                <w:b/>
                <w:color w:val="auto"/>
              </w:rPr>
            </w:pPr>
            <w:r w:rsidRPr="00131A11">
              <w:rPr>
                <w:b/>
                <w:color w:val="auto"/>
              </w:rPr>
              <w:t>DL50</w:t>
            </w:r>
          </w:p>
        </w:tc>
        <w:tc>
          <w:tcPr>
            <w:tcW w:w="4630" w:type="dxa"/>
            <w:tcBorders>
              <w:top w:val="single" w:sz="4" w:space="0" w:color="auto"/>
              <w:left w:val="single" w:sz="4" w:space="0" w:color="auto"/>
              <w:bottom w:val="single" w:sz="4" w:space="0" w:color="auto"/>
            </w:tcBorders>
            <w:shd w:val="clear" w:color="auto" w:fill="FFFFFF" w:themeFill="background1"/>
          </w:tcPr>
          <w:p w14:paraId="3D5E083D" w14:textId="77777777" w:rsidR="0049239E" w:rsidRPr="00131A11" w:rsidRDefault="0049239E" w:rsidP="00635E28">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131A11">
              <w:rPr>
                <w:color w:val="auto"/>
              </w:rPr>
              <w:t>2000mg/Kg</w:t>
            </w:r>
          </w:p>
        </w:tc>
      </w:tr>
      <w:tr w:rsidR="00131A11" w:rsidRPr="00131A11" w14:paraId="38245859" w14:textId="77777777" w:rsidTr="0049239E">
        <w:trPr>
          <w:trHeight w:val="310"/>
        </w:trPr>
        <w:tc>
          <w:tcPr>
            <w:cnfStyle w:val="001000000000" w:firstRow="0" w:lastRow="0" w:firstColumn="1" w:lastColumn="0" w:oddVBand="0" w:evenVBand="0" w:oddHBand="0" w:evenHBand="0" w:firstRowFirstColumn="0" w:firstRowLastColumn="0" w:lastRowFirstColumn="0" w:lastRowLastColumn="0"/>
            <w:tcW w:w="4630" w:type="dxa"/>
            <w:tcBorders>
              <w:right w:val="single" w:sz="4" w:space="0" w:color="auto"/>
            </w:tcBorders>
          </w:tcPr>
          <w:p w14:paraId="46A2F4E2" w14:textId="77777777" w:rsidR="0049239E" w:rsidRPr="00131A11" w:rsidRDefault="0049239E" w:rsidP="00635E28">
            <w:pPr>
              <w:spacing w:line="360" w:lineRule="auto"/>
              <w:jc w:val="center"/>
              <w:rPr>
                <w:b/>
                <w:color w:val="auto"/>
              </w:rPr>
            </w:pPr>
            <w:r w:rsidRPr="00131A11">
              <w:rPr>
                <w:b/>
                <w:color w:val="auto"/>
              </w:rPr>
              <w:t>Classe de toxicidade</w:t>
            </w:r>
          </w:p>
        </w:tc>
        <w:tc>
          <w:tcPr>
            <w:tcW w:w="4630" w:type="dxa"/>
            <w:tcBorders>
              <w:top w:val="single" w:sz="4" w:space="0" w:color="auto"/>
              <w:left w:val="single" w:sz="4" w:space="0" w:color="auto"/>
              <w:bottom w:val="single" w:sz="4" w:space="0" w:color="auto"/>
            </w:tcBorders>
            <w:shd w:val="clear" w:color="auto" w:fill="FFFFFF" w:themeFill="background1"/>
          </w:tcPr>
          <w:p w14:paraId="74994CCD" w14:textId="77777777" w:rsidR="0049239E" w:rsidRPr="00131A11" w:rsidRDefault="0049239E" w:rsidP="00635E28">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131A11">
              <w:rPr>
                <w:color w:val="auto"/>
              </w:rPr>
              <w:t>4</w:t>
            </w:r>
          </w:p>
        </w:tc>
      </w:tr>
    </w:tbl>
    <w:p w14:paraId="3671F11D" w14:textId="29D946AE" w:rsidR="0049239E" w:rsidRPr="00596558" w:rsidRDefault="0049239E" w:rsidP="00201A24">
      <w:pPr>
        <w:jc w:val="both"/>
        <w:rPr>
          <w:sz w:val="22"/>
          <w:szCs w:val="22"/>
        </w:rPr>
      </w:pPr>
      <w:r w:rsidRPr="00596558">
        <w:rPr>
          <w:b/>
          <w:sz w:val="22"/>
          <w:szCs w:val="22"/>
        </w:rPr>
        <w:t>Legenda:</w:t>
      </w:r>
      <w:r w:rsidRPr="00596558">
        <w:rPr>
          <w:sz w:val="22"/>
          <w:szCs w:val="22"/>
        </w:rPr>
        <w:t xml:space="preserve"> MW-massa molecular; </w:t>
      </w:r>
      <w:proofErr w:type="spellStart"/>
      <w:r w:rsidRPr="00596558">
        <w:rPr>
          <w:sz w:val="22"/>
          <w:szCs w:val="22"/>
        </w:rPr>
        <w:t>nHBA</w:t>
      </w:r>
      <w:proofErr w:type="spellEnd"/>
      <w:r w:rsidRPr="00596558">
        <w:rPr>
          <w:sz w:val="22"/>
          <w:szCs w:val="22"/>
        </w:rPr>
        <w:t xml:space="preserve">- número de título de hidrogênio aceitáveis; </w:t>
      </w:r>
      <w:proofErr w:type="spellStart"/>
      <w:r w:rsidRPr="00596558">
        <w:rPr>
          <w:sz w:val="22"/>
          <w:szCs w:val="22"/>
        </w:rPr>
        <w:t>nHBD</w:t>
      </w:r>
      <w:proofErr w:type="spellEnd"/>
      <w:r w:rsidRPr="00596558">
        <w:rPr>
          <w:sz w:val="22"/>
          <w:szCs w:val="22"/>
        </w:rPr>
        <w:t xml:space="preserve">-número de título de hidrogênios doáveis; MR-refratividade molar; TPSA-área de superfície polar topológica; MLOGP-método topológico implementado de </w:t>
      </w:r>
      <w:proofErr w:type="spellStart"/>
      <w:r w:rsidRPr="00596558">
        <w:rPr>
          <w:sz w:val="22"/>
          <w:szCs w:val="22"/>
        </w:rPr>
        <w:t>Moriguchi</w:t>
      </w:r>
      <w:proofErr w:type="spellEnd"/>
      <w:r w:rsidRPr="00596558">
        <w:rPr>
          <w:sz w:val="22"/>
          <w:szCs w:val="22"/>
        </w:rPr>
        <w:t xml:space="preserve"> e </w:t>
      </w:r>
      <w:proofErr w:type="spellStart"/>
      <w:r w:rsidRPr="00596558">
        <w:rPr>
          <w:sz w:val="22"/>
          <w:szCs w:val="22"/>
        </w:rPr>
        <w:t>Lipinski</w:t>
      </w:r>
      <w:proofErr w:type="spellEnd"/>
      <w:r w:rsidRPr="00596558">
        <w:rPr>
          <w:sz w:val="22"/>
          <w:szCs w:val="22"/>
        </w:rPr>
        <w:t>; TGI-trato gastrointestinal; BHE-barreira hematoencefálica; DL50-dose letal média.</w:t>
      </w:r>
    </w:p>
    <w:p w14:paraId="0A0D2C87" w14:textId="77777777" w:rsidR="0049239E" w:rsidRPr="00131A11" w:rsidRDefault="0049239E" w:rsidP="0049239E"/>
    <w:p w14:paraId="0F794A0B" w14:textId="77777777" w:rsidR="0049239E" w:rsidRPr="00131A11" w:rsidRDefault="0049239E" w:rsidP="0049239E"/>
    <w:p w14:paraId="3D488358" w14:textId="77777777" w:rsidR="0049239E" w:rsidRPr="00131A11" w:rsidRDefault="0049239E" w:rsidP="0049239E">
      <w:pPr>
        <w:spacing w:line="360" w:lineRule="auto"/>
        <w:ind w:firstLine="708"/>
        <w:jc w:val="both"/>
      </w:pPr>
      <w:r w:rsidRPr="00131A11">
        <w:t xml:space="preserve">Na pesquisa para a realização do </w:t>
      </w:r>
      <w:proofErr w:type="spellStart"/>
      <w:r w:rsidRPr="00131A11">
        <w:rPr>
          <w:i/>
        </w:rPr>
        <w:t>docking</w:t>
      </w:r>
      <w:proofErr w:type="spellEnd"/>
      <w:r w:rsidRPr="00131A11">
        <w:t xml:space="preserve"> molecular utilizando o programa </w:t>
      </w:r>
      <w:proofErr w:type="spellStart"/>
      <w:r w:rsidRPr="00131A11">
        <w:t>SuperPred</w:t>
      </w:r>
      <w:proofErr w:type="spellEnd"/>
      <w:r w:rsidRPr="00131A11">
        <w:t xml:space="preserve"> </w:t>
      </w:r>
      <w:proofErr w:type="spellStart"/>
      <w:r w:rsidRPr="00131A11">
        <w:t>Webserver</w:t>
      </w:r>
      <w:proofErr w:type="spellEnd"/>
      <w:r w:rsidRPr="00131A11">
        <w:t xml:space="preserve"> foram verificados os alvos da CUR e suas respectivas estruturas cristalografadas no PDB. Para a CUR foi achado uma potencial interação inibitória com o EGFR, o qual tem ligação com o NSCLC, por isso a substância pode ter ação antitumoral. A estrutura ID: 2RGP foi a utilizada para a realização do estudo de ancoragem molecular com o ligante selecionado </w:t>
      </w:r>
      <w:r w:rsidRPr="00131A11">
        <w:fldChar w:fldCharType="begin" w:fldLock="1"/>
      </w:r>
      <w:r w:rsidRPr="00131A11">
        <w:instrText>ADDIN CSL_CITATION {"citationItems":[{"id":"ITEM-1","itemData":{"DOI":"10.1016/j.bmcl.2008.07.020","ISSN":"0960894X","PMID":"18653333","abstract":"Members of a novel class of 4-amino-6-arylamino-pyrimidine-5-carbaldehyde hydrazones were identified as potent dual ErbB-2/EGFR kinase inhibitors using concept-guided design approach. These compounds inhibited the growth of ErbB-2 over-expressing human tumor cell lines (BT474, N87, and SK-BR-3) in vitro. Compound 15 emerged as a key lead and showed significant ability to inhibit growth factor-induced receptor phosphorylation in SK-BR-3 cells (IC50 = 54 nM) and cellular proliferation in vitro (IC50 = 14, 58, and 58 nM for BT474, N87, and SK-BR-3 respectively). The X-ray co-crystal structure of EGFR with a close analog (17) was determined and validated our design rationale. © 2008 Elsevier Ltd. All rights reserved.","author":[{"dropping-particle":"","family":"Xu","given":"Guozhang","non-dropping-particle":"","parse-names":false,"suffix":""},{"dropping-particle":"","family":"Abad","given":"Marta C.","non-dropping-particle":"","parse-names":false,"suffix":""},{"dropping-particle":"","family":"Connolly","given":"Peter J.","non-dropping-particle":"","parse-names":false,"suffix":""},{"dropping-particle":"","family":"Neeper","given":"Michael P.","non-dropping-particle":"","parse-names":false,"suffix":""},{"dropping-particle":"","family":"Struble","given":"Geoffrey T.","non-dropping-particle":"","parse-names":false,"suffix":""},{"dropping-particle":"","family":"Springer","given":"Barry A.","non-dropping-particle":"","parse-names":false,"suffix":""},{"dropping-particle":"","family":"Emanuel","given":"Stuart L.","non-dropping-particle":"","parse-names":false,"suffix":""},{"dropping-particle":"","family":"Pandey","given":"Niranjan","non-dropping-particle":"","parse-names":false,"suffix":""},{"dropping-particle":"","family":"Gruninger","given":"Robert H.","non-dropping-particle":"","parse-names":false,"suffix":""},{"dropping-particle":"","family":"Adams","given":"Mary","non-dropping-particle":"","parse-names":false,"suffix":""},{"dropping-particle":"","family":"Moreno-Mazza","given":"Sandra","non-dropping-particle":"","parse-names":false,"suffix":""},{"dropping-particle":"","family":"Fuentes-Pesquera","given":"Angel R.","non-dropping-particle":"","parse-names":false,"suffix":""},{"dropping-particle":"","family":"Middleton","given":"Steven A.","non-dropping-particle":"","parse-names":false,"suffix":""}],"container-title":"Bioorganic and Medicinal Chemistry Letters","id":"ITEM-1","issue":"16","issued":{"date-parts":[["2008"]]},"page":"4615-4619","title":"4-Amino-6-arylamino-pyrimidine-5-carbaldehyde hydrazones as potent ErbB-2/EGFR dual kinase inhibitors","type":"article-journal","volume":"18"},"uris":["http://www.mendeley.com/documents/?uuid=b016b253-582c-46e9-ab8a-5b185b13b814"]}],"mendeley":{"formattedCitation":"(XU et al., 2008)","plainTextFormattedCitation":"(XU et al., 2008)","previouslyFormattedCitation":"(XU et al., 2008)"},"properties":{"noteIndex":0},"schema":"https://github.com/citation-style-language/schema/raw/master/csl-citation.json"}</w:instrText>
      </w:r>
      <w:r w:rsidRPr="00131A11">
        <w:fldChar w:fldCharType="separate"/>
      </w:r>
      <w:r w:rsidRPr="00131A11">
        <w:rPr>
          <w:noProof/>
        </w:rPr>
        <w:t>(XU et al., 2008)</w:t>
      </w:r>
      <w:r w:rsidRPr="00131A11">
        <w:fldChar w:fldCharType="end"/>
      </w:r>
      <w:r w:rsidRPr="00131A11">
        <w:t>.</w:t>
      </w:r>
    </w:p>
    <w:p w14:paraId="21E3A322" w14:textId="77777777" w:rsidR="0049239E" w:rsidRPr="00131A11" w:rsidRDefault="0049239E" w:rsidP="0049239E">
      <w:pPr>
        <w:spacing w:line="360" w:lineRule="auto"/>
        <w:ind w:firstLine="708"/>
        <w:jc w:val="both"/>
      </w:pPr>
      <w:r w:rsidRPr="00131A11">
        <w:t xml:space="preserve">A CUR foi selecionada para este estudo, pois ela foi um metabólito secundário do açafrão-da-terra que apresentou melhor desempenho e maior potencial de interação com o EGFR segundo as pesquisas feitas por este trabalho. A CUR possui propriedades </w:t>
      </w:r>
      <w:r w:rsidRPr="00131A11">
        <w:lastRenderedPageBreak/>
        <w:t xml:space="preserve">farmacocinéticas interessantes, além de ser classificada como </w:t>
      </w:r>
      <w:proofErr w:type="spellStart"/>
      <w:r w:rsidRPr="00131A11">
        <w:rPr>
          <w:i/>
        </w:rPr>
        <w:t>druglikeness</w:t>
      </w:r>
      <w:proofErr w:type="spellEnd"/>
      <w:r w:rsidRPr="00131A11">
        <w:t xml:space="preserve"> e não ter nenhuma violação segundo a Regra dos Cinco de </w:t>
      </w:r>
      <w:proofErr w:type="spellStart"/>
      <w:r w:rsidRPr="00131A11">
        <w:t>Lipinski</w:t>
      </w:r>
      <w:proofErr w:type="spellEnd"/>
      <w:r w:rsidRPr="00131A11">
        <w:t xml:space="preserve">, ter uma alta absorção gastrointestinal, não precisar atravessar a barreira hematoencefálica, ter uma dose letal média aceitável e estar em uma boa classe de toxicidade. </w:t>
      </w:r>
    </w:p>
    <w:p w14:paraId="34F612DD" w14:textId="77777777" w:rsidR="0049239E" w:rsidRPr="00131A11" w:rsidRDefault="0049239E" w:rsidP="0049239E">
      <w:pPr>
        <w:spacing w:line="360" w:lineRule="auto"/>
        <w:ind w:firstLine="708"/>
        <w:jc w:val="both"/>
      </w:pPr>
      <w:r w:rsidRPr="00131A11">
        <w:t xml:space="preserve">Foi realizado o </w:t>
      </w:r>
      <w:r w:rsidRPr="00131A11">
        <w:rPr>
          <w:i/>
        </w:rPr>
        <w:t xml:space="preserve">redocking </w:t>
      </w:r>
      <w:r w:rsidRPr="00131A11">
        <w:t xml:space="preserve">(Figura 2) para a validação dos parâmetros do modelo utilizando o ligante cristalografado </w:t>
      </w:r>
      <w:proofErr w:type="spellStart"/>
      <w:r w:rsidRPr="00131A11">
        <w:t>hidrazona</w:t>
      </w:r>
      <w:proofErr w:type="spellEnd"/>
      <w:r w:rsidRPr="00131A11">
        <w:t xml:space="preserve"> de 4-amino-6-arilamino-pirimidina-5-carbaldeído (4A6AP5CAH) e como sítio de ligação (</w:t>
      </w:r>
      <w:proofErr w:type="spellStart"/>
      <w:r w:rsidRPr="00131A11">
        <w:rPr>
          <w:i/>
          <w:iCs/>
        </w:rPr>
        <w:t>binding</w:t>
      </w:r>
      <w:proofErr w:type="spellEnd"/>
      <w:r w:rsidRPr="00131A11">
        <w:rPr>
          <w:i/>
          <w:iCs/>
        </w:rPr>
        <w:t xml:space="preserve"> site</w:t>
      </w:r>
      <w:r w:rsidRPr="00131A11">
        <w:t xml:space="preserve">) a estrutura 2RGP a fim de demonstrar a ocorrência da ligação do 4A6AP5CAH na estrutura do EGFR, na mesma posição da estrutura depositada no PDB. Com a análise de </w:t>
      </w:r>
      <w:r w:rsidRPr="00131A11">
        <w:rPr>
          <w:i/>
        </w:rPr>
        <w:t>redocking</w:t>
      </w:r>
      <w:r w:rsidRPr="00131A11">
        <w:t xml:space="preserve"> das 10 poses obtidas, um total de 7 resultaram em soluções bem próximas da realidade (com valores de RMSD menores que 2A), o que deve ser considerado bastante satisfatório. Após a definição dos parâmetros do modelo a ser empregado para o </w:t>
      </w:r>
      <w:proofErr w:type="spellStart"/>
      <w:r w:rsidRPr="00131A11">
        <w:rPr>
          <w:i/>
        </w:rPr>
        <w:t>docking</w:t>
      </w:r>
      <w:proofErr w:type="spellEnd"/>
      <w:r w:rsidRPr="00131A11">
        <w:t xml:space="preserve">, foram realizadas simulações com a CUR sobre o sítio ativo do alvo 2RGP </w:t>
      </w:r>
      <w:r w:rsidRPr="00131A11">
        <w:fldChar w:fldCharType="begin" w:fldLock="1"/>
      </w:r>
      <w:r w:rsidRPr="00131A11">
        <w:instrText>ADDIN CSL_CITATION {"citationItems":[{"id":"ITEM-1","itemData":{"DOI":"10.1016/j.bmcl.2008.07.020","ISSN":"0960894X","PMID":"18653333","abstract":"Members of a novel class of 4-amino-6-arylamino-pyrimidine-5-carbaldehyde hydrazones were identified as potent dual ErbB-2/EGFR kinase inhibitors using concept-guided design approach. These compounds inhibited the growth of ErbB-2 over-expressing human tumor cell lines (BT474, N87, and SK-BR-3) in vitro. Compound 15 emerged as a key lead and showed significant ability to inhibit growth factor-induced receptor phosphorylation in SK-BR-3 cells (IC50 = 54 nM) and cellular proliferation in vitro (IC50 = 14, 58, and 58 nM for BT474, N87, and SK-BR-3 respectively). The X-ray co-crystal structure of EGFR with a close analog (17) was determined and validated our design rationale. © 2008 Elsevier Ltd. All rights reserved.","author":[{"dropping-particle":"","family":"Xu","given":"Guozhang","non-dropping-particle":"","parse-names":false,"suffix":""},{"dropping-particle":"","family":"Abad","given":"Marta C.","non-dropping-particle":"","parse-names":false,"suffix":""},{"dropping-particle":"","family":"Connolly","given":"Peter J.","non-dropping-particle":"","parse-names":false,"suffix":""},{"dropping-particle":"","family":"Neeper","given":"Michael P.","non-dropping-particle":"","parse-names":false,"suffix":""},{"dropping-particle":"","family":"Struble","given":"Geoffrey T.","non-dropping-particle":"","parse-names":false,"suffix":""},{"dropping-particle":"","family":"Springer","given":"Barry A.","non-dropping-particle":"","parse-names":false,"suffix":""},{"dropping-particle":"","family":"Emanuel","given":"Stuart L.","non-dropping-particle":"","parse-names":false,"suffix":""},{"dropping-particle":"","family":"Pandey","given":"Niranjan","non-dropping-particle":"","parse-names":false,"suffix":""},{"dropping-particle":"","family":"Gruninger","given":"Robert H.","non-dropping-particle":"","parse-names":false,"suffix":""},{"dropping-particle":"","family":"Adams","given":"Mary","non-dropping-particle":"","parse-names":false,"suffix":""},{"dropping-particle":"","family":"Moreno-Mazza","given":"Sandra","non-dropping-particle":"","parse-names":false,"suffix":""},{"dropping-particle":"","family":"Fuentes-Pesquera","given":"Angel R.","non-dropping-particle":"","parse-names":false,"suffix":""},{"dropping-particle":"","family":"Middleton","given":"Steven A.","non-dropping-particle":"","parse-names":false,"suffix":""}],"container-title":"Bioorganic and Medicinal Chemistry Letters","id":"ITEM-1","issue":"16","issued":{"date-parts":[["2008"]]},"page":"4615-4619","title":"4-Amino-6-arylamino-pyrimidine-5-carbaldehyde hydrazones as potent ErbB-2/EGFR dual kinase inhibitors","type":"article-journal","volume":"18"},"uris":["http://www.mendeley.com/documents/?uuid=b016b253-582c-46e9-ab8a-5b185b13b814"]}],"mendeley":{"formattedCitation":"(XU et al., 2008)","plainTextFormattedCitation":"(XU et al., 2008)","previouslyFormattedCitation":"(XU et al., 2008)"},"properties":{"noteIndex":0},"schema":"https://github.com/citation-style-language/schema/raw/master/csl-citation.json"}</w:instrText>
      </w:r>
      <w:r w:rsidRPr="00131A11">
        <w:fldChar w:fldCharType="separate"/>
      </w:r>
      <w:r w:rsidRPr="00131A11">
        <w:rPr>
          <w:noProof/>
        </w:rPr>
        <w:t>(XU et al., 2008)</w:t>
      </w:r>
      <w:r w:rsidRPr="00131A11">
        <w:fldChar w:fldCharType="end"/>
      </w:r>
      <w:r w:rsidRPr="00131A11">
        <w:t>.</w:t>
      </w:r>
    </w:p>
    <w:p w14:paraId="3B1A50C1" w14:textId="77777777" w:rsidR="0049239E" w:rsidRPr="00131A11" w:rsidRDefault="0049239E" w:rsidP="0049239E"/>
    <w:p w14:paraId="5F3E7503" w14:textId="77777777" w:rsidR="0049239E" w:rsidRPr="00131A11" w:rsidRDefault="0049239E" w:rsidP="0049239E"/>
    <w:p w14:paraId="189109BF" w14:textId="2D05215E" w:rsidR="0049239E" w:rsidRPr="00131A11" w:rsidRDefault="0049239E" w:rsidP="0049239E">
      <w:r w:rsidRPr="00131A11">
        <w:rPr>
          <w:noProof/>
        </w:rPr>
        <w:drawing>
          <wp:inline distT="0" distB="0" distL="0" distR="0" wp14:anchorId="40B102BF" wp14:editId="4086B710">
            <wp:extent cx="3343275" cy="2242694"/>
            <wp:effectExtent l="0" t="0" r="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ocking.png"/>
                    <pic:cNvPicPr/>
                  </pic:nvPicPr>
                  <pic:blipFill>
                    <a:blip r:embed="rId9">
                      <a:extLst>
                        <a:ext uri="{28A0092B-C50C-407E-A947-70E740481C1C}">
                          <a14:useLocalDpi xmlns:a14="http://schemas.microsoft.com/office/drawing/2010/main" val="0"/>
                        </a:ext>
                      </a:extLst>
                    </a:blip>
                    <a:stretch>
                      <a:fillRect/>
                    </a:stretch>
                  </pic:blipFill>
                  <pic:spPr>
                    <a:xfrm>
                      <a:off x="0" y="0"/>
                      <a:ext cx="3352882" cy="2249138"/>
                    </a:xfrm>
                    <a:prstGeom prst="rect">
                      <a:avLst/>
                    </a:prstGeom>
                  </pic:spPr>
                </pic:pic>
              </a:graphicData>
            </a:graphic>
          </wp:inline>
        </w:drawing>
      </w:r>
    </w:p>
    <w:p w14:paraId="606F6867" w14:textId="77777777" w:rsidR="0049239E" w:rsidRPr="00596558" w:rsidRDefault="0049239E" w:rsidP="00201A24">
      <w:pPr>
        <w:jc w:val="both"/>
        <w:rPr>
          <w:sz w:val="22"/>
          <w:szCs w:val="22"/>
        </w:rPr>
      </w:pPr>
      <w:r w:rsidRPr="00596558">
        <w:rPr>
          <w:b/>
          <w:sz w:val="22"/>
          <w:szCs w:val="22"/>
        </w:rPr>
        <w:t>Figura 2.</w:t>
      </w:r>
      <w:r w:rsidRPr="00596558">
        <w:rPr>
          <w:sz w:val="22"/>
          <w:szCs w:val="22"/>
        </w:rPr>
        <w:t xml:space="preserve"> </w:t>
      </w:r>
      <w:r w:rsidRPr="00596558">
        <w:rPr>
          <w:i/>
          <w:sz w:val="22"/>
          <w:szCs w:val="22"/>
        </w:rPr>
        <w:t xml:space="preserve">Redocking </w:t>
      </w:r>
      <w:r w:rsidRPr="00596558">
        <w:rPr>
          <w:sz w:val="22"/>
          <w:szCs w:val="22"/>
        </w:rPr>
        <w:t>do 4A6AP5CAH no EGFR.</w:t>
      </w:r>
    </w:p>
    <w:p w14:paraId="26A42910" w14:textId="77777777" w:rsidR="0049239E" w:rsidRPr="00131A11" w:rsidRDefault="0049239E" w:rsidP="0049239E"/>
    <w:p w14:paraId="6A58BFB1" w14:textId="77777777" w:rsidR="00710D8F" w:rsidRPr="00131A11" w:rsidRDefault="00710D8F" w:rsidP="0049239E"/>
    <w:p w14:paraId="69BEC92B" w14:textId="6002AC31" w:rsidR="00710D8F" w:rsidRPr="00131A11" w:rsidRDefault="00710D8F" w:rsidP="00710D8F">
      <w:pPr>
        <w:spacing w:line="360" w:lineRule="auto"/>
        <w:ind w:firstLine="708"/>
        <w:jc w:val="both"/>
      </w:pPr>
      <w:r w:rsidRPr="00131A11">
        <w:t xml:space="preserve">O </w:t>
      </w:r>
      <w:proofErr w:type="spellStart"/>
      <w:r w:rsidRPr="00131A11">
        <w:rPr>
          <w:i/>
        </w:rPr>
        <w:t>docking</w:t>
      </w:r>
      <w:proofErr w:type="spellEnd"/>
      <w:r w:rsidRPr="00131A11">
        <w:t xml:space="preserve"> revela uma interação da CUR com o EGFR. A Figura 3 revela três ligações de hidrogênio que são de maior intensidade, uma com a </w:t>
      </w:r>
      <w:proofErr w:type="spellStart"/>
      <w:r w:rsidRPr="00131A11">
        <w:t>Cisteína</w:t>
      </w:r>
      <w:proofErr w:type="spellEnd"/>
      <w:r w:rsidRPr="00131A11">
        <w:t xml:space="preserve"> 797 (CYS 797), uma com a Fenilalanina 856 (PHE 856) e uma com a Lisina 745 (LYS 745), que são as responsáveis por firmar a molécula no sítio ativo. Outras ligações mais fracas, mas não menos importantes, são as ligações π-alquila (π-alquila) fundamentais para posicionar a molécula no interior da cavidade ativa. A imagem tridimensional da interação da CUR com o EGFR está representada na Figura 4.</w:t>
      </w:r>
    </w:p>
    <w:p w14:paraId="08632EAF" w14:textId="77777777" w:rsidR="00710D8F" w:rsidRPr="00131A11" w:rsidRDefault="00710D8F" w:rsidP="0049239E"/>
    <w:p w14:paraId="6194AB9D" w14:textId="77777777" w:rsidR="00710D8F" w:rsidRPr="00131A11" w:rsidRDefault="00710D8F" w:rsidP="0049239E"/>
    <w:p w14:paraId="07B0CCCB" w14:textId="6A98FD2F" w:rsidR="00710D8F" w:rsidRPr="00131A11" w:rsidRDefault="00710D8F" w:rsidP="0049239E">
      <w:r w:rsidRPr="00131A11">
        <w:rPr>
          <w:noProof/>
        </w:rPr>
        <w:lastRenderedPageBreak/>
        <w:drawing>
          <wp:inline distT="0" distB="0" distL="0" distR="0" wp14:anchorId="6810CAEF" wp14:editId="67461C19">
            <wp:extent cx="3985076" cy="3599078"/>
            <wp:effectExtent l="0" t="0" r="0"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8826" t="20740" r="2575" b="9819"/>
                    <a:stretch/>
                  </pic:blipFill>
                  <pic:spPr bwMode="auto">
                    <a:xfrm>
                      <a:off x="0" y="0"/>
                      <a:ext cx="3996170" cy="3609097"/>
                    </a:xfrm>
                    <a:prstGeom prst="rect">
                      <a:avLst/>
                    </a:prstGeom>
                    <a:ln>
                      <a:noFill/>
                    </a:ln>
                    <a:extLst>
                      <a:ext uri="{53640926-AAD7-44D8-BBD7-CCE9431645EC}">
                        <a14:shadowObscured xmlns:a14="http://schemas.microsoft.com/office/drawing/2010/main"/>
                      </a:ext>
                    </a:extLst>
                  </pic:spPr>
                </pic:pic>
              </a:graphicData>
            </a:graphic>
          </wp:inline>
        </w:drawing>
      </w:r>
    </w:p>
    <w:p w14:paraId="60CA6782" w14:textId="77777777" w:rsidR="00710D8F" w:rsidRPr="00596558" w:rsidRDefault="00710D8F" w:rsidP="00201A24">
      <w:pPr>
        <w:jc w:val="both"/>
        <w:rPr>
          <w:sz w:val="22"/>
          <w:szCs w:val="22"/>
        </w:rPr>
      </w:pPr>
      <w:r w:rsidRPr="00596558">
        <w:rPr>
          <w:b/>
          <w:sz w:val="22"/>
          <w:szCs w:val="22"/>
        </w:rPr>
        <w:t xml:space="preserve">Figura 3. </w:t>
      </w:r>
      <w:r w:rsidRPr="00596558">
        <w:rPr>
          <w:sz w:val="22"/>
          <w:szCs w:val="22"/>
        </w:rPr>
        <w:t xml:space="preserve">Pose 1 de ancoragem da </w:t>
      </w:r>
      <w:proofErr w:type="spellStart"/>
      <w:r w:rsidRPr="00596558">
        <w:rPr>
          <w:sz w:val="22"/>
          <w:szCs w:val="22"/>
        </w:rPr>
        <w:t>curcumina</w:t>
      </w:r>
      <w:proofErr w:type="spellEnd"/>
      <w:r w:rsidRPr="00596558">
        <w:rPr>
          <w:sz w:val="22"/>
          <w:szCs w:val="22"/>
        </w:rPr>
        <w:t xml:space="preserve"> (CUR) dentro do sítio de ligação do EGFR. Figura gerada com o programa </w:t>
      </w:r>
      <w:proofErr w:type="spellStart"/>
      <w:r w:rsidRPr="00596558">
        <w:rPr>
          <w:sz w:val="22"/>
          <w:szCs w:val="22"/>
        </w:rPr>
        <w:t>Pymol</w:t>
      </w:r>
      <w:proofErr w:type="spellEnd"/>
      <w:r w:rsidRPr="00596558">
        <w:rPr>
          <w:sz w:val="22"/>
          <w:szCs w:val="22"/>
        </w:rPr>
        <w:t xml:space="preserve"> 1.1r1 software.</w:t>
      </w:r>
    </w:p>
    <w:p w14:paraId="42F904AA" w14:textId="77777777" w:rsidR="00710D8F" w:rsidRPr="00131A11" w:rsidRDefault="00710D8F" w:rsidP="0049239E"/>
    <w:p w14:paraId="4FF1CA08" w14:textId="77777777" w:rsidR="00710D8F" w:rsidRPr="00131A11" w:rsidRDefault="00710D8F" w:rsidP="0049239E"/>
    <w:p w14:paraId="10EF2FB9" w14:textId="5992AA38" w:rsidR="00710D8F" w:rsidRPr="00131A11" w:rsidRDefault="00710D8F" w:rsidP="0049239E">
      <w:r w:rsidRPr="00131A11">
        <w:rPr>
          <w:noProof/>
        </w:rPr>
        <w:drawing>
          <wp:inline distT="0" distB="0" distL="0" distR="0" wp14:anchorId="308BE6BF" wp14:editId="0182C5E9">
            <wp:extent cx="5400040" cy="2209999"/>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2209999"/>
                    </a:xfrm>
                    <a:prstGeom prst="rect">
                      <a:avLst/>
                    </a:prstGeom>
                    <a:noFill/>
                  </pic:spPr>
                </pic:pic>
              </a:graphicData>
            </a:graphic>
          </wp:inline>
        </w:drawing>
      </w:r>
    </w:p>
    <w:p w14:paraId="3E5866BE" w14:textId="77777777" w:rsidR="00710D8F" w:rsidRPr="00596558" w:rsidRDefault="00710D8F" w:rsidP="00201A24">
      <w:pPr>
        <w:jc w:val="both"/>
        <w:rPr>
          <w:sz w:val="22"/>
          <w:szCs w:val="22"/>
        </w:rPr>
      </w:pPr>
      <w:r w:rsidRPr="00596558">
        <w:rPr>
          <w:b/>
          <w:sz w:val="22"/>
          <w:szCs w:val="22"/>
        </w:rPr>
        <w:t xml:space="preserve">Figura 4. </w:t>
      </w:r>
      <w:r w:rsidRPr="00596558">
        <w:rPr>
          <w:sz w:val="22"/>
          <w:szCs w:val="22"/>
        </w:rPr>
        <w:t xml:space="preserve">Diagrama 3D de interação da </w:t>
      </w:r>
      <w:proofErr w:type="spellStart"/>
      <w:r w:rsidRPr="00596558">
        <w:rPr>
          <w:sz w:val="22"/>
          <w:szCs w:val="22"/>
        </w:rPr>
        <w:t>curcumina</w:t>
      </w:r>
      <w:proofErr w:type="spellEnd"/>
      <w:r w:rsidRPr="00596558">
        <w:rPr>
          <w:sz w:val="22"/>
          <w:szCs w:val="22"/>
        </w:rPr>
        <w:t xml:space="preserve"> (CUR) com o receptor do fator de crescimento epidermal (EGFR). Figura gerada com Discovery Studio 3.5 </w:t>
      </w:r>
      <w:proofErr w:type="spellStart"/>
      <w:r w:rsidRPr="00596558">
        <w:rPr>
          <w:sz w:val="22"/>
          <w:szCs w:val="22"/>
        </w:rPr>
        <w:t>Visualizer</w:t>
      </w:r>
      <w:proofErr w:type="spellEnd"/>
      <w:r w:rsidRPr="00596558">
        <w:rPr>
          <w:sz w:val="22"/>
          <w:szCs w:val="22"/>
        </w:rPr>
        <w:t>.</w:t>
      </w:r>
    </w:p>
    <w:p w14:paraId="4C0EBC1A" w14:textId="77777777" w:rsidR="00710D8F" w:rsidRPr="00131A11" w:rsidRDefault="00710D8F" w:rsidP="00710D8F">
      <w:pPr>
        <w:spacing w:line="360" w:lineRule="auto"/>
        <w:jc w:val="both"/>
      </w:pPr>
    </w:p>
    <w:p w14:paraId="606A69A1" w14:textId="77777777" w:rsidR="00710D8F" w:rsidRPr="00131A11" w:rsidRDefault="00710D8F" w:rsidP="00710D8F">
      <w:pPr>
        <w:spacing w:line="360" w:lineRule="auto"/>
        <w:jc w:val="both"/>
      </w:pPr>
    </w:p>
    <w:p w14:paraId="6D6320D3" w14:textId="07F56FCB" w:rsidR="00710D8F" w:rsidRPr="00131A11" w:rsidRDefault="00710D8F" w:rsidP="00710D8F">
      <w:pPr>
        <w:spacing w:line="360" w:lineRule="auto"/>
        <w:ind w:firstLine="708"/>
        <w:jc w:val="both"/>
      </w:pPr>
      <w:r w:rsidRPr="00131A11">
        <w:t>Por fim, para demonstrar que a molécula da CUR está há uma distância razoável do sítio ativo do EGFR obteve-se uma imagem (Figura 5) com as distâncias entre as ligações em angstrom. A partir da análise da imagem pode-se inferir que as distâncias entre as ligações de hidrogênio ficaram ótimas, por estarem dentro da faixa de 1,5 a 4 Å, e as demais ligações, mesmo que algumas estejam fora desse intervalo, podem ser consideradas razoáveis.</w:t>
      </w:r>
    </w:p>
    <w:p w14:paraId="6DCE7C09" w14:textId="77777777" w:rsidR="00710D8F" w:rsidRPr="00131A11" w:rsidRDefault="00710D8F" w:rsidP="0049239E"/>
    <w:p w14:paraId="25795570" w14:textId="77777777" w:rsidR="00710D8F" w:rsidRPr="00131A11" w:rsidRDefault="00710D8F" w:rsidP="0049239E"/>
    <w:p w14:paraId="67A6AB6A" w14:textId="000AE2EB" w:rsidR="00710D8F" w:rsidRPr="00131A11" w:rsidRDefault="00710D8F" w:rsidP="0049239E">
      <w:r w:rsidRPr="00131A11">
        <w:rPr>
          <w:noProof/>
        </w:rPr>
        <w:drawing>
          <wp:inline distT="0" distB="0" distL="0" distR="0" wp14:anchorId="3CB009F1" wp14:editId="487A41B6">
            <wp:extent cx="3855110" cy="2676243"/>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9636" cy="2755747"/>
                    </a:xfrm>
                    <a:prstGeom prst="rect">
                      <a:avLst/>
                    </a:prstGeom>
                    <a:noFill/>
                  </pic:spPr>
                </pic:pic>
              </a:graphicData>
            </a:graphic>
          </wp:inline>
        </w:drawing>
      </w:r>
    </w:p>
    <w:p w14:paraId="3C3D09F3" w14:textId="328EB74F" w:rsidR="00710D8F" w:rsidRPr="00131A11" w:rsidRDefault="00710D8F" w:rsidP="00201A24">
      <w:pPr>
        <w:jc w:val="both"/>
      </w:pPr>
      <w:r w:rsidRPr="00596558">
        <w:rPr>
          <w:b/>
          <w:sz w:val="22"/>
          <w:szCs w:val="22"/>
        </w:rPr>
        <w:t xml:space="preserve">Figura 5. </w:t>
      </w:r>
      <w:r w:rsidRPr="00596558">
        <w:rPr>
          <w:sz w:val="22"/>
          <w:szCs w:val="22"/>
        </w:rPr>
        <w:t xml:space="preserve">Interação entre </w:t>
      </w:r>
      <w:proofErr w:type="spellStart"/>
      <w:r w:rsidRPr="00596558">
        <w:rPr>
          <w:sz w:val="22"/>
          <w:szCs w:val="22"/>
        </w:rPr>
        <w:t>curcumina</w:t>
      </w:r>
      <w:proofErr w:type="spellEnd"/>
      <w:r w:rsidRPr="00596558">
        <w:rPr>
          <w:sz w:val="22"/>
          <w:szCs w:val="22"/>
        </w:rPr>
        <w:t xml:space="preserve"> (CUR) e receptor do fator de crescimento epidermal (EGFR) com as distâncias das interações intermoleculares. Figura gerada com Discovery Studio 3.5 </w:t>
      </w:r>
      <w:proofErr w:type="spellStart"/>
      <w:r w:rsidRPr="00596558">
        <w:rPr>
          <w:sz w:val="22"/>
          <w:szCs w:val="22"/>
        </w:rPr>
        <w:t>Visualizer</w:t>
      </w:r>
      <w:proofErr w:type="spellEnd"/>
      <w:r w:rsidRPr="00131A11">
        <w:t>.</w:t>
      </w:r>
    </w:p>
    <w:p w14:paraId="4A1F6C68" w14:textId="77777777" w:rsidR="00710D8F" w:rsidRPr="00131A11" w:rsidRDefault="00710D8F" w:rsidP="0049239E"/>
    <w:p w14:paraId="281B3043" w14:textId="77777777" w:rsidR="00710D8F" w:rsidRPr="00131A11" w:rsidRDefault="00710D8F" w:rsidP="0049239E"/>
    <w:p w14:paraId="0AA7C976" w14:textId="4DD1B401" w:rsidR="00710D8F" w:rsidRPr="00131A11" w:rsidRDefault="00596558" w:rsidP="00710D8F">
      <w:pPr>
        <w:jc w:val="both"/>
      </w:pPr>
      <w:r>
        <w:rPr>
          <w:b/>
        </w:rPr>
        <w:t>Discussão</w:t>
      </w:r>
    </w:p>
    <w:p w14:paraId="2A251FE9" w14:textId="77777777" w:rsidR="00710D8F" w:rsidRPr="00131A11" w:rsidRDefault="00710D8F" w:rsidP="00710D8F">
      <w:pPr>
        <w:jc w:val="both"/>
      </w:pPr>
    </w:p>
    <w:p w14:paraId="6D460742" w14:textId="77777777" w:rsidR="00710D8F" w:rsidRPr="00131A11" w:rsidRDefault="00710D8F" w:rsidP="00710D8F">
      <w:pPr>
        <w:jc w:val="both"/>
      </w:pPr>
    </w:p>
    <w:p w14:paraId="5D504300" w14:textId="77777777" w:rsidR="00710D8F" w:rsidRPr="00131A11" w:rsidRDefault="00710D8F" w:rsidP="00710D8F">
      <w:pPr>
        <w:spacing w:line="360" w:lineRule="auto"/>
        <w:ind w:firstLine="708"/>
        <w:jc w:val="both"/>
      </w:pPr>
      <w:r w:rsidRPr="00131A11">
        <w:t xml:space="preserve">O levantamento de metabólitos ativos da </w:t>
      </w:r>
      <w:r w:rsidRPr="00131A11">
        <w:rPr>
          <w:i/>
          <w:iCs/>
        </w:rPr>
        <w:t>Curcuma longa</w:t>
      </w:r>
      <w:r w:rsidRPr="00131A11">
        <w:t xml:space="preserve">, com suas respectivas propriedades físico-químicas, classificação </w:t>
      </w:r>
      <w:bookmarkStart w:id="0" w:name="_GoBack"/>
      <w:proofErr w:type="spellStart"/>
      <w:r w:rsidRPr="00A3438E">
        <w:rPr>
          <w:i/>
        </w:rPr>
        <w:t>Druglikeness</w:t>
      </w:r>
      <w:bookmarkEnd w:id="0"/>
      <w:proofErr w:type="spellEnd"/>
      <w:r w:rsidRPr="00131A11">
        <w:t xml:space="preserve">, predição de toxicidade, predição de possível ação no sistema respiratório, além da análise dos alvos para realização do </w:t>
      </w:r>
      <w:proofErr w:type="spellStart"/>
      <w:r w:rsidRPr="00131A11">
        <w:rPr>
          <w:i/>
          <w:iCs/>
        </w:rPr>
        <w:t>docking</w:t>
      </w:r>
      <w:proofErr w:type="spellEnd"/>
      <w:r w:rsidRPr="00131A11">
        <w:t xml:space="preserve"> permitiu a escolha da CUR como molécula para realização do </w:t>
      </w:r>
      <w:proofErr w:type="spellStart"/>
      <w:r w:rsidRPr="00131A11">
        <w:rPr>
          <w:i/>
          <w:iCs/>
        </w:rPr>
        <w:t>docking</w:t>
      </w:r>
      <w:proofErr w:type="spellEnd"/>
      <w:r w:rsidRPr="00131A11">
        <w:t xml:space="preserve"> molecular, apresentando melhor desempenho em todas essas análises, com maior potencial de interação com o EGFR.</w:t>
      </w:r>
    </w:p>
    <w:p w14:paraId="6B274D76" w14:textId="77777777" w:rsidR="00710D8F" w:rsidRPr="00131A11" w:rsidRDefault="00710D8F" w:rsidP="00710D8F">
      <w:pPr>
        <w:spacing w:line="360" w:lineRule="auto"/>
        <w:ind w:firstLine="708"/>
        <w:jc w:val="both"/>
      </w:pPr>
      <w:r w:rsidRPr="00131A11">
        <w:t xml:space="preserve">Fora utilizada a classificação </w:t>
      </w:r>
      <w:proofErr w:type="spellStart"/>
      <w:r w:rsidRPr="00131A11">
        <w:t>Lipinski</w:t>
      </w:r>
      <w:proofErr w:type="spellEnd"/>
      <w:r w:rsidRPr="00131A11">
        <w:t xml:space="preserve"> (1997), que é imprescindível para determinar propriedades moleculares importantes para a predição farmacocinética das substâncias </w:t>
      </w:r>
      <w:r w:rsidRPr="00131A11">
        <w:rPr>
          <w:i/>
          <w:iCs/>
        </w:rPr>
        <w:t>in</w:t>
      </w:r>
      <w:r w:rsidRPr="00131A11">
        <w:t xml:space="preserve"> </w:t>
      </w:r>
      <w:r w:rsidRPr="00131A11">
        <w:rPr>
          <w:i/>
          <w:iCs/>
        </w:rPr>
        <w:t>vivo</w:t>
      </w:r>
      <w:r w:rsidRPr="00131A11">
        <w:t xml:space="preserve">. De acordo com a Regra dos Cinco de </w:t>
      </w:r>
      <w:proofErr w:type="spellStart"/>
      <w:r w:rsidRPr="00131A11">
        <w:t>Lipinski</w:t>
      </w:r>
      <w:proofErr w:type="spellEnd"/>
      <w:r w:rsidRPr="00131A11">
        <w:t xml:space="preserve">, em que se baseia essa classificação, uma molécula candidata é mais provável de possuir propriedades favoráveis se o peso molecular for abaixo de 500 Da, o coeficiente de partição </w:t>
      </w:r>
      <w:proofErr w:type="spellStart"/>
      <w:r w:rsidRPr="00131A11">
        <w:t>octanol</w:t>
      </w:r>
      <w:proofErr w:type="spellEnd"/>
      <w:r w:rsidRPr="00131A11">
        <w:t xml:space="preserve">/água (log P) é inferior 5, se não há mais que 5 doadores de ligação de hidrogênio (grupos OH e NH) e se não existem 10 aceptores de ligação de hidrogênio (nomeadamente N </w:t>
      </w:r>
      <w:proofErr w:type="spellStart"/>
      <w:r w:rsidRPr="00131A11">
        <w:t>and</w:t>
      </w:r>
      <w:proofErr w:type="spellEnd"/>
      <w:r w:rsidRPr="00131A11">
        <w:t xml:space="preserve"> O) </w:t>
      </w:r>
      <w:r w:rsidRPr="00131A11">
        <w:fldChar w:fldCharType="begin" w:fldLock="1"/>
      </w:r>
      <w:r w:rsidRPr="00131A11">
        <w:instrText>ADDIN CSL_CITATION {"citationItems":[{"id":"ITEM-1","itemData":{"DOI":"10.36414/rbmc.v6i15.39","abstract":"Este estudo tem por objetivo avaliar os principais compostos que expliquem a atividade broncodilatadora da Mikania glomerata Spreng, empregando ferramentas in silico. Os metabólitos do guaco foram levantados bibliograficamente e a codificação das moléculas para a realização das predições foi obtida no site Pubchem. Realizou-se então triagem de bioatividade com os programas SwissADME, ProToxII, PASS e Molinspiration e pesquisa de alvos, com os servidores SuperPred Webserver. Após a identificação do alvo, a estrutura selecionada foi obtida pelo site Protein Data Bank (PDB) para o docking molecular com o programa GOLD. Os metabólitos da Mikania glomerata Spreng tiveram suas propriedades físico-químicas e biológicas analisadas. Os alvos para o docking molecular foram identificados e verificados para cada composto, com suas respectivas estruturas cristalografadas no Protein Data Bank (PDB). A molécula de cumarina foi selecionada pois apresentou predição de interação com o receptor muscarínico M3 (ID: 4DAJ). O docking revelou interação da cumarina com o receptor M3, o que poderia auxiliar na explicação para os efeitos broncodilatadores desta espécie vegetal. O estudo in silico do guaco, abordado neste trabalho, elegeu a cumarina como principal metabólito ativo com possível atividade broncodilatadora presente na Mikania glomerata Spreng. O docking da cumarina mostrou ancoragem desta molécula no sítio ativo do receptor muscarínico M3 devido as atividades desta espécie, assim, este marcador poderia atuar como antagonista desse receptor, apresentando possível atividade parassimpatolítica e, portanto, broncodilatadora.","author":[{"dropping-particle":"","family":"Fraga","given":"Letícia Fernandes","non-dropping-particle":"","parse-names":false,"suffix":""},{"dropping-particle":"","family":"Borges","given":"Leonardo Luiz","non-dropping-particle":"","parse-names":false,"suffix":""}],"container-title":"Revista Brasileira Militar de Ciências","id":"ITEM-1","issue":"15","issued":{"date-parts":[["2020"]]},"page":"25-31","title":"Busca De Moléculas Com Atividade Broncodilatadora Na Espécie Mikania Glomerata Spreng Empregando Ferramentas in Silico","type":"article-journal","volume":"6"},"uris":["http://www.mendeley.com/documents/?uuid=0bfc93c7-dd59-4036-8182-b3a9024d7b4f"]}],"mendeley":{"formattedCitation":"(FRAGA; BORGES, 2020)","plainTextFormattedCitation":"(FRAGA; BORGES, 2020)"},"properties":{"noteIndex":0},"schema":"https://github.com/citation-style-language/schema/raw/master/csl-citation.json"}</w:instrText>
      </w:r>
      <w:r w:rsidRPr="00131A11">
        <w:fldChar w:fldCharType="separate"/>
      </w:r>
      <w:r w:rsidRPr="00131A11">
        <w:rPr>
          <w:noProof/>
        </w:rPr>
        <w:t>(FRAGA; BORGES, 2020)</w:t>
      </w:r>
      <w:r w:rsidRPr="00131A11">
        <w:fldChar w:fldCharType="end"/>
      </w:r>
      <w:r w:rsidRPr="00131A11">
        <w:t>.</w:t>
      </w:r>
    </w:p>
    <w:p w14:paraId="5DD38860" w14:textId="77777777" w:rsidR="00710D8F" w:rsidRPr="00131A11" w:rsidRDefault="00710D8F" w:rsidP="00710D8F">
      <w:pPr>
        <w:spacing w:line="360" w:lineRule="auto"/>
        <w:ind w:firstLine="708"/>
        <w:jc w:val="both"/>
      </w:pPr>
      <w:r w:rsidRPr="00131A11">
        <w:t xml:space="preserve">A CUR se comportou, neste estudo </w:t>
      </w:r>
      <w:r w:rsidRPr="00131A11">
        <w:rPr>
          <w:i/>
          <w:iCs/>
        </w:rPr>
        <w:t>in</w:t>
      </w:r>
      <w:r w:rsidRPr="00131A11">
        <w:t xml:space="preserve"> </w:t>
      </w:r>
      <w:proofErr w:type="spellStart"/>
      <w:r w:rsidRPr="00131A11">
        <w:rPr>
          <w:i/>
          <w:iCs/>
        </w:rPr>
        <w:t>silico</w:t>
      </w:r>
      <w:proofErr w:type="spellEnd"/>
      <w:r w:rsidRPr="00131A11">
        <w:t xml:space="preserve">, como um ligante na estrutura do EGFR. </w:t>
      </w:r>
      <w:r w:rsidRPr="00131A11">
        <w:rPr>
          <w:shd w:val="clear" w:color="auto" w:fill="FFFFFF"/>
        </w:rPr>
        <w:t>Com isso, teoricamente, seria bloqueada a complexa via de sinalização do EGFR</w:t>
      </w:r>
      <w:r w:rsidRPr="00131A11">
        <w:t xml:space="preserve"> e permitindo a inferência da possível ação de inibição da atividade da enzima tirosina </w:t>
      </w:r>
      <w:proofErr w:type="spellStart"/>
      <w:r w:rsidRPr="00131A11">
        <w:lastRenderedPageBreak/>
        <w:t>quinase</w:t>
      </w:r>
      <w:proofErr w:type="spellEnd"/>
      <w:r w:rsidRPr="00131A11">
        <w:t xml:space="preserve"> (ITK), de diminuição dos potenciais de crescimento, proliferação, mobilidade, diferenciação e, também, sobrevida celular </w:t>
      </w:r>
      <w:r w:rsidRPr="00131A11">
        <w:fldChar w:fldCharType="begin" w:fldLock="1"/>
      </w:r>
      <w:r w:rsidRPr="00131A11">
        <w:instrText>ADDIN CSL_CITATION {"citationItems":[{"id":"ITEM-1","itemData":{"DOI":"10.18632/oncotarget.16854","ISSN":"19492553","abstract":"Lung cancer is a leading cause of cancer mortality worldwide. In tumors, the important role of noncoding RNA regulatory networks has been more and more reveal. EGFR has been identified as an oncogenic driver of NSCLC, especially activating mutations EGFR and its inhibition with specific TKIs can generate dramatic tumor responses. Studies have shown that EGFR plays significant roles in the progression of NSCLC. Subset analysis of the small proportion of patients with EGFR-mutant lung cancer showed a disease-free survival benefit, but was underpowered to detect a survival advantage. Herein, we highlight the progression of EGFR, noncoding RNA, and their roles in carcinogenesis. We also focus on anti-lung cancer drug development and EGFR-related drug resistance.","author":[{"dropping-particle":"","family":"Liu","given":"Xiaomin","non-dropping-particle":"","parse-names":false,"suffix":""},{"dropping-particle":"","family":"Wang","given":"Ping","non-dropping-particle":"","parse-names":false,"suffix":""},{"dropping-particle":"","family":"Zhang","given":"Caiyan","non-dropping-particle":"","parse-names":false,"suffix":""},{"dropping-particle":"","family":"Ma","given":"Zhongliang","non-dropping-particle":"","parse-names":false,"suffix":""}],"container-title":"Oncotarget","id":"ITEM-1","issue":"30","issued":{"date-parts":[["2017"]]},"page":"50209-50220","title":"Epidermal growth factor receptor (EGFR): A rising star in the era of precision medicine of lung cancer","type":"article-journal","volume":"8"},"uris":["http://www.mendeley.com/documents/?uuid=72bb7fe3-98d4-41db-95bf-5c2740b92e1b"]}],"mendeley":{"formattedCitation":"(LIU et al., 2017)","plainTextFormattedCitation":"(LIU et al., 2017)","previouslyFormattedCitation":"(LIU et al., 2017)"},"properties":{"noteIndex":0},"schema":"https://github.com/citation-style-language/schema/raw/master/csl-citation.json"}</w:instrText>
      </w:r>
      <w:r w:rsidRPr="00131A11">
        <w:fldChar w:fldCharType="separate"/>
      </w:r>
      <w:r w:rsidRPr="00131A11">
        <w:rPr>
          <w:noProof/>
        </w:rPr>
        <w:t>(LIU et al., 2017)</w:t>
      </w:r>
      <w:r w:rsidRPr="00131A11">
        <w:fldChar w:fldCharType="end"/>
      </w:r>
      <w:r w:rsidRPr="00131A11">
        <w:t>.</w:t>
      </w:r>
    </w:p>
    <w:p w14:paraId="1723A2EB" w14:textId="77777777" w:rsidR="00710D8F" w:rsidRPr="00131A11" w:rsidRDefault="00710D8F" w:rsidP="00710D8F">
      <w:pPr>
        <w:spacing w:line="360" w:lineRule="auto"/>
        <w:ind w:firstLine="708"/>
        <w:jc w:val="both"/>
      </w:pPr>
      <w:r w:rsidRPr="00131A11">
        <w:t xml:space="preserve">Além dos potenciais efeitos antineoplásicos, existem evidências que comprovam que a CUR é capaz de promover efeitos anti-inflamatórios e antioxidantes, através de mecanismos de, respectivamente, inibição de vias pró-inflamatórias (NF-Kβ e TNF-α) e neutralização de radicais livres, além da ativação de enzimas antioxidantes do próprio organismo </w:t>
      </w:r>
      <w:r w:rsidRPr="00131A11">
        <w:fldChar w:fldCharType="begin" w:fldLock="1"/>
      </w:r>
      <w:r w:rsidRPr="00131A11">
        <w:instrText>ADDIN CSL_CITATION {"citationItems":[{"id":"ITEM-1","itemData":{"author":[{"dropping-particle":"","family":"Salehi","given":"B","non-dropping-particle":"","parse-names":false,"suffix":""},{"dropping-particle":"","family":"Stojanović-Radić","given":"Z","non-dropping-particle":"","parse-names":false,"suffix":""},{"dropping-particle":"","family":"…","given":"J Matejić - European journal of","non-dropping-particle":"","parse-names":false,"suffix":""},{"dropping-particle":"","family":"2019","given":"Undefined","non-dropping-particle":"","parse-names":false,"suffix":""}],"container-title":"European journal of medicinal chemistry","id":"ITEM-1","issued":{"date-parts":[["2019"]]},"page":"527-545","title":"The therapeutic potential of curcumin: A review of clinical trials","type":"article-journal","volume":"163"},"uris":["http://www.mendeley.com/documents/?uuid=dbe99e88-cc3e-3db2-9ea8-327147e6965a"]}],"mendeley":{"formattedCitation":"(SALEHI et al., 2019)","plainTextFormattedCitation":"(SALEHI et al., 2019)","previouslyFormattedCitation":"(SALEHI et al., 2019)"},"properties":{"noteIndex":0},"schema":"https://github.com/citation-style-language/schema/raw/master/csl-citation.json"}</w:instrText>
      </w:r>
      <w:r w:rsidRPr="00131A11">
        <w:fldChar w:fldCharType="separate"/>
      </w:r>
      <w:r w:rsidRPr="00131A11">
        <w:rPr>
          <w:noProof/>
        </w:rPr>
        <w:t>(SALEHI et al., 2019)</w:t>
      </w:r>
      <w:r w:rsidRPr="00131A11">
        <w:fldChar w:fldCharType="end"/>
      </w:r>
      <w:r w:rsidRPr="00131A11">
        <w:t xml:space="preserve">. Os modelos, aqui descritos, sugerem que um mecanismo antitumoral poderia corroborar para os efeitos deste marcador da espécie </w:t>
      </w:r>
      <w:r w:rsidRPr="00131A11">
        <w:rPr>
          <w:i/>
          <w:iCs/>
        </w:rPr>
        <w:t>Curcuma</w:t>
      </w:r>
      <w:r w:rsidRPr="00131A11">
        <w:t xml:space="preserve"> </w:t>
      </w:r>
      <w:r w:rsidRPr="00131A11">
        <w:rPr>
          <w:i/>
          <w:iCs/>
        </w:rPr>
        <w:t>longa</w:t>
      </w:r>
      <w:r w:rsidRPr="00131A11">
        <w:t>.</w:t>
      </w:r>
    </w:p>
    <w:p w14:paraId="4D2DD541" w14:textId="77777777" w:rsidR="00710D8F" w:rsidRPr="00131A11" w:rsidRDefault="00710D8F" w:rsidP="00710D8F">
      <w:pPr>
        <w:spacing w:line="360" w:lineRule="auto"/>
        <w:ind w:firstLine="708"/>
        <w:jc w:val="both"/>
      </w:pPr>
      <w:r w:rsidRPr="00131A11">
        <w:t xml:space="preserve">Por fim, a espécie </w:t>
      </w:r>
      <w:r w:rsidRPr="00131A11">
        <w:rPr>
          <w:i/>
          <w:iCs/>
        </w:rPr>
        <w:t>Curcuma longa</w:t>
      </w:r>
      <w:r w:rsidRPr="00131A11">
        <w:t xml:space="preserve">, o popular “açafrão-da terra”, tem sido utilizada de maneira crescente mundialmente com a finalidade de tratar condições clínicas inflamatórias e oxidativas, principalmente em afecções reumatológicas, como a artrite reumatoide </w:t>
      </w:r>
      <w:r w:rsidRPr="00131A11">
        <w:fldChar w:fldCharType="begin" w:fldLock="1"/>
      </w:r>
      <w:r w:rsidRPr="00131A11">
        <w:instrText>ADDIN CSL_CITATION {"citationItems":[{"id":"ITEM-1","itemData":{"author":[{"dropping-particle":"","family":"Antunes","given":"Rodrigo","non-dropping-particle":"","parse-names":false,"suffix":""},{"dropping-particle":"","family":"Cipriano","given":"Daniela Zacarias","non-dropping-particle":"","parse-names":false,"suffix":""},{"dropping-particle":"","family":"Fábrega","given":"Francine De Mendonça","non-dropping-particle":"","parse-names":false,"suffix":""},{"dropping-particle":"","family":"Dias","given":"Leoní Adriana De Souza","non-dropping-particle":"","parse-names":false,"suffix":""},{"dropping-particle":"","family":"Pereira","given":"Mariana Donato","non-dropping-particle":"","parse-names":false,"suffix":""}],"id":"ITEM-1","issued":{"date-parts":[["2019"]]},"page":"1275-1290","title":"Artrite reumatoide e o uso da Cúrcuma longa L. no tratamento","type":"article-journal","volume":"11"},"uris":["http://www.mendeley.com/documents/?uuid=03600cd1-0d01-47b7-b82c-a5fc22c656e5"]}],"mendeley":{"formattedCitation":"(ANTUNES et al., 2019)","plainTextFormattedCitation":"(ANTUNES et al., 2019)","previouslyFormattedCitation":"(ANTUNES et al., 2019)"},"properties":{"noteIndex":0},"schema":"https://github.com/citation-style-language/schema/raw/master/csl-citation.json"}</w:instrText>
      </w:r>
      <w:r w:rsidRPr="00131A11">
        <w:fldChar w:fldCharType="separate"/>
      </w:r>
      <w:r w:rsidRPr="00131A11">
        <w:rPr>
          <w:noProof/>
        </w:rPr>
        <w:t>(ANTUNES et al., 2019)</w:t>
      </w:r>
      <w:r w:rsidRPr="00131A11">
        <w:fldChar w:fldCharType="end"/>
      </w:r>
      <w:r w:rsidRPr="00131A11">
        <w:t xml:space="preserve">, sendo de interesse do Sistema único de Saúde (SUS). Seu estudo </w:t>
      </w:r>
      <w:r w:rsidRPr="00131A11">
        <w:rPr>
          <w:i/>
          <w:iCs/>
        </w:rPr>
        <w:t>in</w:t>
      </w:r>
      <w:r w:rsidRPr="00131A11">
        <w:t xml:space="preserve"> </w:t>
      </w:r>
      <w:proofErr w:type="spellStart"/>
      <w:r w:rsidRPr="00131A11">
        <w:rPr>
          <w:i/>
          <w:iCs/>
        </w:rPr>
        <w:t>silico</w:t>
      </w:r>
      <w:proofErr w:type="spellEnd"/>
      <w:r w:rsidRPr="00131A11">
        <w:t xml:space="preserve">, abordado neste trabalho, elencou a CUR como principal metabólito ativo com possível atividade antitumoral pulmonar presente na </w:t>
      </w:r>
      <w:r w:rsidRPr="00131A11">
        <w:rPr>
          <w:i/>
          <w:iCs/>
        </w:rPr>
        <w:t>Curcuma</w:t>
      </w:r>
      <w:r w:rsidRPr="00131A11">
        <w:t xml:space="preserve"> </w:t>
      </w:r>
      <w:r w:rsidRPr="00131A11">
        <w:rPr>
          <w:i/>
          <w:iCs/>
        </w:rPr>
        <w:t>longa</w:t>
      </w:r>
      <w:r w:rsidRPr="00131A11">
        <w:t xml:space="preserve">. A molécula de CUR foi selecionada para a realização de </w:t>
      </w:r>
      <w:proofErr w:type="spellStart"/>
      <w:r w:rsidRPr="00131A11">
        <w:rPr>
          <w:i/>
          <w:iCs/>
        </w:rPr>
        <w:t>docking</w:t>
      </w:r>
      <w:proofErr w:type="spellEnd"/>
      <w:r w:rsidRPr="00131A11">
        <w:t xml:space="preserve"> molecular, pois apresentou maior predição de interação com o receptor EGFR, se ancorando em um dos sítios ativos do mesmo e foi considerada, pelas análises farmacológicas computacionais descritas neste artigo, como um possível inibidor desse receptor e apresentando, portanto, uma possível atividade de supressão tumoral, a despeito de suas atividades anti-inflamatória e antioxidantes já, anteriormente, constatadas.</w:t>
      </w:r>
    </w:p>
    <w:p w14:paraId="3291521C" w14:textId="725B0E2E" w:rsidR="00710D8F" w:rsidRPr="00131A11" w:rsidRDefault="00710D8F" w:rsidP="00710D8F">
      <w:pPr>
        <w:spacing w:line="360" w:lineRule="auto"/>
        <w:ind w:firstLine="708"/>
        <w:jc w:val="both"/>
      </w:pPr>
      <w:r w:rsidRPr="00131A11">
        <w:t xml:space="preserve">Dessa forma, o presente artigo, ao se utilizar de técnicas </w:t>
      </w:r>
      <w:r w:rsidRPr="00131A11">
        <w:rPr>
          <w:i/>
          <w:iCs/>
        </w:rPr>
        <w:t>in</w:t>
      </w:r>
      <w:r w:rsidRPr="00131A11">
        <w:t xml:space="preserve"> </w:t>
      </w:r>
      <w:proofErr w:type="spellStart"/>
      <w:r w:rsidRPr="00131A11">
        <w:rPr>
          <w:i/>
          <w:iCs/>
        </w:rPr>
        <w:t>silico</w:t>
      </w:r>
      <w:proofErr w:type="spellEnd"/>
      <w:r w:rsidRPr="00131A11">
        <w:t xml:space="preserve"> com a </w:t>
      </w:r>
      <w:proofErr w:type="spellStart"/>
      <w:r w:rsidRPr="00131A11">
        <w:rPr>
          <w:i/>
          <w:iCs/>
        </w:rPr>
        <w:t>Curcuma</w:t>
      </w:r>
      <w:proofErr w:type="spellEnd"/>
      <w:r w:rsidRPr="00131A11">
        <w:t xml:space="preserve"> </w:t>
      </w:r>
      <w:r w:rsidRPr="00131A11">
        <w:rPr>
          <w:i/>
          <w:iCs/>
        </w:rPr>
        <w:t>longa</w:t>
      </w:r>
      <w:r w:rsidRPr="00131A11">
        <w:t xml:space="preserve">, levantou dados importantes para o planejamento futuro de um possível fármaco que utilize essa espécie vegetal ou seus metabólitos como base. Logo, é imprescindível que ocorra a realização de novos trabalhos desenvolvidos </w:t>
      </w:r>
      <w:r w:rsidRPr="00131A11">
        <w:rPr>
          <w:i/>
          <w:iCs/>
        </w:rPr>
        <w:t>in</w:t>
      </w:r>
      <w:r w:rsidRPr="00131A11">
        <w:t xml:space="preserve"> </w:t>
      </w:r>
      <w:r w:rsidRPr="00131A11">
        <w:rPr>
          <w:i/>
          <w:iCs/>
        </w:rPr>
        <w:t>vitro</w:t>
      </w:r>
      <w:r w:rsidRPr="00131A11">
        <w:t xml:space="preserve"> e </w:t>
      </w:r>
      <w:r w:rsidRPr="00131A11">
        <w:rPr>
          <w:i/>
          <w:iCs/>
        </w:rPr>
        <w:t>in</w:t>
      </w:r>
      <w:r w:rsidRPr="00131A11">
        <w:t xml:space="preserve"> </w:t>
      </w:r>
      <w:r w:rsidRPr="00131A11">
        <w:rPr>
          <w:i/>
          <w:iCs/>
        </w:rPr>
        <w:t>vivo</w:t>
      </w:r>
      <w:r w:rsidRPr="00131A11">
        <w:t xml:space="preserve"> para aprofundar o estudo do açafrão-da-terra como um fármaco antitumoral.</w:t>
      </w:r>
    </w:p>
    <w:p w14:paraId="2A3BE64F" w14:textId="77777777" w:rsidR="00710D8F" w:rsidRPr="00131A11" w:rsidRDefault="00710D8F" w:rsidP="00710D8F">
      <w:pPr>
        <w:jc w:val="both"/>
      </w:pPr>
    </w:p>
    <w:p w14:paraId="4C660E0D" w14:textId="77777777" w:rsidR="00710D8F" w:rsidRPr="00131A11" w:rsidRDefault="00710D8F" w:rsidP="00710D8F">
      <w:pPr>
        <w:jc w:val="both"/>
      </w:pPr>
    </w:p>
    <w:p w14:paraId="143E6838" w14:textId="77777777" w:rsidR="001355F9" w:rsidRDefault="001355F9" w:rsidP="00710D8F">
      <w:pPr>
        <w:jc w:val="both"/>
        <w:rPr>
          <w:b/>
        </w:rPr>
      </w:pPr>
    </w:p>
    <w:p w14:paraId="3930F5ED" w14:textId="77777777" w:rsidR="001355F9" w:rsidRDefault="001355F9" w:rsidP="00710D8F">
      <w:pPr>
        <w:jc w:val="both"/>
        <w:rPr>
          <w:b/>
        </w:rPr>
      </w:pPr>
    </w:p>
    <w:p w14:paraId="265746D0" w14:textId="77777777" w:rsidR="001355F9" w:rsidRDefault="001355F9" w:rsidP="00710D8F">
      <w:pPr>
        <w:jc w:val="both"/>
        <w:rPr>
          <w:b/>
        </w:rPr>
      </w:pPr>
    </w:p>
    <w:p w14:paraId="7D445880" w14:textId="77777777" w:rsidR="001355F9" w:rsidRDefault="001355F9" w:rsidP="00710D8F">
      <w:pPr>
        <w:jc w:val="both"/>
        <w:rPr>
          <w:b/>
        </w:rPr>
      </w:pPr>
    </w:p>
    <w:p w14:paraId="42041685" w14:textId="77777777" w:rsidR="001355F9" w:rsidRDefault="001355F9" w:rsidP="00710D8F">
      <w:pPr>
        <w:jc w:val="both"/>
        <w:rPr>
          <w:b/>
        </w:rPr>
      </w:pPr>
    </w:p>
    <w:p w14:paraId="0235D60E" w14:textId="2C1BC795" w:rsidR="00710D8F" w:rsidRPr="00131A11" w:rsidRDefault="00596558" w:rsidP="00710D8F">
      <w:pPr>
        <w:jc w:val="both"/>
        <w:rPr>
          <w:b/>
        </w:rPr>
      </w:pPr>
      <w:r>
        <w:rPr>
          <w:b/>
        </w:rPr>
        <w:t>Conclusão</w:t>
      </w:r>
    </w:p>
    <w:p w14:paraId="6B301506" w14:textId="77777777" w:rsidR="00710D8F" w:rsidRPr="00131A11" w:rsidRDefault="00710D8F" w:rsidP="00710D8F">
      <w:pPr>
        <w:jc w:val="both"/>
      </w:pPr>
    </w:p>
    <w:p w14:paraId="1423F040" w14:textId="55E324CE" w:rsidR="00131A11" w:rsidRPr="00131A11" w:rsidRDefault="00710D8F" w:rsidP="001355F9">
      <w:pPr>
        <w:spacing w:line="360" w:lineRule="auto"/>
        <w:ind w:firstLine="708"/>
        <w:jc w:val="both"/>
      </w:pPr>
      <w:r w:rsidRPr="00131A11">
        <w:t xml:space="preserve">O estudo </w:t>
      </w:r>
      <w:r w:rsidRPr="00131A11">
        <w:rPr>
          <w:i/>
        </w:rPr>
        <w:t xml:space="preserve">in </w:t>
      </w:r>
      <w:proofErr w:type="spellStart"/>
      <w:r w:rsidRPr="00131A11">
        <w:rPr>
          <w:i/>
        </w:rPr>
        <w:t>silico</w:t>
      </w:r>
      <w:proofErr w:type="spellEnd"/>
      <w:r w:rsidRPr="00131A11">
        <w:t xml:space="preserve"> do açafrão-da-terra, abordado aqui neste estudo, elegeu a </w:t>
      </w:r>
      <w:proofErr w:type="spellStart"/>
      <w:r w:rsidRPr="00131A11">
        <w:t>curcumina</w:t>
      </w:r>
      <w:proofErr w:type="spellEnd"/>
      <w:r w:rsidRPr="00131A11">
        <w:t xml:space="preserve"> como um possível grande metabólito ativo para tratar o câncer de pulmão de </w:t>
      </w:r>
      <w:r w:rsidRPr="00131A11">
        <w:lastRenderedPageBreak/>
        <w:t xml:space="preserve">células não pequenas presente na </w:t>
      </w:r>
      <w:r w:rsidRPr="00131A11">
        <w:rPr>
          <w:i/>
        </w:rPr>
        <w:t>Curcuma longa.</w:t>
      </w:r>
      <w:r w:rsidRPr="00131A11">
        <w:t xml:space="preserve"> O </w:t>
      </w:r>
      <w:proofErr w:type="spellStart"/>
      <w:r w:rsidRPr="00131A11">
        <w:rPr>
          <w:i/>
        </w:rPr>
        <w:t>docking</w:t>
      </w:r>
      <w:proofErr w:type="spellEnd"/>
      <w:r w:rsidRPr="00131A11">
        <w:t xml:space="preserve"> da CUR evidenciou uma ancoragem no sítio ativo do receptor do fator de crescimento epidermal devido as atividades desta espécie, portanto, este marcador poderia atuar bloqueando esse receptor, apresentando possível atividade antitumoral. Não se pode afirmar que a CUR possui essa atividade, porém a farmacologia computacional permitiu afirmar que existe um potencial terapêutico da CUR para o NSCLC, o que permite o avanço para estudos </w:t>
      </w:r>
      <w:r w:rsidRPr="00131A11">
        <w:rPr>
          <w:i/>
        </w:rPr>
        <w:t xml:space="preserve">in vitro </w:t>
      </w:r>
      <w:r w:rsidRPr="00131A11">
        <w:t xml:space="preserve">e </w:t>
      </w:r>
      <w:r w:rsidRPr="00131A11">
        <w:rPr>
          <w:i/>
        </w:rPr>
        <w:t>in vivo</w:t>
      </w:r>
      <w:r w:rsidR="00131A11" w:rsidRPr="00131A11">
        <w:t>.</w:t>
      </w:r>
    </w:p>
    <w:p w14:paraId="2854BCFE" w14:textId="77777777" w:rsidR="00131A11" w:rsidRPr="00131A11" w:rsidRDefault="00131A11" w:rsidP="00710D8F">
      <w:pPr>
        <w:spacing w:line="360" w:lineRule="auto"/>
        <w:jc w:val="both"/>
      </w:pPr>
    </w:p>
    <w:p w14:paraId="0607C616" w14:textId="77777777" w:rsidR="00131A11" w:rsidRPr="00131A11" w:rsidRDefault="00131A11" w:rsidP="00710D8F">
      <w:pPr>
        <w:spacing w:line="360" w:lineRule="auto"/>
        <w:jc w:val="both"/>
      </w:pPr>
    </w:p>
    <w:p w14:paraId="7346E5E6" w14:textId="2AD3A109" w:rsidR="00131A11" w:rsidRPr="00131A11" w:rsidRDefault="00596558" w:rsidP="00710D8F">
      <w:pPr>
        <w:spacing w:line="360" w:lineRule="auto"/>
        <w:jc w:val="both"/>
      </w:pPr>
      <w:r>
        <w:rPr>
          <w:b/>
        </w:rPr>
        <w:t>Referências bibliográficas</w:t>
      </w:r>
    </w:p>
    <w:p w14:paraId="43EBBD2B" w14:textId="77777777" w:rsidR="00131A11" w:rsidRPr="00131A11" w:rsidRDefault="00131A11" w:rsidP="00710D8F">
      <w:pPr>
        <w:spacing w:line="360" w:lineRule="auto"/>
        <w:jc w:val="both"/>
      </w:pPr>
    </w:p>
    <w:p w14:paraId="124A1F0C" w14:textId="77777777" w:rsidR="00131A11" w:rsidRPr="006725DC" w:rsidRDefault="00131A11" w:rsidP="00CF53F5">
      <w:pPr>
        <w:pStyle w:val="PargrafodaLista"/>
        <w:widowControl w:val="0"/>
        <w:numPr>
          <w:ilvl w:val="0"/>
          <w:numId w:val="5"/>
        </w:numPr>
        <w:autoSpaceDE w:val="0"/>
        <w:autoSpaceDN w:val="0"/>
        <w:adjustRightInd w:val="0"/>
        <w:jc w:val="both"/>
        <w:rPr>
          <w:noProof/>
        </w:rPr>
      </w:pPr>
      <w:r w:rsidRPr="006725DC">
        <w:rPr>
          <w:noProof/>
        </w:rPr>
        <w:t xml:space="preserve">ANTUNES, R. et al. Artrite reumatoide e o uso da Cúrcuma longa L. no tratamento. </w:t>
      </w:r>
      <w:r w:rsidRPr="00CF53F5">
        <w:rPr>
          <w:b/>
          <w:bCs/>
          <w:noProof/>
        </w:rPr>
        <w:t>Revista Saúde em Foco</w:t>
      </w:r>
      <w:r w:rsidRPr="006725DC">
        <w:rPr>
          <w:noProof/>
        </w:rPr>
        <w:t xml:space="preserve">, v. 11, p. 1275–1290, 2019. </w:t>
      </w:r>
    </w:p>
    <w:p w14:paraId="4095DD0F" w14:textId="77777777" w:rsidR="00131A11" w:rsidRPr="00CF53F5" w:rsidRDefault="00131A11" w:rsidP="00CF53F5">
      <w:pPr>
        <w:pStyle w:val="PargrafodaLista"/>
        <w:widowControl w:val="0"/>
        <w:numPr>
          <w:ilvl w:val="0"/>
          <w:numId w:val="5"/>
        </w:numPr>
        <w:autoSpaceDE w:val="0"/>
        <w:autoSpaceDN w:val="0"/>
        <w:adjustRightInd w:val="0"/>
        <w:jc w:val="both"/>
        <w:rPr>
          <w:noProof/>
          <w:lang w:val="en-US"/>
        </w:rPr>
      </w:pPr>
      <w:r w:rsidRPr="00A04F36">
        <w:rPr>
          <w:noProof/>
        </w:rPr>
        <w:t xml:space="preserve">BANERJEE, Priyanka et al. </w:t>
      </w:r>
      <w:r w:rsidRPr="00CF53F5">
        <w:rPr>
          <w:noProof/>
          <w:lang w:val="en-US"/>
        </w:rPr>
        <w:t>ProTox-II: a webserver for the prediction of toxicity of chemicals. </w:t>
      </w:r>
      <w:r w:rsidRPr="00CF53F5">
        <w:rPr>
          <w:b/>
          <w:bCs/>
          <w:noProof/>
          <w:lang w:val="en-US"/>
        </w:rPr>
        <w:t>Nucleic acids research</w:t>
      </w:r>
      <w:r w:rsidRPr="00CF53F5">
        <w:rPr>
          <w:noProof/>
          <w:lang w:val="en-US"/>
        </w:rPr>
        <w:t>, v. 46, n. W1, p. W257-W263, 2018.</w:t>
      </w:r>
    </w:p>
    <w:p w14:paraId="504E7026" w14:textId="77777777" w:rsidR="00131A11" w:rsidRPr="00CF53F5" w:rsidRDefault="00131A11" w:rsidP="00CF53F5">
      <w:pPr>
        <w:pStyle w:val="PargrafodaLista"/>
        <w:widowControl w:val="0"/>
        <w:numPr>
          <w:ilvl w:val="0"/>
          <w:numId w:val="5"/>
        </w:numPr>
        <w:autoSpaceDE w:val="0"/>
        <w:autoSpaceDN w:val="0"/>
        <w:adjustRightInd w:val="0"/>
        <w:jc w:val="both"/>
        <w:rPr>
          <w:noProof/>
          <w:lang w:val="en-US"/>
        </w:rPr>
      </w:pPr>
      <w:r w:rsidRPr="00CF53F5">
        <w:rPr>
          <w:noProof/>
          <w:lang w:val="en-US"/>
        </w:rPr>
        <w:t>BERRETTA, Massimiliano et al. Use of Complementary and Alternative Medicine (CAM) in cancer patients: An Italian multicenter survey. </w:t>
      </w:r>
      <w:r w:rsidRPr="00CF53F5">
        <w:rPr>
          <w:b/>
          <w:bCs/>
          <w:noProof/>
          <w:lang w:val="en-US"/>
        </w:rPr>
        <w:t>Oncotarget</w:t>
      </w:r>
      <w:r w:rsidRPr="00CF53F5">
        <w:rPr>
          <w:noProof/>
          <w:lang w:val="en-US"/>
        </w:rPr>
        <w:t>, v. 8, n. 15, p. 24401, 2017.</w:t>
      </w:r>
    </w:p>
    <w:p w14:paraId="6C314AA1" w14:textId="77777777" w:rsidR="00131A11" w:rsidRPr="00CF53F5" w:rsidRDefault="00131A11" w:rsidP="00CF53F5">
      <w:pPr>
        <w:pStyle w:val="PargrafodaLista"/>
        <w:widowControl w:val="0"/>
        <w:numPr>
          <w:ilvl w:val="0"/>
          <w:numId w:val="5"/>
        </w:numPr>
        <w:autoSpaceDE w:val="0"/>
        <w:autoSpaceDN w:val="0"/>
        <w:adjustRightInd w:val="0"/>
        <w:jc w:val="both"/>
        <w:rPr>
          <w:noProof/>
          <w:lang w:val="en-US"/>
        </w:rPr>
      </w:pPr>
      <w:r w:rsidRPr="00CF53F5">
        <w:rPr>
          <w:rFonts w:eastAsiaTheme="minorHAnsi"/>
          <w:lang w:val="pt-PT" w:eastAsia="en-US"/>
        </w:rPr>
        <w:fldChar w:fldCharType="begin" w:fldLock="1"/>
      </w:r>
      <w:r w:rsidRPr="00CF53F5">
        <w:rPr>
          <w:lang w:val="en-US"/>
        </w:rPr>
        <w:instrText xml:space="preserve">ADDIN Mendeley Bibliography CSL_BIBLIOGRAPHY </w:instrText>
      </w:r>
      <w:r w:rsidRPr="00CF53F5">
        <w:rPr>
          <w:rFonts w:eastAsiaTheme="minorHAnsi"/>
          <w:lang w:val="pt-PT" w:eastAsia="en-US"/>
        </w:rPr>
        <w:fldChar w:fldCharType="separate"/>
      </w:r>
      <w:r w:rsidRPr="00CF53F5">
        <w:rPr>
          <w:noProof/>
          <w:lang w:val="en-US"/>
        </w:rPr>
        <w:t xml:space="preserve">BÍLEK, O. et al. Uncommon EGFR Mutations in Non-Small Cell Lung Cancer and Their Impact on the Treatment. </w:t>
      </w:r>
      <w:r w:rsidRPr="00CF53F5">
        <w:rPr>
          <w:b/>
          <w:bCs/>
          <w:noProof/>
          <w:lang w:val="en-US"/>
        </w:rPr>
        <w:t>Klinicka onkologie: casopis Ceske a Slovenske onkologicke spolecnosti</w:t>
      </w:r>
      <w:r w:rsidRPr="00CF53F5">
        <w:rPr>
          <w:noProof/>
          <w:lang w:val="en-US"/>
        </w:rPr>
        <w:t xml:space="preserve">, v. 32, n. Supplementum3, p. 6–12, 2019. </w:t>
      </w:r>
    </w:p>
    <w:p w14:paraId="20C1BDAD" w14:textId="436EEE66" w:rsidR="00CF53F5" w:rsidRPr="00CF53F5" w:rsidRDefault="00CF53F5" w:rsidP="00CF53F5">
      <w:pPr>
        <w:pStyle w:val="PargrafodaLista"/>
        <w:widowControl w:val="0"/>
        <w:numPr>
          <w:ilvl w:val="0"/>
          <w:numId w:val="5"/>
        </w:numPr>
        <w:autoSpaceDE w:val="0"/>
        <w:autoSpaceDN w:val="0"/>
        <w:adjustRightInd w:val="0"/>
        <w:jc w:val="both"/>
        <w:rPr>
          <w:noProof/>
        </w:rPr>
      </w:pPr>
      <w:r w:rsidRPr="00CF53F5">
        <w:rPr>
          <w:noProof/>
        </w:rPr>
        <w:t>Dados GLOBOCAN 2020 adquiridos no site: https://gco.iarc.fr/today/online-analysis-pie?v=2020&amp;mode=cancer&amp;mode_population=continents&amp;population=900&amp;populations=900&amp;key=total&amp;sex=0&amp;cancer=39&amp;type=0&amp;statistic=5&amp;prevalence=0&amp;population_group=0&amp;ages_group%5B%5D=0&amp;ages_group%5B%5D=17&amp;nb_items=7&amp;group_cancer=1&amp;include_nmsc=1&amp;include_nmsc_other=1&amp;half_pie=0&amp;donut=0</w:t>
      </w:r>
      <w:r>
        <w:rPr>
          <w:noProof/>
        </w:rPr>
        <w:t>.</w:t>
      </w:r>
    </w:p>
    <w:p w14:paraId="3A08E0C0" w14:textId="5B0C4011" w:rsidR="00131A11" w:rsidRPr="00CF53F5" w:rsidRDefault="00131A11" w:rsidP="00CF53F5">
      <w:pPr>
        <w:pStyle w:val="PargrafodaLista"/>
        <w:widowControl w:val="0"/>
        <w:numPr>
          <w:ilvl w:val="0"/>
          <w:numId w:val="5"/>
        </w:numPr>
        <w:autoSpaceDE w:val="0"/>
        <w:autoSpaceDN w:val="0"/>
        <w:adjustRightInd w:val="0"/>
        <w:jc w:val="both"/>
        <w:rPr>
          <w:noProof/>
          <w:lang w:val="en-US"/>
        </w:rPr>
      </w:pPr>
      <w:r w:rsidRPr="00CF53F5">
        <w:rPr>
          <w:noProof/>
          <w:lang w:val="en-US"/>
        </w:rPr>
        <w:t>DAINA, Antoine; MICHIELIN, Olivier; ZOETE, Vincent. SwissADME: a free web tool to evaluate pharmacokinetics, drug-likeness and medicinal chemistry friendliness of small molecules. </w:t>
      </w:r>
      <w:r w:rsidRPr="00CF53F5">
        <w:rPr>
          <w:b/>
          <w:bCs/>
          <w:noProof/>
          <w:lang w:val="en-US"/>
        </w:rPr>
        <w:t>Scientific reports</w:t>
      </w:r>
      <w:r w:rsidRPr="00CF53F5">
        <w:rPr>
          <w:noProof/>
          <w:lang w:val="en-US"/>
        </w:rPr>
        <w:t>, v. 7, n. 1, p. 1-13, 2017.</w:t>
      </w:r>
    </w:p>
    <w:p w14:paraId="01A2ECB6" w14:textId="77777777" w:rsidR="00131A11" w:rsidRPr="006725DC" w:rsidRDefault="00131A11" w:rsidP="00CF53F5">
      <w:pPr>
        <w:pStyle w:val="PargrafodaLista"/>
        <w:widowControl w:val="0"/>
        <w:numPr>
          <w:ilvl w:val="0"/>
          <w:numId w:val="5"/>
        </w:numPr>
        <w:autoSpaceDE w:val="0"/>
        <w:autoSpaceDN w:val="0"/>
        <w:adjustRightInd w:val="0"/>
        <w:jc w:val="both"/>
        <w:rPr>
          <w:noProof/>
        </w:rPr>
      </w:pPr>
      <w:r w:rsidRPr="00CF53F5">
        <w:rPr>
          <w:noProof/>
          <w:lang w:val="en-US"/>
        </w:rPr>
        <w:t xml:space="preserve">FADUS, M. C. et al. Curcumin: An age-old anti-inflammatory and anti-neoplastic agent. </w:t>
      </w:r>
      <w:r w:rsidRPr="00CF53F5">
        <w:rPr>
          <w:b/>
          <w:bCs/>
          <w:noProof/>
        </w:rPr>
        <w:t>Journal of Traditional and Complementary Medicine</w:t>
      </w:r>
      <w:r w:rsidRPr="006725DC">
        <w:rPr>
          <w:noProof/>
        </w:rPr>
        <w:t xml:space="preserve">, v. 7, n. 3, p. 1–8, 2016. </w:t>
      </w:r>
    </w:p>
    <w:p w14:paraId="625FB61E" w14:textId="77777777" w:rsidR="00131A11" w:rsidRPr="006725DC" w:rsidRDefault="00131A11" w:rsidP="00CF53F5">
      <w:pPr>
        <w:pStyle w:val="PargrafodaLista"/>
        <w:widowControl w:val="0"/>
        <w:numPr>
          <w:ilvl w:val="0"/>
          <w:numId w:val="5"/>
        </w:numPr>
        <w:autoSpaceDE w:val="0"/>
        <w:autoSpaceDN w:val="0"/>
        <w:adjustRightInd w:val="0"/>
        <w:jc w:val="both"/>
        <w:rPr>
          <w:noProof/>
        </w:rPr>
      </w:pPr>
      <w:r w:rsidRPr="006725DC">
        <w:rPr>
          <w:noProof/>
        </w:rPr>
        <w:t xml:space="preserve">FRAGA, L. F.; BORGES, L. L. Busca De Moléculas Com Atividade Broncodilatadora Na Espécie Mikania Glomerata Spreng Empregando Ferramentas in Silico. </w:t>
      </w:r>
      <w:r w:rsidRPr="00CF53F5">
        <w:rPr>
          <w:b/>
          <w:bCs/>
          <w:noProof/>
        </w:rPr>
        <w:t>Revista Brasileira Militar de Ciências</w:t>
      </w:r>
      <w:r w:rsidRPr="006725DC">
        <w:rPr>
          <w:noProof/>
        </w:rPr>
        <w:t>, v. 6, n. 15, p. 25–31, 2020.</w:t>
      </w:r>
    </w:p>
    <w:p w14:paraId="0CDA78FD" w14:textId="77777777" w:rsidR="00131A11" w:rsidRPr="00CF53F5" w:rsidRDefault="00131A11" w:rsidP="00CF53F5">
      <w:pPr>
        <w:pStyle w:val="PargrafodaLista"/>
        <w:widowControl w:val="0"/>
        <w:numPr>
          <w:ilvl w:val="0"/>
          <w:numId w:val="5"/>
        </w:numPr>
        <w:autoSpaceDE w:val="0"/>
        <w:autoSpaceDN w:val="0"/>
        <w:adjustRightInd w:val="0"/>
        <w:jc w:val="both"/>
        <w:rPr>
          <w:noProof/>
          <w:lang w:val="en-US"/>
        </w:rPr>
      </w:pPr>
      <w:r w:rsidRPr="00A04F36">
        <w:rPr>
          <w:noProof/>
        </w:rPr>
        <w:t xml:space="preserve">JARRAHPOUR, Aliasghar et al. </w:t>
      </w:r>
      <w:r w:rsidRPr="00CF53F5">
        <w:rPr>
          <w:noProof/>
          <w:lang w:val="en-US"/>
        </w:rPr>
        <w:t>Petra, Osiris and Molinspiration (POM) together as a successful support in drug design: antibacterial activity and biopharmaceutical characterization of some azo Schiff bases. </w:t>
      </w:r>
      <w:r w:rsidRPr="00CF53F5">
        <w:rPr>
          <w:b/>
          <w:bCs/>
          <w:noProof/>
          <w:lang w:val="en-US"/>
        </w:rPr>
        <w:t>Medicinal Chemistry Research</w:t>
      </w:r>
      <w:r w:rsidRPr="00CF53F5">
        <w:rPr>
          <w:noProof/>
          <w:lang w:val="en-US"/>
        </w:rPr>
        <w:t>, v. 21, n. 8, p. 1984-1990, 2012.</w:t>
      </w:r>
    </w:p>
    <w:p w14:paraId="346049EB" w14:textId="77777777" w:rsidR="00131A11" w:rsidRPr="00CF53F5" w:rsidRDefault="00131A11" w:rsidP="00CF53F5">
      <w:pPr>
        <w:pStyle w:val="PargrafodaLista"/>
        <w:widowControl w:val="0"/>
        <w:numPr>
          <w:ilvl w:val="0"/>
          <w:numId w:val="5"/>
        </w:numPr>
        <w:autoSpaceDE w:val="0"/>
        <w:autoSpaceDN w:val="0"/>
        <w:adjustRightInd w:val="0"/>
        <w:jc w:val="both"/>
        <w:rPr>
          <w:noProof/>
          <w:lang w:val="en-US"/>
        </w:rPr>
      </w:pPr>
      <w:r w:rsidRPr="00CF53F5">
        <w:rPr>
          <w:noProof/>
          <w:lang w:val="en-US"/>
        </w:rPr>
        <w:t>JONES, Gareth et al. Development and validation of a genetic algorithm for flexible docking. </w:t>
      </w:r>
      <w:r w:rsidRPr="00CF53F5">
        <w:rPr>
          <w:b/>
          <w:bCs/>
          <w:noProof/>
          <w:lang w:val="en-US"/>
        </w:rPr>
        <w:t>Journal of molecular biology</w:t>
      </w:r>
      <w:r w:rsidRPr="00CF53F5">
        <w:rPr>
          <w:noProof/>
          <w:lang w:val="en-US"/>
        </w:rPr>
        <w:t>, v. 267, n. 3, p. 727-748, 1997.</w:t>
      </w:r>
    </w:p>
    <w:p w14:paraId="6D008533" w14:textId="77777777" w:rsidR="00131A11" w:rsidRPr="00CF53F5" w:rsidRDefault="00131A11" w:rsidP="00CF53F5">
      <w:pPr>
        <w:pStyle w:val="PargrafodaLista"/>
        <w:widowControl w:val="0"/>
        <w:numPr>
          <w:ilvl w:val="0"/>
          <w:numId w:val="5"/>
        </w:numPr>
        <w:autoSpaceDE w:val="0"/>
        <w:autoSpaceDN w:val="0"/>
        <w:adjustRightInd w:val="0"/>
        <w:jc w:val="both"/>
        <w:rPr>
          <w:noProof/>
          <w:lang w:val="en-US"/>
        </w:rPr>
      </w:pPr>
      <w:r w:rsidRPr="00CF53F5">
        <w:rPr>
          <w:noProof/>
          <w:lang w:val="en-US"/>
        </w:rPr>
        <w:t xml:space="preserve">LI, S. Chemical Composition and Product Quality Control of Turmeric (Curcuma longa L.). </w:t>
      </w:r>
      <w:r w:rsidRPr="00CF53F5">
        <w:rPr>
          <w:b/>
          <w:bCs/>
          <w:noProof/>
          <w:lang w:val="en-US"/>
        </w:rPr>
        <w:t>Pharmaceutical Crops</w:t>
      </w:r>
      <w:r w:rsidRPr="00CF53F5">
        <w:rPr>
          <w:noProof/>
          <w:lang w:val="en-US"/>
        </w:rPr>
        <w:t xml:space="preserve">, v. 2, n. 1, p. 28–54, 2011. </w:t>
      </w:r>
    </w:p>
    <w:p w14:paraId="4802E4A5" w14:textId="77777777" w:rsidR="00131A11" w:rsidRPr="00CF53F5" w:rsidRDefault="00131A11" w:rsidP="00CF53F5">
      <w:pPr>
        <w:pStyle w:val="PargrafodaLista"/>
        <w:widowControl w:val="0"/>
        <w:numPr>
          <w:ilvl w:val="0"/>
          <w:numId w:val="5"/>
        </w:numPr>
        <w:autoSpaceDE w:val="0"/>
        <w:autoSpaceDN w:val="0"/>
        <w:adjustRightInd w:val="0"/>
        <w:jc w:val="both"/>
        <w:rPr>
          <w:noProof/>
          <w:lang w:val="en-US"/>
        </w:rPr>
      </w:pPr>
      <w:r w:rsidRPr="00CF53F5">
        <w:rPr>
          <w:noProof/>
          <w:lang w:val="en-US"/>
        </w:rPr>
        <w:t xml:space="preserve">LIU, X. et al. Epidermal growth factor receptor (EGFR): A rising star in the era of precision medicine of lung cancer. </w:t>
      </w:r>
      <w:r w:rsidRPr="00CF53F5">
        <w:rPr>
          <w:b/>
          <w:bCs/>
          <w:noProof/>
          <w:lang w:val="en-US"/>
        </w:rPr>
        <w:t>Oncotarget</w:t>
      </w:r>
      <w:r w:rsidRPr="00CF53F5">
        <w:rPr>
          <w:noProof/>
          <w:lang w:val="en-US"/>
        </w:rPr>
        <w:t xml:space="preserve">, v. 8, n. 30, p. 50209–50220, 2017. </w:t>
      </w:r>
    </w:p>
    <w:p w14:paraId="0B6E53F4" w14:textId="0D81C510" w:rsidR="00CF53F5" w:rsidRPr="00CF53F5" w:rsidRDefault="00CF53F5" w:rsidP="00CF53F5">
      <w:pPr>
        <w:pStyle w:val="PargrafodaLista"/>
        <w:widowControl w:val="0"/>
        <w:numPr>
          <w:ilvl w:val="0"/>
          <w:numId w:val="5"/>
        </w:numPr>
        <w:autoSpaceDE w:val="0"/>
        <w:autoSpaceDN w:val="0"/>
        <w:adjustRightInd w:val="0"/>
        <w:jc w:val="both"/>
        <w:rPr>
          <w:noProof/>
          <w:lang w:val="en-US"/>
        </w:rPr>
      </w:pPr>
      <w:r w:rsidRPr="00CF53F5">
        <w:rPr>
          <w:noProof/>
          <w:lang w:val="en-US"/>
        </w:rPr>
        <w:t>LIPINSKI, Christopher A. et al. Experimental and computational approaches to estimate solubility and permeability in drug discovery and development settings. </w:t>
      </w:r>
      <w:r w:rsidRPr="00CF53F5">
        <w:rPr>
          <w:b/>
          <w:bCs/>
          <w:noProof/>
          <w:lang w:val="en-US"/>
        </w:rPr>
        <w:t>Advanced drug delivery reviews</w:t>
      </w:r>
      <w:r w:rsidRPr="00CF53F5">
        <w:rPr>
          <w:noProof/>
          <w:lang w:val="en-US"/>
        </w:rPr>
        <w:t>, v. 23, n. 1-3, p. 3-25, 1997.</w:t>
      </w:r>
    </w:p>
    <w:p w14:paraId="56641C7F" w14:textId="77777777" w:rsidR="00131A11" w:rsidRPr="00CF53F5" w:rsidRDefault="00131A11" w:rsidP="00CF53F5">
      <w:pPr>
        <w:pStyle w:val="PargrafodaLista"/>
        <w:widowControl w:val="0"/>
        <w:numPr>
          <w:ilvl w:val="0"/>
          <w:numId w:val="5"/>
        </w:numPr>
        <w:autoSpaceDE w:val="0"/>
        <w:autoSpaceDN w:val="0"/>
        <w:adjustRightInd w:val="0"/>
        <w:jc w:val="both"/>
        <w:rPr>
          <w:noProof/>
          <w:lang w:val="en-US"/>
        </w:rPr>
      </w:pPr>
      <w:r w:rsidRPr="00CF53F5">
        <w:rPr>
          <w:noProof/>
          <w:lang w:val="en-US"/>
        </w:rPr>
        <w:lastRenderedPageBreak/>
        <w:t xml:space="preserve">MAHMOOD, K. et al. Recent developments in curcumin and curcumin based polymeric materials for biomedical applications: A review. </w:t>
      </w:r>
      <w:r w:rsidRPr="00CF53F5">
        <w:rPr>
          <w:b/>
          <w:bCs/>
          <w:noProof/>
          <w:lang w:val="en-US"/>
        </w:rPr>
        <w:t>International Journal of Biological Macromolecules</w:t>
      </w:r>
      <w:r w:rsidRPr="00CF53F5">
        <w:rPr>
          <w:noProof/>
          <w:lang w:val="en-US"/>
        </w:rPr>
        <w:t xml:space="preserve">, p. 1–65, 2015. </w:t>
      </w:r>
    </w:p>
    <w:p w14:paraId="2C58DF8D" w14:textId="50D16075" w:rsidR="00CF53F5" w:rsidRPr="00CF53F5" w:rsidRDefault="00CF53F5" w:rsidP="00CF53F5">
      <w:pPr>
        <w:pStyle w:val="PargrafodaLista"/>
        <w:widowControl w:val="0"/>
        <w:numPr>
          <w:ilvl w:val="0"/>
          <w:numId w:val="5"/>
        </w:numPr>
        <w:autoSpaceDE w:val="0"/>
        <w:autoSpaceDN w:val="0"/>
        <w:adjustRightInd w:val="0"/>
        <w:jc w:val="both"/>
        <w:rPr>
          <w:noProof/>
          <w:lang w:val="en-US"/>
        </w:rPr>
      </w:pPr>
      <w:r w:rsidRPr="00CF53F5">
        <w:rPr>
          <w:noProof/>
          <w:lang w:val="en-US"/>
        </w:rPr>
        <w:t>NICKEL, Janette et al. SuperPred: update on drug classification and target prediction. </w:t>
      </w:r>
      <w:r w:rsidRPr="00CF53F5">
        <w:rPr>
          <w:b/>
          <w:bCs/>
          <w:noProof/>
          <w:lang w:val="en-US"/>
        </w:rPr>
        <w:t>Nucleic acids research</w:t>
      </w:r>
      <w:r w:rsidRPr="00CF53F5">
        <w:rPr>
          <w:noProof/>
          <w:lang w:val="en-US"/>
        </w:rPr>
        <w:t>, v. 42, n. W1, p. W26-W31, 2014.</w:t>
      </w:r>
    </w:p>
    <w:p w14:paraId="59A61BE9" w14:textId="77777777" w:rsidR="00131A11" w:rsidRPr="00CF53F5" w:rsidRDefault="00131A11" w:rsidP="00CF53F5">
      <w:pPr>
        <w:pStyle w:val="PargrafodaLista"/>
        <w:widowControl w:val="0"/>
        <w:numPr>
          <w:ilvl w:val="0"/>
          <w:numId w:val="5"/>
        </w:numPr>
        <w:autoSpaceDE w:val="0"/>
        <w:autoSpaceDN w:val="0"/>
        <w:adjustRightInd w:val="0"/>
        <w:jc w:val="both"/>
        <w:rPr>
          <w:noProof/>
          <w:lang w:val="en-US"/>
        </w:rPr>
      </w:pPr>
      <w:r w:rsidRPr="00CF53F5">
        <w:rPr>
          <w:noProof/>
          <w:lang w:val="en-US"/>
        </w:rPr>
        <w:t xml:space="preserve">RAVINDRAN, J.; PRASAD, S.; AGGARWAL, B. B. Curcumin and cancer cells: How many ways can curry kill tumor cells selectively? </w:t>
      </w:r>
      <w:r w:rsidRPr="00CF53F5">
        <w:rPr>
          <w:b/>
          <w:bCs/>
          <w:noProof/>
          <w:lang w:val="en-US"/>
        </w:rPr>
        <w:t>AAPS Journal</w:t>
      </w:r>
      <w:r w:rsidRPr="00CF53F5">
        <w:rPr>
          <w:noProof/>
          <w:lang w:val="en-US"/>
        </w:rPr>
        <w:t xml:space="preserve">, v. 11, n. 3, p. 495–510, 2009. </w:t>
      </w:r>
    </w:p>
    <w:p w14:paraId="5489A970" w14:textId="77777777" w:rsidR="00131A11" w:rsidRPr="00CF53F5" w:rsidRDefault="00131A11" w:rsidP="00CF53F5">
      <w:pPr>
        <w:pStyle w:val="PargrafodaLista"/>
        <w:widowControl w:val="0"/>
        <w:numPr>
          <w:ilvl w:val="0"/>
          <w:numId w:val="5"/>
        </w:numPr>
        <w:autoSpaceDE w:val="0"/>
        <w:autoSpaceDN w:val="0"/>
        <w:adjustRightInd w:val="0"/>
        <w:jc w:val="both"/>
        <w:rPr>
          <w:noProof/>
          <w:lang w:val="en-US"/>
        </w:rPr>
      </w:pPr>
      <w:r w:rsidRPr="00CF53F5">
        <w:rPr>
          <w:noProof/>
          <w:lang w:val="en-US"/>
        </w:rPr>
        <w:t xml:space="preserve">SALEHI, B. et al. The therapeutic potential of curcumin: A review of clinical trials. </w:t>
      </w:r>
      <w:r w:rsidRPr="00CF53F5">
        <w:rPr>
          <w:b/>
          <w:bCs/>
          <w:noProof/>
          <w:lang w:val="en-US"/>
        </w:rPr>
        <w:t>European journal of medicinal chemistry</w:t>
      </w:r>
      <w:r w:rsidRPr="00CF53F5">
        <w:rPr>
          <w:noProof/>
          <w:lang w:val="en-US"/>
        </w:rPr>
        <w:t xml:space="preserve">, v. 163, p. 527–545, 2019. </w:t>
      </w:r>
    </w:p>
    <w:p w14:paraId="403607D4" w14:textId="77777777" w:rsidR="00131A11" w:rsidRPr="00CF53F5" w:rsidRDefault="00131A11" w:rsidP="00CF53F5">
      <w:pPr>
        <w:pStyle w:val="PargrafodaLista"/>
        <w:widowControl w:val="0"/>
        <w:numPr>
          <w:ilvl w:val="0"/>
          <w:numId w:val="5"/>
        </w:numPr>
        <w:autoSpaceDE w:val="0"/>
        <w:autoSpaceDN w:val="0"/>
        <w:adjustRightInd w:val="0"/>
        <w:jc w:val="both"/>
        <w:rPr>
          <w:noProof/>
          <w:lang w:val="en-US"/>
        </w:rPr>
      </w:pPr>
      <w:r w:rsidRPr="00CF53F5">
        <w:rPr>
          <w:noProof/>
          <w:lang w:val="en-US"/>
        </w:rPr>
        <w:t>SCHNEIDMAN-DUHOVNY, Dina et al. PharmaGist: a webserver for ligand-based pharmacophore detection. </w:t>
      </w:r>
      <w:r w:rsidRPr="00CF53F5">
        <w:rPr>
          <w:b/>
          <w:bCs/>
          <w:noProof/>
          <w:lang w:val="en-US"/>
        </w:rPr>
        <w:t>Nucleic acids research</w:t>
      </w:r>
      <w:r w:rsidRPr="00CF53F5">
        <w:rPr>
          <w:noProof/>
          <w:lang w:val="en-US"/>
        </w:rPr>
        <w:t>, v. 36, n. suppl_2, p. W223-W228, 2008.</w:t>
      </w:r>
    </w:p>
    <w:p w14:paraId="73D71732" w14:textId="77777777" w:rsidR="00131A11" w:rsidRPr="00CF53F5" w:rsidRDefault="00131A11" w:rsidP="00CF53F5">
      <w:pPr>
        <w:pStyle w:val="PargrafodaLista"/>
        <w:widowControl w:val="0"/>
        <w:numPr>
          <w:ilvl w:val="0"/>
          <w:numId w:val="5"/>
        </w:numPr>
        <w:autoSpaceDE w:val="0"/>
        <w:autoSpaceDN w:val="0"/>
        <w:adjustRightInd w:val="0"/>
        <w:jc w:val="both"/>
        <w:rPr>
          <w:noProof/>
          <w:lang w:val="en-US"/>
        </w:rPr>
      </w:pPr>
      <w:r w:rsidRPr="00CF53F5">
        <w:rPr>
          <w:noProof/>
          <w:lang w:val="en-US"/>
        </w:rPr>
        <w:t xml:space="preserve">VALLIANOU, N. G. et al. Potential Anticancer Properties and Mechanisms of Action of Curcumin. </w:t>
      </w:r>
      <w:r w:rsidRPr="00CF53F5">
        <w:rPr>
          <w:b/>
          <w:bCs/>
          <w:noProof/>
          <w:lang w:val="en-US"/>
        </w:rPr>
        <w:t>Anticancer Research</w:t>
      </w:r>
      <w:r w:rsidRPr="00CF53F5">
        <w:rPr>
          <w:noProof/>
          <w:lang w:val="en-US"/>
        </w:rPr>
        <w:t xml:space="preserve">, v. 35, p. 645–652, 2015. </w:t>
      </w:r>
    </w:p>
    <w:p w14:paraId="1DA1C86F" w14:textId="77777777" w:rsidR="00131A11" w:rsidRPr="00CF53F5" w:rsidRDefault="00131A11" w:rsidP="00CF53F5">
      <w:pPr>
        <w:pStyle w:val="PargrafodaLista"/>
        <w:widowControl w:val="0"/>
        <w:numPr>
          <w:ilvl w:val="0"/>
          <w:numId w:val="5"/>
        </w:numPr>
        <w:autoSpaceDE w:val="0"/>
        <w:autoSpaceDN w:val="0"/>
        <w:adjustRightInd w:val="0"/>
        <w:jc w:val="both"/>
        <w:rPr>
          <w:noProof/>
          <w:lang w:val="en-US"/>
        </w:rPr>
      </w:pPr>
      <w:r w:rsidRPr="00CF53F5">
        <w:rPr>
          <w:noProof/>
          <w:lang w:val="en-US"/>
        </w:rPr>
        <w:t xml:space="preserve">WILLENBACHER, E. et al. Curcumin: New insights into an ancient ingredient against cancer. </w:t>
      </w:r>
      <w:r w:rsidRPr="00CF53F5">
        <w:rPr>
          <w:b/>
          <w:bCs/>
          <w:noProof/>
          <w:lang w:val="en-US"/>
        </w:rPr>
        <w:t>International Journal of Molecular Sciences</w:t>
      </w:r>
      <w:r w:rsidRPr="00CF53F5">
        <w:rPr>
          <w:noProof/>
          <w:lang w:val="en-US"/>
        </w:rPr>
        <w:t xml:space="preserve">, v. 20, n. 8, p. 1–13, 2019. </w:t>
      </w:r>
    </w:p>
    <w:p w14:paraId="62931A1F" w14:textId="77777777" w:rsidR="00131A11" w:rsidRPr="006725DC" w:rsidRDefault="00131A11" w:rsidP="00CF53F5">
      <w:pPr>
        <w:pStyle w:val="PargrafodaLista"/>
        <w:widowControl w:val="0"/>
        <w:numPr>
          <w:ilvl w:val="0"/>
          <w:numId w:val="5"/>
        </w:numPr>
        <w:autoSpaceDE w:val="0"/>
        <w:autoSpaceDN w:val="0"/>
        <w:adjustRightInd w:val="0"/>
        <w:jc w:val="both"/>
        <w:rPr>
          <w:noProof/>
        </w:rPr>
      </w:pPr>
      <w:r w:rsidRPr="00131A11">
        <w:fldChar w:fldCharType="begin" w:fldLock="1"/>
      </w:r>
      <w:r w:rsidRPr="006725DC">
        <w:instrText xml:space="preserve">ADDIN Mendeley Bibliography CSL_BIBLIOGRAPHY </w:instrText>
      </w:r>
      <w:r w:rsidRPr="00131A11">
        <w:fldChar w:fldCharType="separate"/>
      </w:r>
      <w:r w:rsidRPr="006725DC">
        <w:rPr>
          <w:noProof/>
        </w:rPr>
        <w:t xml:space="preserve">XU, G. et al. 4-Amino-6-arylamino-pyrimidine-5-carbaldehyde hydrazones as potent ErbB-2/EGFR dual kinase inhibitors. </w:t>
      </w:r>
      <w:r w:rsidRPr="00CF53F5">
        <w:rPr>
          <w:b/>
          <w:bCs/>
          <w:noProof/>
        </w:rPr>
        <w:t>Bioorganic and Medicinal Chemistry Letters</w:t>
      </w:r>
      <w:r w:rsidRPr="006725DC">
        <w:rPr>
          <w:noProof/>
        </w:rPr>
        <w:t xml:space="preserve">, v. 18, n. 16, p. 4615–4619, 2008. </w:t>
      </w:r>
    </w:p>
    <w:p w14:paraId="405E0242" w14:textId="77777777" w:rsidR="00131A11" w:rsidRPr="00131A11" w:rsidRDefault="00131A11" w:rsidP="00CF53F5">
      <w:pPr>
        <w:pStyle w:val="PargrafodaLista"/>
        <w:numPr>
          <w:ilvl w:val="0"/>
          <w:numId w:val="5"/>
        </w:numPr>
        <w:rPr>
          <w:noProof/>
          <w:lang w:val="en-US"/>
        </w:rPr>
      </w:pPr>
      <w:r w:rsidRPr="00131A11">
        <w:fldChar w:fldCharType="end"/>
      </w:r>
      <w:r w:rsidRPr="00131A11">
        <w:rPr>
          <w:noProof/>
          <w:lang w:val="en-US"/>
        </w:rPr>
        <w:t xml:space="preserve">ZACHARIS, C. K.; MARKOPOULOU, C. K. Recent trends in pharmaceutical analytical chemistry. </w:t>
      </w:r>
      <w:r w:rsidRPr="00131A11">
        <w:rPr>
          <w:b/>
          <w:bCs/>
          <w:noProof/>
          <w:lang w:val="en-US"/>
        </w:rPr>
        <w:t>Molecules</w:t>
      </w:r>
      <w:r w:rsidRPr="00131A11">
        <w:rPr>
          <w:noProof/>
          <w:lang w:val="en-US"/>
        </w:rPr>
        <w:t xml:space="preserve">, v. 25, n. 3560, p. 1–4, 2020. </w:t>
      </w:r>
    </w:p>
    <w:p w14:paraId="45C4E82D" w14:textId="71898680" w:rsidR="00131A11" w:rsidRPr="00131A11" w:rsidRDefault="00131A11" w:rsidP="00201A24">
      <w:pPr>
        <w:jc w:val="both"/>
        <w:sectPr w:rsidR="00131A11" w:rsidRPr="00131A11">
          <w:footerReference w:type="even" r:id="rId13"/>
          <w:footerReference w:type="default" r:id="rId14"/>
          <w:pgSz w:w="11906" w:h="16838"/>
          <w:pgMar w:top="1417" w:right="1701" w:bottom="1417" w:left="1701" w:header="708" w:footer="708" w:gutter="0"/>
          <w:cols w:space="708"/>
          <w:docGrid w:linePitch="360"/>
        </w:sectPr>
      </w:pPr>
      <w:r w:rsidRPr="00131A11">
        <w:rPr>
          <w:lang w:val="pt-PT"/>
        </w:rPr>
        <w:fldChar w:fldCharType="end"/>
      </w:r>
    </w:p>
    <w:p w14:paraId="2152FF16" w14:textId="7FE85BC8" w:rsidR="00CB1237" w:rsidRPr="009C1D7E" w:rsidRDefault="00CB1237" w:rsidP="0049239E">
      <w:pPr>
        <w:shd w:val="clear" w:color="auto" w:fill="FFFFFF"/>
        <w:spacing w:line="360" w:lineRule="auto"/>
        <w:jc w:val="both"/>
        <w:rPr>
          <w:rFonts w:ascii="Arial" w:eastAsia="Times New Roman" w:hAnsi="Arial" w:cs="Arial"/>
        </w:rPr>
      </w:pPr>
    </w:p>
    <w:sectPr w:rsidR="00CB1237" w:rsidRPr="009C1D7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F3653" w14:textId="77777777" w:rsidR="00AA3280" w:rsidRDefault="00AA3280" w:rsidP="00FE2723">
      <w:r>
        <w:separator/>
      </w:r>
    </w:p>
  </w:endnote>
  <w:endnote w:type="continuationSeparator" w:id="0">
    <w:p w14:paraId="21543F30" w14:textId="77777777" w:rsidR="00AA3280" w:rsidRDefault="00AA3280" w:rsidP="00FE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DA08F" w14:textId="77777777" w:rsidR="00FE2723" w:rsidRDefault="00FE2723" w:rsidP="00996D23">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9239E">
      <w:rPr>
        <w:rStyle w:val="Nmerodepgina"/>
        <w:noProof/>
      </w:rPr>
      <w:t>8</w:t>
    </w:r>
    <w:r>
      <w:rPr>
        <w:rStyle w:val="Nmerodepgina"/>
      </w:rPr>
      <w:fldChar w:fldCharType="end"/>
    </w:r>
  </w:p>
  <w:p w14:paraId="079226F8" w14:textId="77777777" w:rsidR="00FE2723" w:rsidRDefault="00FE2723" w:rsidP="00FE272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F97A6" w14:textId="77777777" w:rsidR="00FE2723" w:rsidRDefault="00FE2723" w:rsidP="00996D23">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76785">
      <w:rPr>
        <w:rStyle w:val="Nmerodepgina"/>
        <w:noProof/>
      </w:rPr>
      <w:t>15</w:t>
    </w:r>
    <w:r>
      <w:rPr>
        <w:rStyle w:val="Nmerodepgina"/>
      </w:rPr>
      <w:fldChar w:fldCharType="end"/>
    </w:r>
  </w:p>
  <w:p w14:paraId="7D9A3E93" w14:textId="77777777" w:rsidR="00FE2723" w:rsidRDefault="00FE2723" w:rsidP="00FE2723">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17542" w14:textId="77777777" w:rsidR="00AA3280" w:rsidRDefault="00AA3280" w:rsidP="00FE2723">
      <w:r>
        <w:separator/>
      </w:r>
    </w:p>
  </w:footnote>
  <w:footnote w:type="continuationSeparator" w:id="0">
    <w:p w14:paraId="7241ECE7" w14:textId="77777777" w:rsidR="00AA3280" w:rsidRDefault="00AA3280" w:rsidP="00FE2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C0DA0"/>
    <w:multiLevelType w:val="hybridMultilevel"/>
    <w:tmpl w:val="DF5AFD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5A9788A"/>
    <w:multiLevelType w:val="hybridMultilevel"/>
    <w:tmpl w:val="3E5E213A"/>
    <w:lvl w:ilvl="0" w:tplc="07C8CB06">
      <w:start w:val="1"/>
      <w:numFmt w:val="bullet"/>
      <w:lvlText w:val="•"/>
      <w:lvlJc w:val="left"/>
      <w:pPr>
        <w:tabs>
          <w:tab w:val="num" w:pos="720"/>
        </w:tabs>
        <w:ind w:left="720" w:hanging="360"/>
      </w:pPr>
      <w:rPr>
        <w:rFonts w:ascii="Arial" w:hAnsi="Arial" w:hint="default"/>
      </w:rPr>
    </w:lvl>
    <w:lvl w:ilvl="1" w:tplc="3C261294" w:tentative="1">
      <w:start w:val="1"/>
      <w:numFmt w:val="bullet"/>
      <w:lvlText w:val="•"/>
      <w:lvlJc w:val="left"/>
      <w:pPr>
        <w:tabs>
          <w:tab w:val="num" w:pos="1440"/>
        </w:tabs>
        <w:ind w:left="1440" w:hanging="360"/>
      </w:pPr>
      <w:rPr>
        <w:rFonts w:ascii="Arial" w:hAnsi="Arial" w:hint="default"/>
      </w:rPr>
    </w:lvl>
    <w:lvl w:ilvl="2" w:tplc="26CE1A3A" w:tentative="1">
      <w:start w:val="1"/>
      <w:numFmt w:val="bullet"/>
      <w:lvlText w:val="•"/>
      <w:lvlJc w:val="left"/>
      <w:pPr>
        <w:tabs>
          <w:tab w:val="num" w:pos="2160"/>
        </w:tabs>
        <w:ind w:left="2160" w:hanging="360"/>
      </w:pPr>
      <w:rPr>
        <w:rFonts w:ascii="Arial" w:hAnsi="Arial" w:hint="default"/>
      </w:rPr>
    </w:lvl>
    <w:lvl w:ilvl="3" w:tplc="A14C5990" w:tentative="1">
      <w:start w:val="1"/>
      <w:numFmt w:val="bullet"/>
      <w:lvlText w:val="•"/>
      <w:lvlJc w:val="left"/>
      <w:pPr>
        <w:tabs>
          <w:tab w:val="num" w:pos="2880"/>
        </w:tabs>
        <w:ind w:left="2880" w:hanging="360"/>
      </w:pPr>
      <w:rPr>
        <w:rFonts w:ascii="Arial" w:hAnsi="Arial" w:hint="default"/>
      </w:rPr>
    </w:lvl>
    <w:lvl w:ilvl="4" w:tplc="736EBCA4" w:tentative="1">
      <w:start w:val="1"/>
      <w:numFmt w:val="bullet"/>
      <w:lvlText w:val="•"/>
      <w:lvlJc w:val="left"/>
      <w:pPr>
        <w:tabs>
          <w:tab w:val="num" w:pos="3600"/>
        </w:tabs>
        <w:ind w:left="3600" w:hanging="360"/>
      </w:pPr>
      <w:rPr>
        <w:rFonts w:ascii="Arial" w:hAnsi="Arial" w:hint="default"/>
      </w:rPr>
    </w:lvl>
    <w:lvl w:ilvl="5" w:tplc="57F6D5C4" w:tentative="1">
      <w:start w:val="1"/>
      <w:numFmt w:val="bullet"/>
      <w:lvlText w:val="•"/>
      <w:lvlJc w:val="left"/>
      <w:pPr>
        <w:tabs>
          <w:tab w:val="num" w:pos="4320"/>
        </w:tabs>
        <w:ind w:left="4320" w:hanging="360"/>
      </w:pPr>
      <w:rPr>
        <w:rFonts w:ascii="Arial" w:hAnsi="Arial" w:hint="default"/>
      </w:rPr>
    </w:lvl>
    <w:lvl w:ilvl="6" w:tplc="56EE52F0" w:tentative="1">
      <w:start w:val="1"/>
      <w:numFmt w:val="bullet"/>
      <w:lvlText w:val="•"/>
      <w:lvlJc w:val="left"/>
      <w:pPr>
        <w:tabs>
          <w:tab w:val="num" w:pos="5040"/>
        </w:tabs>
        <w:ind w:left="5040" w:hanging="360"/>
      </w:pPr>
      <w:rPr>
        <w:rFonts w:ascii="Arial" w:hAnsi="Arial" w:hint="default"/>
      </w:rPr>
    </w:lvl>
    <w:lvl w:ilvl="7" w:tplc="402E798A" w:tentative="1">
      <w:start w:val="1"/>
      <w:numFmt w:val="bullet"/>
      <w:lvlText w:val="•"/>
      <w:lvlJc w:val="left"/>
      <w:pPr>
        <w:tabs>
          <w:tab w:val="num" w:pos="5760"/>
        </w:tabs>
        <w:ind w:left="5760" w:hanging="360"/>
      </w:pPr>
      <w:rPr>
        <w:rFonts w:ascii="Arial" w:hAnsi="Arial" w:hint="default"/>
      </w:rPr>
    </w:lvl>
    <w:lvl w:ilvl="8" w:tplc="00621700" w:tentative="1">
      <w:start w:val="1"/>
      <w:numFmt w:val="bullet"/>
      <w:lvlText w:val="•"/>
      <w:lvlJc w:val="left"/>
      <w:pPr>
        <w:tabs>
          <w:tab w:val="num" w:pos="6480"/>
        </w:tabs>
        <w:ind w:left="6480" w:hanging="360"/>
      </w:pPr>
      <w:rPr>
        <w:rFonts w:ascii="Arial" w:hAnsi="Arial" w:hint="default"/>
      </w:rPr>
    </w:lvl>
  </w:abstractNum>
  <w:abstractNum w:abstractNumId="2">
    <w:nsid w:val="3B4F7828"/>
    <w:multiLevelType w:val="hybridMultilevel"/>
    <w:tmpl w:val="0636881E"/>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3F96010"/>
    <w:multiLevelType w:val="hybridMultilevel"/>
    <w:tmpl w:val="0E5A16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7676038"/>
    <w:multiLevelType w:val="hybridMultilevel"/>
    <w:tmpl w:val="0636881E"/>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691"/>
    <w:rsid w:val="00000DD4"/>
    <w:rsid w:val="00002B9A"/>
    <w:rsid w:val="00012B38"/>
    <w:rsid w:val="00013D2A"/>
    <w:rsid w:val="00023E91"/>
    <w:rsid w:val="00033839"/>
    <w:rsid w:val="00034297"/>
    <w:rsid w:val="000404C5"/>
    <w:rsid w:val="00043321"/>
    <w:rsid w:val="000453F2"/>
    <w:rsid w:val="00062760"/>
    <w:rsid w:val="00062C56"/>
    <w:rsid w:val="00064D60"/>
    <w:rsid w:val="0006790E"/>
    <w:rsid w:val="00081C3A"/>
    <w:rsid w:val="00084F50"/>
    <w:rsid w:val="0009147B"/>
    <w:rsid w:val="00097047"/>
    <w:rsid w:val="000A0F95"/>
    <w:rsid w:val="000A28F8"/>
    <w:rsid w:val="000B213B"/>
    <w:rsid w:val="000B5260"/>
    <w:rsid w:val="000B5F6E"/>
    <w:rsid w:val="000C2EEB"/>
    <w:rsid w:val="000C6DCB"/>
    <w:rsid w:val="000D2B1C"/>
    <w:rsid w:val="000D437D"/>
    <w:rsid w:val="000D7D0E"/>
    <w:rsid w:val="000E0A8D"/>
    <w:rsid w:val="000E4DF2"/>
    <w:rsid w:val="000F2199"/>
    <w:rsid w:val="000F33C5"/>
    <w:rsid w:val="000F42A3"/>
    <w:rsid w:val="000F43C2"/>
    <w:rsid w:val="000F4E8C"/>
    <w:rsid w:val="000F6585"/>
    <w:rsid w:val="001054B9"/>
    <w:rsid w:val="001071BE"/>
    <w:rsid w:val="00113F39"/>
    <w:rsid w:val="00122B70"/>
    <w:rsid w:val="001271E4"/>
    <w:rsid w:val="00131A11"/>
    <w:rsid w:val="00131D30"/>
    <w:rsid w:val="001322BD"/>
    <w:rsid w:val="001355F9"/>
    <w:rsid w:val="0013713C"/>
    <w:rsid w:val="00151293"/>
    <w:rsid w:val="00151F90"/>
    <w:rsid w:val="00156CEF"/>
    <w:rsid w:val="001571AB"/>
    <w:rsid w:val="00162544"/>
    <w:rsid w:val="001626EB"/>
    <w:rsid w:val="00170A66"/>
    <w:rsid w:val="00170E2A"/>
    <w:rsid w:val="00173B19"/>
    <w:rsid w:val="00174D32"/>
    <w:rsid w:val="00192B2C"/>
    <w:rsid w:val="001A40D5"/>
    <w:rsid w:val="001A5AD1"/>
    <w:rsid w:val="001A62AD"/>
    <w:rsid w:val="001A781F"/>
    <w:rsid w:val="001B1EC6"/>
    <w:rsid w:val="001B431F"/>
    <w:rsid w:val="001C256D"/>
    <w:rsid w:val="001C2F84"/>
    <w:rsid w:val="001E700E"/>
    <w:rsid w:val="001F5706"/>
    <w:rsid w:val="00200626"/>
    <w:rsid w:val="00201A24"/>
    <w:rsid w:val="00207EAD"/>
    <w:rsid w:val="0022251C"/>
    <w:rsid w:val="00240D9D"/>
    <w:rsid w:val="0024106E"/>
    <w:rsid w:val="00244A2D"/>
    <w:rsid w:val="0024713D"/>
    <w:rsid w:val="00254403"/>
    <w:rsid w:val="00254767"/>
    <w:rsid w:val="0027158C"/>
    <w:rsid w:val="00272F21"/>
    <w:rsid w:val="002814E6"/>
    <w:rsid w:val="00281C01"/>
    <w:rsid w:val="00285293"/>
    <w:rsid w:val="00290A5D"/>
    <w:rsid w:val="00291446"/>
    <w:rsid w:val="002A5AC9"/>
    <w:rsid w:val="002A7027"/>
    <w:rsid w:val="002A782C"/>
    <w:rsid w:val="002B20DB"/>
    <w:rsid w:val="002B2134"/>
    <w:rsid w:val="002B3621"/>
    <w:rsid w:val="002B7E0D"/>
    <w:rsid w:val="002C0E56"/>
    <w:rsid w:val="002C2E9E"/>
    <w:rsid w:val="002C3D65"/>
    <w:rsid w:val="002D77C3"/>
    <w:rsid w:val="002E00FA"/>
    <w:rsid w:val="002E3102"/>
    <w:rsid w:val="002E6BA4"/>
    <w:rsid w:val="002F7F18"/>
    <w:rsid w:val="00301843"/>
    <w:rsid w:val="003058C6"/>
    <w:rsid w:val="00310140"/>
    <w:rsid w:val="00311073"/>
    <w:rsid w:val="00323601"/>
    <w:rsid w:val="003245B6"/>
    <w:rsid w:val="0033548A"/>
    <w:rsid w:val="00336C1E"/>
    <w:rsid w:val="00343CA0"/>
    <w:rsid w:val="0034653D"/>
    <w:rsid w:val="00354D51"/>
    <w:rsid w:val="00366484"/>
    <w:rsid w:val="00371A6A"/>
    <w:rsid w:val="00374F50"/>
    <w:rsid w:val="003754FD"/>
    <w:rsid w:val="00380519"/>
    <w:rsid w:val="00383F3C"/>
    <w:rsid w:val="00385CA9"/>
    <w:rsid w:val="00393D39"/>
    <w:rsid w:val="003A1B47"/>
    <w:rsid w:val="003B1D35"/>
    <w:rsid w:val="003C6982"/>
    <w:rsid w:val="003E378E"/>
    <w:rsid w:val="003E7D27"/>
    <w:rsid w:val="003E7EE8"/>
    <w:rsid w:val="003F1DF5"/>
    <w:rsid w:val="003F4973"/>
    <w:rsid w:val="003F60F0"/>
    <w:rsid w:val="0040188B"/>
    <w:rsid w:val="004018A5"/>
    <w:rsid w:val="00407416"/>
    <w:rsid w:val="004101EF"/>
    <w:rsid w:val="00410B49"/>
    <w:rsid w:val="00415B5F"/>
    <w:rsid w:val="00420A26"/>
    <w:rsid w:val="00424C49"/>
    <w:rsid w:val="00433D3E"/>
    <w:rsid w:val="00435708"/>
    <w:rsid w:val="004424AA"/>
    <w:rsid w:val="0044488D"/>
    <w:rsid w:val="004533CE"/>
    <w:rsid w:val="004612C7"/>
    <w:rsid w:val="004727CC"/>
    <w:rsid w:val="00473F68"/>
    <w:rsid w:val="0049239E"/>
    <w:rsid w:val="00495D24"/>
    <w:rsid w:val="004A1F38"/>
    <w:rsid w:val="004A47AD"/>
    <w:rsid w:val="004A6BCB"/>
    <w:rsid w:val="004B52E1"/>
    <w:rsid w:val="004B5672"/>
    <w:rsid w:val="004C0909"/>
    <w:rsid w:val="004E6EBE"/>
    <w:rsid w:val="004F1335"/>
    <w:rsid w:val="004F2AAA"/>
    <w:rsid w:val="004F7814"/>
    <w:rsid w:val="0050280B"/>
    <w:rsid w:val="005029E6"/>
    <w:rsid w:val="00503CCB"/>
    <w:rsid w:val="00515440"/>
    <w:rsid w:val="00534A45"/>
    <w:rsid w:val="00541B5C"/>
    <w:rsid w:val="00552B23"/>
    <w:rsid w:val="00580DAC"/>
    <w:rsid w:val="005865BE"/>
    <w:rsid w:val="00590A5C"/>
    <w:rsid w:val="00591FC1"/>
    <w:rsid w:val="00596558"/>
    <w:rsid w:val="0059715D"/>
    <w:rsid w:val="005A75BA"/>
    <w:rsid w:val="005A7ABF"/>
    <w:rsid w:val="005B1230"/>
    <w:rsid w:val="005C6D81"/>
    <w:rsid w:val="005E3928"/>
    <w:rsid w:val="005E5CD7"/>
    <w:rsid w:val="005E6CF9"/>
    <w:rsid w:val="005E71A3"/>
    <w:rsid w:val="005F6E22"/>
    <w:rsid w:val="00600C23"/>
    <w:rsid w:val="006048C2"/>
    <w:rsid w:val="006063BB"/>
    <w:rsid w:val="00612AD9"/>
    <w:rsid w:val="00615E84"/>
    <w:rsid w:val="006207F8"/>
    <w:rsid w:val="006235C3"/>
    <w:rsid w:val="00623C90"/>
    <w:rsid w:val="00646296"/>
    <w:rsid w:val="00650F1B"/>
    <w:rsid w:val="0065605D"/>
    <w:rsid w:val="006635F3"/>
    <w:rsid w:val="00664BAF"/>
    <w:rsid w:val="006725DC"/>
    <w:rsid w:val="00672CCF"/>
    <w:rsid w:val="00677544"/>
    <w:rsid w:val="00677B07"/>
    <w:rsid w:val="0068114E"/>
    <w:rsid w:val="00691575"/>
    <w:rsid w:val="00697CFF"/>
    <w:rsid w:val="006C3299"/>
    <w:rsid w:val="006D45D4"/>
    <w:rsid w:val="006E4A57"/>
    <w:rsid w:val="006F5273"/>
    <w:rsid w:val="006F71F0"/>
    <w:rsid w:val="00702911"/>
    <w:rsid w:val="00710D8F"/>
    <w:rsid w:val="00711057"/>
    <w:rsid w:val="00722691"/>
    <w:rsid w:val="007416C4"/>
    <w:rsid w:val="00745897"/>
    <w:rsid w:val="007526E2"/>
    <w:rsid w:val="0075621C"/>
    <w:rsid w:val="007562EE"/>
    <w:rsid w:val="00764F3C"/>
    <w:rsid w:val="0078016D"/>
    <w:rsid w:val="00781E8B"/>
    <w:rsid w:val="00783CC3"/>
    <w:rsid w:val="007923F5"/>
    <w:rsid w:val="007948E2"/>
    <w:rsid w:val="007A0732"/>
    <w:rsid w:val="007A5F0B"/>
    <w:rsid w:val="007B22B4"/>
    <w:rsid w:val="007C3E97"/>
    <w:rsid w:val="007C52EB"/>
    <w:rsid w:val="007C6208"/>
    <w:rsid w:val="007D056D"/>
    <w:rsid w:val="007D28E0"/>
    <w:rsid w:val="007D7C1C"/>
    <w:rsid w:val="007E63CD"/>
    <w:rsid w:val="00837046"/>
    <w:rsid w:val="00845871"/>
    <w:rsid w:val="008475E5"/>
    <w:rsid w:val="00847969"/>
    <w:rsid w:val="008519DC"/>
    <w:rsid w:val="008642F5"/>
    <w:rsid w:val="008661A7"/>
    <w:rsid w:val="00870159"/>
    <w:rsid w:val="00875AA9"/>
    <w:rsid w:val="00876785"/>
    <w:rsid w:val="00883974"/>
    <w:rsid w:val="008B5FCE"/>
    <w:rsid w:val="008E1C92"/>
    <w:rsid w:val="008E2028"/>
    <w:rsid w:val="008E3770"/>
    <w:rsid w:val="008E3B5F"/>
    <w:rsid w:val="009024B5"/>
    <w:rsid w:val="0090444F"/>
    <w:rsid w:val="00932523"/>
    <w:rsid w:val="00933219"/>
    <w:rsid w:val="0094433F"/>
    <w:rsid w:val="0094633F"/>
    <w:rsid w:val="00950A55"/>
    <w:rsid w:val="00952323"/>
    <w:rsid w:val="009555BE"/>
    <w:rsid w:val="009569E0"/>
    <w:rsid w:val="00980378"/>
    <w:rsid w:val="00996232"/>
    <w:rsid w:val="0099626A"/>
    <w:rsid w:val="009A2062"/>
    <w:rsid w:val="009B1B3B"/>
    <w:rsid w:val="009B5A04"/>
    <w:rsid w:val="009C1D7E"/>
    <w:rsid w:val="009F13CD"/>
    <w:rsid w:val="009F4809"/>
    <w:rsid w:val="009F6D05"/>
    <w:rsid w:val="00A000FB"/>
    <w:rsid w:val="00A01C00"/>
    <w:rsid w:val="00A03955"/>
    <w:rsid w:val="00A04F36"/>
    <w:rsid w:val="00A10D4F"/>
    <w:rsid w:val="00A26445"/>
    <w:rsid w:val="00A3438E"/>
    <w:rsid w:val="00A4004E"/>
    <w:rsid w:val="00A42874"/>
    <w:rsid w:val="00A51B07"/>
    <w:rsid w:val="00A6153E"/>
    <w:rsid w:val="00A61F95"/>
    <w:rsid w:val="00A64C3B"/>
    <w:rsid w:val="00A720BE"/>
    <w:rsid w:val="00A72D98"/>
    <w:rsid w:val="00A73A79"/>
    <w:rsid w:val="00A8352D"/>
    <w:rsid w:val="00A87112"/>
    <w:rsid w:val="00A91842"/>
    <w:rsid w:val="00A9355A"/>
    <w:rsid w:val="00A9727D"/>
    <w:rsid w:val="00AA3280"/>
    <w:rsid w:val="00AB192C"/>
    <w:rsid w:val="00AB325B"/>
    <w:rsid w:val="00AC6ADF"/>
    <w:rsid w:val="00AC7D28"/>
    <w:rsid w:val="00AE30A0"/>
    <w:rsid w:val="00AE555A"/>
    <w:rsid w:val="00AF142A"/>
    <w:rsid w:val="00B002F2"/>
    <w:rsid w:val="00B0117B"/>
    <w:rsid w:val="00B16575"/>
    <w:rsid w:val="00B22AE3"/>
    <w:rsid w:val="00B26DCB"/>
    <w:rsid w:val="00B3522A"/>
    <w:rsid w:val="00B40634"/>
    <w:rsid w:val="00B514CA"/>
    <w:rsid w:val="00B55090"/>
    <w:rsid w:val="00B6611C"/>
    <w:rsid w:val="00B70A91"/>
    <w:rsid w:val="00B73CD2"/>
    <w:rsid w:val="00B774B3"/>
    <w:rsid w:val="00B85401"/>
    <w:rsid w:val="00B9127C"/>
    <w:rsid w:val="00B92CCC"/>
    <w:rsid w:val="00BB1707"/>
    <w:rsid w:val="00BB647D"/>
    <w:rsid w:val="00BC21C4"/>
    <w:rsid w:val="00BC7BEC"/>
    <w:rsid w:val="00BD2AF9"/>
    <w:rsid w:val="00BD71C8"/>
    <w:rsid w:val="00BD7856"/>
    <w:rsid w:val="00BE1E05"/>
    <w:rsid w:val="00BE3454"/>
    <w:rsid w:val="00BE35AB"/>
    <w:rsid w:val="00BE4E52"/>
    <w:rsid w:val="00BE6696"/>
    <w:rsid w:val="00BE67C2"/>
    <w:rsid w:val="00BE67E4"/>
    <w:rsid w:val="00BE6AEC"/>
    <w:rsid w:val="00BE719A"/>
    <w:rsid w:val="00C04578"/>
    <w:rsid w:val="00C1507E"/>
    <w:rsid w:val="00C2156C"/>
    <w:rsid w:val="00C22AAE"/>
    <w:rsid w:val="00C32ABD"/>
    <w:rsid w:val="00C338E0"/>
    <w:rsid w:val="00C40436"/>
    <w:rsid w:val="00C47ABB"/>
    <w:rsid w:val="00C52524"/>
    <w:rsid w:val="00C55E02"/>
    <w:rsid w:val="00C574B0"/>
    <w:rsid w:val="00C60C1D"/>
    <w:rsid w:val="00C75D23"/>
    <w:rsid w:val="00C8463F"/>
    <w:rsid w:val="00C84683"/>
    <w:rsid w:val="00CA22A4"/>
    <w:rsid w:val="00CA260D"/>
    <w:rsid w:val="00CB1237"/>
    <w:rsid w:val="00CC7254"/>
    <w:rsid w:val="00CD0F60"/>
    <w:rsid w:val="00CD738C"/>
    <w:rsid w:val="00CE1379"/>
    <w:rsid w:val="00CE67BC"/>
    <w:rsid w:val="00CF53F5"/>
    <w:rsid w:val="00D11A39"/>
    <w:rsid w:val="00D15D49"/>
    <w:rsid w:val="00D20DBF"/>
    <w:rsid w:val="00D21F35"/>
    <w:rsid w:val="00D23BE1"/>
    <w:rsid w:val="00D2493F"/>
    <w:rsid w:val="00D2724A"/>
    <w:rsid w:val="00D3118E"/>
    <w:rsid w:val="00D352DF"/>
    <w:rsid w:val="00D455A8"/>
    <w:rsid w:val="00D45AE5"/>
    <w:rsid w:val="00D46251"/>
    <w:rsid w:val="00D50C17"/>
    <w:rsid w:val="00D518D6"/>
    <w:rsid w:val="00D54071"/>
    <w:rsid w:val="00D631A7"/>
    <w:rsid w:val="00D67E49"/>
    <w:rsid w:val="00D72C0F"/>
    <w:rsid w:val="00D81B70"/>
    <w:rsid w:val="00D90F34"/>
    <w:rsid w:val="00D92B01"/>
    <w:rsid w:val="00D94FA6"/>
    <w:rsid w:val="00D96040"/>
    <w:rsid w:val="00D9632A"/>
    <w:rsid w:val="00DA0CEE"/>
    <w:rsid w:val="00DA6F4F"/>
    <w:rsid w:val="00DB0D8C"/>
    <w:rsid w:val="00DC51A2"/>
    <w:rsid w:val="00DD1802"/>
    <w:rsid w:val="00DE3878"/>
    <w:rsid w:val="00DE4F35"/>
    <w:rsid w:val="00DF2911"/>
    <w:rsid w:val="00E07015"/>
    <w:rsid w:val="00E152C9"/>
    <w:rsid w:val="00E224F9"/>
    <w:rsid w:val="00E30C03"/>
    <w:rsid w:val="00E42971"/>
    <w:rsid w:val="00E54CF1"/>
    <w:rsid w:val="00E65D29"/>
    <w:rsid w:val="00E67C62"/>
    <w:rsid w:val="00E81BCE"/>
    <w:rsid w:val="00E976F8"/>
    <w:rsid w:val="00EA591B"/>
    <w:rsid w:val="00EB05D1"/>
    <w:rsid w:val="00EC2245"/>
    <w:rsid w:val="00EC681C"/>
    <w:rsid w:val="00EC70C8"/>
    <w:rsid w:val="00ED02DF"/>
    <w:rsid w:val="00EE13D9"/>
    <w:rsid w:val="00EE53FE"/>
    <w:rsid w:val="00EF0356"/>
    <w:rsid w:val="00EF3D2D"/>
    <w:rsid w:val="00EF4FDE"/>
    <w:rsid w:val="00F2669C"/>
    <w:rsid w:val="00F36CCC"/>
    <w:rsid w:val="00F4434E"/>
    <w:rsid w:val="00F45D0B"/>
    <w:rsid w:val="00F6205E"/>
    <w:rsid w:val="00F704B9"/>
    <w:rsid w:val="00F7178B"/>
    <w:rsid w:val="00F73128"/>
    <w:rsid w:val="00F9493E"/>
    <w:rsid w:val="00F95D2F"/>
    <w:rsid w:val="00FA116E"/>
    <w:rsid w:val="00FA7E78"/>
    <w:rsid w:val="00FB066C"/>
    <w:rsid w:val="00FB33AB"/>
    <w:rsid w:val="00FE27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E185"/>
  <w15:chartTrackingRefBased/>
  <w15:docId w15:val="{94721FD6-4BB7-C642-BC50-18343105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BCE"/>
    <w:rPr>
      <w:rFonts w:ascii="Times New Roman" w:hAnsi="Times New Roman" w:cs="Times New Roman"/>
      <w:sz w:val="24"/>
      <w:szCs w:val="24"/>
    </w:rPr>
  </w:style>
  <w:style w:type="paragraph" w:styleId="Ttulo1">
    <w:name w:val="heading 1"/>
    <w:basedOn w:val="Normal"/>
    <w:next w:val="Normal"/>
    <w:link w:val="Ttulo1Char"/>
    <w:uiPriority w:val="9"/>
    <w:qFormat/>
    <w:rsid w:val="00E224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link w:val="Ttulo4Char"/>
    <w:uiPriority w:val="9"/>
    <w:qFormat/>
    <w:rsid w:val="00173B19"/>
    <w:pPr>
      <w:spacing w:before="100" w:beforeAutospacing="1" w:after="100" w:afterAutospacing="1"/>
      <w:outlineLvl w:val="3"/>
    </w:pPr>
    <w:rPr>
      <w:rFonts w:eastAsia="Times New Roman"/>
      <w:b/>
      <w:b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11057"/>
    <w:pPr>
      <w:ind w:left="720"/>
      <w:contextualSpacing/>
    </w:pPr>
    <w:rPr>
      <w:rFonts w:asciiTheme="minorHAnsi" w:hAnsiTheme="minorHAnsi" w:cstheme="minorBidi"/>
      <w:sz w:val="22"/>
      <w:szCs w:val="22"/>
    </w:rPr>
  </w:style>
  <w:style w:type="paragraph" w:styleId="Textodebalo">
    <w:name w:val="Balloon Text"/>
    <w:basedOn w:val="Normal"/>
    <w:link w:val="TextodebaloChar"/>
    <w:uiPriority w:val="99"/>
    <w:semiHidden/>
    <w:unhideWhenUsed/>
    <w:rsid w:val="00D23BE1"/>
    <w:rPr>
      <w:rFonts w:ascii="Segoe UI" w:hAnsi="Segoe UI" w:cs="Segoe UI"/>
      <w:sz w:val="18"/>
      <w:szCs w:val="18"/>
    </w:rPr>
  </w:style>
  <w:style w:type="character" w:customStyle="1" w:styleId="TextodebaloChar">
    <w:name w:val="Texto de balão Char"/>
    <w:basedOn w:val="Fontepargpadro"/>
    <w:link w:val="Textodebalo"/>
    <w:uiPriority w:val="99"/>
    <w:semiHidden/>
    <w:rsid w:val="00D23BE1"/>
    <w:rPr>
      <w:rFonts w:ascii="Segoe UI" w:hAnsi="Segoe UI" w:cs="Segoe UI"/>
      <w:sz w:val="18"/>
      <w:szCs w:val="18"/>
    </w:rPr>
  </w:style>
  <w:style w:type="character" w:styleId="Refdecomentrio">
    <w:name w:val="annotation reference"/>
    <w:basedOn w:val="Fontepargpadro"/>
    <w:uiPriority w:val="99"/>
    <w:semiHidden/>
    <w:unhideWhenUsed/>
    <w:rsid w:val="00D23BE1"/>
    <w:rPr>
      <w:sz w:val="16"/>
      <w:szCs w:val="16"/>
    </w:rPr>
  </w:style>
  <w:style w:type="paragraph" w:styleId="Textodecomentrio">
    <w:name w:val="annotation text"/>
    <w:basedOn w:val="Normal"/>
    <w:link w:val="TextodecomentrioChar"/>
    <w:uiPriority w:val="99"/>
    <w:unhideWhenUsed/>
    <w:rsid w:val="00D23BE1"/>
    <w:rPr>
      <w:rFonts w:asciiTheme="minorHAnsi" w:hAnsiTheme="minorHAnsi" w:cstheme="minorBidi"/>
      <w:sz w:val="20"/>
      <w:szCs w:val="20"/>
    </w:rPr>
  </w:style>
  <w:style w:type="character" w:customStyle="1" w:styleId="TextodecomentrioChar">
    <w:name w:val="Texto de comentário Char"/>
    <w:basedOn w:val="Fontepargpadro"/>
    <w:link w:val="Textodecomentrio"/>
    <w:uiPriority w:val="99"/>
    <w:rsid w:val="00D23BE1"/>
    <w:rPr>
      <w:sz w:val="20"/>
      <w:szCs w:val="20"/>
    </w:rPr>
  </w:style>
  <w:style w:type="paragraph" w:styleId="Assuntodocomentrio">
    <w:name w:val="annotation subject"/>
    <w:basedOn w:val="Textodecomentrio"/>
    <w:next w:val="Textodecomentrio"/>
    <w:link w:val="AssuntodocomentrioChar"/>
    <w:uiPriority w:val="99"/>
    <w:semiHidden/>
    <w:unhideWhenUsed/>
    <w:rsid w:val="00D23BE1"/>
    <w:rPr>
      <w:b/>
      <w:bCs/>
    </w:rPr>
  </w:style>
  <w:style w:type="character" w:customStyle="1" w:styleId="AssuntodocomentrioChar">
    <w:name w:val="Assunto do comentário Char"/>
    <w:basedOn w:val="TextodecomentrioChar"/>
    <w:link w:val="Assuntodocomentrio"/>
    <w:uiPriority w:val="99"/>
    <w:semiHidden/>
    <w:rsid w:val="00D23BE1"/>
    <w:rPr>
      <w:b/>
      <w:bCs/>
      <w:sz w:val="20"/>
      <w:szCs w:val="20"/>
    </w:rPr>
  </w:style>
  <w:style w:type="character" w:styleId="Hyperlink">
    <w:name w:val="Hyperlink"/>
    <w:basedOn w:val="Fontepargpadro"/>
    <w:uiPriority w:val="99"/>
    <w:unhideWhenUsed/>
    <w:rsid w:val="007D056D"/>
    <w:rPr>
      <w:color w:val="0000FF"/>
      <w:u w:val="single"/>
    </w:rPr>
  </w:style>
  <w:style w:type="character" w:styleId="nfase">
    <w:name w:val="Emphasis"/>
    <w:basedOn w:val="Fontepargpadro"/>
    <w:uiPriority w:val="20"/>
    <w:qFormat/>
    <w:rsid w:val="00A42874"/>
    <w:rPr>
      <w:i/>
      <w:iCs/>
    </w:rPr>
  </w:style>
  <w:style w:type="character" w:styleId="Forte">
    <w:name w:val="Strong"/>
    <w:basedOn w:val="Fontepargpadro"/>
    <w:uiPriority w:val="22"/>
    <w:qFormat/>
    <w:rsid w:val="00A42874"/>
    <w:rPr>
      <w:b/>
      <w:bCs/>
    </w:rPr>
  </w:style>
  <w:style w:type="character" w:customStyle="1" w:styleId="MenoPendente1">
    <w:name w:val="Menção Pendente1"/>
    <w:basedOn w:val="Fontepargpadro"/>
    <w:uiPriority w:val="99"/>
    <w:rsid w:val="00407416"/>
    <w:rPr>
      <w:color w:val="605E5C"/>
      <w:shd w:val="clear" w:color="auto" w:fill="E1DFDD"/>
    </w:rPr>
  </w:style>
  <w:style w:type="character" w:customStyle="1" w:styleId="Ttulo4Char">
    <w:name w:val="Título 4 Char"/>
    <w:basedOn w:val="Fontepargpadro"/>
    <w:link w:val="Ttulo4"/>
    <w:uiPriority w:val="9"/>
    <w:rsid w:val="00173B19"/>
    <w:rPr>
      <w:rFonts w:ascii="Times New Roman" w:eastAsia="Times New Roman" w:hAnsi="Times New Roman" w:cs="Times New Roman"/>
      <w:b/>
      <w:bCs/>
      <w:sz w:val="24"/>
      <w:szCs w:val="24"/>
    </w:rPr>
  </w:style>
  <w:style w:type="paragraph" w:styleId="NormalWeb">
    <w:name w:val="Normal (Web)"/>
    <w:basedOn w:val="Normal"/>
    <w:uiPriority w:val="99"/>
    <w:unhideWhenUsed/>
    <w:rsid w:val="00173B19"/>
    <w:pPr>
      <w:spacing w:before="100" w:beforeAutospacing="1" w:after="100" w:afterAutospacing="1"/>
    </w:pPr>
    <w:rPr>
      <w:rFonts w:eastAsia="Times New Roman"/>
    </w:rPr>
  </w:style>
  <w:style w:type="character" w:styleId="HiperlinkVisitado">
    <w:name w:val="FollowedHyperlink"/>
    <w:basedOn w:val="Fontepargpadro"/>
    <w:uiPriority w:val="99"/>
    <w:semiHidden/>
    <w:unhideWhenUsed/>
    <w:rsid w:val="00CA22A4"/>
    <w:rPr>
      <w:color w:val="954F72" w:themeColor="followedHyperlink"/>
      <w:u w:val="single"/>
    </w:rPr>
  </w:style>
  <w:style w:type="character" w:customStyle="1" w:styleId="MenoPendente2">
    <w:name w:val="Menção Pendente2"/>
    <w:basedOn w:val="Fontepargpadro"/>
    <w:uiPriority w:val="99"/>
    <w:rsid w:val="00A91842"/>
    <w:rPr>
      <w:color w:val="605E5C"/>
      <w:shd w:val="clear" w:color="auto" w:fill="E1DFDD"/>
    </w:rPr>
  </w:style>
  <w:style w:type="character" w:customStyle="1" w:styleId="Ttulo1Char">
    <w:name w:val="Título 1 Char"/>
    <w:basedOn w:val="Fontepargpadro"/>
    <w:link w:val="Ttulo1"/>
    <w:uiPriority w:val="9"/>
    <w:rsid w:val="00E224F9"/>
    <w:rPr>
      <w:rFonts w:asciiTheme="majorHAnsi" w:eastAsiaTheme="majorEastAsia" w:hAnsiTheme="majorHAnsi" w:cstheme="majorBidi"/>
      <w:color w:val="2F5496" w:themeColor="accent1" w:themeShade="BF"/>
      <w:sz w:val="32"/>
      <w:szCs w:val="32"/>
    </w:rPr>
  </w:style>
  <w:style w:type="character" w:customStyle="1" w:styleId="title-text">
    <w:name w:val="title-text"/>
    <w:basedOn w:val="Fontepargpadro"/>
    <w:rsid w:val="00E224F9"/>
  </w:style>
  <w:style w:type="character" w:customStyle="1" w:styleId="sr-only">
    <w:name w:val="sr-only"/>
    <w:basedOn w:val="Fontepargpadro"/>
    <w:rsid w:val="00E224F9"/>
  </w:style>
  <w:style w:type="character" w:customStyle="1" w:styleId="text">
    <w:name w:val="text"/>
    <w:basedOn w:val="Fontepargpadro"/>
    <w:rsid w:val="00E224F9"/>
  </w:style>
  <w:style w:type="character" w:customStyle="1" w:styleId="author-ref">
    <w:name w:val="author-ref"/>
    <w:basedOn w:val="Fontepargpadro"/>
    <w:rsid w:val="00E224F9"/>
  </w:style>
  <w:style w:type="paragraph" w:styleId="Rodap">
    <w:name w:val="footer"/>
    <w:basedOn w:val="Normal"/>
    <w:link w:val="RodapChar"/>
    <w:uiPriority w:val="99"/>
    <w:unhideWhenUsed/>
    <w:rsid w:val="00FE2723"/>
    <w:pPr>
      <w:tabs>
        <w:tab w:val="center" w:pos="4419"/>
        <w:tab w:val="right" w:pos="8838"/>
      </w:tabs>
    </w:pPr>
    <w:rPr>
      <w:rFonts w:asciiTheme="minorHAnsi" w:hAnsiTheme="minorHAnsi" w:cstheme="minorBidi"/>
      <w:sz w:val="22"/>
      <w:szCs w:val="22"/>
    </w:rPr>
  </w:style>
  <w:style w:type="character" w:customStyle="1" w:styleId="RodapChar">
    <w:name w:val="Rodapé Char"/>
    <w:basedOn w:val="Fontepargpadro"/>
    <w:link w:val="Rodap"/>
    <w:uiPriority w:val="99"/>
    <w:rsid w:val="00FE2723"/>
  </w:style>
  <w:style w:type="character" w:styleId="Nmerodepgina">
    <w:name w:val="page number"/>
    <w:basedOn w:val="Fontepargpadro"/>
    <w:uiPriority w:val="99"/>
    <w:semiHidden/>
    <w:unhideWhenUsed/>
    <w:rsid w:val="00FE2723"/>
  </w:style>
  <w:style w:type="table" w:styleId="Tabelacomgrade">
    <w:name w:val="Table Grid"/>
    <w:basedOn w:val="Tabelanormal"/>
    <w:uiPriority w:val="39"/>
    <w:rsid w:val="00A51B07"/>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uiPriority w:val="99"/>
    <w:semiHidden/>
    <w:unhideWhenUsed/>
    <w:rsid w:val="007416C4"/>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7416C4"/>
    <w:rPr>
      <w:rFonts w:ascii="Consolas" w:hAnsi="Consolas" w:cs="Consolas"/>
      <w:sz w:val="20"/>
      <w:szCs w:val="20"/>
    </w:rPr>
  </w:style>
  <w:style w:type="table" w:styleId="TabeladeLista7Colorida">
    <w:name w:val="List Table 7 Colorful"/>
    <w:basedOn w:val="Tabelanormal"/>
    <w:uiPriority w:val="52"/>
    <w:rsid w:val="0049239E"/>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3044">
      <w:bodyDiv w:val="1"/>
      <w:marLeft w:val="0"/>
      <w:marRight w:val="0"/>
      <w:marTop w:val="0"/>
      <w:marBottom w:val="0"/>
      <w:divBdr>
        <w:top w:val="none" w:sz="0" w:space="0" w:color="auto"/>
        <w:left w:val="none" w:sz="0" w:space="0" w:color="auto"/>
        <w:bottom w:val="none" w:sz="0" w:space="0" w:color="auto"/>
        <w:right w:val="none" w:sz="0" w:space="0" w:color="auto"/>
      </w:divBdr>
      <w:divsChild>
        <w:div w:id="393283226">
          <w:marLeft w:val="360"/>
          <w:marRight w:val="0"/>
          <w:marTop w:val="200"/>
          <w:marBottom w:val="0"/>
          <w:divBdr>
            <w:top w:val="none" w:sz="0" w:space="0" w:color="auto"/>
            <w:left w:val="none" w:sz="0" w:space="0" w:color="auto"/>
            <w:bottom w:val="none" w:sz="0" w:space="0" w:color="auto"/>
            <w:right w:val="none" w:sz="0" w:space="0" w:color="auto"/>
          </w:divBdr>
        </w:div>
        <w:div w:id="1769504548">
          <w:marLeft w:val="360"/>
          <w:marRight w:val="0"/>
          <w:marTop w:val="200"/>
          <w:marBottom w:val="0"/>
          <w:divBdr>
            <w:top w:val="none" w:sz="0" w:space="0" w:color="auto"/>
            <w:left w:val="none" w:sz="0" w:space="0" w:color="auto"/>
            <w:bottom w:val="none" w:sz="0" w:space="0" w:color="auto"/>
            <w:right w:val="none" w:sz="0" w:space="0" w:color="auto"/>
          </w:divBdr>
        </w:div>
        <w:div w:id="1074400385">
          <w:marLeft w:val="360"/>
          <w:marRight w:val="0"/>
          <w:marTop w:val="200"/>
          <w:marBottom w:val="0"/>
          <w:divBdr>
            <w:top w:val="none" w:sz="0" w:space="0" w:color="auto"/>
            <w:left w:val="none" w:sz="0" w:space="0" w:color="auto"/>
            <w:bottom w:val="none" w:sz="0" w:space="0" w:color="auto"/>
            <w:right w:val="none" w:sz="0" w:space="0" w:color="auto"/>
          </w:divBdr>
        </w:div>
        <w:div w:id="768088672">
          <w:marLeft w:val="360"/>
          <w:marRight w:val="0"/>
          <w:marTop w:val="200"/>
          <w:marBottom w:val="0"/>
          <w:divBdr>
            <w:top w:val="none" w:sz="0" w:space="0" w:color="auto"/>
            <w:left w:val="none" w:sz="0" w:space="0" w:color="auto"/>
            <w:bottom w:val="none" w:sz="0" w:space="0" w:color="auto"/>
            <w:right w:val="none" w:sz="0" w:space="0" w:color="auto"/>
          </w:divBdr>
        </w:div>
        <w:div w:id="952981038">
          <w:marLeft w:val="360"/>
          <w:marRight w:val="0"/>
          <w:marTop w:val="200"/>
          <w:marBottom w:val="0"/>
          <w:divBdr>
            <w:top w:val="none" w:sz="0" w:space="0" w:color="auto"/>
            <w:left w:val="none" w:sz="0" w:space="0" w:color="auto"/>
            <w:bottom w:val="none" w:sz="0" w:space="0" w:color="auto"/>
            <w:right w:val="none" w:sz="0" w:space="0" w:color="auto"/>
          </w:divBdr>
        </w:div>
        <w:div w:id="566767729">
          <w:marLeft w:val="360"/>
          <w:marRight w:val="0"/>
          <w:marTop w:val="200"/>
          <w:marBottom w:val="0"/>
          <w:divBdr>
            <w:top w:val="none" w:sz="0" w:space="0" w:color="auto"/>
            <w:left w:val="none" w:sz="0" w:space="0" w:color="auto"/>
            <w:bottom w:val="none" w:sz="0" w:space="0" w:color="auto"/>
            <w:right w:val="none" w:sz="0" w:space="0" w:color="auto"/>
          </w:divBdr>
        </w:div>
      </w:divsChild>
    </w:div>
    <w:div w:id="164521851">
      <w:bodyDiv w:val="1"/>
      <w:marLeft w:val="0"/>
      <w:marRight w:val="0"/>
      <w:marTop w:val="0"/>
      <w:marBottom w:val="0"/>
      <w:divBdr>
        <w:top w:val="none" w:sz="0" w:space="0" w:color="auto"/>
        <w:left w:val="none" w:sz="0" w:space="0" w:color="auto"/>
        <w:bottom w:val="none" w:sz="0" w:space="0" w:color="auto"/>
        <w:right w:val="none" w:sz="0" w:space="0" w:color="auto"/>
      </w:divBdr>
    </w:div>
    <w:div w:id="190075340">
      <w:bodyDiv w:val="1"/>
      <w:marLeft w:val="0"/>
      <w:marRight w:val="0"/>
      <w:marTop w:val="0"/>
      <w:marBottom w:val="0"/>
      <w:divBdr>
        <w:top w:val="none" w:sz="0" w:space="0" w:color="auto"/>
        <w:left w:val="none" w:sz="0" w:space="0" w:color="auto"/>
        <w:bottom w:val="none" w:sz="0" w:space="0" w:color="auto"/>
        <w:right w:val="none" w:sz="0" w:space="0" w:color="auto"/>
      </w:divBdr>
    </w:div>
    <w:div w:id="191652385">
      <w:bodyDiv w:val="1"/>
      <w:marLeft w:val="0"/>
      <w:marRight w:val="0"/>
      <w:marTop w:val="0"/>
      <w:marBottom w:val="0"/>
      <w:divBdr>
        <w:top w:val="none" w:sz="0" w:space="0" w:color="auto"/>
        <w:left w:val="none" w:sz="0" w:space="0" w:color="auto"/>
        <w:bottom w:val="none" w:sz="0" w:space="0" w:color="auto"/>
        <w:right w:val="none" w:sz="0" w:space="0" w:color="auto"/>
      </w:divBdr>
    </w:div>
    <w:div w:id="198399147">
      <w:bodyDiv w:val="1"/>
      <w:marLeft w:val="0"/>
      <w:marRight w:val="0"/>
      <w:marTop w:val="0"/>
      <w:marBottom w:val="0"/>
      <w:divBdr>
        <w:top w:val="none" w:sz="0" w:space="0" w:color="auto"/>
        <w:left w:val="none" w:sz="0" w:space="0" w:color="auto"/>
        <w:bottom w:val="none" w:sz="0" w:space="0" w:color="auto"/>
        <w:right w:val="none" w:sz="0" w:space="0" w:color="auto"/>
      </w:divBdr>
    </w:div>
    <w:div w:id="266546584">
      <w:bodyDiv w:val="1"/>
      <w:marLeft w:val="0"/>
      <w:marRight w:val="0"/>
      <w:marTop w:val="0"/>
      <w:marBottom w:val="0"/>
      <w:divBdr>
        <w:top w:val="none" w:sz="0" w:space="0" w:color="auto"/>
        <w:left w:val="none" w:sz="0" w:space="0" w:color="auto"/>
        <w:bottom w:val="none" w:sz="0" w:space="0" w:color="auto"/>
        <w:right w:val="none" w:sz="0" w:space="0" w:color="auto"/>
      </w:divBdr>
    </w:div>
    <w:div w:id="271673016">
      <w:bodyDiv w:val="1"/>
      <w:marLeft w:val="0"/>
      <w:marRight w:val="0"/>
      <w:marTop w:val="0"/>
      <w:marBottom w:val="0"/>
      <w:divBdr>
        <w:top w:val="none" w:sz="0" w:space="0" w:color="auto"/>
        <w:left w:val="none" w:sz="0" w:space="0" w:color="auto"/>
        <w:bottom w:val="none" w:sz="0" w:space="0" w:color="auto"/>
        <w:right w:val="none" w:sz="0" w:space="0" w:color="auto"/>
      </w:divBdr>
    </w:div>
    <w:div w:id="280233348">
      <w:bodyDiv w:val="1"/>
      <w:marLeft w:val="0"/>
      <w:marRight w:val="0"/>
      <w:marTop w:val="0"/>
      <w:marBottom w:val="0"/>
      <w:divBdr>
        <w:top w:val="none" w:sz="0" w:space="0" w:color="auto"/>
        <w:left w:val="none" w:sz="0" w:space="0" w:color="auto"/>
        <w:bottom w:val="none" w:sz="0" w:space="0" w:color="auto"/>
        <w:right w:val="none" w:sz="0" w:space="0" w:color="auto"/>
      </w:divBdr>
    </w:div>
    <w:div w:id="324169128">
      <w:bodyDiv w:val="1"/>
      <w:marLeft w:val="0"/>
      <w:marRight w:val="0"/>
      <w:marTop w:val="0"/>
      <w:marBottom w:val="0"/>
      <w:divBdr>
        <w:top w:val="none" w:sz="0" w:space="0" w:color="auto"/>
        <w:left w:val="none" w:sz="0" w:space="0" w:color="auto"/>
        <w:bottom w:val="none" w:sz="0" w:space="0" w:color="auto"/>
        <w:right w:val="none" w:sz="0" w:space="0" w:color="auto"/>
      </w:divBdr>
      <w:divsChild>
        <w:div w:id="1280531693">
          <w:marLeft w:val="0"/>
          <w:marRight w:val="0"/>
          <w:marTop w:val="30"/>
          <w:marBottom w:val="0"/>
          <w:divBdr>
            <w:top w:val="none" w:sz="0" w:space="0" w:color="auto"/>
            <w:left w:val="none" w:sz="0" w:space="0" w:color="auto"/>
            <w:bottom w:val="none" w:sz="0" w:space="0" w:color="auto"/>
            <w:right w:val="none" w:sz="0" w:space="0" w:color="auto"/>
          </w:divBdr>
        </w:div>
      </w:divsChild>
    </w:div>
    <w:div w:id="476652185">
      <w:bodyDiv w:val="1"/>
      <w:marLeft w:val="0"/>
      <w:marRight w:val="0"/>
      <w:marTop w:val="0"/>
      <w:marBottom w:val="0"/>
      <w:divBdr>
        <w:top w:val="none" w:sz="0" w:space="0" w:color="auto"/>
        <w:left w:val="none" w:sz="0" w:space="0" w:color="auto"/>
        <w:bottom w:val="none" w:sz="0" w:space="0" w:color="auto"/>
        <w:right w:val="none" w:sz="0" w:space="0" w:color="auto"/>
      </w:divBdr>
    </w:div>
    <w:div w:id="597296382">
      <w:bodyDiv w:val="1"/>
      <w:marLeft w:val="0"/>
      <w:marRight w:val="0"/>
      <w:marTop w:val="0"/>
      <w:marBottom w:val="0"/>
      <w:divBdr>
        <w:top w:val="none" w:sz="0" w:space="0" w:color="auto"/>
        <w:left w:val="none" w:sz="0" w:space="0" w:color="auto"/>
        <w:bottom w:val="none" w:sz="0" w:space="0" w:color="auto"/>
        <w:right w:val="none" w:sz="0" w:space="0" w:color="auto"/>
      </w:divBdr>
    </w:div>
    <w:div w:id="756557071">
      <w:bodyDiv w:val="1"/>
      <w:marLeft w:val="0"/>
      <w:marRight w:val="0"/>
      <w:marTop w:val="0"/>
      <w:marBottom w:val="0"/>
      <w:divBdr>
        <w:top w:val="none" w:sz="0" w:space="0" w:color="auto"/>
        <w:left w:val="none" w:sz="0" w:space="0" w:color="auto"/>
        <w:bottom w:val="none" w:sz="0" w:space="0" w:color="auto"/>
        <w:right w:val="none" w:sz="0" w:space="0" w:color="auto"/>
      </w:divBdr>
    </w:div>
    <w:div w:id="764375958">
      <w:bodyDiv w:val="1"/>
      <w:marLeft w:val="0"/>
      <w:marRight w:val="0"/>
      <w:marTop w:val="0"/>
      <w:marBottom w:val="0"/>
      <w:divBdr>
        <w:top w:val="none" w:sz="0" w:space="0" w:color="auto"/>
        <w:left w:val="none" w:sz="0" w:space="0" w:color="auto"/>
        <w:bottom w:val="none" w:sz="0" w:space="0" w:color="auto"/>
        <w:right w:val="none" w:sz="0" w:space="0" w:color="auto"/>
      </w:divBdr>
    </w:div>
    <w:div w:id="780298850">
      <w:bodyDiv w:val="1"/>
      <w:marLeft w:val="0"/>
      <w:marRight w:val="0"/>
      <w:marTop w:val="0"/>
      <w:marBottom w:val="0"/>
      <w:divBdr>
        <w:top w:val="none" w:sz="0" w:space="0" w:color="auto"/>
        <w:left w:val="none" w:sz="0" w:space="0" w:color="auto"/>
        <w:bottom w:val="none" w:sz="0" w:space="0" w:color="auto"/>
        <w:right w:val="none" w:sz="0" w:space="0" w:color="auto"/>
      </w:divBdr>
    </w:div>
    <w:div w:id="831876714">
      <w:bodyDiv w:val="1"/>
      <w:marLeft w:val="0"/>
      <w:marRight w:val="0"/>
      <w:marTop w:val="0"/>
      <w:marBottom w:val="0"/>
      <w:divBdr>
        <w:top w:val="none" w:sz="0" w:space="0" w:color="auto"/>
        <w:left w:val="none" w:sz="0" w:space="0" w:color="auto"/>
        <w:bottom w:val="none" w:sz="0" w:space="0" w:color="auto"/>
        <w:right w:val="none" w:sz="0" w:space="0" w:color="auto"/>
      </w:divBdr>
    </w:div>
    <w:div w:id="853230838">
      <w:bodyDiv w:val="1"/>
      <w:marLeft w:val="0"/>
      <w:marRight w:val="0"/>
      <w:marTop w:val="0"/>
      <w:marBottom w:val="0"/>
      <w:divBdr>
        <w:top w:val="none" w:sz="0" w:space="0" w:color="auto"/>
        <w:left w:val="none" w:sz="0" w:space="0" w:color="auto"/>
        <w:bottom w:val="none" w:sz="0" w:space="0" w:color="auto"/>
        <w:right w:val="none" w:sz="0" w:space="0" w:color="auto"/>
      </w:divBdr>
    </w:div>
    <w:div w:id="876695428">
      <w:bodyDiv w:val="1"/>
      <w:marLeft w:val="0"/>
      <w:marRight w:val="0"/>
      <w:marTop w:val="0"/>
      <w:marBottom w:val="0"/>
      <w:divBdr>
        <w:top w:val="none" w:sz="0" w:space="0" w:color="auto"/>
        <w:left w:val="none" w:sz="0" w:space="0" w:color="auto"/>
        <w:bottom w:val="none" w:sz="0" w:space="0" w:color="auto"/>
        <w:right w:val="none" w:sz="0" w:space="0" w:color="auto"/>
      </w:divBdr>
    </w:div>
    <w:div w:id="1012027193">
      <w:bodyDiv w:val="1"/>
      <w:marLeft w:val="0"/>
      <w:marRight w:val="0"/>
      <w:marTop w:val="0"/>
      <w:marBottom w:val="0"/>
      <w:divBdr>
        <w:top w:val="none" w:sz="0" w:space="0" w:color="auto"/>
        <w:left w:val="none" w:sz="0" w:space="0" w:color="auto"/>
        <w:bottom w:val="none" w:sz="0" w:space="0" w:color="auto"/>
        <w:right w:val="none" w:sz="0" w:space="0" w:color="auto"/>
      </w:divBdr>
    </w:div>
    <w:div w:id="1066952491">
      <w:bodyDiv w:val="1"/>
      <w:marLeft w:val="0"/>
      <w:marRight w:val="0"/>
      <w:marTop w:val="0"/>
      <w:marBottom w:val="0"/>
      <w:divBdr>
        <w:top w:val="none" w:sz="0" w:space="0" w:color="auto"/>
        <w:left w:val="none" w:sz="0" w:space="0" w:color="auto"/>
        <w:bottom w:val="none" w:sz="0" w:space="0" w:color="auto"/>
        <w:right w:val="none" w:sz="0" w:space="0" w:color="auto"/>
      </w:divBdr>
    </w:div>
    <w:div w:id="1129667271">
      <w:bodyDiv w:val="1"/>
      <w:marLeft w:val="0"/>
      <w:marRight w:val="0"/>
      <w:marTop w:val="0"/>
      <w:marBottom w:val="0"/>
      <w:divBdr>
        <w:top w:val="none" w:sz="0" w:space="0" w:color="auto"/>
        <w:left w:val="none" w:sz="0" w:space="0" w:color="auto"/>
        <w:bottom w:val="none" w:sz="0" w:space="0" w:color="auto"/>
        <w:right w:val="none" w:sz="0" w:space="0" w:color="auto"/>
      </w:divBdr>
    </w:div>
    <w:div w:id="1138104744">
      <w:bodyDiv w:val="1"/>
      <w:marLeft w:val="0"/>
      <w:marRight w:val="0"/>
      <w:marTop w:val="0"/>
      <w:marBottom w:val="0"/>
      <w:divBdr>
        <w:top w:val="none" w:sz="0" w:space="0" w:color="auto"/>
        <w:left w:val="none" w:sz="0" w:space="0" w:color="auto"/>
        <w:bottom w:val="none" w:sz="0" w:space="0" w:color="auto"/>
        <w:right w:val="none" w:sz="0" w:space="0" w:color="auto"/>
      </w:divBdr>
    </w:div>
    <w:div w:id="1146320869">
      <w:bodyDiv w:val="1"/>
      <w:marLeft w:val="0"/>
      <w:marRight w:val="0"/>
      <w:marTop w:val="0"/>
      <w:marBottom w:val="0"/>
      <w:divBdr>
        <w:top w:val="none" w:sz="0" w:space="0" w:color="auto"/>
        <w:left w:val="none" w:sz="0" w:space="0" w:color="auto"/>
        <w:bottom w:val="none" w:sz="0" w:space="0" w:color="auto"/>
        <w:right w:val="none" w:sz="0" w:space="0" w:color="auto"/>
      </w:divBdr>
    </w:div>
    <w:div w:id="1525560898">
      <w:bodyDiv w:val="1"/>
      <w:marLeft w:val="0"/>
      <w:marRight w:val="0"/>
      <w:marTop w:val="0"/>
      <w:marBottom w:val="0"/>
      <w:divBdr>
        <w:top w:val="none" w:sz="0" w:space="0" w:color="auto"/>
        <w:left w:val="none" w:sz="0" w:space="0" w:color="auto"/>
        <w:bottom w:val="none" w:sz="0" w:space="0" w:color="auto"/>
        <w:right w:val="none" w:sz="0" w:space="0" w:color="auto"/>
      </w:divBdr>
    </w:div>
    <w:div w:id="1558667398">
      <w:bodyDiv w:val="1"/>
      <w:marLeft w:val="0"/>
      <w:marRight w:val="0"/>
      <w:marTop w:val="0"/>
      <w:marBottom w:val="0"/>
      <w:divBdr>
        <w:top w:val="none" w:sz="0" w:space="0" w:color="auto"/>
        <w:left w:val="none" w:sz="0" w:space="0" w:color="auto"/>
        <w:bottom w:val="none" w:sz="0" w:space="0" w:color="auto"/>
        <w:right w:val="none" w:sz="0" w:space="0" w:color="auto"/>
      </w:divBdr>
    </w:div>
    <w:div w:id="1559395654">
      <w:bodyDiv w:val="1"/>
      <w:marLeft w:val="0"/>
      <w:marRight w:val="0"/>
      <w:marTop w:val="0"/>
      <w:marBottom w:val="0"/>
      <w:divBdr>
        <w:top w:val="none" w:sz="0" w:space="0" w:color="auto"/>
        <w:left w:val="none" w:sz="0" w:space="0" w:color="auto"/>
        <w:bottom w:val="none" w:sz="0" w:space="0" w:color="auto"/>
        <w:right w:val="none" w:sz="0" w:space="0" w:color="auto"/>
      </w:divBdr>
    </w:div>
    <w:div w:id="1641494034">
      <w:bodyDiv w:val="1"/>
      <w:marLeft w:val="0"/>
      <w:marRight w:val="0"/>
      <w:marTop w:val="0"/>
      <w:marBottom w:val="0"/>
      <w:divBdr>
        <w:top w:val="none" w:sz="0" w:space="0" w:color="auto"/>
        <w:left w:val="none" w:sz="0" w:space="0" w:color="auto"/>
        <w:bottom w:val="none" w:sz="0" w:space="0" w:color="auto"/>
        <w:right w:val="none" w:sz="0" w:space="0" w:color="auto"/>
      </w:divBdr>
    </w:div>
    <w:div w:id="1648247257">
      <w:bodyDiv w:val="1"/>
      <w:marLeft w:val="0"/>
      <w:marRight w:val="0"/>
      <w:marTop w:val="0"/>
      <w:marBottom w:val="0"/>
      <w:divBdr>
        <w:top w:val="none" w:sz="0" w:space="0" w:color="auto"/>
        <w:left w:val="none" w:sz="0" w:space="0" w:color="auto"/>
        <w:bottom w:val="none" w:sz="0" w:space="0" w:color="auto"/>
        <w:right w:val="none" w:sz="0" w:space="0" w:color="auto"/>
      </w:divBdr>
      <w:divsChild>
        <w:div w:id="341444394">
          <w:marLeft w:val="0"/>
          <w:marRight w:val="0"/>
          <w:marTop w:val="0"/>
          <w:marBottom w:val="120"/>
          <w:divBdr>
            <w:top w:val="none" w:sz="0" w:space="0" w:color="auto"/>
            <w:left w:val="none" w:sz="0" w:space="0" w:color="auto"/>
            <w:bottom w:val="none" w:sz="0" w:space="0" w:color="auto"/>
            <w:right w:val="none" w:sz="0" w:space="0" w:color="auto"/>
          </w:divBdr>
          <w:divsChild>
            <w:div w:id="1134828680">
              <w:marLeft w:val="0"/>
              <w:marRight w:val="0"/>
              <w:marTop w:val="0"/>
              <w:marBottom w:val="0"/>
              <w:divBdr>
                <w:top w:val="none" w:sz="0" w:space="0" w:color="auto"/>
                <w:left w:val="none" w:sz="0" w:space="0" w:color="auto"/>
                <w:bottom w:val="none" w:sz="0" w:space="0" w:color="auto"/>
                <w:right w:val="none" w:sz="0" w:space="0" w:color="auto"/>
              </w:divBdr>
              <w:divsChild>
                <w:div w:id="516964098">
                  <w:marLeft w:val="0"/>
                  <w:marRight w:val="0"/>
                  <w:marTop w:val="0"/>
                  <w:marBottom w:val="0"/>
                  <w:divBdr>
                    <w:top w:val="none" w:sz="0" w:space="0" w:color="auto"/>
                    <w:left w:val="none" w:sz="0" w:space="0" w:color="auto"/>
                    <w:bottom w:val="none" w:sz="0" w:space="0" w:color="auto"/>
                    <w:right w:val="none" w:sz="0" w:space="0" w:color="auto"/>
                  </w:divBdr>
                  <w:divsChild>
                    <w:div w:id="38784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12283">
      <w:bodyDiv w:val="1"/>
      <w:marLeft w:val="0"/>
      <w:marRight w:val="0"/>
      <w:marTop w:val="0"/>
      <w:marBottom w:val="0"/>
      <w:divBdr>
        <w:top w:val="none" w:sz="0" w:space="0" w:color="auto"/>
        <w:left w:val="none" w:sz="0" w:space="0" w:color="auto"/>
        <w:bottom w:val="none" w:sz="0" w:space="0" w:color="auto"/>
        <w:right w:val="none" w:sz="0" w:space="0" w:color="auto"/>
      </w:divBdr>
    </w:div>
    <w:div w:id="1846748942">
      <w:bodyDiv w:val="1"/>
      <w:marLeft w:val="0"/>
      <w:marRight w:val="0"/>
      <w:marTop w:val="0"/>
      <w:marBottom w:val="0"/>
      <w:divBdr>
        <w:top w:val="none" w:sz="0" w:space="0" w:color="auto"/>
        <w:left w:val="none" w:sz="0" w:space="0" w:color="auto"/>
        <w:bottom w:val="none" w:sz="0" w:space="0" w:color="auto"/>
        <w:right w:val="none" w:sz="0" w:space="0" w:color="auto"/>
      </w:divBdr>
    </w:div>
    <w:div w:id="1855028151">
      <w:bodyDiv w:val="1"/>
      <w:marLeft w:val="0"/>
      <w:marRight w:val="0"/>
      <w:marTop w:val="0"/>
      <w:marBottom w:val="0"/>
      <w:divBdr>
        <w:top w:val="none" w:sz="0" w:space="0" w:color="auto"/>
        <w:left w:val="none" w:sz="0" w:space="0" w:color="auto"/>
        <w:bottom w:val="none" w:sz="0" w:space="0" w:color="auto"/>
        <w:right w:val="none" w:sz="0" w:space="0" w:color="auto"/>
      </w:divBdr>
    </w:div>
    <w:div w:id="1926576157">
      <w:bodyDiv w:val="1"/>
      <w:marLeft w:val="0"/>
      <w:marRight w:val="0"/>
      <w:marTop w:val="0"/>
      <w:marBottom w:val="0"/>
      <w:divBdr>
        <w:top w:val="none" w:sz="0" w:space="0" w:color="auto"/>
        <w:left w:val="none" w:sz="0" w:space="0" w:color="auto"/>
        <w:bottom w:val="none" w:sz="0" w:space="0" w:color="auto"/>
        <w:right w:val="none" w:sz="0" w:space="0" w:color="auto"/>
      </w:divBdr>
    </w:div>
    <w:div w:id="1968898790">
      <w:bodyDiv w:val="1"/>
      <w:marLeft w:val="0"/>
      <w:marRight w:val="0"/>
      <w:marTop w:val="0"/>
      <w:marBottom w:val="0"/>
      <w:divBdr>
        <w:top w:val="none" w:sz="0" w:space="0" w:color="auto"/>
        <w:left w:val="none" w:sz="0" w:space="0" w:color="auto"/>
        <w:bottom w:val="none" w:sz="0" w:space="0" w:color="auto"/>
        <w:right w:val="none" w:sz="0" w:space="0" w:color="auto"/>
      </w:divBdr>
    </w:div>
    <w:div w:id="2004627942">
      <w:bodyDiv w:val="1"/>
      <w:marLeft w:val="0"/>
      <w:marRight w:val="0"/>
      <w:marTop w:val="0"/>
      <w:marBottom w:val="0"/>
      <w:divBdr>
        <w:top w:val="none" w:sz="0" w:space="0" w:color="auto"/>
        <w:left w:val="none" w:sz="0" w:space="0" w:color="auto"/>
        <w:bottom w:val="none" w:sz="0" w:space="0" w:color="auto"/>
        <w:right w:val="none" w:sz="0" w:space="0" w:color="auto"/>
      </w:divBdr>
      <w:divsChild>
        <w:div w:id="1038816799">
          <w:marLeft w:val="0"/>
          <w:marRight w:val="0"/>
          <w:marTop w:val="0"/>
          <w:marBottom w:val="0"/>
          <w:divBdr>
            <w:top w:val="none" w:sz="0" w:space="0" w:color="auto"/>
            <w:left w:val="none" w:sz="0" w:space="0" w:color="auto"/>
            <w:bottom w:val="none" w:sz="0" w:space="0" w:color="auto"/>
            <w:right w:val="none" w:sz="0" w:space="0" w:color="auto"/>
          </w:divBdr>
          <w:divsChild>
            <w:div w:id="693654485">
              <w:marLeft w:val="0"/>
              <w:marRight w:val="0"/>
              <w:marTop w:val="0"/>
              <w:marBottom w:val="0"/>
              <w:divBdr>
                <w:top w:val="none" w:sz="0" w:space="0" w:color="auto"/>
                <w:left w:val="none" w:sz="0" w:space="0" w:color="auto"/>
                <w:bottom w:val="none" w:sz="0" w:space="0" w:color="auto"/>
                <w:right w:val="none" w:sz="0" w:space="0" w:color="auto"/>
              </w:divBdr>
              <w:divsChild>
                <w:div w:id="1236016815">
                  <w:marLeft w:val="0"/>
                  <w:marRight w:val="0"/>
                  <w:marTop w:val="0"/>
                  <w:marBottom w:val="0"/>
                  <w:divBdr>
                    <w:top w:val="none" w:sz="0" w:space="0" w:color="auto"/>
                    <w:left w:val="none" w:sz="0" w:space="0" w:color="auto"/>
                    <w:bottom w:val="none" w:sz="0" w:space="0" w:color="auto"/>
                    <w:right w:val="none" w:sz="0" w:space="0" w:color="auto"/>
                  </w:divBdr>
                  <w:divsChild>
                    <w:div w:id="448202144">
                      <w:marLeft w:val="0"/>
                      <w:marRight w:val="0"/>
                      <w:marTop w:val="0"/>
                      <w:marBottom w:val="0"/>
                      <w:divBdr>
                        <w:top w:val="none" w:sz="0" w:space="0" w:color="auto"/>
                        <w:left w:val="none" w:sz="0" w:space="0" w:color="auto"/>
                        <w:bottom w:val="none" w:sz="0" w:space="0" w:color="auto"/>
                        <w:right w:val="none" w:sz="0" w:space="0" w:color="auto"/>
                      </w:divBdr>
                      <w:divsChild>
                        <w:div w:id="1098673354">
                          <w:marLeft w:val="0"/>
                          <w:marRight w:val="0"/>
                          <w:marTop w:val="0"/>
                          <w:marBottom w:val="0"/>
                          <w:divBdr>
                            <w:top w:val="none" w:sz="0" w:space="0" w:color="auto"/>
                            <w:left w:val="none" w:sz="0" w:space="0" w:color="auto"/>
                            <w:bottom w:val="none" w:sz="0" w:space="0" w:color="auto"/>
                            <w:right w:val="none" w:sz="0" w:space="0" w:color="auto"/>
                          </w:divBdr>
                          <w:divsChild>
                            <w:div w:id="1387410854">
                              <w:marLeft w:val="0"/>
                              <w:marRight w:val="0"/>
                              <w:marTop w:val="0"/>
                              <w:marBottom w:val="0"/>
                              <w:divBdr>
                                <w:top w:val="none" w:sz="0" w:space="0" w:color="auto"/>
                                <w:left w:val="none" w:sz="0" w:space="0" w:color="auto"/>
                                <w:bottom w:val="none" w:sz="0" w:space="0" w:color="auto"/>
                                <w:right w:val="none" w:sz="0" w:space="0" w:color="auto"/>
                              </w:divBdr>
                              <w:divsChild>
                                <w:div w:id="1335573337">
                                  <w:marLeft w:val="0"/>
                                  <w:marRight w:val="0"/>
                                  <w:marTop w:val="0"/>
                                  <w:marBottom w:val="0"/>
                                  <w:divBdr>
                                    <w:top w:val="none" w:sz="0" w:space="0" w:color="auto"/>
                                    <w:left w:val="none" w:sz="0" w:space="0" w:color="auto"/>
                                    <w:bottom w:val="none" w:sz="0" w:space="0" w:color="auto"/>
                                    <w:right w:val="none" w:sz="0" w:space="0" w:color="auto"/>
                                  </w:divBdr>
                                  <w:divsChild>
                                    <w:div w:id="31465369">
                                      <w:marLeft w:val="0"/>
                                      <w:marRight w:val="0"/>
                                      <w:marTop w:val="0"/>
                                      <w:marBottom w:val="0"/>
                                      <w:divBdr>
                                        <w:top w:val="none" w:sz="0" w:space="0" w:color="auto"/>
                                        <w:left w:val="none" w:sz="0" w:space="0" w:color="auto"/>
                                        <w:bottom w:val="none" w:sz="0" w:space="0" w:color="auto"/>
                                        <w:right w:val="none" w:sz="0" w:space="0" w:color="auto"/>
                                      </w:divBdr>
                                    </w:div>
                                    <w:div w:id="637296982">
                                      <w:marLeft w:val="0"/>
                                      <w:marRight w:val="0"/>
                                      <w:marTop w:val="0"/>
                                      <w:marBottom w:val="0"/>
                                      <w:divBdr>
                                        <w:top w:val="none" w:sz="0" w:space="0" w:color="auto"/>
                                        <w:left w:val="none" w:sz="0" w:space="0" w:color="auto"/>
                                        <w:bottom w:val="none" w:sz="0" w:space="0" w:color="auto"/>
                                        <w:right w:val="none" w:sz="0" w:space="0" w:color="auto"/>
                                      </w:divBdr>
                                      <w:divsChild>
                                        <w:div w:id="376397508">
                                          <w:marLeft w:val="0"/>
                                          <w:marRight w:val="165"/>
                                          <w:marTop w:val="150"/>
                                          <w:marBottom w:val="0"/>
                                          <w:divBdr>
                                            <w:top w:val="none" w:sz="0" w:space="0" w:color="auto"/>
                                            <w:left w:val="none" w:sz="0" w:space="0" w:color="auto"/>
                                            <w:bottom w:val="none" w:sz="0" w:space="0" w:color="auto"/>
                                            <w:right w:val="none" w:sz="0" w:space="0" w:color="auto"/>
                                          </w:divBdr>
                                          <w:divsChild>
                                            <w:div w:id="738288040">
                                              <w:marLeft w:val="0"/>
                                              <w:marRight w:val="0"/>
                                              <w:marTop w:val="0"/>
                                              <w:marBottom w:val="0"/>
                                              <w:divBdr>
                                                <w:top w:val="none" w:sz="0" w:space="0" w:color="auto"/>
                                                <w:left w:val="none" w:sz="0" w:space="0" w:color="auto"/>
                                                <w:bottom w:val="none" w:sz="0" w:space="0" w:color="auto"/>
                                                <w:right w:val="none" w:sz="0" w:space="0" w:color="auto"/>
                                              </w:divBdr>
                                              <w:divsChild>
                                                <w:div w:id="11356809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229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B23C8-C5F5-438C-AF75-E8ACCFA9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16</Pages>
  <Words>10307</Words>
  <Characters>55662</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Rabahi</dc:creator>
  <cp:keywords/>
  <dc:description/>
  <cp:lastModifiedBy>Usuário</cp:lastModifiedBy>
  <cp:revision>191</cp:revision>
  <cp:lastPrinted>2021-05-20T21:19:00Z</cp:lastPrinted>
  <dcterms:created xsi:type="dcterms:W3CDTF">2019-08-14T20:31:00Z</dcterms:created>
  <dcterms:modified xsi:type="dcterms:W3CDTF">2021-06-22T22:26:00Z</dcterms:modified>
</cp:coreProperties>
</file>