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85A91" w14:textId="3BA06C69" w:rsidR="00661045" w:rsidRPr="00BE5546" w:rsidRDefault="00BE5546" w:rsidP="00D852E3">
      <w:pPr>
        <w:pStyle w:val="Articletitle"/>
        <w:jc w:val="both"/>
      </w:pPr>
      <w:r>
        <w:t>Evaluation of the effects of</w:t>
      </w:r>
      <w:r w:rsidR="00DC4BDF">
        <w:t xml:space="preserve"> </w:t>
      </w:r>
      <w:r w:rsidR="00DC4BDF">
        <w:rPr>
          <w:i/>
          <w:iCs/>
        </w:rPr>
        <w:t>Spondias mombin</w:t>
      </w:r>
      <w:r>
        <w:t xml:space="preserve"> extract</w:t>
      </w:r>
    </w:p>
    <w:p w14:paraId="05073955" w14:textId="66C4ACDB" w:rsidR="00442B9C" w:rsidRDefault="00DC4BDF" w:rsidP="00D852E3">
      <w:pPr>
        <w:pStyle w:val="Authornames"/>
        <w:jc w:val="both"/>
      </w:pPr>
      <w:r>
        <w:t xml:space="preserve">Thais Aratak Marques </w:t>
      </w:r>
      <w:proofErr w:type="spellStart"/>
      <w:r>
        <w:t>Taia</w:t>
      </w:r>
      <w:r w:rsidR="004F428E" w:rsidRPr="00394920">
        <w:rPr>
          <w:vertAlign w:val="superscript"/>
        </w:rPr>
        <w:t>a</w:t>
      </w:r>
      <w:proofErr w:type="spellEnd"/>
      <w:r>
        <w:t xml:space="preserve">, Marcos Felipe Vilela </w:t>
      </w:r>
      <w:proofErr w:type="spellStart"/>
      <w:r>
        <w:t>Peres</w:t>
      </w:r>
      <w:r w:rsidRPr="00394920">
        <w:rPr>
          <w:vertAlign w:val="superscript"/>
        </w:rPr>
        <w:t>a</w:t>
      </w:r>
      <w:proofErr w:type="spellEnd"/>
      <w:r>
        <w:t xml:space="preserve">, Igor Mendes Moreira de </w:t>
      </w:r>
      <w:proofErr w:type="spellStart"/>
      <w:r>
        <w:t>Oliveira</w:t>
      </w:r>
      <w:r w:rsidRPr="00394920">
        <w:rPr>
          <w:vertAlign w:val="superscript"/>
        </w:rPr>
        <w:t>a</w:t>
      </w:r>
      <w:proofErr w:type="spellEnd"/>
      <w:r>
        <w:t xml:space="preserve">, </w:t>
      </w:r>
      <w:proofErr w:type="spellStart"/>
      <w:r>
        <w:t>Monatha</w:t>
      </w:r>
      <w:proofErr w:type="spellEnd"/>
      <w:r>
        <w:t xml:space="preserve"> </w:t>
      </w:r>
      <w:proofErr w:type="spellStart"/>
      <w:r>
        <w:t>Nayara</w:t>
      </w:r>
      <w:proofErr w:type="spellEnd"/>
      <w:r>
        <w:t xml:space="preserve"> </w:t>
      </w:r>
      <w:proofErr w:type="spellStart"/>
      <w:r>
        <w:t>Guimarães</w:t>
      </w:r>
      <w:proofErr w:type="spellEnd"/>
      <w:r>
        <w:t xml:space="preserve"> </w:t>
      </w:r>
      <w:proofErr w:type="spellStart"/>
      <w:r>
        <w:t>Teófilo</w:t>
      </w:r>
      <w:r w:rsidRPr="00394920">
        <w:rPr>
          <w:vertAlign w:val="superscript"/>
        </w:rPr>
        <w:t>a</w:t>
      </w:r>
      <w:proofErr w:type="spellEnd"/>
      <w:r>
        <w:t>,</w:t>
      </w:r>
      <w:r w:rsidR="0046328E">
        <w:t xml:space="preserve"> </w:t>
      </w:r>
      <w:proofErr w:type="spellStart"/>
      <w:r w:rsidR="0046328E">
        <w:t>Natália</w:t>
      </w:r>
      <w:proofErr w:type="spellEnd"/>
      <w:r w:rsidR="0046328E">
        <w:t xml:space="preserve"> Correia </w:t>
      </w:r>
      <w:proofErr w:type="spellStart"/>
      <w:r w:rsidR="0046328E">
        <w:t>Stoko</w:t>
      </w:r>
      <w:r w:rsidR="0046328E" w:rsidRPr="00394920">
        <w:rPr>
          <w:vertAlign w:val="superscript"/>
        </w:rPr>
        <w:t>a</w:t>
      </w:r>
      <w:proofErr w:type="spellEnd"/>
      <w:r w:rsidR="0046328E">
        <w:t xml:space="preserve">, </w:t>
      </w:r>
      <w:proofErr w:type="spellStart"/>
      <w:r w:rsidR="0046328E">
        <w:t>Suzana</w:t>
      </w:r>
      <w:proofErr w:type="spellEnd"/>
      <w:r w:rsidR="0046328E">
        <w:t xml:space="preserve"> Ferreira </w:t>
      </w:r>
      <w:proofErr w:type="spellStart"/>
      <w:r w:rsidR="0046328E">
        <w:t>Alves</w:t>
      </w:r>
      <w:r w:rsidR="0046328E" w:rsidRPr="00394920">
        <w:rPr>
          <w:vertAlign w:val="superscript"/>
        </w:rPr>
        <w:t>a</w:t>
      </w:r>
      <w:proofErr w:type="spellEnd"/>
      <w:r w:rsidR="0046328E">
        <w:t>,</w:t>
      </w:r>
      <w:r>
        <w:t xml:space="preserve"> Frank Souza </w:t>
      </w:r>
      <w:proofErr w:type="spellStart"/>
      <w:proofErr w:type="gramStart"/>
      <w:r>
        <w:t>Castro</w:t>
      </w:r>
      <w:r w:rsidR="005E5E7E">
        <w:rPr>
          <w:vertAlign w:val="superscript"/>
        </w:rPr>
        <w:t>a,b</w:t>
      </w:r>
      <w:proofErr w:type="spellEnd"/>
      <w:proofErr w:type="gramEnd"/>
      <w:r>
        <w:t xml:space="preserve">, </w:t>
      </w:r>
      <w:proofErr w:type="spellStart"/>
      <w:r>
        <w:t>Graziela</w:t>
      </w:r>
      <w:proofErr w:type="spellEnd"/>
      <w:r>
        <w:t xml:space="preserve"> Torres </w:t>
      </w:r>
      <w:proofErr w:type="spellStart"/>
      <w:r>
        <w:t>Blanch</w:t>
      </w:r>
      <w:r w:rsidRPr="00394920">
        <w:rPr>
          <w:vertAlign w:val="superscript"/>
        </w:rPr>
        <w:t>b</w:t>
      </w:r>
      <w:proofErr w:type="spellEnd"/>
      <w:r>
        <w:t xml:space="preserve">, </w:t>
      </w:r>
      <w:r w:rsidR="0062302C">
        <w:t xml:space="preserve">Sergio Henrique </w:t>
      </w:r>
      <w:proofErr w:type="spellStart"/>
      <w:r w:rsidR="0062302C">
        <w:t>Nascente</w:t>
      </w:r>
      <w:proofErr w:type="spellEnd"/>
      <w:r w:rsidR="0062302C">
        <w:t xml:space="preserve"> </w:t>
      </w:r>
      <w:proofErr w:type="spellStart"/>
      <w:r w:rsidR="0062302C">
        <w:t>Costa</w:t>
      </w:r>
      <w:r w:rsidR="005E5E7E">
        <w:rPr>
          <w:vertAlign w:val="superscript"/>
        </w:rPr>
        <w:t>a,b</w:t>
      </w:r>
      <w:proofErr w:type="spellEnd"/>
      <w:r w:rsidR="0062302C">
        <w:t xml:space="preserve">, Leonardo Luiz </w:t>
      </w:r>
      <w:proofErr w:type="spellStart"/>
      <w:r w:rsidR="0062302C">
        <w:t>Borges</w:t>
      </w:r>
      <w:r w:rsidR="0062302C" w:rsidRPr="00394920">
        <w:rPr>
          <w:vertAlign w:val="superscript"/>
        </w:rPr>
        <w:t>b</w:t>
      </w:r>
      <w:proofErr w:type="spellEnd"/>
      <w:r w:rsidR="0062302C">
        <w:t xml:space="preserve">, Alessandra Marques </w:t>
      </w:r>
      <w:proofErr w:type="spellStart"/>
      <w:r w:rsidR="0062302C" w:rsidRPr="00386D7B">
        <w:t>Cardoso</w:t>
      </w:r>
      <w:r w:rsidR="007A37F3" w:rsidRPr="00386D7B">
        <w:rPr>
          <w:vertAlign w:val="superscript"/>
        </w:rPr>
        <w:t>a,</w:t>
      </w:r>
      <w:r w:rsidR="0062302C" w:rsidRPr="00386D7B">
        <w:rPr>
          <w:vertAlign w:val="superscript"/>
        </w:rPr>
        <w:t>b</w:t>
      </w:r>
      <w:proofErr w:type="spellEnd"/>
      <w:r w:rsidR="0062302C" w:rsidRPr="00386D7B">
        <w:t>,</w:t>
      </w:r>
      <w:r w:rsidR="0062302C">
        <w:t xml:space="preserve"> </w:t>
      </w:r>
      <w:r>
        <w:t>a</w:t>
      </w:r>
      <w:r w:rsidR="004F428E">
        <w:t xml:space="preserve">nd </w:t>
      </w:r>
      <w:proofErr w:type="spellStart"/>
      <w:r>
        <w:t>Clayson</w:t>
      </w:r>
      <w:proofErr w:type="spellEnd"/>
      <w:r>
        <w:t xml:space="preserve"> Moura </w:t>
      </w:r>
      <w:proofErr w:type="spellStart"/>
      <w:r>
        <w:t>Gomes</w:t>
      </w:r>
      <w:r w:rsidR="005E5E7E">
        <w:rPr>
          <w:vertAlign w:val="superscript"/>
        </w:rPr>
        <w:t>a,b</w:t>
      </w:r>
      <w:proofErr w:type="spellEnd"/>
    </w:p>
    <w:p w14:paraId="2279C4C1" w14:textId="7544AA71" w:rsidR="00390A6B" w:rsidRDefault="00B64FA3">
      <w:pPr>
        <w:pStyle w:val="Affiliation"/>
        <w:jc w:val="both"/>
      </w:pPr>
      <w:proofErr w:type="spellStart"/>
      <w:r w:rsidRPr="00394920">
        <w:rPr>
          <w:vertAlign w:val="superscript"/>
        </w:rPr>
        <w:t>a</w:t>
      </w:r>
      <w:r w:rsidR="00DC4BDF">
        <w:t>Health</w:t>
      </w:r>
      <w:proofErr w:type="spellEnd"/>
      <w:r w:rsidR="00DC4BDF">
        <w:t xml:space="preserve"> Sciences</w:t>
      </w:r>
      <w:r>
        <w:t xml:space="preserve">, </w:t>
      </w:r>
      <w:proofErr w:type="spellStart"/>
      <w:r w:rsidR="00DC4BDF">
        <w:t>Pontifícia</w:t>
      </w:r>
      <w:proofErr w:type="spellEnd"/>
      <w:r w:rsidR="00DC4BDF">
        <w:t xml:space="preserve"> </w:t>
      </w:r>
      <w:proofErr w:type="spellStart"/>
      <w:r w:rsidR="00DC4BDF">
        <w:t>Universidade</w:t>
      </w:r>
      <w:proofErr w:type="spellEnd"/>
      <w:r w:rsidR="00DC4BDF">
        <w:t xml:space="preserve"> </w:t>
      </w:r>
      <w:proofErr w:type="spellStart"/>
      <w:r w:rsidR="00DC4BDF">
        <w:t>Católica</w:t>
      </w:r>
      <w:proofErr w:type="spellEnd"/>
      <w:r w:rsidR="00DC4BDF">
        <w:t xml:space="preserve"> de </w:t>
      </w:r>
      <w:proofErr w:type="spellStart"/>
      <w:r w:rsidR="00DC4BDF">
        <w:t>Goiás</w:t>
      </w:r>
      <w:proofErr w:type="spellEnd"/>
      <w:r>
        <w:t xml:space="preserve">, </w:t>
      </w:r>
      <w:proofErr w:type="spellStart"/>
      <w:r w:rsidR="00390A6B">
        <w:t>Goiânia</w:t>
      </w:r>
      <w:proofErr w:type="spellEnd"/>
      <w:r>
        <w:t xml:space="preserve">, </w:t>
      </w:r>
      <w:r w:rsidR="00390A6B">
        <w:t>Brazil</w:t>
      </w:r>
      <w:r>
        <w:t>;</w:t>
      </w:r>
      <w:r w:rsidRPr="003152C8">
        <w:t xml:space="preserve"> </w:t>
      </w:r>
      <w:proofErr w:type="spellStart"/>
      <w:r w:rsidRPr="00394920">
        <w:rPr>
          <w:vertAlign w:val="superscript"/>
        </w:rPr>
        <w:t>b</w:t>
      </w:r>
      <w:r w:rsidR="00390A6B">
        <w:t>Health</w:t>
      </w:r>
      <w:proofErr w:type="spellEnd"/>
      <w:r w:rsidR="00390A6B">
        <w:t xml:space="preserve"> Sciences, </w:t>
      </w:r>
      <w:proofErr w:type="spellStart"/>
      <w:r w:rsidR="005E5E7E">
        <w:t>Faculdade</w:t>
      </w:r>
      <w:proofErr w:type="spellEnd"/>
      <w:r w:rsidR="005E5E7E">
        <w:t xml:space="preserve"> da </w:t>
      </w:r>
      <w:proofErr w:type="spellStart"/>
      <w:r w:rsidR="005E5E7E">
        <w:t>Polícia</w:t>
      </w:r>
      <w:proofErr w:type="spellEnd"/>
      <w:r w:rsidR="005E5E7E">
        <w:t xml:space="preserve"> </w:t>
      </w:r>
      <w:proofErr w:type="spellStart"/>
      <w:r w:rsidR="005E5E7E">
        <w:t>Militar</w:t>
      </w:r>
      <w:proofErr w:type="spellEnd"/>
      <w:r w:rsidR="00390A6B">
        <w:t xml:space="preserve">, </w:t>
      </w:r>
      <w:proofErr w:type="spellStart"/>
      <w:r w:rsidR="00390A6B">
        <w:t>Goiânia</w:t>
      </w:r>
      <w:proofErr w:type="spellEnd"/>
      <w:r w:rsidR="00390A6B">
        <w:t>, Brazil;</w:t>
      </w:r>
    </w:p>
    <w:p w14:paraId="07AD91C3" w14:textId="5A951432" w:rsidR="000A4428" w:rsidRDefault="00C14585">
      <w:pPr>
        <w:pStyle w:val="Correspondencedetails"/>
        <w:jc w:val="both"/>
      </w:pPr>
      <w:r>
        <w:t xml:space="preserve">Provide </w:t>
      </w:r>
      <w:r w:rsidR="00997B0F">
        <w:t>full correspondence details here</w:t>
      </w:r>
      <w:r>
        <w:t xml:space="preserve"> including e-mail for the </w:t>
      </w:r>
      <w:r w:rsidR="005C056D">
        <w:t>*</w:t>
      </w:r>
      <w:r>
        <w:t>corresponding author</w:t>
      </w:r>
    </w:p>
    <w:p w14:paraId="2434B5DB" w14:textId="7708CD59" w:rsidR="00390A6B" w:rsidRDefault="00390A6B">
      <w:pPr>
        <w:pStyle w:val="Correspondencedetails"/>
        <w:jc w:val="both"/>
      </w:pPr>
      <w:r>
        <w:t xml:space="preserve">Contact: Clayson Moura Gomes, PhD </w:t>
      </w:r>
      <w:hyperlink r:id="rId8" w:history="1">
        <w:r w:rsidRPr="000659F2">
          <w:rPr>
            <w:rStyle w:val="Hyperlink"/>
          </w:rPr>
          <w:t>claysonmoura@yahoo.com.br</w:t>
        </w:r>
      </w:hyperlink>
      <w:r>
        <w:t xml:space="preserve"> Health Sciences, Faculty of the Military Police, Pontifical Catholic University of </w:t>
      </w:r>
      <w:proofErr w:type="spellStart"/>
      <w:r>
        <w:t>Goi</w:t>
      </w:r>
      <w:r w:rsidR="00B8387D">
        <w:t>á</w:t>
      </w:r>
      <w:r>
        <w:t>s</w:t>
      </w:r>
      <w:proofErr w:type="spellEnd"/>
      <w:r>
        <w:t xml:space="preserve">, </w:t>
      </w:r>
      <w:proofErr w:type="spellStart"/>
      <w:r>
        <w:t>Goiânia</w:t>
      </w:r>
      <w:proofErr w:type="spellEnd"/>
      <w:r>
        <w:t xml:space="preserve"> 74140-130, Brazil</w:t>
      </w:r>
    </w:p>
    <w:p w14:paraId="28BD987F" w14:textId="77777777" w:rsidR="00C14585" w:rsidRDefault="00C14585">
      <w:pPr>
        <w:pStyle w:val="Notesoncontributors"/>
        <w:jc w:val="both"/>
      </w:pPr>
      <w:r>
        <w:t>Provide short biographical notes on all contributors here if the journal requires them.</w:t>
      </w:r>
    </w:p>
    <w:p w14:paraId="0C8FF706" w14:textId="79D175C5" w:rsidR="00C246C5" w:rsidRPr="007D665E" w:rsidRDefault="00C14585">
      <w:pPr>
        <w:pStyle w:val="Articletitle"/>
        <w:jc w:val="both"/>
      </w:pPr>
      <w:r>
        <w:br w:type="page"/>
      </w:r>
      <w:r w:rsidR="00BE5546">
        <w:lastRenderedPageBreak/>
        <w:t xml:space="preserve">Evaluation of the effects of </w:t>
      </w:r>
      <w:r w:rsidR="00BE5546">
        <w:rPr>
          <w:i/>
          <w:iCs/>
        </w:rPr>
        <w:t>Spondias mombin</w:t>
      </w:r>
      <w:r w:rsidR="00BE5546">
        <w:t xml:space="preserve"> extract</w:t>
      </w:r>
    </w:p>
    <w:p w14:paraId="2E31FBAD" w14:textId="42B2027F" w:rsidR="008E69CE" w:rsidRPr="00BE5546" w:rsidRDefault="008E69CE" w:rsidP="001C1840">
      <w:pPr>
        <w:spacing w:before="240" w:after="240" w:line="360" w:lineRule="auto"/>
        <w:jc w:val="both"/>
        <w:rPr>
          <w:bCs/>
          <w:color w:val="000000"/>
        </w:rPr>
      </w:pPr>
      <w:r>
        <w:rPr>
          <w:b/>
          <w:color w:val="000000"/>
        </w:rPr>
        <w:t>Aim:</w:t>
      </w:r>
      <w:r>
        <w:rPr>
          <w:bCs/>
          <w:color w:val="000000"/>
        </w:rPr>
        <w:t xml:space="preserve"> </w:t>
      </w:r>
      <w:proofErr w:type="spellStart"/>
      <w:r w:rsidR="00BE5546">
        <w:rPr>
          <w:bCs/>
          <w:color w:val="000000"/>
        </w:rPr>
        <w:t>analyze</w:t>
      </w:r>
      <w:proofErr w:type="spellEnd"/>
      <w:r w:rsidR="00BE5546">
        <w:rPr>
          <w:bCs/>
          <w:color w:val="000000"/>
        </w:rPr>
        <w:t xml:space="preserve"> the effects of</w:t>
      </w:r>
      <w:r>
        <w:rPr>
          <w:bCs/>
          <w:color w:val="000000"/>
        </w:rPr>
        <w:t xml:space="preserve"> </w:t>
      </w:r>
      <w:r>
        <w:rPr>
          <w:bCs/>
          <w:i/>
          <w:iCs/>
          <w:color w:val="000000"/>
        </w:rPr>
        <w:t>Spondias mombin</w:t>
      </w:r>
      <w:r w:rsidR="00BE5546">
        <w:rPr>
          <w:bCs/>
          <w:color w:val="000000"/>
        </w:rPr>
        <w:t xml:space="preserve"> extract</w:t>
      </w:r>
    </w:p>
    <w:p w14:paraId="4E90DDA2" w14:textId="36229144" w:rsidR="008E69CE" w:rsidRDefault="008E69CE" w:rsidP="001C1840">
      <w:pPr>
        <w:spacing w:before="240" w:after="240" w:line="360" w:lineRule="auto"/>
        <w:jc w:val="both"/>
        <w:rPr>
          <w:color w:val="000000"/>
        </w:rPr>
      </w:pPr>
      <w:r>
        <w:rPr>
          <w:b/>
          <w:color w:val="000000"/>
        </w:rPr>
        <w:t>Methods:</w:t>
      </w:r>
      <w:r>
        <w:rPr>
          <w:bCs/>
          <w:color w:val="000000"/>
        </w:rPr>
        <w:t xml:space="preserve"> </w:t>
      </w:r>
      <w:r w:rsidR="00BE5546">
        <w:rPr>
          <w:bCs/>
          <w:color w:val="000000"/>
        </w:rPr>
        <w:t xml:space="preserve">Cell viability was evaluated by the MTT test. Fifteen Wistar rats were used, divided into 4 groups (control group – CT; control with extract – CT+EX; </w:t>
      </w:r>
      <w:proofErr w:type="spellStart"/>
      <w:r w:rsidR="00BE5546">
        <w:rPr>
          <w:bCs/>
          <w:color w:val="000000"/>
        </w:rPr>
        <w:t>hyperlipidic</w:t>
      </w:r>
      <w:proofErr w:type="spellEnd"/>
      <w:r w:rsidR="00BE5546">
        <w:rPr>
          <w:bCs/>
          <w:color w:val="000000"/>
        </w:rPr>
        <w:t xml:space="preserve"> diet – HL; </w:t>
      </w:r>
      <w:proofErr w:type="spellStart"/>
      <w:r w:rsidR="00BE5546">
        <w:rPr>
          <w:bCs/>
          <w:color w:val="000000"/>
        </w:rPr>
        <w:t>hyperlipidic</w:t>
      </w:r>
      <w:proofErr w:type="spellEnd"/>
      <w:r w:rsidR="00BE5546">
        <w:rPr>
          <w:bCs/>
          <w:color w:val="000000"/>
        </w:rPr>
        <w:t xml:space="preserve"> diet and extract HL+EX)</w:t>
      </w:r>
      <w:r>
        <w:rPr>
          <w:bCs/>
          <w:color w:val="000000"/>
        </w:rPr>
        <w:t xml:space="preserve">. </w:t>
      </w:r>
      <w:r w:rsidR="00BE5546">
        <w:rPr>
          <w:bCs/>
          <w:color w:val="000000"/>
        </w:rPr>
        <w:t>For 12 weeks the animals were weighed and their blood glucose assessed.</w:t>
      </w:r>
      <w:r>
        <w:rPr>
          <w:bCs/>
          <w:color w:val="000000"/>
        </w:rPr>
        <w:t xml:space="preserve"> </w:t>
      </w:r>
      <w:r w:rsidR="00386810">
        <w:rPr>
          <w:bCs/>
          <w:color w:val="000000"/>
        </w:rPr>
        <w:t>Afterwards, they were euthanized and the biological material was collected to evaluate the biochemical parameters and weighing the organs.</w:t>
      </w:r>
      <w:r>
        <w:rPr>
          <w:bCs/>
          <w:color w:val="000000"/>
        </w:rPr>
        <w:t xml:space="preserve"> </w:t>
      </w:r>
      <w:r w:rsidR="00386810">
        <w:rPr>
          <w:bCs/>
          <w:color w:val="000000"/>
        </w:rPr>
        <w:t>Microbiological analyses showed the microbicidal action. Statistical analyses were performed by ANOVA, Two-way ANOVA, Brown-Forsythe, Bartlett’s ant T-test.</w:t>
      </w:r>
      <w:r w:rsidR="00522B56">
        <w:rPr>
          <w:color w:val="000000"/>
        </w:rPr>
        <w:t xml:space="preserve"> </w:t>
      </w:r>
    </w:p>
    <w:p w14:paraId="26937C20" w14:textId="4A5142D2" w:rsidR="008E69CE" w:rsidRDefault="008E69CE" w:rsidP="001C1840">
      <w:pPr>
        <w:spacing w:before="240" w:after="240" w:line="360" w:lineRule="auto"/>
        <w:jc w:val="both"/>
        <w:rPr>
          <w:color w:val="000000"/>
        </w:rPr>
      </w:pPr>
      <w:r w:rsidRPr="008E69FC">
        <w:rPr>
          <w:b/>
          <w:bCs/>
          <w:color w:val="000000"/>
        </w:rPr>
        <w:t>Resul</w:t>
      </w:r>
      <w:r w:rsidR="00386810">
        <w:rPr>
          <w:b/>
          <w:bCs/>
          <w:color w:val="000000"/>
        </w:rPr>
        <w:t>t</w:t>
      </w:r>
      <w:r w:rsidRPr="008E69FC">
        <w:rPr>
          <w:b/>
          <w:bCs/>
          <w:color w:val="000000"/>
        </w:rPr>
        <w:t>s:</w:t>
      </w:r>
      <w:r>
        <w:rPr>
          <w:color w:val="000000"/>
        </w:rPr>
        <w:t xml:space="preserve"> </w:t>
      </w:r>
      <w:r w:rsidR="00386810">
        <w:rPr>
          <w:color w:val="000000"/>
        </w:rPr>
        <w:t xml:space="preserve">The evaluation of the animals confirmed the efficacy of the extract </w:t>
      </w:r>
      <w:proofErr w:type="spellStart"/>
      <w:r w:rsidR="00386810">
        <w:rPr>
          <w:color w:val="000000"/>
        </w:rPr>
        <w:t>os</w:t>
      </w:r>
      <w:proofErr w:type="spellEnd"/>
      <w:r w:rsidR="00386810">
        <w:rPr>
          <w:color w:val="000000"/>
        </w:rPr>
        <w:t xml:space="preserve"> </w:t>
      </w:r>
      <w:r w:rsidR="00386810">
        <w:rPr>
          <w:i/>
          <w:iCs/>
          <w:color w:val="000000"/>
        </w:rPr>
        <w:t>Spondias mombin</w:t>
      </w:r>
      <w:r w:rsidR="00386810">
        <w:rPr>
          <w:color w:val="000000"/>
        </w:rPr>
        <w:t xml:space="preserve"> against the cell metabolism of rats, without negatively altering cell viability; the group of rats with a </w:t>
      </w:r>
      <w:proofErr w:type="spellStart"/>
      <w:r w:rsidR="00386810">
        <w:rPr>
          <w:color w:val="000000"/>
        </w:rPr>
        <w:t>hyperlipidic</w:t>
      </w:r>
      <w:proofErr w:type="spellEnd"/>
      <w:r w:rsidR="00386810">
        <w:rPr>
          <w:color w:val="000000"/>
        </w:rPr>
        <w:t xml:space="preserve"> diet showed an increase in body wight, however, in the individual assessment of the organs, there were no significant changes.</w:t>
      </w:r>
      <w:r w:rsidR="0087685B">
        <w:rPr>
          <w:color w:val="000000"/>
        </w:rPr>
        <w:t xml:space="preserve"> </w:t>
      </w:r>
      <w:r w:rsidR="00386810">
        <w:rPr>
          <w:color w:val="000000"/>
        </w:rPr>
        <w:t xml:space="preserve">The </w:t>
      </w:r>
      <w:proofErr w:type="spellStart"/>
      <w:r w:rsidR="00386810">
        <w:rPr>
          <w:color w:val="000000"/>
        </w:rPr>
        <w:t>glycemic</w:t>
      </w:r>
      <w:proofErr w:type="spellEnd"/>
      <w:r w:rsidR="00386810">
        <w:rPr>
          <w:color w:val="000000"/>
        </w:rPr>
        <w:t xml:space="preserve"> index, liver parameters, lipids, and mineral ions did not show significant </w:t>
      </w:r>
      <w:proofErr w:type="spellStart"/>
      <w:r w:rsidR="00386810">
        <w:rPr>
          <w:color w:val="000000"/>
        </w:rPr>
        <w:t>chamges</w:t>
      </w:r>
      <w:proofErr w:type="spellEnd"/>
      <w:r w:rsidR="00386810">
        <w:rPr>
          <w:color w:val="000000"/>
        </w:rPr>
        <w:t>.</w:t>
      </w:r>
      <w:r w:rsidR="0087685B">
        <w:rPr>
          <w:color w:val="000000"/>
        </w:rPr>
        <w:t xml:space="preserve"> </w:t>
      </w:r>
      <w:r w:rsidR="00386810">
        <w:rPr>
          <w:color w:val="000000"/>
        </w:rPr>
        <w:t xml:space="preserve">Furthermore, the antimicrobial </w:t>
      </w:r>
      <w:proofErr w:type="spellStart"/>
      <w:r w:rsidR="00386810">
        <w:rPr>
          <w:color w:val="000000"/>
        </w:rPr>
        <w:t>potencial</w:t>
      </w:r>
      <w:proofErr w:type="spellEnd"/>
      <w:r w:rsidR="00386810">
        <w:rPr>
          <w:color w:val="000000"/>
        </w:rPr>
        <w:t xml:space="preserve"> of</w:t>
      </w:r>
      <w:r w:rsidR="0087685B">
        <w:rPr>
          <w:color w:val="000000"/>
        </w:rPr>
        <w:t xml:space="preserve"> </w:t>
      </w:r>
      <w:r w:rsidR="0087685B" w:rsidRPr="001C1840">
        <w:rPr>
          <w:i/>
          <w:iCs/>
          <w:color w:val="000000"/>
        </w:rPr>
        <w:t>Spondias mombi</w:t>
      </w:r>
      <w:r w:rsidR="00EE18A2">
        <w:rPr>
          <w:i/>
          <w:iCs/>
          <w:color w:val="000000"/>
        </w:rPr>
        <w:t>n</w:t>
      </w:r>
      <w:r w:rsidR="0087685B">
        <w:rPr>
          <w:color w:val="000000"/>
        </w:rPr>
        <w:t xml:space="preserve"> </w:t>
      </w:r>
      <w:r w:rsidR="00386810">
        <w:rPr>
          <w:color w:val="000000"/>
        </w:rPr>
        <w:t xml:space="preserve">extract was evidenced in relation to </w:t>
      </w:r>
      <w:r w:rsidR="0087685B" w:rsidRPr="00E4305D">
        <w:rPr>
          <w:bCs/>
          <w:i/>
          <w:iCs/>
          <w:color w:val="000000"/>
        </w:rPr>
        <w:t>Staphylococcus aureus</w:t>
      </w:r>
      <w:r w:rsidR="0087685B">
        <w:rPr>
          <w:bCs/>
          <w:i/>
          <w:iCs/>
          <w:color w:val="000000"/>
        </w:rPr>
        <w:t xml:space="preserve"> ATCC 29213</w:t>
      </w:r>
      <w:r w:rsidR="0087685B">
        <w:rPr>
          <w:bCs/>
          <w:color w:val="000000"/>
        </w:rPr>
        <w:t xml:space="preserve"> </w:t>
      </w:r>
      <w:r w:rsidR="00386810">
        <w:rPr>
          <w:bCs/>
          <w:color w:val="000000"/>
        </w:rPr>
        <w:t>and</w:t>
      </w:r>
      <w:r w:rsidR="0087685B">
        <w:rPr>
          <w:bCs/>
          <w:color w:val="000000"/>
        </w:rPr>
        <w:t xml:space="preserve"> </w:t>
      </w:r>
      <w:r w:rsidR="0087685B" w:rsidRPr="00E4305D">
        <w:rPr>
          <w:bCs/>
          <w:i/>
          <w:iCs/>
          <w:color w:val="000000"/>
        </w:rPr>
        <w:t>Staphylococcus aureus</w:t>
      </w:r>
      <w:r w:rsidR="0087685B">
        <w:rPr>
          <w:bCs/>
          <w:i/>
          <w:iCs/>
          <w:color w:val="000000"/>
        </w:rPr>
        <w:t xml:space="preserve"> BLACC</w:t>
      </w:r>
      <w:r w:rsidR="0087685B">
        <w:rPr>
          <w:color w:val="000000"/>
        </w:rPr>
        <w:t xml:space="preserve">. </w:t>
      </w:r>
    </w:p>
    <w:p w14:paraId="030D9D2A" w14:textId="58CC10E4" w:rsidR="008E69CE" w:rsidRPr="00C4411D" w:rsidRDefault="008E69CE" w:rsidP="001C1840">
      <w:pPr>
        <w:spacing w:before="240" w:after="240" w:line="360" w:lineRule="auto"/>
        <w:jc w:val="both"/>
        <w:rPr>
          <w:b/>
          <w:bCs/>
          <w:color w:val="000000"/>
        </w:rPr>
      </w:pPr>
      <w:r>
        <w:rPr>
          <w:b/>
          <w:bCs/>
          <w:color w:val="000000"/>
        </w:rPr>
        <w:t>Conclus</w:t>
      </w:r>
      <w:r w:rsidR="006B71F4">
        <w:rPr>
          <w:b/>
          <w:bCs/>
          <w:color w:val="000000"/>
        </w:rPr>
        <w:t>ion</w:t>
      </w:r>
      <w:r>
        <w:rPr>
          <w:b/>
          <w:bCs/>
          <w:color w:val="000000"/>
        </w:rPr>
        <w:t xml:space="preserve">: </w:t>
      </w:r>
      <w:r w:rsidR="006B71F4">
        <w:rPr>
          <w:color w:val="000000"/>
        </w:rPr>
        <w:t xml:space="preserve">The results show that </w:t>
      </w:r>
      <w:r w:rsidR="006B71F4">
        <w:rPr>
          <w:i/>
          <w:iCs/>
          <w:color w:val="000000"/>
        </w:rPr>
        <w:t>Spondias mombin</w:t>
      </w:r>
      <w:r w:rsidR="006B71F4">
        <w:rPr>
          <w:color w:val="000000"/>
        </w:rPr>
        <w:t xml:space="preserve"> extract does not interfere with cell viability and did not show cytotoxicity to the cells to which they were exposed, nor did it interfere with the metabolism, organs and biochemical indices of rats with a normal or </w:t>
      </w:r>
      <w:proofErr w:type="spellStart"/>
      <w:r w:rsidR="006B71F4">
        <w:rPr>
          <w:color w:val="000000"/>
        </w:rPr>
        <w:t>hyperlipidic</w:t>
      </w:r>
      <w:proofErr w:type="spellEnd"/>
      <w:r w:rsidR="006B71F4">
        <w:rPr>
          <w:color w:val="000000"/>
        </w:rPr>
        <w:t xml:space="preserve"> diet.</w:t>
      </w:r>
      <w:r>
        <w:rPr>
          <w:color w:val="000000"/>
        </w:rPr>
        <w:t xml:space="preserve"> </w:t>
      </w:r>
      <w:r w:rsidR="008304B6">
        <w:rPr>
          <w:color w:val="000000"/>
        </w:rPr>
        <w:t>With the microbicide potential observed, research can be carried out in order to obtain new drugs with antimicrobial action, and possible beneficial action to the cardiovascular system</w:t>
      </w:r>
      <w:r>
        <w:rPr>
          <w:color w:val="000000"/>
        </w:rPr>
        <w:t xml:space="preserve">. </w:t>
      </w:r>
    </w:p>
    <w:p w14:paraId="665C8E2B" w14:textId="5984EDFA" w:rsidR="0020415E" w:rsidRPr="009D6F32" w:rsidRDefault="00997B0F">
      <w:pPr>
        <w:pStyle w:val="Keywords"/>
      </w:pPr>
      <w:r>
        <w:t xml:space="preserve">Keywords: </w:t>
      </w:r>
      <w:r w:rsidR="009D6F32">
        <w:rPr>
          <w:i/>
          <w:iCs/>
        </w:rPr>
        <w:t>Spondias mombin,</w:t>
      </w:r>
      <w:r w:rsidR="009D6F32">
        <w:t xml:space="preserve"> </w:t>
      </w:r>
      <w:proofErr w:type="spellStart"/>
      <w:r w:rsidR="009D6F32">
        <w:t>hyperlipidic</w:t>
      </w:r>
      <w:proofErr w:type="spellEnd"/>
      <w:r w:rsidR="009D6F32">
        <w:t xml:space="preserve"> diet, antimicrobial inhibition</w:t>
      </w:r>
    </w:p>
    <w:p w14:paraId="7494A41F" w14:textId="1BEC74FB" w:rsidR="00997B0F" w:rsidRDefault="009D6F32">
      <w:pPr>
        <w:pStyle w:val="Ttulo1"/>
      </w:pPr>
      <w:r>
        <w:t>Introduction</w:t>
      </w:r>
    </w:p>
    <w:p w14:paraId="4C375DA8" w14:textId="5CD47114" w:rsidR="008E69CE" w:rsidRDefault="008E69CE" w:rsidP="001C1840">
      <w:pPr>
        <w:spacing w:before="240" w:after="240" w:line="360" w:lineRule="auto"/>
        <w:jc w:val="both"/>
        <w:rPr>
          <w:color w:val="000000"/>
        </w:rPr>
      </w:pPr>
      <w:r>
        <w:rPr>
          <w:i/>
          <w:color w:val="000000"/>
        </w:rPr>
        <w:t>Spondias mombin</w:t>
      </w:r>
      <w:r>
        <w:rPr>
          <w:color w:val="000000"/>
        </w:rPr>
        <w:t xml:space="preserve">, </w:t>
      </w:r>
      <w:r w:rsidR="0021235E">
        <w:rPr>
          <w:color w:val="000000"/>
        </w:rPr>
        <w:t xml:space="preserve">popularly known as </w:t>
      </w:r>
      <w:proofErr w:type="spellStart"/>
      <w:r w:rsidR="0021235E">
        <w:rPr>
          <w:color w:val="000000"/>
        </w:rPr>
        <w:t>Cajá</w:t>
      </w:r>
      <w:proofErr w:type="spellEnd"/>
      <w:r w:rsidR="0021235E">
        <w:rPr>
          <w:color w:val="000000"/>
        </w:rPr>
        <w:t xml:space="preserve">, </w:t>
      </w:r>
      <w:proofErr w:type="spellStart"/>
      <w:r w:rsidR="0021235E">
        <w:rPr>
          <w:color w:val="000000"/>
        </w:rPr>
        <w:t>Cajazeira</w:t>
      </w:r>
      <w:proofErr w:type="spellEnd"/>
      <w:r w:rsidR="0021235E">
        <w:rPr>
          <w:color w:val="000000"/>
        </w:rPr>
        <w:t xml:space="preserve"> and </w:t>
      </w:r>
      <w:proofErr w:type="spellStart"/>
      <w:r w:rsidR="0021235E">
        <w:rPr>
          <w:color w:val="000000"/>
        </w:rPr>
        <w:t>Taperebá</w:t>
      </w:r>
      <w:proofErr w:type="spellEnd"/>
      <w:r w:rsidR="0021235E">
        <w:rPr>
          <w:color w:val="000000"/>
        </w:rPr>
        <w:t xml:space="preserve"> is a fruit species that belongs to the</w:t>
      </w:r>
      <w:r>
        <w:rPr>
          <w:color w:val="000000"/>
        </w:rPr>
        <w:t xml:space="preserve"> </w:t>
      </w:r>
      <w:proofErr w:type="spellStart"/>
      <w:r>
        <w:rPr>
          <w:i/>
          <w:color w:val="000000"/>
        </w:rPr>
        <w:t>Anacardiceae</w:t>
      </w:r>
      <w:proofErr w:type="spellEnd"/>
      <w:r>
        <w:rPr>
          <w:color w:val="000000"/>
        </w:rPr>
        <w:t xml:space="preserve"> </w:t>
      </w:r>
      <w:r w:rsidR="0021235E">
        <w:rPr>
          <w:color w:val="000000"/>
        </w:rPr>
        <w:t>family and is found mainly in the North and Northeast of Brazil</w:t>
      </w:r>
      <w:r>
        <w:rPr>
          <w:color w:val="000000"/>
        </w:rPr>
        <w:t xml:space="preserve"> (</w:t>
      </w:r>
      <w:r w:rsidR="0000181D">
        <w:rPr>
          <w:color w:val="000000"/>
        </w:rPr>
        <w:t>1</w:t>
      </w:r>
      <w:r>
        <w:rPr>
          <w:color w:val="000000"/>
        </w:rPr>
        <w:t xml:space="preserve">). </w:t>
      </w:r>
      <w:r w:rsidR="0021235E">
        <w:rPr>
          <w:color w:val="000000"/>
        </w:rPr>
        <w:t xml:space="preserve">All parts of its tree are used in traditional medicine since its bioactive </w:t>
      </w:r>
      <w:r w:rsidR="0021235E">
        <w:rPr>
          <w:color w:val="000000"/>
        </w:rPr>
        <w:lastRenderedPageBreak/>
        <w:t>compounds, such as flavonoids, carotenoids, phenolic compounds and</w:t>
      </w:r>
      <w:r>
        <w:rPr>
          <w:color w:val="000000"/>
        </w:rPr>
        <w:t xml:space="preserve"> ß-cr</w:t>
      </w:r>
      <w:r w:rsidR="0021235E">
        <w:rPr>
          <w:color w:val="000000"/>
        </w:rPr>
        <w:t>yptoxanthin</w:t>
      </w:r>
      <w:r>
        <w:rPr>
          <w:color w:val="000000"/>
        </w:rPr>
        <w:t xml:space="preserve">, </w:t>
      </w:r>
      <w:r w:rsidR="0021235E">
        <w:rPr>
          <w:color w:val="000000"/>
        </w:rPr>
        <w:t xml:space="preserve">play important roles in the body such as preventing oxidative stress and </w:t>
      </w:r>
      <w:proofErr w:type="spellStart"/>
      <w:r w:rsidR="0021235E">
        <w:rPr>
          <w:color w:val="000000"/>
        </w:rPr>
        <w:t>codegenerative</w:t>
      </w:r>
      <w:proofErr w:type="spellEnd"/>
      <w:r w:rsidR="0021235E">
        <w:rPr>
          <w:color w:val="000000"/>
        </w:rPr>
        <w:t xml:space="preserve"> diseases</w:t>
      </w:r>
      <w:r>
        <w:rPr>
          <w:color w:val="000000"/>
        </w:rPr>
        <w:t xml:space="preserve"> (</w:t>
      </w:r>
      <w:r w:rsidR="00C94BF4">
        <w:rPr>
          <w:color w:val="000000"/>
        </w:rPr>
        <w:t>2, 3, 4, 5, 6, 7</w:t>
      </w:r>
      <w:r>
        <w:rPr>
          <w:color w:val="000000"/>
        </w:rPr>
        <w:t xml:space="preserve">). </w:t>
      </w:r>
    </w:p>
    <w:p w14:paraId="0310E155" w14:textId="2B31D386" w:rsidR="008E69CE" w:rsidRDefault="002D47EB" w:rsidP="001C1840">
      <w:pPr>
        <w:spacing w:before="240" w:after="240" w:line="360" w:lineRule="auto"/>
        <w:ind w:firstLine="708"/>
        <w:jc w:val="both"/>
        <w:rPr>
          <w:color w:val="000000"/>
        </w:rPr>
      </w:pPr>
      <w:r>
        <w:rPr>
          <w:color w:val="000000"/>
        </w:rPr>
        <w:t>Biochemical analyses showed that</w:t>
      </w:r>
      <w:r w:rsidR="008E69CE">
        <w:rPr>
          <w:color w:val="000000"/>
        </w:rPr>
        <w:t xml:space="preserve"> </w:t>
      </w:r>
      <w:r w:rsidR="001760D0" w:rsidRPr="001C1840">
        <w:rPr>
          <w:i/>
          <w:iCs/>
          <w:color w:val="000000"/>
        </w:rPr>
        <w:t>Spondias mombin</w:t>
      </w:r>
      <w:r w:rsidR="001760D0">
        <w:rPr>
          <w:color w:val="000000"/>
        </w:rPr>
        <w:t xml:space="preserve"> </w:t>
      </w:r>
      <w:r>
        <w:rPr>
          <w:color w:val="000000"/>
        </w:rPr>
        <w:t xml:space="preserve">is a food with high nutritional and functional content, with considerable amounts of vitamin C and provitamin A and with low energy content, since its structure is low in starches and in the presence of insoluble </w:t>
      </w:r>
      <w:proofErr w:type="spellStart"/>
      <w:r>
        <w:rPr>
          <w:color w:val="000000"/>
        </w:rPr>
        <w:t>fibers</w:t>
      </w:r>
      <w:proofErr w:type="spellEnd"/>
      <w:r w:rsidR="008E69CE">
        <w:rPr>
          <w:color w:val="000000"/>
        </w:rPr>
        <w:t xml:space="preserve"> (</w:t>
      </w:r>
      <w:r w:rsidR="00C94BF4">
        <w:rPr>
          <w:color w:val="000000"/>
        </w:rPr>
        <w:t>8</w:t>
      </w:r>
      <w:r w:rsidR="008E69CE">
        <w:rPr>
          <w:color w:val="000000"/>
        </w:rPr>
        <w:t>).</w:t>
      </w:r>
    </w:p>
    <w:p w14:paraId="39A1318D" w14:textId="2137E0D2" w:rsidR="008E69CE" w:rsidRDefault="002D47EB" w:rsidP="001C1840">
      <w:pPr>
        <w:spacing w:before="240" w:after="240" w:line="360" w:lineRule="auto"/>
        <w:ind w:firstLine="708"/>
        <w:jc w:val="both"/>
        <w:rPr>
          <w:color w:val="000000"/>
        </w:rPr>
      </w:pPr>
      <w:proofErr w:type="spellStart"/>
      <w:r>
        <w:rPr>
          <w:color w:val="000000"/>
        </w:rPr>
        <w:t>Suplementation</w:t>
      </w:r>
      <w:proofErr w:type="spellEnd"/>
      <w:r>
        <w:rPr>
          <w:color w:val="000000"/>
        </w:rPr>
        <w:t xml:space="preserve"> with</w:t>
      </w:r>
      <w:r w:rsidR="008E69CE">
        <w:rPr>
          <w:color w:val="000000"/>
        </w:rPr>
        <w:t xml:space="preserve"> </w:t>
      </w:r>
      <w:r w:rsidR="008E69CE">
        <w:rPr>
          <w:i/>
          <w:color w:val="000000"/>
        </w:rPr>
        <w:t>Spondias mombin</w:t>
      </w:r>
      <w:r w:rsidR="008E69CE">
        <w:rPr>
          <w:color w:val="000000"/>
        </w:rPr>
        <w:t xml:space="preserve"> </w:t>
      </w:r>
      <w:r>
        <w:rPr>
          <w:color w:val="000000"/>
        </w:rPr>
        <w:t xml:space="preserve">has the potential to attenuate cardiac </w:t>
      </w:r>
      <w:proofErr w:type="spellStart"/>
      <w:r>
        <w:rPr>
          <w:color w:val="000000"/>
        </w:rPr>
        <w:t>remodeling</w:t>
      </w:r>
      <w:proofErr w:type="spellEnd"/>
      <w:r>
        <w:rPr>
          <w:color w:val="000000"/>
        </w:rPr>
        <w:t xml:space="preserve"> after myocardial infarction, as it is responsible for the reduction of processes such as fibrosis, myocardial hypertrophy, and better development in oxidative stress cascades, energy metabolism and inflammatory processes, such as those that occur during the infarction, thus denoting its cardioprotective effect</w:t>
      </w:r>
      <w:r w:rsidR="008E69CE">
        <w:rPr>
          <w:color w:val="000000"/>
        </w:rPr>
        <w:t xml:space="preserve"> (</w:t>
      </w:r>
      <w:r w:rsidR="00C94BF4">
        <w:rPr>
          <w:color w:val="000000"/>
        </w:rPr>
        <w:t>9, 10</w:t>
      </w:r>
      <w:r w:rsidR="008E69CE">
        <w:rPr>
          <w:color w:val="000000"/>
        </w:rPr>
        <w:t xml:space="preserve">). </w:t>
      </w:r>
    </w:p>
    <w:p w14:paraId="77F6C67D" w14:textId="1B41FAFB" w:rsidR="008E69CE" w:rsidRPr="00CA054F" w:rsidRDefault="002D47EB" w:rsidP="001C1840">
      <w:pPr>
        <w:spacing w:before="240" w:after="240" w:line="360" w:lineRule="auto"/>
        <w:ind w:firstLine="708"/>
        <w:jc w:val="both"/>
        <w:rPr>
          <w:iCs/>
        </w:rPr>
      </w:pPr>
      <w:r>
        <w:rPr>
          <w:color w:val="000000"/>
        </w:rPr>
        <w:t>The ability of</w:t>
      </w:r>
      <w:r w:rsidR="008E69CE">
        <w:rPr>
          <w:color w:val="000000"/>
        </w:rPr>
        <w:t xml:space="preserve"> </w:t>
      </w:r>
      <w:r w:rsidR="008E69CE">
        <w:rPr>
          <w:i/>
          <w:color w:val="000000"/>
        </w:rPr>
        <w:t>Spondias mombin</w:t>
      </w:r>
      <w:r w:rsidR="008E69CE">
        <w:rPr>
          <w:iCs/>
          <w:color w:val="000000"/>
        </w:rPr>
        <w:t xml:space="preserve"> </w:t>
      </w:r>
      <w:r>
        <w:rPr>
          <w:iCs/>
          <w:color w:val="000000"/>
        </w:rPr>
        <w:t xml:space="preserve">compounds, especially flavonoids, to prevent oxidative stress, act to reduce inflammation markers and lead to an improvement in the lipid profile, </w:t>
      </w:r>
      <w:proofErr w:type="spellStart"/>
      <w:r>
        <w:rPr>
          <w:iCs/>
          <w:color w:val="000000"/>
        </w:rPr>
        <w:t>wich</w:t>
      </w:r>
      <w:proofErr w:type="spellEnd"/>
      <w:r>
        <w:rPr>
          <w:iCs/>
          <w:color w:val="000000"/>
        </w:rPr>
        <w:t xml:space="preserve"> alters the synthesis, accumulation and storage pathways of lipids present in hepatocytes and adipocytes, makes it an alternative to attenuate and even reduce the number of overweight or even obese individuals</w:t>
      </w:r>
      <w:r w:rsidR="008E69CE">
        <w:rPr>
          <w:iCs/>
          <w:color w:val="000000"/>
        </w:rPr>
        <w:t xml:space="preserve"> (</w:t>
      </w:r>
      <w:r w:rsidR="00C94BF4">
        <w:rPr>
          <w:iCs/>
          <w:color w:val="000000"/>
        </w:rPr>
        <w:t>11, 12</w:t>
      </w:r>
      <w:r w:rsidR="008E69CE">
        <w:rPr>
          <w:iCs/>
          <w:color w:val="000000"/>
        </w:rPr>
        <w:t xml:space="preserve">). </w:t>
      </w:r>
    </w:p>
    <w:p w14:paraId="51299934" w14:textId="665D9957" w:rsidR="008E69CE" w:rsidRDefault="00326BA8" w:rsidP="001C1840">
      <w:pPr>
        <w:spacing w:before="240" w:after="240" w:line="360" w:lineRule="auto"/>
        <w:ind w:firstLine="708"/>
        <w:jc w:val="both"/>
      </w:pPr>
      <w:r>
        <w:rPr>
          <w:color w:val="000000"/>
        </w:rPr>
        <w:t>It was also found that the extract of</w:t>
      </w:r>
      <w:r w:rsidR="008E69CE">
        <w:rPr>
          <w:color w:val="000000"/>
        </w:rPr>
        <w:t xml:space="preserve"> </w:t>
      </w:r>
      <w:r w:rsidR="008E69CE">
        <w:rPr>
          <w:i/>
          <w:color w:val="000000"/>
        </w:rPr>
        <w:t>Spondias mombin</w:t>
      </w:r>
      <w:r w:rsidR="008E69CE">
        <w:rPr>
          <w:color w:val="000000"/>
        </w:rPr>
        <w:t xml:space="preserve"> </w:t>
      </w:r>
      <w:r>
        <w:rPr>
          <w:color w:val="000000"/>
        </w:rPr>
        <w:t>has constituents that improve psychiatric disorders, in addition to having antiviral, antifungal and antimicrobial activity against selected microorganisms, such as strains of</w:t>
      </w:r>
      <w:r w:rsidR="008E69CE">
        <w:rPr>
          <w:color w:val="000000"/>
        </w:rPr>
        <w:t xml:space="preserve"> </w:t>
      </w:r>
      <w:r w:rsidR="008E69CE">
        <w:rPr>
          <w:i/>
          <w:color w:val="000000"/>
        </w:rPr>
        <w:t>Staphylococcus aureu</w:t>
      </w:r>
      <w:r w:rsidR="008E69CE" w:rsidRPr="000B32C6">
        <w:rPr>
          <w:i/>
          <w:color w:val="000000"/>
        </w:rPr>
        <w:t>s</w:t>
      </w:r>
      <w:r w:rsidR="008E69CE">
        <w:rPr>
          <w:color w:val="000000"/>
        </w:rPr>
        <w:t xml:space="preserve"> </w:t>
      </w:r>
      <w:r w:rsidR="008E69CE">
        <w:rPr>
          <w:color w:val="000000"/>
          <w:highlight w:val="white"/>
        </w:rPr>
        <w:t>(</w:t>
      </w:r>
      <w:r w:rsidR="00C94BF4">
        <w:rPr>
          <w:color w:val="000000"/>
          <w:highlight w:val="white"/>
        </w:rPr>
        <w:t>13, 14, 15, 16, 17, 18, 19, 20, 21, 22, 23, 24</w:t>
      </w:r>
      <w:r w:rsidR="008E69CE">
        <w:rPr>
          <w:color w:val="000000"/>
          <w:highlight w:val="white"/>
        </w:rPr>
        <w:t>)</w:t>
      </w:r>
      <w:r w:rsidR="000B32C6">
        <w:rPr>
          <w:color w:val="000000"/>
        </w:rPr>
        <w:t>.</w:t>
      </w:r>
    </w:p>
    <w:p w14:paraId="71248811" w14:textId="1EF261DE" w:rsidR="009D6F32" w:rsidRDefault="00326BA8" w:rsidP="001C1840">
      <w:pPr>
        <w:spacing w:before="240" w:after="240" w:line="360" w:lineRule="auto"/>
        <w:ind w:firstLine="708"/>
        <w:jc w:val="both"/>
      </w:pPr>
      <w:r>
        <w:rPr>
          <w:color w:val="000000"/>
        </w:rPr>
        <w:t>In line with the aforementioned facts, it is necessary to assess whether the extract, despite having several benefits, interferes with cell metabolism, in such a way that its microbicide potential can be explored.</w:t>
      </w:r>
      <w:r w:rsidR="008E69CE">
        <w:rPr>
          <w:color w:val="000000"/>
        </w:rPr>
        <w:t xml:space="preserve"> </w:t>
      </w:r>
      <w:r>
        <w:rPr>
          <w:color w:val="000000"/>
        </w:rPr>
        <w:t xml:space="preserve">Thus, our study, </w:t>
      </w:r>
      <w:proofErr w:type="spellStart"/>
      <w:r>
        <w:rPr>
          <w:color w:val="000000"/>
        </w:rPr>
        <w:t>wich</w:t>
      </w:r>
      <w:proofErr w:type="spellEnd"/>
      <w:r>
        <w:rPr>
          <w:color w:val="000000"/>
        </w:rPr>
        <w:t xml:space="preserve"> is an experimental research with</w:t>
      </w:r>
      <w:r w:rsidR="008E69CE">
        <w:rPr>
          <w:color w:val="000000"/>
        </w:rPr>
        <w:t xml:space="preserve"> </w:t>
      </w:r>
      <w:r w:rsidR="008E69CE">
        <w:rPr>
          <w:i/>
          <w:color w:val="000000"/>
        </w:rPr>
        <w:t xml:space="preserve">Spondias mombin </w:t>
      </w:r>
      <w:r>
        <w:rPr>
          <w:color w:val="000000"/>
        </w:rPr>
        <w:t xml:space="preserve">extract in an animal model, verified its effects on Wistar rats submitted or not to a </w:t>
      </w:r>
      <w:proofErr w:type="spellStart"/>
      <w:r>
        <w:rPr>
          <w:color w:val="000000"/>
        </w:rPr>
        <w:t>hyperlipidic</w:t>
      </w:r>
      <w:proofErr w:type="spellEnd"/>
      <w:r>
        <w:rPr>
          <w:color w:val="000000"/>
        </w:rPr>
        <w:t xml:space="preserve"> diet.</w:t>
      </w:r>
    </w:p>
    <w:p w14:paraId="03130381" w14:textId="787DBCD9" w:rsidR="009D6F32" w:rsidRDefault="00D61ECA">
      <w:pPr>
        <w:pStyle w:val="Ttulo1"/>
      </w:pPr>
      <w:r>
        <w:lastRenderedPageBreak/>
        <w:t>Materials and methods</w:t>
      </w:r>
    </w:p>
    <w:p w14:paraId="43775270" w14:textId="6CD65CFA" w:rsidR="008E69CE" w:rsidRDefault="008E69CE">
      <w:pPr>
        <w:pStyle w:val="Ttulo2"/>
      </w:pPr>
      <w:r>
        <w:t>C</w:t>
      </w:r>
      <w:r w:rsidR="00200EC4">
        <w:t>ell cultivation</w:t>
      </w:r>
    </w:p>
    <w:p w14:paraId="340828D9" w14:textId="33CC29D8" w:rsidR="007D665E" w:rsidRDefault="008E69CE" w:rsidP="00E0605C">
      <w:pPr>
        <w:spacing w:before="240" w:line="360" w:lineRule="auto"/>
        <w:jc w:val="both"/>
      </w:pPr>
      <w:r>
        <w:rPr>
          <w:color w:val="000000"/>
        </w:rPr>
        <w:t>RAW 264.7</w:t>
      </w:r>
      <w:r w:rsidR="00200EC4">
        <w:rPr>
          <w:color w:val="000000"/>
        </w:rPr>
        <w:t xml:space="preserve"> cells</w:t>
      </w:r>
      <w:r>
        <w:rPr>
          <w:color w:val="000000"/>
        </w:rPr>
        <w:t xml:space="preserve"> (</w:t>
      </w:r>
      <w:r w:rsidR="00200EC4">
        <w:rPr>
          <w:color w:val="000000"/>
        </w:rPr>
        <w:t>murine macrophages</w:t>
      </w:r>
      <w:r>
        <w:rPr>
          <w:color w:val="000000"/>
        </w:rPr>
        <w:t xml:space="preserve">) </w:t>
      </w:r>
      <w:r w:rsidR="00200EC4">
        <w:rPr>
          <w:color w:val="000000"/>
        </w:rPr>
        <w:t xml:space="preserve">were donated by </w:t>
      </w:r>
      <w:proofErr w:type="spellStart"/>
      <w:r w:rsidR="00200EC4">
        <w:rPr>
          <w:color w:val="000000"/>
        </w:rPr>
        <w:t>Dr.</w:t>
      </w:r>
      <w:proofErr w:type="spellEnd"/>
      <w:r>
        <w:rPr>
          <w:color w:val="000000"/>
        </w:rPr>
        <w:t xml:space="preserve"> Milton Adriano </w:t>
      </w:r>
      <w:proofErr w:type="spellStart"/>
      <w:r>
        <w:rPr>
          <w:color w:val="000000"/>
        </w:rPr>
        <w:t>Pelli</w:t>
      </w:r>
      <w:proofErr w:type="spellEnd"/>
      <w:r>
        <w:rPr>
          <w:color w:val="000000"/>
        </w:rPr>
        <w:t xml:space="preserve"> Oliveira </w:t>
      </w:r>
      <w:r w:rsidR="00200EC4">
        <w:rPr>
          <w:color w:val="000000"/>
        </w:rPr>
        <w:t xml:space="preserve">from the Institute of Tropical Pathology and Public Health at the Federal University of </w:t>
      </w:r>
      <w:proofErr w:type="spellStart"/>
      <w:r w:rsidR="00200EC4">
        <w:rPr>
          <w:color w:val="000000"/>
        </w:rPr>
        <w:t>Goiás</w:t>
      </w:r>
      <w:proofErr w:type="spellEnd"/>
      <w:r w:rsidR="00200EC4">
        <w:rPr>
          <w:color w:val="000000"/>
        </w:rPr>
        <w:t xml:space="preserve"> (UFG), Brazil</w:t>
      </w:r>
      <w:r>
        <w:rPr>
          <w:color w:val="000000"/>
        </w:rPr>
        <w:t xml:space="preserve">. </w:t>
      </w:r>
      <w:r w:rsidR="00200EC4">
        <w:rPr>
          <w:color w:val="000000"/>
        </w:rPr>
        <w:t>These cells were cultured in</w:t>
      </w:r>
      <w:r w:rsidR="00853880">
        <w:rPr>
          <w:color w:val="000000"/>
        </w:rPr>
        <w:t xml:space="preserve"> </w:t>
      </w:r>
      <w:r>
        <w:rPr>
          <w:color w:val="000000"/>
        </w:rPr>
        <w:t xml:space="preserve">RPMI 1640 (Sigma Chemical Co. St Louis, MO, EUA) </w:t>
      </w:r>
      <w:r w:rsidR="00200EC4">
        <w:rPr>
          <w:color w:val="000000"/>
        </w:rPr>
        <w:t>supplemented with</w:t>
      </w:r>
      <w:r>
        <w:rPr>
          <w:color w:val="000000"/>
        </w:rPr>
        <w:t xml:space="preserve"> 10% </w:t>
      </w:r>
      <w:proofErr w:type="spellStart"/>
      <w:r w:rsidR="00200EC4">
        <w:rPr>
          <w:color w:val="000000"/>
        </w:rPr>
        <w:t>fetal</w:t>
      </w:r>
      <w:proofErr w:type="spellEnd"/>
      <w:r w:rsidR="00200EC4">
        <w:rPr>
          <w:color w:val="000000"/>
        </w:rPr>
        <w:t xml:space="preserve"> bovine serum</w:t>
      </w:r>
      <w:r>
        <w:rPr>
          <w:color w:val="000000"/>
        </w:rPr>
        <w:t xml:space="preserve"> (FBS, </w:t>
      </w:r>
      <w:proofErr w:type="spellStart"/>
      <w:r>
        <w:rPr>
          <w:color w:val="000000"/>
        </w:rPr>
        <w:t>Cripion</w:t>
      </w:r>
      <w:proofErr w:type="spellEnd"/>
      <w:r>
        <w:rPr>
          <w:color w:val="000000"/>
        </w:rPr>
        <w:t>, São Paulo, Bra</w:t>
      </w:r>
      <w:r w:rsidR="00200EC4">
        <w:rPr>
          <w:color w:val="000000"/>
        </w:rPr>
        <w:t>z</w:t>
      </w:r>
      <w:r>
        <w:rPr>
          <w:color w:val="000000"/>
        </w:rPr>
        <w:t xml:space="preserve">il), 1640 </w:t>
      </w:r>
      <w:r w:rsidR="00200EC4">
        <w:rPr>
          <w:color w:val="000000"/>
        </w:rPr>
        <w:t>inactivated at</w:t>
      </w:r>
      <w:r>
        <w:rPr>
          <w:color w:val="000000"/>
        </w:rPr>
        <w:t xml:space="preserve"> 56°C </w:t>
      </w:r>
      <w:r w:rsidR="00200EC4">
        <w:rPr>
          <w:color w:val="000000"/>
        </w:rPr>
        <w:t>for</w:t>
      </w:r>
      <w:r>
        <w:rPr>
          <w:color w:val="000000"/>
        </w:rPr>
        <w:t xml:space="preserve"> 30 min, 2 </w:t>
      </w:r>
      <w:proofErr w:type="spellStart"/>
      <w:r>
        <w:rPr>
          <w:color w:val="000000"/>
        </w:rPr>
        <w:t>nM</w:t>
      </w:r>
      <w:proofErr w:type="spellEnd"/>
      <w:r>
        <w:rPr>
          <w:color w:val="000000"/>
        </w:rPr>
        <w:t xml:space="preserve"> L-</w:t>
      </w:r>
      <w:proofErr w:type="spellStart"/>
      <w:r>
        <w:rPr>
          <w:color w:val="000000"/>
        </w:rPr>
        <w:t>glutamina</w:t>
      </w:r>
      <w:proofErr w:type="spellEnd"/>
      <w:r>
        <w:rPr>
          <w:color w:val="000000"/>
        </w:rPr>
        <w:t xml:space="preserve"> (sigma Chemical Co), 50µM </w:t>
      </w:r>
      <w:r w:rsidR="00200EC4">
        <w:rPr>
          <w:color w:val="000000"/>
        </w:rPr>
        <w:t>of</w:t>
      </w:r>
      <w:r>
        <w:rPr>
          <w:color w:val="000000"/>
        </w:rPr>
        <w:t xml:space="preserve"> 2 </w:t>
      </w:r>
      <w:proofErr w:type="spellStart"/>
      <w:r>
        <w:rPr>
          <w:color w:val="000000"/>
        </w:rPr>
        <w:t>mercaptoet</w:t>
      </w:r>
      <w:r w:rsidR="00200EC4">
        <w:rPr>
          <w:color w:val="000000"/>
        </w:rPr>
        <w:t>h</w:t>
      </w:r>
      <w:r>
        <w:rPr>
          <w:color w:val="000000"/>
        </w:rPr>
        <w:t>anol</w:t>
      </w:r>
      <w:proofErr w:type="spellEnd"/>
      <w:r>
        <w:rPr>
          <w:color w:val="000000"/>
        </w:rPr>
        <w:t xml:space="preserve"> (Sigma-Aldrich</w:t>
      </w:r>
      <w:r>
        <w:rPr>
          <w:color w:val="000000"/>
          <w:sz w:val="14"/>
          <w:szCs w:val="14"/>
          <w:vertAlign w:val="superscript"/>
        </w:rPr>
        <w:t>®</w:t>
      </w:r>
      <w:r>
        <w:rPr>
          <w:color w:val="000000"/>
        </w:rPr>
        <w:t xml:space="preserve">), 10U/mL </w:t>
      </w:r>
      <w:proofErr w:type="spellStart"/>
      <w:r>
        <w:rPr>
          <w:color w:val="000000"/>
        </w:rPr>
        <w:t>penicilin</w:t>
      </w:r>
      <w:proofErr w:type="spellEnd"/>
      <w:r>
        <w:rPr>
          <w:color w:val="000000"/>
        </w:rPr>
        <w:t xml:space="preserve"> </w:t>
      </w:r>
      <w:r w:rsidR="00200EC4">
        <w:rPr>
          <w:color w:val="000000"/>
        </w:rPr>
        <w:t>and</w:t>
      </w:r>
      <w:r>
        <w:rPr>
          <w:color w:val="000000"/>
        </w:rPr>
        <w:t xml:space="preserve"> 100 µg mL </w:t>
      </w:r>
      <w:r w:rsidR="00200EC4">
        <w:rPr>
          <w:color w:val="000000"/>
        </w:rPr>
        <w:t>streptomycin</w:t>
      </w:r>
      <w:r>
        <w:rPr>
          <w:color w:val="000000"/>
        </w:rPr>
        <w:t xml:space="preserve"> (Sigma-Aldrich</w:t>
      </w:r>
      <w:r>
        <w:rPr>
          <w:color w:val="000000"/>
          <w:sz w:val="14"/>
          <w:szCs w:val="14"/>
          <w:vertAlign w:val="superscript"/>
        </w:rPr>
        <w:t>®</w:t>
      </w:r>
      <w:r>
        <w:rPr>
          <w:color w:val="000000"/>
        </w:rPr>
        <w:t>)</w:t>
      </w:r>
      <w:r w:rsidR="00853880">
        <w:rPr>
          <w:color w:val="000000"/>
        </w:rPr>
        <w:t xml:space="preserve"> </w:t>
      </w:r>
      <w:r w:rsidR="00200EC4">
        <w:rPr>
          <w:color w:val="000000"/>
        </w:rPr>
        <w:t>and</w:t>
      </w:r>
      <w:r w:rsidR="007E3072" w:rsidRPr="007E3072">
        <w:rPr>
          <w:color w:val="000000"/>
        </w:rPr>
        <w:t xml:space="preserve"> </w:t>
      </w:r>
      <w:r w:rsidRPr="007E3072">
        <w:rPr>
          <w:color w:val="000000"/>
        </w:rPr>
        <w:t>2</w:t>
      </w:r>
      <w:r>
        <w:rPr>
          <w:color w:val="000000"/>
        </w:rPr>
        <w:t xml:space="preserve"> </w:t>
      </w:r>
      <w:proofErr w:type="spellStart"/>
      <w:r>
        <w:rPr>
          <w:color w:val="000000"/>
        </w:rPr>
        <w:t>nM</w:t>
      </w:r>
      <w:proofErr w:type="spellEnd"/>
      <w:r>
        <w:rPr>
          <w:color w:val="000000"/>
        </w:rPr>
        <w:t xml:space="preserve"> </w:t>
      </w:r>
      <w:r w:rsidRPr="00386D7B">
        <w:rPr>
          <w:color w:val="000000"/>
        </w:rPr>
        <w:t>Herpes</w:t>
      </w:r>
      <w:r>
        <w:rPr>
          <w:color w:val="000000"/>
        </w:rPr>
        <w:t xml:space="preserve"> (Sigma-Aldrich</w:t>
      </w:r>
      <w:r>
        <w:rPr>
          <w:color w:val="000000"/>
          <w:sz w:val="14"/>
          <w:szCs w:val="14"/>
          <w:vertAlign w:val="superscript"/>
        </w:rPr>
        <w:t>®</w:t>
      </w:r>
      <w:r>
        <w:rPr>
          <w:color w:val="000000"/>
        </w:rPr>
        <w:t xml:space="preserve">). </w:t>
      </w:r>
      <w:r w:rsidR="00200EC4">
        <w:rPr>
          <w:color w:val="000000"/>
        </w:rPr>
        <w:t xml:space="preserve">Were cultured </w:t>
      </w:r>
      <w:r>
        <w:rPr>
          <w:color w:val="000000"/>
        </w:rPr>
        <w:t>2x10</w:t>
      </w:r>
      <w:r w:rsidRPr="002B785D">
        <w:rPr>
          <w:color w:val="000000"/>
          <w:vertAlign w:val="superscript"/>
        </w:rPr>
        <w:t>5</w:t>
      </w:r>
      <w:r>
        <w:rPr>
          <w:color w:val="000000"/>
          <w:vertAlign w:val="superscript"/>
        </w:rPr>
        <w:t xml:space="preserve"> </w:t>
      </w:r>
      <w:r w:rsidR="00200EC4">
        <w:rPr>
          <w:color w:val="000000"/>
        </w:rPr>
        <w:t>cells in</w:t>
      </w:r>
      <w:r>
        <w:rPr>
          <w:color w:val="000000"/>
        </w:rPr>
        <w:t xml:space="preserve"> 2 mL </w:t>
      </w:r>
      <w:r w:rsidR="00200EC4">
        <w:rPr>
          <w:color w:val="000000"/>
        </w:rPr>
        <w:t>of complete</w:t>
      </w:r>
      <w:r w:rsidR="00853880">
        <w:rPr>
          <w:color w:val="000000"/>
        </w:rPr>
        <w:t xml:space="preserve"> </w:t>
      </w:r>
      <w:r>
        <w:rPr>
          <w:color w:val="000000"/>
        </w:rPr>
        <w:t xml:space="preserve">RPMI </w:t>
      </w:r>
      <w:r w:rsidR="00200EC4">
        <w:rPr>
          <w:color w:val="000000"/>
        </w:rPr>
        <w:t>medium by wells 6-well culture plates</w:t>
      </w:r>
      <w:r>
        <w:rPr>
          <w:color w:val="000000"/>
        </w:rPr>
        <w:t xml:space="preserve"> (</w:t>
      </w:r>
      <w:proofErr w:type="spellStart"/>
      <w:r>
        <w:rPr>
          <w:color w:val="000000"/>
        </w:rPr>
        <w:t>Costar</w:t>
      </w:r>
      <w:proofErr w:type="spellEnd"/>
      <w:r>
        <w:rPr>
          <w:color w:val="000000"/>
        </w:rPr>
        <w:t xml:space="preserve">, Nova York, EUA), </w:t>
      </w:r>
      <w:r w:rsidR="00200EC4">
        <w:rPr>
          <w:color w:val="000000"/>
        </w:rPr>
        <w:t>incubated in an oven with</w:t>
      </w:r>
      <w:r w:rsidR="006F4D16">
        <w:rPr>
          <w:color w:val="000000"/>
        </w:rPr>
        <w:t xml:space="preserve"> </w:t>
      </w:r>
      <w:r>
        <w:rPr>
          <w:color w:val="000000"/>
        </w:rPr>
        <w:t>5% CO</w:t>
      </w:r>
      <w:r>
        <w:rPr>
          <w:color w:val="000000"/>
          <w:sz w:val="14"/>
          <w:szCs w:val="14"/>
          <w:vertAlign w:val="subscript"/>
        </w:rPr>
        <w:t xml:space="preserve">2 </w:t>
      </w:r>
      <w:r w:rsidR="00200EC4">
        <w:rPr>
          <w:color w:val="000000"/>
        </w:rPr>
        <w:t>and</w:t>
      </w:r>
      <w:r>
        <w:rPr>
          <w:color w:val="000000"/>
        </w:rPr>
        <w:t xml:space="preserve"> 35°C </w:t>
      </w:r>
      <w:r w:rsidR="00200EC4">
        <w:rPr>
          <w:color w:val="000000"/>
        </w:rPr>
        <w:t xml:space="preserve">at the Cell Cultivation Laboratory of the Pontifical Catholic University of </w:t>
      </w:r>
      <w:proofErr w:type="spellStart"/>
      <w:r w:rsidR="00200EC4">
        <w:rPr>
          <w:color w:val="000000"/>
        </w:rPr>
        <w:t>Goiás</w:t>
      </w:r>
      <w:proofErr w:type="spellEnd"/>
      <w:r>
        <w:rPr>
          <w:color w:val="000000"/>
        </w:rPr>
        <w:t xml:space="preserve"> (EMFB/PUC-GO).</w:t>
      </w:r>
    </w:p>
    <w:p w14:paraId="00E813A4" w14:textId="504AA2C5" w:rsidR="008E69CE" w:rsidRDefault="00B049C6">
      <w:pPr>
        <w:pStyle w:val="Ttulo2"/>
      </w:pPr>
      <w:r>
        <w:t>Mitochondrial metabolic activity</w:t>
      </w:r>
      <w:r w:rsidR="008E69CE">
        <w:t xml:space="preserve"> (MTT)</w:t>
      </w:r>
    </w:p>
    <w:p w14:paraId="0F06018E" w14:textId="270C26F6" w:rsidR="008E69CE" w:rsidRDefault="00B049C6" w:rsidP="00E0605C">
      <w:pPr>
        <w:spacing w:before="240" w:after="240" w:line="360" w:lineRule="auto"/>
        <w:jc w:val="both"/>
      </w:pPr>
      <w:r>
        <w:rPr>
          <w:color w:val="000000"/>
        </w:rPr>
        <w:t xml:space="preserve">The mitochondrial metabolic activity (MTT) can be verified by </w:t>
      </w:r>
      <w:proofErr w:type="spellStart"/>
      <w:r>
        <w:rPr>
          <w:color w:val="000000"/>
        </w:rPr>
        <w:t>Tetrazoliun</w:t>
      </w:r>
      <w:proofErr w:type="spellEnd"/>
      <w:r>
        <w:rPr>
          <w:color w:val="000000"/>
        </w:rPr>
        <w:t xml:space="preserve"> dye uptake assay, whose principle of action is the</w:t>
      </w:r>
      <w:r w:rsidR="008E69CE">
        <w:rPr>
          <w:color w:val="000000"/>
        </w:rPr>
        <w:t xml:space="preserve"> [3-(4,5-dimet</w:t>
      </w:r>
      <w:r>
        <w:rPr>
          <w:color w:val="000000"/>
        </w:rPr>
        <w:t>hylthiazol</w:t>
      </w:r>
      <w:r w:rsidR="008E69CE">
        <w:rPr>
          <w:color w:val="000000"/>
        </w:rPr>
        <w:t>-2-</w:t>
      </w:r>
      <w:r>
        <w:rPr>
          <w:color w:val="000000"/>
        </w:rPr>
        <w:t>yl</w:t>
      </w:r>
      <w:r w:rsidR="008E69CE">
        <w:rPr>
          <w:color w:val="000000"/>
        </w:rPr>
        <w:t xml:space="preserve">)-2,5 </w:t>
      </w:r>
      <w:r>
        <w:rPr>
          <w:color w:val="000000"/>
        </w:rPr>
        <w:t>diphenyltetrazolium bromide salt</w:t>
      </w:r>
      <w:r w:rsidR="008E69CE">
        <w:rPr>
          <w:color w:val="000000"/>
        </w:rPr>
        <w:t xml:space="preserve">] </w:t>
      </w:r>
      <w:r>
        <w:rPr>
          <w:color w:val="000000"/>
        </w:rPr>
        <w:t xml:space="preserve">by the viable cells, </w:t>
      </w:r>
      <w:proofErr w:type="spellStart"/>
      <w:r>
        <w:rPr>
          <w:color w:val="000000"/>
        </w:rPr>
        <w:t>wich</w:t>
      </w:r>
      <w:proofErr w:type="spellEnd"/>
      <w:r>
        <w:rPr>
          <w:color w:val="000000"/>
        </w:rPr>
        <w:t xml:space="preserve"> are reduced, within the mitochondria, to a product called formazan, through the enzyme succinate-dehydrogenase and form insoluble purple crystals</w:t>
      </w:r>
      <w:r w:rsidR="008E69CE">
        <w:rPr>
          <w:color w:val="000000"/>
        </w:rPr>
        <w:t xml:space="preserve"> (</w:t>
      </w:r>
      <w:r w:rsidR="00C94BF4">
        <w:rPr>
          <w:color w:val="000000"/>
        </w:rPr>
        <w:t>25</w:t>
      </w:r>
      <w:r w:rsidR="008E69CE">
        <w:rPr>
          <w:color w:val="000000"/>
        </w:rPr>
        <w:t>). </w:t>
      </w:r>
    </w:p>
    <w:p w14:paraId="74764D92" w14:textId="20C1D279" w:rsidR="008E69CE" w:rsidRPr="00357CF8" w:rsidRDefault="008E69CE" w:rsidP="00E0605C">
      <w:pPr>
        <w:spacing w:before="240" w:after="240" w:line="360" w:lineRule="auto"/>
        <w:ind w:firstLine="720"/>
        <w:jc w:val="both"/>
      </w:pPr>
      <w:r>
        <w:rPr>
          <w:color w:val="000000"/>
        </w:rPr>
        <w:t xml:space="preserve">Raw 264.7 </w:t>
      </w:r>
      <w:r w:rsidR="00B049C6">
        <w:rPr>
          <w:color w:val="000000"/>
        </w:rPr>
        <w:t xml:space="preserve">cells </w:t>
      </w:r>
      <w:r>
        <w:rPr>
          <w:color w:val="000000"/>
        </w:rPr>
        <w:t>(1x10</w:t>
      </w:r>
      <w:r w:rsidRPr="00A42014">
        <w:rPr>
          <w:color w:val="000000"/>
          <w:vertAlign w:val="superscript"/>
        </w:rPr>
        <w:t>5</w:t>
      </w:r>
      <w:r>
        <w:rPr>
          <w:color w:val="000000"/>
        </w:rPr>
        <w:t xml:space="preserve"> c</w:t>
      </w:r>
      <w:r w:rsidR="00B049C6">
        <w:rPr>
          <w:color w:val="000000"/>
        </w:rPr>
        <w:t>ells</w:t>
      </w:r>
      <w:r>
        <w:rPr>
          <w:color w:val="000000"/>
        </w:rPr>
        <w:t xml:space="preserve">/mL) </w:t>
      </w:r>
      <w:r w:rsidR="00B049C6">
        <w:rPr>
          <w:color w:val="000000"/>
        </w:rPr>
        <w:t>were seeded, in triplicate, in flat-bottom microplates with individual sterile lid in</w:t>
      </w:r>
      <w:r>
        <w:rPr>
          <w:color w:val="000000"/>
        </w:rPr>
        <w:t xml:space="preserve"> RPMI 1640 </w:t>
      </w:r>
      <w:r w:rsidR="00B049C6">
        <w:rPr>
          <w:color w:val="000000"/>
        </w:rPr>
        <w:t xml:space="preserve">medium and exposed to five concentrations from </w:t>
      </w:r>
      <w:r>
        <w:rPr>
          <w:color w:val="000000"/>
        </w:rPr>
        <w:t xml:space="preserve">5 </w:t>
      </w:r>
      <w:r w:rsidR="00B049C6">
        <w:rPr>
          <w:color w:val="000000"/>
        </w:rPr>
        <w:t>to</w:t>
      </w:r>
      <w:r>
        <w:rPr>
          <w:color w:val="000000"/>
        </w:rPr>
        <w:t xml:space="preserve"> 60 µg/mL (5, 10, 20, 40 </w:t>
      </w:r>
      <w:r w:rsidR="00B049C6">
        <w:rPr>
          <w:color w:val="000000"/>
        </w:rPr>
        <w:t>and</w:t>
      </w:r>
      <w:r>
        <w:rPr>
          <w:color w:val="000000"/>
        </w:rPr>
        <w:t xml:space="preserve"> 60 µg/mL) </w:t>
      </w:r>
      <w:r w:rsidR="00B049C6">
        <w:rPr>
          <w:color w:val="000000"/>
        </w:rPr>
        <w:t>of the studied extract</w:t>
      </w:r>
      <w:r>
        <w:rPr>
          <w:i/>
          <w:color w:val="000000"/>
        </w:rPr>
        <w:t xml:space="preserve">. </w:t>
      </w:r>
      <w:r>
        <w:rPr>
          <w:color w:val="000000"/>
        </w:rPr>
        <w:t> </w:t>
      </w:r>
      <w:r w:rsidR="00B049C6">
        <w:rPr>
          <w:color w:val="000000"/>
        </w:rPr>
        <w:t>After 48 hours of incubations in an incubator at</w:t>
      </w:r>
      <w:r>
        <w:rPr>
          <w:color w:val="000000"/>
        </w:rPr>
        <w:t xml:space="preserve"> 37° C </w:t>
      </w:r>
      <w:r w:rsidR="00B049C6">
        <w:rPr>
          <w:color w:val="000000"/>
        </w:rPr>
        <w:t>with</w:t>
      </w:r>
      <w:r w:rsidR="00D76C89">
        <w:rPr>
          <w:color w:val="000000"/>
        </w:rPr>
        <w:t xml:space="preserve"> </w:t>
      </w:r>
      <w:r>
        <w:rPr>
          <w:color w:val="000000"/>
        </w:rPr>
        <w:t>5% CO</w:t>
      </w:r>
      <w:r>
        <w:rPr>
          <w:color w:val="000000"/>
          <w:sz w:val="14"/>
          <w:szCs w:val="14"/>
          <w:vertAlign w:val="subscript"/>
        </w:rPr>
        <w:t>2</w:t>
      </w:r>
      <w:r>
        <w:rPr>
          <w:color w:val="000000"/>
        </w:rPr>
        <w:t xml:space="preserve">, 5 µL </w:t>
      </w:r>
      <w:r w:rsidR="00B049C6">
        <w:rPr>
          <w:color w:val="000000"/>
        </w:rPr>
        <w:t>of MTT was added to each well and incubated for another 3 hours</w:t>
      </w:r>
      <w:r>
        <w:rPr>
          <w:color w:val="000000"/>
        </w:rPr>
        <w:t xml:space="preserve">. </w:t>
      </w:r>
      <w:r w:rsidR="00B049C6">
        <w:rPr>
          <w:color w:val="000000"/>
        </w:rPr>
        <w:t>With this process, the reading was performed in an</w:t>
      </w:r>
      <w:r>
        <w:rPr>
          <w:color w:val="000000"/>
        </w:rPr>
        <w:t xml:space="preserve"> ELISA </w:t>
      </w:r>
      <w:r w:rsidR="00B049C6">
        <w:rPr>
          <w:color w:val="000000"/>
        </w:rPr>
        <w:t xml:space="preserve">reader </w:t>
      </w:r>
      <w:r>
        <w:rPr>
          <w:color w:val="000000"/>
        </w:rPr>
        <w:t>(</w:t>
      </w:r>
      <w:proofErr w:type="spellStart"/>
      <w:r w:rsidR="00B049C6">
        <w:rPr>
          <w:color w:val="000000"/>
        </w:rPr>
        <w:t>Spectophotometer</w:t>
      </w:r>
      <w:proofErr w:type="spellEnd"/>
      <w:r>
        <w:rPr>
          <w:color w:val="000000"/>
        </w:rPr>
        <w:t>) (</w:t>
      </w:r>
      <w:proofErr w:type="spellStart"/>
      <w:r>
        <w:rPr>
          <w:color w:val="000000"/>
        </w:rPr>
        <w:t>Biolisa</w:t>
      </w:r>
      <w:proofErr w:type="spellEnd"/>
      <w:r>
        <w:rPr>
          <w:color w:val="000000"/>
        </w:rPr>
        <w:t xml:space="preserve"> Reader, </w:t>
      </w:r>
      <w:proofErr w:type="spellStart"/>
      <w:r>
        <w:rPr>
          <w:color w:val="000000"/>
        </w:rPr>
        <w:t>Bioclin</w:t>
      </w:r>
      <w:proofErr w:type="spellEnd"/>
      <w:r>
        <w:rPr>
          <w:color w:val="000000"/>
        </w:rPr>
        <w:t xml:space="preserve">, Belo Horizonte, MG) </w:t>
      </w:r>
      <w:r w:rsidR="00B049C6">
        <w:rPr>
          <w:color w:val="000000"/>
        </w:rPr>
        <w:t>with a double filter of</w:t>
      </w:r>
      <w:r>
        <w:rPr>
          <w:color w:val="000000"/>
        </w:rPr>
        <w:t xml:space="preserve"> 450 </w:t>
      </w:r>
      <w:r w:rsidR="00B049C6">
        <w:rPr>
          <w:color w:val="000000"/>
        </w:rPr>
        <w:t>and</w:t>
      </w:r>
      <w:r>
        <w:rPr>
          <w:color w:val="000000"/>
        </w:rPr>
        <w:t xml:space="preserve"> 630 nm. </w:t>
      </w:r>
      <w:r w:rsidR="00B049C6">
        <w:rPr>
          <w:color w:val="000000"/>
        </w:rPr>
        <w:t xml:space="preserve">Table </w:t>
      </w:r>
      <w:r>
        <w:rPr>
          <w:color w:val="000000"/>
        </w:rPr>
        <w:t xml:space="preserve">1 </w:t>
      </w:r>
      <w:r w:rsidR="00B049C6">
        <w:rPr>
          <w:color w:val="000000"/>
        </w:rPr>
        <w:t>shows</w:t>
      </w:r>
      <w:r w:rsidR="008C07DB">
        <w:rPr>
          <w:color w:val="000000"/>
        </w:rPr>
        <w:t xml:space="preserve"> the schematic of the </w:t>
      </w:r>
      <w:proofErr w:type="spellStart"/>
      <w:r w:rsidR="008C07DB">
        <w:rPr>
          <w:color w:val="000000"/>
        </w:rPr>
        <w:t>cytotoxity</w:t>
      </w:r>
      <w:proofErr w:type="spellEnd"/>
      <w:r w:rsidR="008C07DB">
        <w:rPr>
          <w:color w:val="000000"/>
        </w:rPr>
        <w:t xml:space="preserve"> test of</w:t>
      </w:r>
      <w:r>
        <w:rPr>
          <w:color w:val="000000"/>
        </w:rPr>
        <w:t xml:space="preserve"> </w:t>
      </w:r>
      <w:r>
        <w:rPr>
          <w:i/>
          <w:color w:val="000000"/>
        </w:rPr>
        <w:t>S. mombin</w:t>
      </w:r>
      <w:r>
        <w:rPr>
          <w:color w:val="000000"/>
        </w:rPr>
        <w:t xml:space="preserve"> </w:t>
      </w:r>
      <w:r w:rsidR="008C07DB">
        <w:rPr>
          <w:color w:val="000000"/>
        </w:rPr>
        <w:t>extract by</w:t>
      </w:r>
      <w:r>
        <w:rPr>
          <w:color w:val="000000"/>
        </w:rPr>
        <w:t xml:space="preserve"> RAW</w:t>
      </w:r>
      <w:r w:rsidR="008C07DB">
        <w:rPr>
          <w:color w:val="000000"/>
        </w:rPr>
        <w:t xml:space="preserve"> cell</w:t>
      </w:r>
      <w:r>
        <w:rPr>
          <w:color w:val="000000"/>
        </w:rPr>
        <w:t>.</w:t>
      </w:r>
    </w:p>
    <w:tbl>
      <w:tblPr>
        <w:tblW w:w="8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3"/>
        <w:gridCol w:w="744"/>
        <w:gridCol w:w="803"/>
        <w:gridCol w:w="591"/>
        <w:gridCol w:w="567"/>
        <w:gridCol w:w="567"/>
        <w:gridCol w:w="567"/>
        <w:gridCol w:w="567"/>
        <w:gridCol w:w="567"/>
        <w:gridCol w:w="426"/>
        <w:gridCol w:w="530"/>
        <w:gridCol w:w="9"/>
        <w:gridCol w:w="878"/>
        <w:gridCol w:w="1134"/>
      </w:tblGrid>
      <w:tr w:rsidR="008E69CE" w14:paraId="18C35758" w14:textId="77777777" w:rsidTr="008E69FC">
        <w:trPr>
          <w:trHeight w:val="237"/>
        </w:trPr>
        <w:tc>
          <w:tcPr>
            <w:tcW w:w="8353" w:type="dxa"/>
            <w:gridSpan w:val="14"/>
            <w:tcBorders>
              <w:top w:val="nil"/>
              <w:left w:val="nil"/>
              <w:bottom w:val="nil"/>
              <w:right w:val="nil"/>
            </w:tcBorders>
          </w:tcPr>
          <w:p w14:paraId="5B3198E4" w14:textId="13F26374" w:rsidR="008E69CE" w:rsidRPr="00985704" w:rsidRDefault="00985704" w:rsidP="001C1840">
            <w:pPr>
              <w:tabs>
                <w:tab w:val="left" w:pos="1455"/>
                <w:tab w:val="center" w:pos="4332"/>
              </w:tabs>
              <w:spacing w:line="360" w:lineRule="auto"/>
              <w:rPr>
                <w:color w:val="000000"/>
              </w:rPr>
            </w:pPr>
            <w:r>
              <w:t xml:space="preserve">Table 1. Scheme of the microplate used in the cytotoxicity test of the </w:t>
            </w:r>
            <w:r w:rsidR="00FA6CEC">
              <w:t>extract</w:t>
            </w:r>
            <w:r>
              <w:t xml:space="preserve"> of </w:t>
            </w:r>
            <w:r>
              <w:rPr>
                <w:i/>
                <w:iCs/>
              </w:rPr>
              <w:t>S. mombin</w:t>
            </w:r>
            <w:r>
              <w:t xml:space="preserve"> fruits per RAW cell </w:t>
            </w:r>
          </w:p>
        </w:tc>
      </w:tr>
      <w:tr w:rsidR="008E69CE" w14:paraId="5A591C74" w14:textId="77777777" w:rsidTr="008E69FC">
        <w:trPr>
          <w:trHeight w:val="237"/>
        </w:trPr>
        <w:tc>
          <w:tcPr>
            <w:tcW w:w="403" w:type="dxa"/>
          </w:tcPr>
          <w:p w14:paraId="18FA8FC1" w14:textId="77777777" w:rsidR="008E69CE" w:rsidRDefault="008E69CE" w:rsidP="001C1840">
            <w:pPr>
              <w:spacing w:line="360" w:lineRule="auto"/>
              <w:jc w:val="center"/>
              <w:rPr>
                <w:b/>
                <w:color w:val="000000"/>
              </w:rPr>
            </w:pPr>
          </w:p>
        </w:tc>
        <w:tc>
          <w:tcPr>
            <w:tcW w:w="744" w:type="dxa"/>
          </w:tcPr>
          <w:p w14:paraId="5F69AF36" w14:textId="77777777" w:rsidR="008E69CE" w:rsidRDefault="008E69CE" w:rsidP="001C1840">
            <w:pPr>
              <w:spacing w:line="360" w:lineRule="auto"/>
              <w:jc w:val="center"/>
              <w:rPr>
                <w:b/>
                <w:color w:val="000000"/>
              </w:rPr>
            </w:pPr>
            <w:r>
              <w:rPr>
                <w:b/>
                <w:color w:val="000000"/>
              </w:rPr>
              <w:t>1</w:t>
            </w:r>
          </w:p>
        </w:tc>
        <w:tc>
          <w:tcPr>
            <w:tcW w:w="803" w:type="dxa"/>
          </w:tcPr>
          <w:p w14:paraId="74738B1F" w14:textId="77777777" w:rsidR="008E69CE" w:rsidRDefault="008E69CE" w:rsidP="001C1840">
            <w:pPr>
              <w:spacing w:line="360" w:lineRule="auto"/>
              <w:jc w:val="center"/>
              <w:rPr>
                <w:b/>
                <w:color w:val="000000"/>
              </w:rPr>
            </w:pPr>
            <w:r>
              <w:rPr>
                <w:b/>
                <w:color w:val="000000"/>
              </w:rPr>
              <w:t>2</w:t>
            </w:r>
          </w:p>
        </w:tc>
        <w:tc>
          <w:tcPr>
            <w:tcW w:w="591" w:type="dxa"/>
          </w:tcPr>
          <w:p w14:paraId="0FAD22AB" w14:textId="77777777" w:rsidR="008E69CE" w:rsidRDefault="008E69CE" w:rsidP="001C1840">
            <w:pPr>
              <w:spacing w:line="360" w:lineRule="auto"/>
              <w:jc w:val="center"/>
              <w:rPr>
                <w:b/>
                <w:color w:val="000000"/>
              </w:rPr>
            </w:pPr>
            <w:r>
              <w:rPr>
                <w:b/>
                <w:color w:val="000000"/>
              </w:rPr>
              <w:t>3</w:t>
            </w:r>
          </w:p>
        </w:tc>
        <w:tc>
          <w:tcPr>
            <w:tcW w:w="567" w:type="dxa"/>
          </w:tcPr>
          <w:p w14:paraId="0017BE16" w14:textId="77777777" w:rsidR="008E69CE" w:rsidRDefault="008E69CE" w:rsidP="001C1840">
            <w:pPr>
              <w:spacing w:line="360" w:lineRule="auto"/>
              <w:jc w:val="center"/>
              <w:rPr>
                <w:b/>
                <w:color w:val="000000"/>
              </w:rPr>
            </w:pPr>
            <w:r>
              <w:rPr>
                <w:b/>
                <w:color w:val="000000"/>
              </w:rPr>
              <w:t>4</w:t>
            </w:r>
          </w:p>
        </w:tc>
        <w:tc>
          <w:tcPr>
            <w:tcW w:w="567" w:type="dxa"/>
          </w:tcPr>
          <w:p w14:paraId="29E3FBCE" w14:textId="77777777" w:rsidR="008E69CE" w:rsidRDefault="008E69CE" w:rsidP="001C1840">
            <w:pPr>
              <w:spacing w:line="360" w:lineRule="auto"/>
              <w:jc w:val="center"/>
              <w:rPr>
                <w:b/>
                <w:color w:val="000000"/>
              </w:rPr>
            </w:pPr>
            <w:r>
              <w:rPr>
                <w:b/>
                <w:color w:val="000000"/>
              </w:rPr>
              <w:t>5</w:t>
            </w:r>
          </w:p>
        </w:tc>
        <w:tc>
          <w:tcPr>
            <w:tcW w:w="567" w:type="dxa"/>
          </w:tcPr>
          <w:p w14:paraId="2A3FCEF4" w14:textId="77777777" w:rsidR="008E69CE" w:rsidRDefault="008E69CE" w:rsidP="001C1840">
            <w:pPr>
              <w:spacing w:line="360" w:lineRule="auto"/>
              <w:jc w:val="center"/>
              <w:rPr>
                <w:b/>
                <w:color w:val="000000"/>
              </w:rPr>
            </w:pPr>
            <w:r>
              <w:rPr>
                <w:b/>
                <w:color w:val="000000"/>
              </w:rPr>
              <w:t>6</w:t>
            </w:r>
          </w:p>
        </w:tc>
        <w:tc>
          <w:tcPr>
            <w:tcW w:w="567" w:type="dxa"/>
          </w:tcPr>
          <w:p w14:paraId="6CF321D5" w14:textId="77777777" w:rsidR="008E69CE" w:rsidRDefault="008E69CE" w:rsidP="001C1840">
            <w:pPr>
              <w:spacing w:line="360" w:lineRule="auto"/>
              <w:jc w:val="center"/>
              <w:rPr>
                <w:b/>
                <w:color w:val="000000"/>
              </w:rPr>
            </w:pPr>
            <w:r>
              <w:rPr>
                <w:b/>
                <w:color w:val="000000"/>
              </w:rPr>
              <w:t>7</w:t>
            </w:r>
          </w:p>
        </w:tc>
        <w:tc>
          <w:tcPr>
            <w:tcW w:w="567" w:type="dxa"/>
          </w:tcPr>
          <w:p w14:paraId="4665D540" w14:textId="77777777" w:rsidR="008E69CE" w:rsidRDefault="008E69CE" w:rsidP="001C1840">
            <w:pPr>
              <w:spacing w:line="360" w:lineRule="auto"/>
              <w:jc w:val="center"/>
              <w:rPr>
                <w:b/>
                <w:color w:val="000000"/>
              </w:rPr>
            </w:pPr>
            <w:r>
              <w:rPr>
                <w:b/>
                <w:color w:val="000000"/>
              </w:rPr>
              <w:t>8</w:t>
            </w:r>
          </w:p>
        </w:tc>
        <w:tc>
          <w:tcPr>
            <w:tcW w:w="426" w:type="dxa"/>
          </w:tcPr>
          <w:p w14:paraId="4BB2CF3E" w14:textId="77777777" w:rsidR="008E69CE" w:rsidRDefault="008E69CE" w:rsidP="001C1840">
            <w:pPr>
              <w:spacing w:line="360" w:lineRule="auto"/>
              <w:jc w:val="center"/>
              <w:rPr>
                <w:b/>
                <w:color w:val="000000"/>
              </w:rPr>
            </w:pPr>
            <w:r>
              <w:rPr>
                <w:b/>
                <w:color w:val="000000"/>
              </w:rPr>
              <w:t>9</w:t>
            </w:r>
          </w:p>
        </w:tc>
        <w:tc>
          <w:tcPr>
            <w:tcW w:w="530" w:type="dxa"/>
          </w:tcPr>
          <w:p w14:paraId="25C552F2" w14:textId="77777777" w:rsidR="008E69CE" w:rsidRDefault="008E69CE" w:rsidP="001C1840">
            <w:pPr>
              <w:spacing w:line="360" w:lineRule="auto"/>
              <w:jc w:val="center"/>
              <w:rPr>
                <w:b/>
                <w:color w:val="000000"/>
              </w:rPr>
            </w:pPr>
            <w:r>
              <w:rPr>
                <w:b/>
                <w:color w:val="000000"/>
              </w:rPr>
              <w:t>10</w:t>
            </w:r>
          </w:p>
        </w:tc>
        <w:tc>
          <w:tcPr>
            <w:tcW w:w="887" w:type="dxa"/>
            <w:gridSpan w:val="2"/>
          </w:tcPr>
          <w:p w14:paraId="1E0BC417" w14:textId="77777777" w:rsidR="008E69CE" w:rsidRDefault="008E69CE" w:rsidP="001C1840">
            <w:pPr>
              <w:spacing w:line="360" w:lineRule="auto"/>
              <w:jc w:val="center"/>
              <w:rPr>
                <w:b/>
                <w:color w:val="000000"/>
              </w:rPr>
            </w:pPr>
            <w:r>
              <w:rPr>
                <w:b/>
                <w:color w:val="000000"/>
              </w:rPr>
              <w:t>11</w:t>
            </w:r>
          </w:p>
        </w:tc>
        <w:tc>
          <w:tcPr>
            <w:tcW w:w="1134" w:type="dxa"/>
          </w:tcPr>
          <w:p w14:paraId="446E6658" w14:textId="77777777" w:rsidR="008E69CE" w:rsidRDefault="008E69CE" w:rsidP="001C1840">
            <w:pPr>
              <w:spacing w:line="360" w:lineRule="auto"/>
              <w:jc w:val="center"/>
              <w:rPr>
                <w:b/>
                <w:color w:val="000000"/>
              </w:rPr>
            </w:pPr>
            <w:r>
              <w:rPr>
                <w:b/>
                <w:color w:val="000000"/>
              </w:rPr>
              <w:t>12</w:t>
            </w:r>
          </w:p>
        </w:tc>
      </w:tr>
      <w:tr w:rsidR="008E69CE" w14:paraId="35C937D7" w14:textId="77777777" w:rsidTr="008E69FC">
        <w:trPr>
          <w:trHeight w:val="237"/>
        </w:trPr>
        <w:tc>
          <w:tcPr>
            <w:tcW w:w="403" w:type="dxa"/>
          </w:tcPr>
          <w:p w14:paraId="27A569DB" w14:textId="77777777" w:rsidR="008E69CE" w:rsidRDefault="008E69CE" w:rsidP="001C1840">
            <w:pPr>
              <w:spacing w:line="360" w:lineRule="auto"/>
              <w:jc w:val="center"/>
              <w:rPr>
                <w:b/>
                <w:color w:val="000000"/>
              </w:rPr>
            </w:pPr>
            <w:r>
              <w:rPr>
                <w:b/>
                <w:color w:val="000000"/>
              </w:rPr>
              <w:t>A</w:t>
            </w:r>
          </w:p>
        </w:tc>
        <w:tc>
          <w:tcPr>
            <w:tcW w:w="1547" w:type="dxa"/>
            <w:gridSpan w:val="2"/>
          </w:tcPr>
          <w:p w14:paraId="0FDAB6A0" w14:textId="77777777" w:rsidR="008E69CE" w:rsidRDefault="008E69CE" w:rsidP="001C1840">
            <w:pPr>
              <w:spacing w:line="360" w:lineRule="auto"/>
              <w:jc w:val="center"/>
              <w:rPr>
                <w:color w:val="000000"/>
              </w:rPr>
            </w:pPr>
            <w:r>
              <w:rPr>
                <w:color w:val="000000"/>
              </w:rPr>
              <w:t>100 µL RPMI</w:t>
            </w:r>
          </w:p>
        </w:tc>
        <w:tc>
          <w:tcPr>
            <w:tcW w:w="4391" w:type="dxa"/>
            <w:gridSpan w:val="9"/>
          </w:tcPr>
          <w:p w14:paraId="549CD737" w14:textId="6E017474" w:rsidR="008E69CE" w:rsidRDefault="008E69CE" w:rsidP="001C1840">
            <w:pPr>
              <w:spacing w:line="360" w:lineRule="auto"/>
              <w:jc w:val="center"/>
              <w:rPr>
                <w:color w:val="000000"/>
              </w:rPr>
            </w:pPr>
            <w:r>
              <w:rPr>
                <w:color w:val="000000"/>
              </w:rPr>
              <w:t xml:space="preserve">20 µL </w:t>
            </w:r>
            <w:r w:rsidR="00FA6CEC">
              <w:rPr>
                <w:color w:val="000000"/>
              </w:rPr>
              <w:t xml:space="preserve">of </w:t>
            </w:r>
            <w:r>
              <w:rPr>
                <w:color w:val="000000"/>
              </w:rPr>
              <w:t>extra</w:t>
            </w:r>
            <w:r w:rsidR="00FA6CEC">
              <w:rPr>
                <w:color w:val="000000"/>
              </w:rPr>
              <w:t>ct</w:t>
            </w:r>
            <w:r>
              <w:rPr>
                <w:color w:val="000000"/>
              </w:rPr>
              <w:t xml:space="preserve"> + 80 µL RPMI</w:t>
            </w:r>
          </w:p>
        </w:tc>
        <w:tc>
          <w:tcPr>
            <w:tcW w:w="2012" w:type="dxa"/>
            <w:gridSpan w:val="2"/>
          </w:tcPr>
          <w:p w14:paraId="1FF93093" w14:textId="77777777" w:rsidR="008E69CE" w:rsidRDefault="008E69CE" w:rsidP="001C1840">
            <w:pPr>
              <w:spacing w:line="360" w:lineRule="auto"/>
              <w:jc w:val="center"/>
              <w:rPr>
                <w:color w:val="000000"/>
              </w:rPr>
            </w:pPr>
            <w:r>
              <w:rPr>
                <w:color w:val="000000"/>
              </w:rPr>
              <w:t>100µL RPMI</w:t>
            </w:r>
          </w:p>
        </w:tc>
      </w:tr>
      <w:tr w:rsidR="008E69CE" w14:paraId="0E104CC4" w14:textId="77777777" w:rsidTr="008E69FC">
        <w:trPr>
          <w:trHeight w:val="237"/>
        </w:trPr>
        <w:tc>
          <w:tcPr>
            <w:tcW w:w="403" w:type="dxa"/>
          </w:tcPr>
          <w:p w14:paraId="0370150A" w14:textId="77777777" w:rsidR="008E69CE" w:rsidRDefault="008E69CE" w:rsidP="001C1840">
            <w:pPr>
              <w:spacing w:line="360" w:lineRule="auto"/>
              <w:jc w:val="center"/>
              <w:rPr>
                <w:b/>
                <w:color w:val="000000"/>
              </w:rPr>
            </w:pPr>
            <w:r>
              <w:rPr>
                <w:b/>
                <w:color w:val="000000"/>
              </w:rPr>
              <w:t>B</w:t>
            </w:r>
          </w:p>
        </w:tc>
        <w:tc>
          <w:tcPr>
            <w:tcW w:w="744" w:type="dxa"/>
          </w:tcPr>
          <w:p w14:paraId="7DE3E39E" w14:textId="77777777" w:rsidR="008E69CE" w:rsidRDefault="008E69CE" w:rsidP="001C1840">
            <w:pPr>
              <w:spacing w:line="360" w:lineRule="auto"/>
              <w:jc w:val="center"/>
              <w:rPr>
                <w:color w:val="000000"/>
              </w:rPr>
            </w:pPr>
          </w:p>
        </w:tc>
        <w:tc>
          <w:tcPr>
            <w:tcW w:w="803" w:type="dxa"/>
            <w:vMerge w:val="restart"/>
            <w:vAlign w:val="center"/>
          </w:tcPr>
          <w:p w14:paraId="2AA00D13" w14:textId="77777777" w:rsidR="008E69CE" w:rsidRDefault="008E69CE" w:rsidP="001C1840">
            <w:pPr>
              <w:spacing w:line="360" w:lineRule="auto"/>
              <w:ind w:left="113" w:right="113"/>
              <w:jc w:val="center"/>
              <w:rPr>
                <w:color w:val="000000"/>
              </w:rPr>
            </w:pPr>
            <w:r>
              <w:rPr>
                <w:color w:val="000000"/>
              </w:rPr>
              <w:t xml:space="preserve">40 µL </w:t>
            </w:r>
            <w:proofErr w:type="spellStart"/>
            <w:r>
              <w:rPr>
                <w:color w:val="000000"/>
              </w:rPr>
              <w:t>cél</w:t>
            </w:r>
            <w:proofErr w:type="spellEnd"/>
            <w:r>
              <w:rPr>
                <w:color w:val="000000"/>
              </w:rPr>
              <w:t>. + 60 µL RPMI</w:t>
            </w:r>
          </w:p>
        </w:tc>
        <w:tc>
          <w:tcPr>
            <w:tcW w:w="4391" w:type="dxa"/>
            <w:gridSpan w:val="9"/>
          </w:tcPr>
          <w:p w14:paraId="5922624D" w14:textId="17A55A89" w:rsidR="008E69CE" w:rsidRDefault="008E69CE" w:rsidP="001C1840">
            <w:pPr>
              <w:spacing w:line="360" w:lineRule="auto"/>
              <w:jc w:val="center"/>
              <w:rPr>
                <w:color w:val="000000"/>
              </w:rPr>
            </w:pPr>
            <w:r>
              <w:rPr>
                <w:color w:val="000000"/>
              </w:rPr>
              <w:t xml:space="preserve">1 x 10⁵ </w:t>
            </w:r>
            <w:proofErr w:type="spellStart"/>
            <w:r>
              <w:rPr>
                <w:color w:val="000000"/>
              </w:rPr>
              <w:t>cél</w:t>
            </w:r>
            <w:proofErr w:type="spellEnd"/>
            <w:r>
              <w:rPr>
                <w:color w:val="000000"/>
              </w:rPr>
              <w:t xml:space="preserve">. + 60 µL </w:t>
            </w:r>
            <w:r w:rsidR="00FA6CEC">
              <w:rPr>
                <w:color w:val="000000"/>
              </w:rPr>
              <w:t>of extract</w:t>
            </w:r>
            <w:r>
              <w:rPr>
                <w:color w:val="000000"/>
              </w:rPr>
              <w:t xml:space="preserve"> + RPM </w:t>
            </w:r>
            <w:proofErr w:type="spellStart"/>
            <w:r w:rsidR="00FA6CEC">
              <w:rPr>
                <w:color w:val="000000"/>
              </w:rPr>
              <w:t>e.t.</w:t>
            </w:r>
            <w:proofErr w:type="spellEnd"/>
            <w:r>
              <w:rPr>
                <w:color w:val="000000"/>
              </w:rPr>
              <w:t xml:space="preserve"> 100 µL  </w:t>
            </w:r>
          </w:p>
        </w:tc>
        <w:tc>
          <w:tcPr>
            <w:tcW w:w="878" w:type="dxa"/>
          </w:tcPr>
          <w:p w14:paraId="1721F9FE" w14:textId="77777777" w:rsidR="008E69CE" w:rsidRDefault="008E69CE" w:rsidP="001C1840">
            <w:pPr>
              <w:spacing w:line="360" w:lineRule="auto"/>
              <w:jc w:val="center"/>
              <w:rPr>
                <w:color w:val="000000"/>
              </w:rPr>
            </w:pPr>
          </w:p>
        </w:tc>
        <w:tc>
          <w:tcPr>
            <w:tcW w:w="1134" w:type="dxa"/>
          </w:tcPr>
          <w:p w14:paraId="0D804CD5" w14:textId="77777777" w:rsidR="008E69CE" w:rsidRDefault="008E69CE" w:rsidP="001C1840">
            <w:pPr>
              <w:spacing w:line="360" w:lineRule="auto"/>
              <w:jc w:val="center"/>
              <w:rPr>
                <w:color w:val="000000"/>
              </w:rPr>
            </w:pPr>
          </w:p>
        </w:tc>
      </w:tr>
      <w:tr w:rsidR="008E69CE" w14:paraId="4C607200" w14:textId="77777777" w:rsidTr="008E69FC">
        <w:trPr>
          <w:trHeight w:val="237"/>
        </w:trPr>
        <w:tc>
          <w:tcPr>
            <w:tcW w:w="403" w:type="dxa"/>
          </w:tcPr>
          <w:p w14:paraId="225DB653" w14:textId="77777777" w:rsidR="008E69CE" w:rsidRDefault="008E69CE" w:rsidP="001C1840">
            <w:pPr>
              <w:spacing w:line="360" w:lineRule="auto"/>
              <w:jc w:val="center"/>
              <w:rPr>
                <w:b/>
                <w:color w:val="000000"/>
              </w:rPr>
            </w:pPr>
            <w:r>
              <w:rPr>
                <w:b/>
                <w:color w:val="000000"/>
              </w:rPr>
              <w:t>C</w:t>
            </w:r>
          </w:p>
        </w:tc>
        <w:tc>
          <w:tcPr>
            <w:tcW w:w="744" w:type="dxa"/>
          </w:tcPr>
          <w:p w14:paraId="00284DB2" w14:textId="77777777" w:rsidR="008E69CE" w:rsidRDefault="008E69CE" w:rsidP="001C1840">
            <w:pPr>
              <w:spacing w:line="360" w:lineRule="auto"/>
              <w:jc w:val="center"/>
              <w:rPr>
                <w:color w:val="000000"/>
              </w:rPr>
            </w:pPr>
          </w:p>
        </w:tc>
        <w:tc>
          <w:tcPr>
            <w:tcW w:w="803" w:type="dxa"/>
            <w:vMerge/>
            <w:vAlign w:val="center"/>
          </w:tcPr>
          <w:p w14:paraId="25395A57" w14:textId="77777777" w:rsidR="008E69CE" w:rsidRDefault="008E69CE" w:rsidP="001C1840">
            <w:pPr>
              <w:widowControl w:val="0"/>
              <w:pBdr>
                <w:top w:val="nil"/>
                <w:left w:val="nil"/>
                <w:bottom w:val="nil"/>
                <w:right w:val="nil"/>
                <w:between w:val="nil"/>
              </w:pBdr>
              <w:spacing w:line="360" w:lineRule="auto"/>
              <w:rPr>
                <w:color w:val="000000"/>
              </w:rPr>
            </w:pPr>
          </w:p>
        </w:tc>
        <w:tc>
          <w:tcPr>
            <w:tcW w:w="4391" w:type="dxa"/>
            <w:gridSpan w:val="9"/>
          </w:tcPr>
          <w:p w14:paraId="244B89AF" w14:textId="24A59B11" w:rsidR="008E69CE" w:rsidRDefault="008E69CE" w:rsidP="001C1840">
            <w:pPr>
              <w:spacing w:line="360" w:lineRule="auto"/>
              <w:jc w:val="center"/>
              <w:rPr>
                <w:color w:val="000000"/>
              </w:rPr>
            </w:pPr>
            <w:r>
              <w:rPr>
                <w:color w:val="000000"/>
              </w:rPr>
              <w:t xml:space="preserve">1 x 10⁵ </w:t>
            </w:r>
            <w:proofErr w:type="spellStart"/>
            <w:r>
              <w:rPr>
                <w:color w:val="000000"/>
              </w:rPr>
              <w:t>cél</w:t>
            </w:r>
            <w:proofErr w:type="spellEnd"/>
            <w:r>
              <w:rPr>
                <w:color w:val="000000"/>
              </w:rPr>
              <w:t xml:space="preserve">. + 40 µL </w:t>
            </w:r>
            <w:r w:rsidR="00FA6CEC">
              <w:rPr>
                <w:color w:val="000000"/>
              </w:rPr>
              <w:t>of extract</w:t>
            </w:r>
            <w:r>
              <w:rPr>
                <w:color w:val="000000"/>
              </w:rPr>
              <w:t xml:space="preserve"> + RPM </w:t>
            </w:r>
            <w:proofErr w:type="spellStart"/>
            <w:r w:rsidR="00985704">
              <w:rPr>
                <w:color w:val="000000"/>
              </w:rPr>
              <w:t>e.t.</w:t>
            </w:r>
            <w:proofErr w:type="spellEnd"/>
            <w:r>
              <w:rPr>
                <w:color w:val="000000"/>
              </w:rPr>
              <w:t xml:space="preserve"> 100 µL</w:t>
            </w:r>
          </w:p>
        </w:tc>
        <w:tc>
          <w:tcPr>
            <w:tcW w:w="878" w:type="dxa"/>
          </w:tcPr>
          <w:p w14:paraId="00EDCAC8" w14:textId="77777777" w:rsidR="008E69CE" w:rsidRDefault="008E69CE" w:rsidP="001C1840">
            <w:pPr>
              <w:spacing w:line="360" w:lineRule="auto"/>
              <w:jc w:val="center"/>
              <w:rPr>
                <w:color w:val="000000"/>
              </w:rPr>
            </w:pPr>
          </w:p>
        </w:tc>
        <w:tc>
          <w:tcPr>
            <w:tcW w:w="1134" w:type="dxa"/>
          </w:tcPr>
          <w:p w14:paraId="3D8903B8" w14:textId="77777777" w:rsidR="008E69CE" w:rsidRDefault="008E69CE" w:rsidP="001C1840">
            <w:pPr>
              <w:spacing w:line="360" w:lineRule="auto"/>
              <w:jc w:val="center"/>
              <w:rPr>
                <w:color w:val="000000"/>
              </w:rPr>
            </w:pPr>
          </w:p>
        </w:tc>
      </w:tr>
      <w:tr w:rsidR="008E69CE" w14:paraId="21F1698B" w14:textId="77777777" w:rsidTr="008E69FC">
        <w:trPr>
          <w:trHeight w:val="237"/>
        </w:trPr>
        <w:tc>
          <w:tcPr>
            <w:tcW w:w="403" w:type="dxa"/>
          </w:tcPr>
          <w:p w14:paraId="2B024C3C" w14:textId="77777777" w:rsidR="008E69CE" w:rsidRDefault="008E69CE" w:rsidP="001C1840">
            <w:pPr>
              <w:spacing w:line="360" w:lineRule="auto"/>
              <w:jc w:val="center"/>
              <w:rPr>
                <w:b/>
                <w:color w:val="000000"/>
              </w:rPr>
            </w:pPr>
            <w:r>
              <w:rPr>
                <w:b/>
                <w:color w:val="000000"/>
              </w:rPr>
              <w:t>D</w:t>
            </w:r>
          </w:p>
        </w:tc>
        <w:tc>
          <w:tcPr>
            <w:tcW w:w="744" w:type="dxa"/>
          </w:tcPr>
          <w:p w14:paraId="1233524C" w14:textId="77777777" w:rsidR="008E69CE" w:rsidRDefault="008E69CE" w:rsidP="001C1840">
            <w:pPr>
              <w:spacing w:line="360" w:lineRule="auto"/>
              <w:jc w:val="center"/>
              <w:rPr>
                <w:color w:val="000000"/>
              </w:rPr>
            </w:pPr>
          </w:p>
        </w:tc>
        <w:tc>
          <w:tcPr>
            <w:tcW w:w="803" w:type="dxa"/>
            <w:vMerge/>
            <w:vAlign w:val="center"/>
          </w:tcPr>
          <w:p w14:paraId="55E8DF70" w14:textId="77777777" w:rsidR="008E69CE" w:rsidRDefault="008E69CE" w:rsidP="001C1840">
            <w:pPr>
              <w:widowControl w:val="0"/>
              <w:pBdr>
                <w:top w:val="nil"/>
                <w:left w:val="nil"/>
                <w:bottom w:val="nil"/>
                <w:right w:val="nil"/>
                <w:between w:val="nil"/>
              </w:pBdr>
              <w:spacing w:line="360" w:lineRule="auto"/>
              <w:rPr>
                <w:color w:val="000000"/>
              </w:rPr>
            </w:pPr>
          </w:p>
        </w:tc>
        <w:tc>
          <w:tcPr>
            <w:tcW w:w="4391" w:type="dxa"/>
            <w:gridSpan w:val="9"/>
          </w:tcPr>
          <w:p w14:paraId="61D09D82" w14:textId="31A322F3" w:rsidR="008E69CE" w:rsidRDefault="008E69CE" w:rsidP="001C1840">
            <w:pPr>
              <w:spacing w:line="360" w:lineRule="auto"/>
              <w:jc w:val="center"/>
              <w:rPr>
                <w:color w:val="000000"/>
              </w:rPr>
            </w:pPr>
            <w:r>
              <w:rPr>
                <w:color w:val="000000"/>
              </w:rPr>
              <w:t xml:space="preserve">1 x 10⁵ </w:t>
            </w:r>
            <w:proofErr w:type="spellStart"/>
            <w:r>
              <w:rPr>
                <w:color w:val="000000"/>
              </w:rPr>
              <w:t>cél</w:t>
            </w:r>
            <w:proofErr w:type="spellEnd"/>
            <w:r>
              <w:rPr>
                <w:color w:val="000000"/>
              </w:rPr>
              <w:t xml:space="preserve">. + 20 µL </w:t>
            </w:r>
            <w:r w:rsidR="00FA6CEC">
              <w:rPr>
                <w:color w:val="000000"/>
              </w:rPr>
              <w:t>of extract</w:t>
            </w:r>
            <w:r>
              <w:rPr>
                <w:color w:val="000000"/>
              </w:rPr>
              <w:t xml:space="preserve"> + RPM </w:t>
            </w:r>
            <w:proofErr w:type="spellStart"/>
            <w:r w:rsidR="00985704">
              <w:rPr>
                <w:color w:val="000000"/>
              </w:rPr>
              <w:t>e.t.</w:t>
            </w:r>
            <w:proofErr w:type="spellEnd"/>
            <w:r>
              <w:rPr>
                <w:color w:val="000000"/>
              </w:rPr>
              <w:t xml:space="preserve"> 100 µL</w:t>
            </w:r>
          </w:p>
        </w:tc>
        <w:tc>
          <w:tcPr>
            <w:tcW w:w="878" w:type="dxa"/>
          </w:tcPr>
          <w:p w14:paraId="1B376B8E" w14:textId="77777777" w:rsidR="008E69CE" w:rsidRDefault="008E69CE" w:rsidP="001C1840">
            <w:pPr>
              <w:spacing w:line="360" w:lineRule="auto"/>
              <w:jc w:val="center"/>
              <w:rPr>
                <w:color w:val="000000"/>
              </w:rPr>
            </w:pPr>
          </w:p>
        </w:tc>
        <w:tc>
          <w:tcPr>
            <w:tcW w:w="1134" w:type="dxa"/>
          </w:tcPr>
          <w:p w14:paraId="3825EC92" w14:textId="77777777" w:rsidR="008E69CE" w:rsidRDefault="008E69CE" w:rsidP="001C1840">
            <w:pPr>
              <w:spacing w:line="360" w:lineRule="auto"/>
              <w:jc w:val="center"/>
              <w:rPr>
                <w:color w:val="000000"/>
              </w:rPr>
            </w:pPr>
          </w:p>
        </w:tc>
      </w:tr>
      <w:tr w:rsidR="008E69CE" w14:paraId="6F08208C" w14:textId="77777777" w:rsidTr="008E69FC">
        <w:trPr>
          <w:trHeight w:val="237"/>
        </w:trPr>
        <w:tc>
          <w:tcPr>
            <w:tcW w:w="403" w:type="dxa"/>
          </w:tcPr>
          <w:p w14:paraId="456ABE6E" w14:textId="77777777" w:rsidR="008E69CE" w:rsidRDefault="008E69CE" w:rsidP="001C1840">
            <w:pPr>
              <w:spacing w:line="360" w:lineRule="auto"/>
              <w:jc w:val="center"/>
              <w:rPr>
                <w:b/>
                <w:color w:val="000000"/>
              </w:rPr>
            </w:pPr>
            <w:r>
              <w:rPr>
                <w:b/>
                <w:color w:val="000000"/>
              </w:rPr>
              <w:t>E</w:t>
            </w:r>
          </w:p>
        </w:tc>
        <w:tc>
          <w:tcPr>
            <w:tcW w:w="744" w:type="dxa"/>
          </w:tcPr>
          <w:p w14:paraId="2B185FFF" w14:textId="77777777" w:rsidR="008E69CE" w:rsidRDefault="008E69CE" w:rsidP="001C1840">
            <w:pPr>
              <w:spacing w:line="360" w:lineRule="auto"/>
              <w:jc w:val="center"/>
              <w:rPr>
                <w:color w:val="000000"/>
              </w:rPr>
            </w:pPr>
          </w:p>
        </w:tc>
        <w:tc>
          <w:tcPr>
            <w:tcW w:w="803" w:type="dxa"/>
            <w:vMerge/>
            <w:vAlign w:val="center"/>
          </w:tcPr>
          <w:p w14:paraId="612791E7" w14:textId="77777777" w:rsidR="008E69CE" w:rsidRDefault="008E69CE" w:rsidP="001C1840">
            <w:pPr>
              <w:widowControl w:val="0"/>
              <w:pBdr>
                <w:top w:val="nil"/>
                <w:left w:val="nil"/>
                <w:bottom w:val="nil"/>
                <w:right w:val="nil"/>
                <w:between w:val="nil"/>
              </w:pBdr>
              <w:spacing w:line="360" w:lineRule="auto"/>
              <w:rPr>
                <w:color w:val="000000"/>
              </w:rPr>
            </w:pPr>
          </w:p>
        </w:tc>
        <w:tc>
          <w:tcPr>
            <w:tcW w:w="4391" w:type="dxa"/>
            <w:gridSpan w:val="9"/>
          </w:tcPr>
          <w:p w14:paraId="461523B5" w14:textId="6FB0941F" w:rsidR="008E69CE" w:rsidRDefault="008E69CE" w:rsidP="001C1840">
            <w:pPr>
              <w:spacing w:line="360" w:lineRule="auto"/>
              <w:jc w:val="center"/>
              <w:rPr>
                <w:color w:val="000000"/>
              </w:rPr>
            </w:pPr>
            <w:r>
              <w:rPr>
                <w:color w:val="000000"/>
              </w:rPr>
              <w:t xml:space="preserve">1 x 10⁵ </w:t>
            </w:r>
            <w:proofErr w:type="spellStart"/>
            <w:r>
              <w:rPr>
                <w:color w:val="000000"/>
              </w:rPr>
              <w:t>cél</w:t>
            </w:r>
            <w:proofErr w:type="spellEnd"/>
            <w:r>
              <w:rPr>
                <w:color w:val="000000"/>
              </w:rPr>
              <w:t xml:space="preserve">. + 10 µL </w:t>
            </w:r>
            <w:r w:rsidR="00FA6CEC">
              <w:rPr>
                <w:color w:val="000000"/>
              </w:rPr>
              <w:t>of extract</w:t>
            </w:r>
            <w:r>
              <w:rPr>
                <w:color w:val="000000"/>
              </w:rPr>
              <w:t xml:space="preserve"> + RPM </w:t>
            </w:r>
            <w:proofErr w:type="spellStart"/>
            <w:r w:rsidR="00985704">
              <w:rPr>
                <w:color w:val="000000"/>
              </w:rPr>
              <w:t>e.t.</w:t>
            </w:r>
            <w:proofErr w:type="spellEnd"/>
            <w:r>
              <w:rPr>
                <w:color w:val="000000"/>
              </w:rPr>
              <w:t xml:space="preserve"> 100 µL</w:t>
            </w:r>
          </w:p>
        </w:tc>
        <w:tc>
          <w:tcPr>
            <w:tcW w:w="878" w:type="dxa"/>
          </w:tcPr>
          <w:p w14:paraId="3407B9F6" w14:textId="77777777" w:rsidR="008E69CE" w:rsidRDefault="008E69CE" w:rsidP="001C1840">
            <w:pPr>
              <w:spacing w:line="360" w:lineRule="auto"/>
              <w:jc w:val="center"/>
              <w:rPr>
                <w:color w:val="000000"/>
              </w:rPr>
            </w:pPr>
          </w:p>
        </w:tc>
        <w:tc>
          <w:tcPr>
            <w:tcW w:w="1134" w:type="dxa"/>
          </w:tcPr>
          <w:p w14:paraId="2775D8BA" w14:textId="77777777" w:rsidR="008E69CE" w:rsidRDefault="008E69CE" w:rsidP="001C1840">
            <w:pPr>
              <w:spacing w:line="360" w:lineRule="auto"/>
              <w:jc w:val="center"/>
              <w:rPr>
                <w:color w:val="000000"/>
              </w:rPr>
            </w:pPr>
          </w:p>
        </w:tc>
      </w:tr>
      <w:tr w:rsidR="008E69CE" w14:paraId="51FAE93A" w14:textId="77777777" w:rsidTr="008E69FC">
        <w:trPr>
          <w:trHeight w:val="237"/>
        </w:trPr>
        <w:tc>
          <w:tcPr>
            <w:tcW w:w="403" w:type="dxa"/>
          </w:tcPr>
          <w:p w14:paraId="25D597EB" w14:textId="77777777" w:rsidR="008E69CE" w:rsidRDefault="008E69CE" w:rsidP="001C1840">
            <w:pPr>
              <w:spacing w:line="360" w:lineRule="auto"/>
              <w:jc w:val="center"/>
              <w:rPr>
                <w:b/>
                <w:color w:val="000000"/>
              </w:rPr>
            </w:pPr>
            <w:r>
              <w:rPr>
                <w:b/>
                <w:color w:val="000000"/>
              </w:rPr>
              <w:t>F</w:t>
            </w:r>
          </w:p>
        </w:tc>
        <w:tc>
          <w:tcPr>
            <w:tcW w:w="744" w:type="dxa"/>
          </w:tcPr>
          <w:p w14:paraId="0E31CBFF" w14:textId="77777777" w:rsidR="008E69CE" w:rsidRDefault="008E69CE" w:rsidP="001C1840">
            <w:pPr>
              <w:spacing w:line="360" w:lineRule="auto"/>
              <w:jc w:val="center"/>
              <w:rPr>
                <w:color w:val="000000"/>
              </w:rPr>
            </w:pPr>
          </w:p>
        </w:tc>
        <w:tc>
          <w:tcPr>
            <w:tcW w:w="803" w:type="dxa"/>
            <w:vMerge/>
            <w:vAlign w:val="center"/>
          </w:tcPr>
          <w:p w14:paraId="276B9CE7" w14:textId="77777777" w:rsidR="008E69CE" w:rsidRDefault="008E69CE" w:rsidP="001C1840">
            <w:pPr>
              <w:widowControl w:val="0"/>
              <w:pBdr>
                <w:top w:val="nil"/>
                <w:left w:val="nil"/>
                <w:bottom w:val="nil"/>
                <w:right w:val="nil"/>
                <w:between w:val="nil"/>
              </w:pBdr>
              <w:spacing w:line="360" w:lineRule="auto"/>
              <w:rPr>
                <w:color w:val="000000"/>
              </w:rPr>
            </w:pPr>
          </w:p>
        </w:tc>
        <w:tc>
          <w:tcPr>
            <w:tcW w:w="4391" w:type="dxa"/>
            <w:gridSpan w:val="9"/>
          </w:tcPr>
          <w:p w14:paraId="666F0449" w14:textId="4ED3C41A" w:rsidR="008E69CE" w:rsidRDefault="008E69CE" w:rsidP="001C1840">
            <w:pPr>
              <w:spacing w:line="360" w:lineRule="auto"/>
              <w:jc w:val="center"/>
              <w:rPr>
                <w:color w:val="000000"/>
              </w:rPr>
            </w:pPr>
            <w:r>
              <w:rPr>
                <w:color w:val="000000"/>
              </w:rPr>
              <w:t xml:space="preserve">1 x 10⁵ </w:t>
            </w:r>
            <w:proofErr w:type="spellStart"/>
            <w:r>
              <w:rPr>
                <w:color w:val="000000"/>
              </w:rPr>
              <w:t>cél</w:t>
            </w:r>
            <w:proofErr w:type="spellEnd"/>
            <w:r>
              <w:rPr>
                <w:color w:val="000000"/>
              </w:rPr>
              <w:t xml:space="preserve">. + 5 µL </w:t>
            </w:r>
            <w:r w:rsidR="00FA6CEC">
              <w:rPr>
                <w:color w:val="000000"/>
              </w:rPr>
              <w:t>of extract</w:t>
            </w:r>
            <w:r>
              <w:rPr>
                <w:color w:val="000000"/>
              </w:rPr>
              <w:t xml:space="preserve"> + RPM </w:t>
            </w:r>
            <w:proofErr w:type="spellStart"/>
            <w:r w:rsidR="00985704">
              <w:rPr>
                <w:color w:val="000000"/>
              </w:rPr>
              <w:t>e.t.</w:t>
            </w:r>
            <w:proofErr w:type="spellEnd"/>
            <w:r>
              <w:rPr>
                <w:color w:val="000000"/>
              </w:rPr>
              <w:t xml:space="preserve"> 100 µL</w:t>
            </w:r>
          </w:p>
        </w:tc>
        <w:tc>
          <w:tcPr>
            <w:tcW w:w="878" w:type="dxa"/>
          </w:tcPr>
          <w:p w14:paraId="4C045177" w14:textId="77777777" w:rsidR="008E69CE" w:rsidRDefault="008E69CE" w:rsidP="001C1840">
            <w:pPr>
              <w:spacing w:line="360" w:lineRule="auto"/>
              <w:jc w:val="center"/>
              <w:rPr>
                <w:color w:val="000000"/>
              </w:rPr>
            </w:pPr>
          </w:p>
        </w:tc>
        <w:tc>
          <w:tcPr>
            <w:tcW w:w="1134" w:type="dxa"/>
          </w:tcPr>
          <w:p w14:paraId="5CB6201D" w14:textId="77777777" w:rsidR="008E69CE" w:rsidRDefault="008E69CE" w:rsidP="001C1840">
            <w:pPr>
              <w:spacing w:line="360" w:lineRule="auto"/>
              <w:jc w:val="center"/>
              <w:rPr>
                <w:color w:val="000000"/>
              </w:rPr>
            </w:pPr>
          </w:p>
        </w:tc>
      </w:tr>
      <w:tr w:rsidR="008E69CE" w14:paraId="781C14D3" w14:textId="77777777" w:rsidTr="008E69FC">
        <w:trPr>
          <w:trHeight w:val="237"/>
        </w:trPr>
        <w:tc>
          <w:tcPr>
            <w:tcW w:w="403" w:type="dxa"/>
          </w:tcPr>
          <w:p w14:paraId="21D2371B" w14:textId="77777777" w:rsidR="008E69CE" w:rsidRDefault="008E69CE" w:rsidP="001C1840">
            <w:pPr>
              <w:spacing w:line="360" w:lineRule="auto"/>
              <w:jc w:val="center"/>
              <w:rPr>
                <w:b/>
                <w:color w:val="000000"/>
              </w:rPr>
            </w:pPr>
            <w:r>
              <w:rPr>
                <w:b/>
                <w:color w:val="000000"/>
              </w:rPr>
              <w:t>G</w:t>
            </w:r>
          </w:p>
        </w:tc>
        <w:tc>
          <w:tcPr>
            <w:tcW w:w="744" w:type="dxa"/>
          </w:tcPr>
          <w:p w14:paraId="1898C2E7" w14:textId="77777777" w:rsidR="008E69CE" w:rsidRDefault="008E69CE" w:rsidP="001C1840">
            <w:pPr>
              <w:spacing w:line="360" w:lineRule="auto"/>
              <w:jc w:val="center"/>
              <w:rPr>
                <w:color w:val="000000"/>
              </w:rPr>
            </w:pPr>
          </w:p>
        </w:tc>
        <w:tc>
          <w:tcPr>
            <w:tcW w:w="803" w:type="dxa"/>
            <w:vMerge/>
            <w:vAlign w:val="center"/>
          </w:tcPr>
          <w:p w14:paraId="3779E552" w14:textId="77777777" w:rsidR="008E69CE" w:rsidRDefault="008E69CE" w:rsidP="001C1840">
            <w:pPr>
              <w:widowControl w:val="0"/>
              <w:pBdr>
                <w:top w:val="nil"/>
                <w:left w:val="nil"/>
                <w:bottom w:val="nil"/>
                <w:right w:val="nil"/>
                <w:between w:val="nil"/>
              </w:pBdr>
              <w:spacing w:line="360" w:lineRule="auto"/>
              <w:rPr>
                <w:color w:val="000000"/>
              </w:rPr>
            </w:pPr>
          </w:p>
        </w:tc>
        <w:tc>
          <w:tcPr>
            <w:tcW w:w="4391" w:type="dxa"/>
            <w:gridSpan w:val="9"/>
          </w:tcPr>
          <w:p w14:paraId="5A5F469D" w14:textId="77777777" w:rsidR="008E69CE" w:rsidRDefault="008E69CE" w:rsidP="001C1840">
            <w:pPr>
              <w:spacing w:line="360" w:lineRule="auto"/>
              <w:jc w:val="center"/>
              <w:rPr>
                <w:color w:val="000000"/>
              </w:rPr>
            </w:pPr>
          </w:p>
        </w:tc>
        <w:tc>
          <w:tcPr>
            <w:tcW w:w="878" w:type="dxa"/>
          </w:tcPr>
          <w:p w14:paraId="1424EE59" w14:textId="77777777" w:rsidR="008E69CE" w:rsidRDefault="008E69CE" w:rsidP="001C1840">
            <w:pPr>
              <w:spacing w:line="360" w:lineRule="auto"/>
              <w:jc w:val="center"/>
              <w:rPr>
                <w:color w:val="000000"/>
              </w:rPr>
            </w:pPr>
          </w:p>
        </w:tc>
        <w:tc>
          <w:tcPr>
            <w:tcW w:w="1134" w:type="dxa"/>
          </w:tcPr>
          <w:p w14:paraId="67D882BA" w14:textId="77777777" w:rsidR="008E69CE" w:rsidRDefault="008E69CE" w:rsidP="001C1840">
            <w:pPr>
              <w:spacing w:line="360" w:lineRule="auto"/>
              <w:jc w:val="center"/>
              <w:rPr>
                <w:color w:val="000000"/>
              </w:rPr>
            </w:pPr>
          </w:p>
        </w:tc>
      </w:tr>
      <w:tr w:rsidR="008E69CE" w14:paraId="1F27CFBA" w14:textId="77777777" w:rsidTr="008E69FC">
        <w:trPr>
          <w:trHeight w:val="722"/>
        </w:trPr>
        <w:tc>
          <w:tcPr>
            <w:tcW w:w="403" w:type="dxa"/>
          </w:tcPr>
          <w:p w14:paraId="6857DB23" w14:textId="77777777" w:rsidR="008E69CE" w:rsidRDefault="008E69CE" w:rsidP="001C1840">
            <w:pPr>
              <w:spacing w:line="360" w:lineRule="auto"/>
              <w:jc w:val="center"/>
              <w:rPr>
                <w:b/>
                <w:color w:val="000000"/>
              </w:rPr>
            </w:pPr>
            <w:r>
              <w:rPr>
                <w:b/>
                <w:color w:val="000000"/>
              </w:rPr>
              <w:t>H</w:t>
            </w:r>
          </w:p>
        </w:tc>
        <w:tc>
          <w:tcPr>
            <w:tcW w:w="744" w:type="dxa"/>
          </w:tcPr>
          <w:p w14:paraId="0D7EAA8E" w14:textId="77777777" w:rsidR="008E69CE" w:rsidRDefault="008E69CE" w:rsidP="001C1840">
            <w:pPr>
              <w:spacing w:line="360" w:lineRule="auto"/>
              <w:jc w:val="center"/>
              <w:rPr>
                <w:color w:val="000000"/>
              </w:rPr>
            </w:pPr>
          </w:p>
        </w:tc>
        <w:tc>
          <w:tcPr>
            <w:tcW w:w="803" w:type="dxa"/>
          </w:tcPr>
          <w:p w14:paraId="4F61BF16" w14:textId="77777777" w:rsidR="008E69CE" w:rsidRDefault="008E69CE" w:rsidP="001C1840">
            <w:pPr>
              <w:spacing w:line="360" w:lineRule="auto"/>
              <w:jc w:val="center"/>
              <w:rPr>
                <w:color w:val="000000"/>
              </w:rPr>
            </w:pPr>
            <w:r>
              <w:rPr>
                <w:color w:val="000000"/>
              </w:rPr>
              <w:t>100 µL RPMI</w:t>
            </w:r>
          </w:p>
        </w:tc>
        <w:tc>
          <w:tcPr>
            <w:tcW w:w="4391" w:type="dxa"/>
            <w:gridSpan w:val="9"/>
          </w:tcPr>
          <w:p w14:paraId="73EC7CFD" w14:textId="664EE495" w:rsidR="008E69CE" w:rsidRDefault="008E69CE" w:rsidP="001C1840">
            <w:pPr>
              <w:spacing w:line="360" w:lineRule="auto"/>
              <w:jc w:val="center"/>
              <w:rPr>
                <w:color w:val="000000"/>
              </w:rPr>
            </w:pPr>
            <w:r>
              <w:rPr>
                <w:color w:val="000000"/>
              </w:rPr>
              <w:t xml:space="preserve">20 µL </w:t>
            </w:r>
            <w:r w:rsidR="00FA6CEC">
              <w:rPr>
                <w:color w:val="000000"/>
              </w:rPr>
              <w:t>of extract</w:t>
            </w:r>
            <w:r>
              <w:rPr>
                <w:color w:val="000000"/>
              </w:rPr>
              <w:t xml:space="preserve"> + 80 µL RPMI</w:t>
            </w:r>
          </w:p>
        </w:tc>
        <w:tc>
          <w:tcPr>
            <w:tcW w:w="878" w:type="dxa"/>
          </w:tcPr>
          <w:p w14:paraId="5283F97C" w14:textId="77777777" w:rsidR="008E69CE" w:rsidRDefault="008E69CE" w:rsidP="001C1840">
            <w:pPr>
              <w:spacing w:line="360" w:lineRule="auto"/>
              <w:jc w:val="center"/>
              <w:rPr>
                <w:color w:val="000000"/>
              </w:rPr>
            </w:pPr>
            <w:r>
              <w:rPr>
                <w:color w:val="000000"/>
              </w:rPr>
              <w:t>100 µL RPMI</w:t>
            </w:r>
          </w:p>
        </w:tc>
        <w:tc>
          <w:tcPr>
            <w:tcW w:w="1134" w:type="dxa"/>
          </w:tcPr>
          <w:p w14:paraId="2C06E264" w14:textId="77777777" w:rsidR="008E69CE" w:rsidRDefault="008E69CE" w:rsidP="001C1840">
            <w:pPr>
              <w:spacing w:line="360" w:lineRule="auto"/>
              <w:jc w:val="center"/>
              <w:rPr>
                <w:color w:val="000000"/>
              </w:rPr>
            </w:pPr>
          </w:p>
        </w:tc>
      </w:tr>
    </w:tbl>
    <w:p w14:paraId="08F3DCA5" w14:textId="1A1B1DB5" w:rsidR="008E69CE" w:rsidRDefault="00E0605C" w:rsidP="00C24955">
      <w:pPr>
        <w:spacing w:before="240" w:line="360" w:lineRule="auto"/>
        <w:ind w:firstLine="720"/>
        <w:jc w:val="both"/>
      </w:pPr>
      <w:r>
        <w:rPr>
          <w:color w:val="000000"/>
        </w:rPr>
        <w:t>Cells not treated with the extracts were considered as a parameter of 100% cell viability.</w:t>
      </w:r>
    </w:p>
    <w:p w14:paraId="0E646808" w14:textId="3BE28807" w:rsidR="008E69CE" w:rsidRDefault="00E0605C" w:rsidP="001C1840">
      <w:pPr>
        <w:spacing w:before="240" w:line="360" w:lineRule="auto"/>
        <w:ind w:firstLine="720"/>
        <w:jc w:val="both"/>
      </w:pPr>
      <w:proofErr w:type="spellStart"/>
      <w:r>
        <w:rPr>
          <w:color w:val="000000"/>
        </w:rPr>
        <w:t>Citotoxicity</w:t>
      </w:r>
      <w:proofErr w:type="spellEnd"/>
      <w:r>
        <w:rPr>
          <w:color w:val="000000"/>
        </w:rPr>
        <w:t xml:space="preserve"> was calculated according to the equation:</w:t>
      </w:r>
    </w:p>
    <w:p w14:paraId="3CF7B653" w14:textId="77777777" w:rsidR="008E69CE" w:rsidRDefault="008E69CE">
      <w:pPr>
        <w:spacing w:line="360" w:lineRule="auto"/>
        <w:ind w:firstLine="567"/>
        <w:jc w:val="both"/>
      </w:pPr>
    </w:p>
    <w:p w14:paraId="3E50AA3B" w14:textId="2A560CFB" w:rsidR="008E69CE" w:rsidRDefault="008E69CE" w:rsidP="002A65B6">
      <w:pPr>
        <w:spacing w:line="360" w:lineRule="auto"/>
        <w:jc w:val="center"/>
      </w:pPr>
      <m:oMathPara>
        <m:oMath>
          <m:r>
            <w:rPr>
              <w:rFonts w:ascii="Cambria Math" w:hAnsi="Cambria Math"/>
            </w:rPr>
            <m:t>% Viability =</m:t>
          </m:r>
          <m:f>
            <m:fPr>
              <m:ctrlPr>
                <w:rPr>
                  <w:rFonts w:ascii="Cambria Math" w:hAnsi="Cambria Math"/>
                </w:rPr>
              </m:ctrlPr>
            </m:fPr>
            <m:num>
              <m:r>
                <w:rPr>
                  <w:rFonts w:ascii="Cambria Math" w:hAnsi="Cambria Math"/>
                </w:rPr>
                <m:t xml:space="preserve">Average of the Absorbance of each </m:t>
              </m:r>
              <m:d>
                <m:dPr>
                  <m:begChr m:val="["/>
                  <m:endChr m:val="]"/>
                  <m:ctrlPr>
                    <w:rPr>
                      <w:rFonts w:ascii="Cambria Math" w:hAnsi="Cambria Math"/>
                      <w:i/>
                    </w:rPr>
                  </m:ctrlPr>
                </m:dPr>
                <m:e>
                  <m:r>
                    <w:rPr>
                      <w:rFonts w:ascii="Cambria Math" w:hAnsi="Cambria Math"/>
                    </w:rPr>
                    <m:t xml:space="preserve"> </m:t>
                  </m:r>
                </m:e>
              </m:d>
              <m:r>
                <w:rPr>
                  <w:rFonts w:ascii="Cambria Math" w:hAnsi="Cambria Math"/>
                </w:rPr>
                <m:t xml:space="preserve"> ofthe extract - whites</m:t>
              </m:r>
            </m:num>
            <m:den>
              <m:r>
                <w:rPr>
                  <w:rFonts w:ascii="Cambria Math" w:hAnsi="Cambria Math"/>
                </w:rPr>
                <m:t>Absorbance mean of controls-whites</m:t>
              </m:r>
            </m:den>
          </m:f>
          <m:r>
            <w:rPr>
              <w:rFonts w:ascii="Cambria Math" w:hAnsi="Cambria Math"/>
            </w:rPr>
            <m:t xml:space="preserve"> x 100</m:t>
          </m:r>
        </m:oMath>
      </m:oMathPara>
    </w:p>
    <w:p w14:paraId="4F295D2B" w14:textId="7B92F0D4" w:rsidR="008E69CE" w:rsidRDefault="00E0605C" w:rsidP="00C24955">
      <w:pPr>
        <w:spacing w:before="240" w:line="360" w:lineRule="auto"/>
        <w:ind w:firstLine="720"/>
        <w:jc w:val="both"/>
        <w:rPr>
          <w:color w:val="000000"/>
        </w:rPr>
      </w:pPr>
      <w:r>
        <w:rPr>
          <w:color w:val="000000"/>
        </w:rPr>
        <w:t>Cell viability was expressed, when applicable, as</w:t>
      </w:r>
      <w:r w:rsidR="008E69CE">
        <w:rPr>
          <w:color w:val="000000"/>
        </w:rPr>
        <w:t xml:space="preserve"> IC50 (</w:t>
      </w:r>
      <w:r>
        <w:rPr>
          <w:color w:val="000000"/>
        </w:rPr>
        <w:t>concentration that inhibited cell growth by</w:t>
      </w:r>
      <w:r w:rsidR="008E69CE">
        <w:rPr>
          <w:color w:val="000000"/>
        </w:rPr>
        <w:t xml:space="preserve"> 50% </w:t>
      </w:r>
      <w:r>
        <w:rPr>
          <w:color w:val="000000"/>
        </w:rPr>
        <w:t>compared to the untreated group</w:t>
      </w:r>
      <w:r w:rsidR="008E69CE">
        <w:rPr>
          <w:color w:val="000000"/>
        </w:rPr>
        <w:t xml:space="preserve">). </w:t>
      </w:r>
      <w:r>
        <w:rPr>
          <w:color w:val="000000"/>
        </w:rPr>
        <w:t xml:space="preserve">Therefore, the IC50 was defined as it was applied in the experiment. The results were </w:t>
      </w:r>
      <w:proofErr w:type="spellStart"/>
      <w:r>
        <w:rPr>
          <w:color w:val="000000"/>
        </w:rPr>
        <w:t>analyzed</w:t>
      </w:r>
      <w:proofErr w:type="spellEnd"/>
      <w:r>
        <w:rPr>
          <w:color w:val="000000"/>
        </w:rPr>
        <w:t xml:space="preserve"> with calculations and expressed in graphs using the statistical tool</w:t>
      </w:r>
      <w:r w:rsidR="008E69CE">
        <w:rPr>
          <w:color w:val="000000"/>
        </w:rPr>
        <w:t xml:space="preserve"> GraphPad Prism vers</w:t>
      </w:r>
      <w:r>
        <w:rPr>
          <w:color w:val="000000"/>
        </w:rPr>
        <w:t>ion</w:t>
      </w:r>
      <w:r w:rsidR="008E69CE">
        <w:rPr>
          <w:color w:val="000000"/>
        </w:rPr>
        <w:t xml:space="preserve"> 7.0.</w:t>
      </w:r>
    </w:p>
    <w:p w14:paraId="5AABA6F8" w14:textId="331996C4" w:rsidR="004D2E62" w:rsidRDefault="004D2E62" w:rsidP="00D852E3">
      <w:pPr>
        <w:spacing w:before="240" w:line="360" w:lineRule="auto"/>
        <w:jc w:val="both"/>
      </w:pPr>
    </w:p>
    <w:p w14:paraId="28516DF5" w14:textId="60BD9BAC" w:rsidR="002169D0" w:rsidRDefault="002169D0" w:rsidP="002169D0">
      <w:pPr>
        <w:pStyle w:val="Ttulo2"/>
      </w:pPr>
      <w:r>
        <w:lastRenderedPageBreak/>
        <w:t>Anima</w:t>
      </w:r>
      <w:r w:rsidR="002A0A18">
        <w:t>l</w:t>
      </w:r>
      <w:r>
        <w:t>s</w:t>
      </w:r>
    </w:p>
    <w:p w14:paraId="56F41CA8" w14:textId="4FA185C6" w:rsidR="002169D0" w:rsidRDefault="002A0A18" w:rsidP="00C24955">
      <w:pPr>
        <w:spacing w:before="240" w:after="240" w:line="360" w:lineRule="auto"/>
        <w:jc w:val="both"/>
      </w:pPr>
      <w:r>
        <w:rPr>
          <w:color w:val="000000"/>
        </w:rPr>
        <w:t>Fifteen male animals of the</w:t>
      </w:r>
      <w:r w:rsidR="002169D0">
        <w:rPr>
          <w:color w:val="000000"/>
        </w:rPr>
        <w:t xml:space="preserve"> Wistar</w:t>
      </w:r>
      <w:r>
        <w:rPr>
          <w:color w:val="000000"/>
        </w:rPr>
        <w:t xml:space="preserve"> lineage were used</w:t>
      </w:r>
      <w:r w:rsidR="002169D0">
        <w:rPr>
          <w:color w:val="000000"/>
        </w:rPr>
        <w:t xml:space="preserve">. </w:t>
      </w:r>
      <w:r>
        <w:rPr>
          <w:color w:val="000000"/>
        </w:rPr>
        <w:t xml:space="preserve">These were kept in the Sectorial Animal Facility of the Pontifical Catholic University of </w:t>
      </w:r>
      <w:proofErr w:type="spellStart"/>
      <w:r>
        <w:rPr>
          <w:color w:val="000000"/>
        </w:rPr>
        <w:t>Goiás</w:t>
      </w:r>
      <w:proofErr w:type="spellEnd"/>
      <w:r w:rsidR="002169D0">
        <w:rPr>
          <w:color w:val="000000"/>
        </w:rPr>
        <w:t xml:space="preserve"> (PUC-GO). </w:t>
      </w:r>
      <w:r>
        <w:rPr>
          <w:color w:val="000000"/>
        </w:rPr>
        <w:t>After 21 days of weaning</w:t>
      </w:r>
      <w:r w:rsidR="00D11F04">
        <w:rPr>
          <w:color w:val="000000"/>
        </w:rPr>
        <w:t>, the animals were kept in polypropylene boxes, with a maximum capacity of 4 animals per box, which were lined with wood shavings, changed every 3 days.</w:t>
      </w:r>
      <w:r w:rsidR="002169D0">
        <w:rPr>
          <w:color w:val="000000"/>
        </w:rPr>
        <w:t xml:space="preserve"> </w:t>
      </w:r>
      <w:r w:rsidR="00D11F04">
        <w:rPr>
          <w:color w:val="000000"/>
        </w:rPr>
        <w:t>The environment in which they stayed was controlled, the temperature was</w:t>
      </w:r>
      <w:r w:rsidR="002169D0">
        <w:rPr>
          <w:color w:val="000000"/>
        </w:rPr>
        <w:t xml:space="preserve"> 21°C, </w:t>
      </w:r>
      <w:r w:rsidR="00D11F04">
        <w:rPr>
          <w:color w:val="000000"/>
        </w:rPr>
        <w:t>there was a light-dark cycle of</w:t>
      </w:r>
      <w:r w:rsidR="002169D0">
        <w:rPr>
          <w:color w:val="000000"/>
        </w:rPr>
        <w:t xml:space="preserve"> 12-12h, </w:t>
      </w:r>
      <w:r w:rsidR="00D11F04">
        <w:rPr>
          <w:color w:val="000000"/>
        </w:rPr>
        <w:t xml:space="preserve">with water and feed, both industrialized and </w:t>
      </w:r>
      <w:proofErr w:type="spellStart"/>
      <w:r w:rsidR="00D11F04">
        <w:rPr>
          <w:color w:val="000000"/>
        </w:rPr>
        <w:t>hyperlipidic</w:t>
      </w:r>
      <w:proofErr w:type="spellEnd"/>
      <w:r w:rsidR="00D11F04">
        <w:rPr>
          <w:color w:val="000000"/>
        </w:rPr>
        <w:t>, in free demand.</w:t>
      </w:r>
    </w:p>
    <w:p w14:paraId="7E2D12B5" w14:textId="4E846293" w:rsidR="002169D0" w:rsidRDefault="00D11F04" w:rsidP="00C24955">
      <w:pPr>
        <w:spacing w:before="240" w:line="360" w:lineRule="auto"/>
        <w:ind w:firstLine="720"/>
        <w:jc w:val="both"/>
        <w:rPr>
          <w:color w:val="000000"/>
        </w:rPr>
      </w:pPr>
      <w:r>
        <w:rPr>
          <w:color w:val="000000"/>
        </w:rPr>
        <w:t>The procedures performed in this study were submitted and approved by</w:t>
      </w:r>
      <w:r w:rsidR="002169D0">
        <w:rPr>
          <w:color w:val="000000"/>
        </w:rPr>
        <w:t xml:space="preserve"> CEUA/PUC-GO </w:t>
      </w:r>
      <w:r>
        <w:rPr>
          <w:color w:val="000000"/>
        </w:rPr>
        <w:t>number</w:t>
      </w:r>
      <w:r w:rsidR="002169D0">
        <w:rPr>
          <w:color w:val="000000"/>
        </w:rPr>
        <w:t xml:space="preserve"> 8820121018, </w:t>
      </w:r>
      <w:r>
        <w:rPr>
          <w:color w:val="000000"/>
        </w:rPr>
        <w:t>in accordance with</w:t>
      </w:r>
      <w:r w:rsidR="002169D0">
        <w:rPr>
          <w:color w:val="000000"/>
        </w:rPr>
        <w:t xml:space="preserve"> </w:t>
      </w:r>
      <w:proofErr w:type="spellStart"/>
      <w:r w:rsidR="002169D0">
        <w:rPr>
          <w:color w:val="000000"/>
        </w:rPr>
        <w:t>Arouca</w:t>
      </w:r>
      <w:proofErr w:type="spellEnd"/>
      <w:r>
        <w:rPr>
          <w:color w:val="000000"/>
        </w:rPr>
        <w:t xml:space="preserve"> Law</w:t>
      </w:r>
      <w:r w:rsidR="002169D0">
        <w:rPr>
          <w:color w:val="000000"/>
        </w:rPr>
        <w:t xml:space="preserve"> (11.794/08). </w:t>
      </w:r>
    </w:p>
    <w:p w14:paraId="2233A936" w14:textId="69F3DDD6" w:rsidR="002169D0" w:rsidRDefault="00600E6D" w:rsidP="002169D0">
      <w:pPr>
        <w:pStyle w:val="Ttulo2"/>
      </w:pPr>
      <w:r>
        <w:t>Diet protocol and administration of</w:t>
      </w:r>
      <w:r w:rsidR="002169D0">
        <w:t xml:space="preserve"> Spondias mombin</w:t>
      </w:r>
      <w:r>
        <w:t xml:space="preserve"> extract</w:t>
      </w:r>
    </w:p>
    <w:p w14:paraId="32EF2F0C" w14:textId="358C0668" w:rsidR="002169D0" w:rsidRPr="006245B4" w:rsidRDefault="00600E6D" w:rsidP="00C24955">
      <w:pPr>
        <w:spacing w:before="240" w:line="360" w:lineRule="auto"/>
        <w:jc w:val="both"/>
      </w:pPr>
      <w:r>
        <w:rPr>
          <w:color w:val="000000"/>
        </w:rPr>
        <w:t xml:space="preserve">Two types of diets were made </w:t>
      </w:r>
      <w:proofErr w:type="spellStart"/>
      <w:r>
        <w:rPr>
          <w:color w:val="000000"/>
        </w:rPr>
        <w:t>avaible</w:t>
      </w:r>
      <w:proofErr w:type="spellEnd"/>
      <w:r>
        <w:rPr>
          <w:color w:val="000000"/>
        </w:rPr>
        <w:t xml:space="preserve"> to the animals: the standard diet consisting of commercial feed for small rodents and the </w:t>
      </w:r>
      <w:proofErr w:type="spellStart"/>
      <w:r>
        <w:rPr>
          <w:color w:val="000000"/>
        </w:rPr>
        <w:t>hiperlipidic</w:t>
      </w:r>
      <w:proofErr w:type="spellEnd"/>
      <w:r>
        <w:rPr>
          <w:color w:val="000000"/>
        </w:rPr>
        <w:t xml:space="preserve"> diet. The </w:t>
      </w:r>
      <w:proofErr w:type="spellStart"/>
      <w:r>
        <w:rPr>
          <w:color w:val="000000"/>
        </w:rPr>
        <w:t>hyperlipidic</w:t>
      </w:r>
      <w:proofErr w:type="spellEnd"/>
      <w:r>
        <w:rPr>
          <w:color w:val="000000"/>
        </w:rPr>
        <w:t xml:space="preserve"> diet is composed of a mixture of standard feed, milk chocolate, peanuts and </w:t>
      </w:r>
      <w:proofErr w:type="spellStart"/>
      <w:r>
        <w:rPr>
          <w:color w:val="000000"/>
        </w:rPr>
        <w:t>cornstarch</w:t>
      </w:r>
      <w:proofErr w:type="spellEnd"/>
      <w:r>
        <w:rPr>
          <w:color w:val="000000"/>
        </w:rPr>
        <w:t xml:space="preserve"> biscuit, in the respective ratio of</w:t>
      </w:r>
      <w:r w:rsidR="002169D0">
        <w:rPr>
          <w:color w:val="000000"/>
        </w:rPr>
        <w:t xml:space="preserve"> 3:2:2:1. </w:t>
      </w:r>
      <w:r>
        <w:rPr>
          <w:color w:val="000000"/>
        </w:rPr>
        <w:t xml:space="preserve">After the ingredients were mixed, the </w:t>
      </w:r>
      <w:proofErr w:type="spellStart"/>
      <w:r>
        <w:rPr>
          <w:color w:val="000000"/>
        </w:rPr>
        <w:t>hyperlipidic</w:t>
      </w:r>
      <w:proofErr w:type="spellEnd"/>
      <w:r>
        <w:rPr>
          <w:color w:val="000000"/>
        </w:rPr>
        <w:t xml:space="preserve"> feed was </w:t>
      </w:r>
      <w:proofErr w:type="spellStart"/>
      <w:r>
        <w:rPr>
          <w:color w:val="000000"/>
        </w:rPr>
        <w:t>molded</w:t>
      </w:r>
      <w:proofErr w:type="spellEnd"/>
      <w:r>
        <w:rPr>
          <w:color w:val="000000"/>
        </w:rPr>
        <w:t xml:space="preserve"> and stored in clear plastic bags identified in a refrigerated environment, until it was distributed to the animals.</w:t>
      </w:r>
    </w:p>
    <w:p w14:paraId="1CEC9C34" w14:textId="0E150F93" w:rsidR="002169D0" w:rsidRDefault="00600E6D" w:rsidP="00C24955">
      <w:pPr>
        <w:spacing w:before="240" w:line="360" w:lineRule="auto"/>
        <w:ind w:firstLine="360"/>
        <w:jc w:val="both"/>
      </w:pPr>
      <w:r>
        <w:rPr>
          <w:color w:val="000000"/>
        </w:rPr>
        <w:t>Concentrated</w:t>
      </w:r>
      <w:r w:rsidR="002169D0">
        <w:rPr>
          <w:color w:val="000000"/>
        </w:rPr>
        <w:t xml:space="preserve"> </w:t>
      </w:r>
      <w:r w:rsidR="002169D0">
        <w:rPr>
          <w:i/>
          <w:color w:val="000000"/>
        </w:rPr>
        <w:t>Spondias mombin</w:t>
      </w:r>
      <w:r w:rsidR="002169D0">
        <w:rPr>
          <w:color w:val="000000"/>
        </w:rPr>
        <w:t xml:space="preserve"> </w:t>
      </w:r>
      <w:r w:rsidR="00980C73">
        <w:rPr>
          <w:color w:val="000000"/>
        </w:rPr>
        <w:t>extract was dissolved at</w:t>
      </w:r>
      <w:r w:rsidR="002169D0">
        <w:rPr>
          <w:color w:val="000000"/>
        </w:rPr>
        <w:t xml:space="preserve"> 0,15 %</w:t>
      </w:r>
      <w:r w:rsidR="002169D0">
        <w:rPr>
          <w:color w:val="000000"/>
          <w:sz w:val="16"/>
          <w:szCs w:val="16"/>
        </w:rPr>
        <w:t xml:space="preserve"> </w:t>
      </w:r>
      <w:r w:rsidR="00980C73">
        <w:rPr>
          <w:color w:val="000000"/>
        </w:rPr>
        <w:t>in filtered water and administered orally through drinking fountains. The rest of the animals received filtered water. Both offered</w:t>
      </w:r>
      <w:r w:rsidR="002169D0">
        <w:rPr>
          <w:color w:val="000000"/>
        </w:rPr>
        <w:t xml:space="preserve"> </w:t>
      </w:r>
      <w:r w:rsidR="002169D0">
        <w:rPr>
          <w:i/>
          <w:color w:val="000000"/>
        </w:rPr>
        <w:t>ad libitum</w:t>
      </w:r>
      <w:r w:rsidR="002169D0">
        <w:rPr>
          <w:color w:val="000000"/>
        </w:rPr>
        <w:t xml:space="preserve">.  </w:t>
      </w:r>
      <w:r w:rsidR="00980C73">
        <w:rPr>
          <w:color w:val="000000"/>
        </w:rPr>
        <w:t>The amount of water and extract ingested by the groups were recorded daily, using a graduated glass beaker</w:t>
      </w:r>
      <w:r w:rsidR="002169D0">
        <w:rPr>
          <w:color w:val="000000"/>
        </w:rPr>
        <w:t>.</w:t>
      </w:r>
    </w:p>
    <w:p w14:paraId="3C313D40" w14:textId="29F8A8A6" w:rsidR="002169D0" w:rsidRDefault="002D736F" w:rsidP="002169D0">
      <w:pPr>
        <w:spacing w:before="240" w:line="360" w:lineRule="auto"/>
        <w:ind w:firstLine="360"/>
        <w:jc w:val="both"/>
      </w:pPr>
      <w:r>
        <w:rPr>
          <w:color w:val="000000"/>
        </w:rPr>
        <w:t>Thus, the animals in the experiment were divided into 4 groups, namely:</w:t>
      </w:r>
    </w:p>
    <w:p w14:paraId="4807893B" w14:textId="40C2769B" w:rsidR="002169D0" w:rsidRDefault="002169D0" w:rsidP="002169D0">
      <w:pPr>
        <w:numPr>
          <w:ilvl w:val="0"/>
          <w:numId w:val="31"/>
        </w:numPr>
        <w:spacing w:before="240" w:line="360" w:lineRule="auto"/>
        <w:jc w:val="both"/>
        <w:rPr>
          <w:color w:val="000000"/>
        </w:rPr>
      </w:pPr>
      <w:r>
        <w:rPr>
          <w:color w:val="000000"/>
        </w:rPr>
        <w:t>Gr</w:t>
      </w:r>
      <w:r w:rsidR="002D736F">
        <w:rPr>
          <w:color w:val="000000"/>
        </w:rPr>
        <w:t>o</w:t>
      </w:r>
      <w:r>
        <w:rPr>
          <w:color w:val="000000"/>
        </w:rPr>
        <w:t xml:space="preserve">up 1: </w:t>
      </w:r>
      <w:r w:rsidR="002D736F">
        <w:rPr>
          <w:color w:val="000000"/>
        </w:rPr>
        <w:t xml:space="preserve">Standard diet with filtered water intake </w:t>
      </w:r>
      <w:r>
        <w:rPr>
          <w:color w:val="000000"/>
        </w:rPr>
        <w:t>(DP);</w:t>
      </w:r>
    </w:p>
    <w:p w14:paraId="64287320" w14:textId="20C68906" w:rsidR="002169D0" w:rsidRDefault="002169D0" w:rsidP="002169D0">
      <w:pPr>
        <w:numPr>
          <w:ilvl w:val="0"/>
          <w:numId w:val="31"/>
        </w:numPr>
        <w:spacing w:line="360" w:lineRule="auto"/>
        <w:jc w:val="both"/>
        <w:rPr>
          <w:color w:val="000000"/>
        </w:rPr>
      </w:pPr>
      <w:r>
        <w:rPr>
          <w:color w:val="000000"/>
        </w:rPr>
        <w:t>Gr</w:t>
      </w:r>
      <w:r w:rsidR="002D736F">
        <w:rPr>
          <w:color w:val="000000"/>
        </w:rPr>
        <w:t>o</w:t>
      </w:r>
      <w:r>
        <w:rPr>
          <w:color w:val="000000"/>
        </w:rPr>
        <w:t xml:space="preserve">up 2: </w:t>
      </w:r>
      <w:r w:rsidR="002D736F">
        <w:rPr>
          <w:color w:val="000000"/>
        </w:rPr>
        <w:t xml:space="preserve">Standard diet with ingestion of </w:t>
      </w:r>
      <w:r w:rsidR="002D736F" w:rsidRPr="002D736F">
        <w:rPr>
          <w:i/>
          <w:iCs/>
          <w:color w:val="000000"/>
        </w:rPr>
        <w:t>S.</w:t>
      </w:r>
      <w:r>
        <w:rPr>
          <w:i/>
          <w:color w:val="000000"/>
        </w:rPr>
        <w:t xml:space="preserve"> mombin</w:t>
      </w:r>
      <w:r w:rsidR="002D736F">
        <w:rPr>
          <w:iCs/>
          <w:color w:val="000000"/>
        </w:rPr>
        <w:t xml:space="preserve"> extract</w:t>
      </w:r>
      <w:r>
        <w:rPr>
          <w:color w:val="000000"/>
        </w:rPr>
        <w:t xml:space="preserve"> (DPS);</w:t>
      </w:r>
    </w:p>
    <w:p w14:paraId="7ED57288" w14:textId="2FBDBAF3" w:rsidR="002169D0" w:rsidRDefault="002169D0" w:rsidP="002169D0">
      <w:pPr>
        <w:numPr>
          <w:ilvl w:val="0"/>
          <w:numId w:val="31"/>
        </w:numPr>
        <w:spacing w:line="360" w:lineRule="auto"/>
        <w:jc w:val="both"/>
        <w:rPr>
          <w:color w:val="000000"/>
        </w:rPr>
      </w:pPr>
      <w:r>
        <w:rPr>
          <w:color w:val="000000"/>
        </w:rPr>
        <w:t>Gr</w:t>
      </w:r>
      <w:r w:rsidR="002D736F">
        <w:rPr>
          <w:color w:val="000000"/>
        </w:rPr>
        <w:t>o</w:t>
      </w:r>
      <w:r>
        <w:rPr>
          <w:color w:val="000000"/>
        </w:rPr>
        <w:t xml:space="preserve">up 3: </w:t>
      </w:r>
      <w:proofErr w:type="spellStart"/>
      <w:r w:rsidR="002D736F">
        <w:rPr>
          <w:color w:val="000000"/>
        </w:rPr>
        <w:t>Hyperlipidic</w:t>
      </w:r>
      <w:proofErr w:type="spellEnd"/>
      <w:r w:rsidR="002D736F">
        <w:rPr>
          <w:color w:val="000000"/>
        </w:rPr>
        <w:t xml:space="preserve"> diet with ingestion of filtered water</w:t>
      </w:r>
      <w:r>
        <w:rPr>
          <w:color w:val="000000"/>
        </w:rPr>
        <w:t xml:space="preserve"> (DH);</w:t>
      </w:r>
    </w:p>
    <w:p w14:paraId="5D97B86D" w14:textId="757A84AE" w:rsidR="002169D0" w:rsidRPr="00853880" w:rsidRDefault="002169D0" w:rsidP="002169D0">
      <w:pPr>
        <w:numPr>
          <w:ilvl w:val="0"/>
          <w:numId w:val="31"/>
        </w:numPr>
        <w:spacing w:after="480" w:line="360" w:lineRule="auto"/>
        <w:jc w:val="both"/>
        <w:rPr>
          <w:color w:val="000000"/>
        </w:rPr>
      </w:pPr>
      <w:r>
        <w:rPr>
          <w:color w:val="000000"/>
        </w:rPr>
        <w:t>Gr</w:t>
      </w:r>
      <w:r w:rsidR="002D736F">
        <w:rPr>
          <w:color w:val="000000"/>
        </w:rPr>
        <w:t>o</w:t>
      </w:r>
      <w:r>
        <w:rPr>
          <w:color w:val="000000"/>
        </w:rPr>
        <w:t xml:space="preserve">up 4: </w:t>
      </w:r>
      <w:proofErr w:type="spellStart"/>
      <w:r w:rsidR="002D736F">
        <w:rPr>
          <w:color w:val="000000"/>
        </w:rPr>
        <w:t>Hyperlipidic</w:t>
      </w:r>
      <w:proofErr w:type="spellEnd"/>
      <w:r w:rsidR="002D736F">
        <w:rPr>
          <w:color w:val="000000"/>
        </w:rPr>
        <w:t xml:space="preserve"> diet with ingestion of</w:t>
      </w:r>
      <w:r>
        <w:rPr>
          <w:color w:val="000000"/>
        </w:rPr>
        <w:t xml:space="preserve"> </w:t>
      </w:r>
      <w:r>
        <w:rPr>
          <w:i/>
          <w:color w:val="000000"/>
        </w:rPr>
        <w:t>S. mombin</w:t>
      </w:r>
      <w:r w:rsidR="002D736F">
        <w:rPr>
          <w:color w:val="000000"/>
        </w:rPr>
        <w:t xml:space="preserve"> extract (</w:t>
      </w:r>
      <w:r>
        <w:rPr>
          <w:color w:val="000000"/>
        </w:rPr>
        <w:t>DHS).</w:t>
      </w:r>
    </w:p>
    <w:p w14:paraId="208B1287" w14:textId="4825D348" w:rsidR="002169D0" w:rsidRDefault="002D736F" w:rsidP="002169D0">
      <w:pPr>
        <w:pStyle w:val="Ttulo2"/>
      </w:pPr>
      <w:r>
        <w:lastRenderedPageBreak/>
        <w:t>Blood glucose and body weight</w:t>
      </w:r>
    </w:p>
    <w:p w14:paraId="12529239" w14:textId="1E169BFD" w:rsidR="002169D0" w:rsidRDefault="002D736F" w:rsidP="00C24955">
      <w:pPr>
        <w:spacing w:before="240" w:after="240" w:line="360" w:lineRule="auto"/>
        <w:jc w:val="both"/>
        <w:rPr>
          <w:color w:val="000000"/>
        </w:rPr>
      </w:pPr>
      <w:r>
        <w:rPr>
          <w:color w:val="000000"/>
        </w:rPr>
        <w:t>During the experimental period, the rats were weighed on a scale</w:t>
      </w:r>
      <w:r w:rsidR="002169D0">
        <w:rPr>
          <w:color w:val="000000"/>
        </w:rPr>
        <w:t xml:space="preserve"> (10 kg </w:t>
      </w:r>
      <w:proofErr w:type="spellStart"/>
      <w:r w:rsidR="002169D0">
        <w:rPr>
          <w:color w:val="000000"/>
        </w:rPr>
        <w:t>Vonder</w:t>
      </w:r>
      <w:proofErr w:type="spellEnd"/>
      <w:r w:rsidR="002169D0">
        <w:rPr>
          <w:color w:val="000000"/>
        </w:rPr>
        <w:t xml:space="preserve">) </w:t>
      </w:r>
      <w:r>
        <w:rPr>
          <w:color w:val="000000"/>
        </w:rPr>
        <w:t>to assess body mass and blood glucose was measured using a high-precision digital glucometer</w:t>
      </w:r>
      <w:r w:rsidR="002169D0">
        <w:rPr>
          <w:color w:val="000000"/>
        </w:rPr>
        <w:t xml:space="preserve"> (Accu-Chek Active). </w:t>
      </w:r>
      <w:r>
        <w:rPr>
          <w:color w:val="000000"/>
        </w:rPr>
        <w:t>Both procedures were performed twice a week on standardized days.</w:t>
      </w:r>
      <w:r w:rsidR="002169D0">
        <w:rPr>
          <w:color w:val="000000"/>
        </w:rPr>
        <w:t>  </w:t>
      </w:r>
    </w:p>
    <w:p w14:paraId="04C04BA2" w14:textId="717D9DE9" w:rsidR="002169D0" w:rsidRDefault="00FE34FD" w:rsidP="002169D0">
      <w:pPr>
        <w:pStyle w:val="Ttulo2"/>
      </w:pPr>
      <w:r>
        <w:t>Biochemical analysis</w:t>
      </w:r>
    </w:p>
    <w:p w14:paraId="60223ECC" w14:textId="02B22885" w:rsidR="002169D0" w:rsidRPr="00BE73C1" w:rsidRDefault="00FE34FD" w:rsidP="00C24955">
      <w:pPr>
        <w:spacing w:before="240" w:after="240" w:line="360" w:lineRule="auto"/>
        <w:jc w:val="both"/>
        <w:rPr>
          <w:iCs/>
          <w:color w:val="000000"/>
        </w:rPr>
      </w:pPr>
      <w:r>
        <w:rPr>
          <w:color w:val="000000"/>
        </w:rPr>
        <w:t>The experimental period lasted 12 weeks and was based on a comparison of the control groups, with and without the addition of</w:t>
      </w:r>
      <w:r w:rsidR="002169D0">
        <w:rPr>
          <w:color w:val="000000"/>
        </w:rPr>
        <w:t xml:space="preserve"> </w:t>
      </w:r>
      <w:r w:rsidR="002169D0">
        <w:rPr>
          <w:i/>
          <w:color w:val="000000"/>
        </w:rPr>
        <w:t>S. mombin</w:t>
      </w:r>
      <w:r>
        <w:rPr>
          <w:iCs/>
          <w:color w:val="000000"/>
        </w:rPr>
        <w:t xml:space="preserve"> extract, and the </w:t>
      </w:r>
      <w:proofErr w:type="spellStart"/>
      <w:r>
        <w:rPr>
          <w:iCs/>
          <w:color w:val="000000"/>
        </w:rPr>
        <w:t>hyperlipidic</w:t>
      </w:r>
      <w:proofErr w:type="spellEnd"/>
      <w:r>
        <w:rPr>
          <w:iCs/>
          <w:color w:val="000000"/>
        </w:rPr>
        <w:t xml:space="preserve"> diet group, which is an induced obesity model that simulates the human model, with and without addition of the extract</w:t>
      </w:r>
      <w:r w:rsidR="002169D0">
        <w:rPr>
          <w:iCs/>
          <w:color w:val="000000"/>
        </w:rPr>
        <w:t>.</w:t>
      </w:r>
    </w:p>
    <w:p w14:paraId="1CCFF3C0" w14:textId="082146C8" w:rsidR="002169D0" w:rsidRDefault="00C24955" w:rsidP="00C24955">
      <w:pPr>
        <w:spacing w:before="240" w:after="240" w:line="360" w:lineRule="auto"/>
        <w:ind w:firstLine="720"/>
        <w:jc w:val="both"/>
      </w:pPr>
      <w:r>
        <w:t>On the last day of the experimental period, the animals were anesthetized</w:t>
      </w:r>
      <w:r w:rsidR="002169D0">
        <w:t xml:space="preserve"> (t</w:t>
      </w:r>
      <w:r>
        <w:t>h</w:t>
      </w:r>
      <w:r w:rsidR="002169D0">
        <w:t xml:space="preserve">iopental, 80mg </w:t>
      </w:r>
      <w:r>
        <w:t>in a single dose</w:t>
      </w:r>
      <w:r w:rsidR="002169D0">
        <w:t xml:space="preserve">) </w:t>
      </w:r>
      <w:r>
        <w:t>and the rib was exposed for blood collection through cardiac puncture and</w:t>
      </w:r>
      <w:r w:rsidR="002169D0">
        <w:t xml:space="preserve"> 2mL </w:t>
      </w:r>
      <w:r>
        <w:t>of blood was collected for biochemical evaluation</w:t>
      </w:r>
      <w:r w:rsidR="002169D0">
        <w:t xml:space="preserve">. </w:t>
      </w:r>
      <w:r>
        <w:t>Samples were collected in a sterile test tube without anticoagulant centrifuged</w:t>
      </w:r>
      <w:r w:rsidR="00533A34">
        <w:t xml:space="preserve"> (1000gp or 10min) </w:t>
      </w:r>
      <w:r>
        <w:t xml:space="preserve">and stored in </w:t>
      </w:r>
      <w:proofErr w:type="spellStart"/>
      <w:r>
        <w:t>eppendorf’s</w:t>
      </w:r>
      <w:proofErr w:type="spellEnd"/>
      <w:r>
        <w:t xml:space="preserve"> tubes at less than</w:t>
      </w:r>
      <w:r w:rsidR="00E94ABA">
        <w:t xml:space="preserve"> 20°C </w:t>
      </w:r>
      <w:r>
        <w:t>until the moment of analysis. Biochemical dosages were performed using</w:t>
      </w:r>
      <w:r w:rsidR="002169D0">
        <w:t xml:space="preserve"> Biosystems</w:t>
      </w:r>
      <w:r w:rsidR="007829D0" w:rsidRPr="008350C1">
        <w:rPr>
          <w:shd w:val="clear" w:color="auto" w:fill="FFFFFF"/>
        </w:rPr>
        <w:t>®</w:t>
      </w:r>
      <w:r>
        <w:rPr>
          <w:shd w:val="clear" w:color="auto" w:fill="FFFFFF"/>
        </w:rPr>
        <w:t xml:space="preserve"> brand kits</w:t>
      </w:r>
      <w:r w:rsidR="002169D0">
        <w:t xml:space="preserve">, </w:t>
      </w:r>
      <w:r>
        <w:t xml:space="preserve">through kinetic, enzymatic and colorimetric methodologies, in automated A15 </w:t>
      </w:r>
      <w:proofErr w:type="spellStart"/>
      <w:r>
        <w:t>equipament</w:t>
      </w:r>
      <w:proofErr w:type="spellEnd"/>
      <w:r>
        <w:t>, also</w:t>
      </w:r>
      <w:r w:rsidR="002169D0">
        <w:t xml:space="preserve"> Biosystem</w:t>
      </w:r>
      <w:r w:rsidR="002169D0" w:rsidRPr="008350C1">
        <w:t>s</w:t>
      </w:r>
      <w:r w:rsidR="000E14A2" w:rsidRPr="008350C1">
        <w:rPr>
          <w:shd w:val="clear" w:color="auto" w:fill="FFFFFF"/>
        </w:rPr>
        <w:t>®</w:t>
      </w:r>
      <w:r>
        <w:rPr>
          <w:shd w:val="clear" w:color="auto" w:fill="FFFFFF"/>
        </w:rPr>
        <w:t xml:space="preserve"> brand</w:t>
      </w:r>
      <w:r w:rsidR="002169D0" w:rsidRPr="008350C1">
        <w:t xml:space="preserve">. </w:t>
      </w:r>
    </w:p>
    <w:p w14:paraId="14A0D90C" w14:textId="169D1DDF" w:rsidR="002169D0" w:rsidRDefault="008E31C4" w:rsidP="008E31C4">
      <w:pPr>
        <w:spacing w:before="240" w:after="240" w:line="360" w:lineRule="auto"/>
        <w:ind w:firstLine="720"/>
        <w:jc w:val="both"/>
      </w:pPr>
      <w:r>
        <w:t>Biochemical analysis consisted of parameters: albumin, aspartate aminotransferase (AST), alanine aminotransferase (ALT), calcium, HDL cholesterol, total cholesterol, creatinine, glycemia, phosphorus, total protein, triglycerides and urea.</w:t>
      </w:r>
    </w:p>
    <w:p w14:paraId="79B35249" w14:textId="148A8713" w:rsidR="002169D0" w:rsidRDefault="008E31C4" w:rsidP="002169D0">
      <w:pPr>
        <w:pStyle w:val="Ttulo2"/>
      </w:pPr>
      <w:r>
        <w:t>Organ weight assessment</w:t>
      </w:r>
    </w:p>
    <w:p w14:paraId="6F68ABCF" w14:textId="77777777" w:rsidR="002169D0" w:rsidRDefault="002169D0" w:rsidP="002169D0">
      <w:pPr>
        <w:pStyle w:val="Newparagraph"/>
        <w:spacing w:line="360" w:lineRule="auto"/>
        <w:ind w:firstLine="0"/>
        <w:jc w:val="both"/>
        <w:rPr>
          <w:color w:val="000000"/>
        </w:rPr>
      </w:pPr>
    </w:p>
    <w:p w14:paraId="3BDD6CCB" w14:textId="7F763C13" w:rsidR="002169D0" w:rsidRDefault="008E31C4" w:rsidP="008E31C4">
      <w:pPr>
        <w:pStyle w:val="Newparagraph"/>
        <w:spacing w:line="360" w:lineRule="auto"/>
        <w:ind w:firstLine="0"/>
        <w:jc w:val="both"/>
        <w:rPr>
          <w:color w:val="000000"/>
        </w:rPr>
      </w:pPr>
      <w:r>
        <w:rPr>
          <w:color w:val="000000"/>
        </w:rPr>
        <w:t>On the last day of the experiment, the animals were euthanized and had their heart, kidneys, brain and liver removed. These organs were stored in formalin and weighed on a</w:t>
      </w:r>
      <w:r w:rsidR="002169D0">
        <w:rPr>
          <w:color w:val="000000"/>
        </w:rPr>
        <w:t xml:space="preserve"> BK400 GEHAKA</w:t>
      </w:r>
      <w:r>
        <w:rPr>
          <w:color w:val="000000"/>
        </w:rPr>
        <w:t xml:space="preserve"> semi-analytical scale</w:t>
      </w:r>
      <w:r w:rsidR="002169D0">
        <w:rPr>
          <w:color w:val="000000"/>
        </w:rPr>
        <w:t>.</w:t>
      </w:r>
    </w:p>
    <w:p w14:paraId="77B9A73B" w14:textId="77777777" w:rsidR="002169D0" w:rsidRDefault="002169D0" w:rsidP="001C1840">
      <w:pPr>
        <w:pStyle w:val="Newparagraph"/>
        <w:spacing w:line="360" w:lineRule="auto"/>
        <w:jc w:val="both"/>
      </w:pPr>
    </w:p>
    <w:p w14:paraId="4D21F79F" w14:textId="7ED6AA27" w:rsidR="008E69CE" w:rsidRPr="00852571" w:rsidRDefault="0005542F">
      <w:pPr>
        <w:pStyle w:val="Ttulo2"/>
        <w:rPr>
          <w:strike/>
        </w:rPr>
      </w:pPr>
      <w:r>
        <w:lastRenderedPageBreak/>
        <w:t>Bacterial susceptibility test against</w:t>
      </w:r>
      <w:r w:rsidR="008E69CE">
        <w:t xml:space="preserve"> </w:t>
      </w:r>
      <w:r w:rsidR="00BF70AA" w:rsidRPr="003B2DF3">
        <w:t>Spondias mombin</w:t>
      </w:r>
      <w:r>
        <w:t xml:space="preserve"> extract</w:t>
      </w:r>
    </w:p>
    <w:p w14:paraId="068CDAC6" w14:textId="6153A269" w:rsidR="008E69CE" w:rsidRDefault="0005542F" w:rsidP="00F211E3">
      <w:pPr>
        <w:spacing w:before="240" w:after="240" w:line="360" w:lineRule="auto"/>
        <w:jc w:val="both"/>
      </w:pPr>
      <w:r>
        <w:rPr>
          <w:color w:val="000000"/>
          <w:highlight w:val="white"/>
        </w:rPr>
        <w:t>The experiments were carried out in the Microbiology Section of the Clinical Laboratory of PUC-</w:t>
      </w:r>
      <w:proofErr w:type="spellStart"/>
      <w:r>
        <w:rPr>
          <w:color w:val="000000"/>
          <w:highlight w:val="white"/>
        </w:rPr>
        <w:t>Goiás</w:t>
      </w:r>
      <w:proofErr w:type="spellEnd"/>
      <w:r>
        <w:rPr>
          <w:color w:val="000000"/>
          <w:highlight w:val="white"/>
        </w:rPr>
        <w:t>. The technique of diffusing the extract in wells on Mueller agar was chosen to carry out bacterial susceptibility tests with hydroalcoholic vegetables</w:t>
      </w:r>
      <w:r w:rsidR="00F211E3">
        <w:rPr>
          <w:color w:val="000000"/>
          <w:highlight w:val="white"/>
        </w:rPr>
        <w:t xml:space="preserve"> extracts</w:t>
      </w:r>
      <w:r w:rsidR="008E69CE">
        <w:rPr>
          <w:color w:val="000000"/>
          <w:highlight w:val="white"/>
        </w:rPr>
        <w:t xml:space="preserve"> (</w:t>
      </w:r>
      <w:r w:rsidR="00C94BF4">
        <w:rPr>
          <w:color w:val="000000"/>
          <w:highlight w:val="white"/>
        </w:rPr>
        <w:t>26, 27</w:t>
      </w:r>
      <w:r w:rsidR="008E69CE">
        <w:rPr>
          <w:color w:val="000000"/>
          <w:highlight w:val="white"/>
        </w:rPr>
        <w:t>)</w:t>
      </w:r>
      <w:r w:rsidR="00852571">
        <w:rPr>
          <w:color w:val="000000"/>
        </w:rPr>
        <w:t>.</w:t>
      </w:r>
    </w:p>
    <w:p w14:paraId="64B17F45" w14:textId="5F8DEF3A" w:rsidR="008E69CE" w:rsidRDefault="005A76B5" w:rsidP="000B32C6">
      <w:pPr>
        <w:spacing w:before="240" w:after="240" w:line="360" w:lineRule="auto"/>
        <w:jc w:val="both"/>
      </w:pPr>
      <w:r>
        <w:rPr>
          <w:color w:val="000000"/>
          <w:highlight w:val="white"/>
        </w:rPr>
        <w:t xml:space="preserve">             </w:t>
      </w:r>
      <w:r w:rsidR="00F211E3">
        <w:rPr>
          <w:color w:val="000000"/>
          <w:highlight w:val="white"/>
        </w:rPr>
        <w:t>In a flat-bottom flask graduated in</w:t>
      </w:r>
      <w:r w:rsidR="008E69CE">
        <w:rPr>
          <w:color w:val="000000"/>
          <w:highlight w:val="white"/>
        </w:rPr>
        <w:t xml:space="preserve"> 1000 mL</w:t>
      </w:r>
      <w:r w:rsidR="00F211E3">
        <w:rPr>
          <w:color w:val="000000"/>
          <w:highlight w:val="white"/>
        </w:rPr>
        <w:t xml:space="preserve">, </w:t>
      </w:r>
      <w:r w:rsidR="008E69CE">
        <w:rPr>
          <w:color w:val="000000"/>
          <w:highlight w:val="white"/>
        </w:rPr>
        <w:t>22,8 grams</w:t>
      </w:r>
      <w:r w:rsidR="00F211E3">
        <w:rPr>
          <w:color w:val="000000"/>
          <w:highlight w:val="white"/>
        </w:rPr>
        <w:t xml:space="preserve"> of OXOID brand</w:t>
      </w:r>
      <w:r w:rsidR="008B1CFA">
        <w:rPr>
          <w:color w:val="000000"/>
          <w:highlight w:val="white"/>
        </w:rPr>
        <w:t xml:space="preserve"> </w:t>
      </w:r>
      <w:r w:rsidR="008E69CE">
        <w:rPr>
          <w:color w:val="000000"/>
          <w:highlight w:val="white"/>
        </w:rPr>
        <w:t xml:space="preserve">Mueller-Hinton </w:t>
      </w:r>
      <w:r w:rsidR="00F211E3">
        <w:rPr>
          <w:color w:val="000000"/>
          <w:highlight w:val="white"/>
        </w:rPr>
        <w:t xml:space="preserve">agar, </w:t>
      </w:r>
      <w:r w:rsidR="008E69CE">
        <w:rPr>
          <w:color w:val="000000"/>
          <w:highlight w:val="white"/>
        </w:rPr>
        <w:t xml:space="preserve">lot: 1485367 </w:t>
      </w:r>
      <w:r w:rsidR="00F211E3">
        <w:rPr>
          <w:color w:val="000000"/>
          <w:highlight w:val="white"/>
        </w:rPr>
        <w:t>and</w:t>
      </w:r>
      <w:r w:rsidR="008E69CE">
        <w:rPr>
          <w:color w:val="000000"/>
          <w:highlight w:val="white"/>
        </w:rPr>
        <w:t xml:space="preserve"> 600 mL </w:t>
      </w:r>
      <w:r w:rsidR="00F211E3">
        <w:rPr>
          <w:color w:val="000000"/>
          <w:highlight w:val="white"/>
        </w:rPr>
        <w:t>of deionized water were added, the flask was sealed with tape for autoclave, be autoclaved for</w:t>
      </w:r>
      <w:r w:rsidR="006A11D3" w:rsidRPr="006A11D3">
        <w:rPr>
          <w:color w:val="000000"/>
          <w:highlight w:val="white"/>
        </w:rPr>
        <w:t xml:space="preserve"> 15 minut</w:t>
      </w:r>
      <w:r w:rsidR="00F211E3">
        <w:rPr>
          <w:color w:val="000000"/>
          <w:highlight w:val="white"/>
        </w:rPr>
        <w:t>e</w:t>
      </w:r>
      <w:r w:rsidR="006A11D3" w:rsidRPr="006A11D3">
        <w:rPr>
          <w:color w:val="000000"/>
          <w:highlight w:val="white"/>
        </w:rPr>
        <w:t xml:space="preserve">s </w:t>
      </w:r>
      <w:r w:rsidR="00F211E3">
        <w:rPr>
          <w:color w:val="000000"/>
          <w:highlight w:val="white"/>
        </w:rPr>
        <w:t>at</w:t>
      </w:r>
      <w:r w:rsidR="006A11D3" w:rsidRPr="006A11D3">
        <w:rPr>
          <w:color w:val="000000"/>
          <w:highlight w:val="white"/>
        </w:rPr>
        <w:t xml:space="preserve"> 121°C</w:t>
      </w:r>
      <w:r w:rsidR="008E69CE">
        <w:rPr>
          <w:color w:val="000000"/>
          <w:highlight w:val="white"/>
        </w:rPr>
        <w:t xml:space="preserve">. </w:t>
      </w:r>
      <w:r w:rsidR="00F211E3">
        <w:rPr>
          <w:color w:val="000000"/>
          <w:highlight w:val="white"/>
        </w:rPr>
        <w:t>The agar was distributed in petri dishes measuring</w:t>
      </w:r>
      <w:r w:rsidR="008E69CE">
        <w:rPr>
          <w:color w:val="000000"/>
          <w:highlight w:val="white"/>
        </w:rPr>
        <w:t xml:space="preserve"> 150 mm </w:t>
      </w:r>
      <w:r w:rsidR="00F211E3">
        <w:rPr>
          <w:color w:val="000000"/>
          <w:highlight w:val="white"/>
        </w:rPr>
        <w:t>in diameter and</w:t>
      </w:r>
      <w:r w:rsidR="008E69CE">
        <w:rPr>
          <w:color w:val="000000"/>
          <w:highlight w:val="white"/>
        </w:rPr>
        <w:t xml:space="preserve"> 15 mm </w:t>
      </w:r>
      <w:r w:rsidR="00F211E3">
        <w:rPr>
          <w:color w:val="000000"/>
        </w:rPr>
        <w:t>in depth. Soon, after the agar solidified, the plates were exposed to germicidal (UV) light in a biological safety cabinet for 30 minutes.</w:t>
      </w:r>
    </w:p>
    <w:p w14:paraId="7E60D6A7" w14:textId="4C903005" w:rsidR="008E69CE" w:rsidRDefault="001D3D5C" w:rsidP="001C1840">
      <w:pPr>
        <w:spacing w:before="240" w:after="240" w:line="360" w:lineRule="auto"/>
        <w:ind w:firstLine="720"/>
        <w:jc w:val="both"/>
        <w:rPr>
          <w:color w:val="000000"/>
        </w:rPr>
      </w:pPr>
      <w:r>
        <w:rPr>
          <w:color w:val="000000"/>
          <w:highlight w:val="white"/>
        </w:rPr>
        <w:t>Strains of</w:t>
      </w:r>
      <w:r w:rsidR="008E69CE">
        <w:rPr>
          <w:color w:val="000000"/>
          <w:highlight w:val="white"/>
        </w:rPr>
        <w:t xml:space="preserve"> </w:t>
      </w:r>
      <w:r w:rsidR="008E69CE">
        <w:rPr>
          <w:i/>
          <w:color w:val="000000"/>
          <w:highlight w:val="white"/>
        </w:rPr>
        <w:t>E</w:t>
      </w:r>
      <w:r w:rsidR="00BA31C8">
        <w:rPr>
          <w:i/>
          <w:color w:val="000000"/>
          <w:highlight w:val="white"/>
        </w:rPr>
        <w:t xml:space="preserve">scherichia </w:t>
      </w:r>
      <w:r w:rsidR="008E69CE">
        <w:rPr>
          <w:i/>
          <w:color w:val="000000"/>
          <w:highlight w:val="white"/>
        </w:rPr>
        <w:t xml:space="preserve">coli </w:t>
      </w:r>
      <w:r w:rsidR="008E69CE">
        <w:rPr>
          <w:color w:val="000000"/>
          <w:highlight w:val="white"/>
        </w:rPr>
        <w:t>ATCC</w:t>
      </w:r>
      <w:r w:rsidR="008E69CE">
        <w:rPr>
          <w:i/>
          <w:color w:val="000000"/>
          <w:highlight w:val="white"/>
        </w:rPr>
        <w:t xml:space="preserve"> </w:t>
      </w:r>
      <w:r w:rsidR="008E69CE">
        <w:rPr>
          <w:color w:val="000000"/>
          <w:highlight w:val="white"/>
        </w:rPr>
        <w:t xml:space="preserve">25923, </w:t>
      </w:r>
      <w:r w:rsidR="008E69CE">
        <w:rPr>
          <w:i/>
          <w:color w:val="000000"/>
          <w:highlight w:val="white"/>
        </w:rPr>
        <w:t>K</w:t>
      </w:r>
      <w:r w:rsidR="00BA31C8">
        <w:rPr>
          <w:i/>
          <w:color w:val="000000"/>
          <w:highlight w:val="white"/>
        </w:rPr>
        <w:t>lebsiella</w:t>
      </w:r>
      <w:r w:rsidR="008E69CE">
        <w:rPr>
          <w:i/>
          <w:color w:val="000000"/>
          <w:highlight w:val="white"/>
        </w:rPr>
        <w:t xml:space="preserve"> pneumoniae</w:t>
      </w:r>
      <w:r w:rsidR="008E69CE">
        <w:rPr>
          <w:color w:val="000000"/>
          <w:highlight w:val="white"/>
        </w:rPr>
        <w:t xml:space="preserve"> ATCC 700603 </w:t>
      </w:r>
      <w:r w:rsidR="008E69CE">
        <w:rPr>
          <w:i/>
          <w:color w:val="000000"/>
          <w:highlight w:val="white"/>
        </w:rPr>
        <w:t>S</w:t>
      </w:r>
      <w:r w:rsidR="00BA31C8">
        <w:rPr>
          <w:i/>
          <w:color w:val="000000"/>
          <w:highlight w:val="white"/>
        </w:rPr>
        <w:t>taphylococcus</w:t>
      </w:r>
      <w:r w:rsidR="008E69CE">
        <w:rPr>
          <w:i/>
          <w:color w:val="000000"/>
          <w:highlight w:val="white"/>
        </w:rPr>
        <w:t xml:space="preserve"> aureus</w:t>
      </w:r>
      <w:r w:rsidR="008E69CE">
        <w:rPr>
          <w:color w:val="000000"/>
          <w:highlight w:val="white"/>
        </w:rPr>
        <w:t xml:space="preserve"> ATCC 29213</w:t>
      </w:r>
      <w:r>
        <w:rPr>
          <w:color w:val="000000"/>
          <w:highlight w:val="white"/>
        </w:rPr>
        <w:t xml:space="preserve"> and a clinical isolate of</w:t>
      </w:r>
      <w:r w:rsidR="008E69CE">
        <w:rPr>
          <w:color w:val="000000"/>
          <w:highlight w:val="white"/>
        </w:rPr>
        <w:t xml:space="preserve"> </w:t>
      </w:r>
      <w:r w:rsidR="008E69CE">
        <w:rPr>
          <w:i/>
          <w:color w:val="000000"/>
          <w:highlight w:val="white"/>
        </w:rPr>
        <w:t>S</w:t>
      </w:r>
      <w:r w:rsidR="00BA31C8">
        <w:rPr>
          <w:i/>
          <w:color w:val="000000"/>
          <w:highlight w:val="white"/>
        </w:rPr>
        <w:t>taphylococcus</w:t>
      </w:r>
      <w:r w:rsidR="008E69CE">
        <w:rPr>
          <w:i/>
          <w:color w:val="000000"/>
          <w:highlight w:val="white"/>
        </w:rPr>
        <w:t xml:space="preserve"> aureus</w:t>
      </w:r>
      <w:r w:rsidR="008E69CE">
        <w:rPr>
          <w:color w:val="000000"/>
          <w:highlight w:val="white"/>
        </w:rPr>
        <w:t xml:space="preserve"> BLAC </w:t>
      </w:r>
      <w:r>
        <w:rPr>
          <w:color w:val="000000"/>
          <w:highlight w:val="white"/>
        </w:rPr>
        <w:t xml:space="preserve">that were stored and made </w:t>
      </w:r>
      <w:proofErr w:type="spellStart"/>
      <w:r>
        <w:rPr>
          <w:color w:val="000000"/>
          <w:highlight w:val="white"/>
        </w:rPr>
        <w:t>avaible</w:t>
      </w:r>
      <w:proofErr w:type="spellEnd"/>
      <w:r>
        <w:rPr>
          <w:color w:val="000000"/>
          <w:highlight w:val="white"/>
        </w:rPr>
        <w:t xml:space="preserve"> by the Microbiology sector of the Laboratory of Clinical Analysis at PUC </w:t>
      </w:r>
      <w:proofErr w:type="spellStart"/>
      <w:r>
        <w:rPr>
          <w:color w:val="000000"/>
          <w:highlight w:val="white"/>
        </w:rPr>
        <w:t>Goiás</w:t>
      </w:r>
      <w:proofErr w:type="spellEnd"/>
      <w:r>
        <w:rPr>
          <w:color w:val="000000"/>
          <w:highlight w:val="white"/>
        </w:rPr>
        <w:t xml:space="preserve"> were used</w:t>
      </w:r>
      <w:r w:rsidR="008E69CE">
        <w:rPr>
          <w:color w:val="000000"/>
          <w:highlight w:val="white"/>
        </w:rPr>
        <w:t>.</w:t>
      </w:r>
    </w:p>
    <w:p w14:paraId="6417B655" w14:textId="5D464EA7" w:rsidR="008E69CE" w:rsidRDefault="00F8218E" w:rsidP="00AD424E">
      <w:pPr>
        <w:spacing w:before="240" w:after="240" w:line="360" w:lineRule="auto"/>
        <w:ind w:firstLine="720"/>
        <w:jc w:val="both"/>
      </w:pPr>
      <w:r>
        <w:t>The bacterial strains used in the study were seeded in selective culture media</w:t>
      </w:r>
      <w:r w:rsidR="00AD424E">
        <w:t xml:space="preserve"> </w:t>
      </w:r>
      <w:r>
        <w:t>(</w:t>
      </w:r>
      <w:r w:rsidR="00AD424E">
        <w:t xml:space="preserve">MacConkey </w:t>
      </w:r>
      <w:r>
        <w:t>agar for</w:t>
      </w:r>
      <w:r w:rsidR="00AD424E">
        <w:t xml:space="preserve"> </w:t>
      </w:r>
      <w:r w:rsidR="00AD424E" w:rsidRPr="000B0A49">
        <w:rPr>
          <w:i/>
        </w:rPr>
        <w:t>E. coli</w:t>
      </w:r>
      <w:r w:rsidR="00AD424E">
        <w:t xml:space="preserve"> </w:t>
      </w:r>
      <w:r>
        <w:t>and</w:t>
      </w:r>
      <w:r w:rsidR="00AD424E">
        <w:t xml:space="preserve"> </w:t>
      </w:r>
      <w:r w:rsidR="00AD424E" w:rsidRPr="000B0A49">
        <w:rPr>
          <w:i/>
        </w:rPr>
        <w:t>K. pneumoniae</w:t>
      </w:r>
      <w:r w:rsidR="00AD424E">
        <w:t>; Man</w:t>
      </w:r>
      <w:r>
        <w:t>n</w:t>
      </w:r>
      <w:r w:rsidR="00AD424E">
        <w:t>itol Sal</w:t>
      </w:r>
      <w:r>
        <w:t>t</w:t>
      </w:r>
      <w:r w:rsidR="00AD424E">
        <w:t xml:space="preserve"> </w:t>
      </w:r>
      <w:r>
        <w:t>for</w:t>
      </w:r>
      <w:r w:rsidR="00AD424E">
        <w:t xml:space="preserve"> </w:t>
      </w:r>
      <w:r w:rsidR="00AD424E" w:rsidRPr="00391B80">
        <w:rPr>
          <w:i/>
        </w:rPr>
        <w:t>S. aureus</w:t>
      </w:r>
      <w:r w:rsidR="00AD424E">
        <w:t xml:space="preserve">) </w:t>
      </w:r>
      <w:r>
        <w:t xml:space="preserve">and incubated for 24 hours in bacteriological incubator at a temperature of </w:t>
      </w:r>
      <w:r w:rsidR="00AD424E">
        <w:t>36,5°C.</w:t>
      </w:r>
    </w:p>
    <w:p w14:paraId="545AE61A" w14:textId="11644121" w:rsidR="00AD424E" w:rsidRDefault="00F8218E" w:rsidP="00822794">
      <w:pPr>
        <w:spacing w:before="240" w:after="240" w:line="360" w:lineRule="auto"/>
        <w:ind w:firstLine="720"/>
        <w:jc w:val="both"/>
      </w:pPr>
      <w:r>
        <w:t xml:space="preserve">From the colonies isolated in the selective culture media mentioned, bacterial suspensions were prepared in a sterile </w:t>
      </w:r>
      <w:r w:rsidR="003C0DC5">
        <w:t>0,85%</w:t>
      </w:r>
      <w:r>
        <w:t xml:space="preserve"> NaCl solution</w:t>
      </w:r>
      <w:r w:rsidR="003C0DC5">
        <w:t>, correspond</w:t>
      </w:r>
      <w:r>
        <w:t xml:space="preserve">ing to the </w:t>
      </w:r>
      <w:r w:rsidR="003C0DC5">
        <w:t>0,5 MacFarland</w:t>
      </w:r>
      <w:r>
        <w:t xml:space="preserve"> scale</w:t>
      </w:r>
      <w:r w:rsidR="003C0DC5">
        <w:t>.</w:t>
      </w:r>
      <w:r w:rsidR="00822794">
        <w:t xml:space="preserve"> </w:t>
      </w:r>
      <w:r>
        <w:t>Subsequently, the bacterial suspensions were used for seeding on the surface of</w:t>
      </w:r>
      <w:r w:rsidR="003C0DC5">
        <w:t xml:space="preserve"> Mueller Hinton</w:t>
      </w:r>
      <w:r>
        <w:t xml:space="preserve"> agar by the</w:t>
      </w:r>
      <w:r w:rsidR="003C0DC5">
        <w:t xml:space="preserve"> </w:t>
      </w:r>
      <w:r w:rsidR="003C0DC5" w:rsidRPr="003C0DC5">
        <w:rPr>
          <w:i/>
          <w:iCs/>
        </w:rPr>
        <w:t>swab</w:t>
      </w:r>
      <w:r>
        <w:t xml:space="preserve"> sweeping method</w:t>
      </w:r>
      <w:r w:rsidR="003C0DC5">
        <w:t>.</w:t>
      </w:r>
    </w:p>
    <w:p w14:paraId="5CA0220F" w14:textId="7ACA15C5" w:rsidR="00AD424E" w:rsidRPr="003C0DC5" w:rsidRDefault="00762D10" w:rsidP="003C0DC5">
      <w:pPr>
        <w:spacing w:before="240" w:after="240" w:line="360" w:lineRule="auto"/>
        <w:ind w:firstLine="720"/>
        <w:jc w:val="both"/>
      </w:pPr>
      <w:r>
        <w:t>Next, circular cavities with a diameter of</w:t>
      </w:r>
      <w:r w:rsidR="003C0DC5">
        <w:t xml:space="preserve"> 10mm </w:t>
      </w:r>
      <w:r>
        <w:t xml:space="preserve">were made </w:t>
      </w:r>
      <w:proofErr w:type="gramStart"/>
      <w:r>
        <w:t xml:space="preserve">on </w:t>
      </w:r>
      <w:r w:rsidR="003C0DC5">
        <w:t xml:space="preserve"> Mueller</w:t>
      </w:r>
      <w:proofErr w:type="gramEnd"/>
      <w:r w:rsidR="003C0DC5">
        <w:t xml:space="preserve"> Hinton</w:t>
      </w:r>
      <w:r>
        <w:t xml:space="preserve"> agar</w:t>
      </w:r>
      <w:r w:rsidR="003C0DC5">
        <w:t xml:space="preserve">, </w:t>
      </w:r>
      <w:r>
        <w:t>using sterile test tubes, where different volumes of</w:t>
      </w:r>
      <w:r w:rsidR="003C0DC5" w:rsidRPr="00762D10">
        <w:rPr>
          <w:i/>
          <w:iCs/>
        </w:rPr>
        <w:t xml:space="preserve"> Spondias mombin</w:t>
      </w:r>
      <w:r>
        <w:t xml:space="preserve"> extract were deposited</w:t>
      </w:r>
      <w:r w:rsidR="003C0DC5">
        <w:t xml:space="preserve">, </w:t>
      </w:r>
      <w:r>
        <w:t>namely</w:t>
      </w:r>
      <w:r w:rsidR="003C0DC5">
        <w:t xml:space="preserve">: 50 </w:t>
      </w:r>
      <w:r w:rsidR="003C0DC5" w:rsidRPr="00AD424E">
        <w:t xml:space="preserve">µL, 100 µL </w:t>
      </w:r>
      <w:r>
        <w:t>and</w:t>
      </w:r>
      <w:r w:rsidR="003C0DC5" w:rsidRPr="00AD424E">
        <w:t xml:space="preserve"> 200 µL.</w:t>
      </w:r>
      <w:r w:rsidR="003C0DC5">
        <w:t xml:space="preserve"> </w:t>
      </w:r>
      <w:r>
        <w:t>The tests were carried out in triplicate, on different dates</w:t>
      </w:r>
      <w:r w:rsidR="003C0DC5">
        <w:t xml:space="preserve">. </w:t>
      </w:r>
    </w:p>
    <w:p w14:paraId="570517A2" w14:textId="29A51273" w:rsidR="004D2E62" w:rsidRPr="004D2E62" w:rsidRDefault="00DD756F">
      <w:pPr>
        <w:pStyle w:val="Ttulo2"/>
      </w:pPr>
      <w:r>
        <w:t>Statistical analysis</w:t>
      </w:r>
    </w:p>
    <w:p w14:paraId="2EFCD6AC" w14:textId="77777777" w:rsidR="004D2E62" w:rsidRDefault="004D2E62" w:rsidP="001C1840">
      <w:pPr>
        <w:pStyle w:val="Newparagraph"/>
        <w:spacing w:line="360" w:lineRule="auto"/>
        <w:ind w:firstLine="0"/>
        <w:jc w:val="both"/>
        <w:rPr>
          <w:color w:val="000000"/>
        </w:rPr>
      </w:pPr>
    </w:p>
    <w:p w14:paraId="1A6E8854" w14:textId="033D2E51" w:rsidR="008E69CE" w:rsidRDefault="00DD756F" w:rsidP="00F063FD">
      <w:pPr>
        <w:pStyle w:val="Newparagraph"/>
        <w:spacing w:line="360" w:lineRule="auto"/>
        <w:ind w:firstLine="0"/>
        <w:jc w:val="both"/>
      </w:pPr>
      <w:r>
        <w:rPr>
          <w:color w:val="000000"/>
        </w:rPr>
        <w:lastRenderedPageBreak/>
        <w:t xml:space="preserve">For data analysis, the ANOVA analysis of variance was applied, followed by Bonferroni, to </w:t>
      </w:r>
      <w:proofErr w:type="spellStart"/>
      <w:r>
        <w:rPr>
          <w:color w:val="000000"/>
        </w:rPr>
        <w:t>analyze</w:t>
      </w:r>
      <w:proofErr w:type="spellEnd"/>
      <w:r>
        <w:rPr>
          <w:color w:val="000000"/>
        </w:rPr>
        <w:t xml:space="preserve"> </w:t>
      </w:r>
      <w:proofErr w:type="spellStart"/>
      <w:r>
        <w:rPr>
          <w:color w:val="000000"/>
        </w:rPr>
        <w:t>wheter</w:t>
      </w:r>
      <w:proofErr w:type="spellEnd"/>
      <w:r>
        <w:rPr>
          <w:color w:val="000000"/>
        </w:rPr>
        <w:t xml:space="preserve"> the variance would determine </w:t>
      </w:r>
      <w:proofErr w:type="spellStart"/>
      <w:r>
        <w:rPr>
          <w:color w:val="000000"/>
        </w:rPr>
        <w:t>wheter</w:t>
      </w:r>
      <w:proofErr w:type="spellEnd"/>
      <w:r>
        <w:rPr>
          <w:color w:val="000000"/>
        </w:rPr>
        <w:t xml:space="preserve"> the mean of the groups used in the experiments were different.</w:t>
      </w:r>
      <w:r w:rsidR="004D2E62">
        <w:rPr>
          <w:color w:val="000000"/>
        </w:rPr>
        <w:t xml:space="preserve"> </w:t>
      </w:r>
      <w:r w:rsidR="00AF045A">
        <w:rPr>
          <w:color w:val="000000"/>
        </w:rPr>
        <w:t>In this way, for each evaluated parameter, mean, standard deviation and variance data were expressed. The collected data were relocated to the Graph prism, version 7, in order to tabulate and graph the data obtained in the experiment.</w:t>
      </w:r>
      <w:r w:rsidR="004D2E62">
        <w:rPr>
          <w:color w:val="000000"/>
        </w:rPr>
        <w:t xml:space="preserve"> </w:t>
      </w:r>
      <w:r w:rsidR="00AF045A">
        <w:rPr>
          <w:color w:val="000000"/>
        </w:rPr>
        <w:t xml:space="preserve">The results </w:t>
      </w:r>
      <w:proofErr w:type="spellStart"/>
      <w:r w:rsidR="00AF045A">
        <w:rPr>
          <w:color w:val="000000"/>
        </w:rPr>
        <w:t>regardind</w:t>
      </w:r>
      <w:proofErr w:type="spellEnd"/>
      <w:r w:rsidR="00AF045A">
        <w:rPr>
          <w:color w:val="000000"/>
        </w:rPr>
        <w:t xml:space="preserve"> blood glucose and wight were </w:t>
      </w:r>
      <w:proofErr w:type="spellStart"/>
      <w:r w:rsidR="00AF045A">
        <w:rPr>
          <w:color w:val="000000"/>
        </w:rPr>
        <w:t>analyzed</w:t>
      </w:r>
      <w:proofErr w:type="spellEnd"/>
      <w:r w:rsidR="00AF045A">
        <w:rPr>
          <w:color w:val="000000"/>
        </w:rPr>
        <w:t xml:space="preserve"> by analysis of variance with two factors, Two-way ANOVA. The result of the weight of the organs was passed </w:t>
      </w:r>
      <w:proofErr w:type="spellStart"/>
      <w:r w:rsidR="00AF045A">
        <w:rPr>
          <w:color w:val="000000"/>
        </w:rPr>
        <w:t>throught</w:t>
      </w:r>
      <w:proofErr w:type="spellEnd"/>
      <w:r w:rsidR="00AF045A">
        <w:rPr>
          <w:color w:val="000000"/>
        </w:rPr>
        <w:t xml:space="preserve"> ANOVA, Brown-Forsythe and Bartlett’s tests to verify the equality of variances and the biochemical analyses were carried out with Tukey’s multiple comparison test or t test when relevant, in </w:t>
      </w:r>
      <w:proofErr w:type="spellStart"/>
      <w:r w:rsidR="00AF045A">
        <w:rPr>
          <w:color w:val="000000"/>
        </w:rPr>
        <w:t>wich</w:t>
      </w:r>
      <w:proofErr w:type="spellEnd"/>
      <w:r w:rsidR="00AF045A">
        <w:rPr>
          <w:color w:val="000000"/>
        </w:rPr>
        <w:t xml:space="preserve"> all are compared the possible averages and are based on the reduced difference, considering the percentiles of the groups used.</w:t>
      </w:r>
    </w:p>
    <w:p w14:paraId="46858C61" w14:textId="65DD4F38" w:rsidR="007D665E" w:rsidRDefault="00D61ECA">
      <w:pPr>
        <w:pStyle w:val="Ttulo1"/>
      </w:pPr>
      <w:r>
        <w:t>Results</w:t>
      </w:r>
    </w:p>
    <w:p w14:paraId="7BF127EC" w14:textId="4AB32B5E" w:rsidR="0087685B" w:rsidRDefault="00894B7F" w:rsidP="0087685B">
      <w:pPr>
        <w:pStyle w:val="Ttulo2"/>
      </w:pPr>
      <w:r>
        <w:t>Evaluation of the cytotoxicity of S.</w:t>
      </w:r>
      <w:r w:rsidR="0087685B">
        <w:t xml:space="preserve"> mombin L.</w:t>
      </w:r>
      <w:r>
        <w:t xml:space="preserve"> fruit extract</w:t>
      </w:r>
    </w:p>
    <w:p w14:paraId="6D95718E" w14:textId="16F21D98" w:rsidR="0087685B" w:rsidRDefault="0087685B" w:rsidP="00F063FD">
      <w:pPr>
        <w:spacing w:before="240" w:line="360" w:lineRule="auto"/>
        <w:jc w:val="both"/>
      </w:pPr>
      <w:r>
        <w:rPr>
          <w:color w:val="000000"/>
        </w:rPr>
        <w:t xml:space="preserve">RAW 264.7 </w:t>
      </w:r>
      <w:r w:rsidR="00894B7F">
        <w:rPr>
          <w:color w:val="000000"/>
        </w:rPr>
        <w:t xml:space="preserve">cells were exposed to </w:t>
      </w:r>
      <w:r>
        <w:rPr>
          <w:i/>
          <w:color w:val="000000"/>
        </w:rPr>
        <w:t>S. mombin L.</w:t>
      </w:r>
      <w:r>
        <w:rPr>
          <w:color w:val="000000"/>
        </w:rPr>
        <w:t xml:space="preserve"> </w:t>
      </w:r>
      <w:r w:rsidR="00894B7F">
        <w:rPr>
          <w:color w:val="000000"/>
        </w:rPr>
        <w:t>fruit extract at concentrations of</w:t>
      </w:r>
      <w:r>
        <w:rPr>
          <w:color w:val="000000"/>
        </w:rPr>
        <w:t xml:space="preserve"> 5, 10, 20, 40 </w:t>
      </w:r>
      <w:r w:rsidR="00894B7F">
        <w:rPr>
          <w:color w:val="000000"/>
        </w:rPr>
        <w:t>and</w:t>
      </w:r>
      <w:r>
        <w:rPr>
          <w:color w:val="000000"/>
        </w:rPr>
        <w:t xml:space="preserve"> 60 µg/mL </w:t>
      </w:r>
      <w:r w:rsidR="00F063FD">
        <w:rPr>
          <w:color w:val="000000"/>
        </w:rPr>
        <w:t>in 98-well plates and read in a spectrophotometer.</w:t>
      </w:r>
    </w:p>
    <w:p w14:paraId="19325949" w14:textId="089ADB36" w:rsidR="0087685B" w:rsidRDefault="00F063FD" w:rsidP="00F063FD">
      <w:pPr>
        <w:spacing w:before="240" w:line="360" w:lineRule="auto"/>
        <w:ind w:firstLine="720"/>
        <w:jc w:val="both"/>
        <w:rPr>
          <w:color w:val="000000"/>
        </w:rPr>
      </w:pPr>
      <w:r>
        <w:rPr>
          <w:color w:val="000000"/>
        </w:rPr>
        <w:t xml:space="preserve">After </w:t>
      </w:r>
      <w:proofErr w:type="spellStart"/>
      <w:r>
        <w:rPr>
          <w:color w:val="000000"/>
        </w:rPr>
        <w:t>analyzing</w:t>
      </w:r>
      <w:proofErr w:type="spellEnd"/>
      <w:r>
        <w:rPr>
          <w:color w:val="000000"/>
        </w:rPr>
        <w:t xml:space="preserve"> the absorbances and data, an </w:t>
      </w:r>
      <w:r w:rsidR="0087685B">
        <w:rPr>
          <w:color w:val="000000"/>
        </w:rPr>
        <w:t>IC</w:t>
      </w:r>
      <w:proofErr w:type="gramStart"/>
      <w:r w:rsidR="0087685B">
        <w:rPr>
          <w:color w:val="000000"/>
          <w:sz w:val="14"/>
          <w:szCs w:val="14"/>
          <w:vertAlign w:val="subscript"/>
        </w:rPr>
        <w:t xml:space="preserve">50 </w:t>
      </w:r>
      <w:r>
        <w:rPr>
          <w:color w:val="000000"/>
          <w:sz w:val="14"/>
          <w:szCs w:val="14"/>
          <w:vertAlign w:val="subscript"/>
        </w:rPr>
        <w:t xml:space="preserve"> </w:t>
      </w:r>
      <w:r>
        <w:rPr>
          <w:color w:val="000000"/>
        </w:rPr>
        <w:t>of</w:t>
      </w:r>
      <w:proofErr w:type="gramEnd"/>
      <w:r w:rsidR="0087685B">
        <w:rPr>
          <w:color w:val="000000"/>
        </w:rPr>
        <w:t xml:space="preserve"> 27,5 µg/mL </w:t>
      </w:r>
      <w:r>
        <w:rPr>
          <w:color w:val="000000"/>
        </w:rPr>
        <w:t xml:space="preserve">was determined </w:t>
      </w:r>
      <w:r w:rsidR="0087685B">
        <w:rPr>
          <w:color w:val="000000"/>
        </w:rPr>
        <w:t>(Figur</w:t>
      </w:r>
      <w:r>
        <w:rPr>
          <w:color w:val="000000"/>
        </w:rPr>
        <w:t>e</w:t>
      </w:r>
      <w:r w:rsidR="0087685B">
        <w:rPr>
          <w:color w:val="000000"/>
        </w:rPr>
        <w:t xml:space="preserve"> 3), </w:t>
      </w:r>
      <w:r>
        <w:rPr>
          <w:color w:val="000000"/>
        </w:rPr>
        <w:t>with no impairment of viability when increasing the concentration of the alcoholic extract of</w:t>
      </w:r>
      <w:r w:rsidR="0087685B">
        <w:rPr>
          <w:color w:val="000000"/>
        </w:rPr>
        <w:t xml:space="preserve"> </w:t>
      </w:r>
      <w:r w:rsidR="0087685B">
        <w:rPr>
          <w:i/>
          <w:color w:val="000000"/>
        </w:rPr>
        <w:t>S. mombin,</w:t>
      </w:r>
      <w:r w:rsidR="0087685B">
        <w:rPr>
          <w:color w:val="000000"/>
        </w:rPr>
        <w:t xml:space="preserve"> </w:t>
      </w:r>
      <w:r>
        <w:rPr>
          <w:color w:val="000000"/>
        </w:rPr>
        <w:t>from</w:t>
      </w:r>
      <w:r w:rsidR="0087685B">
        <w:rPr>
          <w:color w:val="000000"/>
        </w:rPr>
        <w:t xml:space="preserve"> 10 µg/mL </w:t>
      </w:r>
      <w:r>
        <w:rPr>
          <w:color w:val="000000"/>
        </w:rPr>
        <w:t>to</w:t>
      </w:r>
      <w:r w:rsidR="0087685B">
        <w:rPr>
          <w:color w:val="000000"/>
        </w:rPr>
        <w:t xml:space="preserve"> 20 µg/mL </w:t>
      </w:r>
      <w:r>
        <w:rPr>
          <w:color w:val="000000"/>
        </w:rPr>
        <w:t>it is observed that this increase is in cell viability from</w:t>
      </w:r>
      <w:r w:rsidR="0087685B">
        <w:rPr>
          <w:color w:val="000000"/>
        </w:rPr>
        <w:t xml:space="preserve"> 15% </w:t>
      </w:r>
      <w:r>
        <w:rPr>
          <w:color w:val="000000"/>
        </w:rPr>
        <w:t>to</w:t>
      </w:r>
      <w:r w:rsidR="0087685B">
        <w:rPr>
          <w:color w:val="000000"/>
        </w:rPr>
        <w:t xml:space="preserve"> 48%.</w:t>
      </w:r>
    </w:p>
    <w:p w14:paraId="3B98135F" w14:textId="77777777" w:rsidR="0087685B" w:rsidRDefault="0087685B" w:rsidP="0087685B">
      <w:pPr>
        <w:spacing w:before="240" w:line="360" w:lineRule="auto"/>
        <w:jc w:val="both"/>
        <w:rPr>
          <w:color w:val="000000"/>
        </w:rPr>
      </w:pPr>
      <w:r>
        <w:rPr>
          <w:noProof/>
          <w:color w:val="000000"/>
          <w:highlight w:val="white"/>
          <w:lang w:val="pt-BR" w:eastAsia="pt-BR"/>
        </w:rPr>
        <w:lastRenderedPageBreak/>
        <w:drawing>
          <wp:inline distT="0" distB="0" distL="0" distR="0" wp14:anchorId="350DE99A" wp14:editId="71C797F4">
            <wp:extent cx="5396865" cy="341683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396865" cy="3416830"/>
                    </a:xfrm>
                    <a:prstGeom prst="rect">
                      <a:avLst/>
                    </a:prstGeom>
                    <a:ln/>
                  </pic:spPr>
                </pic:pic>
              </a:graphicData>
            </a:graphic>
          </wp:inline>
        </w:drawing>
      </w:r>
    </w:p>
    <w:p w14:paraId="11DA0C00" w14:textId="4C94F8C2" w:rsidR="007D70B2" w:rsidRPr="002A65B6" w:rsidRDefault="0087685B" w:rsidP="002A65B6">
      <w:pPr>
        <w:pStyle w:val="Figurecaption"/>
        <w:rPr>
          <w:i/>
          <w:iCs/>
        </w:rPr>
      </w:pPr>
      <w:r>
        <w:t>Figure 1. Variation of cell viability (%) in concentrations (</w:t>
      </w:r>
      <w:r>
        <w:rPr>
          <w:color w:val="000000"/>
          <w:highlight w:val="white"/>
        </w:rPr>
        <w:t>µg/mL</w:t>
      </w:r>
      <w:r>
        <w:t xml:space="preserve">) of the extract of </w:t>
      </w:r>
      <w:r>
        <w:rPr>
          <w:i/>
          <w:iCs/>
        </w:rPr>
        <w:t>S. mombin L.</w:t>
      </w:r>
    </w:p>
    <w:p w14:paraId="12A3B4A0" w14:textId="466922EF" w:rsidR="007D70B2" w:rsidRDefault="00F063FD">
      <w:pPr>
        <w:pStyle w:val="Ttulo2"/>
      </w:pPr>
      <w:r>
        <w:t>Weight and blood glucose assessment</w:t>
      </w:r>
    </w:p>
    <w:p w14:paraId="5277C705" w14:textId="222A91B9" w:rsidR="007D70B2" w:rsidRDefault="00F063FD" w:rsidP="00672299">
      <w:pPr>
        <w:spacing w:before="240" w:after="240" w:line="360" w:lineRule="auto"/>
        <w:jc w:val="both"/>
        <w:rPr>
          <w:color w:val="000000"/>
        </w:rPr>
      </w:pPr>
      <w:r>
        <w:rPr>
          <w:color w:val="000000"/>
        </w:rPr>
        <w:t>The animals were kept on a fixed diet for 12 weeks and weekly weighed to observe weight gain and blood glucose</w:t>
      </w:r>
      <w:r w:rsidR="007D70B2">
        <w:rPr>
          <w:color w:val="000000"/>
        </w:rPr>
        <w:t xml:space="preserve">. </w:t>
      </w:r>
      <w:r>
        <w:rPr>
          <w:color w:val="000000"/>
        </w:rPr>
        <w:t>Figure 2 shows the variation in weight (in grams) of the groups of animals during the three months of the experiment</w:t>
      </w:r>
      <w:r w:rsidR="007D70B2">
        <w:rPr>
          <w:color w:val="000000"/>
        </w:rPr>
        <w:t xml:space="preserve">. </w:t>
      </w:r>
      <w:r>
        <w:rPr>
          <w:color w:val="000000"/>
        </w:rPr>
        <w:t xml:space="preserve">A significant difference in weight is observed from the sixth week between the </w:t>
      </w:r>
      <w:proofErr w:type="spellStart"/>
      <w:r>
        <w:rPr>
          <w:color w:val="000000"/>
        </w:rPr>
        <w:t>hyperlipidic</w:t>
      </w:r>
      <w:proofErr w:type="spellEnd"/>
      <w:r>
        <w:rPr>
          <w:color w:val="000000"/>
        </w:rPr>
        <w:t xml:space="preserve"> group</w:t>
      </w:r>
      <w:r w:rsidR="007D70B2">
        <w:rPr>
          <w:color w:val="000000"/>
        </w:rPr>
        <w:t xml:space="preserve"> (HL</w:t>
      </w:r>
      <w:r>
        <w:rPr>
          <w:color w:val="000000"/>
        </w:rPr>
        <w:t xml:space="preserve"> group</w:t>
      </w:r>
      <w:r w:rsidR="007D70B2">
        <w:rPr>
          <w:color w:val="000000"/>
        </w:rPr>
        <w:t xml:space="preserve">) </w:t>
      </w:r>
      <w:r>
        <w:rPr>
          <w:color w:val="000000"/>
        </w:rPr>
        <w:t xml:space="preserve">and the other groups – </w:t>
      </w:r>
      <w:proofErr w:type="spellStart"/>
      <w:r>
        <w:rPr>
          <w:color w:val="000000"/>
        </w:rPr>
        <w:t>hiperlipidic</w:t>
      </w:r>
      <w:proofErr w:type="spellEnd"/>
      <w:r>
        <w:rPr>
          <w:color w:val="000000"/>
        </w:rPr>
        <w:t xml:space="preserve"> diet group with addition of</w:t>
      </w:r>
      <w:r w:rsidR="007D70B2">
        <w:rPr>
          <w:color w:val="000000"/>
        </w:rPr>
        <w:t xml:space="preserve"> </w:t>
      </w:r>
      <w:proofErr w:type="spellStart"/>
      <w:r w:rsidR="007D70B2" w:rsidRPr="008E69FC">
        <w:rPr>
          <w:i/>
          <w:iCs/>
          <w:color w:val="000000"/>
        </w:rPr>
        <w:t>Spondia</w:t>
      </w:r>
      <w:proofErr w:type="spellEnd"/>
      <w:r w:rsidR="007D70B2" w:rsidRPr="008E69FC">
        <w:rPr>
          <w:i/>
          <w:iCs/>
          <w:color w:val="000000"/>
        </w:rPr>
        <w:t xml:space="preserve"> mombi</w:t>
      </w:r>
      <w:r w:rsidR="005A584C">
        <w:rPr>
          <w:i/>
          <w:iCs/>
          <w:color w:val="000000"/>
        </w:rPr>
        <w:t>n</w:t>
      </w:r>
      <w:r w:rsidR="007D70B2">
        <w:rPr>
          <w:color w:val="000000"/>
        </w:rPr>
        <w:t xml:space="preserve"> </w:t>
      </w:r>
      <w:r>
        <w:rPr>
          <w:color w:val="000000"/>
        </w:rPr>
        <w:t xml:space="preserve">extract </w:t>
      </w:r>
      <w:r w:rsidR="007D70B2">
        <w:rPr>
          <w:color w:val="000000"/>
        </w:rPr>
        <w:t>(HL + EX</w:t>
      </w:r>
      <w:r>
        <w:rPr>
          <w:color w:val="000000"/>
        </w:rPr>
        <w:t xml:space="preserve"> group</w:t>
      </w:r>
      <w:r w:rsidR="007D70B2">
        <w:rPr>
          <w:color w:val="000000"/>
        </w:rPr>
        <w:t xml:space="preserve">), </w:t>
      </w:r>
      <w:r>
        <w:rPr>
          <w:color w:val="000000"/>
        </w:rPr>
        <w:t>control diet group</w:t>
      </w:r>
      <w:r w:rsidR="007D70B2">
        <w:rPr>
          <w:color w:val="000000"/>
        </w:rPr>
        <w:t xml:space="preserve"> (CT</w:t>
      </w:r>
      <w:r>
        <w:rPr>
          <w:color w:val="000000"/>
        </w:rPr>
        <w:t xml:space="preserve"> group</w:t>
      </w:r>
      <w:r w:rsidR="007D70B2">
        <w:rPr>
          <w:color w:val="000000"/>
        </w:rPr>
        <w:t xml:space="preserve">) </w:t>
      </w:r>
      <w:r>
        <w:rPr>
          <w:color w:val="000000"/>
        </w:rPr>
        <w:t>and</w:t>
      </w:r>
      <w:r w:rsidR="007D70B2">
        <w:rPr>
          <w:color w:val="000000"/>
        </w:rPr>
        <w:t xml:space="preserve"> </w:t>
      </w:r>
      <w:r>
        <w:rPr>
          <w:color w:val="000000"/>
        </w:rPr>
        <w:t>the group with the addition of</w:t>
      </w:r>
      <w:r w:rsidR="007D70B2">
        <w:rPr>
          <w:color w:val="000000"/>
        </w:rPr>
        <w:t xml:space="preserve"> </w:t>
      </w:r>
      <w:r w:rsidR="007D70B2" w:rsidRPr="008E69FC">
        <w:rPr>
          <w:i/>
          <w:iCs/>
          <w:color w:val="000000"/>
        </w:rPr>
        <w:t>Spondias mombi</w:t>
      </w:r>
      <w:r w:rsidR="005A584C">
        <w:rPr>
          <w:i/>
          <w:iCs/>
          <w:color w:val="000000"/>
        </w:rPr>
        <w:t>n</w:t>
      </w:r>
      <w:r w:rsidR="007D70B2">
        <w:rPr>
          <w:color w:val="000000"/>
        </w:rPr>
        <w:t xml:space="preserve"> </w:t>
      </w:r>
      <w:r>
        <w:rPr>
          <w:color w:val="000000"/>
        </w:rPr>
        <w:t xml:space="preserve">extract </w:t>
      </w:r>
      <w:r w:rsidR="007D70B2">
        <w:rPr>
          <w:color w:val="000000"/>
        </w:rPr>
        <w:t>(CT + EX</w:t>
      </w:r>
      <w:r>
        <w:rPr>
          <w:color w:val="000000"/>
        </w:rPr>
        <w:t xml:space="preserve"> group</w:t>
      </w:r>
      <w:r w:rsidR="007D70B2">
        <w:rPr>
          <w:color w:val="000000"/>
        </w:rPr>
        <w:t xml:space="preserve">). </w:t>
      </w:r>
      <w:r>
        <w:rPr>
          <w:color w:val="000000"/>
        </w:rPr>
        <w:t xml:space="preserve">The </w:t>
      </w:r>
      <w:r w:rsidR="007D70B2">
        <w:rPr>
          <w:color w:val="000000"/>
        </w:rPr>
        <w:t xml:space="preserve">HL </w:t>
      </w:r>
      <w:r>
        <w:rPr>
          <w:color w:val="000000"/>
        </w:rPr>
        <w:t>group exhibited a final weight, in the twelfth week, greater than those observed in the other groups, followed by the</w:t>
      </w:r>
      <w:r w:rsidR="007D70B2">
        <w:rPr>
          <w:color w:val="000000"/>
        </w:rPr>
        <w:t xml:space="preserve"> CT + EX</w:t>
      </w:r>
      <w:r>
        <w:rPr>
          <w:color w:val="000000"/>
        </w:rPr>
        <w:t xml:space="preserve"> group, then </w:t>
      </w:r>
      <w:r w:rsidR="00663763">
        <w:rPr>
          <w:color w:val="000000"/>
        </w:rPr>
        <w:t>with the</w:t>
      </w:r>
      <w:r w:rsidR="007D70B2">
        <w:rPr>
          <w:color w:val="000000"/>
        </w:rPr>
        <w:t xml:space="preserve"> HL + EX </w:t>
      </w:r>
      <w:r w:rsidR="00663763">
        <w:rPr>
          <w:color w:val="000000"/>
        </w:rPr>
        <w:t>group and lastly the</w:t>
      </w:r>
      <w:r w:rsidR="007D70B2">
        <w:rPr>
          <w:color w:val="000000"/>
        </w:rPr>
        <w:t xml:space="preserve"> CT</w:t>
      </w:r>
      <w:r w:rsidR="00663763">
        <w:rPr>
          <w:color w:val="000000"/>
        </w:rPr>
        <w:t xml:space="preserve"> group</w:t>
      </w:r>
      <w:r w:rsidR="007D70B2">
        <w:rPr>
          <w:color w:val="000000"/>
        </w:rPr>
        <w:t xml:space="preserve">. </w:t>
      </w:r>
      <w:r w:rsidR="00663763">
        <w:rPr>
          <w:color w:val="000000"/>
        </w:rPr>
        <w:t>The average weight variation was</w:t>
      </w:r>
      <w:r w:rsidR="007D70B2">
        <w:rPr>
          <w:color w:val="000000"/>
        </w:rPr>
        <w:t xml:space="preserve"> 49,75g (± 22,77) </w:t>
      </w:r>
      <w:r w:rsidR="00663763">
        <w:rPr>
          <w:color w:val="000000"/>
        </w:rPr>
        <w:t>in the</w:t>
      </w:r>
      <w:r w:rsidR="007D70B2">
        <w:rPr>
          <w:color w:val="000000"/>
        </w:rPr>
        <w:t xml:space="preserve"> HL</w:t>
      </w:r>
      <w:r w:rsidR="00663763">
        <w:rPr>
          <w:color w:val="000000"/>
        </w:rPr>
        <w:t xml:space="preserve"> group</w:t>
      </w:r>
      <w:r w:rsidR="007D70B2">
        <w:rPr>
          <w:color w:val="000000"/>
        </w:rPr>
        <w:t xml:space="preserve">, 35,75g (± 29,97) </w:t>
      </w:r>
      <w:r w:rsidR="00663763">
        <w:rPr>
          <w:color w:val="000000"/>
        </w:rPr>
        <w:t xml:space="preserve">in the </w:t>
      </w:r>
      <w:r w:rsidR="007D70B2">
        <w:rPr>
          <w:color w:val="000000"/>
        </w:rPr>
        <w:t>CT + EX</w:t>
      </w:r>
      <w:r w:rsidR="00663763">
        <w:rPr>
          <w:color w:val="000000"/>
        </w:rPr>
        <w:t xml:space="preserve"> group</w:t>
      </w:r>
      <w:r w:rsidR="007D70B2">
        <w:rPr>
          <w:color w:val="000000"/>
        </w:rPr>
        <w:t xml:space="preserve">, 33,25g (± 14,77) HL + EX </w:t>
      </w:r>
      <w:r w:rsidR="00663763">
        <w:rPr>
          <w:color w:val="000000"/>
        </w:rPr>
        <w:t>group and</w:t>
      </w:r>
      <w:r w:rsidR="007D70B2">
        <w:rPr>
          <w:color w:val="000000"/>
        </w:rPr>
        <w:t xml:space="preserve"> 31,33g (± 0,57) </w:t>
      </w:r>
      <w:r w:rsidR="00663763">
        <w:rPr>
          <w:color w:val="000000"/>
        </w:rPr>
        <w:t xml:space="preserve">in the </w:t>
      </w:r>
      <w:r w:rsidR="007D70B2">
        <w:rPr>
          <w:color w:val="000000"/>
        </w:rPr>
        <w:t>CT</w:t>
      </w:r>
      <w:r w:rsidR="00663763">
        <w:rPr>
          <w:color w:val="000000"/>
        </w:rPr>
        <w:t xml:space="preserve"> group</w:t>
      </w:r>
      <w:r w:rsidR="007D70B2">
        <w:rPr>
          <w:color w:val="000000"/>
        </w:rPr>
        <w:t>. </w:t>
      </w:r>
    </w:p>
    <w:p w14:paraId="581AF00B" w14:textId="77777777" w:rsidR="007D70B2" w:rsidRDefault="007D70B2" w:rsidP="001C1840">
      <w:pPr>
        <w:spacing w:before="240" w:after="240" w:line="360" w:lineRule="auto"/>
        <w:ind w:firstLine="708"/>
        <w:jc w:val="both"/>
      </w:pPr>
      <w:r>
        <w:rPr>
          <w:noProof/>
          <w:color w:val="000000"/>
          <w:lang w:val="pt-BR" w:eastAsia="pt-BR"/>
        </w:rPr>
        <w:lastRenderedPageBreak/>
        <w:drawing>
          <wp:inline distT="0" distB="0" distL="0" distR="0" wp14:anchorId="5FD5F447" wp14:editId="2E09333E">
            <wp:extent cx="5400040" cy="278638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0">
                      <a:extLst>
                        <a:ext uri="{28A0092B-C50C-407E-A947-70E740481C1C}">
                          <a14:useLocalDpi xmlns:a14="http://schemas.microsoft.com/office/drawing/2010/main" val="0"/>
                        </a:ext>
                      </a:extLst>
                    </a:blip>
                    <a:stretch>
                      <a:fillRect/>
                    </a:stretch>
                  </pic:blipFill>
                  <pic:spPr>
                    <a:xfrm>
                      <a:off x="0" y="0"/>
                      <a:ext cx="5400040" cy="2786380"/>
                    </a:xfrm>
                    <a:prstGeom prst="rect">
                      <a:avLst/>
                    </a:prstGeom>
                  </pic:spPr>
                </pic:pic>
              </a:graphicData>
            </a:graphic>
          </wp:inline>
        </w:drawing>
      </w:r>
    </w:p>
    <w:p w14:paraId="4EC6661A" w14:textId="38D41091" w:rsidR="0088091B" w:rsidRPr="0057064E" w:rsidRDefault="004D77E9" w:rsidP="001C1840">
      <w:pPr>
        <w:spacing w:before="240" w:after="240" w:line="360" w:lineRule="auto"/>
        <w:jc w:val="both"/>
        <w:rPr>
          <w:sz w:val="20"/>
          <w:szCs w:val="20"/>
        </w:rPr>
      </w:pPr>
      <w:r>
        <w:t xml:space="preserve">Figure 2. </w:t>
      </w:r>
      <w:r w:rsidRPr="0088091B">
        <w:t>Wistar rats body mass gain curve. Each curve represents a group of animals (CT, CT+EX, HL, HL+EX</w:t>
      </w:r>
      <w:r w:rsidR="0088091B" w:rsidRPr="0088091B">
        <w:t>), with a mean ± 0,05 (SD at each point * p &lt; 0,05 (HL vs HL at 8, 9, 10, 11 and 12 weeks).</w:t>
      </w:r>
      <w:r w:rsidR="0088091B">
        <w:rPr>
          <w:sz w:val="20"/>
          <w:szCs w:val="20"/>
        </w:rPr>
        <w:t xml:space="preserve"> </w:t>
      </w:r>
    </w:p>
    <w:p w14:paraId="38E8FC29" w14:textId="77777777" w:rsidR="007D70B2" w:rsidRDefault="007D70B2" w:rsidP="001C1840">
      <w:pPr>
        <w:spacing w:before="240" w:after="240" w:line="360" w:lineRule="auto"/>
        <w:jc w:val="both"/>
      </w:pPr>
    </w:p>
    <w:p w14:paraId="5D1E91B3" w14:textId="46879DD4" w:rsidR="007D70B2" w:rsidRDefault="00D34D99" w:rsidP="001C1840">
      <w:pPr>
        <w:spacing w:before="240" w:after="240" w:line="360" w:lineRule="auto"/>
        <w:ind w:firstLine="708"/>
        <w:jc w:val="both"/>
        <w:rPr>
          <w:color w:val="000000"/>
        </w:rPr>
      </w:pPr>
      <w:r>
        <w:rPr>
          <w:color w:val="000000"/>
        </w:rPr>
        <w:t>Blood glucose was measured from a blood sample collected weekly from the tail of all animals. Figure 3 shows the mean values of blood glucose in the groups during the twelve weeks of the experiment.</w:t>
      </w:r>
      <w:r w:rsidR="007D70B2">
        <w:rPr>
          <w:color w:val="000000"/>
        </w:rPr>
        <w:t xml:space="preserve"> </w:t>
      </w:r>
      <w:r>
        <w:rPr>
          <w:color w:val="000000"/>
        </w:rPr>
        <w:t>The mean blood glucose in the twelfth week was</w:t>
      </w:r>
      <w:r w:rsidR="007D70B2">
        <w:rPr>
          <w:color w:val="000000"/>
        </w:rPr>
        <w:t xml:space="preserve"> 259,33 mg/dL (± 65,39) </w:t>
      </w:r>
      <w:r>
        <w:rPr>
          <w:color w:val="000000"/>
        </w:rPr>
        <w:t>in the</w:t>
      </w:r>
      <w:r w:rsidR="007D70B2">
        <w:rPr>
          <w:color w:val="000000"/>
        </w:rPr>
        <w:t xml:space="preserve"> CT</w:t>
      </w:r>
      <w:r>
        <w:rPr>
          <w:color w:val="000000"/>
        </w:rPr>
        <w:t xml:space="preserve"> group</w:t>
      </w:r>
      <w:r w:rsidR="007D70B2">
        <w:rPr>
          <w:color w:val="000000"/>
        </w:rPr>
        <w:t xml:space="preserve">, 237,5 mg/dL (± 203,61) </w:t>
      </w:r>
      <w:r>
        <w:rPr>
          <w:color w:val="000000"/>
        </w:rPr>
        <w:t>in the</w:t>
      </w:r>
      <w:r w:rsidR="007D70B2">
        <w:rPr>
          <w:color w:val="000000"/>
        </w:rPr>
        <w:t xml:space="preserve"> CT + EX</w:t>
      </w:r>
      <w:r>
        <w:rPr>
          <w:color w:val="000000"/>
        </w:rPr>
        <w:t xml:space="preserve"> group</w:t>
      </w:r>
      <w:r w:rsidR="007D70B2">
        <w:rPr>
          <w:color w:val="000000"/>
        </w:rPr>
        <w:t xml:space="preserve">, 232,5 mg/dL (± 76,42) </w:t>
      </w:r>
      <w:r>
        <w:rPr>
          <w:color w:val="000000"/>
        </w:rPr>
        <w:t>in the</w:t>
      </w:r>
      <w:r w:rsidR="007D70B2">
        <w:rPr>
          <w:color w:val="000000"/>
        </w:rPr>
        <w:t xml:space="preserve"> HL</w:t>
      </w:r>
      <w:r>
        <w:rPr>
          <w:color w:val="000000"/>
        </w:rPr>
        <w:t xml:space="preserve"> group</w:t>
      </w:r>
      <w:r w:rsidR="007D70B2">
        <w:rPr>
          <w:color w:val="000000"/>
        </w:rPr>
        <w:t xml:space="preserve">, </w:t>
      </w:r>
      <w:r w:rsidR="000453F3">
        <w:rPr>
          <w:color w:val="000000"/>
        </w:rPr>
        <w:t>then</w:t>
      </w:r>
      <w:r w:rsidR="007D70B2">
        <w:rPr>
          <w:color w:val="000000"/>
        </w:rPr>
        <w:t xml:space="preserve"> 204,25 mg/dL (± 43,23) </w:t>
      </w:r>
      <w:r>
        <w:rPr>
          <w:color w:val="000000"/>
        </w:rPr>
        <w:t>in the</w:t>
      </w:r>
      <w:r w:rsidR="007D70B2">
        <w:rPr>
          <w:color w:val="000000"/>
        </w:rPr>
        <w:t xml:space="preserve"> HL + EX</w:t>
      </w:r>
      <w:r>
        <w:rPr>
          <w:color w:val="000000"/>
        </w:rPr>
        <w:t xml:space="preserve"> group</w:t>
      </w:r>
      <w:r w:rsidR="007D70B2">
        <w:rPr>
          <w:color w:val="000000"/>
        </w:rPr>
        <w:t xml:space="preserve">. </w:t>
      </w:r>
      <w:r>
        <w:rPr>
          <w:color w:val="000000"/>
        </w:rPr>
        <w:t xml:space="preserve">It can be inferred, then, that there was no significant difference in the </w:t>
      </w:r>
      <w:proofErr w:type="spellStart"/>
      <w:r>
        <w:rPr>
          <w:color w:val="000000"/>
        </w:rPr>
        <w:t>glycemic</w:t>
      </w:r>
      <w:proofErr w:type="spellEnd"/>
      <w:r>
        <w:rPr>
          <w:color w:val="000000"/>
        </w:rPr>
        <w:t xml:space="preserve"> index between the groups in the experiment, regard</w:t>
      </w:r>
      <w:r w:rsidR="000453F3">
        <w:rPr>
          <w:color w:val="000000"/>
        </w:rPr>
        <w:t>less of the diet they were given. Therefore, the</w:t>
      </w:r>
      <w:r w:rsidR="007D70B2">
        <w:rPr>
          <w:color w:val="000000"/>
        </w:rPr>
        <w:t xml:space="preserve"> </w:t>
      </w:r>
      <w:r w:rsidR="000453F3">
        <w:rPr>
          <w:color w:val="000000"/>
        </w:rPr>
        <w:t xml:space="preserve">addition of </w:t>
      </w:r>
      <w:r w:rsidR="007D70B2" w:rsidRPr="008E69FC">
        <w:rPr>
          <w:i/>
          <w:iCs/>
          <w:color w:val="000000"/>
        </w:rPr>
        <w:t xml:space="preserve">Spondias </w:t>
      </w:r>
      <w:r w:rsidR="005A584C" w:rsidRPr="008E69FC">
        <w:rPr>
          <w:i/>
          <w:iCs/>
          <w:color w:val="000000"/>
        </w:rPr>
        <w:t>mombi</w:t>
      </w:r>
      <w:r w:rsidR="005A584C">
        <w:rPr>
          <w:i/>
          <w:iCs/>
          <w:color w:val="000000"/>
        </w:rPr>
        <w:t>n</w:t>
      </w:r>
      <w:r w:rsidR="005A584C">
        <w:rPr>
          <w:color w:val="000000"/>
        </w:rPr>
        <w:t xml:space="preserve"> </w:t>
      </w:r>
      <w:r w:rsidR="000453F3">
        <w:rPr>
          <w:color w:val="000000"/>
        </w:rPr>
        <w:t xml:space="preserve">extract did not alter the </w:t>
      </w:r>
      <w:proofErr w:type="spellStart"/>
      <w:r w:rsidR="000453F3">
        <w:rPr>
          <w:color w:val="000000"/>
        </w:rPr>
        <w:t>glycemic</w:t>
      </w:r>
      <w:proofErr w:type="spellEnd"/>
      <w:r w:rsidR="000453F3">
        <w:rPr>
          <w:color w:val="000000"/>
        </w:rPr>
        <w:t xml:space="preserve"> metabolism of rats.</w:t>
      </w:r>
      <w:r w:rsidR="007D70B2">
        <w:rPr>
          <w:color w:val="000000"/>
        </w:rPr>
        <w:t xml:space="preserve"> </w:t>
      </w:r>
    </w:p>
    <w:p w14:paraId="78C873F0" w14:textId="77777777" w:rsidR="007D70B2" w:rsidRDefault="007D70B2" w:rsidP="001C1840">
      <w:pPr>
        <w:spacing w:before="240" w:after="240" w:line="360" w:lineRule="auto"/>
        <w:ind w:firstLine="708"/>
        <w:jc w:val="both"/>
      </w:pPr>
      <w:r>
        <w:rPr>
          <w:noProof/>
          <w:lang w:val="pt-BR" w:eastAsia="pt-BR"/>
        </w:rPr>
        <w:lastRenderedPageBreak/>
        <w:drawing>
          <wp:inline distT="0" distB="0" distL="0" distR="0" wp14:anchorId="31FF9722" wp14:editId="3555C360">
            <wp:extent cx="5400040" cy="241554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400040" cy="2415540"/>
                    </a:xfrm>
                    <a:prstGeom prst="rect">
                      <a:avLst/>
                    </a:prstGeom>
                    <a:ln/>
                  </pic:spPr>
                </pic:pic>
              </a:graphicData>
            </a:graphic>
          </wp:inline>
        </w:drawing>
      </w:r>
    </w:p>
    <w:p w14:paraId="7504B9A8" w14:textId="7C3A21DF" w:rsidR="007D70B2" w:rsidRPr="002A65B6" w:rsidRDefault="0088091B" w:rsidP="002A65B6">
      <w:pPr>
        <w:spacing w:before="240" w:after="240" w:line="360" w:lineRule="auto"/>
        <w:jc w:val="both"/>
      </w:pPr>
      <w:r>
        <w:t xml:space="preserve">Figure 3. </w:t>
      </w:r>
      <w:r w:rsidRPr="0088091B">
        <w:t xml:space="preserve">Wistar rats tall glycemia curve. Each curve </w:t>
      </w:r>
      <w:r w:rsidR="005A584C" w:rsidRPr="0088091B">
        <w:t>represents</w:t>
      </w:r>
      <w:r w:rsidRPr="0088091B">
        <w:t xml:space="preserve"> a group of animals (CT, CT+EX, HL, HL+EX), with a mean ± SD at each point.</w:t>
      </w:r>
    </w:p>
    <w:p w14:paraId="5E6B4143" w14:textId="2E6C0F62" w:rsidR="007D70B2" w:rsidRDefault="000453F3">
      <w:pPr>
        <w:pStyle w:val="Ttulo2"/>
      </w:pPr>
      <w:r>
        <w:t>Evaluations of biochemical parameters</w:t>
      </w:r>
    </w:p>
    <w:p w14:paraId="3FE76752" w14:textId="641FF4C7" w:rsidR="007D70B2" w:rsidRDefault="000453F3" w:rsidP="008075FA">
      <w:pPr>
        <w:spacing w:before="240" w:after="240" w:line="360" w:lineRule="auto"/>
        <w:jc w:val="both"/>
      </w:pPr>
      <w:r>
        <w:rPr>
          <w:color w:val="000000"/>
        </w:rPr>
        <w:t xml:space="preserve">Hepatic parameters (ALT, AST, total protein and albumin), renal (urea and creatinine), lipids (HDL cholesterol, total and triglycerides), </w:t>
      </w:r>
      <w:proofErr w:type="spellStart"/>
      <w:r>
        <w:rPr>
          <w:color w:val="000000"/>
        </w:rPr>
        <w:t>glycemic</w:t>
      </w:r>
      <w:proofErr w:type="spellEnd"/>
      <w:r>
        <w:rPr>
          <w:color w:val="000000"/>
        </w:rPr>
        <w:t xml:space="preserve"> and mineral ions (calcium and phosphorus) were measured.</w:t>
      </w:r>
      <w:r w:rsidR="007D70B2" w:rsidRPr="0009747A">
        <w:rPr>
          <w:color w:val="000000"/>
        </w:rPr>
        <w:t xml:space="preserve"> </w:t>
      </w:r>
      <w:r>
        <w:rPr>
          <w:color w:val="000000"/>
        </w:rPr>
        <w:t xml:space="preserve">The above parameters were </w:t>
      </w:r>
      <w:proofErr w:type="spellStart"/>
      <w:r>
        <w:rPr>
          <w:color w:val="000000"/>
        </w:rPr>
        <w:t>analyzed</w:t>
      </w:r>
      <w:proofErr w:type="spellEnd"/>
      <w:r>
        <w:rPr>
          <w:color w:val="000000"/>
        </w:rPr>
        <w:t xml:space="preserve"> and when compared it was noticed that the</w:t>
      </w:r>
      <w:r w:rsidR="007D70B2" w:rsidRPr="0009747A">
        <w:rPr>
          <w:color w:val="000000"/>
        </w:rPr>
        <w:t xml:space="preserve"> </w:t>
      </w:r>
      <w:r w:rsidR="007D70B2" w:rsidRPr="0009747A">
        <w:rPr>
          <w:i/>
          <w:color w:val="000000"/>
        </w:rPr>
        <w:t>S. mombin</w:t>
      </w:r>
      <w:r w:rsidR="007D70B2" w:rsidRPr="0009747A">
        <w:rPr>
          <w:color w:val="000000"/>
        </w:rPr>
        <w:t xml:space="preserve"> </w:t>
      </w:r>
      <w:r>
        <w:rPr>
          <w:color w:val="000000"/>
        </w:rPr>
        <w:t>extract did not interfere in the biochemical parameters between the groups without extract when compared with those who consumed the extract</w:t>
      </w:r>
      <w:r w:rsidR="007D70B2" w:rsidRPr="0009747A">
        <w:rPr>
          <w:color w:val="000000"/>
        </w:rPr>
        <w:t>.</w:t>
      </w:r>
      <w:r w:rsidR="007D70B2">
        <w:rPr>
          <w:color w:val="000000"/>
        </w:rPr>
        <w:t xml:space="preserve"> </w:t>
      </w:r>
      <w:r>
        <w:rPr>
          <w:color w:val="000000"/>
        </w:rPr>
        <w:t xml:space="preserve">There was a statistically significant difference in the urea of animals with a </w:t>
      </w:r>
      <w:proofErr w:type="spellStart"/>
      <w:r>
        <w:rPr>
          <w:color w:val="000000"/>
        </w:rPr>
        <w:t>hyperlipidic</w:t>
      </w:r>
      <w:proofErr w:type="spellEnd"/>
      <w:r>
        <w:rPr>
          <w:color w:val="000000"/>
        </w:rPr>
        <w:t xml:space="preserve"> diet</w:t>
      </w:r>
      <w:r w:rsidR="007D70B2">
        <w:rPr>
          <w:color w:val="000000"/>
        </w:rPr>
        <w:t xml:space="preserve"> (p&lt;0.0001), </w:t>
      </w:r>
      <w:r>
        <w:rPr>
          <w:color w:val="000000"/>
        </w:rPr>
        <w:t xml:space="preserve">however this is due to the induced obesity model of these animals whose implemented diet is part of the </w:t>
      </w:r>
      <w:proofErr w:type="spellStart"/>
      <w:r>
        <w:rPr>
          <w:color w:val="000000"/>
        </w:rPr>
        <w:t>hyperlipidic</w:t>
      </w:r>
      <w:proofErr w:type="spellEnd"/>
      <w:r>
        <w:rPr>
          <w:color w:val="000000"/>
        </w:rPr>
        <w:t xml:space="preserve"> diet protocol of the Pontifical Catholic University of </w:t>
      </w:r>
      <w:proofErr w:type="spellStart"/>
      <w:r>
        <w:rPr>
          <w:color w:val="000000"/>
        </w:rPr>
        <w:t>Goiás</w:t>
      </w:r>
      <w:proofErr w:type="spellEnd"/>
      <w:r>
        <w:rPr>
          <w:color w:val="000000"/>
        </w:rPr>
        <w:t>.</w:t>
      </w:r>
    </w:p>
    <w:p w14:paraId="2B7383C4" w14:textId="77777777" w:rsidR="007D70B2" w:rsidRDefault="007D70B2" w:rsidP="001C1840">
      <w:pPr>
        <w:spacing w:before="240" w:after="240" w:line="360" w:lineRule="auto"/>
        <w:jc w:val="both"/>
        <w:rPr>
          <w:color w:val="000000"/>
        </w:rPr>
      </w:pPr>
    </w:p>
    <w:tbl>
      <w:tblPr>
        <w:tblW w:w="11173" w:type="dxa"/>
        <w:jc w:val="center"/>
        <w:tblLayout w:type="fixed"/>
        <w:tblLook w:val="0400" w:firstRow="0" w:lastRow="0" w:firstColumn="0" w:lastColumn="0" w:noHBand="0" w:noVBand="1"/>
      </w:tblPr>
      <w:tblGrid>
        <w:gridCol w:w="3779"/>
        <w:gridCol w:w="2023"/>
        <w:gridCol w:w="1618"/>
        <w:gridCol w:w="1888"/>
        <w:gridCol w:w="1865"/>
      </w:tblGrid>
      <w:tr w:rsidR="007D70B2" w14:paraId="50020E00" w14:textId="77777777" w:rsidTr="001C1840">
        <w:trPr>
          <w:trHeight w:val="259"/>
          <w:jc w:val="center"/>
        </w:trPr>
        <w:tc>
          <w:tcPr>
            <w:tcW w:w="11173" w:type="dxa"/>
            <w:gridSpan w:val="5"/>
            <w:tcBorders>
              <w:top w:val="nil"/>
              <w:left w:val="nil"/>
              <w:bottom w:val="nil"/>
              <w:right w:val="nil"/>
            </w:tcBorders>
            <w:shd w:val="clear" w:color="auto" w:fill="auto"/>
            <w:vAlign w:val="bottom"/>
          </w:tcPr>
          <w:p w14:paraId="18F37CA9" w14:textId="7EC53358" w:rsidR="007D70B2" w:rsidRPr="00F26EF4" w:rsidRDefault="00F26EF4">
            <w:pPr>
              <w:pStyle w:val="Tabletitle"/>
            </w:pPr>
            <w:r>
              <w:t xml:space="preserve">Table </w:t>
            </w:r>
            <w:r w:rsidR="00B74AC6">
              <w:t>2</w:t>
            </w:r>
            <w:r>
              <w:t>. Means and standard deviation of the biochemical parameters.</w:t>
            </w:r>
          </w:p>
        </w:tc>
      </w:tr>
      <w:tr w:rsidR="007D70B2" w14:paraId="210B4D4B" w14:textId="77777777" w:rsidTr="001C1840">
        <w:trPr>
          <w:trHeight w:val="259"/>
          <w:jc w:val="center"/>
        </w:trPr>
        <w:tc>
          <w:tcPr>
            <w:tcW w:w="11173" w:type="dxa"/>
            <w:gridSpan w:val="5"/>
            <w:tcBorders>
              <w:top w:val="nil"/>
              <w:left w:val="nil"/>
              <w:bottom w:val="nil"/>
              <w:right w:val="nil"/>
            </w:tcBorders>
            <w:shd w:val="clear" w:color="auto" w:fill="auto"/>
            <w:vAlign w:val="bottom"/>
          </w:tcPr>
          <w:p w14:paraId="79DFFD74" w14:textId="77777777" w:rsidR="007D70B2" w:rsidRDefault="007D70B2" w:rsidP="001C1840">
            <w:pPr>
              <w:spacing w:line="360" w:lineRule="auto"/>
              <w:rPr>
                <w:b/>
                <w:color w:val="000000"/>
              </w:rPr>
            </w:pPr>
          </w:p>
        </w:tc>
      </w:tr>
      <w:tr w:rsidR="007D70B2" w14:paraId="205EAAC4" w14:textId="77777777" w:rsidTr="001C1840">
        <w:trPr>
          <w:trHeight w:val="259"/>
          <w:jc w:val="center"/>
        </w:trPr>
        <w:tc>
          <w:tcPr>
            <w:tcW w:w="3779" w:type="dxa"/>
            <w:tcBorders>
              <w:top w:val="single" w:sz="8" w:space="0" w:color="000000"/>
              <w:left w:val="nil"/>
              <w:bottom w:val="single" w:sz="8" w:space="0" w:color="000000"/>
              <w:right w:val="nil"/>
            </w:tcBorders>
            <w:shd w:val="clear" w:color="auto" w:fill="auto"/>
            <w:vAlign w:val="bottom"/>
          </w:tcPr>
          <w:p w14:paraId="49A0FD5A" w14:textId="77777777" w:rsidR="007D70B2" w:rsidRDefault="007D70B2" w:rsidP="001C1840">
            <w:pPr>
              <w:spacing w:line="360" w:lineRule="auto"/>
              <w:jc w:val="center"/>
              <w:rPr>
                <w:color w:val="000000"/>
              </w:rPr>
            </w:pPr>
            <w:r>
              <w:rPr>
                <w:color w:val="000000"/>
              </w:rPr>
              <w:t>Parameters</w:t>
            </w:r>
          </w:p>
        </w:tc>
        <w:tc>
          <w:tcPr>
            <w:tcW w:w="2023" w:type="dxa"/>
            <w:tcBorders>
              <w:top w:val="single" w:sz="8" w:space="0" w:color="000000"/>
              <w:left w:val="nil"/>
              <w:bottom w:val="single" w:sz="8" w:space="0" w:color="000000"/>
              <w:right w:val="nil"/>
            </w:tcBorders>
            <w:shd w:val="clear" w:color="auto" w:fill="auto"/>
            <w:vAlign w:val="bottom"/>
          </w:tcPr>
          <w:p w14:paraId="40244DFF" w14:textId="77777777" w:rsidR="007D70B2" w:rsidRDefault="007D70B2" w:rsidP="001C1840">
            <w:pPr>
              <w:spacing w:line="360" w:lineRule="auto"/>
              <w:jc w:val="center"/>
              <w:rPr>
                <w:b/>
                <w:color w:val="000000"/>
              </w:rPr>
            </w:pPr>
            <w:r>
              <w:rPr>
                <w:b/>
                <w:color w:val="000000"/>
              </w:rPr>
              <w:t>CT</w:t>
            </w:r>
          </w:p>
        </w:tc>
        <w:tc>
          <w:tcPr>
            <w:tcW w:w="1618" w:type="dxa"/>
            <w:tcBorders>
              <w:top w:val="single" w:sz="8" w:space="0" w:color="000000"/>
              <w:left w:val="nil"/>
              <w:bottom w:val="single" w:sz="8" w:space="0" w:color="000000"/>
              <w:right w:val="nil"/>
            </w:tcBorders>
            <w:shd w:val="clear" w:color="auto" w:fill="auto"/>
            <w:vAlign w:val="bottom"/>
          </w:tcPr>
          <w:p w14:paraId="4BD1037B" w14:textId="77777777" w:rsidR="007D70B2" w:rsidRDefault="007D70B2" w:rsidP="001C1840">
            <w:pPr>
              <w:spacing w:line="360" w:lineRule="auto"/>
              <w:jc w:val="center"/>
              <w:rPr>
                <w:b/>
                <w:color w:val="000000"/>
              </w:rPr>
            </w:pPr>
            <w:r>
              <w:rPr>
                <w:b/>
                <w:color w:val="000000"/>
              </w:rPr>
              <w:t>CT EX</w:t>
            </w:r>
          </w:p>
        </w:tc>
        <w:tc>
          <w:tcPr>
            <w:tcW w:w="1888" w:type="dxa"/>
            <w:tcBorders>
              <w:top w:val="single" w:sz="8" w:space="0" w:color="000000"/>
              <w:left w:val="nil"/>
              <w:bottom w:val="single" w:sz="8" w:space="0" w:color="000000"/>
              <w:right w:val="nil"/>
            </w:tcBorders>
            <w:shd w:val="clear" w:color="auto" w:fill="auto"/>
            <w:vAlign w:val="bottom"/>
          </w:tcPr>
          <w:p w14:paraId="2C7F6957" w14:textId="77777777" w:rsidR="007D70B2" w:rsidRDefault="007D70B2" w:rsidP="001C1840">
            <w:pPr>
              <w:spacing w:line="360" w:lineRule="auto"/>
              <w:jc w:val="center"/>
              <w:rPr>
                <w:b/>
                <w:color w:val="000000"/>
              </w:rPr>
            </w:pPr>
            <w:r>
              <w:rPr>
                <w:b/>
                <w:color w:val="000000"/>
              </w:rPr>
              <w:t>HL</w:t>
            </w:r>
          </w:p>
        </w:tc>
        <w:tc>
          <w:tcPr>
            <w:tcW w:w="1863" w:type="dxa"/>
            <w:tcBorders>
              <w:top w:val="single" w:sz="8" w:space="0" w:color="000000"/>
              <w:left w:val="nil"/>
              <w:bottom w:val="single" w:sz="8" w:space="0" w:color="000000"/>
              <w:right w:val="nil"/>
            </w:tcBorders>
            <w:shd w:val="clear" w:color="auto" w:fill="auto"/>
            <w:vAlign w:val="bottom"/>
          </w:tcPr>
          <w:p w14:paraId="2EF8F869" w14:textId="77777777" w:rsidR="007D70B2" w:rsidRDefault="007D70B2" w:rsidP="001C1840">
            <w:pPr>
              <w:spacing w:line="360" w:lineRule="auto"/>
              <w:jc w:val="center"/>
              <w:rPr>
                <w:b/>
                <w:color w:val="000000"/>
              </w:rPr>
            </w:pPr>
            <w:r>
              <w:rPr>
                <w:b/>
                <w:color w:val="000000"/>
              </w:rPr>
              <w:t>HL EX</w:t>
            </w:r>
          </w:p>
        </w:tc>
      </w:tr>
      <w:tr w:rsidR="007D70B2" w14:paraId="50771F9E" w14:textId="77777777" w:rsidTr="001C1840">
        <w:trPr>
          <w:trHeight w:val="247"/>
          <w:jc w:val="center"/>
        </w:trPr>
        <w:tc>
          <w:tcPr>
            <w:tcW w:w="3779" w:type="dxa"/>
            <w:tcBorders>
              <w:top w:val="nil"/>
              <w:left w:val="nil"/>
              <w:bottom w:val="nil"/>
              <w:right w:val="nil"/>
            </w:tcBorders>
            <w:shd w:val="clear" w:color="auto" w:fill="auto"/>
            <w:vAlign w:val="bottom"/>
          </w:tcPr>
          <w:p w14:paraId="6AC9D3C7" w14:textId="77777777" w:rsidR="007D70B2" w:rsidRDefault="007D70B2" w:rsidP="001C1840">
            <w:pPr>
              <w:spacing w:line="360" w:lineRule="auto"/>
              <w:rPr>
                <w:b/>
                <w:color w:val="000000"/>
              </w:rPr>
            </w:pPr>
            <w:r>
              <w:rPr>
                <w:b/>
                <w:color w:val="000000"/>
              </w:rPr>
              <w:t>ALBUMIN-SER (g/dL)</w:t>
            </w:r>
          </w:p>
        </w:tc>
        <w:tc>
          <w:tcPr>
            <w:tcW w:w="2023" w:type="dxa"/>
            <w:tcBorders>
              <w:top w:val="single" w:sz="8" w:space="0" w:color="000000"/>
              <w:left w:val="nil"/>
              <w:bottom w:val="nil"/>
              <w:right w:val="nil"/>
            </w:tcBorders>
            <w:shd w:val="clear" w:color="auto" w:fill="auto"/>
            <w:vAlign w:val="bottom"/>
          </w:tcPr>
          <w:p w14:paraId="5BCE6A6F" w14:textId="77777777" w:rsidR="007D70B2" w:rsidRDefault="007D70B2" w:rsidP="001C1840">
            <w:pPr>
              <w:spacing w:line="360" w:lineRule="auto"/>
              <w:jc w:val="center"/>
              <w:rPr>
                <w:color w:val="000000"/>
              </w:rPr>
            </w:pPr>
            <w:r>
              <w:rPr>
                <w:color w:val="000000"/>
              </w:rPr>
              <w:t>2,9466 ± 0,0141</w:t>
            </w:r>
          </w:p>
        </w:tc>
        <w:tc>
          <w:tcPr>
            <w:tcW w:w="1618" w:type="dxa"/>
            <w:tcBorders>
              <w:top w:val="single" w:sz="8" w:space="0" w:color="000000"/>
              <w:left w:val="nil"/>
              <w:bottom w:val="nil"/>
              <w:right w:val="nil"/>
            </w:tcBorders>
            <w:shd w:val="clear" w:color="auto" w:fill="auto"/>
            <w:vAlign w:val="bottom"/>
          </w:tcPr>
          <w:p w14:paraId="18D608F5" w14:textId="77777777" w:rsidR="007D70B2" w:rsidRDefault="007D70B2" w:rsidP="001C1840">
            <w:pPr>
              <w:spacing w:line="360" w:lineRule="auto"/>
              <w:jc w:val="center"/>
              <w:rPr>
                <w:color w:val="000000"/>
              </w:rPr>
            </w:pPr>
            <w:r>
              <w:rPr>
                <w:color w:val="000000"/>
              </w:rPr>
              <w:t>3,2075 ± 0,2828</w:t>
            </w:r>
          </w:p>
        </w:tc>
        <w:tc>
          <w:tcPr>
            <w:tcW w:w="1888" w:type="dxa"/>
            <w:tcBorders>
              <w:top w:val="single" w:sz="8" w:space="0" w:color="000000"/>
              <w:left w:val="nil"/>
              <w:bottom w:val="nil"/>
              <w:right w:val="nil"/>
            </w:tcBorders>
            <w:shd w:val="clear" w:color="auto" w:fill="auto"/>
            <w:vAlign w:val="bottom"/>
          </w:tcPr>
          <w:p w14:paraId="6622504E" w14:textId="77777777" w:rsidR="007D70B2" w:rsidRDefault="007D70B2" w:rsidP="001C1840">
            <w:pPr>
              <w:spacing w:line="360" w:lineRule="auto"/>
              <w:jc w:val="center"/>
              <w:rPr>
                <w:color w:val="000000"/>
              </w:rPr>
            </w:pPr>
            <w:r>
              <w:rPr>
                <w:color w:val="000000"/>
              </w:rPr>
              <w:t>2,6975 ± 0,6151</w:t>
            </w:r>
          </w:p>
        </w:tc>
        <w:tc>
          <w:tcPr>
            <w:tcW w:w="1863" w:type="dxa"/>
            <w:tcBorders>
              <w:top w:val="single" w:sz="8" w:space="0" w:color="000000"/>
              <w:left w:val="nil"/>
              <w:bottom w:val="nil"/>
              <w:right w:val="nil"/>
            </w:tcBorders>
            <w:shd w:val="clear" w:color="auto" w:fill="auto"/>
            <w:vAlign w:val="bottom"/>
          </w:tcPr>
          <w:p w14:paraId="4D6FAE1B" w14:textId="77777777" w:rsidR="007D70B2" w:rsidRDefault="007D70B2" w:rsidP="001C1840">
            <w:pPr>
              <w:spacing w:line="360" w:lineRule="auto"/>
              <w:jc w:val="center"/>
              <w:rPr>
                <w:color w:val="000000"/>
              </w:rPr>
            </w:pPr>
            <w:r>
              <w:rPr>
                <w:color w:val="000000"/>
              </w:rPr>
              <w:t>2,7025 ± 0,3323</w:t>
            </w:r>
          </w:p>
        </w:tc>
      </w:tr>
      <w:tr w:rsidR="007D70B2" w14:paraId="6E7563B7" w14:textId="77777777" w:rsidTr="001C1840">
        <w:trPr>
          <w:trHeight w:val="247"/>
          <w:jc w:val="center"/>
        </w:trPr>
        <w:tc>
          <w:tcPr>
            <w:tcW w:w="3779" w:type="dxa"/>
            <w:tcBorders>
              <w:top w:val="nil"/>
              <w:left w:val="nil"/>
              <w:bottom w:val="nil"/>
              <w:right w:val="nil"/>
            </w:tcBorders>
            <w:shd w:val="clear" w:color="auto" w:fill="auto"/>
            <w:vAlign w:val="bottom"/>
          </w:tcPr>
          <w:p w14:paraId="0504DA20" w14:textId="77777777" w:rsidR="007D70B2" w:rsidRDefault="007D70B2" w:rsidP="001C1840">
            <w:pPr>
              <w:spacing w:line="360" w:lineRule="auto"/>
              <w:rPr>
                <w:b/>
                <w:color w:val="000000"/>
              </w:rPr>
            </w:pPr>
            <w:r>
              <w:rPr>
                <w:b/>
                <w:color w:val="000000"/>
              </w:rPr>
              <w:t>ALT-SER (U/L)</w:t>
            </w:r>
          </w:p>
        </w:tc>
        <w:tc>
          <w:tcPr>
            <w:tcW w:w="2023" w:type="dxa"/>
            <w:tcBorders>
              <w:top w:val="nil"/>
              <w:left w:val="nil"/>
              <w:bottom w:val="nil"/>
              <w:right w:val="nil"/>
            </w:tcBorders>
            <w:shd w:val="clear" w:color="auto" w:fill="auto"/>
            <w:vAlign w:val="bottom"/>
          </w:tcPr>
          <w:p w14:paraId="2630BC6B" w14:textId="77777777" w:rsidR="007D70B2" w:rsidRDefault="007D70B2" w:rsidP="001C1840">
            <w:pPr>
              <w:spacing w:line="360" w:lineRule="auto"/>
              <w:jc w:val="center"/>
              <w:rPr>
                <w:color w:val="000000"/>
              </w:rPr>
            </w:pPr>
            <w:r>
              <w:rPr>
                <w:color w:val="000000"/>
              </w:rPr>
              <w:t>111,0333 ± 16,6170</w:t>
            </w:r>
          </w:p>
        </w:tc>
        <w:tc>
          <w:tcPr>
            <w:tcW w:w="1618" w:type="dxa"/>
            <w:tcBorders>
              <w:top w:val="nil"/>
              <w:left w:val="nil"/>
              <w:bottom w:val="nil"/>
              <w:right w:val="nil"/>
            </w:tcBorders>
            <w:shd w:val="clear" w:color="auto" w:fill="auto"/>
            <w:vAlign w:val="bottom"/>
          </w:tcPr>
          <w:p w14:paraId="36B91097" w14:textId="77777777" w:rsidR="007D70B2" w:rsidRDefault="007D70B2" w:rsidP="001C1840">
            <w:pPr>
              <w:spacing w:line="360" w:lineRule="auto"/>
              <w:jc w:val="center"/>
              <w:rPr>
                <w:color w:val="000000"/>
              </w:rPr>
            </w:pPr>
            <w:r>
              <w:rPr>
                <w:color w:val="000000"/>
              </w:rPr>
              <w:t>145,15 ± 59,1848</w:t>
            </w:r>
          </w:p>
        </w:tc>
        <w:tc>
          <w:tcPr>
            <w:tcW w:w="1888" w:type="dxa"/>
            <w:tcBorders>
              <w:top w:val="nil"/>
              <w:left w:val="nil"/>
              <w:bottom w:val="nil"/>
              <w:right w:val="nil"/>
            </w:tcBorders>
            <w:shd w:val="clear" w:color="auto" w:fill="auto"/>
            <w:vAlign w:val="bottom"/>
          </w:tcPr>
          <w:p w14:paraId="74BE41C6" w14:textId="77777777" w:rsidR="007D70B2" w:rsidRDefault="007D70B2" w:rsidP="001C1840">
            <w:pPr>
              <w:spacing w:line="360" w:lineRule="auto"/>
              <w:jc w:val="center"/>
              <w:rPr>
                <w:color w:val="000000"/>
              </w:rPr>
            </w:pPr>
            <w:r>
              <w:rPr>
                <w:color w:val="000000"/>
              </w:rPr>
              <w:t>51,625 ± 24,1123</w:t>
            </w:r>
          </w:p>
        </w:tc>
        <w:tc>
          <w:tcPr>
            <w:tcW w:w="1863" w:type="dxa"/>
            <w:tcBorders>
              <w:top w:val="nil"/>
              <w:left w:val="nil"/>
              <w:bottom w:val="nil"/>
              <w:right w:val="nil"/>
            </w:tcBorders>
            <w:shd w:val="clear" w:color="auto" w:fill="auto"/>
            <w:vAlign w:val="bottom"/>
          </w:tcPr>
          <w:p w14:paraId="41EE4FBA" w14:textId="77777777" w:rsidR="007D70B2" w:rsidRDefault="007D70B2" w:rsidP="001C1840">
            <w:pPr>
              <w:spacing w:line="360" w:lineRule="auto"/>
              <w:jc w:val="center"/>
              <w:rPr>
                <w:color w:val="000000"/>
              </w:rPr>
            </w:pPr>
            <w:r>
              <w:rPr>
                <w:color w:val="000000"/>
              </w:rPr>
              <w:t>70,775 ± 32,5976</w:t>
            </w:r>
          </w:p>
        </w:tc>
      </w:tr>
      <w:tr w:rsidR="007D70B2" w14:paraId="23C7A252" w14:textId="77777777" w:rsidTr="001C1840">
        <w:trPr>
          <w:trHeight w:val="247"/>
          <w:jc w:val="center"/>
        </w:trPr>
        <w:tc>
          <w:tcPr>
            <w:tcW w:w="3779" w:type="dxa"/>
            <w:tcBorders>
              <w:top w:val="nil"/>
              <w:left w:val="nil"/>
              <w:bottom w:val="nil"/>
              <w:right w:val="nil"/>
            </w:tcBorders>
            <w:shd w:val="clear" w:color="auto" w:fill="auto"/>
            <w:vAlign w:val="center"/>
          </w:tcPr>
          <w:p w14:paraId="287F58D2" w14:textId="77777777" w:rsidR="007D70B2" w:rsidRDefault="007D70B2" w:rsidP="001C1840">
            <w:pPr>
              <w:spacing w:line="360" w:lineRule="auto"/>
              <w:rPr>
                <w:b/>
                <w:color w:val="000000"/>
              </w:rPr>
            </w:pPr>
            <w:r>
              <w:rPr>
                <w:b/>
                <w:color w:val="000000"/>
              </w:rPr>
              <w:lastRenderedPageBreak/>
              <w:t>AST-SER (U/L)</w:t>
            </w:r>
          </w:p>
        </w:tc>
        <w:tc>
          <w:tcPr>
            <w:tcW w:w="2023" w:type="dxa"/>
            <w:tcBorders>
              <w:top w:val="nil"/>
              <w:left w:val="nil"/>
              <w:bottom w:val="nil"/>
              <w:right w:val="nil"/>
            </w:tcBorders>
            <w:shd w:val="clear" w:color="auto" w:fill="auto"/>
            <w:vAlign w:val="bottom"/>
          </w:tcPr>
          <w:p w14:paraId="387F3526" w14:textId="77777777" w:rsidR="007D70B2" w:rsidRDefault="007D70B2" w:rsidP="001C1840">
            <w:pPr>
              <w:spacing w:line="360" w:lineRule="auto"/>
              <w:jc w:val="center"/>
              <w:rPr>
                <w:color w:val="000000"/>
              </w:rPr>
            </w:pPr>
            <w:r>
              <w:rPr>
                <w:color w:val="000000"/>
              </w:rPr>
              <w:t>52,6333 ± 27,7366</w:t>
            </w:r>
          </w:p>
        </w:tc>
        <w:tc>
          <w:tcPr>
            <w:tcW w:w="1618" w:type="dxa"/>
            <w:tcBorders>
              <w:top w:val="nil"/>
              <w:left w:val="nil"/>
              <w:bottom w:val="nil"/>
              <w:right w:val="nil"/>
            </w:tcBorders>
            <w:shd w:val="clear" w:color="auto" w:fill="auto"/>
            <w:vAlign w:val="bottom"/>
          </w:tcPr>
          <w:p w14:paraId="0326C9E0" w14:textId="77777777" w:rsidR="007D70B2" w:rsidRDefault="007D70B2" w:rsidP="001C1840">
            <w:pPr>
              <w:spacing w:line="360" w:lineRule="auto"/>
              <w:jc w:val="center"/>
              <w:rPr>
                <w:color w:val="000000"/>
              </w:rPr>
            </w:pPr>
            <w:r>
              <w:rPr>
                <w:color w:val="000000"/>
              </w:rPr>
              <w:t>22,375 ± 5,9918</w:t>
            </w:r>
          </w:p>
        </w:tc>
        <w:tc>
          <w:tcPr>
            <w:tcW w:w="1888" w:type="dxa"/>
            <w:tcBorders>
              <w:top w:val="nil"/>
              <w:left w:val="nil"/>
              <w:bottom w:val="nil"/>
              <w:right w:val="nil"/>
            </w:tcBorders>
            <w:shd w:val="clear" w:color="auto" w:fill="auto"/>
            <w:vAlign w:val="bottom"/>
          </w:tcPr>
          <w:p w14:paraId="021B4C67" w14:textId="77777777" w:rsidR="007D70B2" w:rsidRDefault="007D70B2" w:rsidP="001C1840">
            <w:pPr>
              <w:spacing w:line="360" w:lineRule="auto"/>
              <w:jc w:val="center"/>
              <w:rPr>
                <w:color w:val="000000"/>
              </w:rPr>
            </w:pPr>
            <w:r>
              <w:rPr>
                <w:color w:val="000000"/>
              </w:rPr>
              <w:t>42 ± 37,3759</w:t>
            </w:r>
          </w:p>
        </w:tc>
        <w:tc>
          <w:tcPr>
            <w:tcW w:w="1863" w:type="dxa"/>
            <w:tcBorders>
              <w:top w:val="nil"/>
              <w:left w:val="nil"/>
              <w:bottom w:val="nil"/>
              <w:right w:val="nil"/>
            </w:tcBorders>
            <w:shd w:val="clear" w:color="auto" w:fill="auto"/>
            <w:vAlign w:val="bottom"/>
          </w:tcPr>
          <w:p w14:paraId="6C4EBD78" w14:textId="77777777" w:rsidR="007D70B2" w:rsidRDefault="007D70B2" w:rsidP="001C1840">
            <w:pPr>
              <w:spacing w:line="360" w:lineRule="auto"/>
              <w:jc w:val="center"/>
              <w:rPr>
                <w:color w:val="000000"/>
              </w:rPr>
            </w:pPr>
            <w:r>
              <w:rPr>
                <w:color w:val="000000"/>
              </w:rPr>
              <w:t>22,5333 ± 22,2336</w:t>
            </w:r>
          </w:p>
        </w:tc>
      </w:tr>
      <w:tr w:rsidR="007D70B2" w14:paraId="1C0F2855" w14:textId="77777777" w:rsidTr="001C1840">
        <w:trPr>
          <w:trHeight w:val="247"/>
          <w:jc w:val="center"/>
        </w:trPr>
        <w:tc>
          <w:tcPr>
            <w:tcW w:w="3779" w:type="dxa"/>
            <w:tcBorders>
              <w:top w:val="nil"/>
              <w:left w:val="nil"/>
              <w:bottom w:val="nil"/>
              <w:right w:val="nil"/>
            </w:tcBorders>
            <w:shd w:val="clear" w:color="auto" w:fill="auto"/>
            <w:vAlign w:val="center"/>
          </w:tcPr>
          <w:p w14:paraId="3CAAEE32" w14:textId="77777777" w:rsidR="007D70B2" w:rsidRDefault="007D70B2" w:rsidP="001C1840">
            <w:pPr>
              <w:spacing w:line="360" w:lineRule="auto"/>
              <w:rPr>
                <w:b/>
                <w:color w:val="000000"/>
              </w:rPr>
            </w:pPr>
            <w:r>
              <w:rPr>
                <w:b/>
                <w:color w:val="000000"/>
              </w:rPr>
              <w:t>CALCIUM ARSENAZO-SER (mg/dL)</w:t>
            </w:r>
          </w:p>
        </w:tc>
        <w:tc>
          <w:tcPr>
            <w:tcW w:w="2023" w:type="dxa"/>
            <w:tcBorders>
              <w:top w:val="nil"/>
              <w:left w:val="nil"/>
              <w:bottom w:val="nil"/>
              <w:right w:val="nil"/>
            </w:tcBorders>
            <w:shd w:val="clear" w:color="auto" w:fill="auto"/>
            <w:vAlign w:val="bottom"/>
          </w:tcPr>
          <w:p w14:paraId="0480B5CE" w14:textId="77777777" w:rsidR="007D70B2" w:rsidRDefault="007D70B2" w:rsidP="001C1840">
            <w:pPr>
              <w:spacing w:line="360" w:lineRule="auto"/>
              <w:jc w:val="center"/>
              <w:rPr>
                <w:color w:val="000000"/>
              </w:rPr>
            </w:pPr>
            <w:r>
              <w:rPr>
                <w:color w:val="000000"/>
              </w:rPr>
              <w:t>11,1933 ± 0,3271</w:t>
            </w:r>
          </w:p>
        </w:tc>
        <w:tc>
          <w:tcPr>
            <w:tcW w:w="1618" w:type="dxa"/>
            <w:tcBorders>
              <w:top w:val="nil"/>
              <w:left w:val="nil"/>
              <w:bottom w:val="nil"/>
              <w:right w:val="nil"/>
            </w:tcBorders>
            <w:shd w:val="clear" w:color="auto" w:fill="auto"/>
            <w:vAlign w:val="bottom"/>
          </w:tcPr>
          <w:p w14:paraId="58CB57CE" w14:textId="77777777" w:rsidR="007D70B2" w:rsidRDefault="007D70B2" w:rsidP="001C1840">
            <w:pPr>
              <w:spacing w:line="360" w:lineRule="auto"/>
              <w:jc w:val="center"/>
              <w:rPr>
                <w:color w:val="000000"/>
              </w:rPr>
            </w:pPr>
            <w:r>
              <w:rPr>
                <w:color w:val="000000"/>
              </w:rPr>
              <w:t>10,745 ± 1,4012</w:t>
            </w:r>
          </w:p>
        </w:tc>
        <w:tc>
          <w:tcPr>
            <w:tcW w:w="1888" w:type="dxa"/>
            <w:tcBorders>
              <w:top w:val="nil"/>
              <w:left w:val="nil"/>
              <w:bottom w:val="nil"/>
              <w:right w:val="nil"/>
            </w:tcBorders>
            <w:shd w:val="clear" w:color="auto" w:fill="auto"/>
            <w:vAlign w:val="bottom"/>
          </w:tcPr>
          <w:p w14:paraId="0BF46DFA" w14:textId="77777777" w:rsidR="007D70B2" w:rsidRDefault="007D70B2" w:rsidP="001C1840">
            <w:pPr>
              <w:spacing w:line="360" w:lineRule="auto"/>
              <w:jc w:val="center"/>
              <w:rPr>
                <w:color w:val="000000"/>
              </w:rPr>
            </w:pPr>
            <w:r>
              <w:rPr>
                <w:color w:val="000000"/>
              </w:rPr>
              <w:t xml:space="preserve">8,7825 ± 2,3874 </w:t>
            </w:r>
          </w:p>
        </w:tc>
        <w:tc>
          <w:tcPr>
            <w:tcW w:w="1863" w:type="dxa"/>
            <w:tcBorders>
              <w:top w:val="nil"/>
              <w:left w:val="nil"/>
              <w:bottom w:val="nil"/>
              <w:right w:val="nil"/>
            </w:tcBorders>
            <w:shd w:val="clear" w:color="auto" w:fill="auto"/>
            <w:vAlign w:val="bottom"/>
          </w:tcPr>
          <w:p w14:paraId="3B2BD820" w14:textId="77777777" w:rsidR="007D70B2" w:rsidRDefault="007D70B2" w:rsidP="001C1840">
            <w:pPr>
              <w:spacing w:line="360" w:lineRule="auto"/>
              <w:jc w:val="center"/>
              <w:rPr>
                <w:color w:val="000000"/>
              </w:rPr>
            </w:pPr>
            <w:r>
              <w:rPr>
                <w:color w:val="000000"/>
              </w:rPr>
              <w:t>9,7025 ± 2,1742</w:t>
            </w:r>
          </w:p>
        </w:tc>
      </w:tr>
      <w:tr w:rsidR="007D70B2" w14:paraId="0AD16F57" w14:textId="77777777" w:rsidTr="001C1840">
        <w:trPr>
          <w:trHeight w:val="247"/>
          <w:jc w:val="center"/>
        </w:trPr>
        <w:tc>
          <w:tcPr>
            <w:tcW w:w="3779" w:type="dxa"/>
            <w:tcBorders>
              <w:top w:val="nil"/>
              <w:left w:val="nil"/>
              <w:bottom w:val="nil"/>
              <w:right w:val="nil"/>
            </w:tcBorders>
            <w:shd w:val="clear" w:color="auto" w:fill="auto"/>
            <w:vAlign w:val="center"/>
          </w:tcPr>
          <w:p w14:paraId="0C8AFD27" w14:textId="77777777" w:rsidR="007D70B2" w:rsidRDefault="007D70B2" w:rsidP="001C1840">
            <w:pPr>
              <w:spacing w:line="360" w:lineRule="auto"/>
              <w:rPr>
                <w:b/>
                <w:color w:val="000000"/>
              </w:rPr>
            </w:pPr>
            <w:r>
              <w:rPr>
                <w:b/>
                <w:color w:val="000000"/>
              </w:rPr>
              <w:t>CHOL HDL DIRECT-SER (mg/dL)</w:t>
            </w:r>
          </w:p>
        </w:tc>
        <w:tc>
          <w:tcPr>
            <w:tcW w:w="2023" w:type="dxa"/>
            <w:tcBorders>
              <w:top w:val="nil"/>
              <w:left w:val="nil"/>
              <w:bottom w:val="nil"/>
              <w:right w:val="nil"/>
            </w:tcBorders>
            <w:shd w:val="clear" w:color="auto" w:fill="auto"/>
            <w:vAlign w:val="bottom"/>
          </w:tcPr>
          <w:p w14:paraId="4B1E8474" w14:textId="77777777" w:rsidR="007D70B2" w:rsidRDefault="007D70B2" w:rsidP="001C1840">
            <w:pPr>
              <w:spacing w:line="360" w:lineRule="auto"/>
              <w:jc w:val="center"/>
              <w:rPr>
                <w:color w:val="000000"/>
              </w:rPr>
            </w:pPr>
            <w:r>
              <w:rPr>
                <w:color w:val="000000"/>
              </w:rPr>
              <w:t>40,3666 ± 26,6503</w:t>
            </w:r>
          </w:p>
        </w:tc>
        <w:tc>
          <w:tcPr>
            <w:tcW w:w="1618" w:type="dxa"/>
            <w:tcBorders>
              <w:top w:val="nil"/>
              <w:left w:val="nil"/>
              <w:bottom w:val="nil"/>
              <w:right w:val="nil"/>
            </w:tcBorders>
            <w:shd w:val="clear" w:color="auto" w:fill="auto"/>
            <w:vAlign w:val="bottom"/>
          </w:tcPr>
          <w:p w14:paraId="6CCC3453" w14:textId="77777777" w:rsidR="007D70B2" w:rsidRDefault="007D70B2" w:rsidP="001C1840">
            <w:pPr>
              <w:spacing w:line="360" w:lineRule="auto"/>
              <w:jc w:val="center"/>
              <w:rPr>
                <w:color w:val="000000"/>
              </w:rPr>
            </w:pPr>
            <w:r>
              <w:rPr>
                <w:color w:val="000000"/>
              </w:rPr>
              <w:t>32,875 ± 9,6160</w:t>
            </w:r>
          </w:p>
        </w:tc>
        <w:tc>
          <w:tcPr>
            <w:tcW w:w="1888" w:type="dxa"/>
            <w:tcBorders>
              <w:top w:val="nil"/>
              <w:left w:val="nil"/>
              <w:bottom w:val="nil"/>
              <w:right w:val="nil"/>
            </w:tcBorders>
            <w:shd w:val="clear" w:color="auto" w:fill="auto"/>
            <w:vAlign w:val="bottom"/>
          </w:tcPr>
          <w:p w14:paraId="71003A5A" w14:textId="77777777" w:rsidR="007D70B2" w:rsidRDefault="007D70B2" w:rsidP="001C1840">
            <w:pPr>
              <w:spacing w:line="360" w:lineRule="auto"/>
              <w:jc w:val="center"/>
              <w:rPr>
                <w:color w:val="000000"/>
              </w:rPr>
            </w:pPr>
            <w:r>
              <w:rPr>
                <w:color w:val="000000"/>
              </w:rPr>
              <w:t>21 ± 5,2933</w:t>
            </w:r>
          </w:p>
        </w:tc>
        <w:tc>
          <w:tcPr>
            <w:tcW w:w="1863" w:type="dxa"/>
            <w:tcBorders>
              <w:top w:val="nil"/>
              <w:left w:val="nil"/>
              <w:bottom w:val="nil"/>
              <w:right w:val="nil"/>
            </w:tcBorders>
            <w:shd w:val="clear" w:color="auto" w:fill="auto"/>
            <w:vAlign w:val="bottom"/>
          </w:tcPr>
          <w:p w14:paraId="30CB859C" w14:textId="77777777" w:rsidR="007D70B2" w:rsidRDefault="007D70B2" w:rsidP="001C1840">
            <w:pPr>
              <w:spacing w:line="360" w:lineRule="auto"/>
              <w:jc w:val="center"/>
              <w:rPr>
                <w:color w:val="000000"/>
              </w:rPr>
            </w:pPr>
            <w:r>
              <w:rPr>
                <w:color w:val="000000"/>
              </w:rPr>
              <w:t>24,7 ± 7,1610</w:t>
            </w:r>
          </w:p>
        </w:tc>
      </w:tr>
      <w:tr w:rsidR="007D70B2" w14:paraId="1438DDF8" w14:textId="77777777" w:rsidTr="001C1840">
        <w:trPr>
          <w:trHeight w:val="247"/>
          <w:jc w:val="center"/>
        </w:trPr>
        <w:tc>
          <w:tcPr>
            <w:tcW w:w="3779" w:type="dxa"/>
            <w:tcBorders>
              <w:top w:val="nil"/>
              <w:left w:val="nil"/>
              <w:bottom w:val="nil"/>
              <w:right w:val="nil"/>
            </w:tcBorders>
            <w:shd w:val="clear" w:color="auto" w:fill="auto"/>
            <w:vAlign w:val="center"/>
          </w:tcPr>
          <w:p w14:paraId="1FA922E4" w14:textId="77777777" w:rsidR="007D70B2" w:rsidRDefault="007D70B2" w:rsidP="001C1840">
            <w:pPr>
              <w:spacing w:line="360" w:lineRule="auto"/>
              <w:rPr>
                <w:b/>
                <w:color w:val="000000"/>
              </w:rPr>
            </w:pPr>
            <w:r>
              <w:rPr>
                <w:b/>
                <w:color w:val="000000"/>
              </w:rPr>
              <w:t>CHOLESTEROL-SER (mg/dL)</w:t>
            </w:r>
          </w:p>
        </w:tc>
        <w:tc>
          <w:tcPr>
            <w:tcW w:w="2023" w:type="dxa"/>
            <w:tcBorders>
              <w:top w:val="nil"/>
              <w:left w:val="nil"/>
              <w:bottom w:val="nil"/>
              <w:right w:val="nil"/>
            </w:tcBorders>
            <w:shd w:val="clear" w:color="auto" w:fill="auto"/>
            <w:vAlign w:val="bottom"/>
          </w:tcPr>
          <w:p w14:paraId="36AC46D7" w14:textId="77777777" w:rsidR="007D70B2" w:rsidRDefault="007D70B2" w:rsidP="001C1840">
            <w:pPr>
              <w:spacing w:line="360" w:lineRule="auto"/>
              <w:jc w:val="center"/>
              <w:rPr>
                <w:color w:val="000000"/>
              </w:rPr>
            </w:pPr>
            <w:r>
              <w:rPr>
                <w:color w:val="000000"/>
              </w:rPr>
              <w:t>58,6666 ± 10,2632</w:t>
            </w:r>
          </w:p>
        </w:tc>
        <w:tc>
          <w:tcPr>
            <w:tcW w:w="1618" w:type="dxa"/>
            <w:tcBorders>
              <w:top w:val="nil"/>
              <w:left w:val="nil"/>
              <w:bottom w:val="nil"/>
              <w:right w:val="nil"/>
            </w:tcBorders>
            <w:shd w:val="clear" w:color="auto" w:fill="auto"/>
            <w:vAlign w:val="bottom"/>
          </w:tcPr>
          <w:p w14:paraId="0A2680EC" w14:textId="77777777" w:rsidR="007D70B2" w:rsidRDefault="007D70B2" w:rsidP="001C1840">
            <w:pPr>
              <w:spacing w:line="360" w:lineRule="auto"/>
              <w:jc w:val="center"/>
              <w:rPr>
                <w:color w:val="000000"/>
              </w:rPr>
            </w:pPr>
            <w:r>
              <w:rPr>
                <w:color w:val="000000"/>
              </w:rPr>
              <w:t>57,25 ± 12,4733</w:t>
            </w:r>
          </w:p>
        </w:tc>
        <w:tc>
          <w:tcPr>
            <w:tcW w:w="1888" w:type="dxa"/>
            <w:tcBorders>
              <w:top w:val="nil"/>
              <w:left w:val="nil"/>
              <w:bottom w:val="nil"/>
              <w:right w:val="nil"/>
            </w:tcBorders>
            <w:shd w:val="clear" w:color="auto" w:fill="auto"/>
            <w:vAlign w:val="bottom"/>
          </w:tcPr>
          <w:p w14:paraId="022C96E9" w14:textId="77777777" w:rsidR="007D70B2" w:rsidRDefault="007D70B2" w:rsidP="001C1840">
            <w:pPr>
              <w:spacing w:line="360" w:lineRule="auto"/>
              <w:jc w:val="center"/>
              <w:rPr>
                <w:color w:val="000000"/>
              </w:rPr>
            </w:pPr>
            <w:r>
              <w:rPr>
                <w:color w:val="000000"/>
              </w:rPr>
              <w:t>54,25 ± 8,9209</w:t>
            </w:r>
          </w:p>
        </w:tc>
        <w:tc>
          <w:tcPr>
            <w:tcW w:w="1863" w:type="dxa"/>
            <w:tcBorders>
              <w:top w:val="nil"/>
              <w:left w:val="nil"/>
              <w:bottom w:val="nil"/>
              <w:right w:val="nil"/>
            </w:tcBorders>
            <w:shd w:val="clear" w:color="auto" w:fill="auto"/>
            <w:vAlign w:val="bottom"/>
          </w:tcPr>
          <w:p w14:paraId="03A60C77" w14:textId="77777777" w:rsidR="007D70B2" w:rsidRDefault="007D70B2" w:rsidP="001C1840">
            <w:pPr>
              <w:spacing w:line="360" w:lineRule="auto"/>
              <w:jc w:val="center"/>
              <w:rPr>
                <w:color w:val="000000"/>
              </w:rPr>
            </w:pPr>
            <w:r>
              <w:rPr>
                <w:color w:val="000000"/>
              </w:rPr>
              <w:t>51,5 ± 15,0665</w:t>
            </w:r>
          </w:p>
        </w:tc>
      </w:tr>
      <w:tr w:rsidR="007D70B2" w14:paraId="740196F4" w14:textId="77777777" w:rsidTr="001C1840">
        <w:trPr>
          <w:trHeight w:val="247"/>
          <w:jc w:val="center"/>
        </w:trPr>
        <w:tc>
          <w:tcPr>
            <w:tcW w:w="3779" w:type="dxa"/>
            <w:tcBorders>
              <w:top w:val="nil"/>
              <w:left w:val="nil"/>
              <w:bottom w:val="nil"/>
              <w:right w:val="nil"/>
            </w:tcBorders>
            <w:shd w:val="clear" w:color="auto" w:fill="auto"/>
            <w:vAlign w:val="center"/>
          </w:tcPr>
          <w:p w14:paraId="64A8280F" w14:textId="77777777" w:rsidR="007D70B2" w:rsidRDefault="007D70B2" w:rsidP="001C1840">
            <w:pPr>
              <w:spacing w:line="360" w:lineRule="auto"/>
              <w:rPr>
                <w:b/>
                <w:color w:val="000000"/>
              </w:rPr>
            </w:pPr>
            <w:r>
              <w:rPr>
                <w:b/>
                <w:color w:val="000000"/>
              </w:rPr>
              <w:t>CREATININE-SER (mg/dL)</w:t>
            </w:r>
          </w:p>
        </w:tc>
        <w:tc>
          <w:tcPr>
            <w:tcW w:w="2023" w:type="dxa"/>
            <w:tcBorders>
              <w:top w:val="nil"/>
              <w:left w:val="nil"/>
              <w:bottom w:val="nil"/>
              <w:right w:val="nil"/>
            </w:tcBorders>
            <w:shd w:val="clear" w:color="auto" w:fill="auto"/>
            <w:vAlign w:val="bottom"/>
          </w:tcPr>
          <w:p w14:paraId="2215A227" w14:textId="77777777" w:rsidR="007D70B2" w:rsidRDefault="007D70B2" w:rsidP="001C1840">
            <w:pPr>
              <w:spacing w:line="360" w:lineRule="auto"/>
              <w:jc w:val="center"/>
              <w:rPr>
                <w:color w:val="000000"/>
              </w:rPr>
            </w:pPr>
            <w:r>
              <w:rPr>
                <w:color w:val="000000"/>
              </w:rPr>
              <w:t>0,41 ± 0,02</w:t>
            </w:r>
          </w:p>
        </w:tc>
        <w:tc>
          <w:tcPr>
            <w:tcW w:w="1618" w:type="dxa"/>
            <w:tcBorders>
              <w:top w:val="nil"/>
              <w:left w:val="nil"/>
              <w:bottom w:val="nil"/>
              <w:right w:val="nil"/>
            </w:tcBorders>
            <w:shd w:val="clear" w:color="auto" w:fill="auto"/>
            <w:vAlign w:val="bottom"/>
          </w:tcPr>
          <w:p w14:paraId="32FA741B" w14:textId="77777777" w:rsidR="007D70B2" w:rsidRDefault="007D70B2" w:rsidP="001C1840">
            <w:pPr>
              <w:spacing w:line="360" w:lineRule="auto"/>
              <w:jc w:val="center"/>
              <w:rPr>
                <w:color w:val="000000"/>
              </w:rPr>
            </w:pPr>
            <w:r>
              <w:rPr>
                <w:color w:val="000000"/>
              </w:rPr>
              <w:t>0,4525 ± 0,1575</w:t>
            </w:r>
          </w:p>
        </w:tc>
        <w:tc>
          <w:tcPr>
            <w:tcW w:w="1888" w:type="dxa"/>
            <w:tcBorders>
              <w:top w:val="nil"/>
              <w:left w:val="nil"/>
              <w:bottom w:val="nil"/>
              <w:right w:val="nil"/>
            </w:tcBorders>
            <w:shd w:val="clear" w:color="auto" w:fill="auto"/>
            <w:vAlign w:val="bottom"/>
          </w:tcPr>
          <w:p w14:paraId="4D4503A7" w14:textId="77777777" w:rsidR="007D70B2" w:rsidRDefault="007D70B2" w:rsidP="001C1840">
            <w:pPr>
              <w:spacing w:line="360" w:lineRule="auto"/>
              <w:jc w:val="center"/>
              <w:rPr>
                <w:color w:val="000000"/>
              </w:rPr>
            </w:pPr>
            <w:r>
              <w:rPr>
                <w:color w:val="000000"/>
              </w:rPr>
              <w:t>0,3475 ± 0,0340</w:t>
            </w:r>
          </w:p>
        </w:tc>
        <w:tc>
          <w:tcPr>
            <w:tcW w:w="1863" w:type="dxa"/>
            <w:tcBorders>
              <w:top w:val="nil"/>
              <w:left w:val="nil"/>
              <w:bottom w:val="nil"/>
              <w:right w:val="nil"/>
            </w:tcBorders>
            <w:shd w:val="clear" w:color="auto" w:fill="auto"/>
            <w:vAlign w:val="bottom"/>
          </w:tcPr>
          <w:p w14:paraId="6BAA0152" w14:textId="77777777" w:rsidR="007D70B2" w:rsidRDefault="007D70B2" w:rsidP="001C1840">
            <w:pPr>
              <w:spacing w:line="360" w:lineRule="auto"/>
              <w:jc w:val="center"/>
              <w:rPr>
                <w:color w:val="000000"/>
              </w:rPr>
            </w:pPr>
            <w:r>
              <w:rPr>
                <w:color w:val="000000"/>
              </w:rPr>
              <w:t>0,285 ± 0,0869</w:t>
            </w:r>
          </w:p>
        </w:tc>
      </w:tr>
      <w:tr w:rsidR="007D70B2" w14:paraId="740DF8C5" w14:textId="77777777" w:rsidTr="001C1840">
        <w:trPr>
          <w:trHeight w:val="247"/>
          <w:jc w:val="center"/>
        </w:trPr>
        <w:tc>
          <w:tcPr>
            <w:tcW w:w="3779" w:type="dxa"/>
            <w:tcBorders>
              <w:top w:val="nil"/>
              <w:left w:val="nil"/>
              <w:bottom w:val="nil"/>
              <w:right w:val="nil"/>
            </w:tcBorders>
            <w:shd w:val="clear" w:color="auto" w:fill="auto"/>
            <w:vAlign w:val="center"/>
          </w:tcPr>
          <w:p w14:paraId="7C090BB1" w14:textId="77777777" w:rsidR="007D70B2" w:rsidRDefault="007D70B2" w:rsidP="001C1840">
            <w:pPr>
              <w:spacing w:line="360" w:lineRule="auto"/>
              <w:rPr>
                <w:b/>
                <w:color w:val="000000"/>
              </w:rPr>
            </w:pPr>
            <w:r>
              <w:rPr>
                <w:b/>
                <w:color w:val="000000"/>
              </w:rPr>
              <w:t>GLUCOSE-SER (mg/dL)</w:t>
            </w:r>
          </w:p>
        </w:tc>
        <w:tc>
          <w:tcPr>
            <w:tcW w:w="2023" w:type="dxa"/>
            <w:tcBorders>
              <w:top w:val="nil"/>
              <w:left w:val="nil"/>
              <w:bottom w:val="nil"/>
              <w:right w:val="nil"/>
            </w:tcBorders>
            <w:shd w:val="clear" w:color="auto" w:fill="auto"/>
            <w:vAlign w:val="bottom"/>
          </w:tcPr>
          <w:p w14:paraId="02128BA7" w14:textId="77777777" w:rsidR="007D70B2" w:rsidRDefault="007D70B2" w:rsidP="001C1840">
            <w:pPr>
              <w:spacing w:line="360" w:lineRule="auto"/>
              <w:jc w:val="center"/>
              <w:rPr>
                <w:color w:val="000000"/>
              </w:rPr>
            </w:pPr>
            <w:r>
              <w:rPr>
                <w:color w:val="000000"/>
              </w:rPr>
              <w:t>259,3333 ± 65,3936</w:t>
            </w:r>
          </w:p>
        </w:tc>
        <w:tc>
          <w:tcPr>
            <w:tcW w:w="1618" w:type="dxa"/>
            <w:tcBorders>
              <w:top w:val="nil"/>
              <w:left w:val="nil"/>
              <w:bottom w:val="nil"/>
              <w:right w:val="nil"/>
            </w:tcBorders>
            <w:shd w:val="clear" w:color="auto" w:fill="auto"/>
            <w:vAlign w:val="bottom"/>
          </w:tcPr>
          <w:p w14:paraId="1C842D02" w14:textId="77777777" w:rsidR="007D70B2" w:rsidRDefault="007D70B2" w:rsidP="001C1840">
            <w:pPr>
              <w:spacing w:line="360" w:lineRule="auto"/>
              <w:jc w:val="center"/>
              <w:rPr>
                <w:color w:val="000000"/>
              </w:rPr>
            </w:pPr>
            <w:r>
              <w:rPr>
                <w:color w:val="000000"/>
              </w:rPr>
              <w:t>237,5 ± 203,6164</w:t>
            </w:r>
          </w:p>
        </w:tc>
        <w:tc>
          <w:tcPr>
            <w:tcW w:w="1888" w:type="dxa"/>
            <w:tcBorders>
              <w:top w:val="nil"/>
              <w:left w:val="nil"/>
              <w:bottom w:val="nil"/>
              <w:right w:val="nil"/>
            </w:tcBorders>
            <w:shd w:val="clear" w:color="auto" w:fill="auto"/>
            <w:vAlign w:val="bottom"/>
          </w:tcPr>
          <w:p w14:paraId="15BF6712" w14:textId="77777777" w:rsidR="007D70B2" w:rsidRDefault="007D70B2" w:rsidP="001C1840">
            <w:pPr>
              <w:spacing w:line="360" w:lineRule="auto"/>
              <w:jc w:val="center"/>
              <w:rPr>
                <w:color w:val="000000"/>
              </w:rPr>
            </w:pPr>
            <w:r>
              <w:rPr>
                <w:color w:val="000000"/>
              </w:rPr>
              <w:t>232,5 ± 76,4264</w:t>
            </w:r>
          </w:p>
        </w:tc>
        <w:tc>
          <w:tcPr>
            <w:tcW w:w="1863" w:type="dxa"/>
            <w:tcBorders>
              <w:top w:val="nil"/>
              <w:left w:val="nil"/>
              <w:bottom w:val="nil"/>
              <w:right w:val="nil"/>
            </w:tcBorders>
            <w:shd w:val="clear" w:color="auto" w:fill="auto"/>
            <w:vAlign w:val="bottom"/>
          </w:tcPr>
          <w:p w14:paraId="6AE1D0A3" w14:textId="77777777" w:rsidR="007D70B2" w:rsidRDefault="007D70B2" w:rsidP="001C1840">
            <w:pPr>
              <w:spacing w:line="360" w:lineRule="auto"/>
              <w:jc w:val="center"/>
              <w:rPr>
                <w:color w:val="000000"/>
              </w:rPr>
            </w:pPr>
            <w:r>
              <w:rPr>
                <w:color w:val="000000"/>
              </w:rPr>
              <w:t>204,25 ± 43,2309</w:t>
            </w:r>
          </w:p>
        </w:tc>
      </w:tr>
      <w:tr w:rsidR="007D70B2" w14:paraId="4BAF4865" w14:textId="77777777" w:rsidTr="001C1840">
        <w:trPr>
          <w:trHeight w:val="247"/>
          <w:jc w:val="center"/>
        </w:trPr>
        <w:tc>
          <w:tcPr>
            <w:tcW w:w="3779" w:type="dxa"/>
            <w:tcBorders>
              <w:top w:val="nil"/>
              <w:left w:val="nil"/>
              <w:bottom w:val="nil"/>
              <w:right w:val="nil"/>
            </w:tcBorders>
            <w:shd w:val="clear" w:color="auto" w:fill="auto"/>
            <w:vAlign w:val="center"/>
          </w:tcPr>
          <w:p w14:paraId="570D8BA3" w14:textId="77777777" w:rsidR="007D70B2" w:rsidRDefault="007D70B2" w:rsidP="001C1840">
            <w:pPr>
              <w:spacing w:line="360" w:lineRule="auto"/>
              <w:rPr>
                <w:b/>
                <w:color w:val="000000"/>
              </w:rPr>
            </w:pPr>
            <w:r>
              <w:rPr>
                <w:b/>
                <w:color w:val="000000"/>
              </w:rPr>
              <w:t>PHOSPHORUS-SER (mg/dL)</w:t>
            </w:r>
          </w:p>
        </w:tc>
        <w:tc>
          <w:tcPr>
            <w:tcW w:w="2023" w:type="dxa"/>
            <w:tcBorders>
              <w:top w:val="nil"/>
              <w:left w:val="nil"/>
              <w:bottom w:val="nil"/>
              <w:right w:val="nil"/>
            </w:tcBorders>
            <w:shd w:val="clear" w:color="auto" w:fill="auto"/>
            <w:vAlign w:val="bottom"/>
          </w:tcPr>
          <w:p w14:paraId="3DB2BF9C" w14:textId="77777777" w:rsidR="007D70B2" w:rsidRDefault="007D70B2" w:rsidP="001C1840">
            <w:pPr>
              <w:spacing w:line="360" w:lineRule="auto"/>
              <w:jc w:val="center"/>
              <w:rPr>
                <w:color w:val="000000"/>
              </w:rPr>
            </w:pPr>
            <w:r>
              <w:rPr>
                <w:color w:val="000000"/>
              </w:rPr>
              <w:t>9,36 ± 0,9101</w:t>
            </w:r>
          </w:p>
        </w:tc>
        <w:tc>
          <w:tcPr>
            <w:tcW w:w="1618" w:type="dxa"/>
            <w:tcBorders>
              <w:top w:val="nil"/>
              <w:left w:val="nil"/>
              <w:bottom w:val="nil"/>
              <w:right w:val="nil"/>
            </w:tcBorders>
            <w:shd w:val="clear" w:color="auto" w:fill="auto"/>
            <w:vAlign w:val="bottom"/>
          </w:tcPr>
          <w:p w14:paraId="0D6DA3E2" w14:textId="77777777" w:rsidR="007D70B2" w:rsidRDefault="007D70B2" w:rsidP="001C1840">
            <w:pPr>
              <w:spacing w:line="360" w:lineRule="auto"/>
              <w:jc w:val="center"/>
              <w:rPr>
                <w:color w:val="000000"/>
              </w:rPr>
            </w:pPr>
            <w:r>
              <w:rPr>
                <w:color w:val="000000"/>
              </w:rPr>
              <w:t>11,53 ± 3,2343</w:t>
            </w:r>
          </w:p>
        </w:tc>
        <w:tc>
          <w:tcPr>
            <w:tcW w:w="1888" w:type="dxa"/>
            <w:tcBorders>
              <w:top w:val="nil"/>
              <w:left w:val="nil"/>
              <w:bottom w:val="nil"/>
              <w:right w:val="nil"/>
            </w:tcBorders>
            <w:shd w:val="clear" w:color="auto" w:fill="auto"/>
            <w:vAlign w:val="bottom"/>
          </w:tcPr>
          <w:p w14:paraId="4234D145" w14:textId="77777777" w:rsidR="007D70B2" w:rsidRDefault="007D70B2" w:rsidP="001C1840">
            <w:pPr>
              <w:spacing w:line="360" w:lineRule="auto"/>
              <w:jc w:val="center"/>
              <w:rPr>
                <w:color w:val="000000"/>
              </w:rPr>
            </w:pPr>
            <w:r>
              <w:rPr>
                <w:color w:val="000000"/>
              </w:rPr>
              <w:t>8,6625 ± 1,0190</w:t>
            </w:r>
          </w:p>
        </w:tc>
        <w:tc>
          <w:tcPr>
            <w:tcW w:w="1863" w:type="dxa"/>
            <w:tcBorders>
              <w:top w:val="nil"/>
              <w:left w:val="nil"/>
              <w:bottom w:val="nil"/>
              <w:right w:val="nil"/>
            </w:tcBorders>
            <w:shd w:val="clear" w:color="auto" w:fill="auto"/>
            <w:vAlign w:val="bottom"/>
          </w:tcPr>
          <w:p w14:paraId="7F4D186F" w14:textId="77777777" w:rsidR="007D70B2" w:rsidRDefault="007D70B2" w:rsidP="001C1840">
            <w:pPr>
              <w:spacing w:line="360" w:lineRule="auto"/>
              <w:jc w:val="center"/>
              <w:rPr>
                <w:color w:val="000000"/>
              </w:rPr>
            </w:pPr>
            <w:r>
              <w:rPr>
                <w:color w:val="000000"/>
              </w:rPr>
              <w:t>9,0425 ± 1,4365</w:t>
            </w:r>
          </w:p>
        </w:tc>
      </w:tr>
      <w:tr w:rsidR="007D70B2" w14:paraId="146C2D09" w14:textId="77777777" w:rsidTr="001C1840">
        <w:trPr>
          <w:trHeight w:val="247"/>
          <w:jc w:val="center"/>
        </w:trPr>
        <w:tc>
          <w:tcPr>
            <w:tcW w:w="3779" w:type="dxa"/>
            <w:tcBorders>
              <w:top w:val="nil"/>
              <w:left w:val="nil"/>
              <w:bottom w:val="nil"/>
              <w:right w:val="nil"/>
            </w:tcBorders>
            <w:shd w:val="clear" w:color="auto" w:fill="auto"/>
            <w:vAlign w:val="center"/>
          </w:tcPr>
          <w:p w14:paraId="1E791E17" w14:textId="77777777" w:rsidR="007D70B2" w:rsidRDefault="007D70B2" w:rsidP="001C1840">
            <w:pPr>
              <w:spacing w:line="360" w:lineRule="auto"/>
              <w:rPr>
                <w:b/>
                <w:color w:val="000000"/>
              </w:rPr>
            </w:pPr>
            <w:r>
              <w:rPr>
                <w:b/>
                <w:color w:val="000000"/>
              </w:rPr>
              <w:t>PROTEIN TOTAL-SER (g/dL)</w:t>
            </w:r>
          </w:p>
        </w:tc>
        <w:tc>
          <w:tcPr>
            <w:tcW w:w="2023" w:type="dxa"/>
            <w:tcBorders>
              <w:top w:val="nil"/>
              <w:left w:val="nil"/>
              <w:bottom w:val="nil"/>
              <w:right w:val="nil"/>
            </w:tcBorders>
            <w:shd w:val="clear" w:color="auto" w:fill="auto"/>
            <w:vAlign w:val="bottom"/>
          </w:tcPr>
          <w:p w14:paraId="27841234" w14:textId="77777777" w:rsidR="007D70B2" w:rsidRDefault="007D70B2" w:rsidP="001C1840">
            <w:pPr>
              <w:spacing w:line="360" w:lineRule="auto"/>
              <w:jc w:val="center"/>
              <w:rPr>
                <w:color w:val="000000"/>
              </w:rPr>
            </w:pPr>
            <w:r>
              <w:rPr>
                <w:color w:val="000000"/>
              </w:rPr>
              <w:t>5,98 ± 0,1352</w:t>
            </w:r>
          </w:p>
        </w:tc>
        <w:tc>
          <w:tcPr>
            <w:tcW w:w="1618" w:type="dxa"/>
            <w:tcBorders>
              <w:top w:val="nil"/>
              <w:left w:val="nil"/>
              <w:bottom w:val="nil"/>
              <w:right w:val="nil"/>
            </w:tcBorders>
            <w:shd w:val="clear" w:color="auto" w:fill="auto"/>
            <w:vAlign w:val="bottom"/>
          </w:tcPr>
          <w:p w14:paraId="10BB1110" w14:textId="77777777" w:rsidR="007D70B2" w:rsidRDefault="007D70B2" w:rsidP="001C1840">
            <w:pPr>
              <w:spacing w:line="360" w:lineRule="auto"/>
              <w:jc w:val="center"/>
              <w:rPr>
                <w:color w:val="000000"/>
              </w:rPr>
            </w:pPr>
            <w:r>
              <w:rPr>
                <w:color w:val="000000"/>
              </w:rPr>
              <w:t>6,18 ± 0,5742</w:t>
            </w:r>
          </w:p>
        </w:tc>
        <w:tc>
          <w:tcPr>
            <w:tcW w:w="1888" w:type="dxa"/>
            <w:tcBorders>
              <w:top w:val="nil"/>
              <w:left w:val="nil"/>
              <w:bottom w:val="nil"/>
              <w:right w:val="nil"/>
            </w:tcBorders>
            <w:shd w:val="clear" w:color="auto" w:fill="auto"/>
            <w:vAlign w:val="bottom"/>
          </w:tcPr>
          <w:p w14:paraId="738A40D1" w14:textId="77777777" w:rsidR="007D70B2" w:rsidRDefault="007D70B2" w:rsidP="001C1840">
            <w:pPr>
              <w:spacing w:line="360" w:lineRule="auto"/>
              <w:jc w:val="center"/>
              <w:rPr>
                <w:color w:val="000000"/>
              </w:rPr>
            </w:pPr>
            <w:r>
              <w:rPr>
                <w:color w:val="000000"/>
              </w:rPr>
              <w:t>5,265 ± 1,0170</w:t>
            </w:r>
          </w:p>
        </w:tc>
        <w:tc>
          <w:tcPr>
            <w:tcW w:w="1863" w:type="dxa"/>
            <w:tcBorders>
              <w:top w:val="nil"/>
              <w:left w:val="nil"/>
              <w:bottom w:val="nil"/>
              <w:right w:val="nil"/>
            </w:tcBorders>
            <w:shd w:val="clear" w:color="auto" w:fill="auto"/>
            <w:vAlign w:val="bottom"/>
          </w:tcPr>
          <w:p w14:paraId="19E58000" w14:textId="77777777" w:rsidR="007D70B2" w:rsidRDefault="007D70B2" w:rsidP="001C1840">
            <w:pPr>
              <w:spacing w:line="360" w:lineRule="auto"/>
              <w:jc w:val="center"/>
              <w:rPr>
                <w:color w:val="000000"/>
              </w:rPr>
            </w:pPr>
            <w:r>
              <w:rPr>
                <w:color w:val="000000"/>
              </w:rPr>
              <w:t>5,3125 ± 1,3064</w:t>
            </w:r>
          </w:p>
        </w:tc>
      </w:tr>
      <w:tr w:rsidR="007D70B2" w14:paraId="0E2D75A9" w14:textId="77777777" w:rsidTr="001C1840">
        <w:trPr>
          <w:trHeight w:val="247"/>
          <w:jc w:val="center"/>
        </w:trPr>
        <w:tc>
          <w:tcPr>
            <w:tcW w:w="3779" w:type="dxa"/>
            <w:tcBorders>
              <w:top w:val="nil"/>
              <w:left w:val="nil"/>
              <w:bottom w:val="nil"/>
              <w:right w:val="nil"/>
            </w:tcBorders>
            <w:shd w:val="clear" w:color="auto" w:fill="auto"/>
            <w:vAlign w:val="center"/>
          </w:tcPr>
          <w:p w14:paraId="15086C1E" w14:textId="77777777" w:rsidR="007D70B2" w:rsidRDefault="007D70B2" w:rsidP="001C1840">
            <w:pPr>
              <w:spacing w:line="360" w:lineRule="auto"/>
              <w:rPr>
                <w:b/>
                <w:color w:val="000000"/>
              </w:rPr>
            </w:pPr>
            <w:r>
              <w:rPr>
                <w:b/>
                <w:color w:val="000000"/>
              </w:rPr>
              <w:t>TRIGLYCERIDES-SER (mg/dL)</w:t>
            </w:r>
          </w:p>
        </w:tc>
        <w:tc>
          <w:tcPr>
            <w:tcW w:w="2023" w:type="dxa"/>
            <w:tcBorders>
              <w:top w:val="nil"/>
              <w:left w:val="nil"/>
              <w:bottom w:val="nil"/>
              <w:right w:val="nil"/>
            </w:tcBorders>
            <w:shd w:val="clear" w:color="auto" w:fill="auto"/>
            <w:vAlign w:val="bottom"/>
          </w:tcPr>
          <w:p w14:paraId="7F287710" w14:textId="77777777" w:rsidR="007D70B2" w:rsidRDefault="007D70B2" w:rsidP="001C1840">
            <w:pPr>
              <w:spacing w:line="360" w:lineRule="auto"/>
              <w:jc w:val="center"/>
              <w:rPr>
                <w:color w:val="000000"/>
              </w:rPr>
            </w:pPr>
            <w:r>
              <w:rPr>
                <w:color w:val="000000"/>
              </w:rPr>
              <w:t>109,3333 ± 51,1598</w:t>
            </w:r>
          </w:p>
        </w:tc>
        <w:tc>
          <w:tcPr>
            <w:tcW w:w="1618" w:type="dxa"/>
            <w:tcBorders>
              <w:top w:val="nil"/>
              <w:left w:val="nil"/>
              <w:bottom w:val="nil"/>
              <w:right w:val="nil"/>
            </w:tcBorders>
            <w:shd w:val="clear" w:color="auto" w:fill="auto"/>
            <w:vAlign w:val="bottom"/>
          </w:tcPr>
          <w:p w14:paraId="4E6C9B8B" w14:textId="77777777" w:rsidR="007D70B2" w:rsidRDefault="007D70B2" w:rsidP="001C1840">
            <w:pPr>
              <w:spacing w:line="360" w:lineRule="auto"/>
              <w:jc w:val="center"/>
              <w:rPr>
                <w:color w:val="000000"/>
              </w:rPr>
            </w:pPr>
            <w:r>
              <w:rPr>
                <w:color w:val="000000"/>
              </w:rPr>
              <w:t>94,25 ± 7,8475</w:t>
            </w:r>
          </w:p>
        </w:tc>
        <w:tc>
          <w:tcPr>
            <w:tcW w:w="1888" w:type="dxa"/>
            <w:tcBorders>
              <w:top w:val="nil"/>
              <w:left w:val="nil"/>
              <w:bottom w:val="nil"/>
              <w:right w:val="nil"/>
            </w:tcBorders>
            <w:shd w:val="clear" w:color="auto" w:fill="auto"/>
            <w:vAlign w:val="bottom"/>
          </w:tcPr>
          <w:p w14:paraId="379811B7" w14:textId="77777777" w:rsidR="007D70B2" w:rsidRDefault="007D70B2" w:rsidP="001C1840">
            <w:pPr>
              <w:spacing w:line="360" w:lineRule="auto"/>
              <w:jc w:val="center"/>
              <w:rPr>
                <w:color w:val="000000"/>
              </w:rPr>
            </w:pPr>
            <w:r>
              <w:rPr>
                <w:color w:val="000000"/>
              </w:rPr>
              <w:t>71,25 ± 22,3811</w:t>
            </w:r>
          </w:p>
        </w:tc>
        <w:tc>
          <w:tcPr>
            <w:tcW w:w="1863" w:type="dxa"/>
            <w:tcBorders>
              <w:top w:val="nil"/>
              <w:left w:val="nil"/>
              <w:bottom w:val="nil"/>
              <w:right w:val="nil"/>
            </w:tcBorders>
            <w:shd w:val="clear" w:color="auto" w:fill="auto"/>
            <w:vAlign w:val="bottom"/>
          </w:tcPr>
          <w:p w14:paraId="5FEC7ABC" w14:textId="77777777" w:rsidR="007D70B2" w:rsidRDefault="007D70B2" w:rsidP="001C1840">
            <w:pPr>
              <w:spacing w:line="360" w:lineRule="auto"/>
              <w:jc w:val="center"/>
              <w:rPr>
                <w:color w:val="000000"/>
              </w:rPr>
            </w:pPr>
            <w:r>
              <w:rPr>
                <w:color w:val="000000"/>
              </w:rPr>
              <w:t>86,5 ± 62,4633</w:t>
            </w:r>
          </w:p>
        </w:tc>
      </w:tr>
      <w:tr w:rsidR="007D70B2" w14:paraId="2135BEAD" w14:textId="77777777" w:rsidTr="001C1840">
        <w:trPr>
          <w:trHeight w:val="259"/>
          <w:jc w:val="center"/>
        </w:trPr>
        <w:tc>
          <w:tcPr>
            <w:tcW w:w="3779" w:type="dxa"/>
            <w:tcBorders>
              <w:top w:val="nil"/>
              <w:left w:val="nil"/>
              <w:bottom w:val="single" w:sz="8" w:space="0" w:color="000000"/>
              <w:right w:val="nil"/>
            </w:tcBorders>
            <w:shd w:val="clear" w:color="auto" w:fill="auto"/>
            <w:vAlign w:val="center"/>
          </w:tcPr>
          <w:p w14:paraId="01079570" w14:textId="77777777" w:rsidR="007D70B2" w:rsidRDefault="007D70B2" w:rsidP="001C1840">
            <w:pPr>
              <w:spacing w:line="360" w:lineRule="auto"/>
              <w:rPr>
                <w:b/>
                <w:color w:val="000000"/>
              </w:rPr>
            </w:pPr>
            <w:r>
              <w:rPr>
                <w:b/>
                <w:color w:val="000000"/>
              </w:rPr>
              <w:t>UREA UV-SER (mg/dL) *</w:t>
            </w:r>
          </w:p>
        </w:tc>
        <w:tc>
          <w:tcPr>
            <w:tcW w:w="2023" w:type="dxa"/>
            <w:tcBorders>
              <w:top w:val="nil"/>
              <w:left w:val="nil"/>
              <w:bottom w:val="single" w:sz="8" w:space="0" w:color="000000"/>
              <w:right w:val="nil"/>
            </w:tcBorders>
            <w:shd w:val="clear" w:color="auto" w:fill="auto"/>
            <w:vAlign w:val="bottom"/>
          </w:tcPr>
          <w:p w14:paraId="1AFC9047" w14:textId="77777777" w:rsidR="007D70B2" w:rsidRDefault="007D70B2" w:rsidP="001C1840">
            <w:pPr>
              <w:spacing w:line="360" w:lineRule="auto"/>
              <w:jc w:val="center"/>
              <w:rPr>
                <w:color w:val="000000"/>
              </w:rPr>
            </w:pPr>
            <w:r>
              <w:rPr>
                <w:color w:val="000000"/>
              </w:rPr>
              <w:t>41 ± 2</w:t>
            </w:r>
          </w:p>
        </w:tc>
        <w:tc>
          <w:tcPr>
            <w:tcW w:w="1618" w:type="dxa"/>
            <w:tcBorders>
              <w:top w:val="nil"/>
              <w:left w:val="nil"/>
              <w:bottom w:val="single" w:sz="8" w:space="0" w:color="000000"/>
              <w:right w:val="nil"/>
            </w:tcBorders>
            <w:shd w:val="clear" w:color="auto" w:fill="auto"/>
            <w:vAlign w:val="bottom"/>
          </w:tcPr>
          <w:p w14:paraId="6637BC2C" w14:textId="77777777" w:rsidR="007D70B2" w:rsidRDefault="007D70B2" w:rsidP="001C1840">
            <w:pPr>
              <w:spacing w:line="360" w:lineRule="auto"/>
              <w:jc w:val="center"/>
              <w:rPr>
                <w:color w:val="000000"/>
              </w:rPr>
            </w:pPr>
            <w:r>
              <w:rPr>
                <w:color w:val="000000"/>
              </w:rPr>
              <w:t>50,25 ± 2,8722</w:t>
            </w:r>
          </w:p>
        </w:tc>
        <w:tc>
          <w:tcPr>
            <w:tcW w:w="1888" w:type="dxa"/>
            <w:tcBorders>
              <w:top w:val="nil"/>
              <w:left w:val="nil"/>
              <w:bottom w:val="single" w:sz="8" w:space="0" w:color="000000"/>
              <w:right w:val="nil"/>
            </w:tcBorders>
            <w:shd w:val="clear" w:color="auto" w:fill="auto"/>
            <w:vAlign w:val="bottom"/>
          </w:tcPr>
          <w:p w14:paraId="033ADB29" w14:textId="77777777" w:rsidR="007D70B2" w:rsidRDefault="007D70B2" w:rsidP="001C1840">
            <w:pPr>
              <w:spacing w:line="360" w:lineRule="auto"/>
              <w:jc w:val="center"/>
              <w:rPr>
                <w:color w:val="000000"/>
              </w:rPr>
            </w:pPr>
            <w:r>
              <w:rPr>
                <w:color w:val="000000"/>
              </w:rPr>
              <w:t>28,25 ± 0,9574</w:t>
            </w:r>
          </w:p>
        </w:tc>
        <w:tc>
          <w:tcPr>
            <w:tcW w:w="1863" w:type="dxa"/>
            <w:tcBorders>
              <w:top w:val="nil"/>
              <w:left w:val="nil"/>
              <w:bottom w:val="single" w:sz="8" w:space="0" w:color="000000"/>
              <w:right w:val="nil"/>
            </w:tcBorders>
            <w:shd w:val="clear" w:color="auto" w:fill="auto"/>
            <w:vAlign w:val="bottom"/>
          </w:tcPr>
          <w:p w14:paraId="03F676BC" w14:textId="77777777" w:rsidR="007D70B2" w:rsidRDefault="007D70B2" w:rsidP="001C1840">
            <w:pPr>
              <w:spacing w:line="360" w:lineRule="auto"/>
              <w:jc w:val="center"/>
              <w:rPr>
                <w:color w:val="000000"/>
              </w:rPr>
            </w:pPr>
            <w:r>
              <w:rPr>
                <w:color w:val="000000"/>
              </w:rPr>
              <w:t>28,75 ± 3,5939</w:t>
            </w:r>
          </w:p>
        </w:tc>
      </w:tr>
      <w:tr w:rsidR="007D70B2" w14:paraId="399ACE59" w14:textId="77777777" w:rsidTr="001C1840">
        <w:trPr>
          <w:trHeight w:val="247"/>
          <w:jc w:val="center"/>
        </w:trPr>
        <w:tc>
          <w:tcPr>
            <w:tcW w:w="11173" w:type="dxa"/>
            <w:gridSpan w:val="5"/>
            <w:tcBorders>
              <w:top w:val="single" w:sz="8" w:space="0" w:color="000000"/>
              <w:left w:val="nil"/>
              <w:bottom w:val="nil"/>
              <w:right w:val="nil"/>
            </w:tcBorders>
            <w:shd w:val="clear" w:color="auto" w:fill="auto"/>
            <w:vAlign w:val="bottom"/>
          </w:tcPr>
          <w:p w14:paraId="25E0BC0C" w14:textId="4AF7321D" w:rsidR="007D70B2" w:rsidRDefault="007D70B2" w:rsidP="001C1840">
            <w:pPr>
              <w:spacing w:line="360" w:lineRule="auto"/>
              <w:jc w:val="both"/>
              <w:rPr>
                <w:color w:val="000000"/>
              </w:rPr>
            </w:pPr>
            <w:r>
              <w:rPr>
                <w:color w:val="000000"/>
              </w:rPr>
              <w:t>Subtitles: CT (Control group); CT EX (Control group + extract); HL (</w:t>
            </w:r>
            <w:proofErr w:type="spellStart"/>
            <w:r>
              <w:rPr>
                <w:color w:val="000000"/>
              </w:rPr>
              <w:t>Hyperlipidic</w:t>
            </w:r>
            <w:proofErr w:type="spellEnd"/>
            <w:r>
              <w:rPr>
                <w:color w:val="000000"/>
              </w:rPr>
              <w:t>), HL EX (</w:t>
            </w:r>
            <w:proofErr w:type="spellStart"/>
            <w:r>
              <w:rPr>
                <w:color w:val="000000"/>
              </w:rPr>
              <w:t>Hyperlipidic</w:t>
            </w:r>
            <w:proofErr w:type="spellEnd"/>
            <w:r>
              <w:rPr>
                <w:color w:val="000000"/>
              </w:rPr>
              <w:t xml:space="preserve"> + extract)</w:t>
            </w:r>
            <w:r w:rsidR="00C57B54">
              <w:rPr>
                <w:color w:val="000000"/>
              </w:rPr>
              <w:t>; SER (Serum); UV (enzymatic system for detecting serum urea by photometry); CHOL (Cholesterol); AST (Aspartate aminotransferase; ALT (Alanine aminotransferase)</w:t>
            </w:r>
            <w:r w:rsidR="00D37A68">
              <w:rPr>
                <w:color w:val="000000"/>
              </w:rPr>
              <w:t xml:space="preserve">; g/dL (Gram per </w:t>
            </w:r>
            <w:proofErr w:type="spellStart"/>
            <w:r w:rsidR="00D37A68">
              <w:rPr>
                <w:color w:val="000000"/>
              </w:rPr>
              <w:t>deciliter</w:t>
            </w:r>
            <w:proofErr w:type="spellEnd"/>
            <w:r w:rsidR="00D37A68">
              <w:rPr>
                <w:color w:val="000000"/>
              </w:rPr>
              <w:t xml:space="preserve">); U/L (International unit per </w:t>
            </w:r>
            <w:proofErr w:type="spellStart"/>
            <w:r w:rsidR="00D37A68">
              <w:rPr>
                <w:color w:val="000000"/>
              </w:rPr>
              <w:t>liter</w:t>
            </w:r>
            <w:proofErr w:type="spellEnd"/>
            <w:r w:rsidR="00EE18A2">
              <w:rPr>
                <w:color w:val="000000"/>
              </w:rPr>
              <w:t>); mg</w:t>
            </w:r>
            <w:r w:rsidR="00D37A68">
              <w:rPr>
                <w:color w:val="000000"/>
              </w:rPr>
              <w:t>/dL (</w:t>
            </w:r>
            <w:proofErr w:type="spellStart"/>
            <w:r w:rsidR="00D37A68">
              <w:rPr>
                <w:color w:val="000000"/>
              </w:rPr>
              <w:t>Miligram</w:t>
            </w:r>
            <w:proofErr w:type="spellEnd"/>
            <w:r w:rsidR="00D37A68">
              <w:rPr>
                <w:color w:val="000000"/>
              </w:rPr>
              <w:t xml:space="preserve"> per </w:t>
            </w:r>
            <w:proofErr w:type="spellStart"/>
            <w:r w:rsidR="00D37A68">
              <w:rPr>
                <w:color w:val="000000"/>
              </w:rPr>
              <w:t>deciliter</w:t>
            </w:r>
            <w:proofErr w:type="spellEnd"/>
            <w:r w:rsidR="00D37A68">
              <w:rPr>
                <w:color w:val="000000"/>
              </w:rPr>
              <w:t>)</w:t>
            </w:r>
            <w:r w:rsidR="00C57B54">
              <w:rPr>
                <w:color w:val="000000"/>
              </w:rPr>
              <w:t>.</w:t>
            </w:r>
          </w:p>
        </w:tc>
      </w:tr>
    </w:tbl>
    <w:p w14:paraId="3981B41C" w14:textId="77777777" w:rsidR="007D70B2" w:rsidRDefault="007D70B2" w:rsidP="001C1840">
      <w:pPr>
        <w:pStyle w:val="Newparagraph"/>
        <w:spacing w:line="360" w:lineRule="auto"/>
        <w:ind w:firstLine="0"/>
      </w:pPr>
    </w:p>
    <w:p w14:paraId="2C489487" w14:textId="1F547758" w:rsidR="007D70B2" w:rsidRDefault="00261ACC">
      <w:pPr>
        <w:pStyle w:val="Ttulo2"/>
      </w:pPr>
      <w:r>
        <w:t>Organ weight assessment</w:t>
      </w:r>
    </w:p>
    <w:p w14:paraId="328B79F0" w14:textId="54C3B5CC" w:rsidR="007D70B2" w:rsidRDefault="00261ACC" w:rsidP="00A53A1F">
      <w:pPr>
        <w:pStyle w:val="Newparagraph"/>
        <w:spacing w:line="360" w:lineRule="auto"/>
        <w:ind w:firstLine="0"/>
        <w:jc w:val="both"/>
      </w:pPr>
      <w:r>
        <w:rPr>
          <w:color w:val="000000"/>
        </w:rPr>
        <w:t>The animals, after 12 weeks of the dietary protocol, had their organs such as the heart, kidneys, brain and liver extracted. All were weighed and placed in a solution containing formaldehyde.</w:t>
      </w:r>
      <w:r w:rsidR="007D70B2">
        <w:rPr>
          <w:color w:val="000000"/>
        </w:rPr>
        <w:t xml:space="preserve"> </w:t>
      </w:r>
      <w:r>
        <w:rPr>
          <w:color w:val="000000"/>
        </w:rPr>
        <w:t>When evaluated comparatively between the groups, it is noted that</w:t>
      </w:r>
      <w:r w:rsidR="00A53A1F">
        <w:rPr>
          <w:color w:val="000000"/>
        </w:rPr>
        <w:t xml:space="preserve"> there was no statistically significant difference in organ weight. Such protocol was adopted since the adoption of the extract with different dietary protocols could promote histological changes in these target organs. Such modifications would come to be verified both with the naked eye and microscopically, when present.</w:t>
      </w:r>
    </w:p>
    <w:p w14:paraId="28E07524" w14:textId="4C626118" w:rsidR="007D70B2" w:rsidRDefault="007D70B2" w:rsidP="001C1840">
      <w:pPr>
        <w:pStyle w:val="Newparagraph"/>
        <w:spacing w:line="360" w:lineRule="auto"/>
        <w:ind w:firstLine="0"/>
      </w:pPr>
    </w:p>
    <w:tbl>
      <w:tblPr>
        <w:tblW w:w="11703" w:type="dxa"/>
        <w:jc w:val="center"/>
        <w:tblLayout w:type="fixed"/>
        <w:tblLook w:val="0400" w:firstRow="0" w:lastRow="0" w:firstColumn="0" w:lastColumn="0" w:noHBand="0" w:noVBand="1"/>
      </w:tblPr>
      <w:tblGrid>
        <w:gridCol w:w="1180"/>
        <w:gridCol w:w="2849"/>
        <w:gridCol w:w="2556"/>
        <w:gridCol w:w="2556"/>
        <w:gridCol w:w="2562"/>
      </w:tblGrid>
      <w:tr w:rsidR="007D70B2" w14:paraId="2F7AECCC" w14:textId="77777777" w:rsidTr="008E69FC">
        <w:trPr>
          <w:trHeight w:val="282"/>
          <w:jc w:val="center"/>
        </w:trPr>
        <w:tc>
          <w:tcPr>
            <w:tcW w:w="11703" w:type="dxa"/>
            <w:gridSpan w:val="5"/>
            <w:tcBorders>
              <w:top w:val="nil"/>
              <w:left w:val="nil"/>
              <w:bottom w:val="single" w:sz="8" w:space="0" w:color="000000"/>
              <w:right w:val="nil"/>
            </w:tcBorders>
            <w:shd w:val="clear" w:color="auto" w:fill="auto"/>
            <w:vAlign w:val="bottom"/>
          </w:tcPr>
          <w:p w14:paraId="58E049C5" w14:textId="0401DB6C" w:rsidR="007D70B2" w:rsidRPr="00F26EF4" w:rsidRDefault="00F26EF4">
            <w:pPr>
              <w:pStyle w:val="Tabletitle"/>
            </w:pPr>
            <w:r>
              <w:lastRenderedPageBreak/>
              <w:t xml:space="preserve">Table </w:t>
            </w:r>
            <w:r w:rsidR="00B74AC6">
              <w:t>3</w:t>
            </w:r>
            <w:r>
              <w:t>. Means and standard deviation of the organs weight</w:t>
            </w:r>
          </w:p>
        </w:tc>
      </w:tr>
      <w:tr w:rsidR="007D70B2" w14:paraId="0B83E7B4" w14:textId="77777777" w:rsidTr="008E69FC">
        <w:trPr>
          <w:trHeight w:val="282"/>
          <w:jc w:val="center"/>
        </w:trPr>
        <w:tc>
          <w:tcPr>
            <w:tcW w:w="1180" w:type="dxa"/>
            <w:tcBorders>
              <w:top w:val="nil"/>
              <w:left w:val="nil"/>
              <w:bottom w:val="nil"/>
              <w:right w:val="nil"/>
            </w:tcBorders>
            <w:shd w:val="clear" w:color="auto" w:fill="auto"/>
            <w:vAlign w:val="bottom"/>
          </w:tcPr>
          <w:p w14:paraId="19DB2CF9" w14:textId="77777777" w:rsidR="007D70B2" w:rsidRDefault="007D70B2" w:rsidP="001C1840">
            <w:pPr>
              <w:spacing w:line="360" w:lineRule="auto"/>
              <w:jc w:val="center"/>
              <w:rPr>
                <w:b/>
                <w:color w:val="000000"/>
              </w:rPr>
            </w:pPr>
            <w:r>
              <w:rPr>
                <w:b/>
                <w:color w:val="000000"/>
              </w:rPr>
              <w:t>Organs</w:t>
            </w:r>
          </w:p>
        </w:tc>
        <w:tc>
          <w:tcPr>
            <w:tcW w:w="2849" w:type="dxa"/>
            <w:tcBorders>
              <w:top w:val="nil"/>
              <w:left w:val="nil"/>
              <w:bottom w:val="nil"/>
              <w:right w:val="nil"/>
            </w:tcBorders>
            <w:shd w:val="clear" w:color="auto" w:fill="auto"/>
            <w:vAlign w:val="bottom"/>
          </w:tcPr>
          <w:p w14:paraId="0858FE4A" w14:textId="77777777" w:rsidR="007D70B2" w:rsidRDefault="007D70B2" w:rsidP="001C1840">
            <w:pPr>
              <w:spacing w:line="360" w:lineRule="auto"/>
              <w:jc w:val="center"/>
              <w:rPr>
                <w:b/>
                <w:color w:val="000000"/>
              </w:rPr>
            </w:pPr>
            <w:r>
              <w:rPr>
                <w:b/>
                <w:color w:val="000000"/>
              </w:rPr>
              <w:t>CT</w:t>
            </w:r>
          </w:p>
        </w:tc>
        <w:tc>
          <w:tcPr>
            <w:tcW w:w="2556" w:type="dxa"/>
            <w:tcBorders>
              <w:top w:val="nil"/>
              <w:left w:val="nil"/>
              <w:bottom w:val="nil"/>
              <w:right w:val="nil"/>
            </w:tcBorders>
            <w:shd w:val="clear" w:color="auto" w:fill="auto"/>
            <w:vAlign w:val="bottom"/>
          </w:tcPr>
          <w:p w14:paraId="59200857" w14:textId="77777777" w:rsidR="007D70B2" w:rsidRDefault="007D70B2" w:rsidP="001C1840">
            <w:pPr>
              <w:spacing w:line="360" w:lineRule="auto"/>
              <w:jc w:val="center"/>
              <w:rPr>
                <w:b/>
                <w:color w:val="000000"/>
              </w:rPr>
            </w:pPr>
            <w:r>
              <w:rPr>
                <w:b/>
                <w:color w:val="000000"/>
              </w:rPr>
              <w:t>CT EX</w:t>
            </w:r>
          </w:p>
        </w:tc>
        <w:tc>
          <w:tcPr>
            <w:tcW w:w="2556" w:type="dxa"/>
            <w:tcBorders>
              <w:top w:val="nil"/>
              <w:left w:val="nil"/>
              <w:bottom w:val="nil"/>
              <w:right w:val="nil"/>
            </w:tcBorders>
            <w:shd w:val="clear" w:color="auto" w:fill="auto"/>
            <w:vAlign w:val="bottom"/>
          </w:tcPr>
          <w:p w14:paraId="3CECD8EF" w14:textId="77777777" w:rsidR="007D70B2" w:rsidRDefault="007D70B2" w:rsidP="001C1840">
            <w:pPr>
              <w:spacing w:line="360" w:lineRule="auto"/>
              <w:jc w:val="center"/>
              <w:rPr>
                <w:b/>
                <w:color w:val="000000"/>
              </w:rPr>
            </w:pPr>
            <w:r>
              <w:rPr>
                <w:b/>
                <w:color w:val="000000"/>
              </w:rPr>
              <w:t>HL</w:t>
            </w:r>
          </w:p>
        </w:tc>
        <w:tc>
          <w:tcPr>
            <w:tcW w:w="2562" w:type="dxa"/>
            <w:tcBorders>
              <w:top w:val="nil"/>
              <w:left w:val="nil"/>
              <w:bottom w:val="nil"/>
              <w:right w:val="nil"/>
            </w:tcBorders>
            <w:shd w:val="clear" w:color="auto" w:fill="auto"/>
            <w:vAlign w:val="bottom"/>
          </w:tcPr>
          <w:p w14:paraId="654B0ECE" w14:textId="77777777" w:rsidR="007D70B2" w:rsidRDefault="007D70B2" w:rsidP="001C1840">
            <w:pPr>
              <w:spacing w:line="360" w:lineRule="auto"/>
              <w:jc w:val="center"/>
              <w:rPr>
                <w:b/>
                <w:color w:val="000000"/>
              </w:rPr>
            </w:pPr>
            <w:r>
              <w:rPr>
                <w:b/>
                <w:color w:val="000000"/>
              </w:rPr>
              <w:t>HL EX</w:t>
            </w:r>
          </w:p>
        </w:tc>
      </w:tr>
      <w:tr w:rsidR="007D70B2" w14:paraId="34927ABB" w14:textId="77777777" w:rsidTr="008E69FC">
        <w:trPr>
          <w:trHeight w:val="268"/>
          <w:jc w:val="center"/>
        </w:trPr>
        <w:tc>
          <w:tcPr>
            <w:tcW w:w="1180" w:type="dxa"/>
            <w:tcBorders>
              <w:top w:val="single" w:sz="8" w:space="0" w:color="000000"/>
              <w:left w:val="nil"/>
              <w:bottom w:val="nil"/>
              <w:right w:val="nil"/>
            </w:tcBorders>
            <w:shd w:val="clear" w:color="auto" w:fill="auto"/>
            <w:vAlign w:val="bottom"/>
          </w:tcPr>
          <w:p w14:paraId="5E5CA953" w14:textId="77777777" w:rsidR="007D70B2" w:rsidRDefault="007D70B2" w:rsidP="001C1840">
            <w:pPr>
              <w:spacing w:line="360" w:lineRule="auto"/>
              <w:jc w:val="center"/>
              <w:rPr>
                <w:color w:val="000000"/>
              </w:rPr>
            </w:pPr>
            <w:r>
              <w:rPr>
                <w:color w:val="000000"/>
              </w:rPr>
              <w:t>Heart</w:t>
            </w:r>
          </w:p>
        </w:tc>
        <w:tc>
          <w:tcPr>
            <w:tcW w:w="2849" w:type="dxa"/>
            <w:tcBorders>
              <w:top w:val="single" w:sz="8" w:space="0" w:color="000000"/>
              <w:left w:val="nil"/>
              <w:bottom w:val="nil"/>
              <w:right w:val="nil"/>
            </w:tcBorders>
            <w:shd w:val="clear" w:color="auto" w:fill="auto"/>
            <w:vAlign w:val="bottom"/>
          </w:tcPr>
          <w:p w14:paraId="23D8B330" w14:textId="77777777" w:rsidR="007D70B2" w:rsidRDefault="007D70B2" w:rsidP="001C1840">
            <w:pPr>
              <w:spacing w:line="360" w:lineRule="auto"/>
              <w:jc w:val="center"/>
              <w:rPr>
                <w:color w:val="000000"/>
              </w:rPr>
            </w:pPr>
            <w:r>
              <w:rPr>
                <w:color w:val="000000"/>
              </w:rPr>
              <w:t>1,231 ± 0,2507</w:t>
            </w:r>
          </w:p>
        </w:tc>
        <w:tc>
          <w:tcPr>
            <w:tcW w:w="2556" w:type="dxa"/>
            <w:tcBorders>
              <w:top w:val="single" w:sz="8" w:space="0" w:color="000000"/>
              <w:left w:val="nil"/>
              <w:bottom w:val="nil"/>
              <w:right w:val="nil"/>
            </w:tcBorders>
            <w:shd w:val="clear" w:color="auto" w:fill="auto"/>
            <w:vAlign w:val="bottom"/>
          </w:tcPr>
          <w:p w14:paraId="4B5F10B4" w14:textId="77777777" w:rsidR="007D70B2" w:rsidRDefault="007D70B2" w:rsidP="001C1840">
            <w:pPr>
              <w:spacing w:line="360" w:lineRule="auto"/>
              <w:jc w:val="center"/>
              <w:rPr>
                <w:color w:val="000000"/>
              </w:rPr>
            </w:pPr>
            <w:r>
              <w:rPr>
                <w:color w:val="000000"/>
              </w:rPr>
              <w:t>1,3777 ± 0,2435</w:t>
            </w:r>
          </w:p>
        </w:tc>
        <w:tc>
          <w:tcPr>
            <w:tcW w:w="2556" w:type="dxa"/>
            <w:tcBorders>
              <w:top w:val="single" w:sz="8" w:space="0" w:color="000000"/>
              <w:left w:val="nil"/>
              <w:bottom w:val="nil"/>
              <w:right w:val="nil"/>
            </w:tcBorders>
            <w:shd w:val="clear" w:color="auto" w:fill="auto"/>
            <w:vAlign w:val="bottom"/>
          </w:tcPr>
          <w:p w14:paraId="1910A22F" w14:textId="77777777" w:rsidR="007D70B2" w:rsidRDefault="007D70B2" w:rsidP="001C1840">
            <w:pPr>
              <w:spacing w:line="360" w:lineRule="auto"/>
              <w:jc w:val="center"/>
              <w:rPr>
                <w:color w:val="000000"/>
              </w:rPr>
            </w:pPr>
            <w:r>
              <w:rPr>
                <w:color w:val="000000"/>
              </w:rPr>
              <w:t>1,2142 ± 0,1403</w:t>
            </w:r>
          </w:p>
        </w:tc>
        <w:tc>
          <w:tcPr>
            <w:tcW w:w="2562" w:type="dxa"/>
            <w:tcBorders>
              <w:top w:val="single" w:sz="8" w:space="0" w:color="000000"/>
              <w:left w:val="nil"/>
              <w:bottom w:val="nil"/>
              <w:right w:val="nil"/>
            </w:tcBorders>
            <w:shd w:val="clear" w:color="auto" w:fill="auto"/>
            <w:vAlign w:val="bottom"/>
          </w:tcPr>
          <w:p w14:paraId="2E2AA1EB" w14:textId="77777777" w:rsidR="007D70B2" w:rsidRDefault="007D70B2" w:rsidP="001C1840">
            <w:pPr>
              <w:spacing w:line="360" w:lineRule="auto"/>
              <w:jc w:val="center"/>
              <w:rPr>
                <w:color w:val="000000"/>
              </w:rPr>
            </w:pPr>
            <w:r>
              <w:rPr>
                <w:color w:val="000000"/>
              </w:rPr>
              <w:t>1,178 ± 0,0884</w:t>
            </w:r>
          </w:p>
        </w:tc>
      </w:tr>
      <w:tr w:rsidR="007D70B2" w14:paraId="3C3C5D74" w14:textId="77777777" w:rsidTr="008E69FC">
        <w:trPr>
          <w:trHeight w:val="268"/>
          <w:jc w:val="center"/>
        </w:trPr>
        <w:tc>
          <w:tcPr>
            <w:tcW w:w="1180" w:type="dxa"/>
            <w:tcBorders>
              <w:top w:val="nil"/>
              <w:left w:val="nil"/>
              <w:bottom w:val="nil"/>
              <w:right w:val="nil"/>
            </w:tcBorders>
            <w:shd w:val="clear" w:color="auto" w:fill="auto"/>
            <w:vAlign w:val="bottom"/>
          </w:tcPr>
          <w:p w14:paraId="727B20E9" w14:textId="77777777" w:rsidR="007D70B2" w:rsidRDefault="007D70B2" w:rsidP="001C1840">
            <w:pPr>
              <w:spacing w:line="360" w:lineRule="auto"/>
              <w:jc w:val="center"/>
              <w:rPr>
                <w:color w:val="000000"/>
              </w:rPr>
            </w:pPr>
            <w:r>
              <w:rPr>
                <w:color w:val="000000"/>
              </w:rPr>
              <w:t>kidney</w:t>
            </w:r>
          </w:p>
        </w:tc>
        <w:tc>
          <w:tcPr>
            <w:tcW w:w="2849" w:type="dxa"/>
            <w:tcBorders>
              <w:top w:val="nil"/>
              <w:left w:val="nil"/>
              <w:bottom w:val="nil"/>
              <w:right w:val="nil"/>
            </w:tcBorders>
            <w:shd w:val="clear" w:color="auto" w:fill="auto"/>
            <w:vAlign w:val="bottom"/>
          </w:tcPr>
          <w:p w14:paraId="78AA87B2" w14:textId="77777777" w:rsidR="007D70B2" w:rsidRDefault="007D70B2" w:rsidP="001C1840">
            <w:pPr>
              <w:spacing w:line="360" w:lineRule="auto"/>
              <w:jc w:val="center"/>
              <w:rPr>
                <w:color w:val="000000"/>
              </w:rPr>
            </w:pPr>
            <w:r>
              <w:rPr>
                <w:color w:val="000000"/>
              </w:rPr>
              <w:t>2,8063 ± 0,1395</w:t>
            </w:r>
          </w:p>
        </w:tc>
        <w:tc>
          <w:tcPr>
            <w:tcW w:w="2556" w:type="dxa"/>
            <w:tcBorders>
              <w:top w:val="nil"/>
              <w:left w:val="nil"/>
              <w:bottom w:val="nil"/>
              <w:right w:val="nil"/>
            </w:tcBorders>
            <w:shd w:val="clear" w:color="auto" w:fill="auto"/>
            <w:vAlign w:val="bottom"/>
          </w:tcPr>
          <w:p w14:paraId="4124BE03" w14:textId="77777777" w:rsidR="007D70B2" w:rsidRDefault="007D70B2" w:rsidP="001C1840">
            <w:pPr>
              <w:spacing w:line="360" w:lineRule="auto"/>
              <w:jc w:val="center"/>
              <w:rPr>
                <w:color w:val="000000"/>
              </w:rPr>
            </w:pPr>
            <w:r>
              <w:rPr>
                <w:color w:val="000000"/>
              </w:rPr>
              <w:t>3,023 ± 0,4129</w:t>
            </w:r>
          </w:p>
        </w:tc>
        <w:tc>
          <w:tcPr>
            <w:tcW w:w="2556" w:type="dxa"/>
            <w:tcBorders>
              <w:top w:val="nil"/>
              <w:left w:val="nil"/>
              <w:bottom w:val="nil"/>
              <w:right w:val="nil"/>
            </w:tcBorders>
            <w:shd w:val="clear" w:color="auto" w:fill="auto"/>
            <w:vAlign w:val="bottom"/>
          </w:tcPr>
          <w:p w14:paraId="399A46CB" w14:textId="77777777" w:rsidR="007D70B2" w:rsidRDefault="007D70B2" w:rsidP="001C1840">
            <w:pPr>
              <w:spacing w:line="360" w:lineRule="auto"/>
              <w:jc w:val="center"/>
              <w:rPr>
                <w:color w:val="000000"/>
              </w:rPr>
            </w:pPr>
            <w:r>
              <w:rPr>
                <w:color w:val="000000"/>
              </w:rPr>
              <w:t>2,5417 ± 0,1403</w:t>
            </w:r>
          </w:p>
        </w:tc>
        <w:tc>
          <w:tcPr>
            <w:tcW w:w="2562" w:type="dxa"/>
            <w:tcBorders>
              <w:top w:val="nil"/>
              <w:left w:val="nil"/>
              <w:bottom w:val="nil"/>
              <w:right w:val="nil"/>
            </w:tcBorders>
            <w:shd w:val="clear" w:color="auto" w:fill="auto"/>
            <w:vAlign w:val="bottom"/>
          </w:tcPr>
          <w:p w14:paraId="6E9A9B15" w14:textId="77777777" w:rsidR="007D70B2" w:rsidRDefault="007D70B2" w:rsidP="001C1840">
            <w:pPr>
              <w:spacing w:line="360" w:lineRule="auto"/>
              <w:jc w:val="center"/>
              <w:rPr>
                <w:color w:val="000000"/>
              </w:rPr>
            </w:pPr>
            <w:r>
              <w:rPr>
                <w:color w:val="000000"/>
              </w:rPr>
              <w:t>2,5805 ± 0,1625</w:t>
            </w:r>
          </w:p>
        </w:tc>
      </w:tr>
      <w:tr w:rsidR="007D70B2" w14:paraId="690AF3E8" w14:textId="77777777" w:rsidTr="008E69FC">
        <w:trPr>
          <w:trHeight w:val="268"/>
          <w:jc w:val="center"/>
        </w:trPr>
        <w:tc>
          <w:tcPr>
            <w:tcW w:w="1180" w:type="dxa"/>
            <w:tcBorders>
              <w:top w:val="nil"/>
              <w:left w:val="nil"/>
              <w:bottom w:val="nil"/>
              <w:right w:val="nil"/>
            </w:tcBorders>
            <w:shd w:val="clear" w:color="auto" w:fill="auto"/>
            <w:vAlign w:val="bottom"/>
          </w:tcPr>
          <w:p w14:paraId="72DA0979" w14:textId="77777777" w:rsidR="007D70B2" w:rsidRDefault="007D70B2" w:rsidP="001C1840">
            <w:pPr>
              <w:spacing w:line="360" w:lineRule="auto"/>
              <w:jc w:val="center"/>
              <w:rPr>
                <w:color w:val="000000"/>
              </w:rPr>
            </w:pPr>
            <w:r>
              <w:rPr>
                <w:color w:val="000000"/>
              </w:rPr>
              <w:t>Brain</w:t>
            </w:r>
          </w:p>
        </w:tc>
        <w:tc>
          <w:tcPr>
            <w:tcW w:w="2849" w:type="dxa"/>
            <w:tcBorders>
              <w:top w:val="nil"/>
              <w:left w:val="nil"/>
              <w:bottom w:val="nil"/>
              <w:right w:val="nil"/>
            </w:tcBorders>
            <w:shd w:val="clear" w:color="auto" w:fill="auto"/>
            <w:vAlign w:val="bottom"/>
          </w:tcPr>
          <w:p w14:paraId="31AA5B19" w14:textId="77777777" w:rsidR="007D70B2" w:rsidRDefault="007D70B2" w:rsidP="001C1840">
            <w:pPr>
              <w:spacing w:line="360" w:lineRule="auto"/>
              <w:jc w:val="center"/>
              <w:rPr>
                <w:color w:val="000000"/>
              </w:rPr>
            </w:pPr>
            <w:r>
              <w:rPr>
                <w:color w:val="000000"/>
              </w:rPr>
              <w:t>1,887 ± 0,0582</w:t>
            </w:r>
          </w:p>
        </w:tc>
        <w:tc>
          <w:tcPr>
            <w:tcW w:w="2556" w:type="dxa"/>
            <w:tcBorders>
              <w:top w:val="nil"/>
              <w:left w:val="nil"/>
              <w:bottom w:val="nil"/>
              <w:right w:val="nil"/>
            </w:tcBorders>
            <w:shd w:val="clear" w:color="auto" w:fill="auto"/>
            <w:vAlign w:val="bottom"/>
          </w:tcPr>
          <w:p w14:paraId="6F759689" w14:textId="77777777" w:rsidR="007D70B2" w:rsidRDefault="007D70B2" w:rsidP="001C1840">
            <w:pPr>
              <w:spacing w:line="360" w:lineRule="auto"/>
              <w:jc w:val="center"/>
              <w:rPr>
                <w:color w:val="000000"/>
              </w:rPr>
            </w:pPr>
            <w:r>
              <w:rPr>
                <w:color w:val="000000"/>
              </w:rPr>
              <w:t>1,9682 ± 0,2386</w:t>
            </w:r>
          </w:p>
        </w:tc>
        <w:tc>
          <w:tcPr>
            <w:tcW w:w="2556" w:type="dxa"/>
            <w:tcBorders>
              <w:top w:val="nil"/>
              <w:left w:val="nil"/>
              <w:bottom w:val="nil"/>
              <w:right w:val="nil"/>
            </w:tcBorders>
            <w:shd w:val="clear" w:color="auto" w:fill="auto"/>
            <w:vAlign w:val="bottom"/>
          </w:tcPr>
          <w:p w14:paraId="0D1CF86A" w14:textId="77777777" w:rsidR="007D70B2" w:rsidRDefault="007D70B2" w:rsidP="001C1840">
            <w:pPr>
              <w:spacing w:line="360" w:lineRule="auto"/>
              <w:jc w:val="center"/>
              <w:rPr>
                <w:color w:val="000000"/>
              </w:rPr>
            </w:pPr>
            <w:r>
              <w:rPr>
                <w:color w:val="000000"/>
              </w:rPr>
              <w:t>1,8175 ± 0,1218</w:t>
            </w:r>
          </w:p>
        </w:tc>
        <w:tc>
          <w:tcPr>
            <w:tcW w:w="2562" w:type="dxa"/>
            <w:tcBorders>
              <w:top w:val="nil"/>
              <w:left w:val="nil"/>
              <w:bottom w:val="nil"/>
              <w:right w:val="nil"/>
            </w:tcBorders>
            <w:shd w:val="clear" w:color="auto" w:fill="auto"/>
            <w:vAlign w:val="bottom"/>
          </w:tcPr>
          <w:p w14:paraId="2B72AAB0" w14:textId="77777777" w:rsidR="007D70B2" w:rsidRDefault="007D70B2" w:rsidP="001C1840">
            <w:pPr>
              <w:spacing w:line="360" w:lineRule="auto"/>
              <w:jc w:val="center"/>
              <w:rPr>
                <w:color w:val="000000"/>
              </w:rPr>
            </w:pPr>
            <w:r>
              <w:rPr>
                <w:color w:val="000000"/>
              </w:rPr>
              <w:t>1,8522 ± 0,1335</w:t>
            </w:r>
          </w:p>
        </w:tc>
      </w:tr>
      <w:tr w:rsidR="007D70B2" w14:paraId="2FA0C839" w14:textId="77777777" w:rsidTr="008E69FC">
        <w:trPr>
          <w:trHeight w:val="282"/>
          <w:jc w:val="center"/>
        </w:trPr>
        <w:tc>
          <w:tcPr>
            <w:tcW w:w="1180" w:type="dxa"/>
            <w:tcBorders>
              <w:top w:val="nil"/>
              <w:left w:val="nil"/>
              <w:bottom w:val="nil"/>
              <w:right w:val="nil"/>
            </w:tcBorders>
            <w:shd w:val="clear" w:color="auto" w:fill="auto"/>
            <w:vAlign w:val="bottom"/>
          </w:tcPr>
          <w:p w14:paraId="643C008B" w14:textId="77777777" w:rsidR="007D70B2" w:rsidRDefault="007D70B2" w:rsidP="001C1840">
            <w:pPr>
              <w:spacing w:line="360" w:lineRule="auto"/>
              <w:jc w:val="center"/>
              <w:rPr>
                <w:color w:val="000000"/>
              </w:rPr>
            </w:pPr>
            <w:r>
              <w:rPr>
                <w:color w:val="000000"/>
              </w:rPr>
              <w:t>Liver</w:t>
            </w:r>
          </w:p>
        </w:tc>
        <w:tc>
          <w:tcPr>
            <w:tcW w:w="2849" w:type="dxa"/>
            <w:tcBorders>
              <w:top w:val="nil"/>
              <w:left w:val="nil"/>
              <w:bottom w:val="single" w:sz="8" w:space="0" w:color="000000"/>
              <w:right w:val="nil"/>
            </w:tcBorders>
            <w:shd w:val="clear" w:color="auto" w:fill="auto"/>
            <w:vAlign w:val="bottom"/>
          </w:tcPr>
          <w:p w14:paraId="6CEDB899" w14:textId="77777777" w:rsidR="007D70B2" w:rsidRDefault="007D70B2" w:rsidP="001C1840">
            <w:pPr>
              <w:spacing w:line="360" w:lineRule="auto"/>
              <w:jc w:val="center"/>
              <w:rPr>
                <w:color w:val="000000"/>
              </w:rPr>
            </w:pPr>
            <w:r>
              <w:rPr>
                <w:color w:val="000000"/>
              </w:rPr>
              <w:t>10,506 ± 2,2,0886</w:t>
            </w:r>
          </w:p>
        </w:tc>
        <w:tc>
          <w:tcPr>
            <w:tcW w:w="2556" w:type="dxa"/>
            <w:tcBorders>
              <w:top w:val="nil"/>
              <w:left w:val="nil"/>
              <w:bottom w:val="single" w:sz="8" w:space="0" w:color="000000"/>
              <w:right w:val="nil"/>
            </w:tcBorders>
            <w:shd w:val="clear" w:color="auto" w:fill="auto"/>
            <w:vAlign w:val="bottom"/>
          </w:tcPr>
          <w:p w14:paraId="76CFB932" w14:textId="77777777" w:rsidR="007D70B2" w:rsidRDefault="007D70B2" w:rsidP="001C1840">
            <w:pPr>
              <w:spacing w:line="360" w:lineRule="auto"/>
              <w:jc w:val="center"/>
              <w:rPr>
                <w:color w:val="000000"/>
              </w:rPr>
            </w:pPr>
            <w:r>
              <w:rPr>
                <w:color w:val="000000"/>
              </w:rPr>
              <w:t>11,001 ± 1,0829</w:t>
            </w:r>
          </w:p>
        </w:tc>
        <w:tc>
          <w:tcPr>
            <w:tcW w:w="2556" w:type="dxa"/>
            <w:tcBorders>
              <w:top w:val="nil"/>
              <w:left w:val="nil"/>
              <w:bottom w:val="single" w:sz="8" w:space="0" w:color="000000"/>
              <w:right w:val="nil"/>
            </w:tcBorders>
            <w:shd w:val="clear" w:color="auto" w:fill="auto"/>
            <w:vAlign w:val="bottom"/>
          </w:tcPr>
          <w:p w14:paraId="1A00977F" w14:textId="77777777" w:rsidR="007D70B2" w:rsidRDefault="007D70B2" w:rsidP="001C1840">
            <w:pPr>
              <w:spacing w:line="360" w:lineRule="auto"/>
              <w:jc w:val="center"/>
              <w:rPr>
                <w:color w:val="000000"/>
              </w:rPr>
            </w:pPr>
            <w:r>
              <w:rPr>
                <w:color w:val="000000"/>
              </w:rPr>
              <w:t>10,536 ± 0,8330</w:t>
            </w:r>
          </w:p>
        </w:tc>
        <w:tc>
          <w:tcPr>
            <w:tcW w:w="2562" w:type="dxa"/>
            <w:tcBorders>
              <w:top w:val="nil"/>
              <w:left w:val="nil"/>
              <w:bottom w:val="single" w:sz="8" w:space="0" w:color="000000"/>
              <w:right w:val="nil"/>
            </w:tcBorders>
            <w:shd w:val="clear" w:color="auto" w:fill="auto"/>
            <w:vAlign w:val="bottom"/>
          </w:tcPr>
          <w:p w14:paraId="23C09F02" w14:textId="77777777" w:rsidR="007D70B2" w:rsidRDefault="007D70B2" w:rsidP="001C1840">
            <w:pPr>
              <w:spacing w:line="360" w:lineRule="auto"/>
              <w:jc w:val="center"/>
              <w:rPr>
                <w:color w:val="000000"/>
              </w:rPr>
            </w:pPr>
            <w:r>
              <w:rPr>
                <w:color w:val="000000"/>
              </w:rPr>
              <w:t>9,4145 ± 1,1056</w:t>
            </w:r>
          </w:p>
        </w:tc>
      </w:tr>
      <w:tr w:rsidR="007D70B2" w14:paraId="6F64EB60" w14:textId="77777777" w:rsidTr="008E69FC">
        <w:trPr>
          <w:trHeight w:val="268"/>
          <w:jc w:val="center"/>
        </w:trPr>
        <w:tc>
          <w:tcPr>
            <w:tcW w:w="11703" w:type="dxa"/>
            <w:gridSpan w:val="5"/>
            <w:tcBorders>
              <w:top w:val="single" w:sz="8" w:space="0" w:color="000000"/>
              <w:left w:val="nil"/>
              <w:bottom w:val="nil"/>
              <w:right w:val="nil"/>
            </w:tcBorders>
            <w:shd w:val="clear" w:color="auto" w:fill="auto"/>
            <w:vAlign w:val="bottom"/>
          </w:tcPr>
          <w:p w14:paraId="04FF60D6" w14:textId="77777777" w:rsidR="007D70B2" w:rsidRDefault="007D70B2" w:rsidP="00D852E3">
            <w:pPr>
              <w:spacing w:line="360" w:lineRule="auto"/>
              <w:rPr>
                <w:color w:val="000000"/>
              </w:rPr>
            </w:pPr>
            <w:r>
              <w:rPr>
                <w:color w:val="000000"/>
              </w:rPr>
              <w:t>Subtitles: CT (Control group); CT EX (Control group + extract); HL (</w:t>
            </w:r>
            <w:proofErr w:type="spellStart"/>
            <w:r>
              <w:rPr>
                <w:color w:val="000000"/>
              </w:rPr>
              <w:t>Hyperlipidic</w:t>
            </w:r>
            <w:proofErr w:type="spellEnd"/>
            <w:r>
              <w:rPr>
                <w:color w:val="000000"/>
              </w:rPr>
              <w:t>), HL EX (</w:t>
            </w:r>
            <w:proofErr w:type="spellStart"/>
            <w:r>
              <w:rPr>
                <w:color w:val="000000"/>
              </w:rPr>
              <w:t>Hyperlipidic</w:t>
            </w:r>
            <w:proofErr w:type="spellEnd"/>
            <w:r>
              <w:rPr>
                <w:color w:val="000000"/>
              </w:rPr>
              <w:t xml:space="preserve"> + extract)</w:t>
            </w:r>
          </w:p>
          <w:p w14:paraId="462E0AE6" w14:textId="5432987B" w:rsidR="002169D0" w:rsidRDefault="002169D0" w:rsidP="001C1840">
            <w:pPr>
              <w:spacing w:line="360" w:lineRule="auto"/>
              <w:rPr>
                <w:color w:val="000000"/>
              </w:rPr>
            </w:pPr>
          </w:p>
        </w:tc>
      </w:tr>
    </w:tbl>
    <w:p w14:paraId="2362369D" w14:textId="5069A4C5" w:rsidR="002169D0" w:rsidRDefault="00A53A1F" w:rsidP="002169D0">
      <w:pPr>
        <w:pStyle w:val="Ttulo2"/>
      </w:pPr>
      <w:r>
        <w:t>Antimicrobial evaluation</w:t>
      </w:r>
    </w:p>
    <w:p w14:paraId="27410FC8" w14:textId="7AF705FA" w:rsidR="00825910" w:rsidRDefault="00A53A1F" w:rsidP="00A53A1F">
      <w:pPr>
        <w:spacing w:before="240" w:after="240" w:line="360" w:lineRule="auto"/>
        <w:jc w:val="both"/>
        <w:rPr>
          <w:strike/>
          <w:color w:val="000000"/>
        </w:rPr>
      </w:pPr>
      <w:r>
        <w:t>The</w:t>
      </w:r>
      <w:r w:rsidR="00825910">
        <w:t xml:space="preserve"> </w:t>
      </w:r>
      <w:r w:rsidR="00825910" w:rsidRPr="00E60A75">
        <w:rPr>
          <w:i/>
        </w:rPr>
        <w:t>Spondias mombin</w:t>
      </w:r>
      <w:r w:rsidR="00825910">
        <w:t xml:space="preserve"> </w:t>
      </w:r>
      <w:r>
        <w:t>extract did not inhibit the growth of</w:t>
      </w:r>
      <w:r w:rsidR="00825910">
        <w:t xml:space="preserve"> </w:t>
      </w:r>
      <w:r w:rsidR="00825910" w:rsidRPr="001236A9">
        <w:rPr>
          <w:i/>
        </w:rPr>
        <w:t>K. pneumoniae</w:t>
      </w:r>
      <w:r w:rsidR="00825910">
        <w:t xml:space="preserve"> ATCC 700603 </w:t>
      </w:r>
      <w:r>
        <w:t>and</w:t>
      </w:r>
      <w:r w:rsidR="00825910">
        <w:t xml:space="preserve"> </w:t>
      </w:r>
      <w:r w:rsidR="00825910" w:rsidRPr="001236A9">
        <w:rPr>
          <w:i/>
        </w:rPr>
        <w:t>E. coli</w:t>
      </w:r>
      <w:r w:rsidR="00825910">
        <w:t xml:space="preserve"> ATCC 25923 </w:t>
      </w:r>
      <w:r>
        <w:t>in any of the volumes tested. However, an antimicrobial potential of the extract in the volume of</w:t>
      </w:r>
      <w:r w:rsidR="00825910">
        <w:t xml:space="preserve"> 200µL </w:t>
      </w:r>
      <w:r>
        <w:t>was observed, inhibiting the growth of</w:t>
      </w:r>
      <w:r w:rsidR="00825910">
        <w:t xml:space="preserve"> </w:t>
      </w:r>
      <w:r w:rsidR="00825910" w:rsidRPr="001236A9">
        <w:rPr>
          <w:i/>
        </w:rPr>
        <w:t>S. aureus</w:t>
      </w:r>
      <w:r w:rsidR="00825910">
        <w:t xml:space="preserve"> ATCC 29213 </w:t>
      </w:r>
      <w:r>
        <w:t>and</w:t>
      </w:r>
      <w:r w:rsidR="00825910">
        <w:t xml:space="preserve"> </w:t>
      </w:r>
      <w:r w:rsidR="00825910" w:rsidRPr="00695173">
        <w:rPr>
          <w:i/>
        </w:rPr>
        <w:t>S. aureus</w:t>
      </w:r>
      <w:r w:rsidR="00825910">
        <w:t xml:space="preserve"> BLAC, </w:t>
      </w:r>
      <w:r>
        <w:t>as shown in Table 4.</w:t>
      </w:r>
    </w:p>
    <w:p w14:paraId="00585B28" w14:textId="29DA07D2" w:rsidR="002169D0" w:rsidRDefault="002169D0" w:rsidP="002169D0">
      <w:pPr>
        <w:spacing w:line="360" w:lineRule="auto"/>
        <w:jc w:val="both"/>
        <w:rPr>
          <w:b/>
        </w:rPr>
      </w:pPr>
      <w:r>
        <w:t xml:space="preserve">Table </w:t>
      </w:r>
      <w:r w:rsidR="00B74AC6">
        <w:t>4</w:t>
      </w:r>
      <w:r>
        <w:t>. Diameter of bacterial inhibition by extracts in different concentrations.</w:t>
      </w:r>
    </w:p>
    <w:tbl>
      <w:tblPr>
        <w:tblW w:w="10095" w:type="dxa"/>
        <w:jc w:val="center"/>
        <w:tblBorders>
          <w:top w:val="nil"/>
          <w:left w:val="nil"/>
          <w:bottom w:val="nil"/>
          <w:right w:val="nil"/>
          <w:insideH w:val="nil"/>
          <w:insideV w:val="nil"/>
        </w:tblBorders>
        <w:tblLayout w:type="fixed"/>
        <w:tblLook w:val="0400" w:firstRow="0" w:lastRow="0" w:firstColumn="0" w:lastColumn="0" w:noHBand="0" w:noVBand="1"/>
      </w:tblPr>
      <w:tblGrid>
        <w:gridCol w:w="3920"/>
        <w:gridCol w:w="2026"/>
        <w:gridCol w:w="2070"/>
        <w:gridCol w:w="2079"/>
      </w:tblGrid>
      <w:tr w:rsidR="002169D0" w14:paraId="5BBEFCE5" w14:textId="77777777" w:rsidTr="002A65B6">
        <w:trPr>
          <w:trHeight w:val="552"/>
          <w:jc w:val="center"/>
        </w:trPr>
        <w:tc>
          <w:tcPr>
            <w:tcW w:w="3920" w:type="dxa"/>
            <w:vMerge w:val="restart"/>
            <w:tcBorders>
              <w:top w:val="single" w:sz="12" w:space="0" w:color="000000"/>
            </w:tcBorders>
          </w:tcPr>
          <w:p w14:paraId="58ADC880" w14:textId="77777777" w:rsidR="002169D0" w:rsidRDefault="002169D0" w:rsidP="0071793B">
            <w:pPr>
              <w:spacing w:line="360" w:lineRule="auto"/>
            </w:pPr>
          </w:p>
        </w:tc>
        <w:tc>
          <w:tcPr>
            <w:tcW w:w="6175" w:type="dxa"/>
            <w:gridSpan w:val="3"/>
            <w:tcBorders>
              <w:top w:val="single" w:sz="12" w:space="0" w:color="000000"/>
            </w:tcBorders>
          </w:tcPr>
          <w:p w14:paraId="1DF1AE78" w14:textId="77777777" w:rsidR="002169D0" w:rsidRDefault="002169D0" w:rsidP="0071793B">
            <w:pPr>
              <w:spacing w:line="360" w:lineRule="auto"/>
              <w:jc w:val="center"/>
            </w:pPr>
            <w:r>
              <w:rPr>
                <w:i/>
                <w:highlight w:val="white"/>
              </w:rPr>
              <w:t>Spondias mombin</w:t>
            </w:r>
          </w:p>
        </w:tc>
      </w:tr>
      <w:tr w:rsidR="002169D0" w14:paraId="30925AEC" w14:textId="77777777" w:rsidTr="002A65B6">
        <w:trPr>
          <w:trHeight w:val="521"/>
          <w:jc w:val="center"/>
        </w:trPr>
        <w:tc>
          <w:tcPr>
            <w:tcW w:w="3920" w:type="dxa"/>
            <w:vMerge/>
            <w:tcBorders>
              <w:top w:val="single" w:sz="12" w:space="0" w:color="000000"/>
            </w:tcBorders>
          </w:tcPr>
          <w:p w14:paraId="48F8CC16" w14:textId="77777777" w:rsidR="002169D0" w:rsidRDefault="002169D0" w:rsidP="0071793B">
            <w:pPr>
              <w:widowControl w:val="0"/>
              <w:pBdr>
                <w:top w:val="nil"/>
                <w:left w:val="nil"/>
                <w:bottom w:val="nil"/>
                <w:right w:val="nil"/>
                <w:between w:val="nil"/>
              </w:pBdr>
              <w:spacing w:line="360" w:lineRule="auto"/>
            </w:pPr>
          </w:p>
        </w:tc>
        <w:tc>
          <w:tcPr>
            <w:tcW w:w="2026" w:type="dxa"/>
            <w:tcBorders>
              <w:bottom w:val="single" w:sz="4" w:space="0" w:color="000000"/>
            </w:tcBorders>
          </w:tcPr>
          <w:p w14:paraId="0BBA3B3E" w14:textId="77777777" w:rsidR="002169D0" w:rsidRDefault="002169D0" w:rsidP="0071793B">
            <w:pPr>
              <w:spacing w:line="360" w:lineRule="auto"/>
              <w:jc w:val="center"/>
            </w:pPr>
            <w:r>
              <w:t>50</w:t>
            </w:r>
            <w:r>
              <w:rPr>
                <w:highlight w:val="white"/>
              </w:rPr>
              <w:t xml:space="preserve"> µl</w:t>
            </w:r>
          </w:p>
        </w:tc>
        <w:tc>
          <w:tcPr>
            <w:tcW w:w="2070" w:type="dxa"/>
            <w:tcBorders>
              <w:bottom w:val="single" w:sz="4" w:space="0" w:color="000000"/>
            </w:tcBorders>
          </w:tcPr>
          <w:p w14:paraId="027F656F" w14:textId="77777777" w:rsidR="002169D0" w:rsidRDefault="002169D0" w:rsidP="0071793B">
            <w:pPr>
              <w:spacing w:line="360" w:lineRule="auto"/>
              <w:jc w:val="center"/>
            </w:pPr>
            <w:r>
              <w:t>100</w:t>
            </w:r>
            <w:r>
              <w:rPr>
                <w:highlight w:val="white"/>
              </w:rPr>
              <w:t xml:space="preserve"> µl</w:t>
            </w:r>
          </w:p>
        </w:tc>
        <w:tc>
          <w:tcPr>
            <w:tcW w:w="2077" w:type="dxa"/>
            <w:tcBorders>
              <w:bottom w:val="single" w:sz="4" w:space="0" w:color="000000"/>
            </w:tcBorders>
          </w:tcPr>
          <w:p w14:paraId="6C6317BB" w14:textId="77777777" w:rsidR="002169D0" w:rsidRDefault="002169D0" w:rsidP="0071793B">
            <w:pPr>
              <w:spacing w:line="360" w:lineRule="auto"/>
              <w:jc w:val="center"/>
            </w:pPr>
            <w:r>
              <w:t>200</w:t>
            </w:r>
            <w:r>
              <w:rPr>
                <w:highlight w:val="white"/>
              </w:rPr>
              <w:t xml:space="preserve"> µl</w:t>
            </w:r>
          </w:p>
        </w:tc>
      </w:tr>
      <w:tr w:rsidR="002169D0" w14:paraId="6FF805CE" w14:textId="77777777" w:rsidTr="002A65B6">
        <w:trPr>
          <w:trHeight w:val="851"/>
          <w:jc w:val="center"/>
        </w:trPr>
        <w:tc>
          <w:tcPr>
            <w:tcW w:w="3920" w:type="dxa"/>
            <w:tcBorders>
              <w:top w:val="single" w:sz="4" w:space="0" w:color="000000"/>
            </w:tcBorders>
          </w:tcPr>
          <w:p w14:paraId="79B6CF32" w14:textId="77777777" w:rsidR="002169D0" w:rsidRDefault="002169D0" w:rsidP="0071793B">
            <w:pPr>
              <w:spacing w:line="360" w:lineRule="auto"/>
            </w:pPr>
            <w:r>
              <w:rPr>
                <w:i/>
              </w:rPr>
              <w:t xml:space="preserve">Escherichia coli </w:t>
            </w:r>
            <w:r>
              <w:t>ATCC 25923</w:t>
            </w:r>
          </w:p>
        </w:tc>
        <w:tc>
          <w:tcPr>
            <w:tcW w:w="2026" w:type="dxa"/>
            <w:tcBorders>
              <w:top w:val="single" w:sz="4" w:space="0" w:color="000000"/>
            </w:tcBorders>
          </w:tcPr>
          <w:p w14:paraId="73BEDEED" w14:textId="3C0F69C8" w:rsidR="002169D0" w:rsidRDefault="002A65B6" w:rsidP="002A65B6">
            <w:pPr>
              <w:spacing w:line="360" w:lineRule="auto"/>
              <w:jc w:val="center"/>
            </w:pPr>
            <w:r>
              <w:t>-</w:t>
            </w:r>
          </w:p>
        </w:tc>
        <w:tc>
          <w:tcPr>
            <w:tcW w:w="2070" w:type="dxa"/>
            <w:tcBorders>
              <w:top w:val="single" w:sz="4" w:space="0" w:color="000000"/>
            </w:tcBorders>
          </w:tcPr>
          <w:p w14:paraId="19EAB68D" w14:textId="3659FD0A" w:rsidR="002169D0" w:rsidRDefault="002A65B6" w:rsidP="002A65B6">
            <w:pPr>
              <w:spacing w:line="360" w:lineRule="auto"/>
              <w:jc w:val="center"/>
            </w:pPr>
            <w:r>
              <w:t>-</w:t>
            </w:r>
          </w:p>
        </w:tc>
        <w:tc>
          <w:tcPr>
            <w:tcW w:w="2077" w:type="dxa"/>
            <w:tcBorders>
              <w:top w:val="single" w:sz="4" w:space="0" w:color="000000"/>
            </w:tcBorders>
          </w:tcPr>
          <w:p w14:paraId="6C2559EF" w14:textId="0736A2DF" w:rsidR="002A65B6" w:rsidRDefault="002A65B6" w:rsidP="002A65B6">
            <w:pPr>
              <w:spacing w:line="360" w:lineRule="auto"/>
              <w:jc w:val="center"/>
            </w:pPr>
            <w:r>
              <w:t>-</w:t>
            </w:r>
          </w:p>
        </w:tc>
      </w:tr>
      <w:tr w:rsidR="002169D0" w14:paraId="39566E0D" w14:textId="77777777" w:rsidTr="002A65B6">
        <w:trPr>
          <w:trHeight w:val="521"/>
          <w:jc w:val="center"/>
        </w:trPr>
        <w:tc>
          <w:tcPr>
            <w:tcW w:w="3920" w:type="dxa"/>
            <w:tcBorders>
              <w:bottom w:val="single" w:sz="4" w:space="0" w:color="auto"/>
            </w:tcBorders>
          </w:tcPr>
          <w:p w14:paraId="3BB39655" w14:textId="0CB01CF3" w:rsidR="002169D0" w:rsidRDefault="002169D0" w:rsidP="002A65B6">
            <w:pPr>
              <w:spacing w:line="360" w:lineRule="auto"/>
              <w:rPr>
                <w:i/>
              </w:rPr>
            </w:pPr>
            <w:r>
              <w:rPr>
                <w:i/>
              </w:rPr>
              <w:t>Staphylococcus</w:t>
            </w:r>
            <w:r w:rsidR="002A65B6">
              <w:rPr>
                <w:i/>
              </w:rPr>
              <w:t xml:space="preserve"> </w:t>
            </w:r>
            <w:r>
              <w:rPr>
                <w:i/>
              </w:rPr>
              <w:t xml:space="preserve">aureus ATCC </w:t>
            </w:r>
            <w:r>
              <w:t>29213</w:t>
            </w:r>
          </w:p>
          <w:p w14:paraId="739B044E" w14:textId="77777777" w:rsidR="002169D0" w:rsidRDefault="002169D0" w:rsidP="0071793B">
            <w:pPr>
              <w:spacing w:line="360" w:lineRule="auto"/>
              <w:jc w:val="center"/>
              <w:rPr>
                <w:i/>
              </w:rPr>
            </w:pPr>
          </w:p>
          <w:p w14:paraId="1D0124D7" w14:textId="77777777" w:rsidR="002169D0" w:rsidRDefault="002169D0" w:rsidP="0071793B">
            <w:pPr>
              <w:spacing w:line="360" w:lineRule="auto"/>
              <w:jc w:val="center"/>
              <w:rPr>
                <w:i/>
              </w:rPr>
            </w:pPr>
            <w:r>
              <w:rPr>
                <w:i/>
              </w:rPr>
              <w:t xml:space="preserve">Staphylococcus aureus BLAC              </w:t>
            </w:r>
          </w:p>
          <w:p w14:paraId="4FEF135D" w14:textId="4D3AC2DC" w:rsidR="002169D0" w:rsidRDefault="002A65B6" w:rsidP="0071793B">
            <w:pPr>
              <w:spacing w:line="360" w:lineRule="auto"/>
              <w:jc w:val="center"/>
            </w:pPr>
            <w:r>
              <w:rPr>
                <w:i/>
              </w:rPr>
              <w:t xml:space="preserve">Klebsiella pneumoniae </w:t>
            </w:r>
            <w:r>
              <w:t>ATCC 700603</w:t>
            </w:r>
          </w:p>
        </w:tc>
        <w:tc>
          <w:tcPr>
            <w:tcW w:w="2026" w:type="dxa"/>
            <w:tcBorders>
              <w:bottom w:val="single" w:sz="4" w:space="0" w:color="auto"/>
            </w:tcBorders>
          </w:tcPr>
          <w:p w14:paraId="21C6A6A9" w14:textId="5B5344A8" w:rsidR="002169D0" w:rsidRDefault="002A65B6" w:rsidP="002A65B6">
            <w:pPr>
              <w:spacing w:line="360" w:lineRule="auto"/>
              <w:jc w:val="center"/>
            </w:pPr>
            <w:r>
              <w:t>-</w:t>
            </w:r>
          </w:p>
          <w:p w14:paraId="5CF46CFF" w14:textId="08F7D1D9" w:rsidR="002169D0" w:rsidRDefault="002169D0" w:rsidP="002A65B6">
            <w:pPr>
              <w:spacing w:line="360" w:lineRule="auto"/>
              <w:jc w:val="center"/>
            </w:pPr>
          </w:p>
          <w:p w14:paraId="2806570B" w14:textId="1683097B" w:rsidR="002169D0" w:rsidRDefault="002A65B6" w:rsidP="002A65B6">
            <w:pPr>
              <w:spacing w:line="360" w:lineRule="auto"/>
              <w:jc w:val="center"/>
            </w:pPr>
            <w:r>
              <w:t>-</w:t>
            </w:r>
          </w:p>
          <w:p w14:paraId="1BA23693" w14:textId="6252488A" w:rsidR="002169D0" w:rsidRDefault="002A65B6" w:rsidP="002A65B6">
            <w:pPr>
              <w:spacing w:line="360" w:lineRule="auto"/>
              <w:jc w:val="center"/>
            </w:pPr>
            <w:r>
              <w:t>-</w:t>
            </w:r>
          </w:p>
        </w:tc>
        <w:tc>
          <w:tcPr>
            <w:tcW w:w="2070" w:type="dxa"/>
            <w:tcBorders>
              <w:bottom w:val="single" w:sz="4" w:space="0" w:color="auto"/>
            </w:tcBorders>
          </w:tcPr>
          <w:p w14:paraId="39147354" w14:textId="247DCB95" w:rsidR="002169D0" w:rsidRDefault="002A65B6" w:rsidP="002A65B6">
            <w:pPr>
              <w:spacing w:line="360" w:lineRule="auto"/>
              <w:jc w:val="center"/>
            </w:pPr>
            <w:r>
              <w:t>-</w:t>
            </w:r>
          </w:p>
          <w:p w14:paraId="609933C2" w14:textId="263A2695" w:rsidR="002169D0" w:rsidRDefault="002169D0" w:rsidP="002A65B6">
            <w:pPr>
              <w:spacing w:line="360" w:lineRule="auto"/>
              <w:jc w:val="center"/>
            </w:pPr>
          </w:p>
          <w:p w14:paraId="706375EF" w14:textId="2E15D46C" w:rsidR="002169D0" w:rsidRDefault="002A65B6" w:rsidP="002A65B6">
            <w:pPr>
              <w:spacing w:line="360" w:lineRule="auto"/>
              <w:jc w:val="center"/>
            </w:pPr>
            <w:r>
              <w:t>-</w:t>
            </w:r>
          </w:p>
          <w:p w14:paraId="056A9B27" w14:textId="09B5AF14" w:rsidR="002169D0" w:rsidRDefault="002A65B6" w:rsidP="002A65B6">
            <w:pPr>
              <w:spacing w:line="360" w:lineRule="auto"/>
              <w:jc w:val="center"/>
            </w:pPr>
            <w:r>
              <w:t>-</w:t>
            </w:r>
          </w:p>
        </w:tc>
        <w:tc>
          <w:tcPr>
            <w:tcW w:w="2077" w:type="dxa"/>
            <w:tcBorders>
              <w:bottom w:val="single" w:sz="4" w:space="0" w:color="auto"/>
            </w:tcBorders>
          </w:tcPr>
          <w:p w14:paraId="7AA5330A" w14:textId="77777777" w:rsidR="002A65B6" w:rsidRDefault="002A65B6" w:rsidP="002A65B6">
            <w:pPr>
              <w:spacing w:line="360" w:lineRule="auto"/>
              <w:jc w:val="center"/>
            </w:pPr>
            <w:r>
              <w:t>01 mm</w:t>
            </w:r>
          </w:p>
          <w:p w14:paraId="65CEE6A1" w14:textId="77777777" w:rsidR="002169D0" w:rsidRDefault="002169D0" w:rsidP="0071793B">
            <w:pPr>
              <w:spacing w:line="360" w:lineRule="auto"/>
              <w:jc w:val="center"/>
            </w:pPr>
          </w:p>
          <w:p w14:paraId="64DDDA8A" w14:textId="77777777" w:rsidR="002A65B6" w:rsidRDefault="002A65B6" w:rsidP="002A65B6">
            <w:pPr>
              <w:spacing w:line="360" w:lineRule="auto"/>
              <w:jc w:val="center"/>
            </w:pPr>
            <w:r>
              <w:t>01 mm</w:t>
            </w:r>
          </w:p>
          <w:p w14:paraId="42C737EE" w14:textId="1A0A36AF" w:rsidR="002169D0" w:rsidRDefault="002A65B6" w:rsidP="0071793B">
            <w:pPr>
              <w:spacing w:line="360" w:lineRule="auto"/>
              <w:jc w:val="center"/>
            </w:pPr>
            <w:r>
              <w:t>-</w:t>
            </w:r>
          </w:p>
          <w:p w14:paraId="6FB98943" w14:textId="77777777" w:rsidR="002169D0" w:rsidRDefault="002169D0" w:rsidP="0071793B">
            <w:pPr>
              <w:spacing w:line="360" w:lineRule="auto"/>
              <w:jc w:val="center"/>
            </w:pPr>
          </w:p>
          <w:p w14:paraId="3BD3CD72" w14:textId="77777777" w:rsidR="002169D0" w:rsidRDefault="002169D0" w:rsidP="0071793B">
            <w:pPr>
              <w:spacing w:line="360" w:lineRule="auto"/>
              <w:jc w:val="center"/>
            </w:pPr>
          </w:p>
          <w:p w14:paraId="2F606AF2" w14:textId="77777777" w:rsidR="002169D0" w:rsidRDefault="002169D0" w:rsidP="0071793B">
            <w:pPr>
              <w:spacing w:line="360" w:lineRule="auto"/>
              <w:jc w:val="center"/>
            </w:pPr>
          </w:p>
          <w:p w14:paraId="20F38588" w14:textId="77777777" w:rsidR="002169D0" w:rsidRDefault="002169D0" w:rsidP="0071793B">
            <w:pPr>
              <w:spacing w:line="360" w:lineRule="auto"/>
              <w:jc w:val="center"/>
            </w:pPr>
          </w:p>
        </w:tc>
      </w:tr>
    </w:tbl>
    <w:p w14:paraId="71C7E33C" w14:textId="0839606C" w:rsidR="002169D0" w:rsidRPr="002A65B6" w:rsidRDefault="00B74AC6" w:rsidP="002A65B6">
      <w:pPr>
        <w:spacing w:line="360" w:lineRule="auto"/>
        <w:jc w:val="both"/>
        <w:rPr>
          <w:i/>
        </w:rPr>
      </w:pPr>
      <w:r>
        <w:t xml:space="preserve">Subtitles: </w:t>
      </w:r>
      <w:r w:rsidR="002169D0">
        <w:t>Antimicrobial activity of the studied extract in volumes of 50</w:t>
      </w:r>
      <w:r w:rsidR="002169D0">
        <w:rPr>
          <w:highlight w:val="white"/>
        </w:rPr>
        <w:t xml:space="preserve"> µL, 100 µL e 200 µL in </w:t>
      </w:r>
      <w:r w:rsidR="002169D0">
        <w:rPr>
          <w:i/>
        </w:rPr>
        <w:t xml:space="preserve">Escherichia coli </w:t>
      </w:r>
      <w:r w:rsidR="002169D0">
        <w:t>ATCC 25923</w:t>
      </w:r>
      <w:r w:rsidR="002169D0">
        <w:rPr>
          <w:i/>
        </w:rPr>
        <w:t xml:space="preserve">, Staphylococcus aureus </w:t>
      </w:r>
      <w:r w:rsidR="002169D0">
        <w:t>ATCC 29213</w:t>
      </w:r>
      <w:r w:rsidR="002169D0">
        <w:rPr>
          <w:i/>
        </w:rPr>
        <w:t>, Staphylococcus aureus</w:t>
      </w:r>
      <w:r w:rsidR="002169D0">
        <w:t xml:space="preserve"> BLAC and </w:t>
      </w:r>
      <w:r w:rsidR="002169D0">
        <w:rPr>
          <w:i/>
        </w:rPr>
        <w:t xml:space="preserve">Klebsiella pneumoniae </w:t>
      </w:r>
      <w:r w:rsidR="002169D0">
        <w:t>ATCC 700603</w:t>
      </w:r>
      <w:r w:rsidR="002169D0">
        <w:rPr>
          <w:i/>
        </w:rPr>
        <w:t xml:space="preserve">. </w:t>
      </w:r>
    </w:p>
    <w:p w14:paraId="77FACE25" w14:textId="750B14A5" w:rsidR="00D61ECA" w:rsidRPr="00174661" w:rsidRDefault="00D61ECA">
      <w:pPr>
        <w:pStyle w:val="Ttulo1"/>
      </w:pPr>
      <w:r w:rsidRPr="00174661">
        <w:lastRenderedPageBreak/>
        <w:t>Discussion</w:t>
      </w:r>
    </w:p>
    <w:p w14:paraId="7EBD32ED" w14:textId="1489D5EE" w:rsidR="000567A9" w:rsidRDefault="000567A9" w:rsidP="000567A9">
      <w:pPr>
        <w:spacing w:line="360" w:lineRule="auto"/>
        <w:jc w:val="both"/>
        <w:rPr>
          <w:color w:val="000000"/>
        </w:rPr>
      </w:pPr>
      <w:r w:rsidRPr="00174661">
        <w:t xml:space="preserve"> </w:t>
      </w:r>
      <w:r w:rsidR="00747FA8">
        <w:t xml:space="preserve">The present study proved that the </w:t>
      </w:r>
      <w:r w:rsidRPr="00174661">
        <w:rPr>
          <w:i/>
        </w:rPr>
        <w:t>Spondias mombin</w:t>
      </w:r>
      <w:r w:rsidRPr="00174661">
        <w:t xml:space="preserve"> </w:t>
      </w:r>
      <w:r w:rsidR="00747FA8">
        <w:t>extract did not interfere with the cellular metabolic activity of the animals that participated in the experiment. Therefore, the application of the</w:t>
      </w:r>
      <w:r w:rsidRPr="00174661">
        <w:t xml:space="preserve"> </w:t>
      </w:r>
      <w:r w:rsidRPr="00174661">
        <w:rPr>
          <w:i/>
          <w:iCs/>
        </w:rPr>
        <w:t>Spondias mombin</w:t>
      </w:r>
      <w:r w:rsidRPr="00174661">
        <w:t xml:space="preserve"> </w:t>
      </w:r>
      <w:r w:rsidR="00747FA8">
        <w:t xml:space="preserve">extract in contact with the cells of the animals did not show any change, being therefore considered non-toxic to the cellular conditions and consequently to the organs of the animals, since the body homeostasis of rats and their physiological process remained stable. </w:t>
      </w:r>
      <w:r w:rsidR="005A47EA">
        <w:t>Therefore, with the absence of compromised cell viability, it was found that cell viability increased by</w:t>
      </w:r>
      <w:r w:rsidRPr="00174661">
        <w:t xml:space="preserve"> 33% </w:t>
      </w:r>
      <w:r w:rsidR="005A47EA">
        <w:t>when the concentration of alcoholic extract of</w:t>
      </w:r>
      <w:r w:rsidRPr="00174661">
        <w:rPr>
          <w:color w:val="000000"/>
        </w:rPr>
        <w:t xml:space="preserve"> </w:t>
      </w:r>
      <w:r w:rsidRPr="00174661">
        <w:rPr>
          <w:i/>
          <w:color w:val="000000"/>
        </w:rPr>
        <w:t xml:space="preserve">S. mombin </w:t>
      </w:r>
      <w:r w:rsidR="005A47EA">
        <w:rPr>
          <w:color w:val="000000"/>
        </w:rPr>
        <w:t>increased from</w:t>
      </w:r>
      <w:r w:rsidRPr="00174661">
        <w:rPr>
          <w:color w:val="000000"/>
        </w:rPr>
        <w:t xml:space="preserve"> 10 µg/mL </w:t>
      </w:r>
      <w:r w:rsidR="005A47EA">
        <w:rPr>
          <w:color w:val="000000"/>
        </w:rPr>
        <w:t>to</w:t>
      </w:r>
      <w:r w:rsidRPr="00174661">
        <w:rPr>
          <w:color w:val="000000"/>
        </w:rPr>
        <w:t xml:space="preserve"> 20 µg/</w:t>
      </w:r>
      <w:proofErr w:type="spellStart"/>
      <w:r w:rsidRPr="00174661">
        <w:rPr>
          <w:color w:val="000000"/>
        </w:rPr>
        <w:t>mL.</w:t>
      </w:r>
      <w:proofErr w:type="spellEnd"/>
    </w:p>
    <w:p w14:paraId="3B579B0B" w14:textId="79FFA7E4" w:rsidR="000567A9" w:rsidRDefault="00020F13" w:rsidP="000567A9">
      <w:pPr>
        <w:spacing w:line="360" w:lineRule="auto"/>
        <w:jc w:val="both"/>
        <w:rPr>
          <w:color w:val="000000"/>
        </w:rPr>
      </w:pPr>
      <w:r>
        <w:rPr>
          <w:color w:val="000000"/>
        </w:rPr>
        <w:t xml:space="preserve">                </w:t>
      </w:r>
      <w:r w:rsidR="005A47EA">
        <w:rPr>
          <w:color w:val="000000"/>
        </w:rPr>
        <w:t xml:space="preserve">In addition to the assessment of cytotoxicity, this study confirmed that a </w:t>
      </w:r>
      <w:proofErr w:type="spellStart"/>
      <w:r w:rsidR="005A47EA">
        <w:rPr>
          <w:color w:val="000000"/>
        </w:rPr>
        <w:t>hyperlipidic</w:t>
      </w:r>
      <w:proofErr w:type="spellEnd"/>
      <w:r w:rsidR="005A47EA">
        <w:rPr>
          <w:color w:val="000000"/>
        </w:rPr>
        <w:t xml:space="preserve"> diet induces obesity. During the 12 weeks of the experiment, the animals belonging to the group with </w:t>
      </w:r>
      <w:proofErr w:type="spellStart"/>
      <w:r w:rsidR="005A47EA">
        <w:rPr>
          <w:color w:val="000000"/>
        </w:rPr>
        <w:t>hyperlipidic</w:t>
      </w:r>
      <w:proofErr w:type="spellEnd"/>
      <w:r w:rsidR="005A47EA">
        <w:rPr>
          <w:color w:val="000000"/>
        </w:rPr>
        <w:t xml:space="preserve"> </w:t>
      </w:r>
      <w:r w:rsidR="000567A9">
        <w:rPr>
          <w:color w:val="000000"/>
        </w:rPr>
        <w:t>(HL</w:t>
      </w:r>
      <w:r w:rsidR="005A47EA">
        <w:rPr>
          <w:color w:val="000000"/>
        </w:rPr>
        <w:t xml:space="preserve"> group</w:t>
      </w:r>
      <w:r w:rsidR="000567A9">
        <w:rPr>
          <w:color w:val="000000"/>
        </w:rPr>
        <w:t xml:space="preserve">) </w:t>
      </w:r>
      <w:r w:rsidR="005A47EA">
        <w:rPr>
          <w:color w:val="000000"/>
        </w:rPr>
        <w:t>showed the greatest weight gain when compared to animals belonging to the other groups. Thus, contributing to the development of various chronic diseases associated with obesity, such as hypertension and diabetes</w:t>
      </w:r>
      <w:r w:rsidR="000567A9">
        <w:rPr>
          <w:color w:val="000000"/>
        </w:rPr>
        <w:t xml:space="preserve"> </w:t>
      </w:r>
      <w:r w:rsidR="000567A9" w:rsidRPr="00216EB1">
        <w:rPr>
          <w:color w:val="000000"/>
        </w:rPr>
        <w:t>(</w:t>
      </w:r>
      <w:r w:rsidR="000567A9">
        <w:rPr>
          <w:color w:val="000000"/>
        </w:rPr>
        <w:t>28</w:t>
      </w:r>
      <w:r w:rsidR="000567A9" w:rsidRPr="00216EB1">
        <w:rPr>
          <w:color w:val="000000"/>
        </w:rPr>
        <w:t>).</w:t>
      </w:r>
      <w:r w:rsidR="000567A9">
        <w:rPr>
          <w:color w:val="000000"/>
        </w:rPr>
        <w:t xml:space="preserve"> </w:t>
      </w:r>
      <w:r w:rsidR="005A47EA">
        <w:rPr>
          <w:color w:val="000000"/>
        </w:rPr>
        <w:t xml:space="preserve">Thus, the current study presents data that show that the administration of </w:t>
      </w:r>
      <w:r w:rsidR="000567A9" w:rsidRPr="005318FB">
        <w:rPr>
          <w:i/>
          <w:iCs/>
          <w:color w:val="000000"/>
        </w:rPr>
        <w:t>Spondias mombi</w:t>
      </w:r>
      <w:r w:rsidR="000567A9">
        <w:rPr>
          <w:i/>
          <w:iCs/>
          <w:color w:val="000000"/>
        </w:rPr>
        <w:t>n</w:t>
      </w:r>
      <w:r w:rsidR="000567A9" w:rsidRPr="005318FB">
        <w:rPr>
          <w:color w:val="000000"/>
        </w:rPr>
        <w:t xml:space="preserve"> </w:t>
      </w:r>
      <w:r w:rsidR="005A47EA">
        <w:rPr>
          <w:color w:val="000000"/>
        </w:rPr>
        <w:t>extract can contribute to a lower absorption of carbohydrates and lipids in the body since the mass gain indexes of the HL+EX group were lower</w:t>
      </w:r>
      <w:r w:rsidR="000567A9" w:rsidRPr="00216EB1">
        <w:rPr>
          <w:color w:val="000000"/>
        </w:rPr>
        <w:t xml:space="preserve"> (</w:t>
      </w:r>
      <w:r w:rsidR="000567A9">
        <w:rPr>
          <w:iCs/>
          <w:color w:val="000000"/>
        </w:rPr>
        <w:t>11, 12</w:t>
      </w:r>
      <w:r w:rsidR="000567A9" w:rsidRPr="00216EB1">
        <w:rPr>
          <w:color w:val="000000"/>
        </w:rPr>
        <w:t>).</w:t>
      </w:r>
      <w:r w:rsidR="000567A9">
        <w:rPr>
          <w:color w:val="000000"/>
        </w:rPr>
        <w:t xml:space="preserve">  </w:t>
      </w:r>
    </w:p>
    <w:p w14:paraId="2AE3D308" w14:textId="4F4D6D01" w:rsidR="000567A9" w:rsidRDefault="00020F13" w:rsidP="000567A9">
      <w:pPr>
        <w:spacing w:line="360" w:lineRule="auto"/>
        <w:jc w:val="both"/>
        <w:rPr>
          <w:color w:val="000000"/>
        </w:rPr>
      </w:pPr>
      <w:r>
        <w:rPr>
          <w:color w:val="000000"/>
        </w:rPr>
        <w:t xml:space="preserve">                </w:t>
      </w:r>
      <w:r w:rsidR="005A47EA">
        <w:rPr>
          <w:color w:val="000000"/>
        </w:rPr>
        <w:t xml:space="preserve">However, the evaluation of the </w:t>
      </w:r>
      <w:r w:rsidR="005A47EA">
        <w:rPr>
          <w:i/>
          <w:iCs/>
          <w:color w:val="000000"/>
        </w:rPr>
        <w:t>Spondias mombin</w:t>
      </w:r>
      <w:r w:rsidR="005A47EA">
        <w:rPr>
          <w:color w:val="000000"/>
        </w:rPr>
        <w:t xml:space="preserve"> extract as a weight gain reducer and blood glucose reducer needs further study. This statement is valid when we </w:t>
      </w:r>
      <w:proofErr w:type="spellStart"/>
      <w:r w:rsidR="005A47EA">
        <w:rPr>
          <w:color w:val="000000"/>
        </w:rPr>
        <w:t>analyze</w:t>
      </w:r>
      <w:proofErr w:type="spellEnd"/>
      <w:r w:rsidR="005A47EA">
        <w:rPr>
          <w:color w:val="000000"/>
        </w:rPr>
        <w:t xml:space="preserve"> the difference in weight and blood glucose reduction between the CT groups and the CT+EX group. The administration of</w:t>
      </w:r>
      <w:r w:rsidR="000567A9">
        <w:rPr>
          <w:color w:val="000000"/>
        </w:rPr>
        <w:t xml:space="preserve"> </w:t>
      </w:r>
      <w:r w:rsidR="000567A9">
        <w:rPr>
          <w:i/>
          <w:color w:val="000000"/>
        </w:rPr>
        <w:t xml:space="preserve">Spondias mombin </w:t>
      </w:r>
      <w:r w:rsidR="005A47EA">
        <w:rPr>
          <w:color w:val="000000"/>
        </w:rPr>
        <w:t>extract in the diet of Wistar rats with a control diet did not show significant difference in total mass gain</w:t>
      </w:r>
      <w:r w:rsidR="001A2904">
        <w:rPr>
          <w:color w:val="000000"/>
        </w:rPr>
        <w:t xml:space="preserve"> and blood glucose reduction, requiring further studies to prove the </w:t>
      </w:r>
      <w:proofErr w:type="spellStart"/>
      <w:r w:rsidR="001A2904">
        <w:rPr>
          <w:color w:val="000000"/>
        </w:rPr>
        <w:t>the</w:t>
      </w:r>
      <w:proofErr w:type="spellEnd"/>
      <w:r w:rsidR="001A2904">
        <w:rPr>
          <w:color w:val="000000"/>
        </w:rPr>
        <w:t xml:space="preserve"> mass-reducing and </w:t>
      </w:r>
      <w:proofErr w:type="spellStart"/>
      <w:r w:rsidR="001A2904">
        <w:rPr>
          <w:color w:val="000000"/>
        </w:rPr>
        <w:t>glycemic</w:t>
      </w:r>
      <w:proofErr w:type="spellEnd"/>
      <w:r w:rsidR="001A2904">
        <w:rPr>
          <w:color w:val="000000"/>
        </w:rPr>
        <w:t>-reducing effects of</w:t>
      </w:r>
      <w:r w:rsidR="000567A9">
        <w:rPr>
          <w:color w:val="000000"/>
        </w:rPr>
        <w:t xml:space="preserve"> </w:t>
      </w:r>
      <w:r w:rsidR="000567A9">
        <w:rPr>
          <w:i/>
          <w:color w:val="000000"/>
        </w:rPr>
        <w:t>Spondias mombin</w:t>
      </w:r>
      <w:r w:rsidR="001A2904">
        <w:rPr>
          <w:iCs/>
          <w:color w:val="000000"/>
        </w:rPr>
        <w:t xml:space="preserve"> extract</w:t>
      </w:r>
      <w:r w:rsidR="000567A9">
        <w:rPr>
          <w:color w:val="000000"/>
        </w:rPr>
        <w:t xml:space="preserve">. </w:t>
      </w:r>
      <w:r w:rsidR="001A2904">
        <w:rPr>
          <w:color w:val="000000"/>
        </w:rPr>
        <w:t xml:space="preserve">This absence in the difference in </w:t>
      </w:r>
      <w:proofErr w:type="spellStart"/>
      <w:r w:rsidR="001A2904">
        <w:rPr>
          <w:color w:val="000000"/>
        </w:rPr>
        <w:t>glycemic</w:t>
      </w:r>
      <w:proofErr w:type="spellEnd"/>
      <w:r w:rsidR="001A2904">
        <w:rPr>
          <w:color w:val="000000"/>
        </w:rPr>
        <w:t xml:space="preserve"> and weight measurement is one of the factors that corroborate and </w:t>
      </w:r>
      <w:proofErr w:type="spellStart"/>
      <w:r w:rsidR="001A2904">
        <w:rPr>
          <w:color w:val="000000"/>
        </w:rPr>
        <w:t>evidende</w:t>
      </w:r>
      <w:proofErr w:type="spellEnd"/>
      <w:r w:rsidR="001A2904">
        <w:rPr>
          <w:color w:val="000000"/>
        </w:rPr>
        <w:t xml:space="preserve"> that the</w:t>
      </w:r>
      <w:r w:rsidR="000567A9">
        <w:rPr>
          <w:color w:val="000000"/>
        </w:rPr>
        <w:t xml:space="preserve"> </w:t>
      </w:r>
      <w:r w:rsidR="000567A9" w:rsidRPr="00CB5860">
        <w:rPr>
          <w:i/>
          <w:iCs/>
          <w:color w:val="000000"/>
        </w:rPr>
        <w:t>Spondias mombi</w:t>
      </w:r>
      <w:r w:rsidR="000567A9">
        <w:rPr>
          <w:i/>
          <w:iCs/>
          <w:color w:val="000000"/>
        </w:rPr>
        <w:t>n</w:t>
      </w:r>
      <w:r w:rsidR="000567A9">
        <w:rPr>
          <w:color w:val="000000"/>
        </w:rPr>
        <w:t xml:space="preserve"> </w:t>
      </w:r>
      <w:r w:rsidR="001A2904">
        <w:rPr>
          <w:color w:val="000000"/>
        </w:rPr>
        <w:t>extract did not contribute to the alteration of the rats’ metabolism.</w:t>
      </w:r>
      <w:r w:rsidR="000567A9">
        <w:rPr>
          <w:color w:val="000000"/>
        </w:rPr>
        <w:t xml:space="preserve"> </w:t>
      </w:r>
    </w:p>
    <w:p w14:paraId="0123B22D" w14:textId="0EE54413" w:rsidR="000567A9" w:rsidRDefault="00020F13" w:rsidP="000B32C6">
      <w:pPr>
        <w:spacing w:before="240" w:after="240" w:line="360" w:lineRule="auto"/>
        <w:jc w:val="both"/>
        <w:rPr>
          <w:color w:val="000000"/>
        </w:rPr>
      </w:pPr>
      <w:r>
        <w:t xml:space="preserve">               </w:t>
      </w:r>
      <w:r w:rsidR="001A2904">
        <w:t>Corroborating the above</w:t>
      </w:r>
      <w:r w:rsidR="000567A9">
        <w:t xml:space="preserve">, </w:t>
      </w:r>
      <w:r w:rsidR="000567A9">
        <w:rPr>
          <w:i/>
          <w:color w:val="000000"/>
        </w:rPr>
        <w:t>Spondias mombin</w:t>
      </w:r>
      <w:r w:rsidR="000567A9">
        <w:rPr>
          <w:color w:val="000000"/>
        </w:rPr>
        <w:t xml:space="preserve"> </w:t>
      </w:r>
      <w:r w:rsidR="001A2904">
        <w:rPr>
          <w:color w:val="000000"/>
        </w:rPr>
        <w:t>is composed of flavonoids, carotenoids, phenolic compounds and</w:t>
      </w:r>
      <w:r w:rsidR="000567A9">
        <w:rPr>
          <w:color w:val="000000"/>
        </w:rPr>
        <w:t xml:space="preserve"> ß-cr</w:t>
      </w:r>
      <w:r w:rsidR="001A2904">
        <w:rPr>
          <w:color w:val="000000"/>
        </w:rPr>
        <w:t>y</w:t>
      </w:r>
      <w:r w:rsidR="000567A9">
        <w:rPr>
          <w:color w:val="000000"/>
        </w:rPr>
        <w:t>ptoxant</w:t>
      </w:r>
      <w:r w:rsidR="001A2904">
        <w:rPr>
          <w:color w:val="000000"/>
        </w:rPr>
        <w:t>hin</w:t>
      </w:r>
      <w:r w:rsidR="000567A9">
        <w:rPr>
          <w:color w:val="000000"/>
        </w:rPr>
        <w:t xml:space="preserve"> (2). </w:t>
      </w:r>
      <w:r w:rsidR="001A2904">
        <w:rPr>
          <w:color w:val="000000"/>
        </w:rPr>
        <w:t xml:space="preserve">Among these, flavonoids, which are polyphenolic molecules, have been listed in several studies because their consumption prevents some diseases such as some types of cancer, type 2 diabetes, neurodegenerative disorders, osteoporosis and decreased lipid levels, which could contribute to attenuate, and even decrease the </w:t>
      </w:r>
      <w:proofErr w:type="spellStart"/>
      <w:r w:rsidR="001A2904">
        <w:rPr>
          <w:color w:val="000000"/>
        </w:rPr>
        <w:t>overwheight</w:t>
      </w:r>
      <w:proofErr w:type="spellEnd"/>
      <w:r w:rsidR="001A2904">
        <w:rPr>
          <w:color w:val="000000"/>
        </w:rPr>
        <w:t xml:space="preserve"> and obesity index, as </w:t>
      </w:r>
      <w:r w:rsidR="001A2904">
        <w:rPr>
          <w:color w:val="000000"/>
        </w:rPr>
        <w:lastRenderedPageBreak/>
        <w:t>evaluated in our study, since the mass gain index of the HL+EX group was lower than that of the other groups</w:t>
      </w:r>
      <w:r w:rsidR="000567A9">
        <w:rPr>
          <w:color w:val="000000"/>
        </w:rPr>
        <w:t xml:space="preserve"> </w:t>
      </w:r>
      <w:r w:rsidR="000567A9">
        <w:rPr>
          <w:iCs/>
          <w:color w:val="000000"/>
        </w:rPr>
        <w:t xml:space="preserve">(29, 30, 31, 32, 33, 34, 11, 12). </w:t>
      </w:r>
      <w:r w:rsidR="000567A9">
        <w:rPr>
          <w:color w:val="000000"/>
        </w:rPr>
        <w:t xml:space="preserve"> </w:t>
      </w:r>
    </w:p>
    <w:p w14:paraId="51771AC6" w14:textId="1DDC18BA" w:rsidR="000567A9" w:rsidRPr="0052092F" w:rsidRDefault="00020F13" w:rsidP="000B32C6">
      <w:pPr>
        <w:spacing w:before="240" w:after="240" w:line="360" w:lineRule="auto"/>
        <w:jc w:val="both"/>
        <w:rPr>
          <w:iCs/>
        </w:rPr>
      </w:pPr>
      <w:r>
        <w:rPr>
          <w:color w:val="000000"/>
        </w:rPr>
        <w:t xml:space="preserve">             </w:t>
      </w:r>
      <w:r w:rsidR="001A2904">
        <w:rPr>
          <w:color w:val="000000"/>
        </w:rPr>
        <w:t>In addition to reducing lipid indices, supplementation with</w:t>
      </w:r>
      <w:r w:rsidR="000567A9">
        <w:rPr>
          <w:color w:val="000000"/>
        </w:rPr>
        <w:t xml:space="preserve"> </w:t>
      </w:r>
      <w:r w:rsidR="000567A9">
        <w:rPr>
          <w:i/>
          <w:color w:val="000000"/>
        </w:rPr>
        <w:t>Spondias mombin</w:t>
      </w:r>
      <w:r w:rsidR="000567A9">
        <w:rPr>
          <w:iCs/>
          <w:color w:val="000000"/>
        </w:rPr>
        <w:t xml:space="preserve"> </w:t>
      </w:r>
      <w:r w:rsidR="001A2904">
        <w:rPr>
          <w:iCs/>
          <w:color w:val="000000"/>
        </w:rPr>
        <w:t>contributes to the cardiovascular system by reducing the process of fibrosis, myocardial hypertrophy and generating better development in the cascade of oxidative stress and inflammatory processes</w:t>
      </w:r>
      <w:r w:rsidR="000567A9">
        <w:rPr>
          <w:iCs/>
          <w:color w:val="000000"/>
        </w:rPr>
        <w:t xml:space="preserve"> </w:t>
      </w:r>
      <w:r w:rsidR="000567A9">
        <w:rPr>
          <w:color w:val="000000"/>
        </w:rPr>
        <w:t>(9, 10).</w:t>
      </w:r>
    </w:p>
    <w:p w14:paraId="614B0122" w14:textId="45E087CE" w:rsidR="000567A9" w:rsidRDefault="00020F13" w:rsidP="000567A9">
      <w:pPr>
        <w:spacing w:before="240" w:after="240" w:line="360" w:lineRule="auto"/>
        <w:jc w:val="both"/>
        <w:rPr>
          <w:iCs/>
          <w:color w:val="000000"/>
        </w:rPr>
      </w:pPr>
      <w:r>
        <w:t xml:space="preserve">              </w:t>
      </w:r>
      <w:r w:rsidR="001A2904">
        <w:t>Studies with aqueous extract of</w:t>
      </w:r>
      <w:r w:rsidR="000567A9">
        <w:t xml:space="preserve"> </w:t>
      </w:r>
      <w:r w:rsidR="000567A9">
        <w:rPr>
          <w:i/>
          <w:color w:val="000000"/>
        </w:rPr>
        <w:t>Spondias mombin</w:t>
      </w:r>
      <w:r w:rsidR="000B6F80">
        <w:rPr>
          <w:iCs/>
          <w:color w:val="000000"/>
        </w:rPr>
        <w:t xml:space="preserve"> leaves</w:t>
      </w:r>
      <w:r w:rsidR="000567A9">
        <w:rPr>
          <w:iCs/>
          <w:color w:val="000000"/>
        </w:rPr>
        <w:t xml:space="preserve">, </w:t>
      </w:r>
      <w:r w:rsidR="000B6F80">
        <w:rPr>
          <w:iCs/>
          <w:color w:val="000000"/>
        </w:rPr>
        <w:t xml:space="preserve">in different </w:t>
      </w:r>
      <w:proofErr w:type="spellStart"/>
      <w:r w:rsidR="000B6F80">
        <w:rPr>
          <w:iCs/>
          <w:color w:val="000000"/>
        </w:rPr>
        <w:t>procotols</w:t>
      </w:r>
      <w:proofErr w:type="spellEnd"/>
      <w:r w:rsidR="000B6F80">
        <w:rPr>
          <w:iCs/>
          <w:color w:val="000000"/>
        </w:rPr>
        <w:t xml:space="preserve"> of doses orally, demonstrated that the extract did not induce signs of toxicity in rats, both in terms of biochemical and </w:t>
      </w:r>
      <w:proofErr w:type="spellStart"/>
      <w:r w:rsidR="000B6F80">
        <w:rPr>
          <w:iCs/>
          <w:color w:val="000000"/>
        </w:rPr>
        <w:t>behavioral</w:t>
      </w:r>
      <w:proofErr w:type="spellEnd"/>
      <w:r w:rsidR="000B6F80">
        <w:rPr>
          <w:iCs/>
          <w:color w:val="000000"/>
        </w:rPr>
        <w:t xml:space="preserve">, histological and </w:t>
      </w:r>
      <w:proofErr w:type="spellStart"/>
      <w:r w:rsidR="000B6F80">
        <w:rPr>
          <w:iCs/>
          <w:color w:val="000000"/>
        </w:rPr>
        <w:t>hematological</w:t>
      </w:r>
      <w:proofErr w:type="spellEnd"/>
      <w:r w:rsidR="000B6F80">
        <w:rPr>
          <w:iCs/>
          <w:color w:val="000000"/>
        </w:rPr>
        <w:t xml:space="preserve"> aspects</w:t>
      </w:r>
      <w:r w:rsidR="000567A9">
        <w:rPr>
          <w:iCs/>
          <w:color w:val="000000"/>
        </w:rPr>
        <w:t xml:space="preserve"> (35). </w:t>
      </w:r>
      <w:r w:rsidR="000B6F80">
        <w:rPr>
          <w:iCs/>
          <w:color w:val="000000"/>
        </w:rPr>
        <w:t xml:space="preserve">This fact is in agreement with the results we collected in our experiment, demonstrating that the extract, in addition to not altering markers such as kidney and liver function, are not cytotoxic and </w:t>
      </w:r>
      <w:proofErr w:type="spellStart"/>
      <w:r w:rsidR="000B6F80">
        <w:rPr>
          <w:iCs/>
          <w:color w:val="000000"/>
        </w:rPr>
        <w:t>additionaly</w:t>
      </w:r>
      <w:proofErr w:type="spellEnd"/>
      <w:r w:rsidR="000B6F80">
        <w:rPr>
          <w:iCs/>
          <w:color w:val="000000"/>
        </w:rPr>
        <w:t xml:space="preserve"> have antimicrobial activity.</w:t>
      </w:r>
    </w:p>
    <w:p w14:paraId="06510634" w14:textId="05CF6859" w:rsidR="007D70B2" w:rsidRPr="00E40201" w:rsidRDefault="00020F13" w:rsidP="000B32C6">
      <w:pPr>
        <w:spacing w:line="360" w:lineRule="auto"/>
        <w:jc w:val="both"/>
      </w:pPr>
      <w:r>
        <w:rPr>
          <w:bCs/>
          <w:color w:val="000000"/>
        </w:rPr>
        <w:t xml:space="preserve">                </w:t>
      </w:r>
      <w:r w:rsidR="009E6D1A">
        <w:rPr>
          <w:bCs/>
          <w:color w:val="000000"/>
        </w:rPr>
        <w:t xml:space="preserve">In addition to the above, the </w:t>
      </w:r>
      <w:r w:rsidR="000567A9" w:rsidRPr="00E4305D">
        <w:rPr>
          <w:bCs/>
          <w:i/>
          <w:iCs/>
          <w:color w:val="000000"/>
        </w:rPr>
        <w:t>Spondias mombi</w:t>
      </w:r>
      <w:r w:rsidR="000567A9">
        <w:rPr>
          <w:bCs/>
          <w:i/>
          <w:iCs/>
          <w:color w:val="000000"/>
        </w:rPr>
        <w:t>n</w:t>
      </w:r>
      <w:r w:rsidR="000567A9">
        <w:rPr>
          <w:bCs/>
          <w:color w:val="000000"/>
        </w:rPr>
        <w:t xml:space="preserve"> </w:t>
      </w:r>
      <w:r w:rsidR="009E6D1A">
        <w:rPr>
          <w:bCs/>
          <w:color w:val="000000"/>
        </w:rPr>
        <w:t>extract inhibited the activity of</w:t>
      </w:r>
      <w:r w:rsidR="000567A9">
        <w:rPr>
          <w:bCs/>
          <w:color w:val="000000"/>
        </w:rPr>
        <w:t xml:space="preserve"> </w:t>
      </w:r>
      <w:r w:rsidR="000567A9" w:rsidRPr="00E4305D">
        <w:rPr>
          <w:bCs/>
          <w:i/>
          <w:iCs/>
          <w:color w:val="000000"/>
        </w:rPr>
        <w:t>Staphylococcus aureus</w:t>
      </w:r>
      <w:r w:rsidR="000567A9">
        <w:rPr>
          <w:bCs/>
          <w:i/>
          <w:iCs/>
          <w:color w:val="000000"/>
        </w:rPr>
        <w:t xml:space="preserve"> ATCC 29213</w:t>
      </w:r>
      <w:r w:rsidR="009E6D1A">
        <w:rPr>
          <w:bCs/>
          <w:color w:val="000000"/>
        </w:rPr>
        <w:t xml:space="preserve"> and</w:t>
      </w:r>
      <w:r w:rsidR="000567A9">
        <w:rPr>
          <w:bCs/>
          <w:color w:val="000000"/>
        </w:rPr>
        <w:t xml:space="preserve"> </w:t>
      </w:r>
      <w:r w:rsidR="000567A9" w:rsidRPr="00E4305D">
        <w:rPr>
          <w:bCs/>
          <w:i/>
          <w:iCs/>
          <w:color w:val="000000"/>
        </w:rPr>
        <w:t>Staphylococcus aureus</w:t>
      </w:r>
      <w:r w:rsidR="000567A9">
        <w:rPr>
          <w:bCs/>
          <w:i/>
          <w:iCs/>
          <w:color w:val="000000"/>
        </w:rPr>
        <w:t xml:space="preserve"> BLACC</w:t>
      </w:r>
      <w:r w:rsidR="000567A9">
        <w:rPr>
          <w:bCs/>
          <w:color w:val="000000"/>
        </w:rPr>
        <w:t xml:space="preserve">. </w:t>
      </w:r>
      <w:r w:rsidR="009E6D1A">
        <w:t xml:space="preserve">The inhibition diameter in both assays was 1mm at concentrations of </w:t>
      </w:r>
      <w:r w:rsidR="000567A9">
        <w:t>200</w:t>
      </w:r>
      <w:r w:rsidR="000567A9">
        <w:rPr>
          <w:highlight w:val="white"/>
        </w:rPr>
        <w:t xml:space="preserve"> µl</w:t>
      </w:r>
      <w:r w:rsidR="000567A9">
        <w:t xml:space="preserve">, </w:t>
      </w:r>
      <w:r w:rsidR="009E6D1A">
        <w:t>thus confirming the antimicrobial activity shown by previous studies and other experiments</w:t>
      </w:r>
      <w:r w:rsidR="000567A9">
        <w:t xml:space="preserve"> </w:t>
      </w:r>
      <w:r w:rsidR="000567A9">
        <w:rPr>
          <w:color w:val="000000"/>
          <w:highlight w:val="white"/>
        </w:rPr>
        <w:t>(13, 17, 18, 19, 20)</w:t>
      </w:r>
      <w:r w:rsidR="000567A9">
        <w:rPr>
          <w:color w:val="000000"/>
        </w:rPr>
        <w:t>.</w:t>
      </w:r>
      <w:r w:rsidR="000567A9">
        <w:t xml:space="preserve"> </w:t>
      </w:r>
      <w:r w:rsidR="009E6D1A">
        <w:t>However, the antimicrobial effect of</w:t>
      </w:r>
      <w:r w:rsidR="000567A9">
        <w:t xml:space="preserve"> </w:t>
      </w:r>
      <w:r w:rsidR="000567A9" w:rsidRPr="008C1A08">
        <w:rPr>
          <w:i/>
          <w:iCs/>
        </w:rPr>
        <w:t>Spondias mombi</w:t>
      </w:r>
      <w:r w:rsidR="000567A9">
        <w:rPr>
          <w:i/>
          <w:iCs/>
        </w:rPr>
        <w:t>n</w:t>
      </w:r>
      <w:r w:rsidR="000567A9" w:rsidRPr="008C1A08">
        <w:t xml:space="preserve"> </w:t>
      </w:r>
      <w:r w:rsidR="009E6D1A">
        <w:t>extract did not show any bacterial inhibition at concentrations of</w:t>
      </w:r>
      <w:r w:rsidR="000567A9">
        <w:t xml:space="preserve"> 50 </w:t>
      </w:r>
      <w:r w:rsidR="000567A9">
        <w:rPr>
          <w:highlight w:val="white"/>
        </w:rPr>
        <w:t>µl</w:t>
      </w:r>
      <w:r w:rsidR="000567A9">
        <w:t xml:space="preserve"> </w:t>
      </w:r>
      <w:r w:rsidR="009E6D1A">
        <w:t>and</w:t>
      </w:r>
      <w:r w:rsidR="000567A9">
        <w:t xml:space="preserve"> 100 </w:t>
      </w:r>
      <w:r w:rsidR="000567A9">
        <w:rPr>
          <w:highlight w:val="white"/>
        </w:rPr>
        <w:t>µl</w:t>
      </w:r>
      <w:r w:rsidR="000567A9">
        <w:t xml:space="preserve"> </w:t>
      </w:r>
      <w:r w:rsidR="009E6D1A">
        <w:t>for the assays of the respective bacteria. Furthermore, no inhibitory diameter was observed against</w:t>
      </w:r>
      <w:r w:rsidR="000567A9">
        <w:t xml:space="preserve"> </w:t>
      </w:r>
      <w:r w:rsidR="000567A9" w:rsidRPr="00AD0B79">
        <w:rPr>
          <w:i/>
          <w:iCs/>
        </w:rPr>
        <w:t xml:space="preserve">Escherichia coli </w:t>
      </w:r>
      <w:r w:rsidR="000567A9">
        <w:rPr>
          <w:i/>
          <w:iCs/>
        </w:rPr>
        <w:t>ATCC 25923</w:t>
      </w:r>
      <w:r w:rsidR="000567A9" w:rsidRPr="00AD0B79">
        <w:t xml:space="preserve"> </w:t>
      </w:r>
      <w:r w:rsidR="009E6D1A">
        <w:t>and</w:t>
      </w:r>
      <w:r w:rsidR="000567A9">
        <w:t xml:space="preserve"> </w:t>
      </w:r>
      <w:r w:rsidR="000567A9" w:rsidRPr="00AD0B79">
        <w:rPr>
          <w:i/>
          <w:iCs/>
        </w:rPr>
        <w:t xml:space="preserve">Klebsiella pneumoniae </w:t>
      </w:r>
      <w:r w:rsidR="000567A9">
        <w:rPr>
          <w:i/>
          <w:iCs/>
        </w:rPr>
        <w:t>ATCC 700603</w:t>
      </w:r>
      <w:r w:rsidR="000567A9" w:rsidRPr="00AD0B79">
        <w:t xml:space="preserve"> </w:t>
      </w:r>
      <w:r w:rsidR="009E6D1A">
        <w:t>in any of the concentrations performed.</w:t>
      </w:r>
    </w:p>
    <w:p w14:paraId="099259BA" w14:textId="3C39D541" w:rsidR="00D61ECA" w:rsidRDefault="00D61ECA">
      <w:pPr>
        <w:pStyle w:val="Ttulo1"/>
      </w:pPr>
      <w:r>
        <w:t>Conclusion</w:t>
      </w:r>
    </w:p>
    <w:p w14:paraId="7DECF22A" w14:textId="536AB4E2" w:rsidR="007D70B2" w:rsidRPr="00E40201" w:rsidRDefault="0088479E" w:rsidP="005755E6">
      <w:pPr>
        <w:pStyle w:val="Newparagraph"/>
        <w:spacing w:line="360" w:lineRule="auto"/>
        <w:ind w:firstLine="0"/>
        <w:jc w:val="both"/>
        <w:rPr>
          <w:color w:val="000000"/>
        </w:rPr>
      </w:pPr>
      <w:r>
        <w:rPr>
          <w:color w:val="000000"/>
        </w:rPr>
        <w:t>It is concluded, therefore, that the results obtained are promising for the scientific community as they show that</w:t>
      </w:r>
      <w:r w:rsidR="00D01752">
        <w:rPr>
          <w:color w:val="000000"/>
        </w:rPr>
        <w:t xml:space="preserve"> </w:t>
      </w:r>
      <w:r w:rsidR="00D01752" w:rsidRPr="008E69FC">
        <w:rPr>
          <w:i/>
          <w:iCs/>
          <w:color w:val="000000"/>
        </w:rPr>
        <w:t>Spondias mombi</w:t>
      </w:r>
      <w:r w:rsidR="00D01752">
        <w:rPr>
          <w:i/>
          <w:iCs/>
          <w:color w:val="000000"/>
        </w:rPr>
        <w:t>n</w:t>
      </w:r>
      <w:r w:rsidR="00D01752">
        <w:rPr>
          <w:color w:val="000000"/>
        </w:rPr>
        <w:t xml:space="preserve"> </w:t>
      </w:r>
      <w:r>
        <w:rPr>
          <w:color w:val="000000"/>
        </w:rPr>
        <w:t xml:space="preserve">extract does not interfere with cell viability and did not show cytotoxicity to the cells to which </w:t>
      </w:r>
      <w:proofErr w:type="spellStart"/>
      <w:r>
        <w:rPr>
          <w:color w:val="000000"/>
        </w:rPr>
        <w:t>they where</w:t>
      </w:r>
      <w:proofErr w:type="spellEnd"/>
      <w:r>
        <w:rPr>
          <w:color w:val="000000"/>
        </w:rPr>
        <w:t xml:space="preserve"> exposed, not interfering with the body homeostasis of the rats in the experiment</w:t>
      </w:r>
      <w:r w:rsidR="00D01752">
        <w:rPr>
          <w:color w:val="000000"/>
        </w:rPr>
        <w:t xml:space="preserve">. </w:t>
      </w:r>
      <w:r w:rsidR="005755E6">
        <w:rPr>
          <w:color w:val="000000"/>
        </w:rPr>
        <w:t xml:space="preserve">Furthermore, the absence of changes in </w:t>
      </w:r>
      <w:proofErr w:type="spellStart"/>
      <w:r w:rsidR="005755E6">
        <w:rPr>
          <w:color w:val="000000"/>
        </w:rPr>
        <w:t>glycemic</w:t>
      </w:r>
      <w:proofErr w:type="spellEnd"/>
      <w:r w:rsidR="005755E6">
        <w:rPr>
          <w:color w:val="000000"/>
        </w:rPr>
        <w:t xml:space="preserve"> indices and mineral ions, in the lipid profile, and the liver parameters only corroborate the data found in the absence of physiological change in rats when subjected to administration of</w:t>
      </w:r>
      <w:r w:rsidR="00D01752">
        <w:rPr>
          <w:color w:val="000000"/>
        </w:rPr>
        <w:t xml:space="preserve"> </w:t>
      </w:r>
      <w:r w:rsidR="00D01752" w:rsidRPr="001C1840">
        <w:rPr>
          <w:i/>
          <w:iCs/>
          <w:color w:val="000000"/>
        </w:rPr>
        <w:t>Spondias mombin</w:t>
      </w:r>
      <w:r w:rsidR="005755E6">
        <w:rPr>
          <w:color w:val="000000"/>
        </w:rPr>
        <w:t xml:space="preserve"> extract</w:t>
      </w:r>
      <w:r w:rsidR="00D01752">
        <w:rPr>
          <w:color w:val="000000"/>
        </w:rPr>
        <w:t xml:space="preserve">. </w:t>
      </w:r>
      <w:r w:rsidR="005755E6">
        <w:rPr>
          <w:color w:val="000000"/>
        </w:rPr>
        <w:t>So, from the results presented here, a range of future experiments and research can be carried out with</w:t>
      </w:r>
      <w:r w:rsidR="00D01752">
        <w:rPr>
          <w:color w:val="000000"/>
        </w:rPr>
        <w:t xml:space="preserve"> </w:t>
      </w:r>
      <w:r w:rsidR="00D01752" w:rsidRPr="008E69FC">
        <w:rPr>
          <w:i/>
          <w:iCs/>
          <w:color w:val="000000"/>
        </w:rPr>
        <w:t>Spondias mombi</w:t>
      </w:r>
      <w:r w:rsidR="00D01752">
        <w:rPr>
          <w:i/>
          <w:iCs/>
          <w:color w:val="000000"/>
        </w:rPr>
        <w:t>n</w:t>
      </w:r>
      <w:r w:rsidR="00D01752">
        <w:rPr>
          <w:color w:val="000000"/>
        </w:rPr>
        <w:t xml:space="preserve"> </w:t>
      </w:r>
      <w:r w:rsidR="005755E6">
        <w:rPr>
          <w:color w:val="000000"/>
        </w:rPr>
        <w:t xml:space="preserve">extract in order to obtain new drugs with antimicrobial action, in </w:t>
      </w:r>
      <w:r w:rsidR="005755E6">
        <w:rPr>
          <w:color w:val="000000"/>
        </w:rPr>
        <w:lastRenderedPageBreak/>
        <w:t>addition to drugs with possible beneficial action to the cardiovascular system and others.</w:t>
      </w:r>
    </w:p>
    <w:p w14:paraId="30BAF13B" w14:textId="1E500829" w:rsidR="00D61ECA" w:rsidRDefault="00D61ECA">
      <w:pPr>
        <w:pStyle w:val="Ttulo1"/>
      </w:pPr>
      <w:r>
        <w:t>Disclosure statement</w:t>
      </w:r>
    </w:p>
    <w:p w14:paraId="65915F33" w14:textId="2AA977B9" w:rsidR="007D70B2" w:rsidRDefault="00394763" w:rsidP="005755E6">
      <w:pPr>
        <w:pStyle w:val="Newparagraph"/>
        <w:spacing w:line="360" w:lineRule="auto"/>
        <w:ind w:firstLine="0"/>
      </w:pPr>
      <w:r>
        <w:t>No potential conflicts of interest were reported by the authors.</w:t>
      </w:r>
    </w:p>
    <w:p w14:paraId="11B6FCBA" w14:textId="1B64AFCF" w:rsidR="00D61ECA" w:rsidRDefault="00D61ECA">
      <w:pPr>
        <w:pStyle w:val="Ttulo1"/>
      </w:pPr>
      <w:r>
        <w:t>References</w:t>
      </w:r>
    </w:p>
    <w:p w14:paraId="2490CD46" w14:textId="6CBD7C33" w:rsidR="00CF250E" w:rsidRDefault="00CF250E" w:rsidP="001C1840">
      <w:pPr>
        <w:spacing w:line="360" w:lineRule="auto"/>
        <w:jc w:val="both"/>
      </w:pPr>
      <w:r w:rsidRPr="00940C55">
        <w:t xml:space="preserve">[1] </w:t>
      </w:r>
      <w:r w:rsidRPr="00940C55">
        <w:tab/>
        <w:t xml:space="preserve">Silva GA. </w:t>
      </w:r>
      <w:proofErr w:type="spellStart"/>
      <w:r w:rsidRPr="00940C55">
        <w:t>Avaliação</w:t>
      </w:r>
      <w:proofErr w:type="spellEnd"/>
      <w:r w:rsidRPr="00940C55">
        <w:t xml:space="preserve"> de </w:t>
      </w:r>
      <w:proofErr w:type="spellStart"/>
      <w:r w:rsidRPr="00940C55">
        <w:t>atividades</w:t>
      </w:r>
      <w:proofErr w:type="spellEnd"/>
      <w:r w:rsidRPr="00940C55">
        <w:t xml:space="preserve"> </w:t>
      </w:r>
      <w:proofErr w:type="spellStart"/>
      <w:r w:rsidRPr="00940C55">
        <w:t>farmacológicas</w:t>
      </w:r>
      <w:proofErr w:type="spellEnd"/>
      <w:r w:rsidRPr="00940C55">
        <w:t xml:space="preserve"> e </w:t>
      </w:r>
      <w:proofErr w:type="spellStart"/>
      <w:r w:rsidRPr="00940C55">
        <w:t>toxicidade</w:t>
      </w:r>
      <w:proofErr w:type="spellEnd"/>
      <w:r w:rsidRPr="00940C55">
        <w:t xml:space="preserve"> de </w:t>
      </w:r>
      <w:proofErr w:type="spellStart"/>
      <w:r w:rsidRPr="00940C55">
        <w:t>plantas</w:t>
      </w:r>
      <w:proofErr w:type="spellEnd"/>
      <w:r w:rsidRPr="00940C55">
        <w:t xml:space="preserve"> </w:t>
      </w:r>
      <w:proofErr w:type="spellStart"/>
      <w:r w:rsidRPr="00940C55">
        <w:t>medicinais</w:t>
      </w:r>
      <w:proofErr w:type="spellEnd"/>
      <w:r w:rsidRPr="00940C55">
        <w:t xml:space="preserve"> do </w:t>
      </w:r>
      <w:proofErr w:type="spellStart"/>
      <w:r w:rsidRPr="00940C55">
        <w:t>semiárido</w:t>
      </w:r>
      <w:proofErr w:type="spellEnd"/>
      <w:r w:rsidRPr="00940C55">
        <w:t xml:space="preserve"> do </w:t>
      </w:r>
      <w:proofErr w:type="spellStart"/>
      <w:r w:rsidRPr="00940C55">
        <w:t>nordeste</w:t>
      </w:r>
      <w:proofErr w:type="spellEnd"/>
      <w:r w:rsidRPr="00940C55">
        <w:t xml:space="preserve"> </w:t>
      </w:r>
      <w:proofErr w:type="spellStart"/>
      <w:r w:rsidRPr="00940C55">
        <w:t>brasileiro</w:t>
      </w:r>
      <w:proofErr w:type="spellEnd"/>
      <w:r w:rsidRPr="00940C55">
        <w:t xml:space="preserve">. </w:t>
      </w:r>
      <w:proofErr w:type="spellStart"/>
      <w:r w:rsidRPr="00940C55">
        <w:t>Universidade</w:t>
      </w:r>
      <w:proofErr w:type="spellEnd"/>
      <w:r w:rsidRPr="00940C55">
        <w:t xml:space="preserve"> Federal do Rio Grande do Norte-RN. 2015;182 </w:t>
      </w:r>
    </w:p>
    <w:p w14:paraId="3793F394" w14:textId="34B187E9" w:rsidR="00CF250E" w:rsidRDefault="00CF250E" w:rsidP="001C1840">
      <w:pPr>
        <w:spacing w:line="360" w:lineRule="auto"/>
        <w:jc w:val="both"/>
      </w:pPr>
      <w:r w:rsidRPr="00940C55">
        <w:t>[</w:t>
      </w:r>
      <w:r>
        <w:t>2</w:t>
      </w:r>
      <w:r w:rsidRPr="00940C55">
        <w:t xml:space="preserve">] </w:t>
      </w:r>
      <w:r w:rsidRPr="00940C55">
        <w:tab/>
        <w:t xml:space="preserve">Canuto GAB, Xavier AAO, Leandro CN, et al. </w:t>
      </w:r>
      <w:proofErr w:type="spellStart"/>
      <w:r w:rsidRPr="00940C55">
        <w:t>Caracterização</w:t>
      </w:r>
      <w:proofErr w:type="spellEnd"/>
      <w:r w:rsidRPr="00940C55">
        <w:t xml:space="preserve"> </w:t>
      </w:r>
      <w:proofErr w:type="spellStart"/>
      <w:r w:rsidRPr="00940C55">
        <w:t>físico-química</w:t>
      </w:r>
      <w:proofErr w:type="spellEnd"/>
      <w:r w:rsidRPr="00940C55">
        <w:t xml:space="preserve"> de </w:t>
      </w:r>
      <w:proofErr w:type="spellStart"/>
      <w:r w:rsidRPr="00940C55">
        <w:t>polpas</w:t>
      </w:r>
      <w:proofErr w:type="spellEnd"/>
      <w:r w:rsidRPr="00940C55">
        <w:t xml:space="preserve"> de </w:t>
      </w:r>
      <w:proofErr w:type="spellStart"/>
      <w:r w:rsidRPr="00940C55">
        <w:t>frutos</w:t>
      </w:r>
      <w:proofErr w:type="spellEnd"/>
      <w:r w:rsidRPr="00940C55">
        <w:t xml:space="preserve"> da </w:t>
      </w:r>
      <w:proofErr w:type="spellStart"/>
      <w:r w:rsidRPr="00940C55">
        <w:t>amazônia</w:t>
      </w:r>
      <w:proofErr w:type="spellEnd"/>
      <w:r w:rsidRPr="00940C55">
        <w:t xml:space="preserve"> e </w:t>
      </w:r>
      <w:proofErr w:type="spellStart"/>
      <w:r w:rsidRPr="00940C55">
        <w:t>sua</w:t>
      </w:r>
      <w:proofErr w:type="spellEnd"/>
      <w:r w:rsidRPr="00940C55">
        <w:t xml:space="preserve"> </w:t>
      </w:r>
      <w:proofErr w:type="spellStart"/>
      <w:r w:rsidRPr="00940C55">
        <w:t>correlação</w:t>
      </w:r>
      <w:proofErr w:type="spellEnd"/>
      <w:r w:rsidRPr="00940C55">
        <w:t xml:space="preserve"> com </w:t>
      </w:r>
      <w:proofErr w:type="gramStart"/>
      <w:r w:rsidRPr="00940C55">
        <w:t>a</w:t>
      </w:r>
      <w:proofErr w:type="gramEnd"/>
      <w:r w:rsidRPr="00940C55">
        <w:t xml:space="preserve"> </w:t>
      </w:r>
      <w:proofErr w:type="spellStart"/>
      <w:r w:rsidRPr="00940C55">
        <w:t>atividade</w:t>
      </w:r>
      <w:proofErr w:type="spellEnd"/>
      <w:r w:rsidRPr="00940C55">
        <w:t xml:space="preserve"> anti-radical livre. Rev Bras </w:t>
      </w:r>
      <w:proofErr w:type="spellStart"/>
      <w:r w:rsidRPr="00940C55">
        <w:t>Frutic</w:t>
      </w:r>
      <w:proofErr w:type="spellEnd"/>
      <w:r w:rsidRPr="00940C55">
        <w:t xml:space="preserve">. </w:t>
      </w:r>
      <w:proofErr w:type="gramStart"/>
      <w:r w:rsidRPr="00940C55">
        <w:t>2010;32:1196</w:t>
      </w:r>
      <w:proofErr w:type="gramEnd"/>
      <w:r w:rsidRPr="00940C55">
        <w:t>–1205.</w:t>
      </w:r>
    </w:p>
    <w:p w14:paraId="3AB6C432" w14:textId="31363ED8" w:rsidR="00CF250E" w:rsidRPr="00940C55" w:rsidRDefault="00CF250E" w:rsidP="001C1840">
      <w:pPr>
        <w:spacing w:line="360" w:lineRule="auto"/>
        <w:jc w:val="both"/>
      </w:pPr>
      <w:r w:rsidRPr="00940C55">
        <w:t>[</w:t>
      </w:r>
      <w:r>
        <w:t>3</w:t>
      </w:r>
      <w:r w:rsidRPr="00940C55">
        <w:t xml:space="preserve">] </w:t>
      </w:r>
      <w:r w:rsidRPr="00940C55">
        <w:tab/>
        <w:t xml:space="preserve">Yahia EM, Ornelas-Paz J de J. Chemistry, Stability, and Biological Actions of Carotenoids. Fruit Veg. </w:t>
      </w:r>
      <w:proofErr w:type="spellStart"/>
      <w:r w:rsidRPr="00940C55">
        <w:t>Phytochem</w:t>
      </w:r>
      <w:proofErr w:type="spellEnd"/>
      <w:r w:rsidRPr="00940C55">
        <w:t xml:space="preserve">. Chem. </w:t>
      </w:r>
      <w:proofErr w:type="spellStart"/>
      <w:r w:rsidRPr="00940C55">
        <w:t>Nutr</w:t>
      </w:r>
      <w:proofErr w:type="spellEnd"/>
      <w:r w:rsidRPr="00940C55">
        <w:t>. Value, Stab. 2010.</w:t>
      </w:r>
    </w:p>
    <w:p w14:paraId="19B7C96B" w14:textId="4EEE6245" w:rsidR="00CF250E" w:rsidRDefault="00CF250E" w:rsidP="001C1840">
      <w:pPr>
        <w:spacing w:line="360" w:lineRule="auto"/>
        <w:jc w:val="both"/>
      </w:pPr>
      <w:r w:rsidRPr="00940C55">
        <w:t>[</w:t>
      </w:r>
      <w:r>
        <w:t>4</w:t>
      </w:r>
      <w:r w:rsidRPr="00940C55">
        <w:t xml:space="preserve">] </w:t>
      </w:r>
      <w:r w:rsidRPr="00940C55">
        <w:tab/>
        <w:t xml:space="preserve">Yahia EM. Contribution of Fruit and Vegetable Consumption to Human Health. Fruit and vegetable phytochemicals chemistry nutritional value and stability. Wiley- Blackwell: </w:t>
      </w:r>
      <w:proofErr w:type="gramStart"/>
      <w:r w:rsidRPr="00940C55">
        <w:t>Hoboken,;</w:t>
      </w:r>
      <w:proofErr w:type="gramEnd"/>
      <w:r w:rsidRPr="00940C55">
        <w:t xml:space="preserve"> 2010.</w:t>
      </w:r>
    </w:p>
    <w:p w14:paraId="7A2CAD58" w14:textId="17E13590" w:rsidR="00CF250E" w:rsidRDefault="00CF250E" w:rsidP="001C1840">
      <w:pPr>
        <w:spacing w:line="360" w:lineRule="auto"/>
        <w:jc w:val="both"/>
      </w:pPr>
      <w:r w:rsidRPr="00940C55">
        <w:t>[</w:t>
      </w:r>
      <w:r>
        <w:t>5</w:t>
      </w:r>
      <w:r w:rsidRPr="00940C55">
        <w:t xml:space="preserve">] </w:t>
      </w:r>
      <w:r w:rsidRPr="00940C55">
        <w:tab/>
        <w:t xml:space="preserve">Cabral B, Siqueira EMS, Bitencourt MAO, et al. Phytochemical study and anti-inflammatory and antioxidant potential of Spondias mombin leaves. Rev Bras </w:t>
      </w:r>
      <w:proofErr w:type="spellStart"/>
      <w:r w:rsidRPr="00940C55">
        <w:t>Farmacogn</w:t>
      </w:r>
      <w:proofErr w:type="spellEnd"/>
      <w:r w:rsidRPr="00940C55">
        <w:t xml:space="preserve"> [Internet]. </w:t>
      </w:r>
      <w:proofErr w:type="gramStart"/>
      <w:r w:rsidRPr="00940C55">
        <w:t>2016;26:304</w:t>
      </w:r>
      <w:proofErr w:type="gramEnd"/>
      <w:r w:rsidRPr="00940C55">
        <w:t xml:space="preserve">–311. </w:t>
      </w:r>
    </w:p>
    <w:p w14:paraId="08D7712D" w14:textId="048DA104" w:rsidR="00CF250E" w:rsidRDefault="00CF250E" w:rsidP="001C1840">
      <w:pPr>
        <w:spacing w:line="360" w:lineRule="auto"/>
        <w:jc w:val="both"/>
      </w:pPr>
      <w:r w:rsidRPr="00F61E16">
        <w:t>[</w:t>
      </w:r>
      <w:r>
        <w:t>6</w:t>
      </w:r>
      <w:r w:rsidRPr="00F61E16">
        <w:t xml:space="preserve">] </w:t>
      </w:r>
      <w:r w:rsidRPr="00F61E16">
        <w:tab/>
        <w:t xml:space="preserve">Pereira DVC. </w:t>
      </w:r>
      <w:proofErr w:type="spellStart"/>
      <w:r w:rsidRPr="00F61E16">
        <w:t>Composição</w:t>
      </w:r>
      <w:proofErr w:type="spellEnd"/>
      <w:r w:rsidRPr="00F61E16">
        <w:t xml:space="preserve"> </w:t>
      </w:r>
      <w:proofErr w:type="spellStart"/>
      <w:r w:rsidRPr="00F61E16">
        <w:t>fenólica</w:t>
      </w:r>
      <w:proofErr w:type="spellEnd"/>
      <w:r w:rsidRPr="00F61E16">
        <w:t xml:space="preserve"> e </w:t>
      </w:r>
      <w:proofErr w:type="spellStart"/>
      <w:r w:rsidRPr="00F61E16">
        <w:t>atividade</w:t>
      </w:r>
      <w:proofErr w:type="spellEnd"/>
      <w:r w:rsidRPr="00F61E16">
        <w:t xml:space="preserve"> </w:t>
      </w:r>
      <w:proofErr w:type="spellStart"/>
      <w:r w:rsidRPr="00F61E16">
        <w:t>antioxidante</w:t>
      </w:r>
      <w:proofErr w:type="spellEnd"/>
      <w:r w:rsidRPr="00F61E16">
        <w:t xml:space="preserve"> de </w:t>
      </w:r>
      <w:proofErr w:type="spellStart"/>
      <w:r w:rsidRPr="00F61E16">
        <w:t>cajá</w:t>
      </w:r>
      <w:proofErr w:type="spellEnd"/>
      <w:r w:rsidRPr="00F61E16">
        <w:t xml:space="preserve"> </w:t>
      </w:r>
      <w:r w:rsidR="00386D7B" w:rsidRPr="00F61E16">
        <w:t>(Spondias</w:t>
      </w:r>
      <w:r w:rsidRPr="00F61E16">
        <w:t xml:space="preserve"> </w:t>
      </w:r>
      <w:r w:rsidR="00386D7B" w:rsidRPr="00F61E16">
        <w:t>mombin)</w:t>
      </w:r>
      <w:r w:rsidRPr="00F61E16">
        <w:t xml:space="preserve"> </w:t>
      </w:r>
      <w:proofErr w:type="spellStart"/>
      <w:r w:rsidRPr="00F61E16">
        <w:t>nativo</w:t>
      </w:r>
      <w:proofErr w:type="spellEnd"/>
      <w:r w:rsidRPr="00F61E16">
        <w:t xml:space="preserve"> no Distrito Federal </w:t>
      </w:r>
      <w:proofErr w:type="spellStart"/>
      <w:r w:rsidRPr="00F61E16">
        <w:t>Composição</w:t>
      </w:r>
      <w:proofErr w:type="spellEnd"/>
      <w:r w:rsidRPr="00F61E16">
        <w:t xml:space="preserve"> </w:t>
      </w:r>
      <w:proofErr w:type="spellStart"/>
      <w:r w:rsidRPr="00F61E16">
        <w:t>fenólica</w:t>
      </w:r>
      <w:proofErr w:type="spellEnd"/>
      <w:r w:rsidRPr="00F61E16">
        <w:t xml:space="preserve"> e </w:t>
      </w:r>
      <w:proofErr w:type="spellStart"/>
      <w:r w:rsidRPr="00F61E16">
        <w:t>atividade</w:t>
      </w:r>
      <w:proofErr w:type="spellEnd"/>
      <w:r w:rsidRPr="00F61E16">
        <w:t xml:space="preserve"> </w:t>
      </w:r>
      <w:proofErr w:type="spellStart"/>
      <w:r w:rsidRPr="00F61E16">
        <w:t>antioxidante</w:t>
      </w:r>
      <w:proofErr w:type="spellEnd"/>
      <w:r w:rsidRPr="00F61E16">
        <w:t xml:space="preserve"> de </w:t>
      </w:r>
      <w:proofErr w:type="spellStart"/>
      <w:r w:rsidRPr="00F61E16">
        <w:t>cajá</w:t>
      </w:r>
      <w:proofErr w:type="spellEnd"/>
      <w:r w:rsidRPr="00F61E16">
        <w:t xml:space="preserve"> </w:t>
      </w:r>
      <w:proofErr w:type="gramStart"/>
      <w:r w:rsidRPr="00F61E16">
        <w:t>( Spondias</w:t>
      </w:r>
      <w:proofErr w:type="gramEnd"/>
      <w:r w:rsidRPr="00F61E16">
        <w:t xml:space="preserve"> mombin ) </w:t>
      </w:r>
      <w:proofErr w:type="spellStart"/>
      <w:r w:rsidRPr="00F61E16">
        <w:t>nativo</w:t>
      </w:r>
      <w:proofErr w:type="spellEnd"/>
      <w:r w:rsidRPr="00F61E16">
        <w:t xml:space="preserve"> no Distrito Federal . 2017;</w:t>
      </w:r>
    </w:p>
    <w:p w14:paraId="784D5E06" w14:textId="4FAE49F1" w:rsidR="00CF250E" w:rsidRDefault="00CF250E" w:rsidP="001C1840">
      <w:pPr>
        <w:spacing w:line="360" w:lineRule="auto"/>
        <w:jc w:val="both"/>
      </w:pPr>
      <w:r w:rsidRPr="00940C55">
        <w:t>[</w:t>
      </w:r>
      <w:r>
        <w:t>7</w:t>
      </w:r>
      <w:r w:rsidRPr="00940C55">
        <w:t xml:space="preserve">] </w:t>
      </w:r>
      <w:r w:rsidRPr="00940C55">
        <w:tab/>
      </w:r>
      <w:proofErr w:type="spellStart"/>
      <w:r w:rsidRPr="00940C55">
        <w:t>Tiburski</w:t>
      </w:r>
      <w:proofErr w:type="spellEnd"/>
      <w:r w:rsidRPr="00940C55">
        <w:t xml:space="preserve"> JH, Rosenthal A, Deliza R, et al. Nutritional properties of yellow mombin (Spondias mombin L.) pulp. Food Res Int. </w:t>
      </w:r>
      <w:proofErr w:type="gramStart"/>
      <w:r w:rsidRPr="00940C55">
        <w:t>2011;44:2326</w:t>
      </w:r>
      <w:proofErr w:type="gramEnd"/>
      <w:r w:rsidRPr="00940C55">
        <w:t>–2331.</w:t>
      </w:r>
    </w:p>
    <w:p w14:paraId="6C5771E6" w14:textId="2F2B4E34" w:rsidR="00CF250E" w:rsidRDefault="00CF250E" w:rsidP="001C1840">
      <w:pPr>
        <w:spacing w:line="360" w:lineRule="auto"/>
        <w:jc w:val="both"/>
      </w:pPr>
      <w:r w:rsidRPr="00940C55">
        <w:t>[</w:t>
      </w:r>
      <w:r>
        <w:t>8</w:t>
      </w:r>
      <w:r w:rsidRPr="00940C55">
        <w:t xml:space="preserve">] </w:t>
      </w:r>
      <w:r w:rsidRPr="00940C55">
        <w:tab/>
        <w:t xml:space="preserve">Silvino R, Silva G, Dos Santos OV. </w:t>
      </w:r>
      <w:proofErr w:type="spellStart"/>
      <w:r w:rsidRPr="00940C55">
        <w:t>Qualidade</w:t>
      </w:r>
      <w:proofErr w:type="spellEnd"/>
      <w:r w:rsidRPr="00940C55">
        <w:t xml:space="preserve"> </w:t>
      </w:r>
      <w:proofErr w:type="spellStart"/>
      <w:r w:rsidRPr="00940C55">
        <w:t>nutricional</w:t>
      </w:r>
      <w:proofErr w:type="spellEnd"/>
      <w:r w:rsidRPr="00940C55">
        <w:t xml:space="preserve"> e </w:t>
      </w:r>
      <w:proofErr w:type="spellStart"/>
      <w:r w:rsidRPr="00940C55">
        <w:t>parâmetros</w:t>
      </w:r>
      <w:proofErr w:type="spellEnd"/>
      <w:r w:rsidRPr="00940C55">
        <w:t xml:space="preserve"> </w:t>
      </w:r>
      <w:proofErr w:type="spellStart"/>
      <w:r w:rsidRPr="00940C55">
        <w:t>morfológicos</w:t>
      </w:r>
      <w:proofErr w:type="spellEnd"/>
      <w:r w:rsidRPr="00940C55">
        <w:t xml:space="preserve"> do </w:t>
      </w:r>
      <w:proofErr w:type="spellStart"/>
      <w:r w:rsidRPr="00940C55">
        <w:t>fruto</w:t>
      </w:r>
      <w:proofErr w:type="spellEnd"/>
      <w:r w:rsidRPr="00940C55">
        <w:t xml:space="preserve"> </w:t>
      </w:r>
      <w:proofErr w:type="spellStart"/>
      <w:r w:rsidRPr="00940C55">
        <w:t>cajá</w:t>
      </w:r>
      <w:proofErr w:type="spellEnd"/>
      <w:r w:rsidRPr="00940C55">
        <w:t xml:space="preserve"> (Spondias Mombin L.). DESAFIOS - Rev </w:t>
      </w:r>
      <w:proofErr w:type="spellStart"/>
      <w:r w:rsidRPr="00940C55">
        <w:t>Interdiscip</w:t>
      </w:r>
      <w:proofErr w:type="spellEnd"/>
      <w:r w:rsidRPr="00940C55">
        <w:t xml:space="preserve"> da </w:t>
      </w:r>
      <w:proofErr w:type="spellStart"/>
      <w:r w:rsidRPr="00940C55">
        <w:t>Univ</w:t>
      </w:r>
      <w:proofErr w:type="spellEnd"/>
      <w:r w:rsidRPr="00940C55">
        <w:t xml:space="preserve"> Fed do Tocantins. </w:t>
      </w:r>
      <w:proofErr w:type="gramStart"/>
      <w:r w:rsidRPr="00940C55">
        <w:t>2017;4:03</w:t>
      </w:r>
      <w:proofErr w:type="gramEnd"/>
      <w:r w:rsidRPr="00940C55">
        <w:t>–11.</w:t>
      </w:r>
    </w:p>
    <w:p w14:paraId="35C1D32B" w14:textId="438F619E" w:rsidR="00CF250E" w:rsidRDefault="00CF250E" w:rsidP="001C1840">
      <w:pPr>
        <w:spacing w:line="360" w:lineRule="auto"/>
        <w:jc w:val="both"/>
      </w:pPr>
      <w:r w:rsidRPr="00F61E16">
        <w:t>[</w:t>
      </w:r>
      <w:r>
        <w:t>9</w:t>
      </w:r>
      <w:r w:rsidRPr="00F61E16">
        <w:t xml:space="preserve">] </w:t>
      </w:r>
      <w:r w:rsidRPr="00F61E16">
        <w:tab/>
        <w:t xml:space="preserve">Pereira BLB, Rodrigue A, Arruda FC de O, et al. Spondias mombin L. attenuates ventricular remodelling after myocardial infarction associated with oxidative stress and inflammatory modulation. J Cell Mol Med. </w:t>
      </w:r>
      <w:proofErr w:type="gramStart"/>
      <w:r w:rsidRPr="00F61E16">
        <w:t>2020;24:7862</w:t>
      </w:r>
      <w:proofErr w:type="gramEnd"/>
      <w:r w:rsidRPr="00F61E16">
        <w:t>–7872.</w:t>
      </w:r>
    </w:p>
    <w:p w14:paraId="28222F02" w14:textId="7BA0CC41" w:rsidR="00CF250E" w:rsidRDefault="00CF250E" w:rsidP="001C1840">
      <w:pPr>
        <w:spacing w:line="360" w:lineRule="auto"/>
        <w:jc w:val="both"/>
      </w:pPr>
      <w:r w:rsidRPr="00940C55">
        <w:t>[1</w:t>
      </w:r>
      <w:r>
        <w:t>0</w:t>
      </w:r>
      <w:r w:rsidRPr="00940C55">
        <w:t xml:space="preserve">] </w:t>
      </w:r>
      <w:r w:rsidRPr="00940C55">
        <w:tab/>
        <w:t xml:space="preserve">Sameh S, Al-Sayed E, Labib RM, et al. Genus Spondias: A Phytochemical and Pharmacological Review. Evidence-Based Complement Altern Med. </w:t>
      </w:r>
      <w:proofErr w:type="gramStart"/>
      <w:r w:rsidRPr="00940C55">
        <w:t>2018;2018:1</w:t>
      </w:r>
      <w:proofErr w:type="gramEnd"/>
      <w:r w:rsidRPr="00940C55">
        <w:t>–13.</w:t>
      </w:r>
    </w:p>
    <w:p w14:paraId="4B7919C8" w14:textId="0397D0EB" w:rsidR="00B226A5" w:rsidRDefault="00B226A5" w:rsidP="001C1840">
      <w:pPr>
        <w:spacing w:line="360" w:lineRule="auto"/>
        <w:jc w:val="both"/>
      </w:pPr>
      <w:r w:rsidRPr="00F61E16">
        <w:lastRenderedPageBreak/>
        <w:t>[1</w:t>
      </w:r>
      <w:r>
        <w:t>1</w:t>
      </w:r>
      <w:r w:rsidRPr="00F61E16">
        <w:t xml:space="preserve">] </w:t>
      </w:r>
      <w:r w:rsidRPr="00F61E16">
        <w:tab/>
        <w:t xml:space="preserve">Pereira RV. </w:t>
      </w:r>
      <w:proofErr w:type="spellStart"/>
      <w:r w:rsidRPr="00F61E16">
        <w:t>Influência</w:t>
      </w:r>
      <w:proofErr w:type="spellEnd"/>
      <w:r w:rsidRPr="00F61E16">
        <w:t xml:space="preserve"> dos </w:t>
      </w:r>
      <w:proofErr w:type="spellStart"/>
      <w:r w:rsidRPr="00F61E16">
        <w:t>flavonóides</w:t>
      </w:r>
      <w:proofErr w:type="spellEnd"/>
      <w:r w:rsidRPr="00F61E16">
        <w:t xml:space="preserve"> </w:t>
      </w:r>
      <w:proofErr w:type="spellStart"/>
      <w:r w:rsidRPr="00F61E16">
        <w:t>cítricos</w:t>
      </w:r>
      <w:proofErr w:type="spellEnd"/>
      <w:r w:rsidRPr="00F61E16">
        <w:t xml:space="preserve"> </w:t>
      </w:r>
      <w:proofErr w:type="spellStart"/>
      <w:r w:rsidRPr="00F61E16">
        <w:t>na</w:t>
      </w:r>
      <w:proofErr w:type="spellEnd"/>
      <w:r w:rsidRPr="00F61E16">
        <w:t xml:space="preserve"> </w:t>
      </w:r>
      <w:proofErr w:type="spellStart"/>
      <w:r w:rsidRPr="00F61E16">
        <w:t>inflamação</w:t>
      </w:r>
      <w:proofErr w:type="spellEnd"/>
      <w:r w:rsidRPr="00F61E16">
        <w:t xml:space="preserve"> e </w:t>
      </w:r>
      <w:proofErr w:type="spellStart"/>
      <w:r w:rsidRPr="00F61E16">
        <w:t>controle</w:t>
      </w:r>
      <w:proofErr w:type="spellEnd"/>
      <w:r w:rsidRPr="00F61E16">
        <w:t xml:space="preserve"> da </w:t>
      </w:r>
      <w:proofErr w:type="spellStart"/>
      <w:r w:rsidRPr="00F61E16">
        <w:t>obesidade</w:t>
      </w:r>
      <w:proofErr w:type="spellEnd"/>
      <w:r w:rsidRPr="00F61E16">
        <w:t xml:space="preserve">. </w:t>
      </w:r>
      <w:proofErr w:type="spellStart"/>
      <w:r w:rsidRPr="00F61E16">
        <w:t>Universidade</w:t>
      </w:r>
      <w:proofErr w:type="spellEnd"/>
      <w:r w:rsidRPr="00F61E16">
        <w:t xml:space="preserve"> </w:t>
      </w:r>
      <w:proofErr w:type="spellStart"/>
      <w:r w:rsidRPr="00F61E16">
        <w:t>Estadual</w:t>
      </w:r>
      <w:proofErr w:type="spellEnd"/>
      <w:r w:rsidRPr="00F61E16">
        <w:t xml:space="preserve"> </w:t>
      </w:r>
      <w:proofErr w:type="spellStart"/>
      <w:r w:rsidRPr="00F61E16">
        <w:t>Paulista</w:t>
      </w:r>
      <w:proofErr w:type="spellEnd"/>
      <w:r w:rsidRPr="00F61E16">
        <w:t xml:space="preserve"> - UNESP; 2015.</w:t>
      </w:r>
    </w:p>
    <w:p w14:paraId="2E758F9E" w14:textId="5CDA9366" w:rsidR="00B226A5" w:rsidRDefault="00B226A5" w:rsidP="001C1840">
      <w:pPr>
        <w:spacing w:line="360" w:lineRule="auto"/>
        <w:jc w:val="both"/>
      </w:pPr>
      <w:r w:rsidRPr="00940C55">
        <w:t>[1</w:t>
      </w:r>
      <w:r>
        <w:t>2</w:t>
      </w:r>
      <w:r w:rsidRPr="00940C55">
        <w:t xml:space="preserve">] </w:t>
      </w:r>
      <w:r w:rsidRPr="00940C55">
        <w:tab/>
        <w:t xml:space="preserve">Assini JM, Mulvihill EE, Huff MW. Citrus flavonoids and lipid metabolism. </w:t>
      </w:r>
      <w:proofErr w:type="spellStart"/>
      <w:r w:rsidRPr="00940C55">
        <w:t>Curr</w:t>
      </w:r>
      <w:proofErr w:type="spellEnd"/>
      <w:r w:rsidRPr="00940C55">
        <w:t xml:space="preserve"> </w:t>
      </w:r>
      <w:proofErr w:type="spellStart"/>
      <w:r w:rsidRPr="00940C55">
        <w:t>Opin</w:t>
      </w:r>
      <w:proofErr w:type="spellEnd"/>
      <w:r w:rsidRPr="00940C55">
        <w:t xml:space="preserve"> </w:t>
      </w:r>
      <w:proofErr w:type="spellStart"/>
      <w:r w:rsidRPr="00940C55">
        <w:t>Lipidol</w:t>
      </w:r>
      <w:proofErr w:type="spellEnd"/>
      <w:r w:rsidRPr="00940C55">
        <w:t xml:space="preserve">. </w:t>
      </w:r>
      <w:proofErr w:type="gramStart"/>
      <w:r w:rsidRPr="00940C55">
        <w:t>2013;24:34</w:t>
      </w:r>
      <w:proofErr w:type="gramEnd"/>
      <w:r w:rsidRPr="00940C55">
        <w:t>–40.</w:t>
      </w:r>
    </w:p>
    <w:p w14:paraId="14F9A378" w14:textId="34F214DD" w:rsidR="00B226A5" w:rsidRPr="00940C55" w:rsidRDefault="00B226A5" w:rsidP="001C1840">
      <w:pPr>
        <w:spacing w:line="360" w:lineRule="auto"/>
        <w:jc w:val="both"/>
      </w:pPr>
      <w:r w:rsidRPr="00940C55">
        <w:t>[1</w:t>
      </w:r>
      <w:r>
        <w:t>3</w:t>
      </w:r>
      <w:r w:rsidRPr="00940C55">
        <w:t xml:space="preserve">] </w:t>
      </w:r>
      <w:r w:rsidRPr="00940C55">
        <w:tab/>
      </w:r>
      <w:proofErr w:type="spellStart"/>
      <w:r w:rsidRPr="00940C55">
        <w:t>Ayoka</w:t>
      </w:r>
      <w:proofErr w:type="spellEnd"/>
      <w:r w:rsidRPr="00940C55">
        <w:t xml:space="preserve"> AO, </w:t>
      </w:r>
      <w:proofErr w:type="spellStart"/>
      <w:r w:rsidRPr="00940C55">
        <w:t>Akomolafe</w:t>
      </w:r>
      <w:proofErr w:type="spellEnd"/>
      <w:r w:rsidRPr="00940C55">
        <w:t xml:space="preserve"> RO, </w:t>
      </w:r>
      <w:proofErr w:type="spellStart"/>
      <w:r w:rsidRPr="00940C55">
        <w:t>Iwalewa</w:t>
      </w:r>
      <w:proofErr w:type="spellEnd"/>
      <w:r w:rsidRPr="00940C55">
        <w:t xml:space="preserve"> EO, et al. Studies on the Anxiolytic Effect of </w:t>
      </w:r>
      <w:r w:rsidRPr="00940C55">
        <w:rPr>
          <w:i/>
          <w:iCs/>
        </w:rPr>
        <w:t>Spondias mombin</w:t>
      </w:r>
      <w:r w:rsidRPr="00940C55">
        <w:t xml:space="preserve"> l. (</w:t>
      </w:r>
      <w:proofErr w:type="spellStart"/>
      <w:r w:rsidRPr="00940C55">
        <w:rPr>
          <w:i/>
          <w:iCs/>
        </w:rPr>
        <w:t>Anacardiaceae</w:t>
      </w:r>
      <w:proofErr w:type="spellEnd"/>
      <w:r w:rsidRPr="00940C55">
        <w:t xml:space="preserve">) Extracts. African J </w:t>
      </w:r>
      <w:proofErr w:type="spellStart"/>
      <w:r w:rsidRPr="00940C55">
        <w:t>Tradit</w:t>
      </w:r>
      <w:proofErr w:type="spellEnd"/>
      <w:r w:rsidRPr="00940C55">
        <w:t xml:space="preserve"> Complement Altern Med. </w:t>
      </w:r>
      <w:proofErr w:type="gramStart"/>
      <w:r w:rsidRPr="00940C55">
        <w:t>2005;2:153</w:t>
      </w:r>
      <w:proofErr w:type="gramEnd"/>
      <w:r w:rsidRPr="00940C55">
        <w:t>–165.</w:t>
      </w:r>
    </w:p>
    <w:p w14:paraId="4800F2F5" w14:textId="46171F94" w:rsidR="00B226A5" w:rsidRPr="00940C55" w:rsidRDefault="00B226A5" w:rsidP="001C1840">
      <w:pPr>
        <w:spacing w:line="360" w:lineRule="auto"/>
        <w:jc w:val="both"/>
      </w:pPr>
      <w:r w:rsidRPr="00940C55">
        <w:t>[1</w:t>
      </w:r>
      <w:r>
        <w:t>4</w:t>
      </w:r>
      <w:r w:rsidRPr="00940C55">
        <w:t xml:space="preserve">] </w:t>
      </w:r>
      <w:r w:rsidRPr="00940C55">
        <w:tab/>
      </w:r>
      <w:proofErr w:type="spellStart"/>
      <w:r w:rsidRPr="00940C55">
        <w:t>Ayoka</w:t>
      </w:r>
      <w:proofErr w:type="spellEnd"/>
      <w:r w:rsidRPr="00940C55">
        <w:t xml:space="preserve"> AO, </w:t>
      </w:r>
      <w:proofErr w:type="spellStart"/>
      <w:r w:rsidRPr="00940C55">
        <w:t>Akomolafe</w:t>
      </w:r>
      <w:proofErr w:type="spellEnd"/>
      <w:r w:rsidRPr="00940C55">
        <w:t xml:space="preserve"> RO, </w:t>
      </w:r>
      <w:proofErr w:type="spellStart"/>
      <w:r w:rsidRPr="00940C55">
        <w:t>Iwalewa</w:t>
      </w:r>
      <w:proofErr w:type="spellEnd"/>
      <w:r w:rsidRPr="00940C55">
        <w:t xml:space="preserve"> EO, et al. Sedative, antiepileptic and antipsychotic effects of Spondias mombin L. (</w:t>
      </w:r>
      <w:proofErr w:type="spellStart"/>
      <w:r w:rsidRPr="00940C55">
        <w:t>Anacardiaceae</w:t>
      </w:r>
      <w:proofErr w:type="spellEnd"/>
      <w:r w:rsidRPr="00940C55">
        <w:t xml:space="preserve">) in mice and rats. J </w:t>
      </w:r>
      <w:proofErr w:type="spellStart"/>
      <w:r w:rsidRPr="00940C55">
        <w:t>Ethnopharmacol</w:t>
      </w:r>
      <w:proofErr w:type="spellEnd"/>
      <w:r w:rsidRPr="00940C55">
        <w:t xml:space="preserve">. </w:t>
      </w:r>
      <w:proofErr w:type="gramStart"/>
      <w:r w:rsidRPr="00940C55">
        <w:t>2006;103:166</w:t>
      </w:r>
      <w:proofErr w:type="gramEnd"/>
      <w:r w:rsidRPr="00940C55">
        <w:t>–175.</w:t>
      </w:r>
    </w:p>
    <w:p w14:paraId="67757BF7" w14:textId="01670AFA" w:rsidR="00B226A5" w:rsidRDefault="00B226A5" w:rsidP="001C1840">
      <w:pPr>
        <w:spacing w:line="360" w:lineRule="auto"/>
        <w:jc w:val="both"/>
      </w:pPr>
      <w:r w:rsidRPr="00940C55">
        <w:t>[1</w:t>
      </w:r>
      <w:r>
        <w:t>5</w:t>
      </w:r>
      <w:r w:rsidRPr="00940C55">
        <w:t xml:space="preserve">] </w:t>
      </w:r>
      <w:r w:rsidRPr="00940C55">
        <w:tab/>
      </w:r>
      <w:proofErr w:type="spellStart"/>
      <w:r w:rsidRPr="00940C55">
        <w:t>Ayoka</w:t>
      </w:r>
      <w:proofErr w:type="spellEnd"/>
      <w:r w:rsidRPr="00940C55">
        <w:t xml:space="preserve"> AO, </w:t>
      </w:r>
      <w:proofErr w:type="spellStart"/>
      <w:r w:rsidRPr="00940C55">
        <w:t>Akomolafe</w:t>
      </w:r>
      <w:proofErr w:type="spellEnd"/>
      <w:r w:rsidRPr="00940C55">
        <w:t xml:space="preserve"> RO, </w:t>
      </w:r>
      <w:proofErr w:type="spellStart"/>
      <w:r w:rsidRPr="00940C55">
        <w:t>Akinsomisoye</w:t>
      </w:r>
      <w:proofErr w:type="spellEnd"/>
      <w:r w:rsidRPr="00940C55">
        <w:t xml:space="preserve"> OS, et al. Medicinal and economic value of Spondias mombin. African J Biomed Res. </w:t>
      </w:r>
      <w:proofErr w:type="gramStart"/>
      <w:r w:rsidRPr="00940C55">
        <w:t>2008;11:129</w:t>
      </w:r>
      <w:proofErr w:type="gramEnd"/>
      <w:r w:rsidRPr="00940C55">
        <w:t>–136.</w:t>
      </w:r>
    </w:p>
    <w:p w14:paraId="691CCB9F" w14:textId="4CD93030" w:rsidR="00B226A5" w:rsidRDefault="00B226A5" w:rsidP="001C1840">
      <w:pPr>
        <w:spacing w:line="360" w:lineRule="auto"/>
        <w:jc w:val="both"/>
      </w:pPr>
      <w:r w:rsidRPr="00940C55">
        <w:t>[1</w:t>
      </w:r>
      <w:r>
        <w:t>6</w:t>
      </w:r>
      <w:r w:rsidRPr="00940C55">
        <w:t xml:space="preserve">] </w:t>
      </w:r>
      <w:r w:rsidRPr="00940C55">
        <w:tab/>
        <w:t xml:space="preserve">Cristofoli NL, Lima CAR, Vieira MMC, et al. Antioxidant and antimicrobial potential of </w:t>
      </w:r>
      <w:proofErr w:type="spellStart"/>
      <w:r w:rsidRPr="00940C55">
        <w:t>cajazeira</w:t>
      </w:r>
      <w:proofErr w:type="spellEnd"/>
      <w:r w:rsidRPr="00940C55">
        <w:t xml:space="preserve"> leaves (Spondias mombin) extracts. Sep Sci </w:t>
      </w:r>
      <w:proofErr w:type="spellStart"/>
      <w:r w:rsidRPr="00940C55">
        <w:t>Technol</w:t>
      </w:r>
      <w:proofErr w:type="spellEnd"/>
      <w:r w:rsidRPr="00940C55">
        <w:t xml:space="preserve"> [Internet]. </w:t>
      </w:r>
      <w:proofErr w:type="gramStart"/>
      <w:r w:rsidRPr="00940C55">
        <w:t>2019;54:580</w:t>
      </w:r>
      <w:proofErr w:type="gramEnd"/>
      <w:r w:rsidRPr="00940C55">
        <w:t xml:space="preserve">–590. </w:t>
      </w:r>
    </w:p>
    <w:p w14:paraId="3193EADA" w14:textId="54409B15" w:rsidR="00B226A5" w:rsidRDefault="00B226A5" w:rsidP="001C1840">
      <w:pPr>
        <w:spacing w:line="360" w:lineRule="auto"/>
        <w:jc w:val="both"/>
      </w:pPr>
      <w:r w:rsidRPr="00940C55">
        <w:t>[1</w:t>
      </w:r>
      <w:r>
        <w:t>7</w:t>
      </w:r>
      <w:r w:rsidRPr="00940C55">
        <w:t xml:space="preserve">] </w:t>
      </w:r>
      <w:r w:rsidRPr="00940C55">
        <w:tab/>
      </w:r>
      <w:proofErr w:type="spellStart"/>
      <w:r w:rsidRPr="00940C55">
        <w:t>Corthout</w:t>
      </w:r>
      <w:proofErr w:type="spellEnd"/>
      <w:r w:rsidRPr="00940C55">
        <w:t xml:space="preserve"> J, Pieters L, Claeys M, et al. Antibacterial and </w:t>
      </w:r>
      <w:proofErr w:type="spellStart"/>
      <w:r w:rsidRPr="00940C55">
        <w:t>Molluscicidal</w:t>
      </w:r>
      <w:proofErr w:type="spellEnd"/>
      <w:r w:rsidRPr="00940C55">
        <w:t xml:space="preserve"> Phenolic Acids from Spondias mombin. Planta Med [Internet]. </w:t>
      </w:r>
      <w:proofErr w:type="gramStart"/>
      <w:r w:rsidRPr="00940C55">
        <w:t>1994;60:460</w:t>
      </w:r>
      <w:proofErr w:type="gramEnd"/>
      <w:r w:rsidRPr="00940C55">
        <w:t xml:space="preserve">–463. </w:t>
      </w:r>
    </w:p>
    <w:p w14:paraId="22DBF97B" w14:textId="21CEA14C" w:rsidR="00B226A5" w:rsidRDefault="00B226A5" w:rsidP="001C1840">
      <w:pPr>
        <w:spacing w:line="360" w:lineRule="auto"/>
        <w:jc w:val="both"/>
      </w:pPr>
      <w:r w:rsidRPr="00940C55">
        <w:t>[1</w:t>
      </w:r>
      <w:r>
        <w:t>8</w:t>
      </w:r>
      <w:r w:rsidRPr="00940C55">
        <w:t xml:space="preserve">] </w:t>
      </w:r>
      <w:r w:rsidRPr="00940C55">
        <w:tab/>
        <w:t xml:space="preserve">H.C.C M, A.N O, C.E U, et al. Phytochemical, antioxidant and microbial inhibitory effects of Spondias mombin leaf and stem bark extracts. IOSR J Pharm </w:t>
      </w:r>
      <w:proofErr w:type="spellStart"/>
      <w:r w:rsidRPr="00940C55">
        <w:t>Biol</w:t>
      </w:r>
      <w:proofErr w:type="spellEnd"/>
      <w:r w:rsidRPr="00940C55">
        <w:t xml:space="preserve"> Sci. </w:t>
      </w:r>
      <w:proofErr w:type="gramStart"/>
      <w:r w:rsidRPr="00940C55">
        <w:t>2014;9:14</w:t>
      </w:r>
      <w:proofErr w:type="gramEnd"/>
      <w:r w:rsidRPr="00940C55">
        <w:t>–17.</w:t>
      </w:r>
    </w:p>
    <w:p w14:paraId="3FF76346" w14:textId="700BC2C4" w:rsidR="00B226A5" w:rsidRDefault="00B226A5" w:rsidP="001C1840">
      <w:pPr>
        <w:spacing w:line="360" w:lineRule="auto"/>
        <w:jc w:val="both"/>
      </w:pPr>
      <w:r w:rsidRPr="00216EB1">
        <w:t>[1</w:t>
      </w:r>
      <w:r>
        <w:t>9</w:t>
      </w:r>
      <w:r w:rsidRPr="00216EB1">
        <w:t xml:space="preserve">] </w:t>
      </w:r>
      <w:r w:rsidRPr="00216EB1">
        <w:tab/>
        <w:t xml:space="preserve">Oliveira IMM de. </w:t>
      </w:r>
      <w:proofErr w:type="spellStart"/>
      <w:r w:rsidRPr="00216EB1">
        <w:t>Avaliação</w:t>
      </w:r>
      <w:proofErr w:type="spellEnd"/>
      <w:r w:rsidRPr="00216EB1">
        <w:t xml:space="preserve"> do </w:t>
      </w:r>
      <w:proofErr w:type="spellStart"/>
      <w:r w:rsidRPr="00216EB1">
        <w:t>potencial</w:t>
      </w:r>
      <w:proofErr w:type="spellEnd"/>
      <w:r w:rsidRPr="00216EB1">
        <w:t xml:space="preserve"> </w:t>
      </w:r>
      <w:proofErr w:type="spellStart"/>
      <w:r w:rsidRPr="00216EB1">
        <w:t>antimicrobiano</w:t>
      </w:r>
      <w:proofErr w:type="spellEnd"/>
      <w:r w:rsidRPr="00216EB1">
        <w:t xml:space="preserve"> de </w:t>
      </w:r>
      <w:proofErr w:type="spellStart"/>
      <w:r w:rsidRPr="00216EB1">
        <w:t>extratos</w:t>
      </w:r>
      <w:proofErr w:type="spellEnd"/>
      <w:r w:rsidRPr="00216EB1">
        <w:t xml:space="preserve"> de </w:t>
      </w:r>
      <w:proofErr w:type="spellStart"/>
      <w:r w:rsidRPr="00216EB1">
        <w:t>plantas</w:t>
      </w:r>
      <w:proofErr w:type="spellEnd"/>
      <w:r w:rsidRPr="00216EB1">
        <w:t xml:space="preserve"> do </w:t>
      </w:r>
      <w:proofErr w:type="spellStart"/>
      <w:r w:rsidRPr="00216EB1">
        <w:t>cerrado</w:t>
      </w:r>
      <w:proofErr w:type="spellEnd"/>
      <w:r w:rsidRPr="00216EB1">
        <w:t>. 2020.</w:t>
      </w:r>
    </w:p>
    <w:p w14:paraId="245BD2A5" w14:textId="34DAF90F" w:rsidR="00B226A5" w:rsidRDefault="00B226A5" w:rsidP="001C1840">
      <w:pPr>
        <w:spacing w:line="360" w:lineRule="auto"/>
        <w:jc w:val="both"/>
      </w:pPr>
      <w:r w:rsidRPr="00940C55">
        <w:t>[</w:t>
      </w:r>
      <w:r>
        <w:t>20</w:t>
      </w:r>
      <w:r w:rsidRPr="00940C55">
        <w:t xml:space="preserve">] </w:t>
      </w:r>
      <w:r w:rsidRPr="00940C55">
        <w:tab/>
      </w:r>
      <w:proofErr w:type="spellStart"/>
      <w:r w:rsidRPr="00940C55">
        <w:t>Oludare</w:t>
      </w:r>
      <w:proofErr w:type="spellEnd"/>
      <w:r w:rsidRPr="00940C55">
        <w:t xml:space="preserve"> Temitope O, </w:t>
      </w:r>
      <w:proofErr w:type="spellStart"/>
      <w:r w:rsidRPr="00940C55">
        <w:t>Fasusi</w:t>
      </w:r>
      <w:proofErr w:type="spellEnd"/>
      <w:r w:rsidRPr="00940C55">
        <w:t xml:space="preserve"> O, </w:t>
      </w:r>
      <w:proofErr w:type="spellStart"/>
      <w:r w:rsidRPr="00940C55">
        <w:t>Thonda</w:t>
      </w:r>
      <w:proofErr w:type="spellEnd"/>
      <w:r w:rsidRPr="00940C55">
        <w:t xml:space="preserve"> A, et al. ISSN 2347-954X (Print) Synergistic Antibacterial and Antifungal Activities of Spondias mombin Extracts and Conventional Antibiotic and Antifungal Agents on Selected Clinical Microorganisms. Sch J Appl Med Sci (SJAMS. </w:t>
      </w:r>
      <w:proofErr w:type="gramStart"/>
      <w:r w:rsidRPr="00940C55">
        <w:t>2017;5:307</w:t>
      </w:r>
      <w:proofErr w:type="gramEnd"/>
      <w:r w:rsidRPr="00940C55">
        <w:t>–318.</w:t>
      </w:r>
    </w:p>
    <w:p w14:paraId="1EE4205C" w14:textId="14D3A2A0" w:rsidR="00B226A5" w:rsidRDefault="00B226A5" w:rsidP="001C1840">
      <w:pPr>
        <w:spacing w:line="360" w:lineRule="auto"/>
        <w:jc w:val="both"/>
      </w:pPr>
      <w:r w:rsidRPr="00940C55">
        <w:t>[</w:t>
      </w:r>
      <w:r>
        <w:t>2</w:t>
      </w:r>
      <w:r w:rsidRPr="00940C55">
        <w:t xml:space="preserve">1] </w:t>
      </w:r>
      <w:r w:rsidRPr="00940C55">
        <w:tab/>
        <w:t xml:space="preserve">Lima IPA de, Alves RAH, Mayer J de SL, et al. </w:t>
      </w:r>
      <w:proofErr w:type="gramStart"/>
      <w:r w:rsidRPr="00940C55">
        <w:t>Antimicrobial</w:t>
      </w:r>
      <w:proofErr w:type="gramEnd"/>
      <w:r w:rsidRPr="00940C55">
        <w:t xml:space="preserve"> activity of Spondias mombin L. aqueous and hydroethanolic extracts on Enterococcus faecalis and Pseudomonas aeruginosa - an in vitro study. Res Soc Dev. 2021;</w:t>
      </w:r>
      <w:proofErr w:type="gramStart"/>
      <w:r w:rsidRPr="00940C55">
        <w:t>10:e</w:t>
      </w:r>
      <w:proofErr w:type="gramEnd"/>
      <w:r w:rsidRPr="00940C55">
        <w:t>50710111949.</w:t>
      </w:r>
    </w:p>
    <w:p w14:paraId="5F9E33FA" w14:textId="4336A588" w:rsidR="00B226A5" w:rsidRDefault="00B226A5" w:rsidP="001C1840">
      <w:pPr>
        <w:spacing w:line="360" w:lineRule="auto"/>
        <w:jc w:val="both"/>
      </w:pPr>
      <w:r w:rsidRPr="00940C55">
        <w:t>[</w:t>
      </w:r>
      <w:r>
        <w:t>22</w:t>
      </w:r>
      <w:r w:rsidRPr="00940C55">
        <w:t xml:space="preserve">] </w:t>
      </w:r>
      <w:r w:rsidRPr="00940C55">
        <w:tab/>
        <w:t xml:space="preserve">Wena L, Haddad M, </w:t>
      </w:r>
      <w:proofErr w:type="spellStart"/>
      <w:r w:rsidRPr="00940C55">
        <w:t>Fernándezd</w:t>
      </w:r>
      <w:proofErr w:type="spellEnd"/>
      <w:r w:rsidRPr="00940C55">
        <w:t xml:space="preserve"> I, et al. </w:t>
      </w:r>
      <w:proofErr w:type="spellStart"/>
      <w:r w:rsidRPr="00940C55">
        <w:t>Actividad</w:t>
      </w:r>
      <w:proofErr w:type="spellEnd"/>
      <w:r w:rsidRPr="00940C55">
        <w:t xml:space="preserve"> </w:t>
      </w:r>
      <w:proofErr w:type="spellStart"/>
      <w:r w:rsidRPr="00940C55">
        <w:t>antifúngica</w:t>
      </w:r>
      <w:proofErr w:type="spellEnd"/>
      <w:r w:rsidRPr="00940C55">
        <w:t xml:space="preserve"> de </w:t>
      </w:r>
      <w:proofErr w:type="spellStart"/>
      <w:r w:rsidRPr="00940C55">
        <w:t>cuatro</w:t>
      </w:r>
      <w:proofErr w:type="spellEnd"/>
      <w:r w:rsidRPr="00940C55">
        <w:t xml:space="preserve"> </w:t>
      </w:r>
      <w:proofErr w:type="spellStart"/>
      <w:r w:rsidRPr="00940C55">
        <w:t>plantas</w:t>
      </w:r>
      <w:proofErr w:type="spellEnd"/>
      <w:r w:rsidRPr="00940C55">
        <w:t xml:space="preserve"> </w:t>
      </w:r>
      <w:proofErr w:type="spellStart"/>
      <w:r w:rsidRPr="00940C55">
        <w:t>usadas</w:t>
      </w:r>
      <w:proofErr w:type="spellEnd"/>
      <w:r w:rsidRPr="00940C55">
        <w:t xml:space="preserve"> </w:t>
      </w:r>
      <w:proofErr w:type="spellStart"/>
      <w:r w:rsidRPr="00940C55">
        <w:t>en</w:t>
      </w:r>
      <w:proofErr w:type="spellEnd"/>
      <w:r w:rsidRPr="00940C55">
        <w:t xml:space="preserve"> la </w:t>
      </w:r>
      <w:proofErr w:type="spellStart"/>
      <w:r w:rsidRPr="00940C55">
        <w:t>medicina</w:t>
      </w:r>
      <w:proofErr w:type="spellEnd"/>
      <w:r w:rsidRPr="00940C55">
        <w:t xml:space="preserve"> </w:t>
      </w:r>
      <w:proofErr w:type="spellStart"/>
      <w:r w:rsidRPr="00940C55">
        <w:t>tradicional</w:t>
      </w:r>
      <w:proofErr w:type="spellEnd"/>
      <w:r w:rsidRPr="00940C55">
        <w:t xml:space="preserve"> peruana. </w:t>
      </w:r>
      <w:proofErr w:type="spellStart"/>
      <w:r w:rsidRPr="00940C55">
        <w:t>Aislamiento</w:t>
      </w:r>
      <w:proofErr w:type="spellEnd"/>
      <w:r w:rsidRPr="00940C55">
        <w:t xml:space="preserve"> de 3’- </w:t>
      </w:r>
      <w:proofErr w:type="spellStart"/>
      <w:r w:rsidRPr="00940C55">
        <w:t>formil</w:t>
      </w:r>
      <w:proofErr w:type="spellEnd"/>
      <w:r w:rsidRPr="00940C55">
        <w:t xml:space="preserve"> </w:t>
      </w:r>
      <w:r w:rsidRPr="00940C55">
        <w:softHyphen/>
        <w:t xml:space="preserve"> 2’,4’,6’ </w:t>
      </w:r>
      <w:r w:rsidRPr="00940C55">
        <w:softHyphen/>
        <w:t xml:space="preserve"> </w:t>
      </w:r>
      <w:proofErr w:type="spellStart"/>
      <w:r w:rsidRPr="00940C55">
        <w:t>trihidroxidihidrochalcona</w:t>
      </w:r>
      <w:proofErr w:type="spellEnd"/>
      <w:r w:rsidRPr="00940C55">
        <w:t xml:space="preserve">, principio </w:t>
      </w:r>
      <w:proofErr w:type="spellStart"/>
      <w:r w:rsidRPr="00940C55">
        <w:t>activo</w:t>
      </w:r>
      <w:proofErr w:type="spellEnd"/>
      <w:r w:rsidRPr="00940C55">
        <w:t xml:space="preserve"> de Psidium </w:t>
      </w:r>
      <w:proofErr w:type="spellStart"/>
      <w:r w:rsidRPr="00940C55">
        <w:t>acutangulum</w:t>
      </w:r>
      <w:proofErr w:type="spellEnd"/>
      <w:r w:rsidRPr="00940C55">
        <w:t xml:space="preserve">. Rev la Soc </w:t>
      </w:r>
      <w:proofErr w:type="spellStart"/>
      <w:r w:rsidRPr="00940C55">
        <w:t>Química</w:t>
      </w:r>
      <w:proofErr w:type="spellEnd"/>
      <w:r w:rsidRPr="00940C55">
        <w:t xml:space="preserve"> del Perú. </w:t>
      </w:r>
      <w:proofErr w:type="gramStart"/>
      <w:r w:rsidRPr="00940C55">
        <w:t>2011;77:199</w:t>
      </w:r>
      <w:proofErr w:type="gramEnd"/>
      <w:r w:rsidRPr="00940C55">
        <w:t>–204.</w:t>
      </w:r>
    </w:p>
    <w:p w14:paraId="22793683" w14:textId="4323C492" w:rsidR="00B226A5" w:rsidRDefault="00B226A5" w:rsidP="001C1840">
      <w:pPr>
        <w:spacing w:line="360" w:lineRule="auto"/>
        <w:jc w:val="both"/>
      </w:pPr>
      <w:r w:rsidRPr="00940C55">
        <w:lastRenderedPageBreak/>
        <w:t>[</w:t>
      </w:r>
      <w:r>
        <w:t>23</w:t>
      </w:r>
      <w:r w:rsidRPr="00940C55">
        <w:t xml:space="preserve">] </w:t>
      </w:r>
      <w:r w:rsidRPr="00940C55">
        <w:tab/>
        <w:t xml:space="preserve">Irène AK, Paulin AY, Moussa S. Bactericidal activities of the leaf extract of Spondias mombin L. plant used for culinary and therapeutically purposes in Ivory Coast. J </w:t>
      </w:r>
      <w:proofErr w:type="spellStart"/>
      <w:r w:rsidRPr="00940C55">
        <w:t>Microbiol</w:t>
      </w:r>
      <w:proofErr w:type="spellEnd"/>
      <w:r w:rsidRPr="00940C55">
        <w:t xml:space="preserve"> </w:t>
      </w:r>
      <w:proofErr w:type="spellStart"/>
      <w:r w:rsidRPr="00940C55">
        <w:t>Antimicrob</w:t>
      </w:r>
      <w:proofErr w:type="spellEnd"/>
      <w:r w:rsidRPr="00940C55">
        <w:t xml:space="preserve">. </w:t>
      </w:r>
      <w:proofErr w:type="gramStart"/>
      <w:r w:rsidRPr="00940C55">
        <w:t>2020;12:1</w:t>
      </w:r>
      <w:proofErr w:type="gramEnd"/>
      <w:r w:rsidRPr="00940C55">
        <w:t>–16.</w:t>
      </w:r>
    </w:p>
    <w:p w14:paraId="76E3B9EB" w14:textId="34489B80" w:rsidR="00B226A5" w:rsidRDefault="00B226A5" w:rsidP="001C1840">
      <w:pPr>
        <w:spacing w:line="360" w:lineRule="auto"/>
        <w:jc w:val="both"/>
      </w:pPr>
      <w:r w:rsidRPr="00940C55">
        <w:t>[</w:t>
      </w:r>
      <w:r>
        <w:t>24</w:t>
      </w:r>
      <w:r w:rsidRPr="00940C55">
        <w:t xml:space="preserve">] </w:t>
      </w:r>
      <w:r w:rsidRPr="00940C55">
        <w:tab/>
        <w:t xml:space="preserve">Siqueira EMDS, Lima TLC, Boff L, et al. Antiviral Potential of Spondias mombin </w:t>
      </w:r>
      <w:proofErr w:type="spellStart"/>
      <w:r w:rsidRPr="00940C55">
        <w:t>LLeaves</w:t>
      </w:r>
      <w:proofErr w:type="spellEnd"/>
      <w:r w:rsidRPr="00940C55">
        <w:t xml:space="preserve"> Extract against Herpes Simplex Virus Type-1 Replication Using in Vitro and in Silico Approaches. Planta Med. 2020;86.</w:t>
      </w:r>
    </w:p>
    <w:p w14:paraId="3CC78303" w14:textId="1BC31CCB" w:rsidR="001638DA" w:rsidRPr="00216EB1" w:rsidRDefault="001638DA" w:rsidP="001C1840">
      <w:pPr>
        <w:spacing w:line="360" w:lineRule="auto"/>
        <w:jc w:val="both"/>
      </w:pPr>
      <w:r w:rsidRPr="008E69FC">
        <w:t>[</w:t>
      </w:r>
      <w:r>
        <w:t>25</w:t>
      </w:r>
      <w:r w:rsidRPr="008E69FC">
        <w:t xml:space="preserve">] </w:t>
      </w:r>
      <w:r w:rsidRPr="008E69FC">
        <w:tab/>
      </w:r>
      <w:proofErr w:type="spellStart"/>
      <w:r w:rsidRPr="008E69FC">
        <w:t>Mosmann</w:t>
      </w:r>
      <w:proofErr w:type="spellEnd"/>
      <w:r w:rsidRPr="008E69FC">
        <w:t xml:space="preserve"> T. Rapid colorimetric assay for cellular growth and survival: Application to proliferation and cytotoxicity assays. J Immunol Methods. 1983;65.</w:t>
      </w:r>
    </w:p>
    <w:p w14:paraId="35C90D84" w14:textId="44BED03F" w:rsidR="009713AB" w:rsidRPr="008E69FC" w:rsidRDefault="009713AB" w:rsidP="001C1840">
      <w:pPr>
        <w:spacing w:line="360" w:lineRule="auto"/>
        <w:jc w:val="both"/>
      </w:pPr>
      <w:r w:rsidRPr="008E69FC">
        <w:t>[</w:t>
      </w:r>
      <w:r>
        <w:t>26</w:t>
      </w:r>
      <w:r w:rsidRPr="008E69FC">
        <w:t xml:space="preserve">] </w:t>
      </w:r>
      <w:r w:rsidRPr="008E69FC">
        <w:tab/>
      </w:r>
      <w:proofErr w:type="spellStart"/>
      <w:r w:rsidRPr="008E69FC">
        <w:t>Michelon</w:t>
      </w:r>
      <w:proofErr w:type="spellEnd"/>
      <w:r w:rsidRPr="008E69FC">
        <w:t xml:space="preserve"> CM, </w:t>
      </w:r>
      <w:proofErr w:type="spellStart"/>
      <w:r w:rsidRPr="008E69FC">
        <w:t>Timboni</w:t>
      </w:r>
      <w:proofErr w:type="spellEnd"/>
      <w:r w:rsidRPr="008E69FC">
        <w:t xml:space="preserve"> D, </w:t>
      </w:r>
      <w:proofErr w:type="spellStart"/>
      <w:r w:rsidRPr="008E69FC">
        <w:t>Orben</w:t>
      </w:r>
      <w:proofErr w:type="spellEnd"/>
      <w:r w:rsidRPr="008E69FC">
        <w:t xml:space="preserve"> A, et al. Plant extracts of popular use against oral infections </w:t>
      </w:r>
      <w:proofErr w:type="spellStart"/>
      <w:r w:rsidRPr="008E69FC">
        <w:t>Extractos</w:t>
      </w:r>
      <w:proofErr w:type="spellEnd"/>
      <w:r w:rsidRPr="008E69FC">
        <w:t xml:space="preserve"> de </w:t>
      </w:r>
      <w:proofErr w:type="spellStart"/>
      <w:r w:rsidRPr="008E69FC">
        <w:t>plantas</w:t>
      </w:r>
      <w:proofErr w:type="spellEnd"/>
      <w:r w:rsidRPr="008E69FC">
        <w:t xml:space="preserve"> de </w:t>
      </w:r>
      <w:proofErr w:type="spellStart"/>
      <w:r w:rsidRPr="008E69FC">
        <w:t>uso</w:t>
      </w:r>
      <w:proofErr w:type="spellEnd"/>
      <w:r w:rsidRPr="008E69FC">
        <w:t xml:space="preserve"> popular contra </w:t>
      </w:r>
      <w:proofErr w:type="spellStart"/>
      <w:r w:rsidRPr="008E69FC">
        <w:t>infecciones</w:t>
      </w:r>
      <w:proofErr w:type="spellEnd"/>
      <w:r w:rsidRPr="008E69FC">
        <w:t xml:space="preserve"> </w:t>
      </w:r>
      <w:proofErr w:type="spellStart"/>
      <w:r w:rsidRPr="008E69FC">
        <w:t>orales</w:t>
      </w:r>
      <w:proofErr w:type="spellEnd"/>
      <w:r w:rsidRPr="008E69FC">
        <w:t xml:space="preserve">. </w:t>
      </w:r>
      <w:proofErr w:type="gramStart"/>
      <w:r w:rsidRPr="008E69FC">
        <w:t>2015;29:506</w:t>
      </w:r>
      <w:proofErr w:type="gramEnd"/>
      <w:r w:rsidRPr="008E69FC">
        <w:t>–514.</w:t>
      </w:r>
    </w:p>
    <w:p w14:paraId="62EEC9CA" w14:textId="00674BC4" w:rsidR="000B39A1" w:rsidRPr="008E69FC" w:rsidRDefault="000B39A1" w:rsidP="001C1840">
      <w:pPr>
        <w:spacing w:line="360" w:lineRule="auto"/>
        <w:jc w:val="both"/>
        <w:rPr>
          <w:color w:val="000000"/>
        </w:rPr>
      </w:pPr>
      <w:r w:rsidRPr="008E69FC">
        <w:t>[</w:t>
      </w:r>
      <w:r>
        <w:t>27</w:t>
      </w:r>
      <w:r w:rsidRPr="008E69FC">
        <w:t xml:space="preserve">] </w:t>
      </w:r>
      <w:r w:rsidRPr="008E69FC">
        <w:tab/>
        <w:t xml:space="preserve">Silveira LM da S, Olea RSG, Mesquita JS, et al. </w:t>
      </w:r>
      <w:proofErr w:type="spellStart"/>
      <w:r w:rsidRPr="008E69FC">
        <w:t>Metodologias</w:t>
      </w:r>
      <w:proofErr w:type="spellEnd"/>
      <w:r w:rsidRPr="008E69FC">
        <w:t xml:space="preserve"> de </w:t>
      </w:r>
      <w:proofErr w:type="spellStart"/>
      <w:r w:rsidRPr="008E69FC">
        <w:t>atividade</w:t>
      </w:r>
      <w:proofErr w:type="spellEnd"/>
      <w:r w:rsidRPr="008E69FC">
        <w:t xml:space="preserve"> </w:t>
      </w:r>
      <w:proofErr w:type="spellStart"/>
      <w:r w:rsidRPr="008E69FC">
        <w:t>antimicrobiana</w:t>
      </w:r>
      <w:proofErr w:type="spellEnd"/>
      <w:r w:rsidRPr="008E69FC">
        <w:t xml:space="preserve"> </w:t>
      </w:r>
      <w:proofErr w:type="spellStart"/>
      <w:r w:rsidRPr="008E69FC">
        <w:t>aplicadas</w:t>
      </w:r>
      <w:proofErr w:type="spellEnd"/>
      <w:r w:rsidRPr="008E69FC">
        <w:t xml:space="preserve"> </w:t>
      </w:r>
      <w:proofErr w:type="gramStart"/>
      <w:r w:rsidRPr="008E69FC">
        <w:t>a</w:t>
      </w:r>
      <w:proofErr w:type="gramEnd"/>
      <w:r w:rsidRPr="008E69FC">
        <w:t xml:space="preserve"> </w:t>
      </w:r>
      <w:proofErr w:type="spellStart"/>
      <w:r w:rsidRPr="008E69FC">
        <w:t>extratos</w:t>
      </w:r>
      <w:proofErr w:type="spellEnd"/>
      <w:r w:rsidRPr="008E69FC">
        <w:t xml:space="preserve"> de </w:t>
      </w:r>
      <w:proofErr w:type="spellStart"/>
      <w:r w:rsidRPr="008E69FC">
        <w:t>plantas</w:t>
      </w:r>
      <w:proofErr w:type="spellEnd"/>
      <w:r w:rsidRPr="008E69FC">
        <w:t xml:space="preserve">: </w:t>
      </w:r>
      <w:proofErr w:type="spellStart"/>
      <w:r w:rsidRPr="008E69FC">
        <w:t>comparação</w:t>
      </w:r>
      <w:proofErr w:type="spellEnd"/>
      <w:r w:rsidRPr="008E69FC">
        <w:t xml:space="preserve"> entre </w:t>
      </w:r>
      <w:proofErr w:type="spellStart"/>
      <w:r w:rsidRPr="008E69FC">
        <w:t>duas</w:t>
      </w:r>
      <w:proofErr w:type="spellEnd"/>
      <w:r w:rsidRPr="008E69FC">
        <w:t xml:space="preserve"> </w:t>
      </w:r>
      <w:proofErr w:type="spellStart"/>
      <w:r w:rsidRPr="008E69FC">
        <w:t>técnicas</w:t>
      </w:r>
      <w:proofErr w:type="spellEnd"/>
      <w:r w:rsidRPr="008E69FC">
        <w:t xml:space="preserve"> de </w:t>
      </w:r>
      <w:proofErr w:type="spellStart"/>
      <w:r w:rsidRPr="008E69FC">
        <w:t>ágar</w:t>
      </w:r>
      <w:proofErr w:type="spellEnd"/>
      <w:r w:rsidRPr="008E69FC">
        <w:t xml:space="preserve"> </w:t>
      </w:r>
      <w:proofErr w:type="spellStart"/>
      <w:r w:rsidRPr="008E69FC">
        <w:t>difusão</w:t>
      </w:r>
      <w:proofErr w:type="spellEnd"/>
      <w:r w:rsidRPr="008E69FC">
        <w:t xml:space="preserve"> Antimicrobial activity methodologies applied to plants extracts: comparison between two agar diffusion techniques. Rev Bras Farm Rev Bras Farm. </w:t>
      </w:r>
      <w:proofErr w:type="gramStart"/>
      <w:r w:rsidRPr="008E69FC">
        <w:t>2009;90:124</w:t>
      </w:r>
      <w:proofErr w:type="gramEnd"/>
      <w:r w:rsidRPr="008E69FC">
        <w:t>–128.</w:t>
      </w:r>
    </w:p>
    <w:p w14:paraId="06FA8536" w14:textId="03206E68" w:rsidR="0081026D" w:rsidRDefault="0081026D" w:rsidP="001C1840">
      <w:pPr>
        <w:spacing w:line="360" w:lineRule="auto"/>
        <w:jc w:val="both"/>
      </w:pPr>
      <w:r w:rsidRPr="008E69FC">
        <w:t>[</w:t>
      </w:r>
      <w:r w:rsidR="00FE0007">
        <w:t>2</w:t>
      </w:r>
      <w:r w:rsidR="000205B5">
        <w:t>8</w:t>
      </w:r>
      <w:r w:rsidRPr="008E69FC">
        <w:t xml:space="preserve">] </w:t>
      </w:r>
      <w:r w:rsidRPr="008E69FC">
        <w:tab/>
        <w:t xml:space="preserve">Lima PV, Duarte SFP. </w:t>
      </w:r>
      <w:proofErr w:type="spellStart"/>
      <w:r w:rsidRPr="008E69FC">
        <w:t>Prevalência</w:t>
      </w:r>
      <w:proofErr w:type="spellEnd"/>
      <w:r w:rsidRPr="008E69FC">
        <w:t xml:space="preserve"> de </w:t>
      </w:r>
      <w:proofErr w:type="spellStart"/>
      <w:r w:rsidRPr="008E69FC">
        <w:t>obesidade</w:t>
      </w:r>
      <w:proofErr w:type="spellEnd"/>
      <w:r w:rsidRPr="008E69FC">
        <w:t xml:space="preserve"> em </w:t>
      </w:r>
      <w:proofErr w:type="spellStart"/>
      <w:r w:rsidRPr="008E69FC">
        <w:t>idosos</w:t>
      </w:r>
      <w:proofErr w:type="spellEnd"/>
      <w:r w:rsidRPr="008E69FC">
        <w:t xml:space="preserve"> e </w:t>
      </w:r>
      <w:proofErr w:type="spellStart"/>
      <w:r w:rsidRPr="008E69FC">
        <w:t>sua</w:t>
      </w:r>
      <w:proofErr w:type="spellEnd"/>
      <w:r w:rsidRPr="008E69FC">
        <w:t xml:space="preserve"> </w:t>
      </w:r>
      <w:proofErr w:type="spellStart"/>
      <w:r w:rsidRPr="008E69FC">
        <w:t>relação</w:t>
      </w:r>
      <w:proofErr w:type="spellEnd"/>
      <w:r w:rsidRPr="008E69FC">
        <w:t xml:space="preserve"> com </w:t>
      </w:r>
      <w:proofErr w:type="spellStart"/>
      <w:r w:rsidRPr="008E69FC">
        <w:t>hipertensão</w:t>
      </w:r>
      <w:proofErr w:type="spellEnd"/>
      <w:r w:rsidRPr="008E69FC">
        <w:t xml:space="preserve"> e diabetes. Rev </w:t>
      </w:r>
      <w:proofErr w:type="spellStart"/>
      <w:r w:rsidRPr="008E69FC">
        <w:t>InterScientia</w:t>
      </w:r>
      <w:proofErr w:type="spellEnd"/>
      <w:r w:rsidRPr="008E69FC">
        <w:t xml:space="preserve"> [Internet]. </w:t>
      </w:r>
      <w:proofErr w:type="gramStart"/>
      <w:r w:rsidRPr="008E69FC">
        <w:t>2013;1:80</w:t>
      </w:r>
      <w:proofErr w:type="gramEnd"/>
      <w:r w:rsidRPr="008E69FC">
        <w:t xml:space="preserve">–92. </w:t>
      </w:r>
    </w:p>
    <w:p w14:paraId="41014D6D" w14:textId="1ADC18FE" w:rsidR="0081026D" w:rsidRDefault="0081026D" w:rsidP="001C1840">
      <w:pPr>
        <w:spacing w:line="360" w:lineRule="auto"/>
        <w:jc w:val="both"/>
      </w:pPr>
      <w:r w:rsidRPr="00940C55">
        <w:t>[</w:t>
      </w:r>
      <w:r w:rsidR="000205B5">
        <w:t>29</w:t>
      </w:r>
      <w:r w:rsidRPr="00940C55">
        <w:t xml:space="preserve">] </w:t>
      </w:r>
      <w:r w:rsidRPr="00940C55">
        <w:tab/>
        <w:t xml:space="preserve">Weng CJ, Yen GC. Flavonoids, a ubiquitous dietary phenolic subclass, exert extensive in vitro anti-invasive and in vivo anti-metastatic activities. Cancer Metastasis Rev. </w:t>
      </w:r>
      <w:proofErr w:type="gramStart"/>
      <w:r w:rsidRPr="00940C55">
        <w:t>2012;31:323</w:t>
      </w:r>
      <w:proofErr w:type="gramEnd"/>
      <w:r w:rsidRPr="00940C55">
        <w:t>–351.</w:t>
      </w:r>
    </w:p>
    <w:p w14:paraId="1B4C81FA" w14:textId="0291C0BC" w:rsidR="0081026D" w:rsidRDefault="0081026D" w:rsidP="001C1840">
      <w:pPr>
        <w:spacing w:line="360" w:lineRule="auto"/>
        <w:jc w:val="both"/>
      </w:pPr>
      <w:r w:rsidRPr="00940C55">
        <w:t>[</w:t>
      </w:r>
      <w:r>
        <w:t>3</w:t>
      </w:r>
      <w:r w:rsidR="000205B5">
        <w:t>0</w:t>
      </w:r>
      <w:r w:rsidRPr="00940C55">
        <w:t xml:space="preserve">] </w:t>
      </w:r>
      <w:r w:rsidRPr="00940C55">
        <w:tab/>
      </w:r>
      <w:proofErr w:type="spellStart"/>
      <w:r w:rsidRPr="00940C55">
        <w:t>Wedick</w:t>
      </w:r>
      <w:proofErr w:type="spellEnd"/>
      <w:r w:rsidRPr="00940C55">
        <w:t xml:space="preserve"> NM, Pan A, Cassidy A, et al. Dietary flavonoid intakes and risk of type 2 diabetes in US men and women. Am J Clin </w:t>
      </w:r>
      <w:proofErr w:type="spellStart"/>
      <w:r w:rsidRPr="00940C55">
        <w:t>Nutr</w:t>
      </w:r>
      <w:proofErr w:type="spellEnd"/>
      <w:r w:rsidRPr="00940C55">
        <w:t xml:space="preserve">. </w:t>
      </w:r>
      <w:proofErr w:type="gramStart"/>
      <w:r w:rsidRPr="00940C55">
        <w:t>2012;95:925</w:t>
      </w:r>
      <w:proofErr w:type="gramEnd"/>
      <w:r w:rsidRPr="00940C55">
        <w:t>–933.</w:t>
      </w:r>
    </w:p>
    <w:p w14:paraId="174F5344" w14:textId="6ACE6F46" w:rsidR="0081026D" w:rsidRDefault="0081026D" w:rsidP="001C1840">
      <w:pPr>
        <w:spacing w:line="360" w:lineRule="auto"/>
        <w:jc w:val="both"/>
      </w:pPr>
      <w:r w:rsidRPr="00940C55">
        <w:t>[</w:t>
      </w:r>
      <w:r w:rsidR="00CA2EEC">
        <w:t>3</w:t>
      </w:r>
      <w:r w:rsidR="000205B5">
        <w:t>1</w:t>
      </w:r>
      <w:r w:rsidRPr="00940C55">
        <w:t xml:space="preserve">] </w:t>
      </w:r>
      <w:r w:rsidRPr="00940C55">
        <w:tab/>
        <w:t xml:space="preserve">Hwang SL, Shih PH, Yen GC. Neuroprotective effects of citrus flavonoids. J Agric Food Chem. </w:t>
      </w:r>
      <w:proofErr w:type="gramStart"/>
      <w:r w:rsidRPr="00940C55">
        <w:t>2012;60:877</w:t>
      </w:r>
      <w:proofErr w:type="gramEnd"/>
      <w:r w:rsidRPr="00940C55">
        <w:t>–885.</w:t>
      </w:r>
    </w:p>
    <w:p w14:paraId="25DB6043" w14:textId="7FA07E15" w:rsidR="00CA2EEC" w:rsidRDefault="00CA2EEC" w:rsidP="001C1840">
      <w:pPr>
        <w:spacing w:line="360" w:lineRule="auto"/>
        <w:jc w:val="both"/>
      </w:pPr>
      <w:r w:rsidRPr="00940C55">
        <w:t>[</w:t>
      </w:r>
      <w:r>
        <w:t>3</w:t>
      </w:r>
      <w:r w:rsidR="000205B5">
        <w:t>2</w:t>
      </w:r>
      <w:r w:rsidRPr="00940C55">
        <w:t xml:space="preserve">] </w:t>
      </w:r>
      <w:r w:rsidRPr="00940C55">
        <w:tab/>
        <w:t xml:space="preserve">Hardcastle AC, </w:t>
      </w:r>
      <w:proofErr w:type="spellStart"/>
      <w:r w:rsidRPr="00940C55">
        <w:t>Aucott</w:t>
      </w:r>
      <w:proofErr w:type="spellEnd"/>
      <w:r w:rsidRPr="00940C55">
        <w:t xml:space="preserve"> L, Reid DM, et al. Associations between dietary flavonoid intakes and bone health in a </w:t>
      </w:r>
      <w:proofErr w:type="spellStart"/>
      <w:r w:rsidRPr="00940C55">
        <w:t>scottish</w:t>
      </w:r>
      <w:proofErr w:type="spellEnd"/>
      <w:r w:rsidRPr="00940C55">
        <w:t xml:space="preserve"> population. J Bone Miner Res. </w:t>
      </w:r>
      <w:proofErr w:type="gramStart"/>
      <w:r w:rsidRPr="00940C55">
        <w:t>2011;26:941</w:t>
      </w:r>
      <w:proofErr w:type="gramEnd"/>
      <w:r w:rsidRPr="00940C55">
        <w:t>–947.</w:t>
      </w:r>
    </w:p>
    <w:p w14:paraId="79A88F9A" w14:textId="07F04EF5" w:rsidR="00CA2EEC" w:rsidRDefault="00CA2EEC" w:rsidP="001C1840">
      <w:pPr>
        <w:spacing w:line="360" w:lineRule="auto"/>
        <w:jc w:val="both"/>
      </w:pPr>
      <w:r w:rsidRPr="000B77BF">
        <w:t>[</w:t>
      </w:r>
      <w:r>
        <w:t>3</w:t>
      </w:r>
      <w:r w:rsidR="000205B5">
        <w:t>3</w:t>
      </w:r>
      <w:r w:rsidRPr="000B77BF">
        <w:t xml:space="preserve">] </w:t>
      </w:r>
      <w:r w:rsidRPr="000B77BF">
        <w:tab/>
        <w:t xml:space="preserve">Hooper L, Kroon PA, Rimm EB, et al. Flavonoids, flavonoid-rich foods, and cardiovascular risk: A meta-analysis of randomized controlled trials. Am J Clin </w:t>
      </w:r>
      <w:proofErr w:type="spellStart"/>
      <w:r w:rsidRPr="000B77BF">
        <w:t>Nutr</w:t>
      </w:r>
      <w:proofErr w:type="spellEnd"/>
      <w:r w:rsidRPr="000B77BF">
        <w:t xml:space="preserve">. </w:t>
      </w:r>
      <w:proofErr w:type="gramStart"/>
      <w:r w:rsidRPr="00216EB1">
        <w:t>2008;88:38</w:t>
      </w:r>
      <w:proofErr w:type="gramEnd"/>
      <w:r w:rsidRPr="00216EB1">
        <w:t>–50.</w:t>
      </w:r>
    </w:p>
    <w:p w14:paraId="1BA640CE" w14:textId="28A7A524" w:rsidR="00CA2EEC" w:rsidRDefault="00CA2EEC" w:rsidP="001C1840">
      <w:pPr>
        <w:spacing w:line="360" w:lineRule="auto"/>
        <w:jc w:val="both"/>
      </w:pPr>
      <w:r w:rsidRPr="00940C55">
        <w:t>[</w:t>
      </w:r>
      <w:r>
        <w:t>3</w:t>
      </w:r>
      <w:r w:rsidR="000205B5">
        <w:t>4</w:t>
      </w:r>
      <w:r w:rsidRPr="00940C55">
        <w:t xml:space="preserve">] </w:t>
      </w:r>
      <w:r w:rsidRPr="00940C55">
        <w:tab/>
        <w:t>Cassidy A, Rimm EB, O’Reilly ÉJ, et al. Dietary flavonoids and risk of stroke in women. Stroke. 2012;43.</w:t>
      </w:r>
    </w:p>
    <w:p w14:paraId="05FA0F03" w14:textId="713F7E7F" w:rsidR="00CA2EEC" w:rsidRPr="00940C55" w:rsidRDefault="00CA2EEC" w:rsidP="001C1840">
      <w:pPr>
        <w:spacing w:line="360" w:lineRule="auto"/>
        <w:jc w:val="both"/>
        <w:rPr>
          <w:color w:val="000000"/>
        </w:rPr>
      </w:pPr>
      <w:r w:rsidRPr="00940C55">
        <w:rPr>
          <w:color w:val="000000"/>
        </w:rPr>
        <w:lastRenderedPageBreak/>
        <w:t>[</w:t>
      </w:r>
      <w:r>
        <w:rPr>
          <w:color w:val="000000"/>
        </w:rPr>
        <w:t>3</w:t>
      </w:r>
      <w:r w:rsidR="000205B5">
        <w:rPr>
          <w:color w:val="000000"/>
        </w:rPr>
        <w:t>5</w:t>
      </w:r>
      <w:r w:rsidRPr="00940C55">
        <w:rPr>
          <w:color w:val="000000"/>
        </w:rPr>
        <w:t xml:space="preserve">] </w:t>
      </w:r>
      <w:r w:rsidRPr="00940C55">
        <w:rPr>
          <w:color w:val="000000"/>
        </w:rPr>
        <w:tab/>
        <w:t xml:space="preserve">SILVA EL V. </w:t>
      </w:r>
      <w:proofErr w:type="spellStart"/>
      <w:r w:rsidRPr="00940C55">
        <w:rPr>
          <w:color w:val="000000"/>
        </w:rPr>
        <w:t>Estudo</w:t>
      </w:r>
      <w:proofErr w:type="spellEnd"/>
      <w:r w:rsidRPr="00940C55">
        <w:rPr>
          <w:color w:val="000000"/>
        </w:rPr>
        <w:t xml:space="preserve"> </w:t>
      </w:r>
      <w:proofErr w:type="spellStart"/>
      <w:r w:rsidRPr="00940C55">
        <w:rPr>
          <w:color w:val="000000"/>
        </w:rPr>
        <w:t>toxicológico</w:t>
      </w:r>
      <w:proofErr w:type="spellEnd"/>
      <w:r w:rsidRPr="00940C55">
        <w:rPr>
          <w:color w:val="000000"/>
        </w:rPr>
        <w:t xml:space="preserve"> não </w:t>
      </w:r>
      <w:proofErr w:type="spellStart"/>
      <w:r w:rsidRPr="00940C55">
        <w:rPr>
          <w:color w:val="000000"/>
        </w:rPr>
        <w:t>clínico</w:t>
      </w:r>
      <w:proofErr w:type="spellEnd"/>
      <w:r w:rsidRPr="00940C55">
        <w:rPr>
          <w:color w:val="000000"/>
        </w:rPr>
        <w:t xml:space="preserve"> do </w:t>
      </w:r>
      <w:proofErr w:type="spellStart"/>
      <w:r w:rsidRPr="00940C55">
        <w:rPr>
          <w:color w:val="000000"/>
        </w:rPr>
        <w:t>extrato</w:t>
      </w:r>
      <w:proofErr w:type="spellEnd"/>
      <w:r w:rsidRPr="00940C55">
        <w:rPr>
          <w:color w:val="000000"/>
        </w:rPr>
        <w:t xml:space="preserve"> </w:t>
      </w:r>
      <w:proofErr w:type="spellStart"/>
      <w:r w:rsidRPr="00940C55">
        <w:rPr>
          <w:color w:val="000000"/>
        </w:rPr>
        <w:t>hidroalcoólico</w:t>
      </w:r>
      <w:proofErr w:type="spellEnd"/>
      <w:r w:rsidRPr="00940C55">
        <w:rPr>
          <w:color w:val="000000"/>
        </w:rPr>
        <w:t xml:space="preserve"> de Spondias mombin. </w:t>
      </w:r>
      <w:proofErr w:type="spellStart"/>
      <w:r w:rsidRPr="00940C55">
        <w:rPr>
          <w:color w:val="000000"/>
        </w:rPr>
        <w:t>Universidade</w:t>
      </w:r>
      <w:proofErr w:type="spellEnd"/>
      <w:r w:rsidRPr="00940C55">
        <w:rPr>
          <w:color w:val="000000"/>
        </w:rPr>
        <w:t xml:space="preserve"> Federal de Pernambuco; 2015.</w:t>
      </w:r>
    </w:p>
    <w:p w14:paraId="43E12E53" w14:textId="4FB80AD7" w:rsidR="00D61ECA" w:rsidRDefault="00D61ECA" w:rsidP="001C1840">
      <w:pPr>
        <w:pStyle w:val="Newparagraph"/>
        <w:spacing w:line="360" w:lineRule="auto"/>
        <w:ind w:firstLine="0"/>
      </w:pPr>
    </w:p>
    <w:p w14:paraId="04DF3C25" w14:textId="77777777" w:rsidR="009D6F32" w:rsidRDefault="009D6F32" w:rsidP="001C1840">
      <w:pPr>
        <w:pStyle w:val="Newparagraph"/>
        <w:spacing w:line="360" w:lineRule="auto"/>
        <w:ind w:firstLine="0"/>
      </w:pPr>
    </w:p>
    <w:p w14:paraId="337D0B79" w14:textId="6E97A8EB" w:rsidR="00FE4713" w:rsidRDefault="00FE4713">
      <w:pPr>
        <w:pStyle w:val="Figurecaption"/>
      </w:pPr>
    </w:p>
    <w:sectPr w:rsidR="00FE4713" w:rsidSect="00074B81">
      <w:headerReference w:type="even" r:id="rId12"/>
      <w:headerReference w:type="default" r:id="rId13"/>
      <w:footerReference w:type="even" r:id="rId14"/>
      <w:footerReference w:type="default" r:id="rId15"/>
      <w:headerReference w:type="first" r:id="rId16"/>
      <w:footerReference w:type="first" r:id="rId17"/>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B359E" w14:textId="77777777" w:rsidR="001F38F3" w:rsidRDefault="001F38F3" w:rsidP="00AF2C92">
      <w:r>
        <w:separator/>
      </w:r>
    </w:p>
  </w:endnote>
  <w:endnote w:type="continuationSeparator" w:id="0">
    <w:p w14:paraId="54D48B18" w14:textId="77777777" w:rsidR="001F38F3" w:rsidRDefault="001F38F3"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FC57" w14:textId="77777777" w:rsidR="002211DD" w:rsidRDefault="002211D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A1B8" w14:textId="77777777" w:rsidR="002211DD" w:rsidRDefault="002211D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E11" w14:textId="77777777" w:rsidR="002211DD" w:rsidRDefault="002211D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FFC51" w14:textId="77777777" w:rsidR="001F38F3" w:rsidRDefault="001F38F3" w:rsidP="00AF2C92">
      <w:r>
        <w:separator/>
      </w:r>
    </w:p>
  </w:footnote>
  <w:footnote w:type="continuationSeparator" w:id="0">
    <w:p w14:paraId="494C28BE" w14:textId="77777777" w:rsidR="001F38F3" w:rsidRDefault="001F38F3"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F15F" w14:textId="77777777" w:rsidR="002211DD" w:rsidRDefault="002211D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6F95" w14:textId="77777777" w:rsidR="002211DD" w:rsidRDefault="002211DD">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AFCDD" w14:textId="77777777" w:rsidR="002211DD" w:rsidRDefault="002211D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E605A6"/>
    <w:multiLevelType w:val="multilevel"/>
    <w:tmpl w:val="C3E010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4BDF"/>
    <w:rsid w:val="0000181D"/>
    <w:rsid w:val="00001899"/>
    <w:rsid w:val="000049AD"/>
    <w:rsid w:val="0000681B"/>
    <w:rsid w:val="000133C0"/>
    <w:rsid w:val="00014C4E"/>
    <w:rsid w:val="00017107"/>
    <w:rsid w:val="000202E2"/>
    <w:rsid w:val="000205B5"/>
    <w:rsid w:val="00020F13"/>
    <w:rsid w:val="000210D5"/>
    <w:rsid w:val="00022441"/>
    <w:rsid w:val="0002261E"/>
    <w:rsid w:val="00024839"/>
    <w:rsid w:val="00026871"/>
    <w:rsid w:val="00037A98"/>
    <w:rsid w:val="000427FB"/>
    <w:rsid w:val="0004455E"/>
    <w:rsid w:val="000453F3"/>
    <w:rsid w:val="00047CB5"/>
    <w:rsid w:val="00051FAA"/>
    <w:rsid w:val="0005542F"/>
    <w:rsid w:val="000567A9"/>
    <w:rsid w:val="000572A9"/>
    <w:rsid w:val="00061325"/>
    <w:rsid w:val="000733AC"/>
    <w:rsid w:val="00074B81"/>
    <w:rsid w:val="00074D22"/>
    <w:rsid w:val="00075081"/>
    <w:rsid w:val="0007528A"/>
    <w:rsid w:val="000811AB"/>
    <w:rsid w:val="00083C5F"/>
    <w:rsid w:val="0008774E"/>
    <w:rsid w:val="0009172C"/>
    <w:rsid w:val="000930EC"/>
    <w:rsid w:val="00095E61"/>
    <w:rsid w:val="000966C1"/>
    <w:rsid w:val="000970AC"/>
    <w:rsid w:val="000A1167"/>
    <w:rsid w:val="000A4428"/>
    <w:rsid w:val="000A6D40"/>
    <w:rsid w:val="000A7BC3"/>
    <w:rsid w:val="000B0299"/>
    <w:rsid w:val="000B0A49"/>
    <w:rsid w:val="000B1661"/>
    <w:rsid w:val="000B1F0B"/>
    <w:rsid w:val="000B2E88"/>
    <w:rsid w:val="000B32C6"/>
    <w:rsid w:val="000B39A1"/>
    <w:rsid w:val="000B4603"/>
    <w:rsid w:val="000B5520"/>
    <w:rsid w:val="000B6F80"/>
    <w:rsid w:val="000C09BE"/>
    <w:rsid w:val="000C1380"/>
    <w:rsid w:val="000C554F"/>
    <w:rsid w:val="000D0DC5"/>
    <w:rsid w:val="000D15FF"/>
    <w:rsid w:val="000D28DF"/>
    <w:rsid w:val="000D488B"/>
    <w:rsid w:val="000D68DF"/>
    <w:rsid w:val="000E138D"/>
    <w:rsid w:val="000E14A2"/>
    <w:rsid w:val="000E187A"/>
    <w:rsid w:val="000E2D61"/>
    <w:rsid w:val="000E450E"/>
    <w:rsid w:val="000E6259"/>
    <w:rsid w:val="000F4677"/>
    <w:rsid w:val="000F5BE0"/>
    <w:rsid w:val="00100587"/>
    <w:rsid w:val="0010284E"/>
    <w:rsid w:val="00103122"/>
    <w:rsid w:val="0010336A"/>
    <w:rsid w:val="00104BA8"/>
    <w:rsid w:val="00104BD5"/>
    <w:rsid w:val="001050F1"/>
    <w:rsid w:val="0010580C"/>
    <w:rsid w:val="00105AEA"/>
    <w:rsid w:val="0010622C"/>
    <w:rsid w:val="00106DAF"/>
    <w:rsid w:val="001125C2"/>
    <w:rsid w:val="00114ABE"/>
    <w:rsid w:val="00116023"/>
    <w:rsid w:val="001236A9"/>
    <w:rsid w:val="0012433D"/>
    <w:rsid w:val="00132365"/>
    <w:rsid w:val="00134A51"/>
    <w:rsid w:val="00140727"/>
    <w:rsid w:val="001439FB"/>
    <w:rsid w:val="001474F9"/>
    <w:rsid w:val="00151597"/>
    <w:rsid w:val="00160628"/>
    <w:rsid w:val="00161344"/>
    <w:rsid w:val="00162195"/>
    <w:rsid w:val="0016322A"/>
    <w:rsid w:val="001638DA"/>
    <w:rsid w:val="00165A21"/>
    <w:rsid w:val="001705CE"/>
    <w:rsid w:val="00174661"/>
    <w:rsid w:val="001760D0"/>
    <w:rsid w:val="0017714B"/>
    <w:rsid w:val="001804DF"/>
    <w:rsid w:val="00181BDC"/>
    <w:rsid w:val="00181DB0"/>
    <w:rsid w:val="001829E3"/>
    <w:rsid w:val="001924C0"/>
    <w:rsid w:val="0019731E"/>
    <w:rsid w:val="001A09FE"/>
    <w:rsid w:val="001A2904"/>
    <w:rsid w:val="001A67C9"/>
    <w:rsid w:val="001A69DE"/>
    <w:rsid w:val="001A713C"/>
    <w:rsid w:val="001B1C7C"/>
    <w:rsid w:val="001B398F"/>
    <w:rsid w:val="001B46C6"/>
    <w:rsid w:val="001B4B48"/>
    <w:rsid w:val="001B4D1F"/>
    <w:rsid w:val="001B51A8"/>
    <w:rsid w:val="001B7681"/>
    <w:rsid w:val="001B7CAE"/>
    <w:rsid w:val="001C0772"/>
    <w:rsid w:val="001C0D4F"/>
    <w:rsid w:val="001C1840"/>
    <w:rsid w:val="001C1BA3"/>
    <w:rsid w:val="001C1DEC"/>
    <w:rsid w:val="001C472E"/>
    <w:rsid w:val="001C5736"/>
    <w:rsid w:val="001D10CA"/>
    <w:rsid w:val="001D3D5C"/>
    <w:rsid w:val="001D647F"/>
    <w:rsid w:val="001D6857"/>
    <w:rsid w:val="001E0572"/>
    <w:rsid w:val="001E0A67"/>
    <w:rsid w:val="001E1028"/>
    <w:rsid w:val="001E14E2"/>
    <w:rsid w:val="001E6302"/>
    <w:rsid w:val="001E7DCB"/>
    <w:rsid w:val="001F10A7"/>
    <w:rsid w:val="001F3411"/>
    <w:rsid w:val="001F38F3"/>
    <w:rsid w:val="001F4287"/>
    <w:rsid w:val="001F4886"/>
    <w:rsid w:val="001F4DBA"/>
    <w:rsid w:val="00200EC4"/>
    <w:rsid w:val="0020415E"/>
    <w:rsid w:val="00204FF4"/>
    <w:rsid w:val="0021056E"/>
    <w:rsid w:val="0021075D"/>
    <w:rsid w:val="0021165A"/>
    <w:rsid w:val="00211BC9"/>
    <w:rsid w:val="0021235E"/>
    <w:rsid w:val="002146D1"/>
    <w:rsid w:val="0021620C"/>
    <w:rsid w:val="002169D0"/>
    <w:rsid w:val="00216E78"/>
    <w:rsid w:val="00217275"/>
    <w:rsid w:val="002211DD"/>
    <w:rsid w:val="002234F2"/>
    <w:rsid w:val="00223E9B"/>
    <w:rsid w:val="002317A2"/>
    <w:rsid w:val="002327A4"/>
    <w:rsid w:val="00233505"/>
    <w:rsid w:val="00236F4B"/>
    <w:rsid w:val="00242B0D"/>
    <w:rsid w:val="002467C6"/>
    <w:rsid w:val="0024692A"/>
    <w:rsid w:val="00252BBA"/>
    <w:rsid w:val="00253123"/>
    <w:rsid w:val="00261ACC"/>
    <w:rsid w:val="00264001"/>
    <w:rsid w:val="00266354"/>
    <w:rsid w:val="00267A18"/>
    <w:rsid w:val="00273462"/>
    <w:rsid w:val="0027395B"/>
    <w:rsid w:val="00275854"/>
    <w:rsid w:val="00283B41"/>
    <w:rsid w:val="00285F28"/>
    <w:rsid w:val="00286398"/>
    <w:rsid w:val="00295E69"/>
    <w:rsid w:val="002A04D9"/>
    <w:rsid w:val="002A0A18"/>
    <w:rsid w:val="002A27FA"/>
    <w:rsid w:val="002A3C42"/>
    <w:rsid w:val="002A5D75"/>
    <w:rsid w:val="002A65B6"/>
    <w:rsid w:val="002B1AB9"/>
    <w:rsid w:val="002B1B1A"/>
    <w:rsid w:val="002B7228"/>
    <w:rsid w:val="002C53EE"/>
    <w:rsid w:val="002D24F7"/>
    <w:rsid w:val="002D2799"/>
    <w:rsid w:val="002D2CD7"/>
    <w:rsid w:val="002D47EB"/>
    <w:rsid w:val="002D4DDC"/>
    <w:rsid w:val="002D4F75"/>
    <w:rsid w:val="002D6493"/>
    <w:rsid w:val="002D698B"/>
    <w:rsid w:val="002D736F"/>
    <w:rsid w:val="002D7AB6"/>
    <w:rsid w:val="002E06D0"/>
    <w:rsid w:val="002E3C27"/>
    <w:rsid w:val="002E403A"/>
    <w:rsid w:val="002E7F3A"/>
    <w:rsid w:val="002F15FF"/>
    <w:rsid w:val="002F4EDB"/>
    <w:rsid w:val="002F6054"/>
    <w:rsid w:val="00310E13"/>
    <w:rsid w:val="00315713"/>
    <w:rsid w:val="0031686C"/>
    <w:rsid w:val="00316FE0"/>
    <w:rsid w:val="003204D2"/>
    <w:rsid w:val="0032605E"/>
    <w:rsid w:val="00326BA8"/>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322C"/>
    <w:rsid w:val="003744A7"/>
    <w:rsid w:val="00376235"/>
    <w:rsid w:val="00376BD3"/>
    <w:rsid w:val="00381FB6"/>
    <w:rsid w:val="003836D3"/>
    <w:rsid w:val="00383A30"/>
    <w:rsid w:val="00383A52"/>
    <w:rsid w:val="00386810"/>
    <w:rsid w:val="00386D7B"/>
    <w:rsid w:val="00390A6B"/>
    <w:rsid w:val="00391652"/>
    <w:rsid w:val="00391B80"/>
    <w:rsid w:val="00394763"/>
    <w:rsid w:val="0039507F"/>
    <w:rsid w:val="00397F0C"/>
    <w:rsid w:val="003A1260"/>
    <w:rsid w:val="003A295F"/>
    <w:rsid w:val="003A41DD"/>
    <w:rsid w:val="003A7033"/>
    <w:rsid w:val="003B2DF3"/>
    <w:rsid w:val="003B3B25"/>
    <w:rsid w:val="003B47FE"/>
    <w:rsid w:val="003B5673"/>
    <w:rsid w:val="003B5B35"/>
    <w:rsid w:val="003B5DDC"/>
    <w:rsid w:val="003B6287"/>
    <w:rsid w:val="003B62C9"/>
    <w:rsid w:val="003C0DC5"/>
    <w:rsid w:val="003C68CE"/>
    <w:rsid w:val="003C7176"/>
    <w:rsid w:val="003D0929"/>
    <w:rsid w:val="003D4729"/>
    <w:rsid w:val="003D7DD6"/>
    <w:rsid w:val="003E5AAF"/>
    <w:rsid w:val="003E600D"/>
    <w:rsid w:val="003E64DF"/>
    <w:rsid w:val="003E6A5D"/>
    <w:rsid w:val="003F193A"/>
    <w:rsid w:val="003F4207"/>
    <w:rsid w:val="003F5C46"/>
    <w:rsid w:val="003F5D99"/>
    <w:rsid w:val="003F7478"/>
    <w:rsid w:val="003F7CBB"/>
    <w:rsid w:val="003F7D34"/>
    <w:rsid w:val="00403E64"/>
    <w:rsid w:val="00412C8E"/>
    <w:rsid w:val="0041518D"/>
    <w:rsid w:val="004203FA"/>
    <w:rsid w:val="0042221D"/>
    <w:rsid w:val="00424DD3"/>
    <w:rsid w:val="004269C5"/>
    <w:rsid w:val="00435939"/>
    <w:rsid w:val="00437CC7"/>
    <w:rsid w:val="00442B9C"/>
    <w:rsid w:val="00445EFA"/>
    <w:rsid w:val="0044738A"/>
    <w:rsid w:val="004473D3"/>
    <w:rsid w:val="00447A9F"/>
    <w:rsid w:val="00452231"/>
    <w:rsid w:val="00460C13"/>
    <w:rsid w:val="0046193F"/>
    <w:rsid w:val="00463228"/>
    <w:rsid w:val="0046328E"/>
    <w:rsid w:val="00463782"/>
    <w:rsid w:val="00464F92"/>
    <w:rsid w:val="004667E0"/>
    <w:rsid w:val="0046760E"/>
    <w:rsid w:val="00470E10"/>
    <w:rsid w:val="004743BD"/>
    <w:rsid w:val="00477A97"/>
    <w:rsid w:val="00481343"/>
    <w:rsid w:val="0048549E"/>
    <w:rsid w:val="004930C6"/>
    <w:rsid w:val="00493347"/>
    <w:rsid w:val="00496092"/>
    <w:rsid w:val="004A08DB"/>
    <w:rsid w:val="004A25D0"/>
    <w:rsid w:val="004A37E8"/>
    <w:rsid w:val="004A69D2"/>
    <w:rsid w:val="004A7549"/>
    <w:rsid w:val="004B09D4"/>
    <w:rsid w:val="004B309D"/>
    <w:rsid w:val="004B330A"/>
    <w:rsid w:val="004B3629"/>
    <w:rsid w:val="004B7C8E"/>
    <w:rsid w:val="004C3D3C"/>
    <w:rsid w:val="004D0EDC"/>
    <w:rsid w:val="004D1220"/>
    <w:rsid w:val="004D14B3"/>
    <w:rsid w:val="004D1529"/>
    <w:rsid w:val="004D2253"/>
    <w:rsid w:val="004D2E62"/>
    <w:rsid w:val="004D5514"/>
    <w:rsid w:val="004D56C3"/>
    <w:rsid w:val="004D77E9"/>
    <w:rsid w:val="004E0338"/>
    <w:rsid w:val="004E241F"/>
    <w:rsid w:val="004E4FF3"/>
    <w:rsid w:val="004E56A8"/>
    <w:rsid w:val="004F30C0"/>
    <w:rsid w:val="004F3B55"/>
    <w:rsid w:val="004F428E"/>
    <w:rsid w:val="004F4E46"/>
    <w:rsid w:val="004F6B7D"/>
    <w:rsid w:val="005015F6"/>
    <w:rsid w:val="00501937"/>
    <w:rsid w:val="005030C4"/>
    <w:rsid w:val="005031C5"/>
    <w:rsid w:val="00504FDC"/>
    <w:rsid w:val="005120CC"/>
    <w:rsid w:val="00512B7B"/>
    <w:rsid w:val="00514EA1"/>
    <w:rsid w:val="0051798B"/>
    <w:rsid w:val="00521F5A"/>
    <w:rsid w:val="00522B56"/>
    <w:rsid w:val="00524535"/>
    <w:rsid w:val="00525E06"/>
    <w:rsid w:val="00526454"/>
    <w:rsid w:val="00531823"/>
    <w:rsid w:val="00533A34"/>
    <w:rsid w:val="00534A82"/>
    <w:rsid w:val="00534ECC"/>
    <w:rsid w:val="0053720D"/>
    <w:rsid w:val="00540EF5"/>
    <w:rsid w:val="00541BF3"/>
    <w:rsid w:val="00541CD3"/>
    <w:rsid w:val="00542A0B"/>
    <w:rsid w:val="005476FA"/>
    <w:rsid w:val="0055595E"/>
    <w:rsid w:val="00557988"/>
    <w:rsid w:val="00562C49"/>
    <w:rsid w:val="00562DEF"/>
    <w:rsid w:val="0056321A"/>
    <w:rsid w:val="00563A35"/>
    <w:rsid w:val="00563F8A"/>
    <w:rsid w:val="00565BAD"/>
    <w:rsid w:val="00566596"/>
    <w:rsid w:val="0056712D"/>
    <w:rsid w:val="005741E9"/>
    <w:rsid w:val="005748CF"/>
    <w:rsid w:val="005755E6"/>
    <w:rsid w:val="00584270"/>
    <w:rsid w:val="005842A2"/>
    <w:rsid w:val="00584738"/>
    <w:rsid w:val="005920B0"/>
    <w:rsid w:val="00592F9E"/>
    <w:rsid w:val="0059380D"/>
    <w:rsid w:val="00595A8F"/>
    <w:rsid w:val="005977C2"/>
    <w:rsid w:val="00597BF2"/>
    <w:rsid w:val="005A1827"/>
    <w:rsid w:val="005A1F54"/>
    <w:rsid w:val="005A3020"/>
    <w:rsid w:val="005A47EA"/>
    <w:rsid w:val="005A584C"/>
    <w:rsid w:val="005A76B5"/>
    <w:rsid w:val="005B134E"/>
    <w:rsid w:val="005B2039"/>
    <w:rsid w:val="005B344F"/>
    <w:rsid w:val="005B3812"/>
    <w:rsid w:val="005B3FBA"/>
    <w:rsid w:val="005B4A1D"/>
    <w:rsid w:val="005B674D"/>
    <w:rsid w:val="005C056D"/>
    <w:rsid w:val="005C05CA"/>
    <w:rsid w:val="005C0CBE"/>
    <w:rsid w:val="005C1FCF"/>
    <w:rsid w:val="005C3F41"/>
    <w:rsid w:val="005C69EE"/>
    <w:rsid w:val="005D1885"/>
    <w:rsid w:val="005D4A38"/>
    <w:rsid w:val="005E1476"/>
    <w:rsid w:val="005E2EEA"/>
    <w:rsid w:val="005E3708"/>
    <w:rsid w:val="005E3CCD"/>
    <w:rsid w:val="005E3D6B"/>
    <w:rsid w:val="005E5B55"/>
    <w:rsid w:val="005E5E4A"/>
    <w:rsid w:val="005E5E7E"/>
    <w:rsid w:val="005E693D"/>
    <w:rsid w:val="005E75BF"/>
    <w:rsid w:val="005F49EA"/>
    <w:rsid w:val="005F57BA"/>
    <w:rsid w:val="005F61E6"/>
    <w:rsid w:val="005F6C45"/>
    <w:rsid w:val="00600747"/>
    <w:rsid w:val="00600E6D"/>
    <w:rsid w:val="00603FB7"/>
    <w:rsid w:val="00605A69"/>
    <w:rsid w:val="00606C54"/>
    <w:rsid w:val="00614375"/>
    <w:rsid w:val="00614B71"/>
    <w:rsid w:val="00615B0A"/>
    <w:rsid w:val="006168CF"/>
    <w:rsid w:val="0062011B"/>
    <w:rsid w:val="0062302C"/>
    <w:rsid w:val="00625C28"/>
    <w:rsid w:val="00626DE0"/>
    <w:rsid w:val="00630901"/>
    <w:rsid w:val="00631F8E"/>
    <w:rsid w:val="00636EE9"/>
    <w:rsid w:val="00640950"/>
    <w:rsid w:val="00641AE7"/>
    <w:rsid w:val="00642629"/>
    <w:rsid w:val="0064782B"/>
    <w:rsid w:val="0065293D"/>
    <w:rsid w:val="00653EFC"/>
    <w:rsid w:val="00654021"/>
    <w:rsid w:val="00655244"/>
    <w:rsid w:val="00661045"/>
    <w:rsid w:val="00663763"/>
    <w:rsid w:val="00666DA8"/>
    <w:rsid w:val="00671057"/>
    <w:rsid w:val="00672299"/>
    <w:rsid w:val="00675AAF"/>
    <w:rsid w:val="0068031A"/>
    <w:rsid w:val="00681B2F"/>
    <w:rsid w:val="0068335F"/>
    <w:rsid w:val="0068661B"/>
    <w:rsid w:val="00687217"/>
    <w:rsid w:val="00693302"/>
    <w:rsid w:val="00695173"/>
    <w:rsid w:val="0069640B"/>
    <w:rsid w:val="006A11D3"/>
    <w:rsid w:val="006A1B83"/>
    <w:rsid w:val="006A21CD"/>
    <w:rsid w:val="006A5918"/>
    <w:rsid w:val="006B21B2"/>
    <w:rsid w:val="006B4A4A"/>
    <w:rsid w:val="006B71F4"/>
    <w:rsid w:val="006B7720"/>
    <w:rsid w:val="006C19B2"/>
    <w:rsid w:val="006C4409"/>
    <w:rsid w:val="006C5BB8"/>
    <w:rsid w:val="006C6936"/>
    <w:rsid w:val="006C7B01"/>
    <w:rsid w:val="006D0FE8"/>
    <w:rsid w:val="006D2005"/>
    <w:rsid w:val="006D4B2B"/>
    <w:rsid w:val="006D4F3C"/>
    <w:rsid w:val="006D5C66"/>
    <w:rsid w:val="006D7002"/>
    <w:rsid w:val="006E1B3C"/>
    <w:rsid w:val="006E23FB"/>
    <w:rsid w:val="006E325A"/>
    <w:rsid w:val="006E33EC"/>
    <w:rsid w:val="006E3802"/>
    <w:rsid w:val="006E6C02"/>
    <w:rsid w:val="006F16F4"/>
    <w:rsid w:val="006F231A"/>
    <w:rsid w:val="006F4D16"/>
    <w:rsid w:val="006F6B55"/>
    <w:rsid w:val="006F788D"/>
    <w:rsid w:val="006F78E1"/>
    <w:rsid w:val="00701072"/>
    <w:rsid w:val="00702054"/>
    <w:rsid w:val="007035A4"/>
    <w:rsid w:val="00711799"/>
    <w:rsid w:val="00712B78"/>
    <w:rsid w:val="0071393B"/>
    <w:rsid w:val="00713EE2"/>
    <w:rsid w:val="00713F3F"/>
    <w:rsid w:val="007177FC"/>
    <w:rsid w:val="00720C5E"/>
    <w:rsid w:val="00721701"/>
    <w:rsid w:val="00731835"/>
    <w:rsid w:val="007341F8"/>
    <w:rsid w:val="00734372"/>
    <w:rsid w:val="00734EB8"/>
    <w:rsid w:val="00735F8B"/>
    <w:rsid w:val="0074090B"/>
    <w:rsid w:val="00740B58"/>
    <w:rsid w:val="00742D1F"/>
    <w:rsid w:val="00743EBA"/>
    <w:rsid w:val="00744C8E"/>
    <w:rsid w:val="00744D05"/>
    <w:rsid w:val="0074707E"/>
    <w:rsid w:val="00747FA8"/>
    <w:rsid w:val="007516DC"/>
    <w:rsid w:val="00752E58"/>
    <w:rsid w:val="00752F68"/>
    <w:rsid w:val="00754B80"/>
    <w:rsid w:val="00761918"/>
    <w:rsid w:val="00762D10"/>
    <w:rsid w:val="00762F03"/>
    <w:rsid w:val="0076413B"/>
    <w:rsid w:val="007648AE"/>
    <w:rsid w:val="00764BF8"/>
    <w:rsid w:val="0076514D"/>
    <w:rsid w:val="0076752A"/>
    <w:rsid w:val="00770DFC"/>
    <w:rsid w:val="00773D59"/>
    <w:rsid w:val="00781003"/>
    <w:rsid w:val="007829D0"/>
    <w:rsid w:val="007911FD"/>
    <w:rsid w:val="00793930"/>
    <w:rsid w:val="00793DD1"/>
    <w:rsid w:val="00794FEC"/>
    <w:rsid w:val="007A003E"/>
    <w:rsid w:val="007A08AE"/>
    <w:rsid w:val="007A1965"/>
    <w:rsid w:val="007A2ED1"/>
    <w:rsid w:val="007A37F3"/>
    <w:rsid w:val="007A4BE6"/>
    <w:rsid w:val="007B0DC6"/>
    <w:rsid w:val="007B1094"/>
    <w:rsid w:val="007B1762"/>
    <w:rsid w:val="007B3320"/>
    <w:rsid w:val="007C1CB8"/>
    <w:rsid w:val="007C301F"/>
    <w:rsid w:val="007C4540"/>
    <w:rsid w:val="007C65AF"/>
    <w:rsid w:val="007D135D"/>
    <w:rsid w:val="007D5DB3"/>
    <w:rsid w:val="007D6386"/>
    <w:rsid w:val="007D665E"/>
    <w:rsid w:val="007D70B2"/>
    <w:rsid w:val="007D730F"/>
    <w:rsid w:val="007D7CD8"/>
    <w:rsid w:val="007E3072"/>
    <w:rsid w:val="007E3AA7"/>
    <w:rsid w:val="007F737D"/>
    <w:rsid w:val="0080081E"/>
    <w:rsid w:val="0080308E"/>
    <w:rsid w:val="00805303"/>
    <w:rsid w:val="00806705"/>
    <w:rsid w:val="00806738"/>
    <w:rsid w:val="008075FA"/>
    <w:rsid w:val="0081026D"/>
    <w:rsid w:val="0081250E"/>
    <w:rsid w:val="008128B6"/>
    <w:rsid w:val="008216D5"/>
    <w:rsid w:val="00822794"/>
    <w:rsid w:val="008249CE"/>
    <w:rsid w:val="00825910"/>
    <w:rsid w:val="008304B6"/>
    <w:rsid w:val="00831A50"/>
    <w:rsid w:val="00831B3C"/>
    <w:rsid w:val="00831C89"/>
    <w:rsid w:val="00832114"/>
    <w:rsid w:val="00834C46"/>
    <w:rsid w:val="008350C1"/>
    <w:rsid w:val="0084093E"/>
    <w:rsid w:val="00841CE1"/>
    <w:rsid w:val="008473D8"/>
    <w:rsid w:val="00850662"/>
    <w:rsid w:val="00852571"/>
    <w:rsid w:val="008528DC"/>
    <w:rsid w:val="00852B8C"/>
    <w:rsid w:val="00853880"/>
    <w:rsid w:val="00854834"/>
    <w:rsid w:val="00854981"/>
    <w:rsid w:val="008564B1"/>
    <w:rsid w:val="00864B2E"/>
    <w:rsid w:val="00865963"/>
    <w:rsid w:val="00871C1D"/>
    <w:rsid w:val="0087450E"/>
    <w:rsid w:val="00875A82"/>
    <w:rsid w:val="0087685B"/>
    <w:rsid w:val="00876CA3"/>
    <w:rsid w:val="008772FE"/>
    <w:rsid w:val="008775F1"/>
    <w:rsid w:val="0088091B"/>
    <w:rsid w:val="008821AE"/>
    <w:rsid w:val="00883D3A"/>
    <w:rsid w:val="0088479E"/>
    <w:rsid w:val="008854F7"/>
    <w:rsid w:val="00885A9D"/>
    <w:rsid w:val="00885AEE"/>
    <w:rsid w:val="008929D2"/>
    <w:rsid w:val="00893636"/>
    <w:rsid w:val="00893B94"/>
    <w:rsid w:val="008940EB"/>
    <w:rsid w:val="00894B7F"/>
    <w:rsid w:val="00896E9D"/>
    <w:rsid w:val="00896F11"/>
    <w:rsid w:val="008A1049"/>
    <w:rsid w:val="008A1C98"/>
    <w:rsid w:val="008A2880"/>
    <w:rsid w:val="008A322D"/>
    <w:rsid w:val="008A4D72"/>
    <w:rsid w:val="008A56D3"/>
    <w:rsid w:val="008A5E8F"/>
    <w:rsid w:val="008A6285"/>
    <w:rsid w:val="008A63B2"/>
    <w:rsid w:val="008B1CFA"/>
    <w:rsid w:val="008B345D"/>
    <w:rsid w:val="008B621C"/>
    <w:rsid w:val="008C07DB"/>
    <w:rsid w:val="008C0D7C"/>
    <w:rsid w:val="008C1FC2"/>
    <w:rsid w:val="008C2980"/>
    <w:rsid w:val="008C394D"/>
    <w:rsid w:val="008C4DD6"/>
    <w:rsid w:val="008C5AFB"/>
    <w:rsid w:val="008D07FB"/>
    <w:rsid w:val="008D0C02"/>
    <w:rsid w:val="008D357D"/>
    <w:rsid w:val="008D435A"/>
    <w:rsid w:val="008E31C4"/>
    <w:rsid w:val="008E387B"/>
    <w:rsid w:val="008E6087"/>
    <w:rsid w:val="008E69CE"/>
    <w:rsid w:val="008E758D"/>
    <w:rsid w:val="008F10A7"/>
    <w:rsid w:val="008F755D"/>
    <w:rsid w:val="008F7A39"/>
    <w:rsid w:val="009021E8"/>
    <w:rsid w:val="00904677"/>
    <w:rsid w:val="00904BA1"/>
    <w:rsid w:val="00905EE2"/>
    <w:rsid w:val="00911440"/>
    <w:rsid w:val="00911712"/>
    <w:rsid w:val="00911B27"/>
    <w:rsid w:val="009170BE"/>
    <w:rsid w:val="00920B55"/>
    <w:rsid w:val="00923866"/>
    <w:rsid w:val="009262C9"/>
    <w:rsid w:val="00930EB9"/>
    <w:rsid w:val="00933DC7"/>
    <w:rsid w:val="009362F5"/>
    <w:rsid w:val="009418F4"/>
    <w:rsid w:val="00942BBC"/>
    <w:rsid w:val="00944180"/>
    <w:rsid w:val="00944AA0"/>
    <w:rsid w:val="009469FA"/>
    <w:rsid w:val="00947DA2"/>
    <w:rsid w:val="00951177"/>
    <w:rsid w:val="009632BB"/>
    <w:rsid w:val="009673E8"/>
    <w:rsid w:val="00970C65"/>
    <w:rsid w:val="009713AB"/>
    <w:rsid w:val="00974DB8"/>
    <w:rsid w:val="00980661"/>
    <w:rsid w:val="0098093B"/>
    <w:rsid w:val="00980C73"/>
    <w:rsid w:val="00985704"/>
    <w:rsid w:val="009876D4"/>
    <w:rsid w:val="00990ED2"/>
    <w:rsid w:val="009914A5"/>
    <w:rsid w:val="0099548E"/>
    <w:rsid w:val="00996456"/>
    <w:rsid w:val="00996A12"/>
    <w:rsid w:val="00997B0F"/>
    <w:rsid w:val="009A0CC3"/>
    <w:rsid w:val="009A1CAD"/>
    <w:rsid w:val="009A3440"/>
    <w:rsid w:val="009A5832"/>
    <w:rsid w:val="009A6838"/>
    <w:rsid w:val="009B0A47"/>
    <w:rsid w:val="009B24B5"/>
    <w:rsid w:val="009B4EBC"/>
    <w:rsid w:val="009B5ABB"/>
    <w:rsid w:val="009B73CE"/>
    <w:rsid w:val="009C2461"/>
    <w:rsid w:val="009C5A15"/>
    <w:rsid w:val="009C6FE2"/>
    <w:rsid w:val="009C7674"/>
    <w:rsid w:val="009D004A"/>
    <w:rsid w:val="009D5880"/>
    <w:rsid w:val="009D6F32"/>
    <w:rsid w:val="009E1FD4"/>
    <w:rsid w:val="009E3B07"/>
    <w:rsid w:val="009E51D1"/>
    <w:rsid w:val="009E5531"/>
    <w:rsid w:val="009E5AB6"/>
    <w:rsid w:val="009E6D1A"/>
    <w:rsid w:val="009F171E"/>
    <w:rsid w:val="009F3D2F"/>
    <w:rsid w:val="009F7052"/>
    <w:rsid w:val="00A02668"/>
    <w:rsid w:val="00A02801"/>
    <w:rsid w:val="00A02EE1"/>
    <w:rsid w:val="00A06A39"/>
    <w:rsid w:val="00A07F58"/>
    <w:rsid w:val="00A11096"/>
    <w:rsid w:val="00A131CB"/>
    <w:rsid w:val="00A14847"/>
    <w:rsid w:val="00A16D6D"/>
    <w:rsid w:val="00A17D43"/>
    <w:rsid w:val="00A21383"/>
    <w:rsid w:val="00A2199F"/>
    <w:rsid w:val="00A21B31"/>
    <w:rsid w:val="00A2360E"/>
    <w:rsid w:val="00A26E0C"/>
    <w:rsid w:val="00A32FCB"/>
    <w:rsid w:val="00A34C25"/>
    <w:rsid w:val="00A3507D"/>
    <w:rsid w:val="00A3717A"/>
    <w:rsid w:val="00A4088C"/>
    <w:rsid w:val="00A4456B"/>
    <w:rsid w:val="00A448D4"/>
    <w:rsid w:val="00A452E0"/>
    <w:rsid w:val="00A4545B"/>
    <w:rsid w:val="00A506DF"/>
    <w:rsid w:val="00A51EA5"/>
    <w:rsid w:val="00A53742"/>
    <w:rsid w:val="00A53A1F"/>
    <w:rsid w:val="00A557A1"/>
    <w:rsid w:val="00A63059"/>
    <w:rsid w:val="00A63AE3"/>
    <w:rsid w:val="00A651A4"/>
    <w:rsid w:val="00A67DE5"/>
    <w:rsid w:val="00A71361"/>
    <w:rsid w:val="00A746E2"/>
    <w:rsid w:val="00A7791C"/>
    <w:rsid w:val="00A81FF2"/>
    <w:rsid w:val="00A83904"/>
    <w:rsid w:val="00A852DE"/>
    <w:rsid w:val="00A90A79"/>
    <w:rsid w:val="00A92ACE"/>
    <w:rsid w:val="00A96B30"/>
    <w:rsid w:val="00AA202D"/>
    <w:rsid w:val="00AA442D"/>
    <w:rsid w:val="00AA59B5"/>
    <w:rsid w:val="00AA7777"/>
    <w:rsid w:val="00AA7B84"/>
    <w:rsid w:val="00AA7BE0"/>
    <w:rsid w:val="00AC0B4C"/>
    <w:rsid w:val="00AC1164"/>
    <w:rsid w:val="00AC2296"/>
    <w:rsid w:val="00AC2754"/>
    <w:rsid w:val="00AC48B0"/>
    <w:rsid w:val="00AC4ACD"/>
    <w:rsid w:val="00AC5DFB"/>
    <w:rsid w:val="00AD13DC"/>
    <w:rsid w:val="00AD424E"/>
    <w:rsid w:val="00AD641D"/>
    <w:rsid w:val="00AD6DE2"/>
    <w:rsid w:val="00AE0A40"/>
    <w:rsid w:val="00AE1ED4"/>
    <w:rsid w:val="00AE21E1"/>
    <w:rsid w:val="00AE2F8D"/>
    <w:rsid w:val="00AE3BAE"/>
    <w:rsid w:val="00AE6A21"/>
    <w:rsid w:val="00AF045A"/>
    <w:rsid w:val="00AF1C8F"/>
    <w:rsid w:val="00AF2B68"/>
    <w:rsid w:val="00AF2C92"/>
    <w:rsid w:val="00AF3EC1"/>
    <w:rsid w:val="00AF5025"/>
    <w:rsid w:val="00AF519F"/>
    <w:rsid w:val="00AF5387"/>
    <w:rsid w:val="00AF55F5"/>
    <w:rsid w:val="00AF7E86"/>
    <w:rsid w:val="00B024B9"/>
    <w:rsid w:val="00B049C6"/>
    <w:rsid w:val="00B077FA"/>
    <w:rsid w:val="00B127D7"/>
    <w:rsid w:val="00B13B0C"/>
    <w:rsid w:val="00B14408"/>
    <w:rsid w:val="00B1453A"/>
    <w:rsid w:val="00B20D60"/>
    <w:rsid w:val="00B20F82"/>
    <w:rsid w:val="00B226A5"/>
    <w:rsid w:val="00B25BD5"/>
    <w:rsid w:val="00B34079"/>
    <w:rsid w:val="00B3793A"/>
    <w:rsid w:val="00B401BA"/>
    <w:rsid w:val="00B407E4"/>
    <w:rsid w:val="00B41898"/>
    <w:rsid w:val="00B425B6"/>
    <w:rsid w:val="00B42A72"/>
    <w:rsid w:val="00B441AE"/>
    <w:rsid w:val="00B45A65"/>
    <w:rsid w:val="00B45F33"/>
    <w:rsid w:val="00B46D50"/>
    <w:rsid w:val="00B53170"/>
    <w:rsid w:val="00B548B9"/>
    <w:rsid w:val="00B56DBE"/>
    <w:rsid w:val="00B62999"/>
    <w:rsid w:val="00B63BE3"/>
    <w:rsid w:val="00B64885"/>
    <w:rsid w:val="00B64A25"/>
    <w:rsid w:val="00B64EA3"/>
    <w:rsid w:val="00B64FA3"/>
    <w:rsid w:val="00B66810"/>
    <w:rsid w:val="00B72BE3"/>
    <w:rsid w:val="00B72CCE"/>
    <w:rsid w:val="00B73B80"/>
    <w:rsid w:val="00B74AC6"/>
    <w:rsid w:val="00B770C7"/>
    <w:rsid w:val="00B80F26"/>
    <w:rsid w:val="00B82286"/>
    <w:rsid w:val="00B822BD"/>
    <w:rsid w:val="00B8387D"/>
    <w:rsid w:val="00B842F4"/>
    <w:rsid w:val="00B91A7B"/>
    <w:rsid w:val="00B929DD"/>
    <w:rsid w:val="00B93AF6"/>
    <w:rsid w:val="00B95405"/>
    <w:rsid w:val="00B963F1"/>
    <w:rsid w:val="00BA020A"/>
    <w:rsid w:val="00BA31C8"/>
    <w:rsid w:val="00BB025A"/>
    <w:rsid w:val="00BB02A4"/>
    <w:rsid w:val="00BB1270"/>
    <w:rsid w:val="00BB1E44"/>
    <w:rsid w:val="00BB2806"/>
    <w:rsid w:val="00BB405E"/>
    <w:rsid w:val="00BB5267"/>
    <w:rsid w:val="00BB52B8"/>
    <w:rsid w:val="00BB59D8"/>
    <w:rsid w:val="00BB7E69"/>
    <w:rsid w:val="00BC0E51"/>
    <w:rsid w:val="00BC2EA6"/>
    <w:rsid w:val="00BC3C1F"/>
    <w:rsid w:val="00BC7CE7"/>
    <w:rsid w:val="00BD295E"/>
    <w:rsid w:val="00BD4664"/>
    <w:rsid w:val="00BE1193"/>
    <w:rsid w:val="00BE4C00"/>
    <w:rsid w:val="00BE5546"/>
    <w:rsid w:val="00BF4849"/>
    <w:rsid w:val="00BF4EA7"/>
    <w:rsid w:val="00BF6525"/>
    <w:rsid w:val="00BF70AA"/>
    <w:rsid w:val="00C00991"/>
    <w:rsid w:val="00C00EDB"/>
    <w:rsid w:val="00C01084"/>
    <w:rsid w:val="00C02863"/>
    <w:rsid w:val="00C0314D"/>
    <w:rsid w:val="00C0383A"/>
    <w:rsid w:val="00C067FF"/>
    <w:rsid w:val="00C12862"/>
    <w:rsid w:val="00C13D28"/>
    <w:rsid w:val="00C14585"/>
    <w:rsid w:val="00C165A0"/>
    <w:rsid w:val="00C166F0"/>
    <w:rsid w:val="00C216CE"/>
    <w:rsid w:val="00C2184F"/>
    <w:rsid w:val="00C222BA"/>
    <w:rsid w:val="00C22A78"/>
    <w:rsid w:val="00C23C7E"/>
    <w:rsid w:val="00C246C5"/>
    <w:rsid w:val="00C24955"/>
    <w:rsid w:val="00C25A82"/>
    <w:rsid w:val="00C30A2A"/>
    <w:rsid w:val="00C33993"/>
    <w:rsid w:val="00C4069E"/>
    <w:rsid w:val="00C415F9"/>
    <w:rsid w:val="00C41ADC"/>
    <w:rsid w:val="00C44149"/>
    <w:rsid w:val="00C44410"/>
    <w:rsid w:val="00C44A15"/>
    <w:rsid w:val="00C4630A"/>
    <w:rsid w:val="00C50DD6"/>
    <w:rsid w:val="00C523F0"/>
    <w:rsid w:val="00C526D2"/>
    <w:rsid w:val="00C53A91"/>
    <w:rsid w:val="00C544F9"/>
    <w:rsid w:val="00C56EE6"/>
    <w:rsid w:val="00C5794E"/>
    <w:rsid w:val="00C57B54"/>
    <w:rsid w:val="00C60968"/>
    <w:rsid w:val="00C63D39"/>
    <w:rsid w:val="00C63EDD"/>
    <w:rsid w:val="00C654D0"/>
    <w:rsid w:val="00C65B36"/>
    <w:rsid w:val="00C7292E"/>
    <w:rsid w:val="00C74E88"/>
    <w:rsid w:val="00C76529"/>
    <w:rsid w:val="00C80924"/>
    <w:rsid w:val="00C8286B"/>
    <w:rsid w:val="00C840F5"/>
    <w:rsid w:val="00C947F8"/>
    <w:rsid w:val="00C94BF4"/>
    <w:rsid w:val="00C9515F"/>
    <w:rsid w:val="00C963C5"/>
    <w:rsid w:val="00C96A2B"/>
    <w:rsid w:val="00CA030C"/>
    <w:rsid w:val="00CA1F41"/>
    <w:rsid w:val="00CA2EEC"/>
    <w:rsid w:val="00CA32EE"/>
    <w:rsid w:val="00CA5771"/>
    <w:rsid w:val="00CA6A1A"/>
    <w:rsid w:val="00CC1E75"/>
    <w:rsid w:val="00CC2E0E"/>
    <w:rsid w:val="00CC361C"/>
    <w:rsid w:val="00CC474B"/>
    <w:rsid w:val="00CC658C"/>
    <w:rsid w:val="00CC67BF"/>
    <w:rsid w:val="00CD0843"/>
    <w:rsid w:val="00CD4E31"/>
    <w:rsid w:val="00CD5612"/>
    <w:rsid w:val="00CD5A78"/>
    <w:rsid w:val="00CD7345"/>
    <w:rsid w:val="00CE372E"/>
    <w:rsid w:val="00CE673E"/>
    <w:rsid w:val="00CF0A1B"/>
    <w:rsid w:val="00CF19F6"/>
    <w:rsid w:val="00CF250E"/>
    <w:rsid w:val="00CF2F4F"/>
    <w:rsid w:val="00CF536D"/>
    <w:rsid w:val="00D0141B"/>
    <w:rsid w:val="00D01752"/>
    <w:rsid w:val="00D02E9D"/>
    <w:rsid w:val="00D10CB8"/>
    <w:rsid w:val="00D11F04"/>
    <w:rsid w:val="00D12806"/>
    <w:rsid w:val="00D12D44"/>
    <w:rsid w:val="00D15018"/>
    <w:rsid w:val="00D15060"/>
    <w:rsid w:val="00D158AC"/>
    <w:rsid w:val="00D1694C"/>
    <w:rsid w:val="00D20F5E"/>
    <w:rsid w:val="00D23B76"/>
    <w:rsid w:val="00D244A4"/>
    <w:rsid w:val="00D24B4A"/>
    <w:rsid w:val="00D263A6"/>
    <w:rsid w:val="00D34D99"/>
    <w:rsid w:val="00D35FED"/>
    <w:rsid w:val="00D379A3"/>
    <w:rsid w:val="00D37A68"/>
    <w:rsid w:val="00D45FF3"/>
    <w:rsid w:val="00D512CF"/>
    <w:rsid w:val="00D528B9"/>
    <w:rsid w:val="00D53186"/>
    <w:rsid w:val="00D5487D"/>
    <w:rsid w:val="00D57810"/>
    <w:rsid w:val="00D60140"/>
    <w:rsid w:val="00D6024A"/>
    <w:rsid w:val="00D608B5"/>
    <w:rsid w:val="00D61ECA"/>
    <w:rsid w:val="00D64739"/>
    <w:rsid w:val="00D71F99"/>
    <w:rsid w:val="00D738F2"/>
    <w:rsid w:val="00D73CA4"/>
    <w:rsid w:val="00D73D71"/>
    <w:rsid w:val="00D74396"/>
    <w:rsid w:val="00D76C89"/>
    <w:rsid w:val="00D80284"/>
    <w:rsid w:val="00D81F71"/>
    <w:rsid w:val="00D852E3"/>
    <w:rsid w:val="00D8642D"/>
    <w:rsid w:val="00D90A5E"/>
    <w:rsid w:val="00D91A68"/>
    <w:rsid w:val="00D95A68"/>
    <w:rsid w:val="00DA17C7"/>
    <w:rsid w:val="00DA17EB"/>
    <w:rsid w:val="00DA3423"/>
    <w:rsid w:val="00DA6A9A"/>
    <w:rsid w:val="00DB106F"/>
    <w:rsid w:val="00DB1EFD"/>
    <w:rsid w:val="00DB3EAF"/>
    <w:rsid w:val="00DB46C6"/>
    <w:rsid w:val="00DC3203"/>
    <w:rsid w:val="00DC3C99"/>
    <w:rsid w:val="00DC4BDF"/>
    <w:rsid w:val="00DC52F5"/>
    <w:rsid w:val="00DC5FD0"/>
    <w:rsid w:val="00DD0354"/>
    <w:rsid w:val="00DD12C8"/>
    <w:rsid w:val="00DD27D7"/>
    <w:rsid w:val="00DD2F07"/>
    <w:rsid w:val="00DD458C"/>
    <w:rsid w:val="00DD72E9"/>
    <w:rsid w:val="00DD756F"/>
    <w:rsid w:val="00DD7605"/>
    <w:rsid w:val="00DE2020"/>
    <w:rsid w:val="00DE3476"/>
    <w:rsid w:val="00DE7BEA"/>
    <w:rsid w:val="00DF30B5"/>
    <w:rsid w:val="00DF5B84"/>
    <w:rsid w:val="00DF6D5B"/>
    <w:rsid w:val="00DF771B"/>
    <w:rsid w:val="00DF7EE2"/>
    <w:rsid w:val="00E01BAA"/>
    <w:rsid w:val="00E0282A"/>
    <w:rsid w:val="00E02F9B"/>
    <w:rsid w:val="00E0605C"/>
    <w:rsid w:val="00E07E14"/>
    <w:rsid w:val="00E14F94"/>
    <w:rsid w:val="00E17336"/>
    <w:rsid w:val="00E17D15"/>
    <w:rsid w:val="00E22B95"/>
    <w:rsid w:val="00E30331"/>
    <w:rsid w:val="00E30BB8"/>
    <w:rsid w:val="00E31F9C"/>
    <w:rsid w:val="00E34526"/>
    <w:rsid w:val="00E40201"/>
    <w:rsid w:val="00E40488"/>
    <w:rsid w:val="00E50367"/>
    <w:rsid w:val="00E51ABA"/>
    <w:rsid w:val="00E524CB"/>
    <w:rsid w:val="00E54B33"/>
    <w:rsid w:val="00E60A75"/>
    <w:rsid w:val="00E65456"/>
    <w:rsid w:val="00E65A91"/>
    <w:rsid w:val="00E66188"/>
    <w:rsid w:val="00E664FB"/>
    <w:rsid w:val="00E672F0"/>
    <w:rsid w:val="00E70373"/>
    <w:rsid w:val="00E71734"/>
    <w:rsid w:val="00E72E40"/>
    <w:rsid w:val="00E73665"/>
    <w:rsid w:val="00E73999"/>
    <w:rsid w:val="00E73BDC"/>
    <w:rsid w:val="00E73E9E"/>
    <w:rsid w:val="00E81660"/>
    <w:rsid w:val="00E854FE"/>
    <w:rsid w:val="00E906CC"/>
    <w:rsid w:val="00E939A0"/>
    <w:rsid w:val="00E94ABA"/>
    <w:rsid w:val="00E97E4E"/>
    <w:rsid w:val="00EA1CC2"/>
    <w:rsid w:val="00EA2D76"/>
    <w:rsid w:val="00EA4644"/>
    <w:rsid w:val="00EA758A"/>
    <w:rsid w:val="00EB096F"/>
    <w:rsid w:val="00EB199F"/>
    <w:rsid w:val="00EB21A4"/>
    <w:rsid w:val="00EB27C4"/>
    <w:rsid w:val="00EB5387"/>
    <w:rsid w:val="00EB5C10"/>
    <w:rsid w:val="00EB65D4"/>
    <w:rsid w:val="00EB7322"/>
    <w:rsid w:val="00EC0FE9"/>
    <w:rsid w:val="00EC198B"/>
    <w:rsid w:val="00EC2680"/>
    <w:rsid w:val="00EC426D"/>
    <w:rsid w:val="00EC571B"/>
    <w:rsid w:val="00EC57D7"/>
    <w:rsid w:val="00EC6385"/>
    <w:rsid w:val="00ED1DE9"/>
    <w:rsid w:val="00ED23D4"/>
    <w:rsid w:val="00ED5E0B"/>
    <w:rsid w:val="00EE18A2"/>
    <w:rsid w:val="00EE37B6"/>
    <w:rsid w:val="00EF0F45"/>
    <w:rsid w:val="00EF7463"/>
    <w:rsid w:val="00EF7971"/>
    <w:rsid w:val="00F002EF"/>
    <w:rsid w:val="00F01EE9"/>
    <w:rsid w:val="00F04900"/>
    <w:rsid w:val="00F063FD"/>
    <w:rsid w:val="00F06590"/>
    <w:rsid w:val="00F065A4"/>
    <w:rsid w:val="00F1181F"/>
    <w:rsid w:val="00F126B9"/>
    <w:rsid w:val="00F12715"/>
    <w:rsid w:val="00F144D5"/>
    <w:rsid w:val="00F146F0"/>
    <w:rsid w:val="00F15039"/>
    <w:rsid w:val="00F20FF3"/>
    <w:rsid w:val="00F211E3"/>
    <w:rsid w:val="00F2190B"/>
    <w:rsid w:val="00F228B5"/>
    <w:rsid w:val="00F2389C"/>
    <w:rsid w:val="00F25C67"/>
    <w:rsid w:val="00F26EF4"/>
    <w:rsid w:val="00F30DFF"/>
    <w:rsid w:val="00F32B80"/>
    <w:rsid w:val="00F340EB"/>
    <w:rsid w:val="00F35285"/>
    <w:rsid w:val="00F43B9D"/>
    <w:rsid w:val="00F44D5E"/>
    <w:rsid w:val="00F51823"/>
    <w:rsid w:val="00F53A35"/>
    <w:rsid w:val="00F55A3D"/>
    <w:rsid w:val="00F5744B"/>
    <w:rsid w:val="00F61209"/>
    <w:rsid w:val="00F6259E"/>
    <w:rsid w:val="00F65DD4"/>
    <w:rsid w:val="00F672B2"/>
    <w:rsid w:val="00F8218E"/>
    <w:rsid w:val="00F83973"/>
    <w:rsid w:val="00F87FA3"/>
    <w:rsid w:val="00F90C5D"/>
    <w:rsid w:val="00F93D8C"/>
    <w:rsid w:val="00FA3102"/>
    <w:rsid w:val="00FA48D4"/>
    <w:rsid w:val="00FA54FA"/>
    <w:rsid w:val="00FA6CEC"/>
    <w:rsid w:val="00FA6D39"/>
    <w:rsid w:val="00FB227E"/>
    <w:rsid w:val="00FB3D61"/>
    <w:rsid w:val="00FB44CE"/>
    <w:rsid w:val="00FB5009"/>
    <w:rsid w:val="00FB76AB"/>
    <w:rsid w:val="00FD03FE"/>
    <w:rsid w:val="00FD126E"/>
    <w:rsid w:val="00FD3C36"/>
    <w:rsid w:val="00FD4D81"/>
    <w:rsid w:val="00FD7498"/>
    <w:rsid w:val="00FD7FB3"/>
    <w:rsid w:val="00FE0007"/>
    <w:rsid w:val="00FE34FD"/>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42F2A"/>
  <w14:defaultImageDpi w14:val="330"/>
  <w15:docId w15:val="{B9C7D283-C319-4167-9B3B-EC0A367A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Ttulo1">
    <w:name w:val="heading 1"/>
    <w:basedOn w:val="Normal"/>
    <w:next w:val="Paragraph"/>
    <w:link w:val="Ttulo1Char"/>
    <w:qFormat/>
    <w:rsid w:val="00AE1ED4"/>
    <w:pPr>
      <w:keepNext/>
      <w:spacing w:before="360" w:after="60" w:line="360" w:lineRule="auto"/>
      <w:ind w:right="567"/>
      <w:contextualSpacing/>
      <w:outlineLvl w:val="0"/>
    </w:pPr>
    <w:rPr>
      <w:rFonts w:cs="Arial"/>
      <w:b/>
      <w:bCs/>
      <w:kern w:val="32"/>
      <w:szCs w:val="32"/>
    </w:rPr>
  </w:style>
  <w:style w:type="paragraph" w:styleId="Ttulo2">
    <w:name w:val="heading 2"/>
    <w:basedOn w:val="Normal"/>
    <w:next w:val="Paragraph"/>
    <w:link w:val="Ttulo2Char"/>
    <w:qFormat/>
    <w:rsid w:val="008D07FB"/>
    <w:pPr>
      <w:keepNext/>
      <w:spacing w:before="360" w:after="60" w:line="360" w:lineRule="auto"/>
      <w:ind w:right="567"/>
      <w:contextualSpacing/>
      <w:outlineLvl w:val="1"/>
    </w:pPr>
    <w:rPr>
      <w:rFonts w:cs="Arial"/>
      <w:b/>
      <w:bCs/>
      <w:i/>
      <w:iCs/>
      <w:szCs w:val="28"/>
    </w:rPr>
  </w:style>
  <w:style w:type="paragraph" w:styleId="Ttulo3">
    <w:name w:val="heading 3"/>
    <w:basedOn w:val="Normal"/>
    <w:next w:val="Paragraph"/>
    <w:link w:val="Ttulo3Char"/>
    <w:qFormat/>
    <w:rsid w:val="00DF7EE2"/>
    <w:pPr>
      <w:keepNext/>
      <w:spacing w:before="360" w:after="60" w:line="360" w:lineRule="auto"/>
      <w:ind w:right="567"/>
      <w:contextualSpacing/>
      <w:outlineLvl w:val="2"/>
    </w:pPr>
    <w:rPr>
      <w:rFonts w:cs="Arial"/>
      <w:bCs/>
      <w:i/>
      <w:szCs w:val="26"/>
    </w:rPr>
  </w:style>
  <w:style w:type="paragraph" w:styleId="Ttulo4">
    <w:name w:val="heading 4"/>
    <w:basedOn w:val="Paragraph"/>
    <w:next w:val="Newparagraph"/>
    <w:link w:val="Ttulo4Char"/>
    <w:rsid w:val="00F43B9D"/>
    <w:pPr>
      <w:spacing w:before="360"/>
      <w:outlineLvl w:val="3"/>
    </w:pPr>
    <w:rPr>
      <w:bCs/>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Recuonormal">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Ttulo2Char">
    <w:name w:val="Título 2 Char"/>
    <w:basedOn w:val="Fontepargpadro"/>
    <w:link w:val="Ttulo2"/>
    <w:rsid w:val="008D07FB"/>
    <w:rPr>
      <w:rFonts w:cs="Arial"/>
      <w:b/>
      <w:bCs/>
      <w:i/>
      <w:iCs/>
      <w:sz w:val="24"/>
      <w:szCs w:val="28"/>
    </w:rPr>
  </w:style>
  <w:style w:type="character" w:customStyle="1" w:styleId="Ttulo1Char">
    <w:name w:val="Título 1 Char"/>
    <w:basedOn w:val="Fontepargpadro"/>
    <w:link w:val="Ttulo1"/>
    <w:rsid w:val="00AE1ED4"/>
    <w:rPr>
      <w:rFonts w:cs="Arial"/>
      <w:b/>
      <w:bCs/>
      <w:kern w:val="32"/>
      <w:sz w:val="24"/>
      <w:szCs w:val="32"/>
    </w:rPr>
  </w:style>
  <w:style w:type="character" w:customStyle="1" w:styleId="Ttulo3Char">
    <w:name w:val="Título 3 Char"/>
    <w:basedOn w:val="Fontepargpadro"/>
    <w:link w:val="Ttulo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Textodenotaderodap">
    <w:name w:val="footnote text"/>
    <w:basedOn w:val="Normal"/>
    <w:link w:val="TextodenotaderodapChar"/>
    <w:autoRedefine/>
    <w:rsid w:val="006C19B2"/>
    <w:pPr>
      <w:ind w:left="284" w:hanging="284"/>
    </w:pPr>
    <w:rPr>
      <w:sz w:val="22"/>
      <w:szCs w:val="20"/>
    </w:rPr>
  </w:style>
  <w:style w:type="character" w:customStyle="1" w:styleId="TextodenotaderodapChar">
    <w:name w:val="Texto de nota de rodapé Char"/>
    <w:basedOn w:val="Fontepargpadro"/>
    <w:link w:val="Textodenotaderodap"/>
    <w:rsid w:val="006C19B2"/>
    <w:rPr>
      <w:sz w:val="22"/>
    </w:rPr>
  </w:style>
  <w:style w:type="character" w:styleId="Refdenotaderodap">
    <w:name w:val="footnote reference"/>
    <w:basedOn w:val="Fontepargpadro"/>
    <w:rsid w:val="00AF2C92"/>
    <w:rPr>
      <w:vertAlign w:val="superscript"/>
    </w:rPr>
  </w:style>
  <w:style w:type="paragraph" w:styleId="Textodenotadefim">
    <w:name w:val="endnote text"/>
    <w:basedOn w:val="Normal"/>
    <w:link w:val="TextodenotadefimChar"/>
    <w:autoRedefine/>
    <w:rsid w:val="006C19B2"/>
    <w:pPr>
      <w:ind w:left="284" w:hanging="284"/>
    </w:pPr>
    <w:rPr>
      <w:sz w:val="22"/>
      <w:szCs w:val="20"/>
    </w:rPr>
  </w:style>
  <w:style w:type="character" w:customStyle="1" w:styleId="TextodenotadefimChar">
    <w:name w:val="Texto de nota de fim Char"/>
    <w:basedOn w:val="Fontepargpadro"/>
    <w:link w:val="Textodenotadefim"/>
    <w:rsid w:val="006C19B2"/>
    <w:rPr>
      <w:sz w:val="22"/>
    </w:rPr>
  </w:style>
  <w:style w:type="character" w:styleId="Refdenotadefim">
    <w:name w:val="endnote reference"/>
    <w:basedOn w:val="Fontepargpadro"/>
    <w:rsid w:val="00EC571B"/>
    <w:rPr>
      <w:vertAlign w:val="superscript"/>
    </w:rPr>
  </w:style>
  <w:style w:type="character" w:customStyle="1" w:styleId="Ttulo4Char">
    <w:name w:val="Título 4 Char"/>
    <w:basedOn w:val="Fontepargpadro"/>
    <w:link w:val="Ttulo4"/>
    <w:rsid w:val="00F43B9D"/>
    <w:rPr>
      <w:bCs/>
      <w:sz w:val="24"/>
      <w:szCs w:val="28"/>
    </w:rPr>
  </w:style>
  <w:style w:type="paragraph" w:styleId="Cabealho">
    <w:name w:val="header"/>
    <w:basedOn w:val="Normal"/>
    <w:link w:val="CabealhoChar"/>
    <w:rsid w:val="003F193A"/>
    <w:pPr>
      <w:tabs>
        <w:tab w:val="center" w:pos="4320"/>
        <w:tab w:val="right" w:pos="8640"/>
      </w:tabs>
      <w:spacing w:after="120" w:line="240" w:lineRule="auto"/>
      <w:contextualSpacing/>
    </w:pPr>
  </w:style>
  <w:style w:type="character" w:customStyle="1" w:styleId="CabealhoChar">
    <w:name w:val="Cabeçalho Char"/>
    <w:basedOn w:val="Fontepargpadro"/>
    <w:link w:val="Cabealho"/>
    <w:rsid w:val="003F193A"/>
    <w:rPr>
      <w:rFonts w:eastAsia="Times New Roman"/>
      <w:sz w:val="24"/>
      <w:szCs w:val="24"/>
      <w:lang w:eastAsia="en-GB"/>
    </w:rPr>
  </w:style>
  <w:style w:type="paragraph" w:styleId="Rodap">
    <w:name w:val="footer"/>
    <w:basedOn w:val="Normal"/>
    <w:link w:val="RodapChar"/>
    <w:rsid w:val="00AE6A21"/>
    <w:pPr>
      <w:tabs>
        <w:tab w:val="center" w:pos="4320"/>
        <w:tab w:val="right" w:pos="8640"/>
      </w:tabs>
      <w:spacing w:before="240" w:line="240" w:lineRule="auto"/>
      <w:contextualSpacing/>
    </w:pPr>
  </w:style>
  <w:style w:type="character" w:customStyle="1" w:styleId="RodapChar">
    <w:name w:val="Rodapé Char"/>
    <w:basedOn w:val="Fontepargpadro"/>
    <w:link w:val="Rodap"/>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Fontepargpadro"/>
    <w:uiPriority w:val="99"/>
    <w:unhideWhenUsed/>
    <w:rsid w:val="00390A6B"/>
    <w:rPr>
      <w:color w:val="0000FF" w:themeColor="hyperlink"/>
      <w:u w:val="single"/>
    </w:rPr>
  </w:style>
  <w:style w:type="character" w:customStyle="1" w:styleId="MenoPendente1">
    <w:name w:val="Menção Pendente1"/>
    <w:basedOn w:val="Fontepargpadro"/>
    <w:uiPriority w:val="99"/>
    <w:semiHidden/>
    <w:unhideWhenUsed/>
    <w:rsid w:val="00390A6B"/>
    <w:rPr>
      <w:color w:val="605E5C"/>
      <w:shd w:val="clear" w:color="auto" w:fill="E1DFDD"/>
    </w:rPr>
  </w:style>
  <w:style w:type="paragraph" w:styleId="Textodecomentrio">
    <w:name w:val="annotation text"/>
    <w:basedOn w:val="Normal"/>
    <w:link w:val="TextodecomentrioChar"/>
    <w:uiPriority w:val="99"/>
    <w:unhideWhenUsed/>
    <w:rsid w:val="004D2E62"/>
    <w:pPr>
      <w:spacing w:after="160" w:line="240" w:lineRule="auto"/>
    </w:pPr>
    <w:rPr>
      <w:rFonts w:ascii="Calibri" w:eastAsia="Calibri" w:hAnsi="Calibri" w:cs="Calibri"/>
      <w:sz w:val="20"/>
      <w:szCs w:val="20"/>
      <w:lang w:val="pt-BR" w:eastAsia="pt-BR"/>
    </w:rPr>
  </w:style>
  <w:style w:type="character" w:customStyle="1" w:styleId="TextodecomentrioChar">
    <w:name w:val="Texto de comentário Char"/>
    <w:basedOn w:val="Fontepargpadro"/>
    <w:link w:val="Textodecomentrio"/>
    <w:uiPriority w:val="99"/>
    <w:rsid w:val="004D2E62"/>
    <w:rPr>
      <w:rFonts w:ascii="Calibri" w:eastAsia="Calibri" w:hAnsi="Calibri" w:cs="Calibri"/>
      <w:lang w:val="pt-BR" w:eastAsia="pt-BR"/>
    </w:rPr>
  </w:style>
  <w:style w:type="character" w:styleId="Refdecomentrio">
    <w:name w:val="annotation reference"/>
    <w:basedOn w:val="Fontepargpadro"/>
    <w:uiPriority w:val="99"/>
    <w:semiHidden/>
    <w:unhideWhenUsed/>
    <w:rsid w:val="004D2E62"/>
    <w:rPr>
      <w:sz w:val="16"/>
      <w:szCs w:val="16"/>
    </w:rPr>
  </w:style>
  <w:style w:type="paragraph" w:styleId="Assuntodocomentrio">
    <w:name w:val="annotation subject"/>
    <w:basedOn w:val="Textodecomentrio"/>
    <w:next w:val="Textodecomentrio"/>
    <w:link w:val="AssuntodocomentrioChar"/>
    <w:semiHidden/>
    <w:unhideWhenUsed/>
    <w:rsid w:val="0076752A"/>
    <w:pPr>
      <w:spacing w:after="0"/>
    </w:pPr>
    <w:rPr>
      <w:rFonts w:ascii="Times New Roman" w:eastAsia="Times New Roman" w:hAnsi="Times New Roman" w:cs="Times New Roman"/>
      <w:b/>
      <w:bCs/>
      <w:lang w:val="en-GB" w:eastAsia="en-GB"/>
    </w:rPr>
  </w:style>
  <w:style w:type="character" w:customStyle="1" w:styleId="AssuntodocomentrioChar">
    <w:name w:val="Assunto do comentário Char"/>
    <w:basedOn w:val="TextodecomentrioChar"/>
    <w:link w:val="Assuntodocomentrio"/>
    <w:semiHidden/>
    <w:rsid w:val="0076752A"/>
    <w:rPr>
      <w:rFonts w:ascii="Calibri" w:eastAsia="Calibri" w:hAnsi="Calibri" w:cs="Calibri"/>
      <w:b/>
      <w:bCs/>
      <w:lang w:val="pt-BR" w:eastAsia="pt-BR"/>
    </w:rPr>
  </w:style>
  <w:style w:type="paragraph" w:styleId="Textodebalo">
    <w:name w:val="Balloon Text"/>
    <w:basedOn w:val="Normal"/>
    <w:link w:val="TextodebaloChar"/>
    <w:semiHidden/>
    <w:unhideWhenUsed/>
    <w:rsid w:val="007A37F3"/>
    <w:pPr>
      <w:spacing w:line="240" w:lineRule="auto"/>
    </w:pPr>
    <w:rPr>
      <w:rFonts w:ascii="Tahoma" w:hAnsi="Tahoma" w:cs="Tahoma"/>
      <w:sz w:val="16"/>
      <w:szCs w:val="16"/>
    </w:rPr>
  </w:style>
  <w:style w:type="character" w:customStyle="1" w:styleId="TextodebaloChar">
    <w:name w:val="Texto de balão Char"/>
    <w:basedOn w:val="Fontepargpadro"/>
    <w:link w:val="Textodebalo"/>
    <w:semiHidden/>
    <w:rsid w:val="007A3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ysonmoura@yahoo.com.b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Faculdade\TCC\Journal\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44186-E9A4-405C-94E6-85997016B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439</TotalTime>
  <Pages>20</Pages>
  <Words>5169</Words>
  <Characters>27914</Characters>
  <Application>Microsoft Office Word</Application>
  <DocSecurity>0</DocSecurity>
  <Lines>232</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TF_Template_Word_Windows_2016</vt:lpstr>
      <vt:lpstr>TF_Template_Word_Windows_2016</vt:lpstr>
    </vt:vector>
  </TitlesOfParts>
  <Company>Informa Plc</Company>
  <LinksUpToDate>false</LinksUpToDate>
  <CharactersWithSpaces>33017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GAMER</dc:creator>
  <cp:lastModifiedBy>THAIS ARATAK MARQUES TAIA</cp:lastModifiedBy>
  <cp:revision>80</cp:revision>
  <cp:lastPrinted>2011-07-22T14:54:00Z</cp:lastPrinted>
  <dcterms:created xsi:type="dcterms:W3CDTF">2021-05-23T15:18:00Z</dcterms:created>
  <dcterms:modified xsi:type="dcterms:W3CDTF">2021-06-21T23:31:00Z</dcterms:modified>
</cp:coreProperties>
</file>