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0FB5" w14:textId="77777777" w:rsidR="00601E94" w:rsidRPr="0040390C" w:rsidRDefault="00BE6BC7" w:rsidP="0040390C">
      <w:pPr>
        <w:spacing w:line="360" w:lineRule="auto"/>
        <w:jc w:val="center"/>
        <w:rPr>
          <w:sz w:val="36"/>
          <w:szCs w:val="36"/>
          <w:lang w:eastAsia="en-US"/>
        </w:rPr>
      </w:pPr>
      <w:bookmarkStart w:id="0" w:name="_Hlk22807620"/>
      <w:r w:rsidRPr="0040390C">
        <w:rPr>
          <w:noProof/>
          <w:sz w:val="36"/>
          <w:szCs w:val="36"/>
        </w:rPr>
        <w:drawing>
          <wp:inline distT="0" distB="0" distL="0" distR="0" wp14:anchorId="5AFFB376" wp14:editId="1E9490C2">
            <wp:extent cx="1651379" cy="1821844"/>
            <wp:effectExtent l="0" t="0" r="635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UC GO.png"/>
                    <pic:cNvPicPr/>
                  </pic:nvPicPr>
                  <pic:blipFill rotWithShape="1">
                    <a:blip r:embed="rId8"/>
                    <a:srcRect r="47279"/>
                    <a:stretch/>
                  </pic:blipFill>
                  <pic:spPr bwMode="auto">
                    <a:xfrm>
                      <a:off x="0" y="0"/>
                      <a:ext cx="1671416" cy="1843949"/>
                    </a:xfrm>
                    <a:prstGeom prst="rect">
                      <a:avLst/>
                    </a:prstGeom>
                    <a:ln>
                      <a:noFill/>
                    </a:ln>
                  </pic:spPr>
                </pic:pic>
              </a:graphicData>
            </a:graphic>
          </wp:inline>
        </w:drawing>
      </w:r>
    </w:p>
    <w:p w14:paraId="4BCC597C" w14:textId="77777777" w:rsidR="00601E94" w:rsidRPr="0040390C" w:rsidRDefault="00601E94" w:rsidP="0040390C">
      <w:pPr>
        <w:spacing w:line="360" w:lineRule="auto"/>
        <w:rPr>
          <w:sz w:val="36"/>
          <w:szCs w:val="36"/>
          <w:lang w:eastAsia="en-US"/>
        </w:rPr>
      </w:pPr>
    </w:p>
    <w:p w14:paraId="7991D5DE" w14:textId="77777777" w:rsidR="00601E94" w:rsidRPr="0040390C" w:rsidRDefault="00601E94" w:rsidP="0040390C">
      <w:pPr>
        <w:spacing w:line="360" w:lineRule="auto"/>
        <w:rPr>
          <w:i/>
          <w:iCs/>
          <w:lang w:eastAsia="en-US"/>
        </w:rPr>
      </w:pPr>
    </w:p>
    <w:p w14:paraId="6AC68E19" w14:textId="5A086A7B" w:rsidR="00601E94" w:rsidRPr="0040390C" w:rsidRDefault="0080669C" w:rsidP="0040390C">
      <w:pPr>
        <w:spacing w:line="360" w:lineRule="auto"/>
        <w:jc w:val="center"/>
        <w:rPr>
          <w:b/>
          <w:bCs/>
          <w:lang w:eastAsia="en-US"/>
        </w:rPr>
      </w:pPr>
      <w:r w:rsidRPr="0040390C">
        <w:rPr>
          <w:b/>
          <w:bCs/>
          <w:lang w:eastAsia="en-US"/>
        </w:rPr>
        <w:t>PONTIFÍCIA UNIVERSIDADE CATÓLICA DE GOIÁS</w:t>
      </w:r>
    </w:p>
    <w:p w14:paraId="0FE9E700" w14:textId="5FD48787" w:rsidR="0080669C" w:rsidRPr="0040390C" w:rsidRDefault="0080669C" w:rsidP="0040390C">
      <w:pPr>
        <w:spacing w:line="360" w:lineRule="auto"/>
        <w:jc w:val="center"/>
        <w:rPr>
          <w:b/>
          <w:bCs/>
          <w:lang w:eastAsia="en-US"/>
        </w:rPr>
      </w:pPr>
      <w:r w:rsidRPr="0040390C">
        <w:rPr>
          <w:b/>
          <w:bCs/>
          <w:lang w:eastAsia="en-US"/>
        </w:rPr>
        <w:t>CURSO DE GRADUAÇÃO EM MEDICINA</w:t>
      </w:r>
    </w:p>
    <w:p w14:paraId="5E463703" w14:textId="776033F6" w:rsidR="00601E94" w:rsidRPr="0040390C" w:rsidRDefault="00601E94" w:rsidP="0040390C">
      <w:pPr>
        <w:spacing w:line="360" w:lineRule="auto"/>
        <w:jc w:val="center"/>
        <w:rPr>
          <w:i/>
          <w:iCs/>
          <w:lang w:eastAsia="en-US"/>
        </w:rPr>
      </w:pPr>
    </w:p>
    <w:p w14:paraId="40B6501D" w14:textId="2D2C4A2B" w:rsidR="0080669C" w:rsidRPr="0040390C" w:rsidRDefault="0080669C" w:rsidP="0040390C">
      <w:pPr>
        <w:spacing w:line="360" w:lineRule="auto"/>
        <w:jc w:val="center"/>
        <w:rPr>
          <w:i/>
          <w:iCs/>
          <w:lang w:eastAsia="en-US"/>
        </w:rPr>
      </w:pPr>
    </w:p>
    <w:p w14:paraId="1726211A" w14:textId="2CD08EE1" w:rsidR="0080669C" w:rsidRPr="0040390C" w:rsidRDefault="0080669C" w:rsidP="0040390C">
      <w:pPr>
        <w:spacing w:line="360" w:lineRule="auto"/>
        <w:jc w:val="center"/>
        <w:rPr>
          <w:i/>
          <w:iCs/>
          <w:lang w:eastAsia="en-US"/>
        </w:rPr>
      </w:pPr>
    </w:p>
    <w:p w14:paraId="58061C90" w14:textId="7D829D72" w:rsidR="0080669C" w:rsidRPr="002E129E" w:rsidRDefault="0080669C" w:rsidP="0040390C">
      <w:pPr>
        <w:spacing w:line="360" w:lineRule="auto"/>
        <w:jc w:val="center"/>
        <w:rPr>
          <w:lang w:eastAsia="en-US"/>
        </w:rPr>
      </w:pPr>
    </w:p>
    <w:p w14:paraId="2DF5CE5F" w14:textId="58345AC4" w:rsidR="0080669C" w:rsidRPr="0040390C" w:rsidRDefault="0080669C" w:rsidP="002E129E">
      <w:pPr>
        <w:spacing w:line="360" w:lineRule="auto"/>
        <w:jc w:val="center"/>
        <w:rPr>
          <w:b/>
          <w:bCs/>
          <w:lang w:eastAsia="en-US"/>
        </w:rPr>
      </w:pPr>
      <w:r w:rsidRPr="0040390C">
        <w:rPr>
          <w:b/>
          <w:bCs/>
          <w:lang w:eastAsia="en-US"/>
        </w:rPr>
        <w:t>PAULO GABRIEL BALESTRA SILVEIRA AYRES</w:t>
      </w:r>
    </w:p>
    <w:p w14:paraId="0928A73C" w14:textId="1E29885B" w:rsidR="0080669C" w:rsidRPr="0040390C" w:rsidRDefault="0080669C" w:rsidP="0040390C">
      <w:pPr>
        <w:spacing w:line="360" w:lineRule="auto"/>
        <w:jc w:val="center"/>
        <w:rPr>
          <w:b/>
          <w:bCs/>
          <w:lang w:eastAsia="en-US"/>
        </w:rPr>
      </w:pPr>
      <w:r w:rsidRPr="0040390C">
        <w:rPr>
          <w:b/>
          <w:bCs/>
          <w:lang w:eastAsia="en-US"/>
        </w:rPr>
        <w:t>LAÍS MARTINS VASCONCELLOS</w:t>
      </w:r>
    </w:p>
    <w:p w14:paraId="46B95784" w14:textId="49FAE502" w:rsidR="00601E94" w:rsidRPr="0040390C" w:rsidRDefault="00601E94" w:rsidP="0040390C">
      <w:pPr>
        <w:spacing w:line="360" w:lineRule="auto"/>
        <w:jc w:val="center"/>
        <w:rPr>
          <w:lang w:eastAsia="en-US"/>
        </w:rPr>
      </w:pPr>
    </w:p>
    <w:p w14:paraId="3930570B" w14:textId="0E880842" w:rsidR="0080669C" w:rsidRPr="0040390C" w:rsidRDefault="0080669C" w:rsidP="0040390C">
      <w:pPr>
        <w:spacing w:line="360" w:lineRule="auto"/>
        <w:jc w:val="center"/>
        <w:rPr>
          <w:lang w:eastAsia="en-US"/>
        </w:rPr>
      </w:pPr>
    </w:p>
    <w:p w14:paraId="13B1757D" w14:textId="6B8AFC20" w:rsidR="0080669C" w:rsidRDefault="0080669C" w:rsidP="0040390C">
      <w:pPr>
        <w:spacing w:line="360" w:lineRule="auto"/>
        <w:jc w:val="center"/>
        <w:rPr>
          <w:lang w:eastAsia="en-US"/>
        </w:rPr>
      </w:pPr>
    </w:p>
    <w:p w14:paraId="4DF7392E" w14:textId="77777777" w:rsidR="002E129E" w:rsidRPr="0040390C" w:rsidRDefault="002E129E" w:rsidP="0040390C">
      <w:pPr>
        <w:spacing w:line="360" w:lineRule="auto"/>
        <w:jc w:val="center"/>
        <w:rPr>
          <w:lang w:eastAsia="en-US"/>
        </w:rPr>
      </w:pPr>
    </w:p>
    <w:p w14:paraId="68413F7E" w14:textId="77777777" w:rsidR="0080669C" w:rsidRPr="0040390C" w:rsidRDefault="0080669C" w:rsidP="0040390C">
      <w:pPr>
        <w:spacing w:line="360" w:lineRule="auto"/>
        <w:jc w:val="center"/>
        <w:rPr>
          <w:lang w:eastAsia="en-US"/>
        </w:rPr>
      </w:pPr>
    </w:p>
    <w:p w14:paraId="6EF106BB" w14:textId="45134920" w:rsidR="00BE6BC7" w:rsidRPr="0040390C" w:rsidRDefault="00BE6BC7" w:rsidP="0040390C">
      <w:pPr>
        <w:spacing w:line="360" w:lineRule="auto"/>
        <w:jc w:val="center"/>
        <w:rPr>
          <w:b/>
          <w:bCs/>
          <w:sz w:val="36"/>
          <w:szCs w:val="36"/>
          <w:lang w:eastAsia="en-US"/>
        </w:rPr>
      </w:pPr>
      <w:r w:rsidRPr="0040390C">
        <w:rPr>
          <w:b/>
          <w:bCs/>
          <w:sz w:val="36"/>
          <w:szCs w:val="36"/>
        </w:rPr>
        <w:t>Uso de infusão de cetamina intravascular para o tratamento de dor crônica e depressão: relato de caso</w:t>
      </w:r>
    </w:p>
    <w:p w14:paraId="2F9C14BE" w14:textId="77777777" w:rsidR="00BE6BC7" w:rsidRPr="0040390C" w:rsidRDefault="00BE6BC7" w:rsidP="0040390C">
      <w:pPr>
        <w:spacing w:line="360" w:lineRule="auto"/>
        <w:jc w:val="center"/>
        <w:rPr>
          <w:lang w:eastAsia="en-US"/>
        </w:rPr>
      </w:pPr>
    </w:p>
    <w:p w14:paraId="11D48A94" w14:textId="26FCF532" w:rsidR="00601E94" w:rsidRPr="0040390C" w:rsidRDefault="00601E94" w:rsidP="0040390C">
      <w:pPr>
        <w:spacing w:line="360" w:lineRule="auto"/>
        <w:jc w:val="center"/>
        <w:rPr>
          <w:lang w:eastAsia="en-US"/>
        </w:rPr>
      </w:pPr>
    </w:p>
    <w:p w14:paraId="7DDB5E8D" w14:textId="77777777" w:rsidR="00C723EA" w:rsidRPr="0040390C" w:rsidRDefault="00C723EA" w:rsidP="0040390C">
      <w:pPr>
        <w:spacing w:line="360" w:lineRule="auto"/>
        <w:jc w:val="center"/>
        <w:rPr>
          <w:lang w:eastAsia="en-US"/>
        </w:rPr>
      </w:pPr>
    </w:p>
    <w:p w14:paraId="21D5032B" w14:textId="736CBDC9" w:rsidR="00601E94" w:rsidRPr="0040390C" w:rsidRDefault="00601E94" w:rsidP="0040390C">
      <w:pPr>
        <w:spacing w:line="360" w:lineRule="auto"/>
        <w:jc w:val="center"/>
        <w:rPr>
          <w:lang w:eastAsia="en-US"/>
        </w:rPr>
      </w:pPr>
    </w:p>
    <w:p w14:paraId="5C7474A9" w14:textId="0748EA46" w:rsidR="00601E94" w:rsidRPr="0040390C" w:rsidRDefault="00601E94" w:rsidP="0040390C">
      <w:pPr>
        <w:spacing w:line="360" w:lineRule="auto"/>
        <w:rPr>
          <w:lang w:eastAsia="en-US"/>
        </w:rPr>
      </w:pPr>
    </w:p>
    <w:p w14:paraId="259298CA" w14:textId="77777777" w:rsidR="002E129E" w:rsidRPr="0040390C" w:rsidRDefault="002E129E" w:rsidP="0040390C">
      <w:pPr>
        <w:spacing w:line="360" w:lineRule="auto"/>
        <w:rPr>
          <w:lang w:eastAsia="en-US"/>
        </w:rPr>
      </w:pPr>
    </w:p>
    <w:p w14:paraId="7AAC6B9B" w14:textId="77777777" w:rsidR="00601E94" w:rsidRPr="0040390C" w:rsidRDefault="00601E94" w:rsidP="0040390C">
      <w:pPr>
        <w:spacing w:line="360" w:lineRule="auto"/>
        <w:jc w:val="center"/>
        <w:rPr>
          <w:lang w:eastAsia="en-US"/>
        </w:rPr>
      </w:pPr>
    </w:p>
    <w:p w14:paraId="66E76F7B" w14:textId="7AE5E881" w:rsidR="00375EC9" w:rsidRPr="0040390C" w:rsidRDefault="00BE6BC7" w:rsidP="0040390C">
      <w:pPr>
        <w:spacing w:line="360" w:lineRule="auto"/>
        <w:jc w:val="center"/>
        <w:rPr>
          <w:b/>
          <w:bCs/>
        </w:rPr>
      </w:pPr>
      <w:r w:rsidRPr="0040390C">
        <w:rPr>
          <w:b/>
          <w:bCs/>
        </w:rPr>
        <w:t>G</w:t>
      </w:r>
      <w:r w:rsidR="00375EC9" w:rsidRPr="0040390C">
        <w:rPr>
          <w:b/>
          <w:bCs/>
        </w:rPr>
        <w:t>oiânia</w:t>
      </w:r>
    </w:p>
    <w:p w14:paraId="6D9C02E5" w14:textId="44407CBC" w:rsidR="00C723EA" w:rsidRPr="0040390C" w:rsidRDefault="00BE6BC7" w:rsidP="0040390C">
      <w:pPr>
        <w:spacing w:line="360" w:lineRule="auto"/>
        <w:jc w:val="center"/>
        <w:rPr>
          <w:b/>
          <w:bCs/>
        </w:rPr>
      </w:pPr>
      <w:r w:rsidRPr="0040390C">
        <w:rPr>
          <w:b/>
          <w:bCs/>
        </w:rPr>
        <w:t>202</w:t>
      </w:r>
      <w:r w:rsidR="0080669C" w:rsidRPr="0040390C">
        <w:rPr>
          <w:b/>
          <w:bCs/>
        </w:rPr>
        <w:t>1</w:t>
      </w:r>
    </w:p>
    <w:p w14:paraId="457AE0DA" w14:textId="77777777" w:rsidR="00375EC9" w:rsidRPr="0040390C" w:rsidRDefault="00375EC9" w:rsidP="0040390C">
      <w:pPr>
        <w:spacing w:line="360" w:lineRule="auto"/>
        <w:jc w:val="center"/>
        <w:rPr>
          <w:b/>
          <w:bCs/>
        </w:rPr>
      </w:pPr>
    </w:p>
    <w:p w14:paraId="50EDED09" w14:textId="78FE0E63" w:rsidR="00C723EA" w:rsidRPr="0040390C" w:rsidRDefault="00C723EA" w:rsidP="0040390C">
      <w:pPr>
        <w:spacing w:line="360" w:lineRule="auto"/>
        <w:jc w:val="center"/>
        <w:rPr>
          <w:b/>
          <w:bCs/>
        </w:rPr>
      </w:pPr>
      <w:r w:rsidRPr="0040390C">
        <w:rPr>
          <w:b/>
          <w:bCs/>
        </w:rPr>
        <w:t>PAULO GABRIEL BALESTRA SILVEIRA AYRES</w:t>
      </w:r>
    </w:p>
    <w:p w14:paraId="4154AD70" w14:textId="38A105F5" w:rsidR="00C723EA" w:rsidRPr="0040390C" w:rsidRDefault="00C723EA" w:rsidP="0040390C">
      <w:pPr>
        <w:spacing w:line="360" w:lineRule="auto"/>
        <w:jc w:val="center"/>
        <w:rPr>
          <w:b/>
          <w:bCs/>
        </w:rPr>
      </w:pPr>
      <w:r w:rsidRPr="0040390C">
        <w:rPr>
          <w:b/>
          <w:bCs/>
        </w:rPr>
        <w:t>LAÍS MARTINS VASCONCELLOS</w:t>
      </w:r>
    </w:p>
    <w:p w14:paraId="3B11F3A4" w14:textId="3ABCAF19" w:rsidR="00C723EA" w:rsidRPr="0040390C" w:rsidRDefault="00C723EA" w:rsidP="0040390C">
      <w:pPr>
        <w:spacing w:line="360" w:lineRule="auto"/>
        <w:jc w:val="center"/>
        <w:rPr>
          <w:i/>
          <w:iCs/>
        </w:rPr>
      </w:pPr>
    </w:p>
    <w:p w14:paraId="739627B9" w14:textId="627ED5A6" w:rsidR="00C723EA" w:rsidRPr="0040390C" w:rsidRDefault="00C723EA" w:rsidP="0040390C">
      <w:pPr>
        <w:spacing w:line="360" w:lineRule="auto"/>
        <w:jc w:val="center"/>
        <w:rPr>
          <w:i/>
          <w:iCs/>
        </w:rPr>
      </w:pPr>
    </w:p>
    <w:p w14:paraId="36D71B72" w14:textId="7544AB98" w:rsidR="00C723EA" w:rsidRPr="0040390C" w:rsidRDefault="00C723EA" w:rsidP="0040390C">
      <w:pPr>
        <w:spacing w:line="360" w:lineRule="auto"/>
        <w:jc w:val="center"/>
        <w:rPr>
          <w:i/>
          <w:iCs/>
        </w:rPr>
      </w:pPr>
    </w:p>
    <w:p w14:paraId="6677D57C" w14:textId="1E45EC36" w:rsidR="00C723EA" w:rsidRPr="0040390C" w:rsidRDefault="00C723EA" w:rsidP="0040390C">
      <w:pPr>
        <w:spacing w:line="360" w:lineRule="auto"/>
        <w:jc w:val="center"/>
        <w:rPr>
          <w:i/>
          <w:iCs/>
        </w:rPr>
      </w:pPr>
    </w:p>
    <w:p w14:paraId="175C8D18" w14:textId="0FE91EEE" w:rsidR="00C723EA" w:rsidRPr="0040390C" w:rsidRDefault="00C723EA" w:rsidP="0040390C">
      <w:pPr>
        <w:spacing w:line="360" w:lineRule="auto"/>
        <w:jc w:val="center"/>
        <w:rPr>
          <w:b/>
          <w:bCs/>
          <w:sz w:val="36"/>
          <w:szCs w:val="36"/>
          <w:lang w:eastAsia="en-US"/>
        </w:rPr>
      </w:pPr>
      <w:r w:rsidRPr="0040390C">
        <w:rPr>
          <w:b/>
          <w:bCs/>
          <w:sz w:val="36"/>
          <w:szCs w:val="36"/>
        </w:rPr>
        <w:t>Uso de infusão de cetamina intravascular para o tratamento de dor crônica e depressão: relato de caso</w:t>
      </w:r>
    </w:p>
    <w:p w14:paraId="38E94DE6" w14:textId="695E442C" w:rsidR="00C723EA" w:rsidRPr="0040390C" w:rsidRDefault="00C723EA" w:rsidP="0040390C">
      <w:pPr>
        <w:spacing w:line="360" w:lineRule="auto"/>
      </w:pPr>
    </w:p>
    <w:p w14:paraId="606A4118" w14:textId="6750323F" w:rsidR="00C723EA" w:rsidRPr="0040390C" w:rsidRDefault="00C723EA" w:rsidP="0040390C">
      <w:pPr>
        <w:spacing w:line="360" w:lineRule="auto"/>
        <w:jc w:val="center"/>
      </w:pPr>
    </w:p>
    <w:p w14:paraId="0AA496BF" w14:textId="6737DA87" w:rsidR="00C723EA" w:rsidRPr="0040390C" w:rsidRDefault="00C723EA" w:rsidP="0040390C">
      <w:pPr>
        <w:spacing w:line="360" w:lineRule="auto"/>
        <w:jc w:val="center"/>
      </w:pPr>
    </w:p>
    <w:p w14:paraId="64C74F46" w14:textId="00608452" w:rsidR="00C723EA" w:rsidRPr="0040390C" w:rsidRDefault="00C723EA" w:rsidP="0040390C">
      <w:pPr>
        <w:spacing w:line="360" w:lineRule="auto"/>
        <w:ind w:left="4956"/>
      </w:pPr>
      <w:r w:rsidRPr="0040390C">
        <w:t>Trabalho de Conclusão de Curso de Graduação em Medicina apresentado na Jornada de Produção Científica do Curso de Medicina da Pontifícia Universidade Católica de Goiás</w:t>
      </w:r>
    </w:p>
    <w:p w14:paraId="52BB0FC1" w14:textId="11C0F0D2" w:rsidR="00C723EA" w:rsidRPr="0040390C" w:rsidRDefault="00C723EA" w:rsidP="0040390C">
      <w:pPr>
        <w:spacing w:line="360" w:lineRule="auto"/>
        <w:jc w:val="center"/>
        <w:rPr>
          <w:i/>
          <w:iCs/>
        </w:rPr>
      </w:pPr>
    </w:p>
    <w:p w14:paraId="31E35027" w14:textId="7886C249" w:rsidR="00C723EA" w:rsidRPr="0040390C" w:rsidRDefault="00C723EA" w:rsidP="0040390C">
      <w:pPr>
        <w:spacing w:line="360" w:lineRule="auto"/>
        <w:jc w:val="center"/>
        <w:rPr>
          <w:i/>
          <w:iCs/>
        </w:rPr>
      </w:pPr>
    </w:p>
    <w:p w14:paraId="5C6709E0" w14:textId="77F2B2FC" w:rsidR="00C723EA" w:rsidRPr="0040390C" w:rsidRDefault="00C723EA" w:rsidP="0040390C">
      <w:pPr>
        <w:spacing w:line="360" w:lineRule="auto"/>
        <w:jc w:val="center"/>
        <w:rPr>
          <w:i/>
          <w:iCs/>
        </w:rPr>
      </w:pPr>
    </w:p>
    <w:p w14:paraId="34C95ADE" w14:textId="2BAFD117" w:rsidR="00C723EA" w:rsidRPr="0040390C" w:rsidRDefault="00C723EA" w:rsidP="0040390C">
      <w:pPr>
        <w:spacing w:line="360" w:lineRule="auto"/>
        <w:jc w:val="center"/>
        <w:rPr>
          <w:i/>
          <w:iCs/>
        </w:rPr>
      </w:pPr>
    </w:p>
    <w:p w14:paraId="12F51C0D" w14:textId="70936A13" w:rsidR="00C723EA" w:rsidRPr="0040390C" w:rsidRDefault="00C723EA" w:rsidP="0040390C">
      <w:pPr>
        <w:spacing w:line="360" w:lineRule="auto"/>
      </w:pPr>
      <w:r w:rsidRPr="0040390C">
        <w:t>Orientador: Prof. Me. Ledismar José da Silva</w:t>
      </w:r>
    </w:p>
    <w:p w14:paraId="6BB2749F" w14:textId="77777777" w:rsidR="00C723EA" w:rsidRPr="0040390C" w:rsidRDefault="00C723EA" w:rsidP="0040390C">
      <w:pPr>
        <w:spacing w:line="360" w:lineRule="auto"/>
        <w:jc w:val="center"/>
      </w:pPr>
    </w:p>
    <w:p w14:paraId="4949949E" w14:textId="77777777" w:rsidR="00C723EA" w:rsidRPr="0040390C" w:rsidRDefault="00C723EA" w:rsidP="0040390C">
      <w:pPr>
        <w:spacing w:line="360" w:lineRule="auto"/>
        <w:jc w:val="center"/>
      </w:pPr>
    </w:p>
    <w:p w14:paraId="294832AC" w14:textId="0F2970EF" w:rsidR="00C723EA" w:rsidRPr="0040390C" w:rsidRDefault="00C723EA" w:rsidP="0040390C">
      <w:pPr>
        <w:spacing w:line="360" w:lineRule="auto"/>
      </w:pPr>
    </w:p>
    <w:p w14:paraId="43DE331A" w14:textId="3E5B41B7" w:rsidR="00375EC9" w:rsidRPr="0040390C" w:rsidRDefault="00375EC9" w:rsidP="0040390C">
      <w:pPr>
        <w:spacing w:line="360" w:lineRule="auto"/>
        <w:jc w:val="center"/>
      </w:pPr>
    </w:p>
    <w:p w14:paraId="4DF4D814" w14:textId="451265DC" w:rsidR="00375EC9" w:rsidRPr="0040390C" w:rsidRDefault="00375EC9" w:rsidP="0040390C">
      <w:pPr>
        <w:spacing w:line="360" w:lineRule="auto"/>
        <w:jc w:val="center"/>
      </w:pPr>
    </w:p>
    <w:p w14:paraId="6DDA86A8" w14:textId="6175E411" w:rsidR="00375EC9" w:rsidRPr="0040390C" w:rsidRDefault="00375EC9" w:rsidP="0040390C">
      <w:pPr>
        <w:spacing w:line="360" w:lineRule="auto"/>
        <w:jc w:val="center"/>
      </w:pPr>
    </w:p>
    <w:p w14:paraId="02BB4FC0" w14:textId="1610F2D3" w:rsidR="00375EC9" w:rsidRPr="0040390C" w:rsidRDefault="00375EC9" w:rsidP="0040390C">
      <w:pPr>
        <w:spacing w:line="360" w:lineRule="auto"/>
        <w:jc w:val="center"/>
      </w:pPr>
    </w:p>
    <w:p w14:paraId="08B56217" w14:textId="77777777" w:rsidR="00375EC9" w:rsidRPr="0040390C" w:rsidRDefault="00375EC9" w:rsidP="0040390C">
      <w:pPr>
        <w:spacing w:line="360" w:lineRule="auto"/>
        <w:jc w:val="center"/>
      </w:pPr>
    </w:p>
    <w:p w14:paraId="35AC0428" w14:textId="21B9A3C5" w:rsidR="00C723EA" w:rsidRPr="0040390C" w:rsidRDefault="00C723EA" w:rsidP="0040390C">
      <w:pPr>
        <w:spacing w:line="360" w:lineRule="auto"/>
        <w:jc w:val="center"/>
      </w:pPr>
    </w:p>
    <w:p w14:paraId="69CC8206" w14:textId="77777777" w:rsidR="00375EC9" w:rsidRPr="0040390C" w:rsidRDefault="00375EC9" w:rsidP="0040390C">
      <w:pPr>
        <w:spacing w:line="360" w:lineRule="auto"/>
        <w:jc w:val="center"/>
      </w:pPr>
    </w:p>
    <w:p w14:paraId="05D9EA27" w14:textId="77777777" w:rsidR="00375EC9" w:rsidRPr="0040390C" w:rsidRDefault="00375EC9" w:rsidP="0040390C">
      <w:pPr>
        <w:spacing w:line="360" w:lineRule="auto"/>
        <w:jc w:val="center"/>
      </w:pPr>
    </w:p>
    <w:p w14:paraId="7F352D54" w14:textId="68EEB5AD" w:rsidR="00C723EA" w:rsidRPr="0040390C" w:rsidRDefault="00C723EA" w:rsidP="0040390C">
      <w:pPr>
        <w:spacing w:line="360" w:lineRule="auto"/>
        <w:jc w:val="center"/>
        <w:rPr>
          <w:b/>
          <w:bCs/>
        </w:rPr>
      </w:pPr>
      <w:r w:rsidRPr="0040390C">
        <w:rPr>
          <w:b/>
          <w:bCs/>
        </w:rPr>
        <w:t>Goiânia</w:t>
      </w:r>
    </w:p>
    <w:p w14:paraId="6A39B696" w14:textId="3180B5F1" w:rsidR="00375EC9" w:rsidRPr="0040390C" w:rsidRDefault="00C723EA" w:rsidP="0040390C">
      <w:pPr>
        <w:spacing w:line="360" w:lineRule="auto"/>
        <w:jc w:val="center"/>
        <w:rPr>
          <w:b/>
          <w:bCs/>
        </w:rPr>
      </w:pPr>
      <w:r w:rsidRPr="0040390C">
        <w:rPr>
          <w:b/>
          <w:bCs/>
        </w:rPr>
        <w:t>2020</w:t>
      </w:r>
      <w:bookmarkEnd w:id="0"/>
    </w:p>
    <w:p w14:paraId="11E1427A" w14:textId="77777777" w:rsidR="00375EC9" w:rsidRPr="0040390C" w:rsidRDefault="00375EC9" w:rsidP="0040390C">
      <w:pPr>
        <w:spacing w:line="360" w:lineRule="auto"/>
        <w:rPr>
          <w:b/>
          <w:bCs/>
          <w:sz w:val="32"/>
          <w:szCs w:val="32"/>
          <w:lang w:eastAsia="en-US"/>
        </w:rPr>
      </w:pPr>
      <w:r w:rsidRPr="0040390C">
        <w:rPr>
          <w:b/>
          <w:bCs/>
          <w:sz w:val="32"/>
          <w:szCs w:val="32"/>
        </w:rPr>
        <w:lastRenderedPageBreak/>
        <w:t>Uso de infusão de cetamina intravascular para o tratamento de dor crônica e depressão: relato de caso</w:t>
      </w:r>
    </w:p>
    <w:p w14:paraId="23AE0C26" w14:textId="09BFEE02" w:rsidR="00375EC9" w:rsidRPr="0040390C" w:rsidRDefault="00375EC9" w:rsidP="0040390C">
      <w:pPr>
        <w:spacing w:line="360" w:lineRule="auto"/>
        <w:rPr>
          <w:b/>
          <w:bCs/>
        </w:rPr>
      </w:pPr>
    </w:p>
    <w:p w14:paraId="231A723C" w14:textId="489D216B" w:rsidR="00375EC9" w:rsidRPr="0040390C" w:rsidRDefault="00375EC9" w:rsidP="0040390C">
      <w:pPr>
        <w:spacing w:line="360" w:lineRule="auto"/>
        <w:rPr>
          <w:b/>
          <w:bCs/>
        </w:rPr>
      </w:pPr>
    </w:p>
    <w:p w14:paraId="4F17D37F" w14:textId="73F4E67F" w:rsidR="00375EC9" w:rsidRPr="0040390C" w:rsidRDefault="00375EC9" w:rsidP="0040390C">
      <w:pPr>
        <w:spacing w:line="360" w:lineRule="auto"/>
        <w:rPr>
          <w:lang w:val="en-US"/>
        </w:rPr>
      </w:pPr>
      <w:r w:rsidRPr="0040390C">
        <w:rPr>
          <w:lang w:val="en-US"/>
        </w:rPr>
        <w:t>Use of intravascular ketamine infusion for the treatment of chronic pain and depression: case report</w:t>
      </w:r>
    </w:p>
    <w:p w14:paraId="23672BE6" w14:textId="77777777" w:rsidR="00375EC9" w:rsidRPr="0040390C" w:rsidRDefault="00375EC9" w:rsidP="0040390C">
      <w:pPr>
        <w:spacing w:line="360" w:lineRule="auto"/>
        <w:rPr>
          <w:b/>
          <w:bCs/>
          <w:lang w:val="en-US"/>
        </w:rPr>
      </w:pPr>
    </w:p>
    <w:p w14:paraId="08BC9649" w14:textId="77777777" w:rsidR="00375EC9" w:rsidRPr="0040390C" w:rsidRDefault="00375EC9" w:rsidP="0040390C">
      <w:pPr>
        <w:spacing w:line="360" w:lineRule="auto"/>
        <w:rPr>
          <w:b/>
          <w:bCs/>
          <w:lang w:val="en-US"/>
        </w:rPr>
      </w:pPr>
    </w:p>
    <w:p w14:paraId="7865E74D" w14:textId="68AA3DD3" w:rsidR="00375EC9" w:rsidRPr="0040390C" w:rsidRDefault="00375EC9" w:rsidP="0040390C">
      <w:pPr>
        <w:spacing w:line="360" w:lineRule="auto"/>
      </w:pPr>
      <w:r w:rsidRPr="0040390C">
        <w:t>Paulo Gabriel Balestra Silveira Ayres, Laís Martins Vasconcellos, Ledismar José da Silva</w:t>
      </w:r>
    </w:p>
    <w:p w14:paraId="6612B007" w14:textId="75F7D75A" w:rsidR="00375EC9" w:rsidRPr="0040390C" w:rsidRDefault="00375EC9" w:rsidP="0040390C">
      <w:pPr>
        <w:spacing w:line="360" w:lineRule="auto"/>
      </w:pPr>
    </w:p>
    <w:p w14:paraId="400D9D98" w14:textId="5A5F55B9" w:rsidR="00375EC9" w:rsidRPr="0040390C" w:rsidRDefault="00375EC9" w:rsidP="0040390C">
      <w:pPr>
        <w:spacing w:line="360" w:lineRule="auto"/>
      </w:pPr>
      <w:r w:rsidRPr="0040390C">
        <w:t>Escola de Ciências Médicas, Farmacêuticas e Biomédicas, Pontifícia Universidade Católica de Goiás (PUC-Goiás), Goiânia, GO, Brasil</w:t>
      </w:r>
    </w:p>
    <w:p w14:paraId="1668861B" w14:textId="42ED82DD" w:rsidR="00375EC9" w:rsidRPr="0040390C" w:rsidRDefault="00375EC9" w:rsidP="0040390C">
      <w:pPr>
        <w:spacing w:line="360" w:lineRule="auto"/>
      </w:pPr>
    </w:p>
    <w:p w14:paraId="2CC235F2" w14:textId="6F774371" w:rsidR="00375EC9" w:rsidRPr="0040390C" w:rsidRDefault="00375EC9" w:rsidP="0040390C">
      <w:pPr>
        <w:spacing w:line="360" w:lineRule="auto"/>
      </w:pPr>
      <w:r w:rsidRPr="0040390C">
        <w:rPr>
          <w:b/>
          <w:bCs/>
        </w:rPr>
        <w:t>Título resumido:</w:t>
      </w:r>
      <w:r w:rsidRPr="0040390C">
        <w:t xml:space="preserve"> Infusão de cetamina </w:t>
      </w:r>
      <w:r w:rsidR="00E71695" w:rsidRPr="0040390C">
        <w:t>para tratamento de dor e depressão</w:t>
      </w:r>
    </w:p>
    <w:p w14:paraId="4D634A00" w14:textId="751AB6E4" w:rsidR="00E71695" w:rsidRPr="0040390C" w:rsidRDefault="00E71695" w:rsidP="0040390C">
      <w:pPr>
        <w:spacing w:line="360" w:lineRule="auto"/>
      </w:pPr>
    </w:p>
    <w:p w14:paraId="1CE74151" w14:textId="6EC176E5" w:rsidR="00E71695" w:rsidRPr="0040390C" w:rsidRDefault="00E71695" w:rsidP="0040390C">
      <w:pPr>
        <w:spacing w:line="360" w:lineRule="auto"/>
      </w:pPr>
    </w:p>
    <w:p w14:paraId="0EFB316C" w14:textId="55A3A405" w:rsidR="00E71695" w:rsidRPr="0040390C" w:rsidRDefault="00E71695" w:rsidP="0040390C">
      <w:pPr>
        <w:spacing w:line="360" w:lineRule="auto"/>
      </w:pPr>
    </w:p>
    <w:p w14:paraId="01D83EF8" w14:textId="5FF459D4" w:rsidR="00E71695" w:rsidRPr="0040390C" w:rsidRDefault="00E71695" w:rsidP="0040390C">
      <w:pPr>
        <w:spacing w:line="360" w:lineRule="auto"/>
      </w:pPr>
    </w:p>
    <w:p w14:paraId="3C26FA87" w14:textId="3E65D5B9" w:rsidR="00E71695" w:rsidRPr="0040390C" w:rsidRDefault="00E71695" w:rsidP="0040390C">
      <w:pPr>
        <w:spacing w:line="360" w:lineRule="auto"/>
      </w:pPr>
    </w:p>
    <w:p w14:paraId="63C4FB63" w14:textId="16ECF55C" w:rsidR="00E71695" w:rsidRPr="0040390C" w:rsidRDefault="00E71695" w:rsidP="0040390C">
      <w:pPr>
        <w:spacing w:line="360" w:lineRule="auto"/>
      </w:pPr>
    </w:p>
    <w:p w14:paraId="1B8D8F95" w14:textId="20CA13B5" w:rsidR="00E71695" w:rsidRPr="0040390C" w:rsidRDefault="00E71695" w:rsidP="0040390C">
      <w:pPr>
        <w:spacing w:line="360" w:lineRule="auto"/>
      </w:pPr>
    </w:p>
    <w:p w14:paraId="0362D2A9" w14:textId="013850F3" w:rsidR="00E71695" w:rsidRPr="0040390C" w:rsidRDefault="00E71695" w:rsidP="0040390C">
      <w:pPr>
        <w:spacing w:line="360" w:lineRule="auto"/>
      </w:pPr>
    </w:p>
    <w:p w14:paraId="68862C8D" w14:textId="7E6818DA" w:rsidR="00E71695" w:rsidRPr="0040390C" w:rsidRDefault="00E71695" w:rsidP="0040390C">
      <w:pPr>
        <w:spacing w:line="360" w:lineRule="auto"/>
      </w:pPr>
    </w:p>
    <w:p w14:paraId="7A8E639F" w14:textId="6FFA735F" w:rsidR="00E71695" w:rsidRPr="0040390C" w:rsidRDefault="00E71695" w:rsidP="0040390C">
      <w:pPr>
        <w:spacing w:line="360" w:lineRule="auto"/>
      </w:pPr>
      <w:r w:rsidRPr="0040390C">
        <w:rPr>
          <w:b/>
          <w:bCs/>
        </w:rPr>
        <w:t>Autor para correspondência:</w:t>
      </w:r>
      <w:r w:rsidRPr="0040390C">
        <w:t xml:space="preserve"> Ledismar José da Sil</w:t>
      </w:r>
      <w:r w:rsidR="00514810">
        <w:t>v</w:t>
      </w:r>
      <w:r w:rsidRPr="0040390C">
        <w:t>a, Me., Escola de Ciências Médicas, Farmacêuticas e Biomédicas, Pontifícia Universidade Católica de Goiás (PUC-Goiás), Avenida Universitária, 1440, Setor Universitário, 74605-010, Goiânia, GO, Brasil (e-mail: ledismarsilva@gmail.com).</w:t>
      </w:r>
    </w:p>
    <w:p w14:paraId="3468CCB3" w14:textId="77777777" w:rsidR="00375EC9" w:rsidRPr="0040390C" w:rsidRDefault="00375EC9" w:rsidP="0040390C">
      <w:pPr>
        <w:spacing w:line="360" w:lineRule="auto"/>
        <w:rPr>
          <w:b/>
          <w:bCs/>
        </w:rPr>
      </w:pPr>
    </w:p>
    <w:p w14:paraId="12409E23" w14:textId="77777777" w:rsidR="00375EC9" w:rsidRPr="0040390C" w:rsidRDefault="00375EC9" w:rsidP="0040390C">
      <w:pPr>
        <w:spacing w:line="360" w:lineRule="auto"/>
        <w:rPr>
          <w:b/>
          <w:bCs/>
        </w:rPr>
      </w:pPr>
    </w:p>
    <w:p w14:paraId="0848860F" w14:textId="77777777" w:rsidR="00375EC9" w:rsidRPr="0040390C" w:rsidRDefault="00375EC9" w:rsidP="0040390C">
      <w:pPr>
        <w:spacing w:line="360" w:lineRule="auto"/>
        <w:rPr>
          <w:b/>
          <w:bCs/>
        </w:rPr>
      </w:pPr>
    </w:p>
    <w:p w14:paraId="2EA5A78C" w14:textId="77777777" w:rsidR="00375EC9" w:rsidRPr="0040390C" w:rsidRDefault="00375EC9" w:rsidP="0040390C">
      <w:pPr>
        <w:spacing w:line="360" w:lineRule="auto"/>
        <w:rPr>
          <w:b/>
          <w:bCs/>
        </w:rPr>
      </w:pPr>
    </w:p>
    <w:p w14:paraId="7C81FE88" w14:textId="77777777" w:rsidR="00375EC9" w:rsidRPr="0040390C" w:rsidRDefault="00375EC9" w:rsidP="0040390C">
      <w:pPr>
        <w:spacing w:line="360" w:lineRule="auto"/>
        <w:rPr>
          <w:b/>
          <w:bCs/>
        </w:rPr>
      </w:pPr>
    </w:p>
    <w:p w14:paraId="2494BC33" w14:textId="77777777" w:rsidR="00375EC9" w:rsidRPr="0040390C" w:rsidRDefault="00375EC9" w:rsidP="0040390C">
      <w:pPr>
        <w:spacing w:line="360" w:lineRule="auto"/>
        <w:rPr>
          <w:b/>
          <w:bCs/>
        </w:rPr>
      </w:pPr>
    </w:p>
    <w:p w14:paraId="46503B47" w14:textId="77777777" w:rsidR="00375EC9" w:rsidRPr="0040390C" w:rsidRDefault="00375EC9" w:rsidP="0040390C">
      <w:pPr>
        <w:spacing w:line="360" w:lineRule="auto"/>
        <w:rPr>
          <w:b/>
          <w:bCs/>
        </w:rPr>
      </w:pPr>
    </w:p>
    <w:p w14:paraId="1E83033A" w14:textId="4CE0A5A0" w:rsidR="00E71695" w:rsidRPr="0040390C" w:rsidRDefault="00E71695" w:rsidP="0040390C">
      <w:pPr>
        <w:spacing w:line="360" w:lineRule="auto"/>
        <w:rPr>
          <w:b/>
          <w:bCs/>
        </w:rPr>
      </w:pPr>
    </w:p>
    <w:p w14:paraId="613EB66D" w14:textId="0D965668" w:rsidR="00E71695" w:rsidRPr="0040390C" w:rsidRDefault="00E71695" w:rsidP="0040390C">
      <w:pPr>
        <w:spacing w:line="360" w:lineRule="auto"/>
      </w:pPr>
      <w:r w:rsidRPr="0040390C">
        <w:rPr>
          <w:b/>
          <w:bCs/>
        </w:rPr>
        <w:lastRenderedPageBreak/>
        <w:t>Resumo</w:t>
      </w:r>
    </w:p>
    <w:p w14:paraId="5FEB5794" w14:textId="6905F9A1" w:rsidR="00375EC9" w:rsidRPr="0040390C" w:rsidRDefault="00375EC9" w:rsidP="0040390C">
      <w:pPr>
        <w:spacing w:line="360" w:lineRule="auto"/>
        <w:rPr>
          <w:b/>
          <w:bCs/>
        </w:rPr>
      </w:pPr>
    </w:p>
    <w:p w14:paraId="2546923F" w14:textId="77777777" w:rsidR="00CC5AF3" w:rsidRPr="0040390C" w:rsidRDefault="00CC5AF3" w:rsidP="0040390C">
      <w:pPr>
        <w:spacing w:line="360" w:lineRule="auto"/>
        <w:rPr>
          <w:b/>
          <w:bCs/>
        </w:rPr>
      </w:pPr>
    </w:p>
    <w:p w14:paraId="516EF8DC" w14:textId="744D47D3" w:rsidR="00CC5AF3" w:rsidRPr="0040390C" w:rsidRDefault="00CC5AF3" w:rsidP="0040390C">
      <w:pPr>
        <w:spacing w:line="360" w:lineRule="auto"/>
        <w:jc w:val="both"/>
      </w:pPr>
      <w:r w:rsidRPr="0040390C">
        <w:t>A dor crônica e a depressão são duas comorbidades que se correlacionam a nível molecular no sistema nervoso central e promovem sofrimento ao paciente, sendo de difícil manejo. A cetamina, um anestésico amplamente conhecido derivado da fenciclidina com propriedades analgésicas, sedativas e antipsicóticas, é uma opção promissora no tratamento dessas duas doenças por atuar</w:t>
      </w:r>
      <w:r w:rsidR="00CD5C79">
        <w:t xml:space="preserve">, entre outros </w:t>
      </w:r>
      <w:r w:rsidR="00514810">
        <w:t xml:space="preserve">sítios, </w:t>
      </w:r>
      <w:r w:rsidR="00514810" w:rsidRPr="0040390C">
        <w:t>no</w:t>
      </w:r>
      <w:r w:rsidRPr="0040390C">
        <w:t xml:space="preserve"> receptor NMDA, responsável pelo i</w:t>
      </w:r>
      <w:r w:rsidR="00CD5C79">
        <w:t>n</w:t>
      </w:r>
      <w:r w:rsidRPr="0040390C">
        <w:t>put sensorial. Nesse relato, abordamos o caso de uma paciente com cistite intersticial há 13 anos com refratariedade no manejo da dor e da depressão, submetida a infusões seriadas de cetamina intravascular.</w:t>
      </w:r>
    </w:p>
    <w:p w14:paraId="4DB5F21F" w14:textId="58166B59" w:rsidR="00CC5AF3" w:rsidRPr="0040390C" w:rsidRDefault="00CC5AF3" w:rsidP="0040390C">
      <w:pPr>
        <w:spacing w:line="360" w:lineRule="auto"/>
        <w:jc w:val="both"/>
      </w:pPr>
    </w:p>
    <w:p w14:paraId="6F21183C" w14:textId="63ABAD02" w:rsidR="00CC5AF3" w:rsidRPr="0040390C" w:rsidRDefault="00CC5AF3" w:rsidP="0040390C">
      <w:pPr>
        <w:spacing w:line="360" w:lineRule="auto"/>
        <w:jc w:val="both"/>
      </w:pPr>
    </w:p>
    <w:p w14:paraId="4C18FF44" w14:textId="7605AFDD" w:rsidR="00CC5AF3" w:rsidRPr="0040390C" w:rsidRDefault="00CC5AF3" w:rsidP="0040390C">
      <w:pPr>
        <w:spacing w:line="360" w:lineRule="auto"/>
        <w:jc w:val="both"/>
      </w:pPr>
    </w:p>
    <w:p w14:paraId="53389B28" w14:textId="3DA540B2" w:rsidR="00CC5AF3" w:rsidRPr="0040390C" w:rsidRDefault="00CC5AF3" w:rsidP="0040390C">
      <w:pPr>
        <w:spacing w:line="360" w:lineRule="auto"/>
        <w:jc w:val="both"/>
      </w:pPr>
    </w:p>
    <w:p w14:paraId="07AFCD7A" w14:textId="7E6A6881" w:rsidR="00CC5AF3" w:rsidRPr="0040390C" w:rsidRDefault="00CC5AF3" w:rsidP="0040390C">
      <w:pPr>
        <w:spacing w:line="360" w:lineRule="auto"/>
        <w:jc w:val="both"/>
      </w:pPr>
    </w:p>
    <w:p w14:paraId="53381CFD" w14:textId="77777777" w:rsidR="00CC5AF3" w:rsidRPr="0040390C" w:rsidRDefault="00CC5AF3" w:rsidP="0040390C">
      <w:pPr>
        <w:spacing w:line="360" w:lineRule="auto"/>
        <w:jc w:val="both"/>
      </w:pPr>
    </w:p>
    <w:p w14:paraId="06704660" w14:textId="2DE48766" w:rsidR="00375EC9" w:rsidRPr="0040390C" w:rsidRDefault="00E71695" w:rsidP="0040390C">
      <w:pPr>
        <w:spacing w:line="360" w:lineRule="auto"/>
      </w:pPr>
      <w:r w:rsidRPr="0040390C">
        <w:rPr>
          <w:b/>
          <w:bCs/>
        </w:rPr>
        <w:t>Palavras-chave:</w:t>
      </w:r>
      <w:r w:rsidR="00240415" w:rsidRPr="0040390C">
        <w:t xml:space="preserve"> cetamina; dor crônica; depressão; ideação suicida</w:t>
      </w:r>
      <w:r w:rsidR="00CC5AF3" w:rsidRPr="0040390C">
        <w:t>; cistite intersticial</w:t>
      </w:r>
    </w:p>
    <w:p w14:paraId="2B2297D0" w14:textId="7B1D74F3" w:rsidR="00375EC9" w:rsidRPr="0040390C" w:rsidRDefault="00375EC9" w:rsidP="0040390C">
      <w:pPr>
        <w:spacing w:line="360" w:lineRule="auto"/>
        <w:rPr>
          <w:b/>
          <w:bCs/>
        </w:rPr>
      </w:pPr>
    </w:p>
    <w:p w14:paraId="341C996C" w14:textId="4836838C" w:rsidR="00E71695" w:rsidRPr="0040390C" w:rsidRDefault="00E71695" w:rsidP="0040390C">
      <w:pPr>
        <w:spacing w:line="360" w:lineRule="auto"/>
        <w:rPr>
          <w:b/>
          <w:bCs/>
        </w:rPr>
      </w:pPr>
    </w:p>
    <w:p w14:paraId="6E617E5A" w14:textId="2D394380" w:rsidR="00E71695" w:rsidRPr="0040390C" w:rsidRDefault="00E71695" w:rsidP="0040390C">
      <w:pPr>
        <w:spacing w:line="360" w:lineRule="auto"/>
        <w:rPr>
          <w:b/>
          <w:bCs/>
        </w:rPr>
      </w:pPr>
    </w:p>
    <w:p w14:paraId="08DF4245" w14:textId="77FE1074" w:rsidR="00E71695" w:rsidRPr="0040390C" w:rsidRDefault="00E71695" w:rsidP="0040390C">
      <w:pPr>
        <w:spacing w:line="360" w:lineRule="auto"/>
        <w:rPr>
          <w:b/>
          <w:bCs/>
        </w:rPr>
      </w:pPr>
    </w:p>
    <w:p w14:paraId="68CA259A" w14:textId="2E1181B4" w:rsidR="00E71695" w:rsidRPr="0040390C" w:rsidRDefault="00E71695" w:rsidP="0040390C">
      <w:pPr>
        <w:spacing w:line="360" w:lineRule="auto"/>
        <w:rPr>
          <w:b/>
          <w:bCs/>
        </w:rPr>
      </w:pPr>
    </w:p>
    <w:p w14:paraId="70A99A6C" w14:textId="35961EBD" w:rsidR="00E71695" w:rsidRPr="0040390C" w:rsidRDefault="00E71695" w:rsidP="0040390C">
      <w:pPr>
        <w:spacing w:line="360" w:lineRule="auto"/>
        <w:rPr>
          <w:b/>
          <w:bCs/>
        </w:rPr>
      </w:pPr>
    </w:p>
    <w:p w14:paraId="5B261C17" w14:textId="6010799E" w:rsidR="00E71695" w:rsidRPr="0040390C" w:rsidRDefault="00E71695" w:rsidP="0040390C">
      <w:pPr>
        <w:spacing w:line="360" w:lineRule="auto"/>
        <w:rPr>
          <w:b/>
          <w:bCs/>
        </w:rPr>
      </w:pPr>
    </w:p>
    <w:p w14:paraId="73168560" w14:textId="4207B20E" w:rsidR="00E71695" w:rsidRPr="0040390C" w:rsidRDefault="00E71695" w:rsidP="0040390C">
      <w:pPr>
        <w:spacing w:line="360" w:lineRule="auto"/>
        <w:rPr>
          <w:b/>
          <w:bCs/>
        </w:rPr>
      </w:pPr>
    </w:p>
    <w:p w14:paraId="3C46986E" w14:textId="7B528987" w:rsidR="00E71695" w:rsidRPr="0040390C" w:rsidRDefault="00E71695" w:rsidP="0040390C">
      <w:pPr>
        <w:spacing w:line="360" w:lineRule="auto"/>
        <w:rPr>
          <w:b/>
          <w:bCs/>
        </w:rPr>
      </w:pPr>
    </w:p>
    <w:p w14:paraId="2872EA85" w14:textId="294DE617" w:rsidR="00E71695" w:rsidRPr="0040390C" w:rsidRDefault="00E71695" w:rsidP="0040390C">
      <w:pPr>
        <w:spacing w:line="360" w:lineRule="auto"/>
        <w:rPr>
          <w:b/>
          <w:bCs/>
        </w:rPr>
      </w:pPr>
    </w:p>
    <w:p w14:paraId="2C80D5DA" w14:textId="6598C956" w:rsidR="00CC5AF3" w:rsidRPr="0040390C" w:rsidRDefault="00CC5AF3" w:rsidP="0040390C">
      <w:pPr>
        <w:spacing w:line="360" w:lineRule="auto"/>
        <w:rPr>
          <w:b/>
          <w:bCs/>
        </w:rPr>
      </w:pPr>
    </w:p>
    <w:p w14:paraId="3170CA79" w14:textId="4F1462D1" w:rsidR="00CC5AF3" w:rsidRPr="0040390C" w:rsidRDefault="00CC5AF3" w:rsidP="0040390C">
      <w:pPr>
        <w:spacing w:line="360" w:lineRule="auto"/>
        <w:rPr>
          <w:b/>
          <w:bCs/>
        </w:rPr>
      </w:pPr>
    </w:p>
    <w:p w14:paraId="5C1FC41D" w14:textId="49B384B8" w:rsidR="00CC5AF3" w:rsidRPr="0040390C" w:rsidRDefault="00CC5AF3" w:rsidP="0040390C">
      <w:pPr>
        <w:spacing w:line="360" w:lineRule="auto"/>
        <w:rPr>
          <w:b/>
          <w:bCs/>
        </w:rPr>
      </w:pPr>
    </w:p>
    <w:p w14:paraId="06F76E2C" w14:textId="5D4A53F7" w:rsidR="00CC5AF3" w:rsidRPr="0040390C" w:rsidRDefault="00CC5AF3" w:rsidP="0040390C">
      <w:pPr>
        <w:spacing w:line="360" w:lineRule="auto"/>
        <w:rPr>
          <w:b/>
          <w:bCs/>
        </w:rPr>
      </w:pPr>
    </w:p>
    <w:p w14:paraId="07841D99" w14:textId="77777777" w:rsidR="00CC5AF3" w:rsidRPr="0040390C" w:rsidRDefault="00CC5AF3" w:rsidP="0040390C">
      <w:pPr>
        <w:spacing w:line="360" w:lineRule="auto"/>
        <w:rPr>
          <w:b/>
          <w:bCs/>
        </w:rPr>
      </w:pPr>
    </w:p>
    <w:p w14:paraId="59219892" w14:textId="0C914490" w:rsidR="00E71695" w:rsidRPr="0040390C" w:rsidRDefault="00E71695" w:rsidP="0040390C">
      <w:pPr>
        <w:spacing w:line="360" w:lineRule="auto"/>
        <w:rPr>
          <w:b/>
          <w:bCs/>
        </w:rPr>
      </w:pPr>
    </w:p>
    <w:p w14:paraId="3C0000CF" w14:textId="77777777" w:rsidR="0040390C" w:rsidRPr="0040390C" w:rsidRDefault="0040390C" w:rsidP="0040390C">
      <w:pPr>
        <w:spacing w:line="360" w:lineRule="auto"/>
        <w:rPr>
          <w:b/>
          <w:bCs/>
        </w:rPr>
      </w:pPr>
    </w:p>
    <w:p w14:paraId="0A2BBAE1" w14:textId="77777777" w:rsidR="00CC5AF3" w:rsidRPr="0040390C" w:rsidRDefault="00CC5AF3" w:rsidP="0040390C">
      <w:pPr>
        <w:spacing w:line="360" w:lineRule="auto"/>
        <w:rPr>
          <w:b/>
          <w:bCs/>
        </w:rPr>
      </w:pPr>
    </w:p>
    <w:p w14:paraId="06D9CE98" w14:textId="57F22CA2" w:rsidR="00E71695" w:rsidRPr="0040390C" w:rsidRDefault="00E71695" w:rsidP="0040390C">
      <w:pPr>
        <w:spacing w:line="360" w:lineRule="auto"/>
        <w:rPr>
          <w:b/>
          <w:bCs/>
          <w:lang w:val="en-US"/>
        </w:rPr>
      </w:pPr>
      <w:r w:rsidRPr="0040390C">
        <w:rPr>
          <w:b/>
          <w:bCs/>
          <w:lang w:val="en-US"/>
        </w:rPr>
        <w:lastRenderedPageBreak/>
        <w:t>Abstract</w:t>
      </w:r>
    </w:p>
    <w:p w14:paraId="00A72097" w14:textId="5B59F421" w:rsidR="00CC5AF3" w:rsidRPr="0040390C" w:rsidRDefault="00CC5AF3" w:rsidP="0040390C">
      <w:pPr>
        <w:spacing w:line="360" w:lineRule="auto"/>
        <w:rPr>
          <w:b/>
          <w:bCs/>
          <w:lang w:val="en-US"/>
        </w:rPr>
      </w:pPr>
    </w:p>
    <w:p w14:paraId="24F78256" w14:textId="77777777" w:rsidR="0040390C" w:rsidRPr="0040390C" w:rsidRDefault="0040390C" w:rsidP="0040390C">
      <w:pPr>
        <w:spacing w:line="360" w:lineRule="auto"/>
        <w:rPr>
          <w:b/>
          <w:bCs/>
          <w:lang w:val="en-US"/>
        </w:rPr>
      </w:pPr>
    </w:p>
    <w:p w14:paraId="77A009E6" w14:textId="76600987" w:rsidR="00E71695" w:rsidRPr="0040390C" w:rsidRDefault="00CC5AF3" w:rsidP="0040390C">
      <w:pPr>
        <w:spacing w:line="360" w:lineRule="auto"/>
        <w:jc w:val="both"/>
        <w:rPr>
          <w:lang w:val="en-US"/>
        </w:rPr>
      </w:pPr>
      <w:r w:rsidRPr="0040390C">
        <w:rPr>
          <w:lang w:val="en-US"/>
        </w:rPr>
        <w:t xml:space="preserve">Chronic pain and depression are two comorbidities that correlate at the molecular level in the central nervous system and cause suffering to the patient, </w:t>
      </w:r>
      <w:r w:rsidR="00CD5C79">
        <w:rPr>
          <w:lang w:val="en-US"/>
        </w:rPr>
        <w:t>being</w:t>
      </w:r>
      <w:r w:rsidRPr="0040390C">
        <w:rPr>
          <w:lang w:val="en-US"/>
        </w:rPr>
        <w:t xml:space="preserve"> difficult to manage. Ketamine, a widely known anesthetic derived from phenicyclidine with analgesic, sedative and antipsychotic properties, is a promising option </w:t>
      </w:r>
      <w:r w:rsidR="00A67916">
        <w:rPr>
          <w:lang w:val="en-US"/>
        </w:rPr>
        <w:t>for</w:t>
      </w:r>
      <w:r w:rsidRPr="0040390C">
        <w:rPr>
          <w:lang w:val="en-US"/>
        </w:rPr>
        <w:t xml:space="preserve"> the treatment of these two diseases by acting</w:t>
      </w:r>
      <w:r w:rsidR="00CD5C79">
        <w:rPr>
          <w:lang w:val="en-US"/>
        </w:rPr>
        <w:t>, among other sites,</w:t>
      </w:r>
      <w:r w:rsidRPr="0040390C">
        <w:rPr>
          <w:lang w:val="en-US"/>
        </w:rPr>
        <w:t xml:space="preserve"> on the NMDA receptor, responsible for </w:t>
      </w:r>
      <w:r w:rsidR="00CD5C79">
        <w:rPr>
          <w:lang w:val="en-US"/>
        </w:rPr>
        <w:t xml:space="preserve">the </w:t>
      </w:r>
      <w:r w:rsidRPr="0040390C">
        <w:rPr>
          <w:lang w:val="en-US"/>
        </w:rPr>
        <w:t xml:space="preserve">sensory </w:t>
      </w:r>
      <w:r w:rsidR="00CD5C79">
        <w:rPr>
          <w:lang w:val="en-US"/>
        </w:rPr>
        <w:t>input</w:t>
      </w:r>
      <w:r w:rsidRPr="0040390C">
        <w:rPr>
          <w:lang w:val="en-US"/>
        </w:rPr>
        <w:t xml:space="preserve">. In this report, we discuss the case of a patient with </w:t>
      </w:r>
      <w:r w:rsidR="00A67916">
        <w:rPr>
          <w:lang w:val="en-US"/>
        </w:rPr>
        <w:t xml:space="preserve">refractory </w:t>
      </w:r>
      <w:r w:rsidRPr="0040390C">
        <w:rPr>
          <w:lang w:val="en-US"/>
        </w:rPr>
        <w:t xml:space="preserve">interstitial cystitis for 13 years </w:t>
      </w:r>
      <w:r w:rsidR="00A67916">
        <w:rPr>
          <w:lang w:val="en-US"/>
        </w:rPr>
        <w:t xml:space="preserve">to the </w:t>
      </w:r>
      <w:r w:rsidRPr="0040390C">
        <w:rPr>
          <w:lang w:val="en-US"/>
        </w:rPr>
        <w:t>management of pain and depression, who underwent serial infusions of intravascular ketamine.</w:t>
      </w:r>
    </w:p>
    <w:p w14:paraId="254FF5EC" w14:textId="079A2459" w:rsidR="00CC5AF3" w:rsidRPr="0040390C" w:rsidRDefault="00CC5AF3" w:rsidP="0040390C">
      <w:pPr>
        <w:spacing w:line="360" w:lineRule="auto"/>
        <w:jc w:val="both"/>
        <w:rPr>
          <w:lang w:val="en-US"/>
        </w:rPr>
      </w:pPr>
    </w:p>
    <w:p w14:paraId="3F7113FE" w14:textId="7018D0CF" w:rsidR="00CC5AF3" w:rsidRPr="0040390C" w:rsidRDefault="00CC5AF3" w:rsidP="0040390C">
      <w:pPr>
        <w:spacing w:line="360" w:lineRule="auto"/>
        <w:jc w:val="both"/>
        <w:rPr>
          <w:lang w:val="en-US"/>
        </w:rPr>
      </w:pPr>
    </w:p>
    <w:p w14:paraId="030F97BA" w14:textId="083C7E3C" w:rsidR="00CC5AF3" w:rsidRPr="0040390C" w:rsidRDefault="00CC5AF3" w:rsidP="0040390C">
      <w:pPr>
        <w:spacing w:line="360" w:lineRule="auto"/>
        <w:jc w:val="both"/>
        <w:rPr>
          <w:lang w:val="en-US"/>
        </w:rPr>
      </w:pPr>
    </w:p>
    <w:p w14:paraId="13C3781A" w14:textId="4CE33FAC" w:rsidR="00CC5AF3" w:rsidRPr="0040390C" w:rsidRDefault="00CC5AF3" w:rsidP="0040390C">
      <w:pPr>
        <w:spacing w:line="360" w:lineRule="auto"/>
        <w:jc w:val="both"/>
        <w:rPr>
          <w:lang w:val="en-US"/>
        </w:rPr>
      </w:pPr>
    </w:p>
    <w:p w14:paraId="450E89F4" w14:textId="59CF3D57" w:rsidR="00CC5AF3" w:rsidRPr="0040390C" w:rsidRDefault="00CC5AF3" w:rsidP="0040390C">
      <w:pPr>
        <w:spacing w:line="360" w:lineRule="auto"/>
        <w:jc w:val="both"/>
        <w:rPr>
          <w:lang w:val="en-US"/>
        </w:rPr>
      </w:pPr>
    </w:p>
    <w:p w14:paraId="7E711B6D" w14:textId="77777777" w:rsidR="00CC5AF3" w:rsidRPr="0040390C" w:rsidRDefault="00CC5AF3" w:rsidP="0040390C">
      <w:pPr>
        <w:spacing w:line="360" w:lineRule="auto"/>
        <w:jc w:val="both"/>
        <w:rPr>
          <w:lang w:val="en-US"/>
        </w:rPr>
      </w:pPr>
    </w:p>
    <w:p w14:paraId="52F93DCE" w14:textId="4CEEEF58" w:rsidR="00E71695" w:rsidRPr="0040390C" w:rsidRDefault="00E71695" w:rsidP="0040390C">
      <w:pPr>
        <w:spacing w:line="360" w:lineRule="auto"/>
        <w:rPr>
          <w:lang w:val="en-US"/>
        </w:rPr>
      </w:pPr>
      <w:r w:rsidRPr="0040390C">
        <w:rPr>
          <w:b/>
          <w:bCs/>
          <w:lang w:val="en-US"/>
        </w:rPr>
        <w:t>Keywords:</w:t>
      </w:r>
      <w:r w:rsidR="00240415" w:rsidRPr="0040390C">
        <w:rPr>
          <w:lang w:val="en-US"/>
        </w:rPr>
        <w:t xml:space="preserve"> ketamine; chronic pain; depression; </w:t>
      </w:r>
      <w:r w:rsidR="00CC5AF3" w:rsidRPr="0040390C">
        <w:rPr>
          <w:lang w:val="en-US"/>
        </w:rPr>
        <w:t>suicidal ideation; intersticial cystitis</w:t>
      </w:r>
    </w:p>
    <w:p w14:paraId="444CB89A" w14:textId="4E52BC91" w:rsidR="00E71695" w:rsidRPr="0040390C" w:rsidRDefault="00E71695" w:rsidP="0040390C">
      <w:pPr>
        <w:spacing w:line="360" w:lineRule="auto"/>
        <w:rPr>
          <w:b/>
          <w:bCs/>
          <w:lang w:val="en-US"/>
        </w:rPr>
      </w:pPr>
    </w:p>
    <w:p w14:paraId="5718F199" w14:textId="72F95C23" w:rsidR="00E71695" w:rsidRPr="0040390C" w:rsidRDefault="00E71695" w:rsidP="0040390C">
      <w:pPr>
        <w:spacing w:line="360" w:lineRule="auto"/>
        <w:rPr>
          <w:b/>
          <w:bCs/>
          <w:lang w:val="en-US"/>
        </w:rPr>
      </w:pPr>
    </w:p>
    <w:p w14:paraId="63509795" w14:textId="25D42C7C" w:rsidR="00E71695" w:rsidRPr="0040390C" w:rsidRDefault="00E71695" w:rsidP="0040390C">
      <w:pPr>
        <w:spacing w:line="360" w:lineRule="auto"/>
        <w:rPr>
          <w:b/>
          <w:bCs/>
          <w:lang w:val="en-US"/>
        </w:rPr>
      </w:pPr>
    </w:p>
    <w:p w14:paraId="57BB6677" w14:textId="4B56BFC4" w:rsidR="00E71695" w:rsidRPr="0040390C" w:rsidRDefault="00E71695" w:rsidP="0040390C">
      <w:pPr>
        <w:spacing w:line="360" w:lineRule="auto"/>
        <w:rPr>
          <w:b/>
          <w:bCs/>
          <w:lang w:val="en-US"/>
        </w:rPr>
      </w:pPr>
    </w:p>
    <w:p w14:paraId="5A07A88E" w14:textId="72DA2E11" w:rsidR="00E71695" w:rsidRPr="0040390C" w:rsidRDefault="00E71695" w:rsidP="0040390C">
      <w:pPr>
        <w:spacing w:line="360" w:lineRule="auto"/>
        <w:rPr>
          <w:b/>
          <w:bCs/>
          <w:lang w:val="en-US"/>
        </w:rPr>
      </w:pPr>
    </w:p>
    <w:p w14:paraId="37264441" w14:textId="521531AD" w:rsidR="00E71695" w:rsidRPr="0040390C" w:rsidRDefault="00E71695" w:rsidP="0040390C">
      <w:pPr>
        <w:spacing w:line="360" w:lineRule="auto"/>
        <w:rPr>
          <w:b/>
          <w:bCs/>
          <w:lang w:val="en-US"/>
        </w:rPr>
      </w:pPr>
    </w:p>
    <w:p w14:paraId="121F9F4E" w14:textId="622F2490" w:rsidR="00E71695" w:rsidRPr="0040390C" w:rsidRDefault="00E71695" w:rsidP="0040390C">
      <w:pPr>
        <w:spacing w:line="360" w:lineRule="auto"/>
        <w:rPr>
          <w:b/>
          <w:bCs/>
          <w:lang w:val="en-US"/>
        </w:rPr>
      </w:pPr>
    </w:p>
    <w:p w14:paraId="459A8F1D" w14:textId="55712D77" w:rsidR="00E71695" w:rsidRPr="0040390C" w:rsidRDefault="00E71695" w:rsidP="0040390C">
      <w:pPr>
        <w:spacing w:line="360" w:lineRule="auto"/>
        <w:rPr>
          <w:b/>
          <w:bCs/>
          <w:lang w:val="en-US"/>
        </w:rPr>
      </w:pPr>
    </w:p>
    <w:p w14:paraId="71EA1794" w14:textId="3C977171" w:rsidR="00E71695" w:rsidRPr="0040390C" w:rsidRDefault="00E71695" w:rsidP="0040390C">
      <w:pPr>
        <w:spacing w:line="360" w:lineRule="auto"/>
        <w:rPr>
          <w:b/>
          <w:bCs/>
          <w:lang w:val="en-US"/>
        </w:rPr>
      </w:pPr>
    </w:p>
    <w:p w14:paraId="18E7CC74" w14:textId="0F9B2DCC" w:rsidR="00E71695" w:rsidRPr="0040390C" w:rsidRDefault="00E71695" w:rsidP="0040390C">
      <w:pPr>
        <w:spacing w:line="360" w:lineRule="auto"/>
        <w:rPr>
          <w:b/>
          <w:bCs/>
          <w:lang w:val="en-US"/>
        </w:rPr>
      </w:pPr>
    </w:p>
    <w:p w14:paraId="4F38B2AA" w14:textId="4D2B0F81" w:rsidR="00E71695" w:rsidRPr="0040390C" w:rsidRDefault="00E71695" w:rsidP="0040390C">
      <w:pPr>
        <w:spacing w:line="360" w:lineRule="auto"/>
        <w:rPr>
          <w:b/>
          <w:bCs/>
          <w:lang w:val="en-US"/>
        </w:rPr>
      </w:pPr>
    </w:p>
    <w:p w14:paraId="07FEA959" w14:textId="4FB37ADF" w:rsidR="00E71695" w:rsidRPr="0040390C" w:rsidRDefault="00E71695" w:rsidP="0040390C">
      <w:pPr>
        <w:spacing w:line="360" w:lineRule="auto"/>
        <w:rPr>
          <w:b/>
          <w:bCs/>
          <w:lang w:val="en-US"/>
        </w:rPr>
      </w:pPr>
    </w:p>
    <w:p w14:paraId="337D980D" w14:textId="743EF8CC" w:rsidR="00E71695" w:rsidRPr="0040390C" w:rsidRDefault="00E71695" w:rsidP="0040390C">
      <w:pPr>
        <w:spacing w:line="360" w:lineRule="auto"/>
        <w:rPr>
          <w:b/>
          <w:bCs/>
          <w:lang w:val="en-US"/>
        </w:rPr>
      </w:pPr>
    </w:p>
    <w:p w14:paraId="2EDB8E4A" w14:textId="37EE812E" w:rsidR="00E71695" w:rsidRPr="0040390C" w:rsidRDefault="00E71695" w:rsidP="0040390C">
      <w:pPr>
        <w:spacing w:line="360" w:lineRule="auto"/>
        <w:rPr>
          <w:b/>
          <w:bCs/>
          <w:lang w:val="en-US"/>
        </w:rPr>
      </w:pPr>
    </w:p>
    <w:p w14:paraId="53DE8273" w14:textId="1A3F4D39" w:rsidR="00E71695" w:rsidRPr="0040390C" w:rsidRDefault="00E71695" w:rsidP="0040390C">
      <w:pPr>
        <w:spacing w:line="360" w:lineRule="auto"/>
        <w:rPr>
          <w:b/>
          <w:bCs/>
          <w:lang w:val="en-US"/>
        </w:rPr>
      </w:pPr>
    </w:p>
    <w:p w14:paraId="570C5559" w14:textId="672BDD63" w:rsidR="00E71695" w:rsidRPr="0040390C" w:rsidRDefault="00E71695" w:rsidP="0040390C">
      <w:pPr>
        <w:spacing w:line="360" w:lineRule="auto"/>
        <w:rPr>
          <w:b/>
          <w:bCs/>
          <w:lang w:val="en-US"/>
        </w:rPr>
      </w:pPr>
    </w:p>
    <w:p w14:paraId="18D91727" w14:textId="77777777" w:rsidR="0040390C" w:rsidRPr="0040390C" w:rsidRDefault="0040390C" w:rsidP="0040390C">
      <w:pPr>
        <w:spacing w:line="360" w:lineRule="auto"/>
        <w:rPr>
          <w:b/>
          <w:bCs/>
          <w:lang w:val="en-US"/>
        </w:rPr>
      </w:pPr>
    </w:p>
    <w:p w14:paraId="26D06DEF" w14:textId="77777777" w:rsidR="00375EC9" w:rsidRPr="0040390C" w:rsidRDefault="00375EC9" w:rsidP="0040390C">
      <w:pPr>
        <w:spacing w:line="360" w:lineRule="auto"/>
        <w:jc w:val="center"/>
        <w:rPr>
          <w:i/>
          <w:iCs/>
          <w:lang w:val="en-US"/>
        </w:rPr>
      </w:pPr>
    </w:p>
    <w:p w14:paraId="32FA172B" w14:textId="2E4E59F3" w:rsidR="00601E94" w:rsidRPr="0040390C" w:rsidRDefault="00E71695" w:rsidP="0040390C">
      <w:pPr>
        <w:spacing w:line="360" w:lineRule="auto"/>
        <w:jc w:val="both"/>
        <w:rPr>
          <w:b/>
          <w:bCs/>
        </w:rPr>
      </w:pPr>
      <w:r w:rsidRPr="0040390C">
        <w:rPr>
          <w:b/>
          <w:bCs/>
        </w:rPr>
        <w:lastRenderedPageBreak/>
        <w:t>Introdução</w:t>
      </w:r>
    </w:p>
    <w:p w14:paraId="0EDD86B0" w14:textId="77777777" w:rsidR="00E71695" w:rsidRPr="0040390C" w:rsidRDefault="00E71695" w:rsidP="0040390C">
      <w:pPr>
        <w:spacing w:line="360" w:lineRule="auto"/>
        <w:jc w:val="both"/>
        <w:rPr>
          <w:b/>
          <w:bCs/>
          <w:color w:val="000000"/>
          <w:lang w:eastAsia="en-US"/>
        </w:rPr>
      </w:pPr>
    </w:p>
    <w:p w14:paraId="76FE46A6" w14:textId="743E655B" w:rsidR="00601E94" w:rsidRPr="00A82A58" w:rsidRDefault="00BE6BC7" w:rsidP="00A82A58">
      <w:pPr>
        <w:spacing w:line="360" w:lineRule="auto"/>
        <w:jc w:val="both"/>
        <w:rPr>
          <w:lang w:eastAsia="en-US"/>
        </w:rPr>
      </w:pPr>
      <w:r w:rsidRPr="0040390C">
        <w:rPr>
          <w:color w:val="000000"/>
        </w:rPr>
        <w:t>A Associação Internacional para o Estudo da Dor (IASP) define a dor como “experiência sensorial e emocional desagradável associada à lesão tecidual real ou potencial, ou descrita em termos desta lesão”. Em 2019, a IASP propôs a criação de um novo comitê e atualização da definição de dor para “experiência sensorial e emocional aversiva tipicamente causada por, ou semelhante à causada por, lesão tecidual real ou potencial”. Por conseguinte, a dor é uma experiência multidimensional e sempre subjetiva, influenciada por graus variáveis de fatores biológicos, psicológicos e sociais. O indivíduo aprende o conceito de dor e suas aplicações com base em suas experiências de vida, o que a torna uma concepção individual e associada a dimensões sensorial, afetiva, cognitiva e neurovegetativas. O relato da sensação dolorosa do indivíduo deve ser respeitado e aceito. Em consonância, a expressão da dor transcende a comunicação verbal e a incapacidade de comunicá-la não nega a possibilidade de sua experiência.</w:t>
      </w:r>
      <w:r w:rsidRPr="0040390C">
        <w:rPr>
          <w:color w:val="000000"/>
          <w:vertAlign w:val="superscript"/>
        </w:rPr>
        <w:fldChar w:fldCharType="begin" w:fldLock="1"/>
      </w:r>
      <w:r w:rsidR="00CE5069">
        <w:rPr>
          <w:color w:val="000000"/>
          <w:vertAlign w:val="superscript"/>
        </w:rPr>
        <w:instrText>ADDIN CSL_CITATION {"citationItems":[{"id":"ITEM-1","itemData":{"URL":"https://www.iasp-pain.org/PublicationsNews/NewsDetail.aspx?ItemNumber=9218","abstract":"Proposed New Definition of Pain: An aversive sensory and emotional experience typically caused by, or resembling that caused by, actual or potential tissue injury. Proposed Accompanying Notes Section: Pain is always a subjective experience that is influenced to varying degrees by biological, psychological, and social factors. Pain and nociception are different phenomena: the experience of pain cannot be reduced to activity in sensory pathways. Through their life experiences, individuals learn the concept of pain and its applications. A person’s report of an experience as pain should be accepted as such and respected. Although pain usually serves an adaptive role, it may have adverse effects on function and social and psychological well-being. Verbal description is only one of several behaviors to express pain; inability to communicate does not negate the possibility that a human or a non-human animal experiences pain.","author":[{"dropping-particle":"","family":"IASP","given":"","non-dropping-particle":"","parse-names":false,"suffix":""}],"container-title":"IASP's Proposed New Definition of Pain Released for Comment","id":"ITEM-1","issued":{"date-parts":[["2019"]]},"page":"1-2","title":"IASP's Proposed New Definition of Pain Released for Comment - IASP","type":"webpage"},"uris":["http://www.mendeley.com/documents/?uuid=1dd6c698-7ee1-3a19-8d54-03bfec39e7c5"]}],"mendeley":{"formattedCitation":"(1)","plainTextFormattedCitation":"(1)","previouslyFormattedCitation":"(1)"},"properties":{"noteIndex":0},"schema":"https://github.com/citation-style-language/schema/raw/master/csl-citation.json"}</w:instrText>
      </w:r>
      <w:r w:rsidRPr="0040390C">
        <w:rPr>
          <w:color w:val="000000"/>
          <w:vertAlign w:val="superscript"/>
        </w:rPr>
        <w:fldChar w:fldCharType="separate"/>
      </w:r>
      <w:r w:rsidRPr="0040390C">
        <w:rPr>
          <w:noProof/>
          <w:color w:val="000000"/>
          <w:vertAlign w:val="superscript"/>
        </w:rPr>
        <w:t>(1)</w:t>
      </w:r>
      <w:r w:rsidRPr="0040390C">
        <w:rPr>
          <w:color w:val="000000"/>
          <w:vertAlign w:val="superscript"/>
        </w:rPr>
        <w:fldChar w:fldCharType="end"/>
      </w:r>
    </w:p>
    <w:p w14:paraId="13E94598" w14:textId="18C34D25" w:rsidR="00601E94" w:rsidRPr="0040390C" w:rsidRDefault="00BE6BC7" w:rsidP="0040390C">
      <w:pPr>
        <w:spacing w:line="360" w:lineRule="auto"/>
        <w:jc w:val="both"/>
        <w:rPr>
          <w:color w:val="000000"/>
          <w:lang w:eastAsia="en-US"/>
        </w:rPr>
      </w:pPr>
      <w:r w:rsidRPr="0040390C">
        <w:rPr>
          <w:color w:val="000000"/>
        </w:rPr>
        <w:t xml:space="preserve">A dor é um importante problema de saúde pública. </w:t>
      </w:r>
      <w:r w:rsidR="00A82A58">
        <w:rPr>
          <w:color w:val="000000"/>
        </w:rPr>
        <w:t>O</w:t>
      </w:r>
      <w:r w:rsidRPr="0040390C">
        <w:rPr>
          <w:color w:val="000000"/>
        </w:rPr>
        <w:t xml:space="preserve"> estudo Global Burden of Disease de 2016 da Organização Mundial da Saúde </w:t>
      </w:r>
      <w:r w:rsidR="00A82A58">
        <w:rPr>
          <w:color w:val="000000"/>
        </w:rPr>
        <w:t xml:space="preserve">(OMS) </w:t>
      </w:r>
      <w:r w:rsidRPr="0040390C">
        <w:rPr>
          <w:color w:val="000000"/>
        </w:rPr>
        <w:t>evidenciou que a dor (lombar e cervical, migrania e distúrbios musculoesqueléticos) está entre as 10 principais causa de incapacidade no brasil. Em destaque, a dor lombar e cervical é a principal causa dessa incapacidade desde 1990.</w:t>
      </w:r>
      <w:r w:rsidRPr="002E3E28">
        <w:rPr>
          <w:color w:val="000000"/>
          <w:vertAlign w:val="superscript"/>
        </w:rPr>
        <w:fldChar w:fldCharType="begin" w:fldLock="1"/>
      </w:r>
      <w:r w:rsidR="00CE5069">
        <w:rPr>
          <w:color w:val="000000"/>
          <w:vertAlign w:val="superscript"/>
        </w:rPr>
        <w:instrText>ADDIN CSL_CITATION {"citationItems":[{"id":"ITEM-1","itemData":{"DOI":"10.1016/S0140-6736(18)31221-2","ISSN":"1474547X","PMID":"30037735","abstract":"Background: Political, economic, and epidemiological changes in Brazil have affected health and the health system. We used the Global Burden of Disease Study 2016 (GBD 2016) results to understand changing health patterns and inform policy responses. Methods: We analysed GBD 2016 estimates for life expectancy at birth (LE), healthy life expectancy (HALE), all-cause and cause-specific mortality, years of life lost (YLLs), years lived with disability (YLDs), disability-adjusted life-years (DALYs), and risk factors for Brazil, its 26 states, and the Federal District from 1990 to 2016, and compared these with national estimates for ten comparator countries. Findings: Nationally, LE increased from 68·4 years (95% uncertainty interval [UI] 68·0–68·9) in 1990 to 75·2 years (74·7–75·7) in 2016, and HALE increased from 59·8 years (57·1–62·1) to 65·5 years (62·5–68·0). All-cause age-standardised mortality rates decreased by 34·0% (33·4–34·5), while all-cause age-standardised DALY rates decreased by 30·2% (27·7–32·8); the magnitude of declines varied among states. In 2016, ischaemic heart disease was the leading cause of age-standardised YLLs, followed by interpersonal violence. Low back and neck pain, sense organ diseases, and skin diseases were the main causes of YLDs in 1990 and 2016. Leading risk factors contributing to DALYs in 2016 were alcohol and drug use, high blood pressure, and high body-mass index. Interpretation: Health improved from 1990 to 2016, but improvements and disease burden varied between states. An epidemiological transition towards non-communicable diseases and related risks occurred nationally, but later in some states, while interpersonal violence grew as a health concern. Policy makers can use these results to address health disparities. Funding: Bill &amp; Melinda Gates Foundation and the Brazilian Ministry of Health.","author":[{"dropping-particle":"","family":"Marinho","given":"Fatima","non-dropping-particle":"","parse-names":false,"suffix":""},{"dropping-particle":"","family":"Azeredo Passos","given":"Valéria Maria","non-dropping-particle":"de","parse-names":false,"suffix":""},{"dropping-particle":"","family":"Carvalho Malta","given":"Deborah","non-dropping-particle":"","parse-names":false,"suffix":""},{"dropping-particle":"","family":"Barboza França","given":"Elizabeth","non-dropping-particle":"","parse-names":false,"suffix":""},{"dropping-particle":"","family":"Abreu","given":"Daisy M.X.","non-dropping-particle":"","parse-names":false,"suffix":""},{"dropping-particle":"","family":"Araújo","given":"Valdelaine E.M.","non-dropping-particle":"","parse-names":false,"suffix":""},{"dropping-particle":"","family":"Bustamante-Teixeira","given":"Maria Teresa","non-dropping-particle":"","parse-names":false,"suffix":""},{"dropping-particle":"","family":"Camargos","given":"Paulo A.M.","non-dropping-particle":"","parse-names":false,"suffix":""},{"dropping-particle":"","family":"Cunha","given":"Carolina Cândida","non-dropping-particle":"da","parse-names":false,"suffix":""},{"dropping-particle":"","family":"Duncan","given":"Bruce Bartholow","non-dropping-particle":"","parse-names":false,"suffix":""},{"dropping-particle":"","family":"Felisbino-Mendes","given":"Mariana Santos","non-dropping-particle":"","parse-names":false,"suffix":""},{"dropping-particle":"","family":"Guerra","given":"Maximiliano Ribeiro","non-dropping-particle":"","parse-names":false,"suffix":""},{"dropping-particle":"","family":"Guimaraes","given":"Mark D.C.","non-dropping-particle":"","parse-names":false,"suffix":""},{"dropping-particle":"","family":"Lotufo","given":"Paulo A.","non-dropping-particle":"","parse-names":false,"suffix":""},{"dropping-particle":"","family":"Marcenes","given":"Wagner","non-dropping-particle":"","parse-names":false,"suffix":""},{"dropping-particle":"","family":"Oliveira","given":"Patricia Pereira Vasconcelos","non-dropping-particle":"","parse-names":false,"suffix":""},{"dropping-particle":"","family":"Moares Pedroso","given":"Marcel","non-dropping-particle":"de","parse-names":false,"suffix":""},{"dropping-particle":"","family":"Ribeiro","given":"Antonio L.","non-dropping-particle":"","parse-names":false,"suffix":""},{"dropping-particle":"","family":"Schmidt","given":"Maria Inês","non-dropping-particle":"","parse-names":false,"suffix":""},{"dropping-particle":"","family":"Teixeira","given":"Renato Azeredo","non-dropping-particle":"","parse-names":false,"suffix":""},{"dropping-particle":"","family":"Vasconcelos","given":"Ana Maria Nogales","non-dropping-particle":"","parse-names":false,"suffix":""},{"dropping-particle":"","family":"Barreto","given":"Mauricio L.","non-dropping-particle":"","parse-names":false,"suffix":""},{"dropping-particle":"","family":"Bensenor","given":"Isabela M.","non-dropping-particle":"","parse-names":false,"suffix":""},{"dropping-particle":"","family":"Brant","given":"Luisa C.C.","non-dropping-particle":"","parse-names":false,"suffix":""},{"dropping-particle":"","family":"Claro","given":"Rafael M.","non-dropping-particle":"","parse-names":false,"suffix":""},{"dropping-particle":"","family":"Costa Pereira","given":"Alexandre","non-dropping-particle":"","parse-names":false,"suffix":""},{"dropping-particle":"","family":"Cousin","given":"Ewerton","non-dropping-particle":"","parse-names":false,"suffix":""},{"dropping-particle":"","family":"Curado","given":"Maria Paula","non-dropping-particle":"","parse-names":false,"suffix":""},{"dropping-particle":"","family":"Santos","given":"Kadine Priscila Bender","non-dropping-particle":"dos","parse-names":false,"suffix":""},{"dropping-particle":"","family":"Faro","given":"André","non-dropping-particle":"","parse-names":false,"suffix":""},{"dropping-particle":"","family":"Ferri","given":"Cleusa P.","non-dropping-particle":"","parse-names":false,"suffix":""},{"dropping-particle":"","family":"Furtado","given":"João M.","non-dropping-particle":"","parse-names":false,"suffix":""},{"dropping-particle":"","family":"Gall","given":"Julia","non-dropping-particle":"","parse-names":false,"suffix":""},{"dropping-particle":"","family":"Glenn","given":"Scott D.","non-dropping-particle":"","parse-names":false,"suffix":""},{"dropping-particle":"","family":"Goulart","given":"Alessandra Carvalho","non-dropping-particle":"","parse-names":false,"suffix":""},{"dropping-particle":"","family":"Ishitani","given":"Lenice Harumi","non-dropping-particle":"","parse-names":false,"suffix":""},{"dropping-particle":"","family":"Kieling","given":"Christian","non-dropping-particle":"","parse-names":false,"suffix":""},{"dropping-particle":"","family":"Ladeira","given":"Roberto Marini","non-dropping-particle":"","parse-names":false,"suffix":""},{"dropping-particle":"","family":"Machado","given":"Isis Eloah","non-dropping-particle":"","parse-names":false,"suffix":""},{"dropping-particle":"","family":"Martins","given":"Sheila Cristina Ouriques","non-dropping-particle":"","parse-names":false,"suffix":""},{"dropping-particle":"","family":"Martins-Melo","given":"Francisco Rogerlândio","non-dropping-particle":"","parse-names":false,"suffix":""},{"dropping-particle":"","family":"Melo","given":"Ana Paula Souto","non-dropping-particle":"","parse-names":false,"suffix":""},{"dropping-particle":"","family":"Miller-Petrie","given":"Molly K.","non-dropping-particle":"","parse-names":false,"suffix":""},{"dropping-particle":"","family":"Mooney","given":"Meghan D.","non-dropping-particle":"","parse-names":false,"suffix":""},{"dropping-particle":"","family":"Nunes","given":"Bruno P.","non-dropping-particle":"","parse-names":false,"suffix":""},{"dropping-particle":"","family":"Palone","given":"Marcos Roberto Tovani","non-dropping-particle":"","parse-names":false,"suffix":""},{"dropping-particle":"","family":"Pereira","given":"Claudia C.","non-dropping-particle":"","parse-names":false,"suffix":""},{"dropping-particle":"","family":"Rasella","given":"Davide","non-dropping-particle":"","parse-names":false,"suffix":""},{"dropping-particle":"","family":"Ray","given":"Sarah E.","non-dropping-particle":"","parse-names":false,"suffix":""},{"dropping-particle":"","family":"Roever","given":"Leonardo","non-dropping-particle":"","parse-names":false,"suffix":""},{"dropping-particle":"","family":"Freitas Saldanha","given":"Raphael","non-dropping-particle":"de","parse-names":false,"suffix":""},{"dropping-particle":"","family":"Santos","given":"Itamar S.","non-dropping-particle":"","parse-names":false,"suffix":""},{"dropping-particle":"","family":"Schneider","given":"Ione J.C.","non-dropping-particle":"","parse-names":false,"suffix":""},{"dropping-particle":"","family":"Santos Silva","given":"Diego Augusto","non-dropping-particle":"","parse-names":false,"suffix":""},{"dropping-particle":"","family":"Silveira","given":"Dayane Gabriele Alves","non-dropping-particle":"","parse-names":false,"suffix":""},{"dropping-particle":"","family":"Soares Filho","given":"Adauto Martins","non-dropping-particle":"","parse-names":false,"suffix":""},{"dropping-particle":"","family":"Moraes Sousa","given":"Tatiane Cristina","non-dropping-particle":"","parse-names":false,"suffix":""},{"dropping-particle":"","family":"Szwarcwald","given":"Celia L.","non-dropping-particle":"","parse-names":false,"suffix":""},{"dropping-particle":"","family":"Traebert","given":"Jefferson","non-dropping-particle":"","parse-names":false,"suffix":""},{"dropping-particle":"","family":"Velasquez-Melendez","given":"Gustavo","non-dropping-particle":"","parse-names":false,"suffix":""},{"dropping-particle":"","family":"Wang","given":"Yuan Pang","non-dropping-particle":"","parse-names":false,"suffix":""},{"dropping-particle":"","family":"Lozano","given":"Rafael","non-dropping-particle":"","parse-names":false,"suffix":""},{"dropping-particle":"","family":"Murray","given":"Christopher J.L.","non-dropping-particle":"","parse-names":false,"suffix":""},{"dropping-particle":"","family":"Naghavi","given":"Mohsen","non-dropping-particle":"","parse-names":false,"suffix":""}],"container-title":"The Lancet","id":"ITEM-1","issue":"10149","issued":{"date-parts":[["2018"]]},"page":"760-775","title":"Burden of disease in Brazil, 1990–2016: a systematic subnational analysis for the Global Burden of Disease Study 2016","type":"article-journal","volume":"392"},"uris":["http://www.mendeley.com/documents/?uuid=fdbc1aa4-41e6-326b-926d-58784c2d09af"]}],"mendeley":{"formattedCitation":"(2)","plainTextFormattedCitation":"(2)","previouslyFormattedCitation":"(2)"},"properties":{"noteIndex":0},"schema":"https://github.com/citation-style-language/schema/raw/master/csl-citation.json"}</w:instrText>
      </w:r>
      <w:r w:rsidRPr="002E3E28">
        <w:rPr>
          <w:color w:val="000000"/>
          <w:vertAlign w:val="superscript"/>
        </w:rPr>
        <w:fldChar w:fldCharType="separate"/>
      </w:r>
      <w:r w:rsidR="00A82A58" w:rsidRPr="002E3E28">
        <w:rPr>
          <w:noProof/>
          <w:color w:val="000000"/>
          <w:vertAlign w:val="superscript"/>
        </w:rPr>
        <w:t>(2)</w:t>
      </w:r>
      <w:r w:rsidRPr="002E3E28">
        <w:rPr>
          <w:color w:val="000000"/>
          <w:vertAlign w:val="superscript"/>
        </w:rPr>
        <w:fldChar w:fldCharType="end"/>
      </w:r>
    </w:p>
    <w:p w14:paraId="771F9249" w14:textId="17734C4D" w:rsidR="00601E94" w:rsidRPr="0040390C" w:rsidRDefault="00BE6BC7" w:rsidP="0040390C">
      <w:pPr>
        <w:spacing w:line="360" w:lineRule="auto"/>
        <w:jc w:val="both"/>
        <w:rPr>
          <w:color w:val="000000"/>
          <w:lang w:eastAsia="en-US"/>
        </w:rPr>
      </w:pPr>
      <w:r w:rsidRPr="0040390C">
        <w:rPr>
          <w:color w:val="000000"/>
        </w:rPr>
        <w:t xml:space="preserve">No mesmo estudo da OMS, os distúrbios depressivos se enquadram como a quinta maior causa de anos vividos com incapacidade no </w:t>
      </w:r>
      <w:r w:rsidR="00A67916">
        <w:rPr>
          <w:color w:val="000000"/>
        </w:rPr>
        <w:t>B</w:t>
      </w:r>
      <w:r w:rsidRPr="0040390C">
        <w:rPr>
          <w:color w:val="000000"/>
        </w:rPr>
        <w:t>rasil. O distúrbio depressivo maior, à semelhança da dor crônica, possui caráter multidimensional e exige abordagem especializada. A depressão e dor frequentemente estão interligadas e podem exacerbar as condições físicas e psicológicas, dificultando o tratamento e prolongando os sintomas, o que torna a sua abordagem difícil. Os mecanismos</w:t>
      </w:r>
      <w:r w:rsidR="00464D2B">
        <w:rPr>
          <w:color w:val="000000"/>
        </w:rPr>
        <w:t xml:space="preserve"> e vias</w:t>
      </w:r>
      <w:r w:rsidRPr="0040390C">
        <w:rPr>
          <w:color w:val="000000"/>
        </w:rPr>
        <w:t xml:space="preserve"> comuns desses efeitos ainda não são muito esclarecidos, mas diversos estudos demonstraram que a depressão intensifica os sintomas ou reduz a capacidade de tolerância da dor.</w:t>
      </w:r>
      <w:r w:rsidRPr="002E3E28">
        <w:rPr>
          <w:color w:val="000000"/>
          <w:vertAlign w:val="superscript"/>
        </w:rPr>
        <w:fldChar w:fldCharType="begin" w:fldLock="1"/>
      </w:r>
      <w:r w:rsidR="00CE5069">
        <w:rPr>
          <w:color w:val="000000"/>
          <w:vertAlign w:val="superscript"/>
        </w:rPr>
        <w:instrText>ADDIN CSL_CITATION {"citationItems":[{"id":"ITEM-1","itemData":{"DOI":"10.1097/HRP.0000000000000198","ISBN":"0000000000000","ISSN":"14657309","PMID":"30407234","abstract":"Background Pain comorbid with depression is frequently encountered in clinical settings and often leads to significant impaired functioning. Given the complexity of comorbidities, it is important to address both pain and depressive symptoms when evaluating treatment options. Aim To review studies addressing pain comorbid with depression, and to report the impact of current treatments. Method A systematic search of the literature databases was conducted according to predefined criteria. Two authors independently conducted a focused analysis of the full-text articles and reached a consensus on 28 articles to be included in this review. Results Overall, studies suggested that pain and depression are highly intertwined and may co-exacerbate physical and psychological symptoms. These symptoms could lead to poor physical functional outcomes and longer duration of symptoms. An important biochemical basis for pain and depression focuses on serotonergic and norepinephrine systems, which is evident in the pain-ameliorating properties of serotonergic and norepinephrine antidepressants. Alternative pharmacotherapies such as ketamine and cannabinoids appear to be safe and effective options for improving depressive symptoms and ameliorating pain. In addition, cognitive-behavioral therapy may be a promising tool in the management of chronic pain and depression. Conclusion The majority of the literature indicates that patients with pain and depression experience reduced physical, mental, and social functioning as opposed to patients with only depression or only pain. In addition, ketamine, psychotropic, and cognitive-behavioral therapies present promising options for treating both pain and depression.","author":[{"dropping-particle":"","family":"IsHak","given":"Waguih William","non-dropping-particle":"","parse-names":false,"suffix":""},{"dropping-particle":"","family":"Wen","given":"Raymond Y.","non-dropping-particle":"","parse-names":false,"suffix":""},{"dropping-particle":"","family":"Naghdechi","given":"Lancer","non-dropping-particle":"","parse-names":false,"suffix":""},{"dropping-particle":"","family":"Vanle","given":"Brigitte","non-dropping-particle":"","parse-names":false,"suffix":""},{"dropping-particle":"","family":"Dang","given":"Jonathan","non-dropping-particle":"","parse-names":false,"suffix":""},{"dropping-particle":"","family":"Knosp","given":"Michelle","non-dropping-particle":"","parse-names":false,"suffix":""},{"dropping-particle":"","family":"Dascal","given":"Julieta","non-dropping-particle":"","parse-names":false,"suffix":""},{"dropping-particle":"","family":"Marcia","given":"Lobsang","non-dropping-particle":"","parse-names":false,"suffix":""},{"dropping-particle":"","family":"Gohar","given":"Yasmine","non-dropping-particle":"","parse-names":false,"suffix":""},{"dropping-particle":"","family":"Eskander","given":"Lidia","non-dropping-particle":"","parse-names":false,"suffix":""},{"dropping-particle":"","family":"Yadegar","given":"Justin","non-dropping-particle":"","parse-names":false,"suffix":""},{"dropping-particle":"","family":"Hanna","given":"Sophia","non-dropping-particle":"","parse-names":false,"suffix":""},{"dropping-particle":"","family":"Sadek","given":"Antonious","non-dropping-particle":"","parse-names":false,"suffix":""},{"dropping-particle":"","family":"Aguilar-Hernandez","given":"Leslie","non-dropping-particle":"","parse-names":false,"suffix":""},{"dropping-particle":"","family":"Danovitch","given":"Itai","non-dropping-particle":"","parse-names":false,"suffix":""},{"dropping-particle":"","family":"Louy","given":"Charles","non-dropping-particle":"","parse-names":false,"suffix":""}],"container-title":"Harvard Review of Psychiatry","id":"ITEM-1","issue":"6","issued":{"date-parts":[["2018"]]},"page":"352-363","title":"Pain and Depression: A Systematic Review","type":"article-journal","volume":"26"},"uris":["http://www.mendeley.com/documents/?uuid=cc7e7b0a-3d56-42a9-8bab-7db08db80001"]}],"mendeley":{"formattedCitation":"(3)","plainTextFormattedCitation":"(3)","previouslyFormattedCitation":"(3)"},"properties":{"noteIndex":0},"schema":"https://github.com/citation-style-language/schema/raw/master/csl-citation.json"}</w:instrText>
      </w:r>
      <w:r w:rsidRPr="002E3E28">
        <w:rPr>
          <w:color w:val="000000"/>
          <w:vertAlign w:val="superscript"/>
        </w:rPr>
        <w:fldChar w:fldCharType="separate"/>
      </w:r>
      <w:r w:rsidR="00A82A58" w:rsidRPr="002E3E28">
        <w:rPr>
          <w:noProof/>
          <w:color w:val="000000"/>
          <w:vertAlign w:val="superscript"/>
        </w:rPr>
        <w:t>(3)</w:t>
      </w:r>
      <w:r w:rsidRPr="002E3E28">
        <w:rPr>
          <w:color w:val="000000"/>
          <w:vertAlign w:val="superscript"/>
        </w:rPr>
        <w:fldChar w:fldCharType="end"/>
      </w:r>
    </w:p>
    <w:p w14:paraId="113BF1F5" w14:textId="3D42E0DE" w:rsidR="00601E94" w:rsidRPr="0040390C" w:rsidRDefault="00BE6BC7" w:rsidP="0040390C">
      <w:pPr>
        <w:spacing w:line="360" w:lineRule="auto"/>
        <w:jc w:val="both"/>
        <w:rPr>
          <w:b/>
          <w:bCs/>
          <w:i/>
          <w:iCs/>
          <w:u w:val="single"/>
          <w:lang w:eastAsia="en-US"/>
        </w:rPr>
      </w:pPr>
      <w:r w:rsidRPr="0040390C">
        <w:rPr>
          <w:color w:val="000000"/>
        </w:rPr>
        <w:t>O tratamento convencional da depressão inclui a farmacoterapia</w:t>
      </w:r>
      <w:r w:rsidR="00A67916">
        <w:rPr>
          <w:color w:val="000000"/>
        </w:rPr>
        <w:t>,</w:t>
      </w:r>
      <w:r w:rsidRPr="0040390C">
        <w:rPr>
          <w:color w:val="000000"/>
        </w:rPr>
        <w:t xml:space="preserve"> psicoterapia e diversas outras abordagens são destinadas aos pacientes resistentes ao tratamento. Nos últimos anos, houve grande interesse no tratamento dos distúrbios do humor, devido à sua morbidade e natureza refratária. A partir disso, diferentes estudos trataram do uso da cetamina intravenosa no tratamento da dor crônica e depressão, evidenciando efeitos benéficos promissores a curto prazo. Estudos subsequentes demonstraram o potencial benéfico dessa abordagem e a necessidade de estudos a longo prazo, com uma melhor definição para estabelecer a sua prática. Dessa forma, a Sociedade Americana de Anestesia Regional e Medicina da Dor e a Academia Americana de Medicina da Dor desenvolveram em 2018 uma diretriz de consenso sobre o uso de cetamina para o tratamento da dor</w:t>
      </w:r>
      <w:r w:rsidR="002E3E28">
        <w:rPr>
          <w:color w:val="000000"/>
        </w:rPr>
        <w:t xml:space="preserve"> crônica</w:t>
      </w:r>
      <w:r w:rsidRPr="0040390C">
        <w:rPr>
          <w:color w:val="000000"/>
        </w:rPr>
        <w:t xml:space="preserve">. Da mesma forma, a Associação Americana de Psiquiatria publicou em 2017 uma declaração de consenso </w:t>
      </w:r>
      <w:r w:rsidRPr="0040390C">
        <w:rPr>
          <w:color w:val="000000"/>
        </w:rPr>
        <w:lastRenderedPageBreak/>
        <w:t>no uso de cetamina no tratamento de distúrbios do humor com quadros acentuados e associados ou quando existe refratariedade ao tratamento conservador.</w:t>
      </w:r>
      <w:r w:rsidRPr="00CE5069">
        <w:rPr>
          <w:color w:val="000000"/>
          <w:vertAlign w:val="superscript"/>
        </w:rPr>
        <w:fldChar w:fldCharType="begin" w:fldLock="1"/>
      </w:r>
      <w:r w:rsidR="00CE5069" w:rsidRPr="00CE5069">
        <w:rPr>
          <w:color w:val="000000"/>
          <w:vertAlign w:val="superscript"/>
        </w:rPr>
        <w:instrText>ADDIN CSL_CITATION {"citationItems":[{"id":"ITEM-1","itemData":{"DOI":"10.1097/AAP.0000000000000808","ISBN":"0000000000000","ISSN":"15328651","PMID":"29870458","abstract":"Background: Over the past 2 decades, the use of intravenous ketamine infusions as a treatment for chronic pain has increased dramatically, with wide variation in patient selection, dosing, and monitoring. This has led to a chorus of calls from various sources for the development of consensus guidelines. Methods: In November 2016, the charge for developing consensus guidelines was approved by the boards of directors of the American Society of Regional Anesthesia and Pain Medicine and, shortly thereafter, the American Academy of Pain Medicine. In late 2017, the completed document was sent to the American Society of Anesthesiologists' Committees on Pain Medicine and Standards and Practice Parameters, after which additional modifications were made. Panel members were selected by the committee chair and both boards of directors based on their expertise in evaluating clinical trials, past research experience, and clinical experience in developing protocols and treating patients with ketamine. Questions were developed and refined by the committee, and the groups responsible for addressing each question consisted of modules composed of 3 to 5 panel members in addition to the committee chair. Once a preliminary consensus was achieved, sections were sent to the entire panel, and further revisions were made. In addition to consensus guidelines, a comprehensive narrative review was performed, which formed part of the basis for guidelines. Results: Guidelines were prepared for the following areas: indications; contraindications; whether there was evidence for a dose-response relationship, or a minimum or therapeutic dose range; whether oral ketamine or another N-methyl-d-aspartate receptor antagonist was a reasonable treatment option as a follow-up to infusions; preinfusion testing requirements; settings and personnel necessary to administer and monitor treatment; the use of preemptive and rescue medications to address adverse effects; and what constitutes a positive treatment response. The group was able to reach consensus on all questions. Conclusions: Evidence supports the use of ketamine for chronic pain, but the level of evidence varies by condition and dose range. Most studies evaluating the efficacy of ketamine were small and uncontrolled and were either unblinded or ineffectively blinded. Adverse effects were few and the rate of serious adverse effects was similar to placebo in most studies, with higher dosages and more frequent infusions associated with gre…","author":[{"dropping-particle":"","family":"Cohen","given":"Steven P.","non-dropping-particle":"","parse-names":false,"suffix":""},{"dropping-particle":"","family":"Bhatia","given":"Anuj","non-dropping-particle":"","parse-names":false,"suffix":""},{"dropping-particle":"","family":"Buvanendran","given":"Asokumar","non-dropping-particle":"","parse-names":false,"suffix":""},{"dropping-particle":"","family":"Schwenk","given":"Eric S.","non-dropping-particle":"","parse-names":false,"suffix":""},{"dropping-particle":"","family":"Wasan","given":"Ajay D.","non-dropping-particle":"","parse-names":false,"suffix":""},{"dropping-particle":"","family":"Hurley","given":"Robert W.","non-dropping-particle":"","parse-names":false,"suffix":""},{"dropping-particle":"","family":"Viscusi","given":"Eugene R.","non-dropping-particle":"","parse-names":false,"suffix":""},{"dropping-particle":"","family":"Narouze","given":"Samer","non-dropping-particle":"","parse-names":false,"suffix":""},{"dropping-particle":"","family":"Davis","given":"Fred N.","non-dropping-particle":"","parse-names":false,"suffix":""},{"dropping-particle":"","family":"Ritchie","given":"Elspeth C.","non-dropping-particle":"","parse-names":false,"suffix":""},{"dropping-particle":"","family":"Lubenow","given":"Timothy R.","non-dropping-particle":"","parse-names":false,"suffix":""},{"dropping-particle":"","family":"Hooten","given":"William M.","non-dropping-particle":"","parse-names":false,"suffix":""}],"container-title":"Regional Anesthesia and Pain Medicine","id":"ITEM-1","issue":"5","issued":{"date-parts":[["2018"]]},"page":"521-546","title":"Consensus Guidelines on the Use of Intravenous Ketamine Infusions for Chronic Pain From the American Society of Regional Anesthesia and Pain Medicine, the American Academy of Pain Medicine, and the American Society of Anesthesiologists","type":"article-journal","volume":"43"},"uris":["http://www.mendeley.com/documents/?uuid=47653bf6-99a4-4660-b59d-24c69d4b2ad8"]},{"id":"ITEM-2","itemData":{"DOI":"10.1001/jamapsychiatry.2017.0080","ISSN":"2168622X","PMID":"28249076","abstract":"IMPORTANCE Several studies now provide evidence of ketamine hydrochloride's ability to produce rapid and robust antidepressant effects in patients with mood and anxiety disorders that were previously resistant to treatment. Despite the relatively small sample sizes, lack of longer-term data on efficacy, and limited data on safety provided by these studies, they have led to increased use of ketamine as an off-label treatment for mood and other psychiatric disorders. OBSERVATIONS This review and consensus statement provides a general overview of the data on the use of ketamine for the treatment of mood disorders and highlights the limitations of the existing knowledge. While ketamine may be beneficial to some patients with mood disorders, it is important to consider the limitations of the available data and the potential risk associated with the drug when considering the treatment option. CONCLUSIONS AND RELEVANCE The suggestions provided are intended to facilitate clinical decision making and encourage an evidence-based approach to using ketamine in the treatment of psychiatric disorders considering the limited information that is currently available. This article provides information on potentially important issues related to the off-label treatment approach that should be considered to help ensure patient safety.","author":[{"dropping-particle":"","family":"Sanacora","given":"Gerard","non-dropping-particle":"","parse-names":false,"suffix":""},{"dropping-particle":"","family":"Frye","given":"Mark A.","non-dropping-particle":"","parse-names":false,"suffix":""},{"dropping-particle":"","family":"McDonald","given":"William","non-dropping-particle":"","parse-names":false,"suffix":""},{"dropping-particle":"","family":"Mathew","given":"Sanjay J.","non-dropping-particle":"","parse-names":false,"suffix":""},{"dropping-particle":"","family":"Turner","given":"Mason S.","non-dropping-particle":"","parse-names":false,"suffix":""},{"dropping-particle":"","family":"Schatzberg","given":"Alan F.","non-dropping-particle":"","parse-names":false,"suffix":""},{"dropping-particle":"","family":"Summergrad","given":"Paul","non-dropping-particle":"","parse-names":false,"suffix":""},{"dropping-particle":"","family":"Nemeroff","given":"Charles B.","non-dropping-particle":"","parse-names":false,"suffix":""}],"container-title":"JAMA Psychiatry","id":"ITEM-2","issue":"4","issued":{"date-parts":[["2017"]]},"page":"399-405","title":"A consensus statement on the use of ketamine in the treatment of mood disorders","type":"article-journal","volume":"74"},"uris":["http://www.mendeley.com/documents/?uuid=1eb0aa23-7fc8-49ee-82aa-eca47f62f467"]}],"mendeley":{"formattedCitation":"(4,5)","plainTextFormattedCitation":"(4,5)","previouslyFormattedCitation":"(4,5)"},"properties":{"noteIndex":0},"schema":"https://github.com/citation-style-language/schema/raw/master/csl-citation.json"}</w:instrText>
      </w:r>
      <w:r w:rsidRPr="00CE5069">
        <w:rPr>
          <w:color w:val="000000"/>
          <w:vertAlign w:val="superscript"/>
        </w:rPr>
        <w:fldChar w:fldCharType="separate"/>
      </w:r>
      <w:r w:rsidR="00A82A58" w:rsidRPr="00CE5069">
        <w:rPr>
          <w:noProof/>
          <w:color w:val="000000"/>
          <w:vertAlign w:val="superscript"/>
        </w:rPr>
        <w:t>(4,5)</w:t>
      </w:r>
      <w:r w:rsidRPr="00CE5069">
        <w:rPr>
          <w:color w:val="000000"/>
          <w:vertAlign w:val="superscript"/>
        </w:rPr>
        <w:fldChar w:fldCharType="end"/>
      </w:r>
      <w:r w:rsidRPr="002E3E28">
        <w:rPr>
          <w:vertAlign w:val="superscript"/>
        </w:rPr>
        <w:t xml:space="preserve"> </w:t>
      </w:r>
    </w:p>
    <w:p w14:paraId="6CE557A9" w14:textId="49B975A5" w:rsidR="00601E94" w:rsidRPr="00A67916" w:rsidRDefault="00BE6BC7" w:rsidP="00A67916">
      <w:pPr>
        <w:spacing w:after="100" w:line="360" w:lineRule="auto"/>
        <w:jc w:val="both"/>
        <w:rPr>
          <w:color w:val="000000"/>
          <w:vertAlign w:val="superscript"/>
        </w:rPr>
      </w:pPr>
      <w:r w:rsidRPr="0040390C">
        <w:rPr>
          <w:color w:val="000000"/>
        </w:rPr>
        <w:t>A cetamina é uma substância disponível como mistura racêmica derivada da fenciclidina desenvolvida na década de 1960 e possui propriedades anestésicas, analgésicas e antipsicóticas. É um fármaco seguro e amplamente utilizado devido ao seu potencial anestésico e analgésico, efeito rápido e sedação hemodinamicamente estável pelo estímulo simpático sem afetar a função respiratória.</w:t>
      </w:r>
      <w:r w:rsidR="00A67916">
        <w:rPr>
          <w:color w:val="000000"/>
          <w:vertAlign w:val="superscript"/>
        </w:rPr>
        <w:t xml:space="preserve"> </w:t>
      </w:r>
      <w:r w:rsidRPr="0040390C">
        <w:rPr>
          <w:color w:val="000000"/>
        </w:rPr>
        <w:t xml:space="preserve">Apesar de documentados efeitos favoráveis, </w:t>
      </w:r>
      <w:r w:rsidR="00A67916">
        <w:rPr>
          <w:color w:val="000000"/>
        </w:rPr>
        <w:t>ela</w:t>
      </w:r>
      <w:r w:rsidRPr="0040390C">
        <w:rPr>
          <w:color w:val="000000"/>
        </w:rPr>
        <w:t xml:space="preserve"> deve ser usada com cautela. Entre suas limitações, a administração oral implica em baixa biodisponibilidade e alta taxa de efeitos colaterais devido sua metabolização de prime</w:t>
      </w:r>
      <w:r w:rsidR="00514810">
        <w:rPr>
          <w:color w:val="000000"/>
        </w:rPr>
        <w:t>i</w:t>
      </w:r>
      <w:r w:rsidRPr="0040390C">
        <w:rPr>
          <w:color w:val="000000"/>
        </w:rPr>
        <w:t>ra passagem por via hepática, sendo a administração intravenosa a de melhor escolha.</w:t>
      </w:r>
      <w:r w:rsidRPr="00CE5069">
        <w:rPr>
          <w:color w:val="000000"/>
          <w:vertAlign w:val="superscript"/>
        </w:rPr>
        <w:fldChar w:fldCharType="begin" w:fldLock="1"/>
      </w:r>
      <w:r w:rsidR="00CE5069" w:rsidRPr="00CE5069">
        <w:rPr>
          <w:color w:val="000000"/>
          <w:vertAlign w:val="superscript"/>
        </w:rPr>
        <w:instrText>ADDIN CSL_CITATION {"citationItems":[{"id":"ITEM-1","itemData":{"DOI":"10.4088/JCP.19f12820","ISSN":"15552101","PMID":"30946543","abstract":"Clinical evidence is accumulating to support the use of ketamine as a powerful, quick-acting intervention for depression. Ketamine has been administered by oral, sublingual, transmucosal, intravenous, intramuscular, subcutaneous, intranasal, and even rectal routes. Whereas intravenous ketamine is the best studied approach, common sense dictates that oral ketamine is the most practical. The bioavailability of oral ketamine and interindividual variations thereof have been poorly studied; possibly only 20%-25% of an oral dose reaches the bloodstream. This is not necessarily a limitation because, as with other drugs that have poor oral bioavailability, compensation is possible by administering an appropriately higher dose, and interindividual variations can be addressed through individualized dose up-titration. A quarter- century of experience supports the use of oral ketamine for treating acute and chronic pain in children and adults. Case reports, case series, chart reviews, and 3 recent randomized controlled trials (RCTs) show that oral ketamine is effective in treating severe depression, depression with suicidal ideation, and treatment-resistant depression; that oral ketamine, used as an augmentation agent, improves outcomes in patients receiving a conventional antidepressant; and that oral ketamine reduces depression in patients with chronic pain. Doses of oral ketamine have ranged from 0.25 to 7 mg/kg and from 50 mg per occasion to 300 mg per occasion in multiple daily dosing, daily dosing, and intermittent dosing schedules. Oral ketamine was well tolerated in all studies; dropout and reasons for dropout were similar in ketamine and control arms in the 3 RCTs. These findings suggest that if ketamine is to find a place as an off-label treatment for depression and suicidality in mainstream psychiatry, researchers should study the safety, efficacy, and optimization of oral ketamine. Intravenous and intranasal routes may be monetarily more promising, but the oral route could be of greatest service.","author":[{"dropping-particle":"","family":"Andrade","given":"Chittaranjan","non-dropping-particle":"","parse-names":false,"suffix":""}],"container-title":"Journal of Clinical Psychiatry","id":"ITEM-1","issue":"2","issued":{"date-parts":[["2019"]]},"page":"2-5","title":"Oral ketamine for depression, 1: Pharmacologic considerations and clinical evidence","type":"article-journal","volume":"80"},"uris":["http://www.mendeley.com/documents/?uuid=25c8b2af-aba5-4367-8623-5a234925ed25"]}],"mendeley":{"formattedCitation":"(6)","plainTextFormattedCitation":"(6)","previouslyFormattedCitation":"(6)"},"properties":{"noteIndex":0},"schema":"https://github.com/citation-style-language/schema/raw/master/csl-citation.json"}</w:instrText>
      </w:r>
      <w:r w:rsidRPr="00CE5069">
        <w:rPr>
          <w:color w:val="000000"/>
          <w:vertAlign w:val="superscript"/>
        </w:rPr>
        <w:fldChar w:fldCharType="separate"/>
      </w:r>
      <w:r w:rsidR="00CE5069" w:rsidRPr="00CE5069">
        <w:rPr>
          <w:noProof/>
          <w:color w:val="000000"/>
          <w:vertAlign w:val="superscript"/>
        </w:rPr>
        <w:t>(6)</w:t>
      </w:r>
      <w:r w:rsidRPr="00CE5069">
        <w:rPr>
          <w:color w:val="000000"/>
          <w:vertAlign w:val="superscript"/>
        </w:rPr>
        <w:fldChar w:fldCharType="end"/>
      </w:r>
      <w:r w:rsidR="00060D9E">
        <w:rPr>
          <w:color w:val="000000"/>
        </w:rPr>
        <w:t xml:space="preserve"> </w:t>
      </w:r>
      <w:r w:rsidRPr="0040390C">
        <w:t>As principais contraindicações para seu uso incluem doença cardiovascular mal controlada, disfunção hepática, psicoses, delirium e abuso de substâncias ativas, sendo a elevação da pressão intracraniana e intraocular</w:t>
      </w:r>
      <w:r w:rsidRPr="0040390C">
        <w:rPr>
          <w:color w:val="000000"/>
        </w:rPr>
        <w:t xml:space="preserve"> </w:t>
      </w:r>
      <w:r w:rsidRPr="0040390C">
        <w:t>contraindicações relativas.</w:t>
      </w:r>
      <w:r w:rsidRPr="00CE5069">
        <w:rPr>
          <w:vertAlign w:val="superscript"/>
        </w:rPr>
        <w:fldChar w:fldCharType="begin" w:fldLock="1"/>
      </w:r>
      <w:r w:rsidR="00CE5069" w:rsidRPr="00CE5069">
        <w:rPr>
          <w:vertAlign w:val="superscript"/>
        </w:rPr>
        <w:instrText>ADDIN CSL_CITATION {"citationItems":[{"id":"ITEM-1","itemData":{"DOI":"10.1007/s00482-019-0364-4","ISBN":"0000000000000","ISSN":"14322129","PMID":"30888477","author":[{"dropping-particle":"","family":"Bell","given":"Rae Frances","non-dropping-particle":"","parse-names":false,"suffix":""},{"dropping-particle":"","family":"Kalso","given":"Eija Anneli","non-dropping-particle":"","parse-names":false,"suffix":""}],"container-title":"Schmerz","id":"ITEM-1","issued":{"date-parts":[["2019"]]},"page":"1-8","title":"Ketamine for pain management","type":"article-journal","volume":"3"},"uris":["http://www.mendeley.com/documents/?uuid=73cd693c-bb7b-4293-99d6-6cbc7ca94034"]},{"id":"ITEM-2","itemData":{"DOI":"10.1080/17512433.2020.1717947","ISSN":"17512441","PMID":"31990596","abstract":"Introduction: The use of ketamine infusions for chronic pain has surged, with utilization exceeding the proliferation of knowledge. A proposed mechanism for the long-term benefit in chronic pain is that ketamine may alter the affective-motivational component of pain. Areas covered: In this review, we discuss the classification and various dimensions of pain, and explore the effects of ketamine on different pain categories and components. The relationship between ketamine’s action at the NMDA receptor, the development of chronic pain, and the its possible role in preventing the persistence of pain are examined. We also summarize animal models evaluating the antinociceptive effects of ketamine and risk mitigation strategies of ketamine-associated side effects. Expert opinion: Although ketamine exerts most of its analgesic effects via the NMDA receptor, recent evidence suggests that other receptors such as AMPA, and active metabolites such as nor-ketamine, may also play a role in pain relief and alleviation of depression. Data from clinical studies performed in patients with chronic pain and depression, and the observation that ketamine’s analgesic benefits outlast its effects on quantitative sensory testing, suggest that the enduring effects on chronic pain may be predominantly due ketamine’s ability to modulate the affective-motivational dimension of pain.","author":[{"dropping-particle":"","family":"Yang","given":"Yunpeng","non-dropping-particle":"","parse-names":false,"suffix":""},{"dropping-particle":"","family":"Maher","given":"Dermot P.","non-dropping-particle":"","parse-names":false,"suffix":""},{"dropping-particle":"","family":"Cohen","given":"Steven P.","non-dropping-particle":"","parse-names":false,"suffix":""}],"container-title":"Expert Review of Clinical Pharmacology","id":"ITEM-2","issue":"2","issued":{"date-parts":[["2020"]]},"page":"135-146","publisher":"Taylor &amp; Francis","title":"Emerging concepts on the use of ketamine for chronic pain","type":"article-journal","volume":"13"},"uris":["http://www.mendeley.com/documents/?uuid=3b5f03be-53b7-4da3-b914-3a5b669da8cb"]}],"mendeley":{"formattedCitation":"(7,8)","plainTextFormattedCitation":"(7,8)","previouslyFormattedCitation":"(7,8)"},"properties":{"noteIndex":0},"schema":"https://github.com/citation-style-language/schema/raw/master/csl-citation.json"}</w:instrText>
      </w:r>
      <w:r w:rsidRPr="00CE5069">
        <w:rPr>
          <w:vertAlign w:val="superscript"/>
        </w:rPr>
        <w:fldChar w:fldCharType="separate"/>
      </w:r>
      <w:r w:rsidR="00CE5069" w:rsidRPr="00CE5069">
        <w:rPr>
          <w:noProof/>
          <w:vertAlign w:val="superscript"/>
        </w:rPr>
        <w:t>(7,8)</w:t>
      </w:r>
      <w:r w:rsidRPr="00CE5069">
        <w:rPr>
          <w:vertAlign w:val="superscript"/>
        </w:rPr>
        <w:fldChar w:fldCharType="end"/>
      </w:r>
      <w:r w:rsidRPr="00CE5069">
        <w:rPr>
          <w:vertAlign w:val="superscript"/>
        </w:rPr>
        <w:t xml:space="preserve"> </w:t>
      </w:r>
    </w:p>
    <w:p w14:paraId="53F480E9" w14:textId="552BEDEA" w:rsidR="001740A7" w:rsidRDefault="00BE6BC7" w:rsidP="00DC56C6">
      <w:pPr>
        <w:spacing w:line="360" w:lineRule="auto"/>
        <w:jc w:val="both"/>
        <w:rPr>
          <w:color w:val="000000"/>
          <w:lang w:eastAsia="en-US"/>
        </w:rPr>
      </w:pPr>
      <w:r w:rsidRPr="0040390C">
        <w:rPr>
          <w:color w:val="000000"/>
        </w:rPr>
        <w:t>Destarte, considerando as evidências científicas promissoras atuais e a escassez de pesquisas que abordem o uso da cetamina no tratamento de dor crônica e distúrbios depressivos de forma seriada, o presente estudo busca compreender melhor a relação dessas condições clínicas e os efeitos benéficos promissores da infusão intravenosa de cetamina, como terapia alternativa à convencional.</w:t>
      </w:r>
    </w:p>
    <w:p w14:paraId="115316A8" w14:textId="77777777" w:rsidR="00A82A58" w:rsidRPr="0040390C" w:rsidRDefault="00A82A58" w:rsidP="002E3E28">
      <w:pPr>
        <w:spacing w:line="360" w:lineRule="auto"/>
        <w:jc w:val="both"/>
        <w:rPr>
          <w:color w:val="000000"/>
          <w:lang w:eastAsia="en-US"/>
        </w:rPr>
      </w:pPr>
    </w:p>
    <w:p w14:paraId="6EDE2DF6" w14:textId="04E85327" w:rsidR="00554EC6" w:rsidRPr="0040390C" w:rsidRDefault="00E71695" w:rsidP="0040390C">
      <w:pPr>
        <w:spacing w:line="360" w:lineRule="auto"/>
        <w:rPr>
          <w:b/>
          <w:bCs/>
        </w:rPr>
      </w:pPr>
      <w:r w:rsidRPr="0040390C">
        <w:rPr>
          <w:b/>
          <w:bCs/>
        </w:rPr>
        <w:t>Relato de caso</w:t>
      </w:r>
    </w:p>
    <w:p w14:paraId="0773CC9F" w14:textId="007DB1DA" w:rsidR="00554EC6" w:rsidRPr="0040390C" w:rsidRDefault="00554EC6" w:rsidP="0040390C">
      <w:pPr>
        <w:spacing w:line="360" w:lineRule="auto"/>
      </w:pPr>
    </w:p>
    <w:p w14:paraId="377F1190" w14:textId="1181F943" w:rsidR="00832210" w:rsidRPr="0040390C" w:rsidRDefault="00832210" w:rsidP="00DC56C6">
      <w:pPr>
        <w:spacing w:line="360" w:lineRule="auto"/>
        <w:jc w:val="both"/>
      </w:pPr>
      <w:r w:rsidRPr="0040390C">
        <w:t xml:space="preserve">Paciente de 33 anos com quadro de cistite intersticial acompanhado de um histórico progressivo de dor crônica e depressão resistente. Ela foi diagnosticada com cistite intersticial aos 20 anos de idade, quando iniciou tratamento com </w:t>
      </w:r>
      <w:r w:rsidR="00FD60BD" w:rsidRPr="0040390C">
        <w:t>urologista</w:t>
      </w:r>
      <w:r w:rsidRPr="0040390C">
        <w:t>. O tratamento inicial incluiu o uso de amitriptilina e mudanças de hábitos alimentares, sem melhora. Desde então realizou diversos tratamentos para o quadro urológico, sem melhora significativa, e atualmente faz acompanhamento regular com especialista para avaliação cistosc</w:t>
      </w:r>
      <w:r w:rsidR="00602C47" w:rsidRPr="0040390C">
        <w:t>ó</w:t>
      </w:r>
      <w:r w:rsidRPr="0040390C">
        <w:t>pi</w:t>
      </w:r>
      <w:r w:rsidR="00602C47" w:rsidRPr="0040390C">
        <w:t>c</w:t>
      </w:r>
      <w:r w:rsidRPr="0040390C">
        <w:t>a e necessidade recorrente de hidrodistensão e dilatação da uretra associado a retenção urinária com eventual uso de sondagem vesical.</w:t>
      </w:r>
    </w:p>
    <w:p w14:paraId="20D180A1" w14:textId="210CC350" w:rsidR="00832210" w:rsidRPr="0040390C" w:rsidRDefault="00832210" w:rsidP="00DC56C6">
      <w:pPr>
        <w:spacing w:line="360" w:lineRule="auto"/>
        <w:jc w:val="both"/>
      </w:pPr>
      <w:r w:rsidRPr="0040390C">
        <w:t xml:space="preserve">Na mesma época do diagnóstico de cistite intersticial iniciou o tratamento para o controle da dor com amitriptilina, seguido de codeína associado a paracetamol e tramadol. Contudo, após cerca de 1 ano de acompanhamento, referiu piora significativa do humor com dor persistente apesar do tratamento farmacológico proposto. Procurou especialista em dor que iniciou tratamento clínico com </w:t>
      </w:r>
      <w:r w:rsidR="00514810" w:rsidRPr="0040390C">
        <w:t>opióides</w:t>
      </w:r>
      <w:r w:rsidRPr="0040390C">
        <w:t xml:space="preserve"> fortes, sem melhora significativa. Houve uma piora progressiva da dor com o tempo e foi sugerido o implante de bomba de infusão de morfina intratecal. A paciente relatou uma melhora </w:t>
      </w:r>
      <w:r w:rsidR="00FD60BD" w:rsidRPr="0040390C">
        <w:t>relativa</w:t>
      </w:r>
      <w:r w:rsidRPr="0040390C">
        <w:t xml:space="preserve"> da dor após o procedimento, contudo, com o progredir da doença, não ficou satisfeita com a melhora na eficácia do medicamento e houve a necessidade de aumentar a dosagem dos medicamentos.</w:t>
      </w:r>
    </w:p>
    <w:p w14:paraId="204066A0" w14:textId="0CA86F3F" w:rsidR="00832210" w:rsidRPr="0040390C" w:rsidRDefault="00832210" w:rsidP="00DC56C6">
      <w:pPr>
        <w:spacing w:line="360" w:lineRule="auto"/>
        <w:jc w:val="both"/>
      </w:pPr>
      <w:r w:rsidRPr="0040390C">
        <w:lastRenderedPageBreak/>
        <w:t>Diante do quadro resistente ao tratamento, a paciente procurou os nossos cuidados para abordagem da dor crônica e depressão. Durante a observação, a paciente apresentava</w:t>
      </w:r>
      <w:r w:rsidR="00FD60BD" w:rsidRPr="0040390C">
        <w:t xml:space="preserve"> exame neurológico</w:t>
      </w:r>
      <w:r w:rsidR="00A82A58">
        <w:t xml:space="preserve"> sem alterações</w:t>
      </w:r>
      <w:r w:rsidRPr="0040390C">
        <w:t xml:space="preserve">, </w:t>
      </w:r>
      <w:r w:rsidR="00A82A58">
        <w:t xml:space="preserve">ausência de </w:t>
      </w:r>
      <w:r w:rsidRPr="0040390C">
        <w:t>disfunção cognitiva</w:t>
      </w:r>
      <w:r w:rsidR="00A82A58">
        <w:t xml:space="preserve">, motora </w:t>
      </w:r>
      <w:r w:rsidRPr="0040390C">
        <w:t xml:space="preserve">ou sensitiva. Ademais, queixava-se de piora progressiva do humor, ansiedade, insônia, ganho significativo de peso, </w:t>
      </w:r>
      <w:r w:rsidR="00FD60BD" w:rsidRPr="0040390C">
        <w:t xml:space="preserve">fadiga, </w:t>
      </w:r>
      <w:r w:rsidRPr="0040390C">
        <w:t>adinamia e dor pélvica persistente.</w:t>
      </w:r>
      <w:r w:rsidR="00FD60BD" w:rsidRPr="0040390C">
        <w:t xml:space="preserve"> Relatou ideação suicida e tentativa de suicídio prévia.</w:t>
      </w:r>
      <w:r w:rsidRPr="0040390C">
        <w:t xml:space="preserve"> </w:t>
      </w:r>
      <w:r w:rsidR="00FD60BD" w:rsidRPr="0040390C">
        <w:t>E</w:t>
      </w:r>
      <w:r w:rsidRPr="0040390C">
        <w:t xml:space="preserve">ncontrava-se em uso de quetiapina 600 mg/dia, escitalopram 20 mg/dia, valproato de sódio 1,5 g, clonazepam </w:t>
      </w:r>
      <w:r w:rsidR="00FD60BD" w:rsidRPr="0040390C">
        <w:t>75</w:t>
      </w:r>
      <w:r w:rsidRPr="0040390C">
        <w:t xml:space="preserve"> mg, morfina intratecal 2</w:t>
      </w:r>
      <w:r w:rsidR="006C794E" w:rsidRPr="0040390C">
        <w:t>.</w:t>
      </w:r>
      <w:r w:rsidRPr="0040390C">
        <w:t>1</w:t>
      </w:r>
      <w:r w:rsidR="006C794E" w:rsidRPr="0040390C">
        <w:t>00</w:t>
      </w:r>
      <w:r w:rsidRPr="0040390C">
        <w:t xml:space="preserve"> </w:t>
      </w:r>
      <w:r w:rsidR="006C794E" w:rsidRPr="0040390C">
        <w:t>m</w:t>
      </w:r>
      <w:r w:rsidRPr="0040390C">
        <w:t>g/dia e morfina oral</w:t>
      </w:r>
      <w:r w:rsidR="00FD60BD" w:rsidRPr="0040390C">
        <w:t xml:space="preserve"> 1</w:t>
      </w:r>
      <w:r w:rsidR="006C794E" w:rsidRPr="0040390C">
        <w:t>.</w:t>
      </w:r>
      <w:r w:rsidR="00FD60BD" w:rsidRPr="0040390C">
        <w:t>080 mg/dia</w:t>
      </w:r>
      <w:r w:rsidR="00B44A52" w:rsidRPr="0040390C">
        <w:t>.</w:t>
      </w:r>
    </w:p>
    <w:p w14:paraId="61ADBC33" w14:textId="53E0997D" w:rsidR="00832210" w:rsidRPr="0040390C" w:rsidRDefault="00832210" w:rsidP="00DC56C6">
      <w:pPr>
        <w:spacing w:line="360" w:lineRule="auto"/>
        <w:jc w:val="both"/>
      </w:pPr>
      <w:r w:rsidRPr="0040390C">
        <w:t>Após avaliação do caso, foi sugerido a infusão intravascular de cetamina para o tratamento de dor crônica e depressão considerando a resistência ao tratamento farmacológico convencional. O esquema proposto incluía sessões de infusão intravascular de cetamina semanais por oito semanas, realizadas em ambiente hospitalar seguro</w:t>
      </w:r>
      <w:r w:rsidR="0032565F" w:rsidRPr="0040390C">
        <w:t>. As infusões foram preparadas com cetamina em dose única de 1 mg diluído em 100 ml de soro fisiológico 0,9%, sem uso de medicamentos imediatamente antes e depois da infusão.</w:t>
      </w:r>
    </w:p>
    <w:p w14:paraId="5067F30B" w14:textId="2452D086" w:rsidR="00D2590D" w:rsidRPr="0040390C" w:rsidRDefault="00B44A52" w:rsidP="00DC56C6">
      <w:pPr>
        <w:spacing w:line="360" w:lineRule="auto"/>
        <w:jc w:val="both"/>
      </w:pPr>
      <w:r w:rsidRPr="0040390C">
        <w:t xml:space="preserve">O escore na </w:t>
      </w:r>
      <w:r w:rsidR="0032565F" w:rsidRPr="0040390C">
        <w:t>E</w:t>
      </w:r>
      <w:r w:rsidRPr="0040390C">
        <w:t xml:space="preserve">scala de </w:t>
      </w:r>
      <w:r w:rsidR="0032565F" w:rsidRPr="0040390C">
        <w:t xml:space="preserve">Avaliação de Depressão de </w:t>
      </w:r>
      <w:r w:rsidRPr="0040390C">
        <w:t>Hamilton</w:t>
      </w:r>
      <w:r w:rsidR="0032565F" w:rsidRPr="0040390C">
        <w:t xml:space="preserve"> (HAM-D)</w:t>
      </w:r>
      <w:r w:rsidRPr="0040390C">
        <w:t xml:space="preserve"> antes da primeira infusão foi de </w:t>
      </w:r>
      <w:r w:rsidR="0009436C" w:rsidRPr="0040390C">
        <w:t>40</w:t>
      </w:r>
      <w:r w:rsidR="00277D5C" w:rsidRPr="0040390C">
        <w:t xml:space="preserve"> e dor de intensidade 9 na </w:t>
      </w:r>
      <w:r w:rsidR="007359E8" w:rsidRPr="0040390C">
        <w:t>E</w:t>
      </w:r>
      <w:r w:rsidR="00277D5C" w:rsidRPr="0040390C">
        <w:t xml:space="preserve">scala </w:t>
      </w:r>
      <w:r w:rsidR="007359E8" w:rsidRPr="0040390C">
        <w:t>V</w:t>
      </w:r>
      <w:r w:rsidR="00277D5C" w:rsidRPr="0040390C">
        <w:t xml:space="preserve">isual </w:t>
      </w:r>
      <w:r w:rsidR="007359E8" w:rsidRPr="0040390C">
        <w:t>A</w:t>
      </w:r>
      <w:r w:rsidR="00277D5C" w:rsidRPr="0040390C">
        <w:t>nalógica</w:t>
      </w:r>
      <w:r w:rsidR="007359E8" w:rsidRPr="0040390C">
        <w:t xml:space="preserve"> (EVA)</w:t>
      </w:r>
      <w:r w:rsidRPr="0040390C">
        <w:t xml:space="preserve">. </w:t>
      </w:r>
      <w:r w:rsidR="00277D5C" w:rsidRPr="0040390C">
        <w:t>Não houve efeitos adversos documentados durante a primeira sessão de infusão de cetamina e a</w:t>
      </w:r>
      <w:r w:rsidRPr="0040390C">
        <w:t xml:space="preserve"> paciente relatou significativa melhora no humor</w:t>
      </w:r>
      <w:r w:rsidR="00355D74" w:rsidRPr="0040390C">
        <w:t>,</w:t>
      </w:r>
      <w:r w:rsidRPr="0040390C">
        <w:t xml:space="preserve"> na percepção de dor</w:t>
      </w:r>
      <w:r w:rsidR="00355D74" w:rsidRPr="0040390C">
        <w:t xml:space="preserve"> e ideação suicida</w:t>
      </w:r>
      <w:r w:rsidRPr="0040390C">
        <w:t xml:space="preserve"> imediatamente após o procediment</w:t>
      </w:r>
      <w:r w:rsidR="00277D5C" w:rsidRPr="0040390C">
        <w:t>o</w:t>
      </w:r>
      <w:r w:rsidR="00D2590D" w:rsidRPr="0040390C">
        <w:t>. A partir da melhora</w:t>
      </w:r>
      <w:r w:rsidR="00355D74" w:rsidRPr="0040390C">
        <w:t xml:space="preserve"> dos sintomas</w:t>
      </w:r>
      <w:r w:rsidR="00D2590D" w:rsidRPr="0040390C">
        <w:t>,</w:t>
      </w:r>
      <w:r w:rsidR="00355D74" w:rsidRPr="0040390C">
        <w:t xml:space="preserve"> foi possível</w:t>
      </w:r>
      <w:r w:rsidR="00D2590D" w:rsidRPr="0040390C">
        <w:t xml:space="preserve"> reali</w:t>
      </w:r>
      <w:r w:rsidR="00355D74" w:rsidRPr="0040390C">
        <w:t>zar</w:t>
      </w:r>
      <w:r w:rsidR="00D2590D" w:rsidRPr="0040390C">
        <w:t xml:space="preserve"> a diminuição da dosagem de morfina oral. </w:t>
      </w:r>
      <w:r w:rsidR="00277D5C" w:rsidRPr="0040390C">
        <w:t>Por sua vez, durante a segunda sessão de</w:t>
      </w:r>
      <w:r w:rsidR="005970FC" w:rsidRPr="0040390C">
        <w:t xml:space="preserve"> infusão de</w:t>
      </w:r>
      <w:r w:rsidR="00277D5C" w:rsidRPr="0040390C">
        <w:t xml:space="preserve"> cetamina, apresentou </w:t>
      </w:r>
      <w:r w:rsidR="005970FC" w:rsidRPr="0040390C">
        <w:t xml:space="preserve">sintomas transitórios de </w:t>
      </w:r>
      <w:r w:rsidR="00277D5C" w:rsidRPr="0040390C">
        <w:t xml:space="preserve">náuseas, </w:t>
      </w:r>
      <w:r w:rsidR="005970FC" w:rsidRPr="0040390C">
        <w:t>sintomas dissociativos, dispneia e ataque de pânico, descrevendo como uma das piores sensações de sua vida. A melhora no humor e</w:t>
      </w:r>
      <w:r w:rsidR="007359E8" w:rsidRPr="0040390C">
        <w:t xml:space="preserve"> na</w:t>
      </w:r>
      <w:r w:rsidR="005970FC" w:rsidRPr="0040390C">
        <w:t xml:space="preserve"> percepção da dor persistiram</w:t>
      </w:r>
      <w:r w:rsidR="007359E8" w:rsidRPr="0040390C">
        <w:t xml:space="preserve"> após a segunda infusão de cetamina</w:t>
      </w:r>
      <w:r w:rsidR="00D2590D" w:rsidRPr="0040390C">
        <w:t xml:space="preserve"> e foi possível continuar a diminuição da dosagem de morfina oral </w:t>
      </w:r>
      <w:r w:rsidR="00355D74" w:rsidRPr="0040390C">
        <w:t xml:space="preserve">para 600 mg/dia </w:t>
      </w:r>
      <w:r w:rsidR="00D2590D" w:rsidRPr="0040390C">
        <w:t>e a diminuição da dosagem de morfina intratecal para 800 mg/dia.</w:t>
      </w:r>
      <w:r w:rsidR="007359E8" w:rsidRPr="0040390C">
        <w:t xml:space="preserve"> Durante a terceira sessão de infusão de cetamina foi observado os mesmos efeitos adversos relatados anteriormente, apesar de documentada a melhora persistente do humor e percepção da dor com o procedimento.</w:t>
      </w:r>
      <w:r w:rsidR="00355D74" w:rsidRPr="0040390C">
        <w:t xml:space="preserve"> Foi documentado</w:t>
      </w:r>
      <w:r w:rsidR="0080669C" w:rsidRPr="0040390C">
        <w:t xml:space="preserve"> o efeito antidepressivo e analgésico da cetamina pel</w:t>
      </w:r>
      <w:r w:rsidR="00355D74" w:rsidRPr="0040390C">
        <w:t xml:space="preserve">a diminuição dos sintomas depressivos </w:t>
      </w:r>
      <w:r w:rsidR="00363FA7" w:rsidRPr="0040390C">
        <w:t>com</w:t>
      </w:r>
      <w:r w:rsidR="00355D74" w:rsidRPr="0040390C">
        <w:t xml:space="preserve"> escore HAM-D de 14 (redução de 65% do valor antes do tratamento) e na percepção da dor através da EVA de 4 (redução de 55%</w:t>
      </w:r>
      <w:r w:rsidR="0080669C" w:rsidRPr="0040390C">
        <w:t xml:space="preserve"> do valor antes do tratamento)</w:t>
      </w:r>
      <w:r w:rsidR="00355D74" w:rsidRPr="0040390C">
        <w:t xml:space="preserve"> durante o tratamento</w:t>
      </w:r>
      <w:r w:rsidR="0080669C" w:rsidRPr="0040390C">
        <w:t>.</w:t>
      </w:r>
    </w:p>
    <w:p w14:paraId="4C40B7DB" w14:textId="5F59537B" w:rsidR="007359E8" w:rsidRPr="0040390C" w:rsidRDefault="0080669C" w:rsidP="00DC56C6">
      <w:pPr>
        <w:spacing w:line="360" w:lineRule="auto"/>
        <w:jc w:val="both"/>
      </w:pPr>
      <w:r w:rsidRPr="0040390C">
        <w:t>Contudo</w:t>
      </w:r>
      <w:r w:rsidR="00D2590D" w:rsidRPr="0040390C">
        <w:t xml:space="preserve">, a paciente abandonou o tratamento proposto </w:t>
      </w:r>
      <w:r w:rsidR="00363FA7" w:rsidRPr="0040390C">
        <w:t>de</w:t>
      </w:r>
      <w:r w:rsidR="00D2590D" w:rsidRPr="0040390C">
        <w:t xml:space="preserve"> infusões semanais de cetamina</w:t>
      </w:r>
      <w:r w:rsidRPr="0040390C">
        <w:t xml:space="preserve"> devido </w:t>
      </w:r>
      <w:r w:rsidR="00363FA7" w:rsidRPr="0040390C">
        <w:t>a</w:t>
      </w:r>
      <w:r w:rsidRPr="0040390C">
        <w:t>os efeitos adversos significativos</w:t>
      </w:r>
      <w:r w:rsidR="00D2590D" w:rsidRPr="0040390C">
        <w:t>, apesar do efeito analgésico e antidepressivo documentado. Retornou em consulta duas semanas após a terceira sessão de cetamina</w:t>
      </w:r>
      <w:r w:rsidRPr="0040390C">
        <w:t xml:space="preserve"> com queixa de retorno progressivo da dor e </w:t>
      </w:r>
      <w:r w:rsidR="00363FA7" w:rsidRPr="0040390C">
        <w:t>piora do humor</w:t>
      </w:r>
      <w:r w:rsidRPr="0040390C">
        <w:t xml:space="preserve"> </w:t>
      </w:r>
      <w:r w:rsidR="00363FA7" w:rsidRPr="0040390C">
        <w:t>com</w:t>
      </w:r>
      <w:r w:rsidRPr="0040390C">
        <w:t xml:space="preserve"> necessidade de reajuste da dosagem de morfina para as conformações iniciais antes da infusão de </w:t>
      </w:r>
      <w:r w:rsidR="00E71695" w:rsidRPr="0040390C">
        <w:t>cetamina e permanece em acompanhamento regular até o momento da pesquisa.</w:t>
      </w:r>
    </w:p>
    <w:p w14:paraId="0A51F161" w14:textId="7CAD4733" w:rsidR="00601E94" w:rsidRPr="0040390C" w:rsidRDefault="00601E94" w:rsidP="0040390C">
      <w:pPr>
        <w:spacing w:line="360" w:lineRule="auto"/>
      </w:pPr>
    </w:p>
    <w:p w14:paraId="1E91604C" w14:textId="08CD40F4" w:rsidR="00E71695" w:rsidRPr="0040390C" w:rsidRDefault="00E71695" w:rsidP="0040390C">
      <w:pPr>
        <w:spacing w:line="360" w:lineRule="auto"/>
        <w:rPr>
          <w:b/>
          <w:bCs/>
          <w:lang w:eastAsia="en-US"/>
        </w:rPr>
      </w:pPr>
      <w:r w:rsidRPr="0040390C">
        <w:rPr>
          <w:b/>
          <w:bCs/>
        </w:rPr>
        <w:lastRenderedPageBreak/>
        <w:t>Discussão</w:t>
      </w:r>
    </w:p>
    <w:p w14:paraId="04A5D089" w14:textId="77777777" w:rsidR="00601E94" w:rsidRPr="0040390C" w:rsidRDefault="00601E94" w:rsidP="0040390C">
      <w:pPr>
        <w:spacing w:line="360" w:lineRule="auto"/>
        <w:jc w:val="both"/>
        <w:rPr>
          <w:lang w:eastAsia="en-US"/>
        </w:rPr>
      </w:pPr>
    </w:p>
    <w:p w14:paraId="65D91CC3" w14:textId="77777777" w:rsidR="00CC5AF3" w:rsidRPr="0040390C" w:rsidRDefault="00CC5AF3" w:rsidP="00DC56C6">
      <w:pPr>
        <w:spacing w:line="360" w:lineRule="auto"/>
        <w:jc w:val="both"/>
      </w:pPr>
      <w:r w:rsidRPr="0040390C">
        <w:t>Nós descrevemos um caso de paciente com histórico de cistite intersticial em tratamento crônico para dor refratária a terapia convencional e depressão. A pesquisa foi realizada seguindo as normas de ética em pesquisa com seres humanos conforme preconizado pelas diretrizes da Resolução 466/12 e complementares. Teve início perante a assinatura do Termo de Consentimento Livre e Esclarecido (TCLE), submetido e aprovado pelo Comitê de Ética em Pesquisa (CEP) da Pontifícia Universidade Católica de Goiás (PUC-GOIÁS).</w:t>
      </w:r>
    </w:p>
    <w:p w14:paraId="55314F03" w14:textId="24DF6DE1" w:rsidR="00CC5AF3" w:rsidRPr="002E3E28" w:rsidRDefault="00CC5AF3" w:rsidP="00DC56C6">
      <w:pPr>
        <w:spacing w:line="360" w:lineRule="auto"/>
        <w:jc w:val="both"/>
        <w:rPr>
          <w:vertAlign w:val="superscript"/>
        </w:rPr>
      </w:pPr>
      <w:r w:rsidRPr="0040390C">
        <w:t>A cistite intersticial ou síndrome da bexiga dolorosa é uma doença crônica incomum caracterizada principalmente por dor pélvica e sintomas urinários com ou sem causa identificada. Está frequentemente associada e confundida com outros distúrbios pélvicos e possui alto impacto na qualidade de vida dos pacientes.</w:t>
      </w:r>
      <w:r w:rsidR="00FB4598" w:rsidRPr="00CE5069">
        <w:rPr>
          <w:vertAlign w:val="superscript"/>
        </w:rPr>
        <w:fldChar w:fldCharType="begin" w:fldLock="1"/>
      </w:r>
      <w:r w:rsidR="00CE5069" w:rsidRPr="00CE5069">
        <w:rPr>
          <w:vertAlign w:val="superscript"/>
        </w:rPr>
        <w:instrText>ADDIN CSL_CITATION {"citationItems":[{"id":"ITEM-1","itemData":{"DOI":"10.1016/b978-032304601-5.50007-1","author":[{"dropping-particle":"","family":"Oyelowo","given":"Tolu","non-dropping-particle":"","parse-names":false,"suffix":""}],"container-title":"Mosby's Guide to Women's Health","id":"ITEM-1","issued":{"date-parts":[["2007"]]},"page":"36-37","title":"Bladder Pain Syndrome (Interstitial Cystitis)","type":"article-journal"},"uris":["http://www.mendeley.com/documents/?uuid=b4ef41f5-84b2-4f25-9f7e-cab685538844"]}],"mendeley":{"formattedCitation":"(9)","plainTextFormattedCitation":"(9)","previouslyFormattedCitation":"(9)"},"properties":{"noteIndex":0},"schema":"https://github.com/citation-style-language/schema/raw/master/csl-citation.json"}</w:instrText>
      </w:r>
      <w:r w:rsidR="00FB4598" w:rsidRPr="00CE5069">
        <w:rPr>
          <w:vertAlign w:val="superscript"/>
        </w:rPr>
        <w:fldChar w:fldCharType="separate"/>
      </w:r>
      <w:r w:rsidR="00CE5069" w:rsidRPr="00CE5069">
        <w:rPr>
          <w:noProof/>
          <w:vertAlign w:val="superscript"/>
        </w:rPr>
        <w:t>(9)</w:t>
      </w:r>
      <w:r w:rsidR="00FB4598" w:rsidRPr="00CE5069">
        <w:rPr>
          <w:vertAlign w:val="superscript"/>
        </w:rPr>
        <w:fldChar w:fldCharType="end"/>
      </w:r>
      <w:r w:rsidRPr="0040390C">
        <w:t xml:space="preserve"> A fisiopatologia não é completamente esclarecida e envolve a desregulação sensorial da bexiga associada à anormalidade na camada de células uroteliais apicais que atuam regulando a passagem de cátions na bexiga. De tal forma, é marcada pela perda de mucina e de fatores protetores uroteliais, que determinam a penetração de potássio e outras substâncias lesivas na bexiga. A idade média de apresentação dos sintomas é aos 30 anos, e a sua apresentação e severidade podem ser variáveis. Devido a sua natureza crônica, os pacientes tipicamente evoluem com piora dos sintomas e do prognóstico, podendo ser incapacitante. Em conjunto com o tratamento urológico especializado, a abordagem da cistite intersticial envolve o tratamento precoce da dor para uma melhora da qualidade de vida dos pacientes.</w:t>
      </w:r>
      <w:r w:rsidR="00FB4598" w:rsidRPr="00CE5069">
        <w:rPr>
          <w:vertAlign w:val="superscript"/>
        </w:rPr>
        <w:fldChar w:fldCharType="begin" w:fldLock="1"/>
      </w:r>
      <w:r w:rsidR="00CE5069" w:rsidRPr="00CE5069">
        <w:rPr>
          <w:vertAlign w:val="superscript"/>
        </w:rPr>
        <w:instrText>ADDIN CSL_CITATION {"citationItems":[{"id":"ITEM-1","itemData":{"DOI":"10.1016/j.ogc.2014.05.004","ISSN":"15580474","PMID":"25155120","abstract":"Interstitial cystitis, or painful bladder syndrome, can present with lower abdominal pain/discomfort and dyspareunia, and pain in any distribution of lower spinal nerves. Patients with this condition experience some additional symptoms referable to the bladder, such as frequency, urgency, or nocturia. It can occur across all age groups, although the specific additional symptoms can vary in prevalence depending on patient age. It should be considered in patients who have other chronic pain conditions such as fibromyalgia, chronic fatigue, irritable bowel, and vulvodynia. The cause is still largely not understood, although there are several postulated mechanisms. © 2014 Elsevier Inc.","author":[{"dropping-particle":"","family":"McLennan","given":"Mary T.","non-dropping-particle":"","parse-names":false,"suffix":""}],"container-title":"Obstetrics and Gynecology Clinics of North America","id":"ITEM-1","issue":"3","issued":{"date-parts":[["2014"]]},"page":"385-395","publisher":"Elsevier Inc","title":"Interstitial cystitis: Epidemiology, pathophysiology, and clinical presentation","type":"article-journal","volume":"41"},"uris":["http://www.mendeley.com/documents/?uuid=cdcdd638-1557-4365-8661-1e315430dafe"]}],"mendeley":{"formattedCitation":"(10)","plainTextFormattedCitation":"(10)","previouslyFormattedCitation":"(10)"},"properties":{"noteIndex":0},"schema":"https://github.com/citation-style-language/schema/raw/master/csl-citation.json"}</w:instrText>
      </w:r>
      <w:r w:rsidR="00FB4598" w:rsidRPr="00CE5069">
        <w:rPr>
          <w:vertAlign w:val="superscript"/>
        </w:rPr>
        <w:fldChar w:fldCharType="separate"/>
      </w:r>
      <w:r w:rsidR="00CE5069" w:rsidRPr="00CE5069">
        <w:rPr>
          <w:noProof/>
          <w:vertAlign w:val="superscript"/>
        </w:rPr>
        <w:t>(10)</w:t>
      </w:r>
      <w:r w:rsidR="00FB4598" w:rsidRPr="00CE5069">
        <w:rPr>
          <w:vertAlign w:val="superscript"/>
        </w:rPr>
        <w:fldChar w:fldCharType="end"/>
      </w:r>
    </w:p>
    <w:p w14:paraId="5FB10EB0" w14:textId="730A004A" w:rsidR="00CC5AF3" w:rsidRPr="002E3E28" w:rsidRDefault="00CC5AF3" w:rsidP="00DC56C6">
      <w:pPr>
        <w:spacing w:line="360" w:lineRule="auto"/>
        <w:jc w:val="both"/>
        <w:rPr>
          <w:vertAlign w:val="superscript"/>
        </w:rPr>
      </w:pPr>
      <w:r w:rsidRPr="0040390C">
        <w:t>Em correlação com o caso exposto, o tratamento farmacológico da dor deve ser especializado e envolve antidepressivos, antiepiléticos, analgésicos e opióides. Contudo, apenas cerca de 30-40%, dos pacientes com dor crônica em geral apresentam uma melhora adequada com o tratamento farmacológico</w:t>
      </w:r>
      <w:r w:rsidRPr="00B50ABD">
        <w:rPr>
          <w:vertAlign w:val="superscript"/>
        </w:rPr>
        <w:t>.</w:t>
      </w:r>
      <w:r w:rsidR="00B23EAE" w:rsidRPr="00B50ABD">
        <w:rPr>
          <w:vertAlign w:val="superscript"/>
        </w:rPr>
        <w:fldChar w:fldCharType="begin" w:fldLock="1"/>
      </w:r>
      <w:r w:rsidR="00CE5069" w:rsidRPr="00B50ABD">
        <w:rPr>
          <w:vertAlign w:val="superscript"/>
        </w:rPr>
        <w:instrText>ADDIN CSL_CITATION {"citationItems":[{"id":"ITEM-1","itemData":{"DOI":"10.1111/bcp.12094","ISSN":"03065251","PMID":"23432384","abstract":"The anaesthetic ketamine is used to treat various chronic pain syndromes, especially those that have a neuropathic component. Low dose ketamine produces strong analgesia in neuropathic pain states, presumably by inhibition of the N-methyl-D-aspartate receptor although other mechanisms are possibly involved, including enhancement of descending inhibition and anti-inflammatory effects at central sites. Current data on short term infusions indicate that ketamine produces potent analgesia during administration only, while three studies on the effect of prolonged infusion (4-14 days) show long-term analgesic effects up to 3 months following infusion. The side effects of ketamine noted in clinical studies include psychedelic symptoms (hallucinations, memory defects, panic attacks), nausea/vomiting, somnolence, cardiovascular stimulation and, in a minority of patients, hepatoxicity. The recreational use of ketamine is increasing and comes with a variety of additional risks ranging from bladder and renal complications to persistent psychotypical behaviour and memory defects. Blind extrapolation of these risks to clinical patients is difficult because of the variable, high and recurrent exposure to the drug in ketamine abusers and the high frequency of abuse of other illicit substances in this population. In clinical settings, ketamine is well tolerated, especially when benzodiazepines are used to tame the psychotropic side effects. Irrespective, close monitoring of patients receiving ketamine is mandatory, particularly aimed at CNS, haemodynamic, renal and hepatic symptoms as well as abuse. Further research is required to assess whether the benefits outweigh the risks and costs. Until definite proof is obtained ketamine administration should be restricted to patients with therapy-resistant severe neuropathic pain. © 2013 The Authors. British Journal of Clinical Pharmacology © 2013 The British Pharmacological Society.","author":[{"dropping-particle":"","family":"Niesters","given":"Marieke","non-dropping-particle":"","parse-names":false,"suffix":""},{"dropping-particle":"","family":"Martini","given":"Christian","non-dropping-particle":"","parse-names":false,"suffix":""},{"dropping-particle":"","family":"Dahan","given":"Albert","non-dropping-particle":"","parse-names":false,"suffix":""}],"container-title":"British Journal of Clinical Pharmacology","id":"ITEM-1","issue":"2","issued":{"date-parts":[["2014"]]},"page":"357-367","title":"Ketamine for chronic pain: Risks and benefits","type":"article-journal","volume":"77"},"uris":["http://www.mendeley.com/documents/?uuid=9caaacd8-2e03-483a-9cd5-18f45cae30db"]},{"id":"ITEM-2","itemData":{"DOI":"10.4065/mcp.2009.0649","ISSN":"00256196","PMID":"20194146","abstract":"The Neuropathic Pain Special Interest Group of the International Association for the Study of Pain recently sponsored the development of evidence-based guidelines for the pharmacological treatment of neuropathic pain. Tricyclic antidepressants, dual reuptake inhibitors of serotonin and norepinephrine, calcium channel α2-δ ligands (ie, gabapentin and pregabalin), and topical lidocaine were recommended as first-line treatment options on the basis of the results of randomized clinical trials. Opioid analgesics and tramadol were recommended as second-line treatments that can be considered for first-line use in certain clinical circumstances. Results of several recent clinical trials have become available since the development of these guidelines. These studies have examined botulinum toxin, high-concentration capsaicin patch, lacosamide, selective serotonin reuptake inhibitors, and combination therapies in various neuropathic pain conditions. The increasing number of negative clinical trials of pharmacological treatments for neuropathic pain and ambiguities in the interpretation of these negative trials must also be considered in developing treatment guidelines. The objectives of the current article are to review the Neuropathic Pain Special Interest Group guidelines for the pharmacological management of neuropathic pain and to provide a brief overview of these recent studies. © 2010 Mayo Foundation for Medical Education and Research.","author":[{"dropping-particle":"","family":"Dworkin","given":"Robert H.","non-dropping-particle":"","parse-names":false,"suffix":""},{"dropping-particle":"","family":"O'Connor","given":"Alec B.","non-dropping-particle":"","parse-names":false,"suffix":""},{"dropping-particle":"","family":"Audette","given":"Joseph","non-dropping-particle":"","parse-names":false,"suffix":""},{"dropping-particle":"","family":"Baron","given":"Ralf","non-dropping-particle":"","parse-names":false,"suffix":""},{"dropping-particle":"","family":"Gourlay","given":"Geoffrey K.","non-dropping-particle":"","parse-names":false,"suffix":""},{"dropping-particle":"","family":"Haanpää","given":"Maija L.","non-dropping-particle":"","parse-names":false,"suffix":""},{"dropping-particle":"","family":"Kent","given":"Joel L.","non-dropping-particle":"","parse-names":false,"suffix":""},{"dropping-particle":"","family":"Krane","given":"Elliot J.","non-dropping-particle":"","parse-names":false,"suffix":""},{"dropping-particle":"","family":"LeBel","given":"Alyssa A.","non-dropping-particle":"","parse-names":false,"suffix":""},{"dropping-particle":"","family":"Levy","given":"Robert M.","non-dropping-particle":"","parse-names":false,"suffix":""},{"dropping-particle":"","family":"Mackey","given":"Sean C.","non-dropping-particle":"","parse-names":false,"suffix":""},{"dropping-particle":"","family":"Mayer","given":"John","non-dropping-particle":"","parse-names":false,"suffix":""},{"dropping-particle":"","family":"Miaskowski","given":"Christine","non-dropping-particle":"","parse-names":false,"suffix":""},{"dropping-particle":"","family":"Raja","given":"Srinivasa N.","non-dropping-particle":"","parse-names":false,"suffix":""},{"dropping-particle":"","family":"Rice","given":"Andrew S.C.","non-dropping-particle":"","parse-names":false,"suffix":""},{"dropping-particle":"","family":"Schmader","given":"Kenneth E.","non-dropping-particle":"","parse-names":false,"suffix":""},{"dropping-particle":"","family":"Stacey","given":"Brett","non-dropping-particle":"","parse-names":false,"suffix":""},{"dropping-particle":"","family":"Stanos","given":"Steven","non-dropping-particle":"","parse-names":false,"suffix":""},{"dropping-particle":"","family":"Treede","given":"Rolf Detlef","non-dropping-particle":"","parse-names":false,"suffix":""},{"dropping-particle":"","family":"Turk","given":"Dennis C.","non-dropping-particle":"","parse-names":false,"suffix":""},{"dropping-particle":"","family":"Walco","given":"Gary A.","non-dropping-particle":"","parse-names":false,"suffix":""},{"dropping-particle":"","family":"Wells","given":"Christopher D.","non-dropping-particle":"","parse-names":false,"suffix":""}],"container-title":"Mayo Clinic Proceedings","id":"ITEM-2","issue":"3 SUPPL.","issued":{"date-parts":[["2010"]]},"page":"S3-S14","publisher":"Mayo Foundation for Medical Education and Research","title":"Recommendations for the pharmacological management of neuropathic pain: An overview and literature update","type":"article-journal","volume":"85"},"uris":["http://www.mendeley.com/documents/?uuid=e51beb16-e261-4d5c-823a-d1844efa5ef2"]},{"id":"ITEM-3","itemData":{"DOI":"10.1016/j.pain.2005.08.013","ISSN":"03043959","PMID":"16213659","abstract":"New studies of the treatment of neuropathic pain have increased the need for an updated review of randomized, double-blind, placebo-controlled trials to support an evidence based algorithm to treat neuropathic pain conditions. Available studies were identified using a MEDLINE and EMBASE search. One hundred and five studies were included. Numbers needed to treat (NNT) and numbers needed to harm (NNH) were used to compare efficacy and safety of the treatments in different neuropathic pain syndromes. The quality of each trial was assessed. Tricyclic antidepressants and the anticonvulsants gabapentin and pregabalin were the most frequently studied drug classes. In peripheral neuropathic pain, the lowest NNT was for tricyclic antidepressants, followed by opioids and the anticonvulsants gabapentin and pregabalin. For central neuropathic pain there is limited data. NNT and NNH are currently the best way to assess relative efficacy and safety, but the need for dichotomous data, which may have to be estimated retrospectively for old trials, and the methodological complexity of pooling data from small cross-over and large parallel group trials, remain as limitations. © 2005 International Association for the Study of Pain. Published by Elsevier B.V. All rights reserved.","author":[{"dropping-particle":"","family":"Finnerup","given":"N. B.","non-dropping-particle":"","parse-names":false,"suffix":""},{"dropping-particle":"","family":"Otto","given":"M.","non-dropping-particle":"","parse-names":false,"suffix":""},{"dropping-particle":"","family":"McQuay","given":"H. J.","non-dropping-particle":"","parse-names":false,"suffix":""},{"dropping-particle":"","family":"Jensen","given":"T. S.","non-dropping-particle":"","parse-names":false,"suffix":""},{"dropping-particle":"","family":"Sindrup","given":"S. H.","non-dropping-particle":"","parse-names":false,"suffix":""}],"container-title":"Pain","id":"ITEM-3","issue":"3","issued":{"date-parts":[["2005"]]},"page":"289-305","title":"Algorithm for neuropathic pain treatment: An evidence based proposal","type":"article-journal","volume":"118"},"uris":["http://www.mendeley.com/documents/?uuid=33523bb1-3609-4258-ab08-970af0232443"]}],"mendeley":{"formattedCitation":"(11–13)","plainTextFormattedCitation":"(11–13)","previouslyFormattedCitation":"(11–13)"},"properties":{"noteIndex":0},"schema":"https://github.com/citation-style-language/schema/raw/master/csl-citation.json"}</w:instrText>
      </w:r>
      <w:r w:rsidR="00B23EAE" w:rsidRPr="00B50ABD">
        <w:rPr>
          <w:vertAlign w:val="superscript"/>
        </w:rPr>
        <w:fldChar w:fldCharType="separate"/>
      </w:r>
      <w:r w:rsidR="00CE5069" w:rsidRPr="00B50ABD">
        <w:rPr>
          <w:noProof/>
          <w:vertAlign w:val="superscript"/>
        </w:rPr>
        <w:t>(11–13)</w:t>
      </w:r>
      <w:r w:rsidR="00B23EAE" w:rsidRPr="00B50ABD">
        <w:rPr>
          <w:vertAlign w:val="superscript"/>
        </w:rPr>
        <w:fldChar w:fldCharType="end"/>
      </w:r>
      <w:r w:rsidRPr="0040390C">
        <w:t xml:space="preserve"> Paralelamente, a dor crônica e o distúrbio depressivo maior estão usualmente interligados e podem exacerbar as condições físicas e psicológicas, intensificando os sintomas e diminuindo o limiar da dor.</w:t>
      </w:r>
      <w:r w:rsidR="00FB4598" w:rsidRPr="002E3E28">
        <w:rPr>
          <w:vertAlign w:val="superscript"/>
        </w:rPr>
        <w:fldChar w:fldCharType="begin" w:fldLock="1"/>
      </w:r>
      <w:r w:rsidR="00CE5069">
        <w:rPr>
          <w:vertAlign w:val="superscript"/>
        </w:rPr>
        <w:instrText>ADDIN CSL_CITATION {"citationItems":[{"id":"ITEM-1","itemData":{"DOI":"10.1097/HRP.0000000000000198","ISBN":"0000000000000","ISSN":"14657309","PMID":"30407234","abstract":"Background Pain comorbid with depression is frequently encountered in clinical settings and often leads to significant impaired functioning. Given the complexity of comorbidities, it is important to address both pain and depressive symptoms when evaluating treatment options. Aim To review studies addressing pain comorbid with depression, and to report the impact of current treatments. Method A systematic search of the literature databases was conducted according to predefined criteria. Two authors independently conducted a focused analysis of the full-text articles and reached a consensus on 28 articles to be included in this review. Results Overall, studies suggested that pain and depression are highly intertwined and may co-exacerbate physical and psychological symptoms. These symptoms could lead to poor physical functional outcomes and longer duration of symptoms. An important biochemical basis for pain and depression focuses on serotonergic and norepinephrine systems, which is evident in the pain-ameliorating properties of serotonergic and norepinephrine antidepressants. Alternative pharmacotherapies such as ketamine and cannabinoids appear to be safe and effective options for improving depressive symptoms and ameliorating pain. In addition, cognitive-behavioral therapy may be a promising tool in the management of chronic pain and depression. Conclusion The majority of the literature indicates that patients with pain and depression experience reduced physical, mental, and social functioning as opposed to patients with only depression or only pain. In addition, ketamine, psychotropic, and cognitive-behavioral therapies present promising options for treating both pain and depression.","author":[{"dropping-particle":"","family":"IsHak","given":"Waguih William","non-dropping-particle":"","parse-names":false,"suffix":""},{"dropping-particle":"","family":"Wen","given":"Raymond Y.","non-dropping-particle":"","parse-names":false,"suffix":""},{"dropping-particle":"","family":"Naghdechi","given":"Lancer","non-dropping-particle":"","parse-names":false,"suffix":""},{"dropping-particle":"","family":"Vanle","given":"Brigitte","non-dropping-particle":"","parse-names":false,"suffix":""},{"dropping-particle":"","family":"Dang","given":"Jonathan","non-dropping-particle":"","parse-names":false,"suffix":""},{"dropping-particle":"","family":"Knosp","given":"Michelle","non-dropping-particle":"","parse-names":false,"suffix":""},{"dropping-particle":"","family":"Dascal","given":"Julieta","non-dropping-particle":"","parse-names":false,"suffix":""},{"dropping-particle":"","family":"Marcia","given":"Lobsang","non-dropping-particle":"","parse-names":false,"suffix":""},{"dropping-particle":"","family":"Gohar","given":"Yasmine","non-dropping-particle":"","parse-names":false,"suffix":""},{"dropping-particle":"","family":"Eskander","given":"Lidia","non-dropping-particle":"","parse-names":false,"suffix":""},{"dropping-particle":"","family":"Yadegar","given":"Justin","non-dropping-particle":"","parse-names":false,"suffix":""},{"dropping-particle":"","family":"Hanna","given":"Sophia","non-dropping-particle":"","parse-names":false,"suffix":""},{"dropping-particle":"","family":"Sadek","given":"Antonious","non-dropping-particle":"","parse-names":false,"suffix":""},{"dropping-particle":"","family":"Aguilar-Hernandez","given":"Leslie","non-dropping-particle":"","parse-names":false,"suffix":""},{"dropping-particle":"","family":"Danovitch","given":"Itai","non-dropping-particle":"","parse-names":false,"suffix":""},{"dropping-particle":"","family":"Louy","given":"Charles","non-dropping-particle":"","parse-names":false,"suffix":""}],"container-title":"Harvard Review of Psychiatry","id":"ITEM-1","issue":"6","issued":{"date-parts":[["2018"]]},"page":"352-363","title":"Pain and Depression: A Systematic Review","type":"article-journal","volume":"26"},"uris":["http://www.mendeley.com/documents/?uuid=cc7e7b0a-3d56-42a9-8bab-7db08db80001"]}],"mendeley":{"formattedCitation":"(3)","plainTextFormattedCitation":"(3)","previouslyFormattedCitation":"(3)"},"properties":{"noteIndex":0},"schema":"https://github.com/citation-style-language/schema/raw/master/csl-citation.json"}</w:instrText>
      </w:r>
      <w:r w:rsidR="00FB4598" w:rsidRPr="002E3E28">
        <w:rPr>
          <w:vertAlign w:val="superscript"/>
        </w:rPr>
        <w:fldChar w:fldCharType="separate"/>
      </w:r>
      <w:r w:rsidR="00A82A58" w:rsidRPr="002E3E28">
        <w:rPr>
          <w:noProof/>
          <w:vertAlign w:val="superscript"/>
        </w:rPr>
        <w:t>(3)</w:t>
      </w:r>
      <w:r w:rsidR="00FB4598" w:rsidRPr="002E3E28">
        <w:rPr>
          <w:vertAlign w:val="superscript"/>
        </w:rPr>
        <w:fldChar w:fldCharType="end"/>
      </w:r>
      <w:r w:rsidRPr="0040390C">
        <w:t xml:space="preserve"> Considerando a complexidade dessa comorbidade, o tratamento é prolongado e abordagem difícil. Por sua vez, diversos estudos demonstram efeitos benéficos e promissores da infusão da cetamina intravenosa para o tratamento de dor crônica e depressão. A cetamina é uma droga segura, utilizada desde a década de 1960 e, atualmente, uma alternativa para o tratamento dessas comorbidades devido suas propriedades analgésicas e </w:t>
      </w:r>
      <w:r w:rsidR="00B23EAE" w:rsidRPr="0040390C">
        <w:t>anestésicas.</w:t>
      </w:r>
      <w:r w:rsidR="00B23EAE" w:rsidRPr="00CE5069">
        <w:rPr>
          <w:vertAlign w:val="superscript"/>
        </w:rPr>
        <w:fldChar w:fldCharType="begin" w:fldLock="1"/>
      </w:r>
      <w:r w:rsidR="00CE5069" w:rsidRPr="00CE5069">
        <w:rPr>
          <w:vertAlign w:val="superscript"/>
        </w:rPr>
        <w:instrText>ADDIN CSL_CITATION {"citationItems":[{"id":"ITEM-1","itemData":{"DOI":"10.1007/s40262-016-0383-6","ISSN":"11791926","PMID":"27028535","abstract":"Ketamine is a phencyclidine derivative, which functions primarily as an antagonist of the N-methyl-d-aspartate receptor. It has no affinity for gamma-aminobutyric acid receptors in the central nervous system. Ketamine shows a chiral structure consisting of two optical isomers. It undergoes oxidative metabolism, mainly to norketamine by cytochrome P450 (CYP) 3A and CYP2B6 enzymes. The use of S-ketamine is increasing worldwide, since the S(+)-enantiomer has been postulated to be a four times more potent anesthetic and analgesic than the R(−)-enantiomer and approximately two times more effective than the racemic mixture of ketamine. Because of extensive first-pass metabolism, oral bioavailability is poor and ketamine is vulnerable to pharmacokinetic drug interactions. Sublingual and nasal formulations of ketamine are being developed, and especially nasal administration produces rapid maximum plasma ketamine concentrations with relatively high bioavailability. Ketamine produces hemodynamically stable anesthesia via central sympathetic stimulation without affecting respiratory function. Animal studies have shown that ketamine has neuroprotective properties, and there is no evidence of elevated intracranial pressure after ketamine dosing in humans. Low-dose perioperative ketamine may reduce opioid consumption and chronic postsurgical pain after specific surgical procedures. However, long-term analgesic effects of ketamine in chronic pain patients have not been demonstrated. Besides analgesic properties, ketamine has rapid-acting antidepressant effects, which may be useful in treating therapy-resistant depressive patients. Well-known psychotomimetic and cognitive adverse effects restrict the clinical usefulness of ketamine, even though fewer psychomimetic adverse effects have been reported with S-ketamine in comparison with the racemate. Safety issues in long-term use are yet to be resolved.","author":[{"dropping-particle":"","family":"Peltoniemi","given":"Marko A.","non-dropping-particle":"","parse-names":false,"suffix":""},{"dropping-particle":"","family":"Hagelberg","given":"Nora M.","non-dropping-particle":"","parse-names":false,"suffix":""},{"dropping-particle":"","family":"Olkkola","given":"Klaus T.","non-dropping-particle":"","parse-names":false,"suffix":""},{"dropping-particle":"","family":"Saari","given":"Teijo I.","non-dropping-particle":"","parse-names":false,"suffix":""}],"container-title":"Clinical Pharmacokinetics","id":"ITEM-1","issue":"9","issued":{"date-parts":[["2016"]]},"page":"1059-1077","publisher":"Springer International Publishing","title":"Ketamine: A Review of Clinical Pharmacokinetics and Pharmacodynamics in Anesthesia and Pain Therapy","type":"article-journal","volume":"55"},"uris":["http://www.mendeley.com/documents/?uuid=32f91191-4889-4e57-afb3-f3518e64cf14"]}],"mendeley":{"formattedCitation":"(14)","plainTextFormattedCitation":"(14)","previouslyFormattedCitation":"(14)"},"properties":{"noteIndex":0},"schema":"https://github.com/citation-style-language/schema/raw/master/csl-citation.json"}</w:instrText>
      </w:r>
      <w:r w:rsidR="00B23EAE" w:rsidRPr="00CE5069">
        <w:rPr>
          <w:vertAlign w:val="superscript"/>
        </w:rPr>
        <w:fldChar w:fldCharType="separate"/>
      </w:r>
      <w:r w:rsidR="00CE5069" w:rsidRPr="00CE5069">
        <w:rPr>
          <w:noProof/>
          <w:vertAlign w:val="superscript"/>
        </w:rPr>
        <w:t>(14)</w:t>
      </w:r>
      <w:r w:rsidR="00B23EAE" w:rsidRPr="00CE5069">
        <w:rPr>
          <w:vertAlign w:val="superscript"/>
        </w:rPr>
        <w:fldChar w:fldCharType="end"/>
      </w:r>
    </w:p>
    <w:p w14:paraId="52BFDA36" w14:textId="280055CC" w:rsidR="00A82A58" w:rsidRPr="0040390C" w:rsidRDefault="00A82A58" w:rsidP="00DC56C6">
      <w:pPr>
        <w:spacing w:line="360" w:lineRule="auto"/>
        <w:jc w:val="both"/>
        <w:rPr>
          <w:color w:val="000000"/>
          <w:lang w:eastAsia="en-US"/>
        </w:rPr>
      </w:pPr>
      <w:r w:rsidRPr="0040390C">
        <w:rPr>
          <w:color w:val="000000"/>
        </w:rPr>
        <w:t>A nova definição proposta pela IASP apresenta mudanças no entendimento da dor ao tornar mais clara a distinção dos fenômenos da dor e a nocicepção, demonstrando que a experiência da dor não está reduzida à atividade nas vias sensoriais. Dessa forma, a dor é a experiência definida pela pessoa que a sente, e a nocicepção é o processo de codificação do estímulo lesivo pelo sistema nervoso.</w:t>
      </w:r>
      <w:r w:rsidRPr="002E3E28">
        <w:rPr>
          <w:color w:val="000000"/>
          <w:vertAlign w:val="superscript"/>
        </w:rPr>
        <w:fldChar w:fldCharType="begin" w:fldLock="1"/>
      </w:r>
      <w:r w:rsidR="00CE5069">
        <w:rPr>
          <w:color w:val="000000"/>
          <w:vertAlign w:val="superscript"/>
        </w:rPr>
        <w:instrText>ADDIN CSL_CITATION {"citationItems":[{"id":"ITEM-1","itemData":{"URL":"https://www.iasp-pain.org/PublicationsNews/NewsDetail.aspx?ItemNumber=9218","abstract":"Proposed New Definition of Pain: An aversive sensory and emotional experience typically caused by, or resembling that caused by, actual or potential tissue injury. Proposed Accompanying Notes Section: Pain is always a subjective experience that is influenced to varying degrees by biological, psychological, and social factors. Pain and nociception are different phenomena: the experience of pain cannot be reduced to activity in sensory pathways. Through their life experiences, individuals learn the concept of pain and its applications. A person’s report of an experience as pain should be accepted as such and respected. Although pain usually serves an adaptive role, it may have adverse effects on function and social and psychological well-being. Verbal description is only one of several behaviors to express pain; inability to communicate does not negate the possibility that a human or a non-human animal experiences pain.","author":[{"dropping-particle":"","family":"IASP","given":"","non-dropping-particle":"","parse-names":false,"suffix":""}],"container-title":"IASP's Proposed New Definition of Pain Released for Comment","id":"ITEM-1","issued":{"date-parts":[["2019"]]},"page":"1-2","title":"IASP's Proposed New Definition of Pain Released for Comment - IASP","type":"webpage"},"uris":["http://www.mendeley.com/documents/?uuid=1dd6c698-7ee1-3a19-8d54-03bfec39e7c5"]},{"id":"ITEM-2","itemData":{"DOI":"10.1097/PR9.0000000000000643","ISBN":"0000000000000","ISSN":"24712531","PMID":"29756089","abstract":"Milton Cohen, John Quintner, and Simon van Rysewyk proposed a revision of the IASP definition of pain of 1979. This commentary summarizes, why this proposal is useful for guiding assessment of pain, but not its definition.","author":[{"dropping-particle":"","family":"Treede","given":"Rolf Detlef","non-dropping-particle":"","parse-names":false,"suffix":""}],"container-title":"Pain Reports","id":"ITEM-2","issue":"2","issued":{"date-parts":[["2018"]]},"page":"3-5","title":"The International Association for the Study of Pain definition of pain: As valid in 2018 as in 1979, but in need of regularly updated footnotes","type":"article-journal","volume":"3"},"uris":["http://www.mendeley.com/documents/?uuid=ab9f5341-41a5-491b-874f-f6961d015cc0"]}],"mendeley":{"formattedCitation":"(1,15)","plainTextFormattedCitation":"(1,15)","previouslyFormattedCitation":"(1,15)"},"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(1,15)</w:t>
      </w:r>
      <w:r w:rsidRPr="002E3E28">
        <w:rPr>
          <w:color w:val="000000"/>
          <w:vertAlign w:val="superscript"/>
        </w:rPr>
        <w:fldChar w:fldCharType="end"/>
      </w:r>
    </w:p>
    <w:p w14:paraId="25232F99" w14:textId="6AE32257" w:rsidR="00A82A58" w:rsidRPr="0040390C" w:rsidRDefault="00A82A58" w:rsidP="00A82A58">
      <w:pPr>
        <w:spacing w:line="360" w:lineRule="auto"/>
        <w:jc w:val="both"/>
        <w:rPr>
          <w:color w:val="000000"/>
          <w:highlight w:val="yellow"/>
          <w:lang w:eastAsia="en-US"/>
        </w:rPr>
      </w:pPr>
      <w:r w:rsidRPr="0040390C">
        <w:rPr>
          <w:color w:val="000000"/>
        </w:rPr>
        <w:lastRenderedPageBreak/>
        <w:t>A dor pode ser classificada quanto à sua etiologia ou mecanismo neurofisiológico, aspecto temporal ou local afetado. A IASP classifica a dor quanto ao seu mecanismo em: nociceptiva, neuropática e nociplástica. A dor nociceptiva é causada por dano real ou potencial ao tecido não-neural devida à ativação de nociceptores. A neuropática, por sua vez, é causada por uma lesão ou doença ao sistema nervoso somatossensorial, podendo ser de estruturas nervosas periféricas ou centrais. A nociplástica é o termo que define a dor que surge da nocicepção alterada, apesar de não haver evidência clara de dano tecidual real ou ameaçado, causando a ativação de nociceptores periféricos ou evidência de doença ou lesão do sistema somatossensorial que causa a dor.</w:t>
      </w:r>
      <w:r w:rsidRPr="002E3E28">
        <w:rPr>
          <w:color w:val="000000"/>
          <w:vertAlign w:val="superscript"/>
        </w:rPr>
        <w:fldChar w:fldCharType="begin" w:fldLock="1"/>
      </w:r>
      <w:r w:rsidR="00CE5069">
        <w:rPr>
          <w:color w:val="000000"/>
          <w:vertAlign w:val="superscript"/>
        </w:rPr>
        <w:instrText>ADDIN CSL_CITATION {"citationItems":[{"id":"ITEM-1","itemData":{"URL":"https://www.iasp-pain.org/Education/Content.aspx?ItemNumber=1698#Pain%0Ahttps://www.iasp-pain.org/Education/Content.aspx?ItemNumber=1698%0Ahttps://www.iasp-pain.org/terminology?navItemNumber=576","abstract":"Simons' integrated hypothesis proposed a model of trigger point (TrP) activation to explain known TrP phenomena, particularly endplate noise. We propose an expansion of this hypothesis to account for new experimental data and established muscle pathophysiology.","accessed":{"date-parts":[["2020","5","21"]]},"author":[{"dropping-particle":"","family":"Merskey H and Bogduk","given":"IASP Press","non-dropping-particle":"","parse-names":false,"suffix":""}],"container-title":"Classification of Chronic Pain, Second Edition, IASP Task Force on Taxonomy","id":"ITEM-1","issued":{"date-parts":[["1994"]]},"page":"209-214","title":"IASP Terminology - IASP","type":"webpage"},"uris":["http://www.mendeley.com/documents/?uuid=521eda76-e1cf-3144-aec1-fb392808c740"]},{"id":"ITEM-2","itemData":{"DOI":"10.1097/j.pain.0000000000000507","ISBN":"0000000000000","ISSN":"18726623","PMID":"26835783","author":[{"dropping-particle":"","family":"Kosek","given":"Eva","non-dropping-particle":"","parse-names":false,"suffix":""},{"dropping-particle":"","family":"Cohen","given":"Milton","non-dropping-particle":"","parse-names":false,"suffix":""},{"dropping-particle":"","family":"Baron","given":"Ralf","non-dropping-particle":"","parse-names":false,"suffix":""},{"dropping-particle":"","family":"Gebhart","given":"Gerald F.","non-dropping-particle":"","parse-names":false,"suffix":""},{"dropping-particle":"","family":"Mico","given":"Juan Antonio","non-dropping-particle":"","parse-names":false,"suffix":""},{"dropping-particle":"","family":"Rice","given":"Andrew S.C.","non-dropping-particle":"","parse-names":false,"suffix":""},{"dropping-particle":"","family":"Rief","given":"Winfried","non-dropping-particle":"","parse-names":false,"suffix":""},{"dropping-particle":"","family":"Sluka","given":"A. Kathleen","non-dropping-particle":"","parse-names":false,"suffix":""}],"container-title":"Pain","id":"ITEM-2","issue":"7","issued":{"date-parts":[["2016"]]},"page":"1382-1386","title":"Do we need a third mechanistic descriptor for chronic pain states?","type":"article-journal","volume":"157"},"uris":["http://www.mendeley.com/documents/?uuid=c6f19b71-f6a3-4cd1-8dc0-a0f1a27a9a25"]}],"mendeley":{"formattedCitation":"(16,17)","plainTextFormattedCitation":"(16,17)","previouslyFormattedCitation":"(16,17)"},"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(16,17)</w:t>
      </w:r>
      <w:r w:rsidRPr="002E3E28">
        <w:rPr>
          <w:color w:val="000000"/>
          <w:vertAlign w:val="superscript"/>
        </w:rPr>
        <w:fldChar w:fldCharType="end"/>
      </w:r>
      <w:r w:rsidRPr="002E3E28">
        <w:rPr>
          <w:color w:val="000000"/>
          <w:vertAlign w:val="superscript"/>
        </w:rPr>
        <w:t xml:space="preserve"> </w:t>
      </w:r>
      <w:r w:rsidRPr="0040390C">
        <w:rPr>
          <w:color w:val="000000"/>
        </w:rPr>
        <w:t>Outros autores definem ainda o conceito de dor mista, não presente na taxonomia da IASP, como aquela com sobreposição de sintomas nociceptivos e neuropáticos. O conceito de dor mista é destinada a condições complexas, como a dor oncológica, que abrange lesões ao sistema somatossensorial e a tecido não neural com ativação dos nociceptores.</w:t>
      </w:r>
      <w:r w:rsidRPr="002E3E28">
        <w:rPr>
          <w:color w:val="000000"/>
          <w:vertAlign w:val="superscript"/>
        </w:rPr>
        <w:fldChar w:fldCharType="begin" w:fldLock="1"/>
      </w:r>
      <w:r w:rsidR="00CE5069">
        <w:rPr>
          <w:color w:val="000000"/>
          <w:vertAlign w:val="superscript"/>
        </w:rPr>
        <w:instrText>ADDIN CSL_CITATION {"citationItems":[{"id":"ITEM-1","itemData":{"DOI":"10.1016/j.berh.2019.04.007","ISSN":"15321770","PMID":"31703792","abstract":"Active research is being conducted on musculoskeletal pain, and recent concepts will help clinicians and researchers to develop better approaches: -the new pain taxonomy recently has been modified with a third descriptor with the concept of nociplastic pain. -the latest International Classification of Diseases (ICD-11) includes an IASP task force that developed a new classification system for pain. In this new classification, one can differentiate primary musculoskeletal pain including fibromyalgia and low back pain and secondary musculoskeletal pain related to specific etiologies. -the concept of central sensitization in inflammatory rheumatic diseases is increasingly discussed. In these conditions, even with very active biological treatment, almost a third of patients are still complaining of persisting pain. These persisting pain states under adequate treatment, without any sign of inflammation, led researchers to look for evidence of central sensitization states.","author":[{"dropping-particle":"","family":"Trouvin","given":"Anne Priscille","non-dropping-particle":"","parse-names":false,"suffix":""},{"dropping-particle":"","family":"Perrot","given":"Serge","non-dropping-particle":"","parse-names":false,"suffix":""}],"container-title":"Best Practice and Research: Clinical Rheumatology","id":"ITEM-1","issue":"3","issued":{"date-parts":[["2019"]]},"publisher":"Elsevier Ltd","title":"New concepts of pain","type":"article-journal","volume":"33"},"uris":["http://www.mendeley.com/documents/?uuid=daeb5294-b162-40d2-b282-ada7e12f5d01"]}],"mendeley":{"formattedCitation":"(18)","plainTextFormattedCitation":"(18)","previouslyFormattedCitation":"(18)"},"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(18)</w:t>
      </w:r>
      <w:r w:rsidRPr="002E3E28">
        <w:rPr>
          <w:color w:val="000000"/>
          <w:vertAlign w:val="superscript"/>
        </w:rPr>
        <w:fldChar w:fldCharType="end"/>
      </w:r>
    </w:p>
    <w:p w14:paraId="7A1CD717" w14:textId="26A956EC" w:rsidR="00A82A58" w:rsidRDefault="00A82A58" w:rsidP="00A82A58">
      <w:pPr>
        <w:spacing w:line="360" w:lineRule="auto"/>
        <w:jc w:val="both"/>
        <w:rPr>
          <w:color w:val="000000"/>
          <w:lang w:eastAsia="en-US"/>
        </w:rPr>
      </w:pPr>
      <w:r w:rsidRPr="0040390C">
        <w:rPr>
          <w:color w:val="000000"/>
        </w:rPr>
        <w:t>Em relação ao aspecto temporal, a dor pode ser classificada em aguda e crônica. A aguda possui característica de alerta e é resultado da ativação dos receptores nociceptivos por um estímulo lesivo, pode durar por dias a semanas ou se estender por enquanto houver processo lesivo e de recuperação. A crônica pode ser definida como persistente por mais de três meses, e pode se estender mesmo após o tratamento instituído, muitas vezes associada a condições intratáveis.</w:t>
      </w:r>
      <w:r w:rsidRPr="002E3E28">
        <w:rPr>
          <w:color w:val="000000"/>
          <w:vertAlign w:val="superscript"/>
        </w:rPr>
        <w:fldChar w:fldCharType="begin" w:fldLock="1"/>
      </w:r>
      <w:r w:rsidR="00CE5069">
        <w:rPr>
          <w:color w:val="000000"/>
          <w:vertAlign w:val="superscript"/>
        </w:rPr>
        <w:instrText>ADDIN CSL_CITATION {"citationItems":[{"id":"ITEM-1","itemData":{"DOI":"10.1016/j.mcna.2006.10.009","ISSN":"00257125","PMID":"17164101","author":[{"dropping-particle":"","family":"Merskey","given":"Harold","non-dropping-particle":"","parse-names":false,"suffix":""}],"container-title":"Medical Clinics of North America","id":"ITEM-1","issue":"1","issued":{"date-parts":[["2007","1","1"]]},"page":"13-20","publisher":"Elsevier","title":"The Taxonomy of Pain","type":"article-journal","volume":"91"},"uris":["http://www.mendeley.com/documents/?uuid=495741a0-5986-3a67-a967-752cdfbd5489"]}],"mendeley":{"formattedCitation":"(19)","plainTextFormattedCitation":"(19)","previouslyFormattedCitation":"(19)"},"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(19)</w:t>
      </w:r>
      <w:r w:rsidRPr="002E3E28">
        <w:rPr>
          <w:color w:val="000000"/>
          <w:vertAlign w:val="superscript"/>
        </w:rPr>
        <w:fldChar w:fldCharType="end"/>
      </w:r>
      <w:r w:rsidRPr="002E3E28">
        <w:rPr>
          <w:color w:val="000000"/>
          <w:vertAlign w:val="superscript"/>
        </w:rPr>
        <w:t xml:space="preserve"> </w:t>
      </w:r>
      <w:r w:rsidRPr="0040390C">
        <w:rPr>
          <w:color w:val="000000"/>
        </w:rPr>
        <w:t>No entanto, as diferenças entre a dor aguda e crônica são mais evidentes que apenas o aspecto temporal. A dor crônica, desprovida de sua função de alerta, diferencia-se de um sintoma para um problema de saúde em si. Pode ser influenciada por fatores físicos, psicológicos e ambientais e causar prejuízos funcionais e ao bem-estar social e biológico do indivíduo causada pelo sofrimento crônico.</w:t>
      </w:r>
      <w:r w:rsidRPr="002E3E28">
        <w:rPr>
          <w:color w:val="000000"/>
          <w:vertAlign w:val="superscript"/>
        </w:rPr>
        <w:fldChar w:fldCharType="begin" w:fldLock="1"/>
      </w:r>
      <w:r w:rsidR="00CE5069">
        <w:rPr>
          <w:color w:val="000000"/>
          <w:vertAlign w:val="superscript"/>
        </w:rPr>
        <w:instrText>ADDIN CSL_CITATION {"citationItems":[{"id":"ITEM-1","itemData":{"DOI":"10.1016/j.disamonth.2016.05.015","ISSN":"15578194","PMID":"27329514","author":[{"dropping-particle":"","family":"Anwar","given":"Khalida","non-dropping-particle":"","parse-names":false,"suffix":""}],"container-title":"Disease-a-Month","id":"ITEM-1","issue":"9","issued":{"date-parts":[["2016"]]},"page":"324-329","publisher":"Elsevier","title":"Pathophysiology of pain","type":"article-journal","volume":"62"},"uris":["http://www.mendeley.com/documents/?uuid=f7146c33-556d-4e84-9519-43db15baeff1"]}],"mendeley":{"formattedCitation":"(20)","plainTextFormattedCitation":"(20)","previouslyFormattedCitation":"(20)"},"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(20)</w:t>
      </w:r>
      <w:r w:rsidRPr="002E3E28">
        <w:rPr>
          <w:color w:val="000000"/>
          <w:vertAlign w:val="superscript"/>
        </w:rPr>
        <w:fldChar w:fldCharType="end"/>
      </w:r>
    </w:p>
    <w:p w14:paraId="268D65A8" w14:textId="276C7750" w:rsidR="00CC5AF3" w:rsidRPr="00CE5069" w:rsidRDefault="00CE5069" w:rsidP="00DC56C6">
      <w:pPr>
        <w:spacing w:after="100" w:line="360" w:lineRule="auto"/>
        <w:jc w:val="both"/>
        <w:rPr>
          <w:color w:val="000000"/>
          <w:vertAlign w:val="superscript"/>
        </w:rPr>
      </w:pPr>
      <w:r>
        <w:rPr>
          <w:color w:val="000000"/>
        </w:rPr>
        <w:t>A cetamina p</w:t>
      </w:r>
      <w:r w:rsidRPr="0040390C">
        <w:rPr>
          <w:color w:val="000000"/>
        </w:rPr>
        <w:t xml:space="preserve">ossui mecanismo de ação complexo e atua primariamente como antagonista não competitivo do receptor N-metil-D-aspartato (NMDA) no sistema nervoso central (SNC), intervindo diretamente sobre o input sensorial, mediando as respostas de dor, memória e emoções, com caráter dissociativo. </w:t>
      </w:r>
      <w:r w:rsidRPr="005B28C1">
        <w:rPr>
          <w:color w:val="000000"/>
          <w:vertAlign w:val="superscript"/>
        </w:rPr>
        <w:fldChar w:fldCharType="begin" w:fldLock="1"/>
      </w:r>
      <w:r>
        <w:rPr>
          <w:color w:val="000000"/>
          <w:vertAlign w:val="superscript"/>
        </w:rPr>
        <w:instrText>ADDIN CSL_CITATION {"citationItems":[{"id":"ITEM-1","itemData":{"DOI":"10.1007/s40262-016-0383-6","ISSN":"11791926","PMID":"27028535","abstract":"Ketamine is a phencyclidine derivative, which functions primarily as an antagonist of the N-methyl-d-aspartate receptor. It has no affinity for gamma-aminobutyric acid receptors in the central nervous system. Ketamine shows a chiral structure consisting of two optical isomers. It undergoes oxidative metabolism, mainly to norketamine by cytochrome P450 (CYP) 3A and CYP2B6 enzymes. The use of S-ketamine is increasing worldwide, since the S(+)-enantiomer has been postulated to be a four times more potent anesthetic and analgesic than the R(−)-enantiomer and approximately two times more effective than the racemic mixture of ketamine. Because of extensive first-pass metabolism, oral bioavailability is poor and ketamine is vulnerable to pharmacokinetic drug interactions. Sublingual and nasal formulations of ketamine are being developed, and especially nasal administration produces rapid maximum plasma ketamine concentrations with relatively high bioavailability. Ketamine produces hemodynamically stable anesthesia via central sympathetic stimulation without affecting respiratory function. Animal studies have shown that ketamine has neuroprotective properties, and there is no evidence of elevated intracranial pressure after ketamine dosing in humans. Low-dose perioperative ketamine may reduce opioid consumption and chronic postsurgical pain after specific surgical procedures. However, long-term analgesic effects of ketamine in chronic pain patients have not been demonstrated. Besides analgesic properties, ketamine has rapid-acting antidepressant effects, which may be useful in treating therapy-resistant depressive patients. Well-known psychotomimetic and cognitive adverse effects restrict the clinical usefulness of ketamine, even though fewer psychomimetic adverse effects have been reported with S-ketamine in comparison with the racemate. Safety issues in long-term use are yet to be resolved.","author":[{"dropping-particle":"","family":"Peltoniemi","given":"Marko A.","non-dropping-particle":"","parse-names":false,"suffix":""},{"dropping-particle":"","family":"Hagelberg","given":"Nora M.","non-dropping-particle":"","parse-names":false,"suffix":""},{"dropping-particle":"","family":"Olkkola","given":"Klaus T.","non-dropping-particle":"","parse-names":false,"suffix":""},{"dropping-particle":"","family":"Saari","given":"Teijo I.","non-dropping-particle":"","parse-names":false,"suffix":""}],"container-title":"Clinical Pharmacokinetics","id":"ITEM-1","issue":"9","issued":{"date-parts":[["2016"]]},"page":"1059-1077","publisher":"Springer International Publishing","title":"Ketamine: A Review of Clinical Pharmacokinetics and Pharmacodynamics in Anesthesia and Pain Therapy","type":"article-journal","volume":"55"},"uris":["http://www.mendeley.com/documents/?uuid=32f91191-4889-4e57-afb3-f3518e64cf14"]}],"mendeley":{"formattedCitation":"(14)","plainTextFormattedCitation":"(14)","previouslyFormattedCitation":"(14)"},"properties":{"noteIndex":0},"schema":"https://github.com/citation-style-language/schema/raw/master/csl-citation.json"}</w:instrText>
      </w:r>
      <w:r w:rsidRPr="005B28C1">
        <w:rPr>
          <w:color w:val="000000"/>
          <w:vertAlign w:val="superscript"/>
        </w:rPr>
        <w:fldChar w:fldCharType="separate"/>
      </w:r>
      <w:r w:rsidRPr="00CE5069">
        <w:rPr>
          <w:noProof/>
          <w:color w:val="000000"/>
        </w:rPr>
        <w:t>(14)</w:t>
      </w:r>
      <w:r w:rsidRPr="005B28C1">
        <w:rPr>
          <w:color w:val="000000"/>
          <w:vertAlign w:val="superscript"/>
        </w:rPr>
        <w:fldChar w:fldCharType="end"/>
      </w:r>
      <w:r w:rsidRPr="0040390C">
        <w:rPr>
          <w:color w:val="000000"/>
        </w:rPr>
        <w:t xml:space="preserve"> Adicionalmente, promove efeitos secundários sobre múltiplos outros receptores que possuem relação na regulação da dor e humor, como agonista de receptores opióides, antagonista de receptores nicotínicos e muscarínicos, bloqueiam canais de sódio e potássio, possuem alta afinidade com receptores D2 de dopamina e canais de cálcio voltagem dependentes, além de facilitar a atuação do ácido aminobutírico (GABA) e das vias modulatórias descendentes.</w:t>
      </w:r>
      <w:r w:rsidRPr="002E3E28">
        <w:rPr>
          <w:color w:val="000000"/>
          <w:vertAlign w:val="superscript"/>
        </w:rPr>
        <w:fldChar w:fldCharType="begin" w:fldLock="1"/>
      </w:r>
      <w:r>
        <w:rPr>
          <w:color w:val="000000"/>
          <w:vertAlign w:val="superscript"/>
        </w:rPr>
        <w:instrText>ADDIN CSL_CITATION {"citationItems":[{"id":"ITEM-1","itemData":{"DOI":"10.1097/AAP.0000000000000808","ISBN":"0000000000000","ISSN":"15328651","PMID":"29870458","abstract":"Background: Over the past 2 decades, the use of intravenous ketamine infusions as a treatment for chronic pain has increased dramatically, with wide variation in patient selection, dosing, and monitoring. This has led to a chorus of calls from various sources for the development of consensus guidelines. Methods: In November 2016, the charge for developing consensus guidelines was approved by the boards of directors of the American Society of Regional Anesthesia and Pain Medicine and, shortly thereafter, the American Academy of Pain Medicine. In late 2017, the completed document was sent to the American Society of Anesthesiologists' Committees on Pain Medicine and Standards and Practice Parameters, after which additional modifications were made. Panel members were selected by the committee chair and both boards of directors based on their expertise in evaluating clinical trials, past research experience, and clinical experience in developing protocols and treating patients with ketamine. Questions were developed and refined by the committee, and the groups responsible for addressing each question consisted of modules composed of 3 to 5 panel members in addition to the committee chair. Once a preliminary consensus was achieved, sections were sent to the entire panel, and further revisions were made. In addition to consensus guidelines, a comprehensive narrative review was performed, which formed part of the basis for guidelines. Results: Guidelines were prepared for the following areas: indications; contraindications; whether there was evidence for a dose-response relationship, or a minimum or therapeutic dose range; whether oral ketamine or another N-methyl-d-aspartate receptor antagonist was a reasonable treatment option as a follow-up to infusions; preinfusion testing requirements; settings and personnel necessary to administer and monitor treatment; the use of preemptive and rescue medications to address adverse effects; and what constitutes a positive treatment response. The group was able to reach consensus on all questions. Conclusions: Evidence supports the use of ketamine for chronic pain, but the level of evidence varies by condition and dose range. Most studies evaluating the efficacy of ketamine were small and uncontrolled and were either unblinded or ineffectively blinded. Adverse effects were few and the rate of serious adverse effects was similar to placebo in most studies, with higher dosages and more frequent infusions associated with gre…","author":[{"dropping-particle":"","family":"Cohen","given":"Steven P.","non-dropping-particle":"","parse-names":false,"suffix":""},{"dropping-particle":"","family":"Bhatia","given":"Anuj","non-dropping-particle":"","parse-names":false,"suffix":""},{"dropping-particle":"","family":"Buvanendran","given":"Asokumar","non-dropping-particle":"","parse-names":false,"suffix":""},{"dropping-particle":"","family":"Schwenk","given":"Eric S.","non-dropping-particle":"","parse-names":false,"suffix":""},{"dropping-particle":"","family":"Wasan","given":"Ajay D.","non-dropping-particle":"","parse-names":false,"suffix":""},{"dropping-particle":"","family":"Hurley","given":"Robert W.","non-dropping-particle":"","parse-names":false,"suffix":""},{"dropping-particle":"","family":"Viscusi","given":"Eugene R.","non-dropping-particle":"","parse-names":false,"suffix":""},{"dropping-particle":"","family":"Narouze","given":"Samer","non-dropping-particle":"","parse-names":false,"suffix":""},{"dropping-particle":"","family":"Davis","given":"Fred N.","non-dropping-particle":"","parse-names":false,"suffix":""},{"dropping-particle":"","family":"Ritchie","given":"Elspeth C.","non-dropping-particle":"","parse-names":false,"suffix":""},{"dropping-particle":"","family":"Lubenow","given":"Timothy R.","non-dropping-particle":"","parse-names":false,"suffix":""},{"dropping-particle":"","family":"Hooten","given":"William M.","non-dropping-particle":"","parse-names":false,"suffix":""}],"container-title":"Regional Anesthesia and Pain Medicine","id":"ITEM-1","issue":"5","issued":{"date-parts":[["2018"]]},"page":"521-546","title":"Consensus Guidelines on the Use of Intravenous Ketamine Infusions for Chronic Pain From the American Society of Regional Anesthesia and Pain Medicine, the American Academy of Pain Medicine, and the American Society of Anesthesiologists","type":"article-journal","volume":"43"},"uris":["http://www.mendeley.com/documents/?uuid=47653bf6-99a4-4660-b59d-24c69d4b2ad8"]}],"mendeley":{"formattedCitation":"(4)","plainTextFormattedCitation":"(4)","previouslyFormattedCitation":"(4)"},"properties":{"noteIndex":0},"schema":"https://github.com/citation-style-language/schema/raw/master/csl-citation.json"}</w:instrText>
      </w:r>
      <w:r w:rsidRPr="002E3E28">
        <w:rPr>
          <w:color w:val="000000"/>
          <w:vertAlign w:val="superscript"/>
        </w:rPr>
        <w:fldChar w:fldCharType="separate"/>
      </w:r>
      <w:r w:rsidRPr="002E3E28">
        <w:rPr>
          <w:noProof/>
          <w:color w:val="000000"/>
          <w:vertAlign w:val="superscript"/>
        </w:rPr>
        <w:t>(4)</w:t>
      </w:r>
      <w:r w:rsidRPr="002E3E28">
        <w:rPr>
          <w:color w:val="000000"/>
          <w:vertAlign w:val="superscript"/>
        </w:rPr>
        <w:fldChar w:fldCharType="end"/>
      </w:r>
      <w:r w:rsidRPr="0040390C">
        <w:rPr>
          <w:color w:val="000000"/>
        </w:rPr>
        <w:t xml:space="preserve"> Estudos recentes demonstraram que o enantiômero S(+)-cetamina é mais potente do que a administração da mistura racêmica ou o isômero R(-), com resultados mais duradouros e satisfatórios.</w:t>
      </w:r>
      <w:r w:rsidRPr="00CE5069">
        <w:rPr>
          <w:color w:val="000000"/>
          <w:vertAlign w:val="superscript"/>
        </w:rPr>
        <w:fldChar w:fldCharType="begin" w:fldLock="1"/>
      </w:r>
      <w:r w:rsidRPr="00CE5069">
        <w:rPr>
          <w:color w:val="000000"/>
          <w:vertAlign w:val="superscript"/>
        </w:rPr>
        <w:instrText>ADDIN CSL_CITATION {"citationItems":[{"id":"ITEM-1","itemData":{"DOI":"10.1007/s40262-016-0383-6","ISSN":"11791926","PMID":"27028535","abstract":"Ketamine is a phencyclidine derivative, which functions primarily as an antagonist of the N-methyl-d-aspartate receptor. It has no affinity for gamma-aminobutyric acid receptors in the central nervous system. Ketamine shows a chiral structure consisting of two optical isomers. It undergoes oxidative metabolism, mainly to norketamine by cytochrome P450 (CYP) 3A and CYP2B6 enzymes. The use of S-ketamine is increasing worldwide, since the S(+)-enantiomer has been postulated to be a four times more potent anesthetic and analgesic than the R(−)-enantiomer and approximately two times more effective than the racemic mixture of ketamine. Because of extensive first-pass metabolism, oral bioavailability is poor and ketamine is vulnerable to pharmacokinetic drug interactions. Sublingual and nasal formulations of ketamine are being developed, and especially nasal administration produces rapid maximum plasma ketamine concentrations with relatively high bioavailability. Ketamine produces hemodynamically stable anesthesia via central sympathetic stimulation without affecting respiratory function. Animal studies have shown that ketamine has neuroprotective properties, and there is no evidence of elevated intracranial pressure after ketamine dosing in humans. Low-dose perioperative ketamine may reduce opioid consumption and chronic postsurgical pain after specific surgical procedures. However, long-term analgesic effects of ketamine in chronic pain patients have not been demonstrated. Besides analgesic properties, ketamine has rapid-acting antidepressant effects, which may be useful in treating therapy-resistant depressive patients. Well-known psychotomimetic and cognitive adverse effects restrict the clinical usefulness of ketamine, even though fewer psychomimetic adverse effects have been reported with S-ketamine in comparison with the racemate. Safety issues in long-term use are yet to be resolved.","author":[{"dropping-particle":"","family":"Peltoniemi","given":"Marko A.","non-dropping-particle":"","parse-names":false,"suffix":""},{"dropping-particle":"","family":"Hagelberg","given":"Nora M.","non-dropping-particle":"","parse-names":false,"suffix":""},{"dropping-particle":"","family":"Olkkola","given":"Klaus T.","non-dropping-particle":"","parse-names":false,"suffix":""},{"dropping-particle":"","family":"Saari","given":"Teijo I.","non-dropping-particle":"","parse-names":false,"suffix":""}],"container-title":"Clinical Pharmacokinetics","id":"ITEM-1","issue":"9","issued":{"date-parts":[["2016"]]},"page":"1059-1077","publisher":"Springer International Publishing","title":"Ketamine: A Review of Clinical Pharmacokinetics and Pharmacodynamics in Anesthesia and Pain Therapy","type":"article-journal","volume":"55"},"uris":["http://www.mendeley.com/documents/?uuid=32f91191-4889-4e57-afb3-f3518e64cf14"]}],"mendeley":{"formattedCitation":"(14)","plainTextFormattedCitation":"(14)","previouslyFormattedCitation":"(14)"},"properties":{"noteIndex":0},"schema":"https://github.com/citation-style-language/schema/raw/master/csl-citation.json"}</w:instrText>
      </w:r>
      <w:r w:rsidRPr="00CE5069">
        <w:rPr>
          <w:color w:val="000000"/>
          <w:vertAlign w:val="superscript"/>
        </w:rPr>
        <w:fldChar w:fldCharType="separate"/>
      </w:r>
      <w:r w:rsidRPr="00CE5069">
        <w:rPr>
          <w:noProof/>
          <w:color w:val="000000"/>
          <w:vertAlign w:val="superscript"/>
        </w:rPr>
        <w:t>(14)</w:t>
      </w:r>
      <w:r w:rsidRPr="00CE5069">
        <w:rPr>
          <w:color w:val="000000"/>
          <w:vertAlign w:val="superscript"/>
        </w:rPr>
        <w:fldChar w:fldCharType="end"/>
      </w:r>
      <w:r>
        <w:rPr>
          <w:color w:val="000000"/>
          <w:vertAlign w:val="superscript"/>
        </w:rPr>
        <w:t xml:space="preserve"> </w:t>
      </w:r>
      <w:r w:rsidR="00CC5AF3" w:rsidRPr="0040390C">
        <w:t>Em estudos pré-clínicos, a cetamina demonstrou reduzir a tolerância aos opióides e a hiperalgesia.</w:t>
      </w:r>
      <w:r w:rsidR="00B23EAE" w:rsidRPr="0040390C">
        <w:rPr>
          <w:vertAlign w:val="superscript"/>
        </w:rPr>
        <w:fldChar w:fldCharType="begin" w:fldLock="1"/>
      </w:r>
      <w:r w:rsidR="00B23EAE" w:rsidRPr="0040390C">
        <w:rPr>
          <w:vertAlign w:val="superscript"/>
        </w:rPr>
        <w:instrText>ADDIN CSL_CITATION {"citationItems":[{"id":"ITEM-1","itemData":{"DOI":"10.1213/ANE.0000000000004185","ISBN":"0000000000","ISSN":"15267598","PMID":"31082965","abstract":"BACKGROUND: IV ketamine is widely used to treat patients with chronic pain, yet the long-term impact remains uncertain. We synthesized evidence from randomized control trials to investigate the effectiveness of IV ketamine infusions for pain relief in chronic conditions and to determine whether any pain classifications or treatment regimens are associated with greater benefit. METHODS: We searched Medline, Embase, and Google Scholar, as well as the clinicaltrials.gov website from inception through December 16, 2017 for randomized control trials comparing IV ketamine to placebo infusions for chronic pain that reported outcomes for ≥48 hours after the intervention. Three authors independently screened the studies, pooled the data, and appraised risk of bias. Random-effects model was used to calculate weighted mean differences for pain scores and secondary outcomes. Our primary outcome was the lowest recorded pain score ≥48 hours after cessation of treatment. Secondary outcomes included responder rate and adverse effects. RESULTS: Among 696 studies assessed for eligibility, 7 met inclusion criteria. All studies except one were at high risk of bias. These studies randomly assigned 211 patients with neuropathic (n = 2), mixed (n = 2), and nonneuropathic (nociplastic or nociceptive) (n = 3) pain. Three studies reported significant analgesic benefit favoring ketamine, with the meta-analysis revealing a small effect up to 2 weeks after the infusion (mean difference in pain scores, -1.83 points on a 0-10 numerical rating scale; 95% CI, -2.35 to -1.31 points; P &lt;.0001). In the 3 studies that reported responder rates, the proportion with a positive outcome was greater in the ketamine than in the placebo group (51.3% vs 19.4%; relative risk, 2.43; 95% CI, 1.10-5.40; P =.029; I2 = 0.0%). No differences were noted based on pain classification or condition. Compared to low-dose ketamine studies and investigations that evaluated non-complex regional pain syndrome conditions, a small but nonsignificant greater reduction in pain scores was found among studies that either utilized high-dose ketamine therapy (P =.213) or enrolled complex regional pain syndrome patients (P =.079). CONCLUSIONS: Evidence suggests that IV ketamine provides significant short-term analgesic benefit in patients with refractory chronic pain, with some evidence of a dose-response relationship. Larger, multicenter studies with longer follow-ups are needed to better select patients and determine the …","author":[{"dropping-particle":"","family":"Orhurhu","given":"Vwaire","non-dropping-particle":"","parse-names":false,"suffix":""},{"dropping-particle":"","family":"Orhurhu","given":"Mariam Salisu","non-dropping-particle":"","parse-names":false,"suffix":""},{"dropping-particle":"","family":"Bhatia","given":"Anuj","non-dropping-particle":"","parse-names":false,"suffix":""},{"dropping-particle":"","family":"Cohen","given":"Steven P.","non-dropping-particle":"","parse-names":false,"suffix":""}],"container-title":"Anesthesia and Analgesia","id":"ITEM-1","issue":"1","issued":{"date-parts":[["2019"]]},"page":"241-254","title":"Ketamine Infusions for Chronic Pain: A Systematic Review and Meta-analysis of Randomized Controlled Trials","type":"article-journal","volume":"129"},"uris":["http://www.mendeley.com/documents/?uuid=bd16827c-635f-4a23-af60-da2bdcf82d19"]}],"mendeley":{"formattedCitation":"(21)","plainTextFormattedCitation":"(21)","previouslyFormattedCitation":"(21)"},"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(21)</w:t>
      </w:r>
      <w:r w:rsidR="00B23EAE" w:rsidRPr="0040390C">
        <w:rPr>
          <w:vertAlign w:val="superscript"/>
        </w:rPr>
        <w:fldChar w:fldCharType="end"/>
      </w:r>
      <w:r w:rsidR="00CC5AF3" w:rsidRPr="0040390C">
        <w:t xml:space="preserve"> Ademais, as infusões de cetamina foram associadas a reduções significativas da dor crônica, podendo gerar uma diminuição de 2 pontos ou 30% no escore de dor, correspondendo a uma </w:t>
      </w:r>
      <w:r w:rsidR="00060D9E">
        <w:t xml:space="preserve">melhora </w:t>
      </w:r>
      <w:r w:rsidR="00CC5AF3" w:rsidRPr="0040390C">
        <w:t>robusta</w:t>
      </w:r>
      <w:r w:rsidR="00060D9E">
        <w:t>,</w:t>
      </w:r>
      <w:r w:rsidR="00CC5AF3" w:rsidRPr="0040390C">
        <w:t xml:space="preserve"> tendo em vista que os parâmetros da dor não são lineares.</w:t>
      </w:r>
      <w:r w:rsidR="00B23EAE" w:rsidRPr="0040390C">
        <w:rPr>
          <w:vertAlign w:val="superscript"/>
        </w:rPr>
        <w:fldChar w:fldCharType="begin" w:fldLock="1"/>
      </w:r>
      <w:r w:rsidR="00B23EAE" w:rsidRPr="0040390C">
        <w:rPr>
          <w:vertAlign w:val="superscript"/>
        </w:rPr>
        <w:instrText>ADDIN CSL_CITATION {"citationItems":[{"id":"ITEM-1","itemData":{"DOI":"10.1016/S0304-3959(01)00349-9","ISSN":"03043959","PMID":"11690728","abstract":"Pain intensity is frequently measured on an 11-point pain intensity numerical rating scale (PI-NRS), where 0=no pain and 10=worst possible pain. However, it is difficult to interpret the clinical importance of changes from baseline on this scale (such as a 1- or 2-point change). To date, there are no data driven estimates for clinically important differences in pain intensity scales used for chronic pain studies. We have estimated a clinically important difference on this scale by relating it to global assessments of change in multiple studies of chronic pain. Data on 2724 subjects from 10 recently completed placebo-controlled clinical trials of pregabalin in diabetic neuropathy, postherpetic neuralgia, chronic low back pain, fibromyalgia, and osteoarthritis were used. The studies had similar designs and measurement instruments, including the PI-NRS, collected in a daily diary, and the standard seven-point patient global impression of change (PGIC), collected at the endpoint. The changes in the PI-NRS from baseline to the endpoint were compared to the PGIC for each subject. Categories of 'much improved' and 'very much improved' were used as determinants of a clinically important difference and the relationship to the PI-NRS was explored using graphs, box plots, and sensitivity/specificity analyses. A consistent relationship between the change in PI-NRS and the PGIC was demonstrated regardless of study, disease type, age, sex, study result, or treatment group. On average, a reduction of approximately two points or a reduction of approximately 30% in the PI-NRS represented a clinically important difference. The relationship between percent change and the PGIC was also consistent regardless of baseline pain, while higher baseline scores required larger raw changes to represent a clinically important difference. The application of these results to future studies may provide a standard definition of clinically important improvement in clinical trials of chronic pain therapies. Use of a standard outcome across chronic pain studies would greatly enhance the comparability, validity, and clinical applicability of these studies. © 2001 International Association for the Study of Pain. Published by Elsevier Science B.V. All rights reserved.","author":[{"dropping-particle":"","family":"Farrar","given":"John T.","non-dropping-particle":"","parse-names":false,"suffix":""},{"dropping-particle":"","family":"Young","given":"James P.","non-dropping-particle":"","parse-names":false,"suffix":""},{"dropping-particle":"","family":"LaMoreaux","given":"Linda","non-dropping-particle":"","parse-names":false,"suffix":""},{"dropping-particle":"","family":"Werth","given":"John L.","non-dropping-particle":"","parse-names":false,"suffix":""},{"dropping-particle":"","family":"Poole","given":"R. Michael","non-dropping-particle":"","parse-names":false,"suffix":""}],"container-title":"Pain","id":"ITEM-1","issue":"2","issued":{"date-parts":[["2001"]]},"page":"149-158","title":"Clinical importance of changes in chronic pain intensity measured on an 11-point numerical pain rating scale","type":"article-journal","volume":"94"},"uris":["http://www.mendeley.com/documents/?uuid=4b11cbd1-45d9-4ca7-8785-78e71778d849"]}],"mendeley":{"formattedCitation":"(22)","plainTextFormattedCitation":"(22)","previouslyFormattedCitation":"(22)"},"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(22)</w:t>
      </w:r>
      <w:r w:rsidR="00B23EAE" w:rsidRPr="0040390C">
        <w:rPr>
          <w:vertAlign w:val="superscript"/>
        </w:rPr>
        <w:fldChar w:fldCharType="end"/>
      </w:r>
      <w:r w:rsidR="00CC5AF3" w:rsidRPr="0040390C">
        <w:t xml:space="preserve"> Sendo esta afirmação corroborada no caso em </w:t>
      </w:r>
      <w:r w:rsidR="00CC5AF3" w:rsidRPr="0040390C">
        <w:lastRenderedPageBreak/>
        <w:t>pauta, uma vez que nossa paciente obteve uma melhora de 5 pontos na escala visual da dor, aproximadamente 55% de alívio.</w:t>
      </w:r>
    </w:p>
    <w:p w14:paraId="1981B134" w14:textId="4980C746" w:rsidR="00CC5AF3" w:rsidRPr="0040390C" w:rsidRDefault="00CC5AF3" w:rsidP="00DC56C6">
      <w:pPr>
        <w:spacing w:line="360" w:lineRule="auto"/>
        <w:jc w:val="both"/>
      </w:pPr>
      <w:r w:rsidRPr="0040390C">
        <w:t xml:space="preserve">Diversos estudos publicados foram capazes de demonstrar os efeitos antidepressivos da </w:t>
      </w:r>
      <w:r w:rsidR="00B23EAE" w:rsidRPr="0040390C">
        <w:t>cetamina, assim</w:t>
      </w:r>
      <w:r w:rsidRPr="0040390C">
        <w:t xml:space="preserve"> como demonstrado inicialmente por Berman et al</w:t>
      </w:r>
      <w:r w:rsidR="00B23EAE" w:rsidRPr="0040390C">
        <w:rPr>
          <w:vertAlign w:val="superscript"/>
        </w:rPr>
        <w:fldChar w:fldCharType="begin" w:fldLock="1"/>
      </w:r>
      <w:r w:rsidR="00B23EAE" w:rsidRPr="0040390C">
        <w:rPr>
          <w:vertAlign w:val="superscript"/>
        </w:rPr>
        <w:instrText>ADDIN CSL_CITATION {"citationItems":[{"id":"ITEM-1","itemData":{"DOI":"10.1016/S0006-3223(99)00230-9","ISSN":"00063223","PMID":"10686270","abstract":"Background: A growing body of preclinical research suggests that brain glutamate systems may be involved in the pathophysiology of major depression and the mechanism of action of antidepressants. This is the first placebo- controlled, double-blinded trial to assess the treatment effects of a single dose of an N-methyl-D-aspartate (NMDA) receptor antagonist in patients with depression. Methods: Seven subjects with major depression completed 2 test days that involved intravenous treatment with ketamine hydrochloride (.5 mg/kg) or saline solutions under randomized, double-blind conditions. Results: Subjects with depression evidenced significant improvement in depressive symptoms within 72 hours after ketamine but not placebo infusion (i.e., mean 25-item Hamilton Depression Rating Scale scores decreased by 14 ± SD 10 points vs. 0 ± 12 points, respectively during active and sham treatment). Conclusions: These results suggest a potential role for NMDA receptor-modulating drugs in the treatment of depression. (C) 2000 Society of Biological Psychiatry.","author":[{"dropping-particle":"","family":"Berman","given":"Robert M.","non-dropping-particle":"","parse-names":false,"suffix":""},{"dropping-particle":"","family":"Cappiello","given":"Angela","non-dropping-particle":"","parse-names":false,"suffix":""},{"dropping-particle":"","family":"Anand","given":"Amit","non-dropping-particle":"","parse-names":false,"suffix":""},{"dropping-particle":"","family":"Oren","given":"Dan A.","non-dropping-particle":"","parse-names":false,"suffix":""},{"dropping-particle":"","family":"Heninger","given":"George R.","non-dropping-particle":"","parse-names":false,"suffix":""},{"dropping-particle":"","family":"Charney","given":"Dennis S.","non-dropping-particle":"","parse-names":false,"suffix":""},{"dropping-particle":"","family":"Krystal","given":"John H.","non-dropping-particle":"","parse-names":false,"suffix":""}],"container-title":"Biological Psychiatry","id":"ITEM-1","issue":"4","issued":{"date-parts":[["2000"]]},"page":"351-354","title":"Antidepressant effects of ketamine in depressed patients","type":"article-journal","volume":"47"},"uris":["http://www.mendeley.com/documents/?uuid=9ae28fda-06e4-4929-a16c-4fc1d64d303f"]}],"mendeley":{"formattedCitation":"(23)","plainTextFormattedCitation":"(23)","previouslyFormattedCitation":"(23)"},"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(23)</w:t>
      </w:r>
      <w:r w:rsidR="00B23EAE" w:rsidRPr="0040390C">
        <w:rPr>
          <w:vertAlign w:val="superscript"/>
        </w:rPr>
        <w:fldChar w:fldCharType="end"/>
      </w:r>
      <w:r w:rsidRPr="0040390C">
        <w:t>, com a infusão intravenosa em dose única de 0,5 mg/kg de cetamina por 40 minutos. O efeito antidepressivo dos estudos, em média, apresentou maior eficácia com 24h pós-infusão com duração transitória de 1-2 semanas. Ademais, observou-se que infusões únicas IV de cetamina em doses subanestésicas acarretam taxas de resposta de aproximadamente 37 a 71% em pacientes com depressão resistente ao tratamento.</w:t>
      </w:r>
      <w:r w:rsidR="00B23EAE" w:rsidRPr="0040390C">
        <w:rPr>
          <w:vertAlign w:val="superscript"/>
        </w:rPr>
        <w:fldChar w:fldCharType="begin" w:fldLock="1"/>
      </w:r>
      <w:r w:rsidR="00B23EAE" w:rsidRPr="0040390C">
        <w:rPr>
          <w:vertAlign w:val="superscript"/>
        </w:rPr>
        <w:instrText>ADDIN CSL_CITATION {"citationItems":[{"id":"ITEM-1","itemData":{"DOI":"10.2174/1570159x12666140619204251","ISSN":"1570159X","abstract":"© 2014 Bentham Science Publishers.Background: At least 10-20% of the patients suffering from depression meet criteria for treatment-resistant depression (TRD). In the last decades, an important role of glutamate in mood modulation has been hypothesized and ketamine, a non noncompetitive antagonist of the N-methyl-D-aspartate (NMDA) receptors, has been demonstrated to be effective in both MDD and TRD. However, concerns emerged about the optimal dosage, and frequency of administration of this treatment. Methods: aiming to systematically review the current literature focusing on the main pharmacological properties and impact of ketamine in TRD, a detailed literature search in PubMed/Medline and ScienceDirect databases was conducted. Twenty-four manuscripts including a total of 416 patients fulfilled inclusion criteria. Results: Most studies demonstrated that the NMDA antagonist ketamine has rapid antidepressant effects in TRD patients, confirming the active role of glutamate in the pathophysiology of this complex condition. Ketamine has been demonstrated to be rapidly effective and was associated with a significant clinical improvement in depressive symptoms within hours after administration. Also, ketamine was also found to be effective in reducing suicidality in TRD samples. Limitations: The long-term efficacy of ketamine has not been investigated by most studies. The psychotomimetic properties may complicate the application of this pharmacological agent. Conclusions: Ketamine may be considered a valid and intriguing antidepressant option for the treatment of TRD. Further studies are needed to evaluate its long-term antidepressant efficacy in patients with TRD.","author":[{"dropping-particle":"","family":"Serafini","given":"Gianluca","non-dropping-particle":"","parse-names":false,"suffix":""},{"dropping-particle":"","family":"Howland","given":"Robert","non-dropping-particle":"","parse-names":false,"suffix":""},{"dropping-particle":"","family":"Rovedi","given":"Fabiana","non-dropping-particle":"","parse-names":false,"suffix":""},{"dropping-particle":"","family":"Girardi","given":"Paolo","non-dropping-particle":"","parse-names":false,"suffix":""},{"dropping-particle":"","family":"Amore","given":"Mario","non-dropping-particle":"","parse-names":false,"suffix":""}],"container-title":"Current Neuropharmacology","id":"ITEM-1","issue":"5","issued":{"date-parts":[["2014"]]},"page":"444-461","title":"The Role of Ketamine in Treatment-Resistant Depression: A Systematic Review","type":"article-journal","volume":"12"},"uris":["http://www.mendeley.com/documents/?uuid=1b40bb42-b64b-4765-aa67-5cc80464275a"]}],"mendeley":{"formattedCitation":"(24)","plainTextFormattedCitation":"(24)","previouslyFormattedCitation":"(24)"},"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(24)</w:t>
      </w:r>
      <w:r w:rsidR="00B23EAE" w:rsidRPr="0040390C">
        <w:rPr>
          <w:vertAlign w:val="superscript"/>
        </w:rPr>
        <w:fldChar w:fldCharType="end"/>
      </w:r>
      <w:r w:rsidRPr="0040390C">
        <w:t xml:space="preserve"> A duração do efeito antidepressivo tem sido bastante variável nos estudos clínicos, variando de horas a diversas semanas, com a maioria dos pacientes eventualmente entrando em relapso. Nesse sentido, diversos estudos exploraram ainda a infusão IV seriada de cetamina a fim de manter o efeito analgésico e antidepressivo rápido, porém curto e transitório.</w:t>
      </w:r>
      <w:r w:rsidR="00B23EAE" w:rsidRPr="0040390C">
        <w:rPr>
          <w:vertAlign w:val="superscript"/>
        </w:rPr>
        <w:fldChar w:fldCharType="begin" w:fldLock="1"/>
      </w:r>
      <w:r w:rsidR="00B23EAE" w:rsidRPr="0040390C">
        <w:rPr>
          <w:vertAlign w:val="superscript"/>
        </w:rPr>
        <w:instrText>ADDIN CSL_CITATION {"citationItems":[{"id":"ITEM-1","itemData":{"DOI":"10.2147/DDDT.S221437","ISSN":"11778881","PMID":"31695324","abstract":"Depression is the third leading cause of disability in the world. Depressive symptoms may be reduced within several weeks after the start of conventional antidepressants, but treatment resistance concerns one-third of patients who fail to achieve recovery. Over the last 20 years, ketamine, an antagonist of the N-methyl-D-aspartate receptor, has been described to have antidepressant properties. A literature review was conducted through an exhaustive electronic search. It was restricted to Cochrane reviews, meta-analyses, and randomized controlled trials (RCTs) of ketamine for major depressive disorder and/or bipolar disorder. This review included two Cochrane reviews, 14 meta-analyses and 15 trials. Ketamine was studied versus placebo, versus other comparators and as an anesthetic adjuvant before electroconvulsive therapy. In 14 publications, ketamine provided a rapid antidepressant effect with a maximum efficacy reached at 24 hrs. Its effect lasted for 1–2 weeks after infusion, but a longer-term effect is little reported. Ketamine does not seem to improve depressive symptoms at the end of electroconvulsive sessions. Safety and tolerability profiles with ketamine at low single dose are generally good in depressed patients. However, there is a lack of data concerning ketamine with repeated administration at higher doses. The clinical use of ketamine is increasing. Intranasal (S)-ketamine has recently been approved for depression by the Food and Drug Administration. It could be a promising treatment in depressed patients with suicidal ideation. Collectively, the level of proof of efficacy remains low and more RCTs are needed to explore efficacy and safety issues of ketamine in depression.","author":[{"dropping-particle":"","family":"Corriger","given":"Alexandrine","non-dropping-particle":"","parse-names":false,"suffix":""},{"dropping-particle":"","family":"Pickering","given":"Gisèle","non-dropping-particle":"","parse-names":false,"suffix":""}],"container-title":"Drug Design, Development and Therapy","id":"ITEM-1","issued":{"date-parts":[["2019"]]},"page":"3051-3067","title":"Ketamine and depression: A narrative review","type":"article-journal","volume":"13"},"uris":["http://www.mendeley.com/documents/?uuid=ed79b6de-ba5a-4727-8458-5ef9266fcca8"]}],"mendeley":{"formattedCitation":"(25)","plainTextFormattedCitation":"(25)","previouslyFormattedCitation":"(25)"},"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(25)</w:t>
      </w:r>
      <w:r w:rsidR="00B23EAE" w:rsidRPr="0040390C">
        <w:rPr>
          <w:vertAlign w:val="superscript"/>
        </w:rPr>
        <w:fldChar w:fldCharType="end"/>
      </w:r>
    </w:p>
    <w:p w14:paraId="1F77E332" w14:textId="7CA80319" w:rsidR="00CC5AF3" w:rsidRPr="0040390C" w:rsidRDefault="00CC5AF3" w:rsidP="00DC56C6">
      <w:pPr>
        <w:spacing w:line="360" w:lineRule="auto"/>
        <w:jc w:val="both"/>
      </w:pPr>
      <w:r w:rsidRPr="0040390C">
        <w:t xml:space="preserve">Foi observado que uma única infusão de cetamina em baixa dose pode aliviar rapidamente sintomas depressivos, pensamentos e ações suicidas em pacientes com depressão refratária ao tratamento convencional. Em consonância com ensaios clínicos, observamos na paciente em questão, uma melhora de 65% do humor durante o tratamento, saindo de um escore de depressão grave (40 pontos) para depressão leve (14 pontos) na </w:t>
      </w:r>
      <w:r w:rsidR="00B23EAE" w:rsidRPr="0040390C">
        <w:t>HAM-D</w:t>
      </w:r>
      <w:r w:rsidRPr="0040390C">
        <w:t>. Outro fator relevante no caso apresentado foi a diminuição expressiva e gradual dos opióides durante o período de tratamento. A diminuição do uso de morfina intratecal e oral utilizados durante o tratamento seriado com infusão de cetamina representa menor efeitos sistêmicos, nefro e hepatotoxicidade, além da melhora na qualidade de vida do paciente. Além disso, foi demonstrado que os efeitos antidepressivos da cetamina podem ser prolongados com esquemas de infusão seriada e intermitente, gerando efeitos terapêuticos mais significativos quando comparados a uma única infusão.</w:t>
      </w:r>
      <w:r w:rsidR="00B23EAE" w:rsidRPr="0040390C">
        <w:rPr>
          <w:vertAlign w:val="superscript"/>
        </w:rPr>
        <w:fldChar w:fldCharType="begin" w:fldLock="1"/>
      </w:r>
      <w:r w:rsidR="00793FAF" w:rsidRPr="0040390C">
        <w:rPr>
          <w:vertAlign w:val="superscript"/>
        </w:rPr>
        <w:instrText>ADDIN CSL_CITATION {"citationItems":[{"id":"ITEM-1","itemData":{"DOI":"10.1016/j.ynstr.2018.09.001","ISSN":"23522895","abstract":"In this review, we will discuss the safety of repeated treatments with ketamine for patients with treatment-resistant depression (TRD), a condition in which patients with major depression do not show any clinical improvements following treatments with at least two antidepressant drugs. We will discuss the effects of these treatments in both sexes at different developmental periods. Numerous small clinical studies have shown that a single, low-dose ketamine infusion can rapidly alleviate depressive symptoms and thoughts of suicidality in patients with TRD, and these effects can last for about one week. Interestingly, the antidepressant effects of ketamine can be prolonged with intermittent, repeated infusion regimens and produce more robust therapeutic effects when compared to a single infusion. The safety of such repeated treatments with ketamine has not been thoroughly investigated. Although more studies are needed, some clinical and preclinical reports indicated that repeated infusions of low doses of ketamine may have addictive properties, and suggested that adolescent and adult female subjects may be more sensitive to ketamine's addictive effects. Additionally, during ketamine infusions, many TRD patients report hallucinations and feelings of dissociation and depersonalization, and therefore the effects of repeated treatments of ketamine on cognition must be further examined. Some clinical reports indicated that, compared to women, men are more sensitive to the psychomimetic effects of ketamine. Preclinical studies extended these findings to both adolescent and adult male rodents and showed that male rodents at both developmental periods are more sensitive to ketamine's cognitive-altering effects. Accordingly, in this review we shall focus our discussion on the potential addictive and cognitive-impairing effects of repeated ketamine infusions in both sexes at two important developmental periods: adolescence and adulthood. Although more work about the safety of ketamine is warranted, we hope this review will bring some answers about the safety of treating TRD with repeated ketamine infusions.","author":[{"dropping-particle":"","family":"Strong","given":"C. E.","non-dropping-particle":"","parse-names":false,"suffix":""},{"dropping-particle":"","family":"Kabbaj","given":"Mohamed","non-dropping-particle":"","parse-names":false,"suffix":""}],"container-title":"Neurobiology of Stress","id":"ITEM-1","issued":{"date-parts":[["2018"]]},"page":"166-175","publisher":"Elsevier Inc.","title":"On the safety of repeated ketamine infusions for the treatment of depression: Effects of sex and developmental periods","type":"article-journal","volume":"9"},"uris":["http://www.mendeley.com/documents/?uuid=4628e170-024a-4aa5-9b0a-8ac6e6b536c7"]}],"mendeley":{"formattedCitation":"(26)","plainTextFormattedCitation":"(26)","previouslyFormattedCitation":"(26)"},"properties":{"noteIndex":0},"schema":"https://github.com/citation-style-language/schema/raw/master/csl-citation.json"}</w:instrText>
      </w:r>
      <w:r w:rsidR="00B23EAE" w:rsidRPr="0040390C">
        <w:rPr>
          <w:vertAlign w:val="superscript"/>
        </w:rPr>
        <w:fldChar w:fldCharType="separate"/>
      </w:r>
      <w:r w:rsidR="00B23EAE" w:rsidRPr="0040390C">
        <w:rPr>
          <w:noProof/>
          <w:vertAlign w:val="superscript"/>
        </w:rPr>
        <w:t>(26)</w:t>
      </w:r>
      <w:r w:rsidR="00B23EAE" w:rsidRPr="0040390C">
        <w:rPr>
          <w:vertAlign w:val="superscript"/>
        </w:rPr>
        <w:fldChar w:fldCharType="end"/>
      </w:r>
      <w:r w:rsidR="00793FAF" w:rsidRPr="0040390C">
        <w:rPr>
          <w:vertAlign w:val="superscript"/>
        </w:rPr>
        <w:t xml:space="preserve"> </w:t>
      </w:r>
      <w:r w:rsidRPr="0040390C">
        <w:t xml:space="preserve">Tal efeito é de suma relevância para o controle de pacientes depressivos refratários e de pacientes em situação de risco para </w:t>
      </w:r>
      <w:r w:rsidR="00514810" w:rsidRPr="0040390C">
        <w:t>suicídio</w:t>
      </w:r>
      <w:r w:rsidRPr="0040390C">
        <w:t xml:space="preserve">, uma vez que a cetamina tem um potencial terapêutico rápido, seguro e eficaz para essa situação. </w:t>
      </w:r>
    </w:p>
    <w:p w14:paraId="5FEB5461" w14:textId="0140469C" w:rsidR="00793FAF" w:rsidRPr="0040390C" w:rsidRDefault="00CC5AF3" w:rsidP="00DC56C6">
      <w:pPr>
        <w:spacing w:line="360" w:lineRule="auto"/>
        <w:jc w:val="both"/>
      </w:pPr>
      <w:r w:rsidRPr="0040390C">
        <w:t>Entretanto, apesar da cetamina proporcionar efeitos terapêuticos consideráveis, uma das grandes desvantagens e empecilhos de seu uso são os efeitos adversos ocasionados, tendo como principais: aumento da frequência respiratória, alucinações (principalmente visuais), diplopia, nistagmo, pesadelos, sintomas dissociativos (confusão quanto ao tempo, lugar ou pessoa, ver, ouvir ou sentir coisas que não existem), agitação, náuseas e vômitos.</w:t>
      </w:r>
      <w:r w:rsidR="00793FAF" w:rsidRPr="00CE5069">
        <w:rPr>
          <w:vertAlign w:val="superscript"/>
        </w:rPr>
        <w:fldChar w:fldCharType="begin" w:fldLock="1"/>
      </w:r>
      <w:r w:rsidR="00CE5069" w:rsidRPr="00CE5069">
        <w:rPr>
          <w:vertAlign w:val="superscript"/>
        </w:rPr>
        <w:instrText>ADDIN CSL_CITATION {"citationItems":[{"id":"ITEM-1","itemData":{"DOI":"10.1080/17512433.2020.1717947","ISSN":"17512441","PMID":"31990596","abstract":"Introduction: The use of ketamine infusions for chronic pain has surged, with utilization exceeding the proliferation of knowledge. A proposed mechanism for the long-term benefit in chronic pain is that ketamine may alter the affective-motivational component of pain. Areas covered: In this review, we discuss the classification and various dimensions of pain, and explore the effects of ketamine on different pain categories and components. The relationship between ketamine’s action at the NMDA receptor, the development of chronic pain, and the its possible role in preventing the persistence of pain are examined. We also summarize animal models evaluating the antinociceptive effects of ketamine and risk mitigation strategies of ketamine-associated side effects. Expert opinion: Although ketamine exerts most of its analgesic effects via the NMDA receptor, recent evidence suggests that other receptors such as AMPA, and active metabolites such as nor-ketamine, may also play a role in pain relief and alleviation of depression. Data from clinical studies performed in patients with chronic pain and depression, and the observation that ketamine’s analgesic benefits outlast its effects on quantitative sensory testing, suggest that the enduring effects on chronic pain may be predominantly due ketamine’s ability to modulate the affective-motivational dimension of pain.","author":[{"dropping-particle":"","family":"Yang","given":"Yunpeng","non-dropping-particle":"","parse-names":false,"suffix":""},{"dropping-particle":"","family":"Maher","given":"Dermot P.","non-dropping-particle":"","parse-names":false,"suffix":""},{"dropping-particle":"","family":"Cohen","given":"Steven P.","non-dropping-particle":"","parse-names":false,"suffix":""}],"container-title":"Expert Review of Clinical Pharmacology","id":"ITEM-1","issue":"2","issued":{"date-parts":[["2020"]]},"page":"135-146","publisher":"Taylor &amp; Francis","title":"Emerging concepts on the use of ketamine for chronic pain","type":"article-journal","volume":"13"},"uris":["http://www.mendeley.com/documents/?uuid=3b5f03be-53b7-4da3-b914-3a5b669da8cb"]}],"mendeley":{"formattedCitation":"(8)","plainTextFormattedCitation":"(8)","previouslyFormattedCitation":"(8)"},"properties":{"noteIndex":0},"schema":"https://github.com/citation-style-language/schema/raw/master/csl-citation.json"}</w:instrText>
      </w:r>
      <w:r w:rsidR="00793FAF" w:rsidRPr="00CE5069">
        <w:rPr>
          <w:vertAlign w:val="superscript"/>
        </w:rPr>
        <w:fldChar w:fldCharType="separate"/>
      </w:r>
      <w:r w:rsidR="00CE5069" w:rsidRPr="00CE5069">
        <w:rPr>
          <w:noProof/>
          <w:vertAlign w:val="superscript"/>
        </w:rPr>
        <w:t>(8)</w:t>
      </w:r>
      <w:r w:rsidR="00793FAF" w:rsidRPr="00CE5069">
        <w:rPr>
          <w:vertAlign w:val="superscript"/>
        </w:rPr>
        <w:fldChar w:fldCharType="end"/>
      </w:r>
      <w:r w:rsidRPr="002E3E28">
        <w:rPr>
          <w:vertAlign w:val="superscript"/>
        </w:rPr>
        <w:t xml:space="preserve"> </w:t>
      </w:r>
      <w:r w:rsidR="00060D9E" w:rsidRPr="0040390C">
        <w:t>O seu uso a longo prazo está relacionado ao risco de doenças urinárias graves e persistentes</w:t>
      </w:r>
      <w:r w:rsidR="00060D9E" w:rsidRPr="0040390C">
        <w:rPr>
          <w:color w:val="000000"/>
        </w:rPr>
        <w:t>, c</w:t>
      </w:r>
      <w:r w:rsidR="00060D9E" w:rsidRPr="0040390C">
        <w:t>omprometimento cognitivo</w:t>
      </w:r>
      <w:r w:rsidR="00060D9E" w:rsidRPr="0040390C">
        <w:rPr>
          <w:color w:val="000000"/>
        </w:rPr>
        <w:t xml:space="preserve">, dependência química </w:t>
      </w:r>
      <w:r w:rsidR="00060D9E" w:rsidRPr="0040390C">
        <w:t xml:space="preserve">e estão associados à dose e o tempo de exposição. Contudo, carecem estudos que demonstrem os efeitos a longo prazo e da administração seriada de cetamina, tanto para o tratamento da dor quanto da depressão maior. </w:t>
      </w:r>
      <w:r w:rsidRPr="0040390C">
        <w:t xml:space="preserve">A paciente em questão apresentou sintomas dissociativos, sensação de morte iminente e medo inexplicável a partir da segunda sessão, permanecendo na terceira infusão, sendo </w:t>
      </w:r>
      <w:r w:rsidRPr="0040390C">
        <w:lastRenderedPageBreak/>
        <w:t xml:space="preserve">cruciais para sua intolerância ao tratamento, apesar de ter uma melhora significativa no humor e na dor. </w:t>
      </w:r>
    </w:p>
    <w:p w14:paraId="40F847FB" w14:textId="4A5FB643" w:rsidR="00601E94" w:rsidRPr="0040390C" w:rsidRDefault="00793FAF" w:rsidP="00342598">
      <w:pPr>
        <w:spacing w:line="360" w:lineRule="auto"/>
        <w:jc w:val="both"/>
      </w:pPr>
      <w:r w:rsidRPr="0040390C">
        <w:t>Por fim</w:t>
      </w:r>
      <w:r w:rsidR="00CC5AF3" w:rsidRPr="0040390C">
        <w:t>, destaca-se que a infusão seriada de cetamina por um período maior de tempo apresenta uma alternativa mais segura e eficaz no tratamento da dor e depressão, especialmente, quando comparadas em regime de infusão IV única</w:t>
      </w:r>
      <w:r w:rsidRPr="0040390C">
        <w:t>,</w:t>
      </w:r>
      <w:r w:rsidR="00CC5AF3" w:rsidRPr="0040390C">
        <w:t xml:space="preserve"> eis que releva as propriedades antidepressivas e analgésicas da cetamina permitindo maior tolerância aos efeitos adversos </w:t>
      </w:r>
      <w:r w:rsidRPr="0040390C">
        <w:t xml:space="preserve">e </w:t>
      </w:r>
      <w:r w:rsidR="00CC5AF3" w:rsidRPr="0040390C">
        <w:t>potencializando seu efeito transitório e curto.</w:t>
      </w:r>
    </w:p>
    <w:p w14:paraId="53911319" w14:textId="77777777" w:rsidR="009C2DB4" w:rsidRPr="0040390C" w:rsidRDefault="009C2DB4" w:rsidP="00A82A58">
      <w:pPr>
        <w:spacing w:line="360" w:lineRule="auto"/>
        <w:jc w:val="both"/>
      </w:pPr>
    </w:p>
    <w:p w14:paraId="17AF3393" w14:textId="359E773B" w:rsidR="00554EC6" w:rsidRPr="0040390C" w:rsidRDefault="00E71695" w:rsidP="0040390C">
      <w:pPr>
        <w:spacing w:line="360" w:lineRule="auto"/>
        <w:rPr>
          <w:b/>
          <w:bCs/>
          <w:lang w:eastAsia="en-US"/>
        </w:rPr>
      </w:pPr>
      <w:r w:rsidRPr="0040390C">
        <w:rPr>
          <w:b/>
          <w:bCs/>
          <w:lang w:eastAsia="en-US"/>
        </w:rPr>
        <w:t>Conclusão</w:t>
      </w:r>
    </w:p>
    <w:p w14:paraId="1B50D0DA" w14:textId="1E1EF4DF" w:rsidR="00E71695" w:rsidRPr="0040390C" w:rsidRDefault="00E71695" w:rsidP="0040390C">
      <w:pPr>
        <w:spacing w:line="360" w:lineRule="auto"/>
        <w:rPr>
          <w:b/>
          <w:bCs/>
          <w:lang w:eastAsia="en-US"/>
        </w:rPr>
      </w:pPr>
    </w:p>
    <w:p w14:paraId="073A25B0" w14:textId="65969AD6" w:rsidR="00554EC6" w:rsidRPr="002E3E28" w:rsidRDefault="00CC5AF3" w:rsidP="00342598">
      <w:pPr>
        <w:spacing w:line="360" w:lineRule="auto"/>
        <w:jc w:val="both"/>
      </w:pPr>
      <w:r w:rsidRPr="0040390C">
        <w:t>Embora a cetamina seja uma alternativa promissora para o manejo da dor crônica e depressão, no caso em questão não obtivemos êxito no tratamento proposto devido aos efeitos adversos não bem tolerados pela paciente (alucinações, sensação de morte iminente e sintomas dissociativos).</w:t>
      </w:r>
      <w:r w:rsidR="00793FAF" w:rsidRPr="002B7E96">
        <w:rPr>
          <w:vertAlign w:val="superscript"/>
        </w:rPr>
        <w:fldChar w:fldCharType="begin" w:fldLock="1"/>
      </w:r>
      <w:r w:rsidR="00CE5069" w:rsidRPr="002B7E96">
        <w:rPr>
          <w:vertAlign w:val="superscript"/>
        </w:rPr>
        <w:instrText>ADDIN CSL_CITATION {"citationItems":[{"id":"ITEM-1","itemData":{"DOI":"10.1080/17512433.2020.1717947","ISSN":"17512441","PMID":"31990596","abstract":"Introduction: The use of ketamine infusions for chronic pain has surged, with utilization exceeding the proliferation of knowledge. A proposed mechanism for the long-term benefit in chronic pain is that ketamine may alter the affective-motivational component of pain. Areas covered: In this review, we discuss the classification and various dimensions of pain, and explore the effects of ketamine on different pain categories and components. The relationship between ketamine’s action at the NMDA receptor, the development of chronic pain, and the its possible role in preventing the persistence of pain are examined. We also summarize animal models evaluating the antinociceptive effects of ketamine and risk mitigation strategies of ketamine-associated side effects. Expert opinion: Although ketamine exerts most of its analgesic effects via the NMDA receptor, recent evidence suggests that other receptors such as AMPA, and active metabolites such as nor-ketamine, may also play a role in pain relief and alleviation of depression. Data from clinical studies performed in patients with chronic pain and depression, and the observation that ketamine’s analgesic benefits outlast its effects on quantitative sensory testing, suggest that the enduring effects on chronic pain may be predominantly due ketamine’s ability to modulate the affective-motivational dimension of pain.","author":[{"dropping-particle":"","family":"Yang","given":"Yunpeng","non-dropping-particle":"","parse-names":false,"suffix":""},{"dropping-particle":"","family":"Maher","given":"Dermot P.","non-dropping-particle":"","parse-names":false,"suffix":""},{"dropping-particle":"","family":"Cohen","given":"Steven P.","non-dropping-particle":"","parse-names":false,"suffix":""}],"container-title":"Expert Review of Clinical Pharmacology","id":"ITEM-1","issue":"2","issued":{"date-parts":[["2020"]]},"page":"135-146","publisher":"Taylor &amp; Francis","title":"Emerging concepts on the use of ketamine for chronic pain","type":"article-journal","volume":"13"},"uris":["http://www.mendeley.com/documents/?uuid=3b5f03be-53b7-4da3-b914-3a5b669da8cb"]}],"mendeley":{"formattedCitation":"(8)","plainTextFormattedCitation":"(8)","previouslyFormattedCitation":"(8)"},"properties":{"noteIndex":0},"schema":"https://github.com/citation-style-language/schema/raw/master/csl-citation.json"}</w:instrText>
      </w:r>
      <w:r w:rsidR="00793FAF" w:rsidRPr="002B7E96">
        <w:rPr>
          <w:vertAlign w:val="superscript"/>
        </w:rPr>
        <w:fldChar w:fldCharType="separate"/>
      </w:r>
      <w:r w:rsidR="00CE5069" w:rsidRPr="002B7E96">
        <w:rPr>
          <w:noProof/>
          <w:vertAlign w:val="superscript"/>
        </w:rPr>
        <w:t>(8)</w:t>
      </w:r>
      <w:r w:rsidR="00793FAF" w:rsidRPr="002B7E96">
        <w:rPr>
          <w:vertAlign w:val="superscript"/>
        </w:rPr>
        <w:fldChar w:fldCharType="end"/>
      </w:r>
      <w:r w:rsidR="00793FAF" w:rsidRPr="0040390C">
        <w:t xml:space="preserve"> </w:t>
      </w:r>
      <w:r w:rsidRPr="0040390C">
        <w:t>Somado a isso, a ausência da constância da sensação de bem-estar desestimulou o seguimento do tratamento pela paciente. É relevante mencionar o papel da pandemia COVID-19 durante o tempo do estudo interferindo nas regularidades das infusões e contribuindo para o prejuízo do quadro clínico. Contudo, como demonstrado pelas evidências científicas atuais, foi observado um alívio considerável, porém temporário da dor e do humor, o que salienta o papel da cetamina no tratamento desses distúrbios em dosagem subanestésica.</w:t>
      </w:r>
      <w:r w:rsidR="002E3E28" w:rsidRPr="002E3E28">
        <w:rPr>
          <w:vertAlign w:val="superscript"/>
        </w:rPr>
        <w:fldChar w:fldCharType="begin" w:fldLock="1"/>
      </w:r>
      <w:r w:rsidR="00CE5069">
        <w:rPr>
          <w:vertAlign w:val="superscript"/>
        </w:rPr>
        <w:instrText>ADDIN CSL_CITATION {"citationItems":[{"id":"ITEM-1","itemData":{"DOI":"10.1097/AAP.0000000000000808","ISBN":"0000000000000","ISSN":"15328651","PMID":"29870458","abstract":"Background: Over the past 2 decades, the use of intravenous ketamine infusions as a treatment for chronic pain has increased dramatically, with wide variation in patient selection, dosing, and monitoring. This has led to a chorus of calls from various sources for the development of consensus guidelines. Methods: In November 2016, the charge for developing consensus guidelines was approved by the boards of directors of the American Society of Regional Anesthesia and Pain Medicine and, shortly thereafter, the American Academy of Pain Medicine. In late 2017, the completed document was sent to the American Society of Anesthesiologists' Committees on Pain Medicine and Standards and Practice Parameters, after which additional modifications were made. Panel members were selected by the committee chair and both boards of directors based on their expertise in evaluating clinical trials, past research experience, and clinical experience in developing protocols and treating patients with ketamine. Questions were developed and refined by the committee, and the groups responsible for addressing each question consisted of modules composed of 3 to 5 panel members in addition to the committee chair. Once a preliminary consensus was achieved, sections were sent to the entire panel, and further revisions were made. In addition to consensus guidelines, a comprehensive narrative review was performed, which formed part of the basis for guidelines. Results: Guidelines were prepared for the following areas: indications; contraindications; whether there was evidence for a dose-response relationship, or a minimum or therapeutic dose range; whether oral ketamine or another N-methyl-d-aspartate receptor antagonist was a reasonable treatment option as a follow-up to infusions; preinfusion testing requirements; settings and personnel necessary to administer and monitor treatment; the use of preemptive and rescue medications to address adverse effects; and what constitutes a positive treatment response. The group was able to reach consensus on all questions. Conclusions: Evidence supports the use of ketamine for chronic pain, but the level of evidence varies by condition and dose range. Most studies evaluating the efficacy of ketamine were small and uncontrolled and were either unblinded or ineffectively blinded. Adverse effects were few and the rate of serious adverse effects was similar to placebo in most studies, with higher dosages and more frequent infusions associated with gre…","author":[{"dropping-particle":"","family":"Cohen","given":"Steven P.","non-dropping-particle":"","parse-names":false,"suffix":""},{"dropping-particle":"","family":"Bhatia","given":"Anuj","non-dropping-particle":"","parse-names":false,"suffix":""},{"dropping-particle":"","family":"Buvanendran","given":"Asokumar","non-dropping-particle":"","parse-names":false,"suffix":""},{"dropping-particle":"","family":"Schwenk","given":"Eric S.","non-dropping-particle":"","parse-names":false,"suffix":""},{"dropping-particle":"","family":"Wasan","given":"Ajay D.","non-dropping-particle":"","parse-names":false,"suffix":""},{"dropping-particle":"","family":"Hurley","given":"Robert W.","non-dropping-particle":"","parse-names":false,"suffix":""},{"dropping-particle":"","family":"Viscusi","given":"Eugene R.","non-dropping-particle":"","parse-names":false,"suffix":""},{"dropping-particle":"","family":"Narouze","given":"Samer","non-dropping-particle":"","parse-names":false,"suffix":""},{"dropping-particle":"","family":"Davis","given":"Fred N.","non-dropping-particle":"","parse-names":false,"suffix":""},{"dropping-particle":"","family":"Ritchie","given":"Elspeth C.","non-dropping-particle":"","parse-names":false,"suffix":""},{"dropping-particle":"","family":"Lubenow","given":"Timothy R.","non-dropping-particle":"","parse-names":false,"suffix":""},{"dropping-particle":"","family":"Hooten","given":"William M.","non-dropping-particle":"","parse-names":false,"suffix":""}],"container-title":"Regional Anesthesia and Pain Medicine","id":"ITEM-1","issue":"5","issued":{"date-parts":[["2018"]]},"page":"521-546","title":"Consensus Guidelines on the Use of Intravenous Ketamine Infusions for Chronic Pain From the American Society of Regional Anesthesia and Pain Medicine, the American Academy of Pain Medicine, and the American Society of Anesthesiologists","type":"article-journal","volume":"43"},"uris":["http://www.mendeley.com/documents/?uuid=47653bf6-99a4-4660-b59d-24c69d4b2ad8"]},{"id":"ITEM-2","itemData":{"DOI":"10.1001/jamapsychiatry.2017.0080","ISSN":"2168622X","PMID":"28249076","abstract":"IMPORTANCE Several studies now provide evidence of ketamine hydrochloride's ability to produce rapid and robust antidepressant effects in patients with mood and anxiety disorders that were previously resistant to treatment. Despite the relatively small sample sizes, lack of longer-term data on efficacy, and limited data on safety provided by these studies, they have led to increased use of ketamine as an off-label treatment for mood and other psychiatric disorders. OBSERVATIONS This review and consensus statement provides a general overview of the data on the use of ketamine for the treatment of mood disorders and highlights the limitations of the existing knowledge. While ketamine may be beneficial to some patients with mood disorders, it is important to consider the limitations of the available data and the potential risk associated with the drug when considering the treatment option. CONCLUSIONS AND RELEVANCE The suggestions provided are intended to facilitate clinical decision making and encourage an evidence-based approach to using ketamine in the treatment of psychiatric disorders considering the limited information that is currently available. This article provides information on potentially important issues related to the off-label treatment approach that should be considered to help ensure patient safety.","author":[{"dropping-particle":"","family":"Sanacora","given":"Gerard","non-dropping-particle":"","parse-names":false,"suffix":""},{"dropping-particle":"","family":"Frye","given":"Mark A.","non-dropping-particle":"","parse-names":false,"suffix":""},{"dropping-particle":"","family":"McDonald","given":"William","non-dropping-particle":"","parse-names":false,"suffix":""},{"dropping-particle":"","family":"Mathew","given":"Sanjay J.","non-dropping-particle":"","parse-names":false,"suffix":""},{"dropping-particle":"","family":"Turner","given":"Mason S.","non-dropping-particle":"","parse-names":false,"suffix":""},{"dropping-particle":"","family":"Schatzberg","given":"Alan F.","non-dropping-particle":"","parse-names":false,"suffix":""},{"dropping-particle":"","family":"Summergrad","given":"Paul","non-dropping-particle":"","parse-names":false,"suffix":""},{"dropping-particle":"","family":"Nemeroff","given":"Charles B.","non-dropping-particle":"","parse-names":false,"suffix":""}],"container-title":"JAMA Psychiatry","id":"ITEM-2","issue":"4","issued":{"date-parts":[["2017"]]},"page":"399-405","title":"A consensus statement on the use of ketamine in the treatment of mood disorders","type":"article-journal","volume":"74"},"uris":["http://www.mendeley.com/documents/?uuid=1eb0aa23-7fc8-49ee-82aa-eca47f62f467"]}],"mendeley":{"formattedCitation":"(4,5)","plainTextFormattedCitation":"(4,5)","previouslyFormattedCitation":"(4,5)"},"properties":{"noteIndex":0},"schema":"https://github.com/citation-style-language/schema/raw/master/csl-citation.json"}</w:instrText>
      </w:r>
      <w:r w:rsidR="002E3E28" w:rsidRPr="002E3E28">
        <w:rPr>
          <w:vertAlign w:val="superscript"/>
        </w:rPr>
        <w:fldChar w:fldCharType="separate"/>
      </w:r>
      <w:r w:rsidR="002E3E28" w:rsidRPr="002E3E28">
        <w:rPr>
          <w:noProof/>
          <w:vertAlign w:val="superscript"/>
        </w:rPr>
        <w:t>(4,5)</w:t>
      </w:r>
      <w:r w:rsidR="002E3E28" w:rsidRPr="002E3E28">
        <w:rPr>
          <w:vertAlign w:val="superscript"/>
        </w:rPr>
        <w:fldChar w:fldCharType="end"/>
      </w:r>
      <w:r w:rsidRPr="0040390C">
        <w:t xml:space="preserve"> Considerando o exposto em estudos clínicos recentes, a infusão intravenosa de cetamina em doses baixas seria mais eficaz e bem tolerada através da infusão contínua por um certo período de tempo, comparada à aplicação em dose única. </w:t>
      </w:r>
      <w:r w:rsidRPr="0040390C">
        <w:rPr>
          <w:color w:val="000000" w:themeColor="text1"/>
        </w:rPr>
        <w:t xml:space="preserve">Diante disso, estudos clínicos padronizados são necessários para compreender melhor a relação </w:t>
      </w:r>
      <w:r w:rsidRPr="0040390C">
        <w:t>entre a dor crônica e o distúrbio depressivo maior, assim como, destacar a abordagem terapêutica com o uso da cetamina para essas condições, tendo em vista a melhora do paciente.</w:t>
      </w:r>
      <w:r w:rsidR="002E3E28" w:rsidRPr="002E3E28">
        <w:t xml:space="preserve"> </w:t>
      </w:r>
    </w:p>
    <w:p w14:paraId="7A97FEBB" w14:textId="77777777" w:rsidR="00601E94" w:rsidRPr="002E3E28" w:rsidRDefault="00601E94" w:rsidP="00C7154F">
      <w:pPr>
        <w:spacing w:line="360" w:lineRule="auto"/>
        <w:rPr>
          <w:lang w:eastAsia="en-US"/>
        </w:rPr>
      </w:pPr>
    </w:p>
    <w:p w14:paraId="1E6636BC" w14:textId="764AC403" w:rsidR="00793FAF" w:rsidRPr="0040390C" w:rsidRDefault="00E71695" w:rsidP="00E71695">
      <w:pPr>
        <w:spacing w:line="360" w:lineRule="auto"/>
        <w:rPr>
          <w:b/>
          <w:bCs/>
          <w:lang w:val="en-US" w:eastAsia="en-US"/>
        </w:rPr>
      </w:pPr>
      <w:r w:rsidRPr="0040390C">
        <w:rPr>
          <w:b/>
          <w:bCs/>
          <w:lang w:val="en-US" w:eastAsia="en-US"/>
        </w:rPr>
        <w:t>Referências</w:t>
      </w:r>
    </w:p>
    <w:p w14:paraId="2D4E941D" w14:textId="77777777" w:rsidR="00793FAF" w:rsidRDefault="00793FAF" w:rsidP="00E71695">
      <w:pPr>
        <w:spacing w:line="360" w:lineRule="auto"/>
        <w:rPr>
          <w:b/>
          <w:bCs/>
          <w:lang w:val="en-US" w:eastAsia="en-US"/>
        </w:rPr>
      </w:pPr>
    </w:p>
    <w:p w14:paraId="6501557B" w14:textId="175DD95E" w:rsidR="00CE5069" w:rsidRPr="00A67916" w:rsidRDefault="00793FAF" w:rsidP="00CE5069">
      <w:pPr>
        <w:widowControl w:val="0"/>
        <w:autoSpaceDE w:val="0"/>
        <w:autoSpaceDN w:val="0"/>
        <w:adjustRightInd w:val="0"/>
        <w:spacing w:line="360" w:lineRule="auto"/>
        <w:ind w:left="640" w:hanging="640"/>
        <w:rPr>
          <w:noProof/>
          <w:lang w:val="en-US"/>
        </w:rPr>
      </w:pPr>
      <w:r>
        <w:rPr>
          <w:b/>
          <w:bCs/>
          <w:lang w:val="en-US" w:eastAsia="en-US"/>
        </w:rPr>
        <w:fldChar w:fldCharType="begin" w:fldLock="1"/>
      </w:r>
      <w:r>
        <w:rPr>
          <w:b/>
          <w:bCs/>
          <w:lang w:val="en-US" w:eastAsia="en-US"/>
        </w:rPr>
        <w:instrText xml:space="preserve">ADDIN Mendeley Bibliography CSL_BIBLIOGRAPHY </w:instrText>
      </w:r>
      <w:r>
        <w:rPr>
          <w:b/>
          <w:bCs/>
          <w:lang w:val="en-US" w:eastAsia="en-US"/>
        </w:rPr>
        <w:fldChar w:fldCharType="separate"/>
      </w:r>
      <w:r w:rsidR="00CE5069" w:rsidRPr="00A67916">
        <w:rPr>
          <w:noProof/>
          <w:lang w:val="en-US"/>
        </w:rPr>
        <w:t xml:space="preserve">1. </w:t>
      </w:r>
      <w:r w:rsidR="00CE5069" w:rsidRPr="00A67916">
        <w:rPr>
          <w:noProof/>
          <w:lang w:val="en-US"/>
        </w:rPr>
        <w:tab/>
        <w:t>IASP. IASP’s Proposed New Definition of Pain Released for Comment - IASP [Internet]. IASP’s Proposed New Definition of Pain Released for Comment. 2019. p. 1–2. Available from: https://www.iasp-pain.org/PublicationsNews/NewsDetail.aspx?ItemNumber=9218</w:t>
      </w:r>
    </w:p>
    <w:p w14:paraId="7F39480D"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CE5069">
        <w:rPr>
          <w:noProof/>
        </w:rPr>
        <w:t xml:space="preserve">2. </w:t>
      </w:r>
      <w:r w:rsidRPr="00CE5069">
        <w:rPr>
          <w:noProof/>
        </w:rPr>
        <w:tab/>
        <w:t xml:space="preserve">Marinho F, de Azeredo Passos VM, Carvalho Malta D, Barboza França E, Abreu DMX, Araújo VEM, et al. </w:t>
      </w:r>
      <w:r w:rsidRPr="00A67916">
        <w:rPr>
          <w:noProof/>
          <w:lang w:val="en-US"/>
        </w:rPr>
        <w:t>Burden of disease in Brazil, 1990–2016: a systematic subnational analysis for the Global Burden of Disease Study 2016. Lancet [Internet]. 2018;392(10149):760–75. Available from: https://vizhub.</w:t>
      </w:r>
    </w:p>
    <w:p w14:paraId="538E26B0"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3. </w:t>
      </w:r>
      <w:r w:rsidRPr="00A67916">
        <w:rPr>
          <w:noProof/>
          <w:lang w:val="en-US"/>
        </w:rPr>
        <w:tab/>
        <w:t xml:space="preserve">IsHak WW, Wen RY, Naghdechi L, Vanle B, Dang J, Knosp M, et al. Pain and Depression: </w:t>
      </w:r>
      <w:r w:rsidRPr="00A67916">
        <w:rPr>
          <w:noProof/>
          <w:lang w:val="en-US"/>
        </w:rPr>
        <w:lastRenderedPageBreak/>
        <w:t xml:space="preserve">A Systematic Review. Harv Rev Psychiatry. 2018;26(6):352–63. </w:t>
      </w:r>
    </w:p>
    <w:p w14:paraId="0F6F1378"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4. </w:t>
      </w:r>
      <w:r w:rsidRPr="00A67916">
        <w:rPr>
          <w:noProof/>
          <w:lang w:val="en-US"/>
        </w:rPr>
        <w:tab/>
        <w:t xml:space="preserve">Cohen SP, Bhatia A, Buvanendran A, Schwenk ES, Wasan AD, Hurley RW, et al. Consensus Guidelines on the Use of Intravenous Ketamine Infusions for Chronic Pain From the American Society of Regional Anesthesia and Pain Medicine, the American Academy of Pain Medicine, and the American Society of Anesthesiologists. Reg Anesth Pain Med. 2018;43(5):521–46. </w:t>
      </w:r>
    </w:p>
    <w:p w14:paraId="334A9ACB"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5. </w:t>
      </w:r>
      <w:r w:rsidRPr="00A67916">
        <w:rPr>
          <w:noProof/>
          <w:lang w:val="en-US"/>
        </w:rPr>
        <w:tab/>
        <w:t xml:space="preserve">Sanacora G, Frye MA, McDonald W, Mathew SJ, Turner MS, Schatzberg AF, et al. A consensus statement on the use of ketamine in the treatment of mood disorders. JAMA Psychiatry. 2017;74(4):399–405. </w:t>
      </w:r>
    </w:p>
    <w:p w14:paraId="50211A10"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6. </w:t>
      </w:r>
      <w:r w:rsidRPr="00A67916">
        <w:rPr>
          <w:noProof/>
          <w:lang w:val="en-US"/>
        </w:rPr>
        <w:tab/>
        <w:t xml:space="preserve">Andrade C. Oral ketamine for depression, 1: Pharmacologic considerations and clinical evidence. J Clin Psychiatry. 2019;80(2):2–5. </w:t>
      </w:r>
    </w:p>
    <w:p w14:paraId="20F1BA1F" w14:textId="77777777" w:rsidR="00CE5069" w:rsidRPr="00A67916" w:rsidRDefault="00CE5069" w:rsidP="00CE5069">
      <w:pPr>
        <w:widowControl w:val="0"/>
        <w:autoSpaceDE w:val="0"/>
        <w:autoSpaceDN w:val="0"/>
        <w:adjustRightInd w:val="0"/>
        <w:spacing w:line="360" w:lineRule="auto"/>
        <w:ind w:left="640" w:hanging="640"/>
        <w:rPr>
          <w:noProof/>
          <w:lang w:val="de-DE"/>
        </w:rPr>
      </w:pPr>
      <w:r w:rsidRPr="00A67916">
        <w:rPr>
          <w:noProof/>
          <w:lang w:val="en-US"/>
        </w:rPr>
        <w:t xml:space="preserve">7. </w:t>
      </w:r>
      <w:r w:rsidRPr="00A67916">
        <w:rPr>
          <w:noProof/>
          <w:lang w:val="en-US"/>
        </w:rPr>
        <w:tab/>
        <w:t xml:space="preserve">Bell RF, Kalso EA. Ketamine for pain management. </w:t>
      </w:r>
      <w:r w:rsidRPr="00A67916">
        <w:rPr>
          <w:noProof/>
          <w:lang w:val="de-DE"/>
        </w:rPr>
        <w:t xml:space="preserve">Schmerz. 2019;3:1–8. </w:t>
      </w:r>
    </w:p>
    <w:p w14:paraId="747DF6B9"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de-DE"/>
        </w:rPr>
        <w:t xml:space="preserve">8. </w:t>
      </w:r>
      <w:r w:rsidRPr="00A67916">
        <w:rPr>
          <w:noProof/>
          <w:lang w:val="de-DE"/>
        </w:rPr>
        <w:tab/>
        <w:t xml:space="preserve">Yang Y, Maher DP, Cohen SP. </w:t>
      </w:r>
      <w:r w:rsidRPr="00A67916">
        <w:rPr>
          <w:noProof/>
          <w:lang w:val="en-US"/>
        </w:rPr>
        <w:t>Emerging concepts on the use of ketamine for chronic pain. Expert Rev Clin Pharmacol [Internet]. 2020;13(2):135–46. Available from: https://doi.org/10.1080/17512433.2020.1717947</w:t>
      </w:r>
    </w:p>
    <w:p w14:paraId="1F6F11A4"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9. </w:t>
      </w:r>
      <w:r w:rsidRPr="00A67916">
        <w:rPr>
          <w:noProof/>
          <w:lang w:val="en-US"/>
        </w:rPr>
        <w:tab/>
        <w:t xml:space="preserve">Oyelowo T. Bladder Pain Syndrome (Interstitial Cystitis). Mosby’s Guid to Women’s Heal. 2007;36–7. </w:t>
      </w:r>
    </w:p>
    <w:p w14:paraId="030492EE"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10. </w:t>
      </w:r>
      <w:r w:rsidRPr="00A67916">
        <w:rPr>
          <w:noProof/>
          <w:lang w:val="en-US"/>
        </w:rPr>
        <w:tab/>
        <w:t>McLennan MT. Interstitial cystitis: Epidemiology, pathophysiology, and clinical presentation. Obstet Gynecol Clin North Am [Internet]. 2014;41(3):385–95. Available from: http://dx.doi.org/10.1016/j.ogc.2014.05.004</w:t>
      </w:r>
    </w:p>
    <w:p w14:paraId="61855979"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11. </w:t>
      </w:r>
      <w:r w:rsidRPr="00A67916">
        <w:rPr>
          <w:noProof/>
          <w:lang w:val="en-US"/>
        </w:rPr>
        <w:tab/>
        <w:t xml:space="preserve">Niesters M, Martini C, Dahan A. Ketamine for chronic pain: Risks and benefits. Br J Clin Pharmacol. 2014;77(2):357–67. </w:t>
      </w:r>
    </w:p>
    <w:p w14:paraId="53C66CD2"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12. </w:t>
      </w:r>
      <w:r w:rsidRPr="00A67916">
        <w:rPr>
          <w:noProof/>
          <w:lang w:val="en-US"/>
        </w:rPr>
        <w:tab/>
        <w:t>Dworkin RH, O’Connor AB, Audette J, Baron R, Gourlay GK, Haanpää ML, et al. Recommendations for the pharmacological management of neuropathic pain: An overview and literature update. Mayo Clin Proc [Internet]. 2010;85(3 SUPPL.):S3–14. Available from: http://dx.doi.org/10.4065/mcp.2009.0649</w:t>
      </w:r>
    </w:p>
    <w:p w14:paraId="7E499A6A"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13. </w:t>
      </w:r>
      <w:r w:rsidRPr="00A67916">
        <w:rPr>
          <w:noProof/>
          <w:lang w:val="en-US"/>
        </w:rPr>
        <w:tab/>
        <w:t xml:space="preserve">Finnerup NB, Otto M, McQuay HJ, Jensen TS, Sindrup SH. Algorithm for neuropathic pain treatment: An evidence based proposal. Pain. 2005;118(3):289–305. </w:t>
      </w:r>
    </w:p>
    <w:p w14:paraId="68B5C473"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14. </w:t>
      </w:r>
      <w:r w:rsidRPr="00A67916">
        <w:rPr>
          <w:noProof/>
          <w:lang w:val="en-US"/>
        </w:rPr>
        <w:tab/>
        <w:t xml:space="preserve">Peltoniemi MA, Hagelberg NM, Olkkola KT, Saari TI. Ketamine: A Review of Clinical Pharmacokinetics and Pharmacodynamics in Anesthesia and Pain Therapy. Clin Pharmacokinet. 2016;55(9):1059–77. </w:t>
      </w:r>
    </w:p>
    <w:p w14:paraId="203E5801"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15. </w:t>
      </w:r>
      <w:r w:rsidRPr="00A67916">
        <w:rPr>
          <w:noProof/>
          <w:lang w:val="en-US"/>
        </w:rPr>
        <w:tab/>
        <w:t xml:space="preserve">Treede RD. The International Association for the Study of Pain definition of pain: As valid in 2018 as in 1979, but in need of regularly updated footnotes. Pain Reports. 2018;3(2):3–5. </w:t>
      </w:r>
    </w:p>
    <w:p w14:paraId="12C2EB3E"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16. </w:t>
      </w:r>
      <w:r w:rsidRPr="00A67916">
        <w:rPr>
          <w:noProof/>
          <w:lang w:val="en-US"/>
        </w:rPr>
        <w:tab/>
        <w:t xml:space="preserve">Merskey H and Bogduk IP. IASP Terminology - IASP [Internet]. Classification of Chronic Pain, Second Edition, IASP Task Force on Taxonomy. 1994 [cited 2020 May 21]. p. 209–14. </w:t>
      </w:r>
      <w:r w:rsidRPr="00A67916">
        <w:rPr>
          <w:noProof/>
          <w:lang w:val="en-US"/>
        </w:rPr>
        <w:lastRenderedPageBreak/>
        <w:t>Available from: https://www.iasp-pain.org/Education/Content.aspx?ItemNumber=1698#Pain%0Ahttps://www.iasp-pain.org/Education/Content.aspx?ItemNumber=1698%0Ahttps://www.iasp-pain.org/terminology?navItemNumber=576</w:t>
      </w:r>
    </w:p>
    <w:p w14:paraId="5AC76AEF"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de-DE"/>
        </w:rPr>
        <w:t xml:space="preserve">17. </w:t>
      </w:r>
      <w:r w:rsidRPr="00A67916">
        <w:rPr>
          <w:noProof/>
          <w:lang w:val="de-DE"/>
        </w:rPr>
        <w:tab/>
        <w:t xml:space="preserve">Kosek E, Cohen M, Baron R, Gebhart GF, Mico JA, Rice ASC, et al. </w:t>
      </w:r>
      <w:r w:rsidRPr="00A67916">
        <w:rPr>
          <w:noProof/>
          <w:lang w:val="en-US"/>
        </w:rPr>
        <w:t xml:space="preserve">Do we need a third mechanistic descriptor for chronic pain states? Pain. 2016;157(7):1382–6. </w:t>
      </w:r>
    </w:p>
    <w:p w14:paraId="2F5E429E"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18. </w:t>
      </w:r>
      <w:r w:rsidRPr="00A67916">
        <w:rPr>
          <w:noProof/>
          <w:lang w:val="en-US"/>
        </w:rPr>
        <w:tab/>
        <w:t>Trouvin AP, Perrot S. New concepts of pain. Best Pract Res Clin Rheumatol [Internet]. 2019;33(3). Available from: https://doi.org/10.1016/j.berh.2019.04.007</w:t>
      </w:r>
    </w:p>
    <w:p w14:paraId="4E2E8189"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19. </w:t>
      </w:r>
      <w:r w:rsidRPr="00A67916">
        <w:rPr>
          <w:noProof/>
          <w:lang w:val="en-US"/>
        </w:rPr>
        <w:tab/>
        <w:t xml:space="preserve">Merskey H. The Taxonomy of Pain. Med Clin North Am. 2007 Jan 1;91(1):13–20. </w:t>
      </w:r>
    </w:p>
    <w:p w14:paraId="692C5250"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20. </w:t>
      </w:r>
      <w:r w:rsidRPr="00A67916">
        <w:rPr>
          <w:noProof/>
          <w:lang w:val="en-US"/>
        </w:rPr>
        <w:tab/>
        <w:t>Anwar K. Pathophysiology of pain. Disease-a-Month [Internet]. 2016;62(9):324–9. Available from: http://dx.doi.org/10.1016/j.disamonth.2016.05.015</w:t>
      </w:r>
    </w:p>
    <w:p w14:paraId="645EB654"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21. </w:t>
      </w:r>
      <w:r w:rsidRPr="00A67916">
        <w:rPr>
          <w:noProof/>
          <w:lang w:val="en-US"/>
        </w:rPr>
        <w:tab/>
        <w:t xml:space="preserve">Orhurhu V, Orhurhu MS, Bhatia A, Cohen SP. Ketamine Infusions for Chronic Pain: A Systematic Review and Meta-analysis of Randomized Controlled Trials. Anesth Analg. 2019;129(1):241–54. </w:t>
      </w:r>
    </w:p>
    <w:p w14:paraId="2085AA9B"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22. </w:t>
      </w:r>
      <w:r w:rsidRPr="00A67916">
        <w:rPr>
          <w:noProof/>
          <w:lang w:val="en-US"/>
        </w:rPr>
        <w:tab/>
        <w:t xml:space="preserve">Farrar JT, Young JP, LaMoreaux L, Werth JL, Poole RM. Clinical importance of changes in chronic pain intensity measured on an 11-point numerical pain rating scale. Pain. 2001;94(2):149–58. </w:t>
      </w:r>
    </w:p>
    <w:p w14:paraId="42EEB9FA"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23. </w:t>
      </w:r>
      <w:r w:rsidRPr="00A67916">
        <w:rPr>
          <w:noProof/>
          <w:lang w:val="en-US"/>
        </w:rPr>
        <w:tab/>
        <w:t xml:space="preserve">Berman RM, Cappiello A, Anand A, Oren DA, Heninger GR, Charney DS, et al. Antidepressant effects of ketamine in depressed patients. Biol Psychiatry. 2000;47(4):351–4. </w:t>
      </w:r>
    </w:p>
    <w:p w14:paraId="5B61721A"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24. </w:t>
      </w:r>
      <w:r w:rsidRPr="00A67916">
        <w:rPr>
          <w:noProof/>
          <w:lang w:val="en-US"/>
        </w:rPr>
        <w:tab/>
        <w:t xml:space="preserve">Serafini G, Howland R, Rovedi F, Girardi P, Amore M. The Role of Ketamine in Treatment-Resistant Depression: A Systematic Review. Curr Neuropharmacol. 2014;12(5):444–61. </w:t>
      </w:r>
    </w:p>
    <w:p w14:paraId="446337D2"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25. </w:t>
      </w:r>
      <w:r w:rsidRPr="00A67916">
        <w:rPr>
          <w:noProof/>
          <w:lang w:val="en-US"/>
        </w:rPr>
        <w:tab/>
        <w:t xml:space="preserve">Corriger A, Pickering G. Ketamine and depression: A narrative review. Drug Des Devel Ther. 2019;13:3051–67. </w:t>
      </w:r>
    </w:p>
    <w:p w14:paraId="2D614E1B" w14:textId="77777777" w:rsidR="00CE5069" w:rsidRPr="00A67916" w:rsidRDefault="00CE5069" w:rsidP="00CE5069">
      <w:pPr>
        <w:widowControl w:val="0"/>
        <w:autoSpaceDE w:val="0"/>
        <w:autoSpaceDN w:val="0"/>
        <w:adjustRightInd w:val="0"/>
        <w:spacing w:line="360" w:lineRule="auto"/>
        <w:ind w:left="640" w:hanging="640"/>
        <w:rPr>
          <w:noProof/>
          <w:lang w:val="en-US"/>
        </w:rPr>
      </w:pPr>
      <w:r w:rsidRPr="00A67916">
        <w:rPr>
          <w:noProof/>
          <w:lang w:val="en-US"/>
        </w:rPr>
        <w:t xml:space="preserve">26. </w:t>
      </w:r>
      <w:r w:rsidRPr="00A67916">
        <w:rPr>
          <w:noProof/>
          <w:lang w:val="en-US"/>
        </w:rPr>
        <w:tab/>
        <w:t>Strong CE, Kabbaj M. On the safety of repeated ketamine infusions for the treatment of depression: Effects of sex and developmental periods. Neurobiol Stress [Internet]. 2018;9:166–75. Available from: https://doi.org/10.1016/j.ynstr.2018.09.001</w:t>
      </w:r>
    </w:p>
    <w:p w14:paraId="0548AA86" w14:textId="229C3594" w:rsidR="00497FB5" w:rsidRDefault="00793FAF" w:rsidP="00CE5069">
      <w:pPr>
        <w:widowControl w:val="0"/>
        <w:autoSpaceDE w:val="0"/>
        <w:autoSpaceDN w:val="0"/>
        <w:adjustRightInd w:val="0"/>
        <w:spacing w:line="360" w:lineRule="auto"/>
        <w:ind w:left="640" w:hanging="640"/>
        <w:rPr>
          <w:b/>
          <w:bCs/>
          <w:lang w:val="en-US" w:eastAsia="en-US"/>
        </w:rPr>
      </w:pPr>
      <w:r>
        <w:rPr>
          <w:b/>
          <w:bCs/>
          <w:lang w:val="en-US" w:eastAsia="en-US"/>
        </w:rPr>
        <w:fldChar w:fldCharType="end"/>
      </w:r>
    </w:p>
    <w:p w14:paraId="5DC02B02" w14:textId="3639A390" w:rsidR="00342598" w:rsidRDefault="00342598" w:rsidP="00CE5069">
      <w:pPr>
        <w:widowControl w:val="0"/>
        <w:autoSpaceDE w:val="0"/>
        <w:autoSpaceDN w:val="0"/>
        <w:adjustRightInd w:val="0"/>
        <w:spacing w:line="360" w:lineRule="auto"/>
        <w:ind w:left="640" w:hanging="640"/>
        <w:rPr>
          <w:b/>
          <w:bCs/>
          <w:lang w:val="en-US" w:eastAsia="en-US"/>
        </w:rPr>
      </w:pPr>
    </w:p>
    <w:p w14:paraId="5C44A453" w14:textId="5060FC43" w:rsidR="00342598" w:rsidRDefault="00342598" w:rsidP="00CE5069">
      <w:pPr>
        <w:widowControl w:val="0"/>
        <w:autoSpaceDE w:val="0"/>
        <w:autoSpaceDN w:val="0"/>
        <w:adjustRightInd w:val="0"/>
        <w:spacing w:line="360" w:lineRule="auto"/>
        <w:ind w:left="640" w:hanging="640"/>
        <w:rPr>
          <w:b/>
          <w:bCs/>
          <w:lang w:val="en-US" w:eastAsia="en-US"/>
        </w:rPr>
      </w:pPr>
    </w:p>
    <w:p w14:paraId="33BA76B3" w14:textId="13687B22" w:rsidR="00342598" w:rsidRDefault="00342598" w:rsidP="00CE5069">
      <w:pPr>
        <w:widowControl w:val="0"/>
        <w:autoSpaceDE w:val="0"/>
        <w:autoSpaceDN w:val="0"/>
        <w:adjustRightInd w:val="0"/>
        <w:spacing w:line="360" w:lineRule="auto"/>
        <w:ind w:left="640" w:hanging="640"/>
        <w:rPr>
          <w:b/>
          <w:bCs/>
          <w:lang w:val="en-US" w:eastAsia="en-US"/>
        </w:rPr>
      </w:pPr>
    </w:p>
    <w:p w14:paraId="2A48937B" w14:textId="3D4E9E24" w:rsidR="00342598" w:rsidRDefault="00342598" w:rsidP="00CE5069">
      <w:pPr>
        <w:widowControl w:val="0"/>
        <w:autoSpaceDE w:val="0"/>
        <w:autoSpaceDN w:val="0"/>
        <w:adjustRightInd w:val="0"/>
        <w:spacing w:line="360" w:lineRule="auto"/>
        <w:ind w:left="640" w:hanging="640"/>
        <w:rPr>
          <w:b/>
          <w:bCs/>
          <w:lang w:val="en-US" w:eastAsia="en-US"/>
        </w:rPr>
      </w:pPr>
    </w:p>
    <w:p w14:paraId="0C15975C" w14:textId="335C5474" w:rsidR="00342598" w:rsidRDefault="00342598" w:rsidP="00CE5069">
      <w:pPr>
        <w:widowControl w:val="0"/>
        <w:autoSpaceDE w:val="0"/>
        <w:autoSpaceDN w:val="0"/>
        <w:adjustRightInd w:val="0"/>
        <w:spacing w:line="360" w:lineRule="auto"/>
        <w:ind w:left="640" w:hanging="640"/>
        <w:rPr>
          <w:b/>
          <w:bCs/>
          <w:lang w:val="en-US" w:eastAsia="en-US"/>
        </w:rPr>
      </w:pPr>
    </w:p>
    <w:p w14:paraId="7820AA2C" w14:textId="182D577E" w:rsidR="00342598" w:rsidRDefault="00342598" w:rsidP="00CE5069">
      <w:pPr>
        <w:widowControl w:val="0"/>
        <w:autoSpaceDE w:val="0"/>
        <w:autoSpaceDN w:val="0"/>
        <w:adjustRightInd w:val="0"/>
        <w:spacing w:line="360" w:lineRule="auto"/>
        <w:ind w:left="640" w:hanging="640"/>
        <w:rPr>
          <w:b/>
          <w:bCs/>
          <w:lang w:val="en-US" w:eastAsia="en-US"/>
        </w:rPr>
      </w:pPr>
    </w:p>
    <w:p w14:paraId="1E8239D8" w14:textId="04F1C85F" w:rsidR="00342598" w:rsidRDefault="00342598" w:rsidP="00CE5069">
      <w:pPr>
        <w:widowControl w:val="0"/>
        <w:autoSpaceDE w:val="0"/>
        <w:autoSpaceDN w:val="0"/>
        <w:adjustRightInd w:val="0"/>
        <w:spacing w:line="360" w:lineRule="auto"/>
        <w:ind w:left="640" w:hanging="640"/>
        <w:rPr>
          <w:b/>
          <w:bCs/>
          <w:lang w:val="en-US" w:eastAsia="en-US"/>
        </w:rPr>
      </w:pPr>
    </w:p>
    <w:p w14:paraId="4AA0A121" w14:textId="0F5246CF" w:rsidR="00342598" w:rsidRDefault="00342598" w:rsidP="00CE5069">
      <w:pPr>
        <w:widowControl w:val="0"/>
        <w:autoSpaceDE w:val="0"/>
        <w:autoSpaceDN w:val="0"/>
        <w:adjustRightInd w:val="0"/>
        <w:spacing w:line="360" w:lineRule="auto"/>
        <w:ind w:left="640" w:hanging="640"/>
        <w:rPr>
          <w:b/>
          <w:bCs/>
          <w:lang w:val="en-US" w:eastAsia="en-US"/>
        </w:rPr>
      </w:pPr>
    </w:p>
    <w:p w14:paraId="6273222D" w14:textId="76CEA613" w:rsidR="00342598" w:rsidRDefault="00342598" w:rsidP="00CE5069">
      <w:pPr>
        <w:widowControl w:val="0"/>
        <w:autoSpaceDE w:val="0"/>
        <w:autoSpaceDN w:val="0"/>
        <w:adjustRightInd w:val="0"/>
        <w:spacing w:line="360" w:lineRule="auto"/>
        <w:ind w:left="640" w:hanging="640"/>
        <w:rPr>
          <w:b/>
          <w:bCs/>
          <w:lang w:val="en-US" w:eastAsia="en-US"/>
        </w:rPr>
      </w:pPr>
      <w:r>
        <w:rPr>
          <w:b/>
          <w:bCs/>
          <w:lang w:val="en-US" w:eastAsia="en-US"/>
        </w:rPr>
        <w:lastRenderedPageBreak/>
        <w:t>Anexo</w:t>
      </w:r>
    </w:p>
    <w:p w14:paraId="6311A2B9" w14:textId="427472B5" w:rsidR="00342598" w:rsidRDefault="00342598" w:rsidP="00CE5069">
      <w:pPr>
        <w:widowControl w:val="0"/>
        <w:autoSpaceDE w:val="0"/>
        <w:autoSpaceDN w:val="0"/>
        <w:adjustRightInd w:val="0"/>
        <w:spacing w:line="360" w:lineRule="auto"/>
        <w:ind w:left="640" w:hanging="640"/>
        <w:rPr>
          <w:b/>
          <w:bCs/>
          <w:lang w:eastAsia="en-US"/>
        </w:rPr>
      </w:pPr>
      <w:r w:rsidRPr="00EE4172">
        <w:rPr>
          <w:b/>
          <w:bCs/>
          <w:lang w:eastAsia="en-US"/>
        </w:rPr>
        <w:t xml:space="preserve"> Diretrizes para Autores</w:t>
      </w:r>
      <w:r w:rsidR="00EE4172" w:rsidRPr="00EE4172">
        <w:rPr>
          <w:b/>
          <w:bCs/>
          <w:lang w:eastAsia="en-US"/>
        </w:rPr>
        <w:t>, Revista de Medicina e Saúde de Brasília</w:t>
      </w:r>
    </w:p>
    <w:p w14:paraId="251EAE90" w14:textId="0966C9D7" w:rsidR="00EE4172" w:rsidRDefault="00EE4172" w:rsidP="00EE4172">
      <w:pPr>
        <w:widowControl w:val="0"/>
        <w:autoSpaceDE w:val="0"/>
        <w:autoSpaceDN w:val="0"/>
        <w:adjustRightInd w:val="0"/>
        <w:spacing w:line="360" w:lineRule="auto"/>
        <w:ind w:left="640" w:hanging="640"/>
        <w:rPr>
          <w:b/>
          <w:bCs/>
          <w:lang w:eastAsia="en-US"/>
        </w:rPr>
      </w:pPr>
      <w:r>
        <w:rPr>
          <w:b/>
          <w:bCs/>
          <w:lang w:eastAsia="en-US"/>
        </w:rPr>
        <w:t xml:space="preserve">Fonte: </w:t>
      </w:r>
      <w:hyperlink r:id="rId9" w:anchor="authorGuidelines" w:history="1">
        <w:r w:rsidRPr="00AF237F">
          <w:rPr>
            <w:rStyle w:val="Hyperlink"/>
            <w:b/>
            <w:bCs/>
            <w:lang w:eastAsia="en-US"/>
          </w:rPr>
          <w:t>https://portalrevistas.ucb.br/index.php/rmsbr/about/submissions#authorGuidelines</w:t>
        </w:r>
      </w:hyperlink>
    </w:p>
    <w:p w14:paraId="7DADDAC7" w14:textId="77777777" w:rsidR="00EE4172" w:rsidRPr="00EE4172" w:rsidRDefault="00EE4172" w:rsidP="00EE4172">
      <w:pPr>
        <w:spacing w:line="324" w:lineRule="atLeast"/>
        <w:outlineLvl w:val="2"/>
        <w:rPr>
          <w:rFonts w:ascii="Verdana" w:hAnsi="Verdana"/>
          <w:b/>
          <w:bCs/>
          <w:color w:val="006699"/>
          <w:sz w:val="43"/>
          <w:szCs w:val="43"/>
        </w:rPr>
      </w:pPr>
      <w:r w:rsidRPr="00EE4172">
        <w:rPr>
          <w:rFonts w:ascii="Verdana" w:hAnsi="Verdana"/>
          <w:b/>
          <w:bCs/>
          <w:color w:val="006699"/>
          <w:sz w:val="43"/>
          <w:szCs w:val="43"/>
        </w:rPr>
        <w:t>Diretrizes para Autores</w:t>
      </w:r>
    </w:p>
    <w:p w14:paraId="11AEF7D6"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NORMAS DO ARTIGO</w:t>
      </w:r>
    </w:p>
    <w:p w14:paraId="006683D2"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O manuscrito poderá ser redigido em português, espanhol ou inglês de acordo com as instruções do </w:t>
      </w:r>
      <w:proofErr w:type="spellStart"/>
      <w:r w:rsidRPr="00EE4172">
        <w:rPr>
          <w:rFonts w:ascii="Verdana" w:hAnsi="Verdana"/>
          <w:i/>
          <w:iCs/>
          <w:color w:val="333333"/>
          <w:sz w:val="17"/>
          <w:szCs w:val="17"/>
        </w:rPr>
        <w:t>International</w:t>
      </w:r>
      <w:proofErr w:type="spellEnd"/>
      <w:r w:rsidRPr="00EE4172">
        <w:rPr>
          <w:rFonts w:ascii="Verdana" w:hAnsi="Verdana"/>
          <w:i/>
          <w:iCs/>
          <w:color w:val="333333"/>
          <w:sz w:val="17"/>
          <w:szCs w:val="17"/>
        </w:rPr>
        <w:t xml:space="preserve"> </w:t>
      </w:r>
      <w:proofErr w:type="spellStart"/>
      <w:r w:rsidRPr="00EE4172">
        <w:rPr>
          <w:rFonts w:ascii="Verdana" w:hAnsi="Verdana"/>
          <w:i/>
          <w:iCs/>
          <w:color w:val="333333"/>
          <w:sz w:val="17"/>
          <w:szCs w:val="17"/>
        </w:rPr>
        <w:t>Committes</w:t>
      </w:r>
      <w:proofErr w:type="spellEnd"/>
      <w:r w:rsidRPr="00EE4172">
        <w:rPr>
          <w:rFonts w:ascii="Verdana" w:hAnsi="Verdana"/>
          <w:i/>
          <w:iCs/>
          <w:color w:val="333333"/>
          <w:sz w:val="17"/>
          <w:szCs w:val="17"/>
        </w:rPr>
        <w:t xml:space="preserve"> </w:t>
      </w:r>
      <w:proofErr w:type="spellStart"/>
      <w:r w:rsidRPr="00EE4172">
        <w:rPr>
          <w:rFonts w:ascii="Verdana" w:hAnsi="Verdana"/>
          <w:i/>
          <w:iCs/>
          <w:color w:val="333333"/>
          <w:sz w:val="17"/>
          <w:szCs w:val="17"/>
        </w:rPr>
        <w:t>of</w:t>
      </w:r>
      <w:proofErr w:type="spellEnd"/>
      <w:r w:rsidRPr="00EE4172">
        <w:rPr>
          <w:rFonts w:ascii="Verdana" w:hAnsi="Verdana"/>
          <w:i/>
          <w:iCs/>
          <w:color w:val="333333"/>
          <w:sz w:val="17"/>
          <w:szCs w:val="17"/>
        </w:rPr>
        <w:t xml:space="preserve"> Medical </w:t>
      </w:r>
      <w:proofErr w:type="spellStart"/>
      <w:r w:rsidRPr="00EE4172">
        <w:rPr>
          <w:rFonts w:ascii="Verdana" w:hAnsi="Verdana"/>
          <w:i/>
          <w:iCs/>
          <w:color w:val="333333"/>
          <w:sz w:val="17"/>
          <w:szCs w:val="17"/>
        </w:rPr>
        <w:t>Journal</w:t>
      </w:r>
      <w:proofErr w:type="spellEnd"/>
      <w:r w:rsidRPr="00EE4172">
        <w:rPr>
          <w:rFonts w:ascii="Verdana" w:hAnsi="Verdana"/>
          <w:i/>
          <w:iCs/>
          <w:color w:val="333333"/>
          <w:sz w:val="17"/>
          <w:szCs w:val="17"/>
        </w:rPr>
        <w:t xml:space="preserve"> </w:t>
      </w:r>
      <w:proofErr w:type="spellStart"/>
      <w:r w:rsidRPr="00EE4172">
        <w:rPr>
          <w:rFonts w:ascii="Verdana" w:hAnsi="Verdana"/>
          <w:i/>
          <w:iCs/>
          <w:color w:val="333333"/>
          <w:sz w:val="17"/>
          <w:szCs w:val="17"/>
        </w:rPr>
        <w:t>Editors</w:t>
      </w:r>
      <w:proofErr w:type="spellEnd"/>
      <w:r w:rsidRPr="00EE4172">
        <w:rPr>
          <w:rFonts w:ascii="Verdana" w:hAnsi="Verdana"/>
          <w:i/>
          <w:iCs/>
          <w:color w:val="333333"/>
          <w:sz w:val="17"/>
          <w:szCs w:val="17"/>
        </w:rPr>
        <w:t> </w:t>
      </w:r>
      <w:r w:rsidRPr="00EE4172">
        <w:rPr>
          <w:rFonts w:ascii="Verdana" w:hAnsi="Verdana"/>
          <w:color w:val="333333"/>
          <w:sz w:val="17"/>
          <w:szCs w:val="17"/>
        </w:rPr>
        <w:t>(ICMJE) - Normas de Vancouver.</w:t>
      </w:r>
    </w:p>
    <w:p w14:paraId="77DBAFCE"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Serão aceitos arquivos em Microsoft Word ou OpenOffice; o manuscrito deverá ser formatado em fonte </w:t>
      </w:r>
      <w:r w:rsidRPr="00EE4172">
        <w:rPr>
          <w:rFonts w:ascii="Verdana" w:hAnsi="Verdana"/>
          <w:b/>
          <w:bCs/>
          <w:i/>
          <w:iCs/>
          <w:color w:val="333333"/>
          <w:sz w:val="17"/>
          <w:szCs w:val="17"/>
        </w:rPr>
        <w:t>Times New Roman</w:t>
      </w:r>
      <w:r w:rsidRPr="00EE4172">
        <w:rPr>
          <w:rFonts w:ascii="Verdana" w:hAnsi="Verdana"/>
          <w:b/>
          <w:bCs/>
          <w:color w:val="333333"/>
          <w:sz w:val="17"/>
          <w:szCs w:val="17"/>
        </w:rPr>
        <w:t> 12; espaço de 1,5 entre as linhas; todas as margens da página de 2 cm</w:t>
      </w:r>
      <w:r w:rsidRPr="00EE4172">
        <w:rPr>
          <w:rFonts w:ascii="Verdana" w:hAnsi="Verdana"/>
          <w:color w:val="333333"/>
          <w:sz w:val="17"/>
          <w:szCs w:val="17"/>
        </w:rPr>
        <w:t xml:space="preserve">; sem tabulação no </w:t>
      </w:r>
      <w:proofErr w:type="gramStart"/>
      <w:r w:rsidRPr="00EE4172">
        <w:rPr>
          <w:rFonts w:ascii="Verdana" w:hAnsi="Verdana"/>
          <w:color w:val="333333"/>
          <w:sz w:val="17"/>
          <w:szCs w:val="17"/>
        </w:rPr>
        <w:t>inicio</w:t>
      </w:r>
      <w:proofErr w:type="gramEnd"/>
      <w:r w:rsidRPr="00EE4172">
        <w:rPr>
          <w:rFonts w:ascii="Verdana" w:hAnsi="Verdana"/>
          <w:color w:val="333333"/>
          <w:sz w:val="17"/>
          <w:szCs w:val="17"/>
        </w:rPr>
        <w:t xml:space="preserve"> de cada de cada parágrafo; páginas sem numeração; tabelas, gráficos e figuras inseridos no fim do artigo (após as referências) com as respectivas legendas.</w:t>
      </w:r>
    </w:p>
    <w:p w14:paraId="41F46B99"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Página título</w:t>
      </w:r>
    </w:p>
    <w:p w14:paraId="58D094E3"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A página título deverá conter o </w:t>
      </w:r>
      <w:proofErr w:type="gramStart"/>
      <w:r w:rsidRPr="00EE4172">
        <w:rPr>
          <w:rFonts w:ascii="Verdana" w:hAnsi="Verdana"/>
          <w:color w:val="333333"/>
          <w:sz w:val="17"/>
          <w:szCs w:val="17"/>
        </w:rPr>
        <w:t>titulo</w:t>
      </w:r>
      <w:proofErr w:type="gramEnd"/>
      <w:r w:rsidRPr="00EE4172">
        <w:rPr>
          <w:rFonts w:ascii="Verdana" w:hAnsi="Verdana"/>
          <w:color w:val="333333"/>
          <w:sz w:val="17"/>
          <w:szCs w:val="17"/>
        </w:rPr>
        <w:t xml:space="preserve"> do artigo na língua original e em inglês; e titulo resumido na língua original do artigo com até 50 caracteres com espaço.</w:t>
      </w:r>
    </w:p>
    <w:p w14:paraId="54ECAD2B"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Resumo e abstract</w:t>
      </w:r>
    </w:p>
    <w:p w14:paraId="16BC2942"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 segunda página deve conter o resumo em língua portuguesa, com no máximo 1800 caracteres com espaço. Em seguida ao resumo citar três a seis palavras chaves de acordo com os Descritores em Ciências da Saúde publicados pela Biblioteca Virtual em Saúde (http://decs.bvs.br).</w:t>
      </w:r>
    </w:p>
    <w:p w14:paraId="4B878C43"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 terceira página deve conter o </w:t>
      </w:r>
      <w:r w:rsidRPr="00EE4172">
        <w:rPr>
          <w:rFonts w:ascii="Verdana" w:hAnsi="Verdana"/>
          <w:i/>
          <w:iCs/>
          <w:color w:val="333333"/>
          <w:sz w:val="17"/>
          <w:szCs w:val="17"/>
        </w:rPr>
        <w:t>abstract </w:t>
      </w:r>
      <w:r w:rsidRPr="00EE4172">
        <w:rPr>
          <w:rFonts w:ascii="Verdana" w:hAnsi="Verdana"/>
          <w:color w:val="333333"/>
          <w:sz w:val="17"/>
          <w:szCs w:val="17"/>
        </w:rPr>
        <w:t>em língua inglesa, que deverá ser a tradução fiel do texto em português, com o máximo de 1800 caracteres com espaço. Citando as </w:t>
      </w:r>
      <w:proofErr w:type="spellStart"/>
      <w:r w:rsidRPr="00EE4172">
        <w:rPr>
          <w:rFonts w:ascii="Verdana" w:hAnsi="Verdana"/>
          <w:i/>
          <w:iCs/>
          <w:color w:val="333333"/>
          <w:sz w:val="17"/>
          <w:szCs w:val="17"/>
        </w:rPr>
        <w:t>key</w:t>
      </w:r>
      <w:proofErr w:type="spellEnd"/>
      <w:r w:rsidRPr="00EE4172">
        <w:rPr>
          <w:rFonts w:ascii="Verdana" w:hAnsi="Verdana"/>
          <w:i/>
          <w:iCs/>
          <w:color w:val="333333"/>
          <w:sz w:val="17"/>
          <w:szCs w:val="17"/>
        </w:rPr>
        <w:t xml:space="preserve"> words</w:t>
      </w:r>
      <w:r w:rsidRPr="00EE4172">
        <w:rPr>
          <w:rFonts w:ascii="Verdana" w:hAnsi="Verdana"/>
          <w:color w:val="333333"/>
          <w:sz w:val="17"/>
          <w:szCs w:val="17"/>
        </w:rPr>
        <w:t> de acordo com os Descritores em Ciências da Saúde ou da </w:t>
      </w:r>
      <w:r w:rsidRPr="00EE4172">
        <w:rPr>
          <w:rFonts w:ascii="Verdana" w:hAnsi="Verdana"/>
          <w:i/>
          <w:iCs/>
          <w:color w:val="333333"/>
          <w:sz w:val="17"/>
          <w:szCs w:val="17"/>
        </w:rPr>
        <w:t xml:space="preserve">Medical </w:t>
      </w:r>
      <w:proofErr w:type="spellStart"/>
      <w:r w:rsidRPr="00EE4172">
        <w:rPr>
          <w:rFonts w:ascii="Verdana" w:hAnsi="Verdana"/>
          <w:i/>
          <w:iCs/>
          <w:color w:val="333333"/>
          <w:sz w:val="17"/>
          <w:szCs w:val="17"/>
        </w:rPr>
        <w:t>Subject</w:t>
      </w:r>
      <w:proofErr w:type="spellEnd"/>
      <w:r w:rsidRPr="00EE4172">
        <w:rPr>
          <w:rFonts w:ascii="Verdana" w:hAnsi="Verdana"/>
          <w:i/>
          <w:iCs/>
          <w:color w:val="333333"/>
          <w:sz w:val="17"/>
          <w:szCs w:val="17"/>
        </w:rPr>
        <w:t xml:space="preserve"> </w:t>
      </w:r>
      <w:proofErr w:type="spellStart"/>
      <w:r w:rsidRPr="00EE4172">
        <w:rPr>
          <w:rFonts w:ascii="Verdana" w:hAnsi="Verdana"/>
          <w:i/>
          <w:iCs/>
          <w:color w:val="333333"/>
          <w:sz w:val="17"/>
          <w:szCs w:val="17"/>
        </w:rPr>
        <w:t>Headings</w:t>
      </w:r>
      <w:proofErr w:type="spellEnd"/>
      <w:r w:rsidRPr="00EE4172">
        <w:rPr>
          <w:rFonts w:ascii="Verdana" w:hAnsi="Verdana"/>
          <w:i/>
          <w:iCs/>
          <w:color w:val="333333"/>
          <w:sz w:val="17"/>
          <w:szCs w:val="17"/>
        </w:rPr>
        <w:t xml:space="preserve"> (</w:t>
      </w:r>
      <w:proofErr w:type="spellStart"/>
      <w:r w:rsidRPr="00EE4172">
        <w:rPr>
          <w:rFonts w:ascii="Verdana" w:hAnsi="Verdana"/>
          <w:i/>
          <w:iCs/>
          <w:color w:val="333333"/>
          <w:sz w:val="17"/>
          <w:szCs w:val="17"/>
        </w:rPr>
        <w:t>MeSH</w:t>
      </w:r>
      <w:proofErr w:type="spellEnd"/>
      <w:r w:rsidRPr="00EE4172">
        <w:rPr>
          <w:rFonts w:ascii="Verdana" w:hAnsi="Verdana"/>
          <w:i/>
          <w:iCs/>
          <w:color w:val="333333"/>
          <w:sz w:val="17"/>
          <w:szCs w:val="17"/>
        </w:rPr>
        <w:t>) </w:t>
      </w:r>
      <w:r w:rsidRPr="00EE4172">
        <w:rPr>
          <w:rFonts w:ascii="Verdana" w:hAnsi="Verdana"/>
          <w:color w:val="333333"/>
          <w:sz w:val="17"/>
          <w:szCs w:val="17"/>
        </w:rPr>
        <w:t>(http://www.nlm.nih.gov/</w:t>
      </w:r>
      <w:proofErr w:type="spellStart"/>
      <w:r w:rsidRPr="00EE4172">
        <w:rPr>
          <w:rFonts w:ascii="Verdana" w:hAnsi="Verdana"/>
          <w:color w:val="333333"/>
          <w:sz w:val="17"/>
          <w:szCs w:val="17"/>
        </w:rPr>
        <w:t>mesh</w:t>
      </w:r>
      <w:proofErr w:type="spellEnd"/>
      <w:r w:rsidRPr="00EE4172">
        <w:rPr>
          <w:rFonts w:ascii="Verdana" w:hAnsi="Verdana"/>
          <w:color w:val="333333"/>
          <w:sz w:val="17"/>
          <w:szCs w:val="17"/>
        </w:rPr>
        <w:t>).</w:t>
      </w:r>
    </w:p>
    <w:p w14:paraId="2A1CC487"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Os resumos e </w:t>
      </w:r>
      <w:r w:rsidRPr="00EE4172">
        <w:rPr>
          <w:rFonts w:ascii="Verdana" w:hAnsi="Verdana"/>
          <w:i/>
          <w:iCs/>
          <w:color w:val="333333"/>
          <w:sz w:val="17"/>
          <w:szCs w:val="17"/>
        </w:rPr>
        <w:t>abstracts</w:t>
      </w:r>
      <w:r w:rsidRPr="00EE4172">
        <w:rPr>
          <w:rFonts w:ascii="Verdana" w:hAnsi="Verdana"/>
          <w:color w:val="333333"/>
          <w:sz w:val="17"/>
          <w:szCs w:val="17"/>
        </w:rPr>
        <w:t> para artigos originais devem ser estruturados contendo objetivo, método, resultados e conclusão. Para artigos de revisão, históricos, especiais e relato de caso o resumo deve sintetizar o conteúdo do artigo sem conter divisões.</w:t>
      </w:r>
    </w:p>
    <w:p w14:paraId="2CAC2EE2"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Artigos internacionais escritos em inglês ou espanhol devem conter o resumo em português e o abstract em inglês.</w:t>
      </w:r>
    </w:p>
    <w:p w14:paraId="648F64A6"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 </w:t>
      </w:r>
    </w:p>
    <w:p w14:paraId="6C151842"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Texto do artigo</w:t>
      </w:r>
    </w:p>
    <w:p w14:paraId="005081A9"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Deverá ser iniciado a partir da quarta página. Os artigos originais devem conter obrigatoriamente Introdução, Métodos, Resultados, Discussão, Conclusão e Referências. Os relatos de caso devem conter Introdução, Relato do Caso, Discussão, Conclusão e Referências.</w:t>
      </w:r>
    </w:p>
    <w:p w14:paraId="2B8AD03E"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Os artigos de revisão, históricos e especiais devem conter ao final do texto uma conclusão ou justificativa da relevância do assunto no contexto atual.</w:t>
      </w:r>
    </w:p>
    <w:p w14:paraId="07639592"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Os artigos originais que envolvam seres humanos necessariamente devem conter nos Métodos o </w:t>
      </w:r>
      <w:proofErr w:type="gramStart"/>
      <w:r w:rsidRPr="00EE4172">
        <w:rPr>
          <w:rFonts w:ascii="Verdana" w:hAnsi="Verdana"/>
          <w:color w:val="333333"/>
          <w:sz w:val="17"/>
          <w:szCs w:val="17"/>
        </w:rPr>
        <w:t>numero</w:t>
      </w:r>
      <w:proofErr w:type="gramEnd"/>
      <w:r w:rsidRPr="00EE4172">
        <w:rPr>
          <w:rFonts w:ascii="Verdana" w:hAnsi="Verdana"/>
          <w:color w:val="333333"/>
          <w:sz w:val="17"/>
          <w:szCs w:val="17"/>
        </w:rPr>
        <w:t xml:space="preserve"> do protocolo de aprovação da Comissão de Ética em Pesquisa (CEP).</w:t>
      </w:r>
    </w:p>
    <w:p w14:paraId="126DC900"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Referências</w:t>
      </w:r>
    </w:p>
    <w:p w14:paraId="18C4B901"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As referências devem ser numeradas de forma consecutivas em algarismos arábicos sobrescritos por ordem de entrada no texto (sistema numérico). Conforme as Normas de Vancouver citar todos os autores das referências até o máximo de seis; ultrapassando este </w:t>
      </w:r>
      <w:proofErr w:type="gramStart"/>
      <w:r w:rsidRPr="00EE4172">
        <w:rPr>
          <w:rFonts w:ascii="Verdana" w:hAnsi="Verdana"/>
          <w:color w:val="333333"/>
          <w:sz w:val="17"/>
          <w:szCs w:val="17"/>
        </w:rPr>
        <w:t>numero</w:t>
      </w:r>
      <w:proofErr w:type="gramEnd"/>
      <w:r w:rsidRPr="00EE4172">
        <w:rPr>
          <w:rFonts w:ascii="Verdana" w:hAnsi="Verdana"/>
          <w:color w:val="333333"/>
          <w:sz w:val="17"/>
          <w:szCs w:val="17"/>
        </w:rPr>
        <w:t xml:space="preserve"> acrescentar et al.</w:t>
      </w:r>
    </w:p>
    <w:p w14:paraId="4DFA1116"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Alguns exemplos de citações que estão de acordo com as Normas de Vancouver (http://www.icmje.org):</w:t>
      </w:r>
    </w:p>
    <w:p w14:paraId="0D6E5BE7"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Artigo em revista:</w:t>
      </w:r>
    </w:p>
    <w:p w14:paraId="5DC85767" w14:textId="77777777" w:rsidR="00EE4172" w:rsidRPr="00EE4172" w:rsidRDefault="00EE4172" w:rsidP="00EE4172">
      <w:pPr>
        <w:spacing w:before="240" w:after="240" w:line="235" w:lineRule="atLeast"/>
        <w:rPr>
          <w:rFonts w:ascii="Verdana" w:hAnsi="Verdana"/>
          <w:color w:val="333333"/>
          <w:sz w:val="17"/>
          <w:szCs w:val="17"/>
        </w:rPr>
      </w:pPr>
      <w:r w:rsidRPr="00EE4172">
        <w:rPr>
          <w:rFonts w:ascii="Verdana" w:hAnsi="Verdana"/>
          <w:color w:val="333333"/>
          <w:sz w:val="17"/>
          <w:szCs w:val="17"/>
        </w:rPr>
        <w:lastRenderedPageBreak/>
        <w:t xml:space="preserve">Autor(es). Título do Trabalho. </w:t>
      </w:r>
      <w:proofErr w:type="gramStart"/>
      <w:r w:rsidRPr="00EE4172">
        <w:rPr>
          <w:rFonts w:ascii="Verdana" w:hAnsi="Verdana"/>
          <w:color w:val="333333"/>
          <w:sz w:val="17"/>
          <w:szCs w:val="17"/>
        </w:rPr>
        <w:t>Titulo</w:t>
      </w:r>
      <w:proofErr w:type="gramEnd"/>
      <w:r w:rsidRPr="00EE4172">
        <w:rPr>
          <w:rFonts w:ascii="Verdana" w:hAnsi="Verdana"/>
          <w:color w:val="333333"/>
          <w:sz w:val="17"/>
          <w:szCs w:val="17"/>
        </w:rPr>
        <w:t xml:space="preserve"> abreviado do periódico. Ano; volume (número do fascículo): Página inicial-final do artigo.</w:t>
      </w:r>
    </w:p>
    <w:p w14:paraId="69CDE3E1" w14:textId="77777777" w:rsidR="00EE4172" w:rsidRPr="00EE4172" w:rsidRDefault="00EE4172" w:rsidP="00EE4172">
      <w:pPr>
        <w:spacing w:before="240" w:after="240"/>
        <w:rPr>
          <w:rFonts w:ascii="Verdana" w:hAnsi="Verdana"/>
          <w:color w:val="333333"/>
          <w:sz w:val="17"/>
          <w:szCs w:val="17"/>
          <w:lang w:val="en-US"/>
        </w:rPr>
      </w:pPr>
      <w:proofErr w:type="spellStart"/>
      <w:r w:rsidRPr="00EE4172">
        <w:rPr>
          <w:rFonts w:ascii="Verdana" w:hAnsi="Verdana"/>
          <w:color w:val="333333"/>
          <w:sz w:val="17"/>
          <w:szCs w:val="17"/>
          <w:lang w:val="en-US"/>
        </w:rPr>
        <w:t>Dahlöf</w:t>
      </w:r>
      <w:proofErr w:type="spellEnd"/>
      <w:r w:rsidRPr="00EE4172">
        <w:rPr>
          <w:rFonts w:ascii="Verdana" w:hAnsi="Verdana"/>
          <w:color w:val="333333"/>
          <w:sz w:val="17"/>
          <w:szCs w:val="17"/>
          <w:lang w:val="en-US"/>
        </w:rPr>
        <w:t xml:space="preserve"> B. Cardiovascular disease risk factors: epidemiology and risk assessment. Am J Card. 2010; 105(1): 3A-9A.</w:t>
      </w:r>
    </w:p>
    <w:p w14:paraId="1AAC2A4C" w14:textId="77777777" w:rsidR="00EE4172" w:rsidRPr="00EE4172" w:rsidRDefault="00EE4172" w:rsidP="00EE4172">
      <w:pPr>
        <w:spacing w:before="240" w:after="240"/>
        <w:rPr>
          <w:rFonts w:ascii="Verdana" w:hAnsi="Verdana"/>
          <w:color w:val="333333"/>
          <w:sz w:val="17"/>
          <w:szCs w:val="17"/>
          <w:lang w:val="en-US"/>
        </w:rPr>
      </w:pPr>
      <w:proofErr w:type="spellStart"/>
      <w:r w:rsidRPr="00EE4172">
        <w:rPr>
          <w:rFonts w:ascii="Verdana" w:hAnsi="Verdana"/>
          <w:color w:val="333333"/>
          <w:sz w:val="17"/>
          <w:szCs w:val="17"/>
          <w:lang w:val="en-US"/>
        </w:rPr>
        <w:t>Bolland</w:t>
      </w:r>
      <w:proofErr w:type="spellEnd"/>
      <w:r w:rsidRPr="00EE4172">
        <w:rPr>
          <w:rFonts w:ascii="Verdana" w:hAnsi="Verdana"/>
          <w:color w:val="333333"/>
          <w:sz w:val="17"/>
          <w:szCs w:val="17"/>
          <w:lang w:val="en-US"/>
        </w:rPr>
        <w:t xml:space="preserve"> MJ, Wang TK, van Pelt NC, Horne AM, Mason BH, Ames RW, et al. Abdominal aortic calcification on vertebral morphometry images predicts incident myocardial infarction. J Bone Miner Res. 2010; 25(3): 505-12.</w:t>
      </w:r>
    </w:p>
    <w:p w14:paraId="59DF6D3D"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lang w:val="en-US"/>
        </w:rPr>
        <w:t xml:space="preserve">American Heart Association Statistics Committee and Stroke Statistics Subcommittee. </w:t>
      </w:r>
      <w:r w:rsidRPr="00EE4172">
        <w:rPr>
          <w:rFonts w:ascii="Verdana" w:hAnsi="Verdana"/>
          <w:color w:val="333333"/>
          <w:sz w:val="17"/>
          <w:szCs w:val="17"/>
        </w:rPr>
        <w:t xml:space="preserve">Heart </w:t>
      </w:r>
      <w:proofErr w:type="spellStart"/>
      <w:r w:rsidRPr="00EE4172">
        <w:rPr>
          <w:rFonts w:ascii="Verdana" w:hAnsi="Verdana"/>
          <w:color w:val="333333"/>
          <w:sz w:val="17"/>
          <w:szCs w:val="17"/>
        </w:rPr>
        <w:t>Disease</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and</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Stroke</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Statistics</w:t>
      </w:r>
      <w:proofErr w:type="spellEnd"/>
      <w:r w:rsidRPr="00EE4172">
        <w:rPr>
          <w:rFonts w:ascii="Verdana" w:hAnsi="Verdana"/>
          <w:color w:val="333333"/>
          <w:sz w:val="17"/>
          <w:szCs w:val="17"/>
        </w:rPr>
        <w:t xml:space="preserve"> - 2009 Update. </w:t>
      </w:r>
      <w:proofErr w:type="spellStart"/>
      <w:r w:rsidRPr="00EE4172">
        <w:rPr>
          <w:rFonts w:ascii="Verdana" w:hAnsi="Verdana"/>
          <w:color w:val="333333"/>
          <w:sz w:val="17"/>
          <w:szCs w:val="17"/>
        </w:rPr>
        <w:t>Circulation</w:t>
      </w:r>
      <w:proofErr w:type="spellEnd"/>
      <w:r w:rsidRPr="00EE4172">
        <w:rPr>
          <w:rFonts w:ascii="Verdana" w:hAnsi="Verdana"/>
          <w:color w:val="333333"/>
          <w:sz w:val="17"/>
          <w:szCs w:val="17"/>
        </w:rPr>
        <w:t>. 2009; 119(3): e21-e181.</w:t>
      </w:r>
    </w:p>
    <w:p w14:paraId="6B6EAFDF"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Capítulo de livro:</w:t>
      </w:r>
    </w:p>
    <w:p w14:paraId="105E01BD" w14:textId="77777777" w:rsidR="00EE4172" w:rsidRPr="00EE4172" w:rsidRDefault="00EE4172" w:rsidP="00EE4172">
      <w:pPr>
        <w:spacing w:before="240" w:after="240" w:line="235" w:lineRule="atLeast"/>
        <w:rPr>
          <w:rFonts w:ascii="Verdana" w:hAnsi="Verdana"/>
          <w:color w:val="333333"/>
          <w:sz w:val="17"/>
          <w:szCs w:val="17"/>
        </w:rPr>
      </w:pPr>
      <w:r w:rsidRPr="00EE4172">
        <w:rPr>
          <w:rFonts w:ascii="Verdana" w:hAnsi="Verdana"/>
          <w:color w:val="333333"/>
          <w:sz w:val="17"/>
          <w:szCs w:val="17"/>
        </w:rPr>
        <w:t>Autor(es) do capítulo. Título do capítulo. In: Autor(es). Título. Edição. Local de Publicação: editora; ano. Página inicial-final do capítulo.</w:t>
      </w:r>
    </w:p>
    <w:p w14:paraId="01756FBA"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Mitchell RN, </w:t>
      </w:r>
      <w:proofErr w:type="spellStart"/>
      <w:r w:rsidRPr="00EE4172">
        <w:rPr>
          <w:rFonts w:ascii="Verdana" w:hAnsi="Verdana"/>
          <w:color w:val="333333"/>
          <w:sz w:val="17"/>
          <w:szCs w:val="17"/>
        </w:rPr>
        <w:t>Schoen</w:t>
      </w:r>
      <w:proofErr w:type="spellEnd"/>
      <w:r w:rsidRPr="00EE4172">
        <w:rPr>
          <w:rFonts w:ascii="Verdana" w:hAnsi="Verdana"/>
          <w:color w:val="333333"/>
          <w:sz w:val="17"/>
          <w:szCs w:val="17"/>
        </w:rPr>
        <w:t xml:space="preserve"> FJ. </w:t>
      </w:r>
      <w:proofErr w:type="spellStart"/>
      <w:r w:rsidRPr="00EE4172">
        <w:rPr>
          <w:rFonts w:ascii="Verdana" w:hAnsi="Verdana"/>
          <w:color w:val="333333"/>
          <w:sz w:val="17"/>
          <w:szCs w:val="17"/>
        </w:rPr>
        <w:t>Blood</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Vessels</w:t>
      </w:r>
      <w:proofErr w:type="spellEnd"/>
      <w:r w:rsidRPr="00EE4172">
        <w:rPr>
          <w:rFonts w:ascii="Verdana" w:hAnsi="Verdana"/>
          <w:color w:val="333333"/>
          <w:sz w:val="17"/>
          <w:szCs w:val="17"/>
        </w:rPr>
        <w:t xml:space="preserve">. </w:t>
      </w:r>
      <w:r w:rsidRPr="00EE4172">
        <w:rPr>
          <w:rFonts w:ascii="Verdana" w:hAnsi="Verdana"/>
          <w:color w:val="333333"/>
          <w:sz w:val="17"/>
          <w:szCs w:val="17"/>
          <w:lang w:val="en-US"/>
        </w:rPr>
        <w:t xml:space="preserve">In: Kumar </w:t>
      </w:r>
      <w:proofErr w:type="spellStart"/>
      <w:proofErr w:type="gramStart"/>
      <w:r w:rsidRPr="00EE4172">
        <w:rPr>
          <w:rFonts w:ascii="Verdana" w:hAnsi="Verdana"/>
          <w:color w:val="333333"/>
          <w:sz w:val="17"/>
          <w:szCs w:val="17"/>
          <w:lang w:val="en-US"/>
        </w:rPr>
        <w:t>V,AbbasAK</w:t>
      </w:r>
      <w:proofErr w:type="spellEnd"/>
      <w:proofErr w:type="gramEnd"/>
      <w:r w:rsidRPr="00EE4172">
        <w:rPr>
          <w:rFonts w:ascii="Verdana" w:hAnsi="Verdana"/>
          <w:color w:val="333333"/>
          <w:sz w:val="17"/>
          <w:szCs w:val="17"/>
          <w:lang w:val="en-US"/>
        </w:rPr>
        <w:t xml:space="preserve">, Fausto N, Mitchell RN. Robbins and </w:t>
      </w:r>
      <w:proofErr w:type="spellStart"/>
      <w:r w:rsidRPr="00EE4172">
        <w:rPr>
          <w:rFonts w:ascii="Verdana" w:hAnsi="Verdana"/>
          <w:color w:val="333333"/>
          <w:sz w:val="17"/>
          <w:szCs w:val="17"/>
          <w:lang w:val="en-US"/>
        </w:rPr>
        <w:t>Cotran</w:t>
      </w:r>
      <w:proofErr w:type="spellEnd"/>
      <w:r w:rsidRPr="00EE4172">
        <w:rPr>
          <w:rFonts w:ascii="Verdana" w:hAnsi="Verdana"/>
          <w:color w:val="333333"/>
          <w:sz w:val="17"/>
          <w:szCs w:val="17"/>
          <w:lang w:val="en-US"/>
        </w:rPr>
        <w:t xml:space="preserve"> Pathologic Basis of Disease. </w:t>
      </w:r>
      <w:r w:rsidRPr="00EE4172">
        <w:rPr>
          <w:rFonts w:ascii="Verdana" w:hAnsi="Verdana"/>
          <w:color w:val="333333"/>
          <w:sz w:val="17"/>
          <w:szCs w:val="17"/>
        </w:rPr>
        <w:t xml:space="preserve">8th </w:t>
      </w:r>
      <w:proofErr w:type="spellStart"/>
      <w:proofErr w:type="gramStart"/>
      <w:r w:rsidRPr="00EE4172">
        <w:rPr>
          <w:rFonts w:ascii="Verdana" w:hAnsi="Verdana"/>
          <w:color w:val="333333"/>
          <w:sz w:val="17"/>
          <w:szCs w:val="17"/>
        </w:rPr>
        <w:t>ed.Philadelphia</w:t>
      </w:r>
      <w:proofErr w:type="spellEnd"/>
      <w:proofErr w:type="gramEnd"/>
      <w:r w:rsidRPr="00EE4172">
        <w:rPr>
          <w:rFonts w:ascii="Verdana" w:hAnsi="Verdana"/>
          <w:color w:val="333333"/>
          <w:sz w:val="17"/>
          <w:szCs w:val="17"/>
        </w:rPr>
        <w:t>: Elsevier, 2009.</w:t>
      </w:r>
    </w:p>
    <w:p w14:paraId="114BF1AA"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Livro:</w:t>
      </w:r>
    </w:p>
    <w:p w14:paraId="2982B7FD" w14:textId="77777777" w:rsidR="00EE4172" w:rsidRPr="00EE4172" w:rsidRDefault="00EE4172" w:rsidP="00EE4172">
      <w:pPr>
        <w:spacing w:before="240" w:after="240" w:line="235" w:lineRule="atLeast"/>
        <w:rPr>
          <w:rFonts w:ascii="Verdana" w:hAnsi="Verdana"/>
          <w:color w:val="333333"/>
          <w:sz w:val="17"/>
          <w:szCs w:val="17"/>
        </w:rPr>
      </w:pPr>
      <w:r w:rsidRPr="00EE4172">
        <w:rPr>
          <w:rFonts w:ascii="Verdana" w:hAnsi="Verdana"/>
          <w:color w:val="333333"/>
          <w:sz w:val="17"/>
          <w:szCs w:val="17"/>
        </w:rPr>
        <w:t>Autor(es). Título. Edição. Local de Publicação: editora; ano.</w:t>
      </w:r>
    </w:p>
    <w:p w14:paraId="16D930DA"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Chagas CR, </w:t>
      </w:r>
      <w:proofErr w:type="spellStart"/>
      <w:r w:rsidRPr="00EE4172">
        <w:rPr>
          <w:rFonts w:ascii="Verdana" w:hAnsi="Verdana"/>
          <w:color w:val="333333"/>
          <w:sz w:val="17"/>
          <w:szCs w:val="17"/>
        </w:rPr>
        <w:t>Menke</w:t>
      </w:r>
      <w:proofErr w:type="spellEnd"/>
      <w:r w:rsidRPr="00EE4172">
        <w:rPr>
          <w:rFonts w:ascii="Verdana" w:hAnsi="Verdana"/>
          <w:color w:val="333333"/>
          <w:sz w:val="17"/>
          <w:szCs w:val="17"/>
        </w:rPr>
        <w:t xml:space="preserve"> CH, Vieira RJS, Boff RA. Tratado de Mastologia da SBM. 1ª ed. Rio de Janeiro: </w:t>
      </w:r>
      <w:proofErr w:type="spellStart"/>
      <w:r w:rsidRPr="00EE4172">
        <w:rPr>
          <w:rFonts w:ascii="Verdana" w:hAnsi="Verdana"/>
          <w:color w:val="333333"/>
          <w:sz w:val="17"/>
          <w:szCs w:val="17"/>
        </w:rPr>
        <w:t>Revinter</w:t>
      </w:r>
      <w:proofErr w:type="spellEnd"/>
      <w:r w:rsidRPr="00EE4172">
        <w:rPr>
          <w:rFonts w:ascii="Verdana" w:hAnsi="Verdana"/>
          <w:color w:val="333333"/>
          <w:sz w:val="17"/>
          <w:szCs w:val="17"/>
        </w:rPr>
        <w:t>, 2011.</w:t>
      </w:r>
    </w:p>
    <w:p w14:paraId="2533E56A"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Material disponível na internet:</w:t>
      </w:r>
    </w:p>
    <w:p w14:paraId="52F4D6E8" w14:textId="77777777" w:rsidR="00EE4172" w:rsidRPr="00EE4172" w:rsidRDefault="00EE4172" w:rsidP="00EE4172">
      <w:pPr>
        <w:spacing w:before="240" w:after="240" w:line="235" w:lineRule="atLeast"/>
        <w:rPr>
          <w:rFonts w:ascii="Verdana" w:hAnsi="Verdana"/>
          <w:color w:val="333333"/>
          <w:sz w:val="17"/>
          <w:szCs w:val="17"/>
        </w:rPr>
      </w:pPr>
      <w:r w:rsidRPr="00EE4172">
        <w:rPr>
          <w:rFonts w:ascii="Verdana" w:hAnsi="Verdana"/>
          <w:color w:val="333333"/>
          <w:sz w:val="17"/>
          <w:szCs w:val="17"/>
        </w:rPr>
        <w:t xml:space="preserve">Autor(es) pessoa ou entidade. Título da matéria. [acesso em </w:t>
      </w:r>
      <w:proofErr w:type="spellStart"/>
      <w:r w:rsidRPr="00EE4172">
        <w:rPr>
          <w:rFonts w:ascii="Verdana" w:hAnsi="Verdana"/>
          <w:color w:val="333333"/>
          <w:sz w:val="17"/>
          <w:szCs w:val="17"/>
        </w:rPr>
        <w:t>dd</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mmm</w:t>
      </w:r>
      <w:proofErr w:type="spellEnd"/>
      <w:r w:rsidRPr="00EE4172">
        <w:rPr>
          <w:rFonts w:ascii="Verdana" w:hAnsi="Verdana"/>
          <w:color w:val="333333"/>
          <w:sz w:val="17"/>
          <w:szCs w:val="17"/>
        </w:rPr>
        <w:t xml:space="preserve"> </w:t>
      </w:r>
      <w:proofErr w:type="spellStart"/>
      <w:r w:rsidRPr="00EE4172">
        <w:rPr>
          <w:rFonts w:ascii="Verdana" w:hAnsi="Verdana"/>
          <w:color w:val="333333"/>
          <w:sz w:val="17"/>
          <w:szCs w:val="17"/>
        </w:rPr>
        <w:t>aaaa</w:t>
      </w:r>
      <w:proofErr w:type="spellEnd"/>
      <w:r w:rsidRPr="00EE4172">
        <w:rPr>
          <w:rFonts w:ascii="Verdana" w:hAnsi="Verdana"/>
          <w:color w:val="333333"/>
          <w:sz w:val="17"/>
          <w:szCs w:val="17"/>
        </w:rPr>
        <w:t>]. Disponível em: endereço eletrônico</w:t>
      </w:r>
    </w:p>
    <w:p w14:paraId="15E557BD"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Pontifícia Universidade Católica do Paraná. Manual de Normas de Vancouver: referências e citações. [acesso em24 out 2011]. Disponível em: http://www.pucpr.br/biblioteca/sibi/manual_vancouver_12_05.pdf</w:t>
      </w:r>
    </w:p>
    <w:p w14:paraId="1A63BA8A"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w:t>
      </w:r>
    </w:p>
    <w:p w14:paraId="7EF8018B"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Tabelas, gráficos e figuras</w:t>
      </w:r>
    </w:p>
    <w:p w14:paraId="0B60214B"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Devem ser numeradas em algarismos arábicos de forma independente na ordem que aparece no texto. As legendas devem permitir uma perfeita compressão, independe de explicação no texto.</w:t>
      </w:r>
    </w:p>
    <w:p w14:paraId="01E9EE07"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 xml:space="preserve">Em gráficos e figuras o </w:t>
      </w:r>
      <w:proofErr w:type="gramStart"/>
      <w:r w:rsidRPr="00EE4172">
        <w:rPr>
          <w:rFonts w:ascii="Verdana" w:hAnsi="Verdana"/>
          <w:color w:val="333333"/>
          <w:sz w:val="17"/>
          <w:szCs w:val="17"/>
        </w:rPr>
        <w:t>titulo</w:t>
      </w:r>
      <w:proofErr w:type="gramEnd"/>
      <w:r w:rsidRPr="00EE4172">
        <w:rPr>
          <w:rFonts w:ascii="Verdana" w:hAnsi="Verdana"/>
          <w:color w:val="333333"/>
          <w:sz w:val="17"/>
          <w:szCs w:val="17"/>
        </w:rPr>
        <w:t xml:space="preserve"> e a legenda explicativa de forma breve e clara aparecem na parte inferior. As tabelas não podem possuir linhas verticais, com o </w:t>
      </w:r>
      <w:proofErr w:type="gramStart"/>
      <w:r w:rsidRPr="00EE4172">
        <w:rPr>
          <w:rFonts w:ascii="Verdana" w:hAnsi="Verdana"/>
          <w:color w:val="333333"/>
          <w:sz w:val="17"/>
          <w:szCs w:val="17"/>
        </w:rPr>
        <w:t>titulo</w:t>
      </w:r>
      <w:proofErr w:type="gramEnd"/>
      <w:r w:rsidRPr="00EE4172">
        <w:rPr>
          <w:rFonts w:ascii="Verdana" w:hAnsi="Verdana"/>
          <w:color w:val="333333"/>
          <w:sz w:val="17"/>
          <w:szCs w:val="17"/>
        </w:rPr>
        <w:t xml:space="preserve"> incluído na parte superior e a legenda explicativa quando necessária apresentada na parte inferior.</w:t>
      </w:r>
    </w:p>
    <w:p w14:paraId="065D235E" w14:textId="77777777" w:rsidR="00EE4172" w:rsidRPr="00EE4172" w:rsidRDefault="00EE4172" w:rsidP="00EE4172">
      <w:pPr>
        <w:spacing w:before="240" w:after="240"/>
        <w:rPr>
          <w:rFonts w:ascii="Verdana" w:hAnsi="Verdana"/>
          <w:color w:val="333333"/>
          <w:sz w:val="17"/>
          <w:szCs w:val="17"/>
        </w:rPr>
      </w:pPr>
      <w:r w:rsidRPr="00EE4172">
        <w:rPr>
          <w:rFonts w:ascii="Verdana" w:hAnsi="Verdana"/>
          <w:b/>
          <w:bCs/>
          <w:color w:val="333333"/>
          <w:sz w:val="17"/>
          <w:szCs w:val="17"/>
        </w:rPr>
        <w:t>Abreviaturas e Nomenclatura</w:t>
      </w:r>
    </w:p>
    <w:p w14:paraId="3E226FB1"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Abreviaturas devem ser utilizadas somente quando necessárias, sendo descritas por extenso na primeira menção e seguidas pela abreviatura entre parênteses.</w:t>
      </w:r>
    </w:p>
    <w:p w14:paraId="4A23C005" w14:textId="77777777" w:rsidR="00EE4172" w:rsidRP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As medidas de valores de mensuração, radiação e laboratorial devem ser baseadas nas Unidades do Sistema Internacional (http://www.bipm.org), disponível em língua portuguesa no INMETRO (http://www.inmetro.gov.br/</w:t>
      </w:r>
      <w:proofErr w:type="spellStart"/>
      <w:r w:rsidRPr="00EE4172">
        <w:rPr>
          <w:rFonts w:ascii="Verdana" w:hAnsi="Verdana"/>
          <w:color w:val="333333"/>
          <w:sz w:val="17"/>
          <w:szCs w:val="17"/>
        </w:rPr>
        <w:t>infotec</w:t>
      </w:r>
      <w:proofErr w:type="spellEnd"/>
      <w:r w:rsidRPr="00EE4172">
        <w:rPr>
          <w:rFonts w:ascii="Verdana" w:hAnsi="Verdana"/>
          <w:color w:val="333333"/>
          <w:sz w:val="17"/>
          <w:szCs w:val="17"/>
        </w:rPr>
        <w:t>/</w:t>
      </w:r>
      <w:proofErr w:type="spellStart"/>
      <w:r w:rsidRPr="00EE4172">
        <w:rPr>
          <w:rFonts w:ascii="Verdana" w:hAnsi="Verdana"/>
          <w:color w:val="333333"/>
          <w:sz w:val="17"/>
          <w:szCs w:val="17"/>
        </w:rPr>
        <w:t>publicacoes</w:t>
      </w:r>
      <w:proofErr w:type="spellEnd"/>
      <w:r w:rsidRPr="00EE4172">
        <w:rPr>
          <w:rFonts w:ascii="Verdana" w:hAnsi="Verdana"/>
          <w:color w:val="333333"/>
          <w:sz w:val="17"/>
          <w:szCs w:val="17"/>
        </w:rPr>
        <w:t>/Si.pdf).</w:t>
      </w:r>
    </w:p>
    <w:p w14:paraId="50D943D5" w14:textId="13F8F05F" w:rsidR="00EE4172" w:rsidRDefault="00EE4172" w:rsidP="00EE4172">
      <w:pPr>
        <w:spacing w:before="240" w:after="240"/>
        <w:rPr>
          <w:rFonts w:ascii="Verdana" w:hAnsi="Verdana"/>
          <w:color w:val="333333"/>
          <w:sz w:val="17"/>
          <w:szCs w:val="17"/>
        </w:rPr>
      </w:pPr>
      <w:r w:rsidRPr="00EE4172">
        <w:rPr>
          <w:rFonts w:ascii="Verdana" w:hAnsi="Verdana"/>
          <w:color w:val="333333"/>
          <w:sz w:val="17"/>
          <w:szCs w:val="17"/>
        </w:rPr>
        <w:t>Em relação a medicamentos apenas o nome genérico deve ser citado nos artigos.</w:t>
      </w:r>
    </w:p>
    <w:p w14:paraId="3B8B34AA" w14:textId="77777777" w:rsidR="00EE4172" w:rsidRDefault="00EE4172" w:rsidP="00EE4172">
      <w:pPr>
        <w:pStyle w:val="Ttulo3"/>
        <w:spacing w:before="0" w:beforeAutospacing="0" w:after="0" w:afterAutospacing="0" w:line="324" w:lineRule="atLeast"/>
        <w:rPr>
          <w:rFonts w:ascii="Verdana" w:hAnsi="Verdana"/>
          <w:color w:val="006699"/>
          <w:sz w:val="43"/>
          <w:szCs w:val="43"/>
        </w:rPr>
      </w:pPr>
      <w:r>
        <w:rPr>
          <w:rFonts w:ascii="Verdana" w:hAnsi="Verdana"/>
          <w:color w:val="006699"/>
          <w:sz w:val="43"/>
          <w:szCs w:val="43"/>
        </w:rPr>
        <w:t>Condições para submissão</w:t>
      </w:r>
    </w:p>
    <w:p w14:paraId="66703100" w14:textId="77777777" w:rsidR="00EE4172" w:rsidRDefault="00EE4172" w:rsidP="00EE4172">
      <w:pPr>
        <w:pStyle w:val="NormalWeb"/>
        <w:spacing w:before="240" w:beforeAutospacing="0" w:after="240" w:afterAutospacing="0"/>
        <w:rPr>
          <w:rFonts w:ascii="Verdana" w:hAnsi="Verdana"/>
          <w:color w:val="333333"/>
          <w:sz w:val="17"/>
          <w:szCs w:val="17"/>
        </w:rPr>
      </w:pPr>
      <w:r>
        <w:rPr>
          <w:rFonts w:ascii="Verdana" w:hAnsi="Verdana"/>
          <w:color w:val="333333"/>
          <w:sz w:val="17"/>
          <w:szCs w:val="17"/>
        </w:rPr>
        <w:t>Como parte do processo de submissão, os autores são obrigados a verificar a conformidade da submissão em relação a todos os itens listados a seguir. As submissões que não estiverem de acordo com as normas serão devolvidas aos autores.</w:t>
      </w:r>
    </w:p>
    <w:p w14:paraId="7914C5A2" w14:textId="77777777" w:rsidR="00EE4172" w:rsidRDefault="00EE4172" w:rsidP="00EE4172">
      <w:pPr>
        <w:numPr>
          <w:ilvl w:val="0"/>
          <w:numId w:val="11"/>
        </w:numPr>
        <w:spacing w:before="100" w:beforeAutospacing="1" w:after="100" w:afterAutospacing="1"/>
        <w:rPr>
          <w:rFonts w:ascii="Verdana" w:hAnsi="Verdana"/>
          <w:color w:val="333333"/>
          <w:sz w:val="17"/>
          <w:szCs w:val="17"/>
        </w:rPr>
      </w:pPr>
      <w:r>
        <w:rPr>
          <w:rFonts w:ascii="Verdana" w:hAnsi="Verdana"/>
          <w:color w:val="333333"/>
          <w:sz w:val="17"/>
          <w:szCs w:val="17"/>
        </w:rPr>
        <w:lastRenderedPageBreak/>
        <w:t>A contribuição é original e inédita, e não está sendo avaliada para publicação por outra revista; caso contrário, deve-se justificar em "Comentários ao Editor".</w:t>
      </w:r>
    </w:p>
    <w:p w14:paraId="2CEEC2A0" w14:textId="77777777" w:rsidR="00EE4172" w:rsidRDefault="00EE4172" w:rsidP="00EE4172">
      <w:pPr>
        <w:numPr>
          <w:ilvl w:val="0"/>
          <w:numId w:val="11"/>
        </w:numPr>
        <w:spacing w:before="100" w:beforeAutospacing="1" w:after="100" w:afterAutospacing="1"/>
        <w:rPr>
          <w:rFonts w:ascii="Verdana" w:hAnsi="Verdana"/>
          <w:color w:val="333333"/>
          <w:sz w:val="17"/>
          <w:szCs w:val="17"/>
        </w:rPr>
      </w:pPr>
      <w:r>
        <w:rPr>
          <w:rFonts w:ascii="Verdana" w:hAnsi="Verdana"/>
          <w:color w:val="333333"/>
          <w:sz w:val="17"/>
          <w:szCs w:val="17"/>
        </w:rPr>
        <w:t>O texto segue os padrões de estilo e requisitos bibliográficos descritos em</w:t>
      </w:r>
      <w:r>
        <w:rPr>
          <w:rStyle w:val="apple-converted-space"/>
          <w:rFonts w:ascii="Verdana" w:hAnsi="Verdana"/>
          <w:color w:val="333333"/>
          <w:sz w:val="17"/>
          <w:szCs w:val="17"/>
        </w:rPr>
        <w:t> </w:t>
      </w:r>
      <w:hyperlink r:id="rId10" w:anchor="authorGuidelines" w:history="1">
        <w:r>
          <w:rPr>
            <w:rStyle w:val="Hyperlink"/>
            <w:rFonts w:ascii="Verdana" w:hAnsi="Verdana"/>
            <w:color w:val="006699"/>
            <w:sz w:val="17"/>
            <w:szCs w:val="17"/>
          </w:rPr>
          <w:t>Diretrizes para Autores</w:t>
        </w:r>
      </w:hyperlink>
      <w:r>
        <w:rPr>
          <w:rFonts w:ascii="Verdana" w:hAnsi="Verdana"/>
          <w:color w:val="333333"/>
          <w:sz w:val="17"/>
          <w:szCs w:val="17"/>
        </w:rPr>
        <w:t>, na seção Sobre a Revista.</w:t>
      </w:r>
    </w:p>
    <w:p w14:paraId="5EAD47D1" w14:textId="77777777" w:rsidR="00EE4172" w:rsidRDefault="00EE4172" w:rsidP="00EE4172">
      <w:pPr>
        <w:numPr>
          <w:ilvl w:val="0"/>
          <w:numId w:val="11"/>
        </w:numPr>
        <w:spacing w:before="100" w:beforeAutospacing="1" w:after="100" w:afterAutospacing="1"/>
        <w:rPr>
          <w:rFonts w:ascii="Verdana" w:hAnsi="Verdana"/>
          <w:color w:val="333333"/>
          <w:sz w:val="17"/>
          <w:szCs w:val="17"/>
        </w:rPr>
      </w:pPr>
      <w:r>
        <w:rPr>
          <w:rFonts w:ascii="Verdana" w:hAnsi="Verdana"/>
          <w:color w:val="333333"/>
          <w:sz w:val="17"/>
          <w:szCs w:val="17"/>
        </w:rPr>
        <w:t>A identificação de autoria do trabalho foi removida do arquivo e da opção Propriedades no Word, garantindo desta forma o critério de sigilo na avaliação cega pelos pares, conforme instruções disponíveis em</w:t>
      </w:r>
      <w:r>
        <w:rPr>
          <w:rStyle w:val="apple-converted-space"/>
          <w:rFonts w:ascii="Verdana" w:hAnsi="Verdana"/>
          <w:color w:val="333333"/>
          <w:sz w:val="17"/>
          <w:szCs w:val="17"/>
        </w:rPr>
        <w:t> </w:t>
      </w:r>
      <w:hyperlink r:id="rId11" w:anchor="peerReviewProcess" w:tgtFrame="_blank" w:history="1">
        <w:r>
          <w:rPr>
            <w:rStyle w:val="Hyperlink"/>
            <w:rFonts w:ascii="Verdana" w:hAnsi="Verdana"/>
            <w:color w:val="006699"/>
            <w:sz w:val="17"/>
            <w:szCs w:val="17"/>
          </w:rPr>
          <w:t>Assegurando a Avaliação Cega por Pares</w:t>
        </w:r>
      </w:hyperlink>
      <w:r>
        <w:rPr>
          <w:rFonts w:ascii="Verdana" w:hAnsi="Verdana"/>
          <w:color w:val="333333"/>
          <w:sz w:val="17"/>
          <w:szCs w:val="17"/>
        </w:rPr>
        <w:t>.</w:t>
      </w:r>
    </w:p>
    <w:p w14:paraId="502A2C46" w14:textId="77777777" w:rsidR="00EE4172" w:rsidRPr="00EE4172" w:rsidRDefault="00EE4172" w:rsidP="00EE4172">
      <w:pPr>
        <w:spacing w:before="240" w:after="240"/>
        <w:rPr>
          <w:rFonts w:ascii="Verdana" w:hAnsi="Verdana"/>
          <w:color w:val="333333"/>
          <w:sz w:val="17"/>
          <w:szCs w:val="17"/>
        </w:rPr>
      </w:pPr>
    </w:p>
    <w:p w14:paraId="002A24EC" w14:textId="77777777" w:rsidR="00EE4172" w:rsidRDefault="00EE4172" w:rsidP="00CE5069">
      <w:pPr>
        <w:widowControl w:val="0"/>
        <w:autoSpaceDE w:val="0"/>
        <w:autoSpaceDN w:val="0"/>
        <w:adjustRightInd w:val="0"/>
        <w:spacing w:line="360" w:lineRule="auto"/>
        <w:ind w:left="640" w:hanging="640"/>
        <w:rPr>
          <w:b/>
          <w:bCs/>
          <w:lang w:eastAsia="en-US"/>
        </w:rPr>
      </w:pPr>
    </w:p>
    <w:p w14:paraId="36B00652" w14:textId="77777777" w:rsidR="00EE4172" w:rsidRDefault="00EE4172" w:rsidP="00CE5069">
      <w:pPr>
        <w:widowControl w:val="0"/>
        <w:autoSpaceDE w:val="0"/>
        <w:autoSpaceDN w:val="0"/>
        <w:adjustRightInd w:val="0"/>
        <w:spacing w:line="360" w:lineRule="auto"/>
        <w:ind w:left="640" w:hanging="640"/>
        <w:rPr>
          <w:b/>
          <w:bCs/>
          <w:lang w:eastAsia="en-US"/>
        </w:rPr>
      </w:pPr>
    </w:p>
    <w:p w14:paraId="32AA0743" w14:textId="7D0D058E" w:rsidR="00EE4172" w:rsidRPr="00EE4172" w:rsidRDefault="00EE4172" w:rsidP="00CE5069">
      <w:pPr>
        <w:widowControl w:val="0"/>
        <w:autoSpaceDE w:val="0"/>
        <w:autoSpaceDN w:val="0"/>
        <w:adjustRightInd w:val="0"/>
        <w:spacing w:line="360" w:lineRule="auto"/>
        <w:ind w:left="640" w:hanging="640"/>
        <w:rPr>
          <w:b/>
          <w:bCs/>
          <w:lang w:eastAsia="en-US"/>
        </w:rPr>
      </w:pPr>
    </w:p>
    <w:sectPr w:rsidR="00EE4172" w:rsidRPr="00EE4172" w:rsidSect="00375EC9">
      <w:headerReference w:type="even" r:id="rId12"/>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9C91" w14:textId="77777777" w:rsidR="006669E9" w:rsidRDefault="006669E9" w:rsidP="00C723EA">
      <w:r>
        <w:separator/>
      </w:r>
    </w:p>
  </w:endnote>
  <w:endnote w:type="continuationSeparator" w:id="0">
    <w:p w14:paraId="683E8CD6" w14:textId="77777777" w:rsidR="006669E9" w:rsidRDefault="006669E9" w:rsidP="00C7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437" w14:textId="77777777" w:rsidR="006669E9" w:rsidRDefault="006669E9" w:rsidP="00C723EA">
      <w:r>
        <w:separator/>
      </w:r>
    </w:p>
  </w:footnote>
  <w:footnote w:type="continuationSeparator" w:id="0">
    <w:p w14:paraId="66874F6D" w14:textId="77777777" w:rsidR="006669E9" w:rsidRDefault="006669E9" w:rsidP="00C7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06693466"/>
      <w:docPartObj>
        <w:docPartGallery w:val="Page Numbers (Top of Page)"/>
        <w:docPartUnique/>
      </w:docPartObj>
    </w:sdtPr>
    <w:sdtEndPr>
      <w:rPr>
        <w:rStyle w:val="Nmerodepgina"/>
      </w:rPr>
    </w:sdtEndPr>
    <w:sdtContent>
      <w:p w14:paraId="06A5B56A" w14:textId="4E771BCF" w:rsidR="00C723EA" w:rsidRDefault="00C723EA" w:rsidP="00931115">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AC1B73" w14:textId="77777777" w:rsidR="00C723EA" w:rsidRDefault="00C723EA" w:rsidP="00C723E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2D19" w14:textId="77777777" w:rsidR="00C723EA" w:rsidRDefault="00C723EA" w:rsidP="00C723EA">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110"/>
    <w:multiLevelType w:val="hybridMultilevel"/>
    <w:tmpl w:val="A5B46D62"/>
    <w:lvl w:ilvl="0" w:tplc="0FBCF558">
      <w:start w:val="1"/>
      <w:numFmt w:val="upperLetter"/>
      <w:lvlText w:val="%1."/>
      <w:lvlJc w:val="left"/>
      <w:pPr>
        <w:ind w:left="720" w:hanging="360"/>
      </w:pPr>
    </w:lvl>
    <w:lvl w:ilvl="1" w:tplc="D4601496">
      <w:start w:val="1"/>
      <w:numFmt w:val="lowerLetter"/>
      <w:lvlText w:val="%2."/>
      <w:lvlJc w:val="left"/>
      <w:pPr>
        <w:ind w:left="1440" w:hanging="360"/>
      </w:pPr>
    </w:lvl>
    <w:lvl w:ilvl="2" w:tplc="FFE246B4">
      <w:start w:val="1"/>
      <w:numFmt w:val="lowerRoman"/>
      <w:lvlText w:val="%3."/>
      <w:lvlJc w:val="right"/>
      <w:pPr>
        <w:ind w:left="2160" w:hanging="180"/>
      </w:pPr>
    </w:lvl>
    <w:lvl w:ilvl="3" w:tplc="BFBE5FA8">
      <w:start w:val="1"/>
      <w:numFmt w:val="decimal"/>
      <w:lvlText w:val="%4."/>
      <w:lvlJc w:val="left"/>
      <w:pPr>
        <w:ind w:left="2880" w:hanging="360"/>
      </w:pPr>
    </w:lvl>
    <w:lvl w:ilvl="4" w:tplc="27BE1276">
      <w:start w:val="1"/>
      <w:numFmt w:val="lowerLetter"/>
      <w:lvlText w:val="%5."/>
      <w:lvlJc w:val="left"/>
      <w:pPr>
        <w:ind w:left="3600" w:hanging="360"/>
      </w:pPr>
    </w:lvl>
    <w:lvl w:ilvl="5" w:tplc="B6D6B02C">
      <w:start w:val="1"/>
      <w:numFmt w:val="lowerRoman"/>
      <w:lvlText w:val="%6."/>
      <w:lvlJc w:val="right"/>
      <w:pPr>
        <w:ind w:left="4320" w:hanging="180"/>
      </w:pPr>
    </w:lvl>
    <w:lvl w:ilvl="6" w:tplc="F8600214">
      <w:start w:val="1"/>
      <w:numFmt w:val="decimal"/>
      <w:lvlText w:val="%7."/>
      <w:lvlJc w:val="left"/>
      <w:pPr>
        <w:ind w:left="5040" w:hanging="360"/>
      </w:pPr>
    </w:lvl>
    <w:lvl w:ilvl="7" w:tplc="F9E69170">
      <w:start w:val="1"/>
      <w:numFmt w:val="lowerLetter"/>
      <w:lvlText w:val="%8."/>
      <w:lvlJc w:val="left"/>
      <w:pPr>
        <w:ind w:left="5760" w:hanging="360"/>
      </w:pPr>
    </w:lvl>
    <w:lvl w:ilvl="8" w:tplc="F6E43074">
      <w:start w:val="1"/>
      <w:numFmt w:val="lowerRoman"/>
      <w:lvlText w:val="%9."/>
      <w:lvlJc w:val="right"/>
      <w:pPr>
        <w:ind w:left="6480" w:hanging="180"/>
      </w:pPr>
    </w:lvl>
  </w:abstractNum>
  <w:abstractNum w:abstractNumId="1" w15:restartNumberingAfterBreak="0">
    <w:nsid w:val="11C56F66"/>
    <w:multiLevelType w:val="hybridMultilevel"/>
    <w:tmpl w:val="B22CCB34"/>
    <w:lvl w:ilvl="0" w:tplc="993890B8">
      <w:start w:val="1"/>
      <w:numFmt w:val="lowerLetter"/>
      <w:lvlText w:val="%1)"/>
      <w:lvlJc w:val="left"/>
      <w:pPr>
        <w:ind w:left="720" w:hanging="360"/>
      </w:pPr>
    </w:lvl>
    <w:lvl w:ilvl="1" w:tplc="81CE491A">
      <w:start w:val="1"/>
      <w:numFmt w:val="lowerLetter"/>
      <w:lvlText w:val="%2."/>
      <w:lvlJc w:val="left"/>
      <w:pPr>
        <w:ind w:left="1440" w:hanging="360"/>
      </w:pPr>
    </w:lvl>
    <w:lvl w:ilvl="2" w:tplc="FDF8C284">
      <w:start w:val="1"/>
      <w:numFmt w:val="lowerRoman"/>
      <w:lvlText w:val="%3."/>
      <w:lvlJc w:val="right"/>
      <w:pPr>
        <w:ind w:left="2160" w:hanging="180"/>
      </w:pPr>
    </w:lvl>
    <w:lvl w:ilvl="3" w:tplc="C91CE4D4">
      <w:start w:val="1"/>
      <w:numFmt w:val="decimal"/>
      <w:lvlText w:val="%4."/>
      <w:lvlJc w:val="left"/>
      <w:pPr>
        <w:ind w:left="2880" w:hanging="360"/>
      </w:pPr>
    </w:lvl>
    <w:lvl w:ilvl="4" w:tplc="19AEA3AC">
      <w:start w:val="1"/>
      <w:numFmt w:val="lowerLetter"/>
      <w:lvlText w:val="%5."/>
      <w:lvlJc w:val="left"/>
      <w:pPr>
        <w:ind w:left="3600" w:hanging="360"/>
      </w:pPr>
    </w:lvl>
    <w:lvl w:ilvl="5" w:tplc="8C1449CE">
      <w:start w:val="1"/>
      <w:numFmt w:val="lowerRoman"/>
      <w:lvlText w:val="%6."/>
      <w:lvlJc w:val="right"/>
      <w:pPr>
        <w:ind w:left="4320" w:hanging="180"/>
      </w:pPr>
    </w:lvl>
    <w:lvl w:ilvl="6" w:tplc="EFCC021A">
      <w:start w:val="1"/>
      <w:numFmt w:val="decimal"/>
      <w:lvlText w:val="%7."/>
      <w:lvlJc w:val="left"/>
      <w:pPr>
        <w:ind w:left="5040" w:hanging="360"/>
      </w:pPr>
    </w:lvl>
    <w:lvl w:ilvl="7" w:tplc="FABA547C">
      <w:start w:val="1"/>
      <w:numFmt w:val="lowerLetter"/>
      <w:lvlText w:val="%8."/>
      <w:lvlJc w:val="left"/>
      <w:pPr>
        <w:ind w:left="5760" w:hanging="360"/>
      </w:pPr>
    </w:lvl>
    <w:lvl w:ilvl="8" w:tplc="81448FF6">
      <w:start w:val="1"/>
      <w:numFmt w:val="lowerRoman"/>
      <w:lvlText w:val="%9."/>
      <w:lvlJc w:val="right"/>
      <w:pPr>
        <w:ind w:left="6480" w:hanging="180"/>
      </w:pPr>
    </w:lvl>
  </w:abstractNum>
  <w:abstractNum w:abstractNumId="2" w15:restartNumberingAfterBreak="0">
    <w:nsid w:val="153E193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C51B06"/>
    <w:multiLevelType w:val="hybridMultilevel"/>
    <w:tmpl w:val="542EE646"/>
    <w:lvl w:ilvl="0" w:tplc="3C32DDFA">
      <w:start w:val="1"/>
      <w:numFmt w:val="bullet"/>
      <w:lvlText w:val=""/>
      <w:lvlJc w:val="left"/>
      <w:pPr>
        <w:ind w:left="720" w:hanging="360"/>
      </w:pPr>
      <w:rPr>
        <w:rFonts w:ascii="Symbol" w:hAnsi="Symbol"/>
      </w:rPr>
    </w:lvl>
    <w:lvl w:ilvl="1" w:tplc="6054E87A">
      <w:start w:val="1"/>
      <w:numFmt w:val="bullet"/>
      <w:lvlText w:val="o"/>
      <w:lvlJc w:val="left"/>
      <w:pPr>
        <w:ind w:left="1440" w:hanging="360"/>
      </w:pPr>
      <w:rPr>
        <w:rFonts w:ascii="Courier New" w:hAnsi="Courier New"/>
      </w:rPr>
    </w:lvl>
    <w:lvl w:ilvl="2" w:tplc="23468CE4">
      <w:start w:val="1"/>
      <w:numFmt w:val="bullet"/>
      <w:lvlText w:val=""/>
      <w:lvlJc w:val="left"/>
      <w:pPr>
        <w:ind w:left="2160" w:hanging="360"/>
      </w:pPr>
      <w:rPr>
        <w:rFonts w:ascii="Wingdings" w:hAnsi="Wingdings"/>
      </w:rPr>
    </w:lvl>
    <w:lvl w:ilvl="3" w:tplc="B0DA23F8">
      <w:start w:val="1"/>
      <w:numFmt w:val="bullet"/>
      <w:lvlText w:val=""/>
      <w:lvlJc w:val="left"/>
      <w:pPr>
        <w:ind w:left="2880" w:hanging="360"/>
      </w:pPr>
      <w:rPr>
        <w:rFonts w:ascii="Symbol" w:hAnsi="Symbol"/>
      </w:rPr>
    </w:lvl>
    <w:lvl w:ilvl="4" w:tplc="687A971E">
      <w:start w:val="1"/>
      <w:numFmt w:val="bullet"/>
      <w:lvlText w:val="o"/>
      <w:lvlJc w:val="left"/>
      <w:pPr>
        <w:ind w:left="3600" w:hanging="360"/>
      </w:pPr>
      <w:rPr>
        <w:rFonts w:ascii="Courier New" w:hAnsi="Courier New"/>
      </w:rPr>
    </w:lvl>
    <w:lvl w:ilvl="5" w:tplc="D65C41D0">
      <w:start w:val="1"/>
      <w:numFmt w:val="bullet"/>
      <w:lvlText w:val=""/>
      <w:lvlJc w:val="left"/>
      <w:pPr>
        <w:ind w:left="4320" w:hanging="360"/>
      </w:pPr>
      <w:rPr>
        <w:rFonts w:ascii="Wingdings" w:hAnsi="Wingdings"/>
      </w:rPr>
    </w:lvl>
    <w:lvl w:ilvl="6" w:tplc="210AF0F4">
      <w:start w:val="1"/>
      <w:numFmt w:val="bullet"/>
      <w:lvlText w:val=""/>
      <w:lvlJc w:val="left"/>
      <w:pPr>
        <w:ind w:left="5040" w:hanging="360"/>
      </w:pPr>
      <w:rPr>
        <w:rFonts w:ascii="Symbol" w:hAnsi="Symbol"/>
      </w:rPr>
    </w:lvl>
    <w:lvl w:ilvl="7" w:tplc="703C5174">
      <w:start w:val="1"/>
      <w:numFmt w:val="bullet"/>
      <w:lvlText w:val="o"/>
      <w:lvlJc w:val="left"/>
      <w:pPr>
        <w:ind w:left="5760" w:hanging="360"/>
      </w:pPr>
      <w:rPr>
        <w:rFonts w:ascii="Courier New" w:hAnsi="Courier New"/>
      </w:rPr>
    </w:lvl>
    <w:lvl w:ilvl="8" w:tplc="3A984B2E">
      <w:start w:val="1"/>
      <w:numFmt w:val="bullet"/>
      <w:lvlText w:val=""/>
      <w:lvlJc w:val="left"/>
      <w:pPr>
        <w:ind w:left="6480" w:hanging="360"/>
      </w:pPr>
      <w:rPr>
        <w:rFonts w:ascii="Wingdings" w:hAnsi="Wingdings"/>
      </w:rPr>
    </w:lvl>
  </w:abstractNum>
  <w:abstractNum w:abstractNumId="4" w15:restartNumberingAfterBreak="0">
    <w:nsid w:val="26677AC3"/>
    <w:multiLevelType w:val="multilevel"/>
    <w:tmpl w:val="9D30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30BFE"/>
    <w:multiLevelType w:val="hybridMultilevel"/>
    <w:tmpl w:val="37FAEF68"/>
    <w:lvl w:ilvl="0" w:tplc="B9B4C554">
      <w:start w:val="1"/>
      <w:numFmt w:val="decimal"/>
      <w:lvlText w:val="%1."/>
      <w:lvlJc w:val="left"/>
      <w:pPr>
        <w:ind w:left="720" w:hanging="360"/>
      </w:pPr>
    </w:lvl>
    <w:lvl w:ilvl="1" w:tplc="CDA24322">
      <w:start w:val="1"/>
      <w:numFmt w:val="lowerLetter"/>
      <w:lvlText w:val="%2."/>
      <w:lvlJc w:val="left"/>
      <w:pPr>
        <w:ind w:left="1440" w:hanging="360"/>
      </w:pPr>
    </w:lvl>
    <w:lvl w:ilvl="2" w:tplc="BCE8AE22">
      <w:start w:val="1"/>
      <w:numFmt w:val="lowerRoman"/>
      <w:lvlText w:val="%3."/>
      <w:lvlJc w:val="right"/>
      <w:pPr>
        <w:ind w:left="2160" w:hanging="180"/>
      </w:pPr>
    </w:lvl>
    <w:lvl w:ilvl="3" w:tplc="EB523B68">
      <w:start w:val="1"/>
      <w:numFmt w:val="decimal"/>
      <w:lvlText w:val="%4."/>
      <w:lvlJc w:val="left"/>
      <w:pPr>
        <w:ind w:left="2880" w:hanging="360"/>
      </w:pPr>
    </w:lvl>
    <w:lvl w:ilvl="4" w:tplc="690204F0">
      <w:start w:val="1"/>
      <w:numFmt w:val="lowerLetter"/>
      <w:lvlText w:val="%5."/>
      <w:lvlJc w:val="left"/>
      <w:pPr>
        <w:ind w:left="3600" w:hanging="360"/>
      </w:pPr>
    </w:lvl>
    <w:lvl w:ilvl="5" w:tplc="B3D8079A">
      <w:start w:val="1"/>
      <w:numFmt w:val="lowerRoman"/>
      <w:lvlText w:val="%6."/>
      <w:lvlJc w:val="right"/>
      <w:pPr>
        <w:ind w:left="4320" w:hanging="180"/>
      </w:pPr>
    </w:lvl>
    <w:lvl w:ilvl="6" w:tplc="0A444780">
      <w:start w:val="1"/>
      <w:numFmt w:val="decimal"/>
      <w:lvlText w:val="%7."/>
      <w:lvlJc w:val="left"/>
      <w:pPr>
        <w:ind w:left="5040" w:hanging="360"/>
      </w:pPr>
    </w:lvl>
    <w:lvl w:ilvl="7" w:tplc="709A5CDE">
      <w:start w:val="1"/>
      <w:numFmt w:val="lowerLetter"/>
      <w:lvlText w:val="%8."/>
      <w:lvlJc w:val="left"/>
      <w:pPr>
        <w:ind w:left="5760" w:hanging="360"/>
      </w:pPr>
    </w:lvl>
    <w:lvl w:ilvl="8" w:tplc="323801D8">
      <w:start w:val="1"/>
      <w:numFmt w:val="lowerRoman"/>
      <w:lvlText w:val="%9."/>
      <w:lvlJc w:val="right"/>
      <w:pPr>
        <w:ind w:left="6480" w:hanging="180"/>
      </w:pPr>
    </w:lvl>
  </w:abstractNum>
  <w:abstractNum w:abstractNumId="6" w15:restartNumberingAfterBreak="0">
    <w:nsid w:val="362018E8"/>
    <w:multiLevelType w:val="hybridMultilevel"/>
    <w:tmpl w:val="3FE21C46"/>
    <w:lvl w:ilvl="0" w:tplc="D1E27FAA">
      <w:start w:val="1"/>
      <w:numFmt w:val="lowerLetter"/>
      <w:lvlText w:val="%1)"/>
      <w:lvlJc w:val="left"/>
      <w:pPr>
        <w:ind w:left="1494" w:hanging="360"/>
      </w:pPr>
    </w:lvl>
    <w:lvl w:ilvl="1" w:tplc="39026810">
      <w:start w:val="1"/>
      <w:numFmt w:val="lowerLetter"/>
      <w:lvlText w:val="%2."/>
      <w:lvlJc w:val="left"/>
      <w:pPr>
        <w:ind w:left="2214" w:hanging="360"/>
      </w:pPr>
    </w:lvl>
    <w:lvl w:ilvl="2" w:tplc="9E86EA42">
      <w:start w:val="1"/>
      <w:numFmt w:val="lowerRoman"/>
      <w:lvlText w:val="%3."/>
      <w:lvlJc w:val="right"/>
      <w:pPr>
        <w:ind w:left="2934" w:hanging="180"/>
      </w:pPr>
    </w:lvl>
    <w:lvl w:ilvl="3" w:tplc="7E1EB54A">
      <w:start w:val="1"/>
      <w:numFmt w:val="decimal"/>
      <w:lvlText w:val="%4."/>
      <w:lvlJc w:val="left"/>
      <w:pPr>
        <w:ind w:left="3654" w:hanging="360"/>
      </w:pPr>
    </w:lvl>
    <w:lvl w:ilvl="4" w:tplc="53F2BEC6">
      <w:start w:val="1"/>
      <w:numFmt w:val="lowerLetter"/>
      <w:lvlText w:val="%5."/>
      <w:lvlJc w:val="left"/>
      <w:pPr>
        <w:ind w:left="4374" w:hanging="360"/>
      </w:pPr>
    </w:lvl>
    <w:lvl w:ilvl="5" w:tplc="4A40EF92">
      <w:start w:val="1"/>
      <w:numFmt w:val="lowerRoman"/>
      <w:lvlText w:val="%6."/>
      <w:lvlJc w:val="right"/>
      <w:pPr>
        <w:ind w:left="5094" w:hanging="180"/>
      </w:pPr>
    </w:lvl>
    <w:lvl w:ilvl="6" w:tplc="502C353E">
      <w:start w:val="1"/>
      <w:numFmt w:val="decimal"/>
      <w:lvlText w:val="%7."/>
      <w:lvlJc w:val="left"/>
      <w:pPr>
        <w:ind w:left="5814" w:hanging="360"/>
      </w:pPr>
    </w:lvl>
    <w:lvl w:ilvl="7" w:tplc="D7067E72">
      <w:start w:val="1"/>
      <w:numFmt w:val="lowerLetter"/>
      <w:lvlText w:val="%8."/>
      <w:lvlJc w:val="left"/>
      <w:pPr>
        <w:ind w:left="6534" w:hanging="360"/>
      </w:pPr>
    </w:lvl>
    <w:lvl w:ilvl="8" w:tplc="68A4F650">
      <w:start w:val="1"/>
      <w:numFmt w:val="lowerRoman"/>
      <w:lvlText w:val="%9."/>
      <w:lvlJc w:val="right"/>
      <w:pPr>
        <w:ind w:left="7254" w:hanging="180"/>
      </w:pPr>
    </w:lvl>
  </w:abstractNum>
  <w:abstractNum w:abstractNumId="7" w15:restartNumberingAfterBreak="0">
    <w:nsid w:val="50A049AF"/>
    <w:multiLevelType w:val="hybridMultilevel"/>
    <w:tmpl w:val="E8E8B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5EB5789"/>
    <w:multiLevelType w:val="hybridMultilevel"/>
    <w:tmpl w:val="A46E8656"/>
    <w:lvl w:ilvl="0" w:tplc="4ADAE60A">
      <w:start w:val="1"/>
      <w:numFmt w:val="lowerLetter"/>
      <w:lvlText w:val="%1)"/>
      <w:lvlJc w:val="left"/>
      <w:pPr>
        <w:ind w:left="720" w:hanging="360"/>
      </w:pPr>
    </w:lvl>
    <w:lvl w:ilvl="1" w:tplc="B2808ADE">
      <w:start w:val="1"/>
      <w:numFmt w:val="lowerLetter"/>
      <w:lvlText w:val="%2."/>
      <w:lvlJc w:val="left"/>
      <w:pPr>
        <w:ind w:left="1440" w:hanging="360"/>
      </w:pPr>
    </w:lvl>
    <w:lvl w:ilvl="2" w:tplc="FF0C0310">
      <w:start w:val="1"/>
      <w:numFmt w:val="lowerRoman"/>
      <w:lvlText w:val="%3."/>
      <w:lvlJc w:val="right"/>
      <w:pPr>
        <w:ind w:left="2160" w:hanging="180"/>
      </w:pPr>
    </w:lvl>
    <w:lvl w:ilvl="3" w:tplc="BF1E865E">
      <w:start w:val="1"/>
      <w:numFmt w:val="decimal"/>
      <w:lvlText w:val="%4."/>
      <w:lvlJc w:val="left"/>
      <w:pPr>
        <w:ind w:left="2880" w:hanging="360"/>
      </w:pPr>
    </w:lvl>
    <w:lvl w:ilvl="4" w:tplc="3D681280">
      <w:start w:val="1"/>
      <w:numFmt w:val="lowerLetter"/>
      <w:lvlText w:val="%5."/>
      <w:lvlJc w:val="left"/>
      <w:pPr>
        <w:ind w:left="3600" w:hanging="360"/>
      </w:pPr>
    </w:lvl>
    <w:lvl w:ilvl="5" w:tplc="21AE7D34">
      <w:start w:val="1"/>
      <w:numFmt w:val="lowerRoman"/>
      <w:lvlText w:val="%6."/>
      <w:lvlJc w:val="right"/>
      <w:pPr>
        <w:ind w:left="4320" w:hanging="180"/>
      </w:pPr>
    </w:lvl>
    <w:lvl w:ilvl="6" w:tplc="B288ABFA">
      <w:start w:val="1"/>
      <w:numFmt w:val="decimal"/>
      <w:lvlText w:val="%7."/>
      <w:lvlJc w:val="left"/>
      <w:pPr>
        <w:ind w:left="5040" w:hanging="360"/>
      </w:pPr>
    </w:lvl>
    <w:lvl w:ilvl="7" w:tplc="29FE5BE6">
      <w:start w:val="1"/>
      <w:numFmt w:val="lowerLetter"/>
      <w:lvlText w:val="%8."/>
      <w:lvlJc w:val="left"/>
      <w:pPr>
        <w:ind w:left="5760" w:hanging="360"/>
      </w:pPr>
    </w:lvl>
    <w:lvl w:ilvl="8" w:tplc="DE26FD54">
      <w:start w:val="1"/>
      <w:numFmt w:val="lowerRoman"/>
      <w:lvlText w:val="%9."/>
      <w:lvlJc w:val="right"/>
      <w:pPr>
        <w:ind w:left="6480" w:hanging="180"/>
      </w:pPr>
    </w:lvl>
  </w:abstractNum>
  <w:abstractNum w:abstractNumId="9" w15:restartNumberingAfterBreak="0">
    <w:nsid w:val="58517178"/>
    <w:multiLevelType w:val="hybridMultilevel"/>
    <w:tmpl w:val="039CBF08"/>
    <w:lvl w:ilvl="0" w:tplc="89D0692C">
      <w:start w:val="1"/>
      <w:numFmt w:val="decimal"/>
      <w:lvlText w:val="%1."/>
      <w:lvlJc w:val="left"/>
      <w:pPr>
        <w:ind w:left="720" w:hanging="360"/>
      </w:pPr>
    </w:lvl>
    <w:lvl w:ilvl="1" w:tplc="35264D9E">
      <w:start w:val="1"/>
      <w:numFmt w:val="lowerLetter"/>
      <w:lvlText w:val="%2."/>
      <w:lvlJc w:val="left"/>
      <w:pPr>
        <w:ind w:left="1440" w:hanging="360"/>
      </w:pPr>
    </w:lvl>
    <w:lvl w:ilvl="2" w:tplc="3462FE28">
      <w:start w:val="1"/>
      <w:numFmt w:val="lowerRoman"/>
      <w:lvlText w:val="%3."/>
      <w:lvlJc w:val="right"/>
      <w:pPr>
        <w:ind w:left="2160" w:hanging="180"/>
      </w:pPr>
    </w:lvl>
    <w:lvl w:ilvl="3" w:tplc="0786F176">
      <w:start w:val="1"/>
      <w:numFmt w:val="decimal"/>
      <w:lvlText w:val="%4."/>
      <w:lvlJc w:val="left"/>
      <w:pPr>
        <w:ind w:left="2880" w:hanging="360"/>
      </w:pPr>
    </w:lvl>
    <w:lvl w:ilvl="4" w:tplc="D30E5458">
      <w:start w:val="1"/>
      <w:numFmt w:val="lowerLetter"/>
      <w:lvlText w:val="%5."/>
      <w:lvlJc w:val="left"/>
      <w:pPr>
        <w:ind w:left="3600" w:hanging="360"/>
      </w:pPr>
    </w:lvl>
    <w:lvl w:ilvl="5" w:tplc="44549E4C">
      <w:start w:val="1"/>
      <w:numFmt w:val="lowerRoman"/>
      <w:lvlText w:val="%6."/>
      <w:lvlJc w:val="right"/>
      <w:pPr>
        <w:ind w:left="4320" w:hanging="180"/>
      </w:pPr>
    </w:lvl>
    <w:lvl w:ilvl="6" w:tplc="314A4F04">
      <w:start w:val="1"/>
      <w:numFmt w:val="decimal"/>
      <w:lvlText w:val="%7."/>
      <w:lvlJc w:val="left"/>
      <w:pPr>
        <w:ind w:left="5040" w:hanging="360"/>
      </w:pPr>
    </w:lvl>
    <w:lvl w:ilvl="7" w:tplc="D920522C">
      <w:start w:val="1"/>
      <w:numFmt w:val="lowerLetter"/>
      <w:lvlText w:val="%8."/>
      <w:lvlJc w:val="left"/>
      <w:pPr>
        <w:ind w:left="5760" w:hanging="360"/>
      </w:pPr>
    </w:lvl>
    <w:lvl w:ilvl="8" w:tplc="CE4CF17A">
      <w:start w:val="1"/>
      <w:numFmt w:val="lowerRoman"/>
      <w:lvlText w:val="%9."/>
      <w:lvlJc w:val="right"/>
      <w:pPr>
        <w:ind w:left="6480" w:hanging="180"/>
      </w:pPr>
    </w:lvl>
  </w:abstractNum>
  <w:abstractNum w:abstractNumId="10" w15:restartNumberingAfterBreak="0">
    <w:nsid w:val="7A6A10C6"/>
    <w:multiLevelType w:val="hybridMultilevel"/>
    <w:tmpl w:val="5926856C"/>
    <w:lvl w:ilvl="0" w:tplc="FC50550A">
      <w:start w:val="1"/>
      <w:numFmt w:val="decimal"/>
      <w:lvlText w:val="%1."/>
      <w:lvlJc w:val="left"/>
      <w:pPr>
        <w:ind w:left="720" w:hanging="360"/>
      </w:pPr>
    </w:lvl>
    <w:lvl w:ilvl="1" w:tplc="D15AF9EE">
      <w:start w:val="1"/>
      <w:numFmt w:val="lowerLetter"/>
      <w:lvlText w:val="%2."/>
      <w:lvlJc w:val="left"/>
      <w:pPr>
        <w:ind w:left="1440" w:hanging="360"/>
      </w:pPr>
    </w:lvl>
    <w:lvl w:ilvl="2" w:tplc="EA904578">
      <w:start w:val="1"/>
      <w:numFmt w:val="lowerRoman"/>
      <w:lvlText w:val="%3."/>
      <w:lvlJc w:val="right"/>
      <w:pPr>
        <w:ind w:left="2160" w:hanging="180"/>
      </w:pPr>
    </w:lvl>
    <w:lvl w:ilvl="3" w:tplc="8C204A30">
      <w:start w:val="1"/>
      <w:numFmt w:val="decimal"/>
      <w:lvlText w:val="%4."/>
      <w:lvlJc w:val="left"/>
      <w:pPr>
        <w:ind w:left="2880" w:hanging="360"/>
      </w:pPr>
    </w:lvl>
    <w:lvl w:ilvl="4" w:tplc="865E50AA">
      <w:start w:val="1"/>
      <w:numFmt w:val="lowerLetter"/>
      <w:lvlText w:val="%5."/>
      <w:lvlJc w:val="left"/>
      <w:pPr>
        <w:ind w:left="3600" w:hanging="360"/>
      </w:pPr>
    </w:lvl>
    <w:lvl w:ilvl="5" w:tplc="11E6E6C8">
      <w:start w:val="1"/>
      <w:numFmt w:val="lowerRoman"/>
      <w:lvlText w:val="%6."/>
      <w:lvlJc w:val="right"/>
      <w:pPr>
        <w:ind w:left="4320" w:hanging="180"/>
      </w:pPr>
    </w:lvl>
    <w:lvl w:ilvl="6" w:tplc="292CF0C8">
      <w:start w:val="1"/>
      <w:numFmt w:val="decimal"/>
      <w:lvlText w:val="%7."/>
      <w:lvlJc w:val="left"/>
      <w:pPr>
        <w:ind w:left="5040" w:hanging="360"/>
      </w:pPr>
    </w:lvl>
    <w:lvl w:ilvl="7" w:tplc="B23C54CC">
      <w:start w:val="1"/>
      <w:numFmt w:val="lowerLetter"/>
      <w:lvlText w:val="%8."/>
      <w:lvlJc w:val="left"/>
      <w:pPr>
        <w:ind w:left="5760" w:hanging="360"/>
      </w:pPr>
    </w:lvl>
    <w:lvl w:ilvl="8" w:tplc="B03A1F4C">
      <w:start w:val="1"/>
      <w:numFmt w:val="lowerRoman"/>
      <w:lvlText w:val="%9."/>
      <w:lvlJc w:val="right"/>
      <w:pPr>
        <w:ind w:left="6480" w:hanging="180"/>
      </w:pPr>
    </w:lvl>
  </w:abstractNum>
  <w:num w:numId="1">
    <w:abstractNumId w:val="3"/>
  </w:num>
  <w:num w:numId="2">
    <w:abstractNumId w:val="9"/>
  </w:num>
  <w:num w:numId="3">
    <w:abstractNumId w:val="6"/>
  </w:num>
  <w:num w:numId="4">
    <w:abstractNumId w:val="2"/>
  </w:num>
  <w:num w:numId="5">
    <w:abstractNumId w:val="8"/>
  </w:num>
  <w:num w:numId="6">
    <w:abstractNumId w:val="0"/>
  </w:num>
  <w:num w:numId="7">
    <w:abstractNumId w:val="1"/>
  </w:num>
  <w:num w:numId="8">
    <w:abstractNumId w:val="5"/>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F8"/>
    <w:rsid w:val="00020F8C"/>
    <w:rsid w:val="0003258F"/>
    <w:rsid w:val="00054710"/>
    <w:rsid w:val="00060D9E"/>
    <w:rsid w:val="00074B10"/>
    <w:rsid w:val="000814E1"/>
    <w:rsid w:val="00082A2B"/>
    <w:rsid w:val="0009436C"/>
    <w:rsid w:val="000A7D42"/>
    <w:rsid w:val="000B5993"/>
    <w:rsid w:val="000C2BD7"/>
    <w:rsid w:val="00110F62"/>
    <w:rsid w:val="00111511"/>
    <w:rsid w:val="00114901"/>
    <w:rsid w:val="0012730E"/>
    <w:rsid w:val="0014273A"/>
    <w:rsid w:val="00146B50"/>
    <w:rsid w:val="00155BCC"/>
    <w:rsid w:val="001732D9"/>
    <w:rsid w:val="001740A7"/>
    <w:rsid w:val="001E1CB2"/>
    <w:rsid w:val="00202C45"/>
    <w:rsid w:val="002060F3"/>
    <w:rsid w:val="002142A6"/>
    <w:rsid w:val="00223990"/>
    <w:rsid w:val="00240415"/>
    <w:rsid w:val="002426D7"/>
    <w:rsid w:val="002457AC"/>
    <w:rsid w:val="0026096F"/>
    <w:rsid w:val="00277D5C"/>
    <w:rsid w:val="002B7E96"/>
    <w:rsid w:val="002C0E41"/>
    <w:rsid w:val="002E129E"/>
    <w:rsid w:val="002E3E28"/>
    <w:rsid w:val="0032565F"/>
    <w:rsid w:val="00342598"/>
    <w:rsid w:val="00355D74"/>
    <w:rsid w:val="00360B47"/>
    <w:rsid w:val="00363C17"/>
    <w:rsid w:val="00363FA7"/>
    <w:rsid w:val="00375EC9"/>
    <w:rsid w:val="00397CEF"/>
    <w:rsid w:val="003C051D"/>
    <w:rsid w:val="003C51C4"/>
    <w:rsid w:val="003E3559"/>
    <w:rsid w:val="0040390C"/>
    <w:rsid w:val="004538BE"/>
    <w:rsid w:val="00464D2B"/>
    <w:rsid w:val="00497FB5"/>
    <w:rsid w:val="004C7166"/>
    <w:rsid w:val="00514810"/>
    <w:rsid w:val="00525A98"/>
    <w:rsid w:val="00547D4B"/>
    <w:rsid w:val="00554EC6"/>
    <w:rsid w:val="0055620C"/>
    <w:rsid w:val="00556CD6"/>
    <w:rsid w:val="00575CB6"/>
    <w:rsid w:val="00593F7C"/>
    <w:rsid w:val="005967BF"/>
    <w:rsid w:val="005970FC"/>
    <w:rsid w:val="005A1212"/>
    <w:rsid w:val="005A3611"/>
    <w:rsid w:val="005B28C1"/>
    <w:rsid w:val="005C45AC"/>
    <w:rsid w:val="005F430B"/>
    <w:rsid w:val="005F6DBC"/>
    <w:rsid w:val="00601E94"/>
    <w:rsid w:val="00602C47"/>
    <w:rsid w:val="006131E3"/>
    <w:rsid w:val="00622105"/>
    <w:rsid w:val="006264CD"/>
    <w:rsid w:val="006533C7"/>
    <w:rsid w:val="00654B30"/>
    <w:rsid w:val="006628F5"/>
    <w:rsid w:val="006669E9"/>
    <w:rsid w:val="006A70E1"/>
    <w:rsid w:val="006C3A46"/>
    <w:rsid w:val="006C794E"/>
    <w:rsid w:val="006D78BA"/>
    <w:rsid w:val="006F642C"/>
    <w:rsid w:val="00707635"/>
    <w:rsid w:val="007359E8"/>
    <w:rsid w:val="00742CD8"/>
    <w:rsid w:val="00751B4C"/>
    <w:rsid w:val="007677C5"/>
    <w:rsid w:val="0078354F"/>
    <w:rsid w:val="00793FAF"/>
    <w:rsid w:val="007A0676"/>
    <w:rsid w:val="007E7606"/>
    <w:rsid w:val="0080669C"/>
    <w:rsid w:val="00832210"/>
    <w:rsid w:val="00854B18"/>
    <w:rsid w:val="008A2568"/>
    <w:rsid w:val="008A375A"/>
    <w:rsid w:val="008C1D4A"/>
    <w:rsid w:val="008D1F70"/>
    <w:rsid w:val="008D54A9"/>
    <w:rsid w:val="008D62F0"/>
    <w:rsid w:val="00901ED6"/>
    <w:rsid w:val="009C2DB4"/>
    <w:rsid w:val="00A16198"/>
    <w:rsid w:val="00A17FDD"/>
    <w:rsid w:val="00A632D2"/>
    <w:rsid w:val="00A67916"/>
    <w:rsid w:val="00A82A58"/>
    <w:rsid w:val="00A8690C"/>
    <w:rsid w:val="00AE5A2A"/>
    <w:rsid w:val="00AF3FC7"/>
    <w:rsid w:val="00B02AA6"/>
    <w:rsid w:val="00B168ED"/>
    <w:rsid w:val="00B16E3A"/>
    <w:rsid w:val="00B23EAE"/>
    <w:rsid w:val="00B2699A"/>
    <w:rsid w:val="00B30D9E"/>
    <w:rsid w:val="00B44A52"/>
    <w:rsid w:val="00B50ABD"/>
    <w:rsid w:val="00B572C2"/>
    <w:rsid w:val="00BC4414"/>
    <w:rsid w:val="00BD78C5"/>
    <w:rsid w:val="00BE6BC7"/>
    <w:rsid w:val="00BF2DD3"/>
    <w:rsid w:val="00C122F8"/>
    <w:rsid w:val="00C13EA8"/>
    <w:rsid w:val="00C21180"/>
    <w:rsid w:val="00C31F93"/>
    <w:rsid w:val="00C40E3D"/>
    <w:rsid w:val="00C55467"/>
    <w:rsid w:val="00C57418"/>
    <w:rsid w:val="00C7154F"/>
    <w:rsid w:val="00C723EA"/>
    <w:rsid w:val="00C82ACC"/>
    <w:rsid w:val="00C84D5E"/>
    <w:rsid w:val="00C851BF"/>
    <w:rsid w:val="00C90657"/>
    <w:rsid w:val="00CC5AF3"/>
    <w:rsid w:val="00CD5C79"/>
    <w:rsid w:val="00CE3829"/>
    <w:rsid w:val="00CE5069"/>
    <w:rsid w:val="00CF1EA9"/>
    <w:rsid w:val="00D242E4"/>
    <w:rsid w:val="00D2590D"/>
    <w:rsid w:val="00D37988"/>
    <w:rsid w:val="00D637C9"/>
    <w:rsid w:val="00DC56C6"/>
    <w:rsid w:val="00E234C4"/>
    <w:rsid w:val="00E26415"/>
    <w:rsid w:val="00E71695"/>
    <w:rsid w:val="00E72756"/>
    <w:rsid w:val="00E830C4"/>
    <w:rsid w:val="00E92BB2"/>
    <w:rsid w:val="00EB1D49"/>
    <w:rsid w:val="00EE4172"/>
    <w:rsid w:val="00F22C4A"/>
    <w:rsid w:val="00F365B5"/>
    <w:rsid w:val="00F6063E"/>
    <w:rsid w:val="00F619F3"/>
    <w:rsid w:val="00F61C7B"/>
    <w:rsid w:val="00F7787E"/>
    <w:rsid w:val="00F86E0D"/>
    <w:rsid w:val="00F91A35"/>
    <w:rsid w:val="00FA3D14"/>
    <w:rsid w:val="00FB2219"/>
    <w:rsid w:val="00FB4598"/>
    <w:rsid w:val="00FB7A96"/>
    <w:rsid w:val="00FD00E9"/>
    <w:rsid w:val="00FD60BD"/>
    <w:rsid w:val="00FF3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6CD75"/>
  <w15:docId w15:val="{10B26929-D4B9-F44F-9BB8-743BAA66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1D"/>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EE4172"/>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4901"/>
    <w:pPr>
      <w:spacing w:after="160" w:line="25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622105"/>
    <w:rPr>
      <w:color w:val="0563C1" w:themeColor="hyperlink"/>
      <w:u w:val="single"/>
    </w:rPr>
  </w:style>
  <w:style w:type="table" w:styleId="Tabelacomgrade">
    <w:name w:val="Table Grid"/>
    <w:basedOn w:val="Tabelanormal"/>
    <w:uiPriority w:val="39"/>
    <w:rsid w:val="00E9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6E0D"/>
    <w:pPr>
      <w:spacing w:before="100" w:beforeAutospacing="1" w:after="100" w:afterAutospacing="1"/>
    </w:pPr>
  </w:style>
  <w:style w:type="character" w:customStyle="1" w:styleId="apple-converted-space">
    <w:name w:val="apple-converted-space"/>
    <w:basedOn w:val="Fontepargpadro"/>
    <w:rsid w:val="0014273A"/>
  </w:style>
  <w:style w:type="paragraph" w:styleId="Cabealho">
    <w:name w:val="header"/>
    <w:basedOn w:val="Normal"/>
    <w:link w:val="CabealhoChar"/>
    <w:uiPriority w:val="99"/>
    <w:unhideWhenUsed/>
    <w:rsid w:val="00C723EA"/>
    <w:pPr>
      <w:tabs>
        <w:tab w:val="center" w:pos="4252"/>
        <w:tab w:val="right" w:pos="8504"/>
      </w:tabs>
    </w:pPr>
  </w:style>
  <w:style w:type="character" w:customStyle="1" w:styleId="CabealhoChar">
    <w:name w:val="Cabeçalho Char"/>
    <w:basedOn w:val="Fontepargpadro"/>
    <w:link w:val="Cabealho"/>
    <w:uiPriority w:val="99"/>
    <w:rsid w:val="00C723EA"/>
    <w:rPr>
      <w:rFonts w:ascii="Times New Roman" w:eastAsia="Times New Roman" w:hAnsi="Times New Roman" w:cs="Times New Roman"/>
      <w:sz w:val="24"/>
      <w:szCs w:val="24"/>
      <w:lang w:eastAsia="pt-BR"/>
    </w:rPr>
  </w:style>
  <w:style w:type="character" w:styleId="Nmerodepgina">
    <w:name w:val="page number"/>
    <w:basedOn w:val="Fontepargpadro"/>
    <w:uiPriority w:val="99"/>
    <w:semiHidden/>
    <w:unhideWhenUsed/>
    <w:rsid w:val="00C723EA"/>
  </w:style>
  <w:style w:type="paragraph" w:styleId="Rodap">
    <w:name w:val="footer"/>
    <w:basedOn w:val="Normal"/>
    <w:link w:val="RodapChar"/>
    <w:uiPriority w:val="99"/>
    <w:unhideWhenUsed/>
    <w:rsid w:val="00C723EA"/>
    <w:pPr>
      <w:tabs>
        <w:tab w:val="center" w:pos="4252"/>
        <w:tab w:val="right" w:pos="8504"/>
      </w:tabs>
    </w:pPr>
  </w:style>
  <w:style w:type="character" w:customStyle="1" w:styleId="RodapChar">
    <w:name w:val="Rodapé Char"/>
    <w:basedOn w:val="Fontepargpadro"/>
    <w:link w:val="Rodap"/>
    <w:uiPriority w:val="99"/>
    <w:rsid w:val="00C723EA"/>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E4172"/>
    <w:rPr>
      <w:color w:val="605E5C"/>
      <w:shd w:val="clear" w:color="auto" w:fill="E1DFDD"/>
    </w:rPr>
  </w:style>
  <w:style w:type="character" w:customStyle="1" w:styleId="Ttulo3Char">
    <w:name w:val="Título 3 Char"/>
    <w:basedOn w:val="Fontepargpadro"/>
    <w:link w:val="Ttulo3"/>
    <w:uiPriority w:val="9"/>
    <w:rsid w:val="00EE417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EE4172"/>
    <w:rPr>
      <w:b/>
      <w:bCs/>
    </w:rPr>
  </w:style>
  <w:style w:type="character" w:styleId="nfase">
    <w:name w:val="Emphasis"/>
    <w:basedOn w:val="Fontepargpadro"/>
    <w:uiPriority w:val="20"/>
    <w:qFormat/>
    <w:rsid w:val="00EE4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120">
      <w:bodyDiv w:val="1"/>
      <w:marLeft w:val="0"/>
      <w:marRight w:val="0"/>
      <w:marTop w:val="0"/>
      <w:marBottom w:val="0"/>
      <w:divBdr>
        <w:top w:val="none" w:sz="0" w:space="0" w:color="auto"/>
        <w:left w:val="none" w:sz="0" w:space="0" w:color="auto"/>
        <w:bottom w:val="none" w:sz="0" w:space="0" w:color="auto"/>
        <w:right w:val="none" w:sz="0" w:space="0" w:color="auto"/>
      </w:divBdr>
      <w:divsChild>
        <w:div w:id="545289604">
          <w:marLeft w:val="0"/>
          <w:marRight w:val="0"/>
          <w:marTop w:val="0"/>
          <w:marBottom w:val="0"/>
          <w:divBdr>
            <w:top w:val="none" w:sz="0" w:space="0" w:color="auto"/>
            <w:left w:val="none" w:sz="0" w:space="0" w:color="auto"/>
            <w:bottom w:val="none" w:sz="0" w:space="0" w:color="auto"/>
            <w:right w:val="none" w:sz="0" w:space="0" w:color="auto"/>
          </w:divBdr>
          <w:divsChild>
            <w:div w:id="1264074620">
              <w:marLeft w:val="0"/>
              <w:marRight w:val="0"/>
              <w:marTop w:val="0"/>
              <w:marBottom w:val="0"/>
              <w:divBdr>
                <w:top w:val="none" w:sz="0" w:space="0" w:color="auto"/>
                <w:left w:val="none" w:sz="0" w:space="0" w:color="auto"/>
                <w:bottom w:val="none" w:sz="0" w:space="0" w:color="auto"/>
                <w:right w:val="none" w:sz="0" w:space="0" w:color="auto"/>
              </w:divBdr>
              <w:divsChild>
                <w:div w:id="14277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5547">
      <w:bodyDiv w:val="1"/>
      <w:marLeft w:val="0"/>
      <w:marRight w:val="0"/>
      <w:marTop w:val="0"/>
      <w:marBottom w:val="0"/>
      <w:divBdr>
        <w:top w:val="none" w:sz="0" w:space="0" w:color="auto"/>
        <w:left w:val="none" w:sz="0" w:space="0" w:color="auto"/>
        <w:bottom w:val="none" w:sz="0" w:space="0" w:color="auto"/>
        <w:right w:val="none" w:sz="0" w:space="0" w:color="auto"/>
      </w:divBdr>
    </w:div>
    <w:div w:id="272056110">
      <w:bodyDiv w:val="1"/>
      <w:marLeft w:val="0"/>
      <w:marRight w:val="0"/>
      <w:marTop w:val="0"/>
      <w:marBottom w:val="0"/>
      <w:divBdr>
        <w:top w:val="none" w:sz="0" w:space="0" w:color="auto"/>
        <w:left w:val="none" w:sz="0" w:space="0" w:color="auto"/>
        <w:bottom w:val="none" w:sz="0" w:space="0" w:color="auto"/>
        <w:right w:val="none" w:sz="0" w:space="0" w:color="auto"/>
      </w:divBdr>
    </w:div>
    <w:div w:id="282426877">
      <w:bodyDiv w:val="1"/>
      <w:marLeft w:val="0"/>
      <w:marRight w:val="0"/>
      <w:marTop w:val="0"/>
      <w:marBottom w:val="0"/>
      <w:divBdr>
        <w:top w:val="none" w:sz="0" w:space="0" w:color="auto"/>
        <w:left w:val="none" w:sz="0" w:space="0" w:color="auto"/>
        <w:bottom w:val="none" w:sz="0" w:space="0" w:color="auto"/>
        <w:right w:val="none" w:sz="0" w:space="0" w:color="auto"/>
      </w:divBdr>
    </w:div>
    <w:div w:id="378286049">
      <w:bodyDiv w:val="1"/>
      <w:marLeft w:val="0"/>
      <w:marRight w:val="0"/>
      <w:marTop w:val="0"/>
      <w:marBottom w:val="0"/>
      <w:divBdr>
        <w:top w:val="none" w:sz="0" w:space="0" w:color="auto"/>
        <w:left w:val="none" w:sz="0" w:space="0" w:color="auto"/>
        <w:bottom w:val="none" w:sz="0" w:space="0" w:color="auto"/>
        <w:right w:val="none" w:sz="0" w:space="0" w:color="auto"/>
      </w:divBdr>
    </w:div>
    <w:div w:id="449596366">
      <w:bodyDiv w:val="1"/>
      <w:marLeft w:val="0"/>
      <w:marRight w:val="0"/>
      <w:marTop w:val="0"/>
      <w:marBottom w:val="0"/>
      <w:divBdr>
        <w:top w:val="none" w:sz="0" w:space="0" w:color="auto"/>
        <w:left w:val="none" w:sz="0" w:space="0" w:color="auto"/>
        <w:bottom w:val="none" w:sz="0" w:space="0" w:color="auto"/>
        <w:right w:val="none" w:sz="0" w:space="0" w:color="auto"/>
      </w:divBdr>
      <w:divsChild>
        <w:div w:id="265768883">
          <w:marLeft w:val="0"/>
          <w:marRight w:val="0"/>
          <w:marTop w:val="0"/>
          <w:marBottom w:val="0"/>
          <w:divBdr>
            <w:top w:val="none" w:sz="0" w:space="0" w:color="auto"/>
            <w:left w:val="none" w:sz="0" w:space="0" w:color="auto"/>
            <w:bottom w:val="none" w:sz="0" w:space="0" w:color="auto"/>
            <w:right w:val="none" w:sz="0" w:space="0" w:color="auto"/>
          </w:divBdr>
          <w:divsChild>
            <w:div w:id="785272758">
              <w:marLeft w:val="0"/>
              <w:marRight w:val="0"/>
              <w:marTop w:val="0"/>
              <w:marBottom w:val="0"/>
              <w:divBdr>
                <w:top w:val="none" w:sz="0" w:space="0" w:color="auto"/>
                <w:left w:val="none" w:sz="0" w:space="0" w:color="auto"/>
                <w:bottom w:val="none" w:sz="0" w:space="0" w:color="auto"/>
                <w:right w:val="none" w:sz="0" w:space="0" w:color="auto"/>
              </w:divBdr>
              <w:divsChild>
                <w:div w:id="13719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6285">
      <w:bodyDiv w:val="1"/>
      <w:marLeft w:val="0"/>
      <w:marRight w:val="0"/>
      <w:marTop w:val="0"/>
      <w:marBottom w:val="0"/>
      <w:divBdr>
        <w:top w:val="none" w:sz="0" w:space="0" w:color="auto"/>
        <w:left w:val="none" w:sz="0" w:space="0" w:color="auto"/>
        <w:bottom w:val="none" w:sz="0" w:space="0" w:color="auto"/>
        <w:right w:val="none" w:sz="0" w:space="0" w:color="auto"/>
      </w:divBdr>
      <w:divsChild>
        <w:div w:id="1103064553">
          <w:marLeft w:val="0"/>
          <w:marRight w:val="0"/>
          <w:marTop w:val="0"/>
          <w:marBottom w:val="0"/>
          <w:divBdr>
            <w:top w:val="none" w:sz="0" w:space="0" w:color="auto"/>
            <w:left w:val="none" w:sz="0" w:space="0" w:color="auto"/>
            <w:bottom w:val="none" w:sz="0" w:space="0" w:color="auto"/>
            <w:right w:val="none" w:sz="0" w:space="0" w:color="auto"/>
          </w:divBdr>
          <w:divsChild>
            <w:div w:id="1562406384">
              <w:marLeft w:val="0"/>
              <w:marRight w:val="0"/>
              <w:marTop w:val="0"/>
              <w:marBottom w:val="0"/>
              <w:divBdr>
                <w:top w:val="none" w:sz="0" w:space="0" w:color="auto"/>
                <w:left w:val="none" w:sz="0" w:space="0" w:color="auto"/>
                <w:bottom w:val="none" w:sz="0" w:space="0" w:color="auto"/>
                <w:right w:val="none" w:sz="0" w:space="0" w:color="auto"/>
              </w:divBdr>
              <w:divsChild>
                <w:div w:id="21039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5866">
      <w:bodyDiv w:val="1"/>
      <w:marLeft w:val="0"/>
      <w:marRight w:val="0"/>
      <w:marTop w:val="0"/>
      <w:marBottom w:val="0"/>
      <w:divBdr>
        <w:top w:val="none" w:sz="0" w:space="0" w:color="auto"/>
        <w:left w:val="none" w:sz="0" w:space="0" w:color="auto"/>
        <w:bottom w:val="none" w:sz="0" w:space="0" w:color="auto"/>
        <w:right w:val="none" w:sz="0" w:space="0" w:color="auto"/>
      </w:divBdr>
    </w:div>
    <w:div w:id="756024937">
      <w:bodyDiv w:val="1"/>
      <w:marLeft w:val="0"/>
      <w:marRight w:val="0"/>
      <w:marTop w:val="0"/>
      <w:marBottom w:val="0"/>
      <w:divBdr>
        <w:top w:val="none" w:sz="0" w:space="0" w:color="auto"/>
        <w:left w:val="none" w:sz="0" w:space="0" w:color="auto"/>
        <w:bottom w:val="none" w:sz="0" w:space="0" w:color="auto"/>
        <w:right w:val="none" w:sz="0" w:space="0" w:color="auto"/>
      </w:divBdr>
    </w:div>
    <w:div w:id="850798837">
      <w:bodyDiv w:val="1"/>
      <w:marLeft w:val="0"/>
      <w:marRight w:val="0"/>
      <w:marTop w:val="0"/>
      <w:marBottom w:val="0"/>
      <w:divBdr>
        <w:top w:val="none" w:sz="0" w:space="0" w:color="auto"/>
        <w:left w:val="none" w:sz="0" w:space="0" w:color="auto"/>
        <w:bottom w:val="none" w:sz="0" w:space="0" w:color="auto"/>
        <w:right w:val="none" w:sz="0" w:space="0" w:color="auto"/>
      </w:divBdr>
    </w:div>
    <w:div w:id="862282499">
      <w:bodyDiv w:val="1"/>
      <w:marLeft w:val="0"/>
      <w:marRight w:val="0"/>
      <w:marTop w:val="0"/>
      <w:marBottom w:val="0"/>
      <w:divBdr>
        <w:top w:val="none" w:sz="0" w:space="0" w:color="auto"/>
        <w:left w:val="none" w:sz="0" w:space="0" w:color="auto"/>
        <w:bottom w:val="none" w:sz="0" w:space="0" w:color="auto"/>
        <w:right w:val="none" w:sz="0" w:space="0" w:color="auto"/>
      </w:divBdr>
    </w:div>
    <w:div w:id="929854848">
      <w:bodyDiv w:val="1"/>
      <w:marLeft w:val="0"/>
      <w:marRight w:val="0"/>
      <w:marTop w:val="0"/>
      <w:marBottom w:val="0"/>
      <w:divBdr>
        <w:top w:val="none" w:sz="0" w:space="0" w:color="auto"/>
        <w:left w:val="none" w:sz="0" w:space="0" w:color="auto"/>
        <w:bottom w:val="none" w:sz="0" w:space="0" w:color="auto"/>
        <w:right w:val="none" w:sz="0" w:space="0" w:color="auto"/>
      </w:divBdr>
      <w:divsChild>
        <w:div w:id="1391464547">
          <w:marLeft w:val="0"/>
          <w:marRight w:val="0"/>
          <w:marTop w:val="0"/>
          <w:marBottom w:val="0"/>
          <w:divBdr>
            <w:top w:val="none" w:sz="0" w:space="0" w:color="auto"/>
            <w:left w:val="none" w:sz="0" w:space="0" w:color="auto"/>
            <w:bottom w:val="none" w:sz="0" w:space="0" w:color="auto"/>
            <w:right w:val="none" w:sz="0" w:space="0" w:color="auto"/>
          </w:divBdr>
          <w:divsChild>
            <w:div w:id="2097051181">
              <w:marLeft w:val="0"/>
              <w:marRight w:val="0"/>
              <w:marTop w:val="0"/>
              <w:marBottom w:val="0"/>
              <w:divBdr>
                <w:top w:val="none" w:sz="0" w:space="0" w:color="auto"/>
                <w:left w:val="none" w:sz="0" w:space="0" w:color="auto"/>
                <w:bottom w:val="none" w:sz="0" w:space="0" w:color="auto"/>
                <w:right w:val="none" w:sz="0" w:space="0" w:color="auto"/>
              </w:divBdr>
              <w:divsChild>
                <w:div w:id="1544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6722">
      <w:bodyDiv w:val="1"/>
      <w:marLeft w:val="0"/>
      <w:marRight w:val="0"/>
      <w:marTop w:val="0"/>
      <w:marBottom w:val="0"/>
      <w:divBdr>
        <w:top w:val="none" w:sz="0" w:space="0" w:color="auto"/>
        <w:left w:val="none" w:sz="0" w:space="0" w:color="auto"/>
        <w:bottom w:val="none" w:sz="0" w:space="0" w:color="auto"/>
        <w:right w:val="none" w:sz="0" w:space="0" w:color="auto"/>
      </w:divBdr>
    </w:div>
    <w:div w:id="1447112993">
      <w:bodyDiv w:val="1"/>
      <w:marLeft w:val="0"/>
      <w:marRight w:val="0"/>
      <w:marTop w:val="0"/>
      <w:marBottom w:val="0"/>
      <w:divBdr>
        <w:top w:val="none" w:sz="0" w:space="0" w:color="auto"/>
        <w:left w:val="none" w:sz="0" w:space="0" w:color="auto"/>
        <w:bottom w:val="none" w:sz="0" w:space="0" w:color="auto"/>
        <w:right w:val="none" w:sz="0" w:space="0" w:color="auto"/>
      </w:divBdr>
    </w:div>
    <w:div w:id="1554807571">
      <w:bodyDiv w:val="1"/>
      <w:marLeft w:val="0"/>
      <w:marRight w:val="0"/>
      <w:marTop w:val="0"/>
      <w:marBottom w:val="0"/>
      <w:divBdr>
        <w:top w:val="none" w:sz="0" w:space="0" w:color="auto"/>
        <w:left w:val="none" w:sz="0" w:space="0" w:color="auto"/>
        <w:bottom w:val="none" w:sz="0" w:space="0" w:color="auto"/>
        <w:right w:val="none" w:sz="0" w:space="0" w:color="auto"/>
      </w:divBdr>
      <w:divsChild>
        <w:div w:id="1187866400">
          <w:marLeft w:val="0"/>
          <w:marRight w:val="0"/>
          <w:marTop w:val="0"/>
          <w:marBottom w:val="0"/>
          <w:divBdr>
            <w:top w:val="none" w:sz="0" w:space="0" w:color="auto"/>
            <w:left w:val="none" w:sz="0" w:space="0" w:color="auto"/>
            <w:bottom w:val="none" w:sz="0" w:space="0" w:color="auto"/>
            <w:right w:val="none" w:sz="0" w:space="0" w:color="auto"/>
          </w:divBdr>
          <w:divsChild>
            <w:div w:id="1210612810">
              <w:marLeft w:val="0"/>
              <w:marRight w:val="0"/>
              <w:marTop w:val="0"/>
              <w:marBottom w:val="0"/>
              <w:divBdr>
                <w:top w:val="none" w:sz="0" w:space="0" w:color="auto"/>
                <w:left w:val="none" w:sz="0" w:space="0" w:color="auto"/>
                <w:bottom w:val="none" w:sz="0" w:space="0" w:color="auto"/>
                <w:right w:val="none" w:sz="0" w:space="0" w:color="auto"/>
              </w:divBdr>
              <w:divsChild>
                <w:div w:id="520054379">
                  <w:marLeft w:val="0"/>
                  <w:marRight w:val="0"/>
                  <w:marTop w:val="0"/>
                  <w:marBottom w:val="0"/>
                  <w:divBdr>
                    <w:top w:val="none" w:sz="0" w:space="0" w:color="auto"/>
                    <w:left w:val="none" w:sz="0" w:space="0" w:color="auto"/>
                    <w:bottom w:val="none" w:sz="0" w:space="0" w:color="auto"/>
                    <w:right w:val="none" w:sz="0" w:space="0" w:color="auto"/>
                  </w:divBdr>
                  <w:divsChild>
                    <w:div w:id="9512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6705">
      <w:bodyDiv w:val="1"/>
      <w:marLeft w:val="0"/>
      <w:marRight w:val="0"/>
      <w:marTop w:val="0"/>
      <w:marBottom w:val="0"/>
      <w:divBdr>
        <w:top w:val="none" w:sz="0" w:space="0" w:color="auto"/>
        <w:left w:val="none" w:sz="0" w:space="0" w:color="auto"/>
        <w:bottom w:val="none" w:sz="0" w:space="0" w:color="auto"/>
        <w:right w:val="none" w:sz="0" w:space="0" w:color="auto"/>
      </w:divBdr>
    </w:div>
    <w:div w:id="1611089339">
      <w:bodyDiv w:val="1"/>
      <w:marLeft w:val="0"/>
      <w:marRight w:val="0"/>
      <w:marTop w:val="0"/>
      <w:marBottom w:val="0"/>
      <w:divBdr>
        <w:top w:val="none" w:sz="0" w:space="0" w:color="auto"/>
        <w:left w:val="none" w:sz="0" w:space="0" w:color="auto"/>
        <w:bottom w:val="none" w:sz="0" w:space="0" w:color="auto"/>
        <w:right w:val="none" w:sz="0" w:space="0" w:color="auto"/>
      </w:divBdr>
    </w:div>
    <w:div w:id="1640963407">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5">
          <w:marLeft w:val="0"/>
          <w:marRight w:val="0"/>
          <w:marTop w:val="0"/>
          <w:marBottom w:val="0"/>
          <w:divBdr>
            <w:top w:val="none" w:sz="0" w:space="0" w:color="auto"/>
            <w:left w:val="none" w:sz="0" w:space="0" w:color="auto"/>
            <w:bottom w:val="none" w:sz="0" w:space="0" w:color="auto"/>
            <w:right w:val="none" w:sz="0" w:space="0" w:color="auto"/>
          </w:divBdr>
          <w:divsChild>
            <w:div w:id="142164580">
              <w:marLeft w:val="0"/>
              <w:marRight w:val="0"/>
              <w:marTop w:val="0"/>
              <w:marBottom w:val="0"/>
              <w:divBdr>
                <w:top w:val="none" w:sz="0" w:space="0" w:color="auto"/>
                <w:left w:val="none" w:sz="0" w:space="0" w:color="auto"/>
                <w:bottom w:val="none" w:sz="0" w:space="0" w:color="auto"/>
                <w:right w:val="none" w:sz="0" w:space="0" w:color="auto"/>
              </w:divBdr>
              <w:divsChild>
                <w:div w:id="348607140">
                  <w:marLeft w:val="0"/>
                  <w:marRight w:val="0"/>
                  <w:marTop w:val="0"/>
                  <w:marBottom w:val="0"/>
                  <w:divBdr>
                    <w:top w:val="none" w:sz="0" w:space="0" w:color="auto"/>
                    <w:left w:val="none" w:sz="0" w:space="0" w:color="auto"/>
                    <w:bottom w:val="none" w:sz="0" w:space="0" w:color="auto"/>
                    <w:right w:val="none" w:sz="0" w:space="0" w:color="auto"/>
                  </w:divBdr>
                  <w:divsChild>
                    <w:div w:id="14055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1543">
      <w:bodyDiv w:val="1"/>
      <w:marLeft w:val="0"/>
      <w:marRight w:val="0"/>
      <w:marTop w:val="0"/>
      <w:marBottom w:val="0"/>
      <w:divBdr>
        <w:top w:val="none" w:sz="0" w:space="0" w:color="auto"/>
        <w:left w:val="none" w:sz="0" w:space="0" w:color="auto"/>
        <w:bottom w:val="none" w:sz="0" w:space="0" w:color="auto"/>
        <w:right w:val="none" w:sz="0" w:space="0" w:color="auto"/>
      </w:divBdr>
    </w:div>
    <w:div w:id="1805155765">
      <w:bodyDiv w:val="1"/>
      <w:marLeft w:val="0"/>
      <w:marRight w:val="0"/>
      <w:marTop w:val="0"/>
      <w:marBottom w:val="0"/>
      <w:divBdr>
        <w:top w:val="none" w:sz="0" w:space="0" w:color="auto"/>
        <w:left w:val="none" w:sz="0" w:space="0" w:color="auto"/>
        <w:bottom w:val="none" w:sz="0" w:space="0" w:color="auto"/>
        <w:right w:val="none" w:sz="0" w:space="0" w:color="auto"/>
      </w:divBdr>
    </w:div>
    <w:div w:id="1904021545">
      <w:bodyDiv w:val="1"/>
      <w:marLeft w:val="0"/>
      <w:marRight w:val="0"/>
      <w:marTop w:val="0"/>
      <w:marBottom w:val="0"/>
      <w:divBdr>
        <w:top w:val="none" w:sz="0" w:space="0" w:color="auto"/>
        <w:left w:val="none" w:sz="0" w:space="0" w:color="auto"/>
        <w:bottom w:val="none" w:sz="0" w:space="0" w:color="auto"/>
        <w:right w:val="none" w:sz="0" w:space="0" w:color="auto"/>
      </w:divBdr>
    </w:div>
    <w:div w:id="1907372344">
      <w:bodyDiv w:val="1"/>
      <w:marLeft w:val="0"/>
      <w:marRight w:val="0"/>
      <w:marTop w:val="0"/>
      <w:marBottom w:val="0"/>
      <w:divBdr>
        <w:top w:val="none" w:sz="0" w:space="0" w:color="auto"/>
        <w:left w:val="none" w:sz="0" w:space="0" w:color="auto"/>
        <w:bottom w:val="none" w:sz="0" w:space="0" w:color="auto"/>
        <w:right w:val="none" w:sz="0" w:space="0" w:color="auto"/>
      </w:divBdr>
    </w:div>
    <w:div w:id="1941520753">
      <w:bodyDiv w:val="1"/>
      <w:marLeft w:val="0"/>
      <w:marRight w:val="0"/>
      <w:marTop w:val="0"/>
      <w:marBottom w:val="0"/>
      <w:divBdr>
        <w:top w:val="none" w:sz="0" w:space="0" w:color="auto"/>
        <w:left w:val="none" w:sz="0" w:space="0" w:color="auto"/>
        <w:bottom w:val="none" w:sz="0" w:space="0" w:color="auto"/>
        <w:right w:val="none" w:sz="0" w:space="0" w:color="auto"/>
      </w:divBdr>
      <w:divsChild>
        <w:div w:id="1416513070">
          <w:marLeft w:val="0"/>
          <w:marRight w:val="0"/>
          <w:marTop w:val="0"/>
          <w:marBottom w:val="0"/>
          <w:divBdr>
            <w:top w:val="none" w:sz="0" w:space="0" w:color="auto"/>
            <w:left w:val="none" w:sz="0" w:space="0" w:color="auto"/>
            <w:bottom w:val="none" w:sz="0" w:space="0" w:color="auto"/>
            <w:right w:val="none" w:sz="0" w:space="0" w:color="auto"/>
          </w:divBdr>
          <w:divsChild>
            <w:div w:id="2033726566">
              <w:marLeft w:val="0"/>
              <w:marRight w:val="0"/>
              <w:marTop w:val="0"/>
              <w:marBottom w:val="0"/>
              <w:divBdr>
                <w:top w:val="none" w:sz="0" w:space="0" w:color="auto"/>
                <w:left w:val="none" w:sz="0" w:space="0" w:color="auto"/>
                <w:bottom w:val="none" w:sz="0" w:space="0" w:color="auto"/>
                <w:right w:val="none" w:sz="0" w:space="0" w:color="auto"/>
              </w:divBdr>
              <w:divsChild>
                <w:div w:id="20482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1039">
      <w:bodyDiv w:val="1"/>
      <w:marLeft w:val="0"/>
      <w:marRight w:val="0"/>
      <w:marTop w:val="0"/>
      <w:marBottom w:val="0"/>
      <w:divBdr>
        <w:top w:val="none" w:sz="0" w:space="0" w:color="auto"/>
        <w:left w:val="none" w:sz="0" w:space="0" w:color="auto"/>
        <w:bottom w:val="none" w:sz="0" w:space="0" w:color="auto"/>
        <w:right w:val="none" w:sz="0" w:space="0" w:color="auto"/>
      </w:divBdr>
      <w:divsChild>
        <w:div w:id="1393430355">
          <w:marLeft w:val="0"/>
          <w:marRight w:val="0"/>
          <w:marTop w:val="0"/>
          <w:marBottom w:val="0"/>
          <w:divBdr>
            <w:top w:val="none" w:sz="0" w:space="0" w:color="auto"/>
            <w:left w:val="none" w:sz="0" w:space="0" w:color="auto"/>
            <w:bottom w:val="none" w:sz="0" w:space="0" w:color="auto"/>
            <w:right w:val="none" w:sz="0" w:space="0" w:color="auto"/>
          </w:divBdr>
          <w:divsChild>
            <w:div w:id="1696275343">
              <w:marLeft w:val="0"/>
              <w:marRight w:val="0"/>
              <w:marTop w:val="0"/>
              <w:marBottom w:val="0"/>
              <w:divBdr>
                <w:top w:val="none" w:sz="0" w:space="0" w:color="auto"/>
                <w:left w:val="none" w:sz="0" w:space="0" w:color="auto"/>
                <w:bottom w:val="none" w:sz="0" w:space="0" w:color="auto"/>
                <w:right w:val="none" w:sz="0" w:space="0" w:color="auto"/>
              </w:divBdr>
              <w:divsChild>
                <w:div w:id="2825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7456">
      <w:bodyDiv w:val="1"/>
      <w:marLeft w:val="0"/>
      <w:marRight w:val="0"/>
      <w:marTop w:val="0"/>
      <w:marBottom w:val="0"/>
      <w:divBdr>
        <w:top w:val="none" w:sz="0" w:space="0" w:color="auto"/>
        <w:left w:val="none" w:sz="0" w:space="0" w:color="auto"/>
        <w:bottom w:val="none" w:sz="0" w:space="0" w:color="auto"/>
        <w:right w:val="none" w:sz="0" w:space="0" w:color="auto"/>
      </w:divBdr>
      <w:divsChild>
        <w:div w:id="1783455220">
          <w:marLeft w:val="0"/>
          <w:marRight w:val="0"/>
          <w:marTop w:val="0"/>
          <w:marBottom w:val="0"/>
          <w:divBdr>
            <w:top w:val="none" w:sz="0" w:space="0" w:color="auto"/>
            <w:left w:val="none" w:sz="0" w:space="0" w:color="auto"/>
            <w:bottom w:val="none" w:sz="0" w:space="0" w:color="auto"/>
            <w:right w:val="none" w:sz="0" w:space="0" w:color="auto"/>
          </w:divBdr>
          <w:divsChild>
            <w:div w:id="876890930">
              <w:marLeft w:val="0"/>
              <w:marRight w:val="0"/>
              <w:marTop w:val="0"/>
              <w:marBottom w:val="0"/>
              <w:divBdr>
                <w:top w:val="none" w:sz="0" w:space="0" w:color="auto"/>
                <w:left w:val="none" w:sz="0" w:space="0" w:color="auto"/>
                <w:bottom w:val="none" w:sz="0" w:space="0" w:color="auto"/>
                <w:right w:val="none" w:sz="0" w:space="0" w:color="auto"/>
              </w:divBdr>
              <w:divsChild>
                <w:div w:id="316034178">
                  <w:marLeft w:val="0"/>
                  <w:marRight w:val="0"/>
                  <w:marTop w:val="0"/>
                  <w:marBottom w:val="0"/>
                  <w:divBdr>
                    <w:top w:val="none" w:sz="0" w:space="0" w:color="auto"/>
                    <w:left w:val="none" w:sz="0" w:space="0" w:color="auto"/>
                    <w:bottom w:val="none" w:sz="0" w:space="0" w:color="auto"/>
                    <w:right w:val="none" w:sz="0" w:space="0" w:color="auto"/>
                  </w:divBdr>
                  <w:divsChild>
                    <w:div w:id="9483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revistas.ucb.br/index.php/rmsbr/about/editorial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revistas.ucb.br/index.php/rmsbr/about/submissions" TargetMode="External"/><Relationship Id="rId4" Type="http://schemas.openxmlformats.org/officeDocument/2006/relationships/settings" Target="settings.xml"/><Relationship Id="rId9" Type="http://schemas.openxmlformats.org/officeDocument/2006/relationships/hyperlink" Target="https://portalrevistas.ucb.br/index.php/rmsbr/about/submission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C06E-CCE7-CB47-891E-0812A113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21433</Words>
  <Characters>115744</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Neves</dc:creator>
  <cp:keywords/>
  <dc:description/>
  <cp:lastModifiedBy>ledismar</cp:lastModifiedBy>
  <cp:revision>2</cp:revision>
  <dcterms:created xsi:type="dcterms:W3CDTF">2021-06-08T00:32:00Z</dcterms:created>
  <dcterms:modified xsi:type="dcterms:W3CDTF">2021-06-08T00:32:00Z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5b0d9e28-b819-352c-a246-b34b533618f8</vt:lpwstr>
  </property>
  <property fmtid="{D5CDD505-2E9C-101B-9397-08002B2CF9AE}" pid="24" name="Mendeley Citation Style_1">
    <vt:lpwstr>http://www.zotero.org/styles/vancouver</vt:lpwstr>
  </property>
</Properties>
</file>