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6BB4" w14:textId="564031B2" w:rsidR="0042144F" w:rsidRDefault="00F92464" w:rsidP="0042144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PONTIFÍCIA UNIVERSIDADE CATÓLICA DE GOIÁS</w:t>
      </w:r>
    </w:p>
    <w:p w14:paraId="77BF4D95" w14:textId="24275573" w:rsidR="001B4CFB" w:rsidRPr="0042144F" w:rsidRDefault="001B4CFB" w:rsidP="0042144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CURSO DE MEDICINA</w:t>
      </w:r>
    </w:p>
    <w:p w14:paraId="3964C7BC" w14:textId="1405F113" w:rsidR="0042144F" w:rsidRDefault="0042144F" w:rsidP="0042144F">
      <w:pPr>
        <w:spacing w:after="0" w:line="276" w:lineRule="auto"/>
        <w:jc w:val="center"/>
        <w:rPr>
          <w:rFonts w:ascii="Arial" w:hAnsi="Arial" w:cs="Arial"/>
          <w:lang w:eastAsia="en-US"/>
        </w:rPr>
      </w:pPr>
    </w:p>
    <w:p w14:paraId="42FE26A4" w14:textId="77777777" w:rsidR="001B4CFB" w:rsidRPr="0042144F" w:rsidRDefault="001B4CFB" w:rsidP="0042144F">
      <w:pPr>
        <w:spacing w:after="0" w:line="276" w:lineRule="auto"/>
        <w:jc w:val="center"/>
        <w:rPr>
          <w:rFonts w:ascii="Arial" w:hAnsi="Arial" w:cs="Arial"/>
          <w:lang w:eastAsia="en-US"/>
        </w:rPr>
      </w:pPr>
    </w:p>
    <w:p w14:paraId="6A4F4E23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lang w:eastAsia="en-US"/>
        </w:rPr>
      </w:pPr>
    </w:p>
    <w:p w14:paraId="7F75828E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A1E8CBA" w14:textId="4FFA2C98" w:rsidR="0042144F" w:rsidRDefault="00F92464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GEOVANA LOUISE FRANCO</w:t>
      </w:r>
    </w:p>
    <w:p w14:paraId="4B8DA839" w14:textId="14793602" w:rsidR="00F92464" w:rsidRPr="0042144F" w:rsidRDefault="00F92464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IZABELA FERREIRA ROCHA</w:t>
      </w:r>
    </w:p>
    <w:p w14:paraId="6109A13F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18387E8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E018FDF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D6DD410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396D2CE0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2C5F56A8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608C373B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7E2FC838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0A20FADE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2E44C721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1F980479" w14:textId="219756D1" w:rsidR="0042144F" w:rsidRPr="0042144F" w:rsidRDefault="00292013" w:rsidP="004214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AVALIAÇÃO DO MANEJO E DESFECHO CLÍNICO DE SEPSE EM UM PRONTO SOCORRO DE HOSPITAL PÚBLICO</w:t>
      </w:r>
    </w:p>
    <w:p w14:paraId="0FE1A61E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EAE8C10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940205F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C26BF31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5819D1B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874FAA2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AC01348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5B0A9B7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456BB549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0168943" w14:textId="77777777" w:rsidR="0042144F" w:rsidRPr="0042144F" w:rsidRDefault="0042144F" w:rsidP="0042144F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B9C9DB8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25B4F2C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3F90EB8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4B68A7A" w14:textId="66EA5776" w:rsid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6932B56" w14:textId="77777777" w:rsidR="00AF44E6" w:rsidRPr="0042144F" w:rsidRDefault="00AF44E6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9EB37CC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FC85FE9" w14:textId="43896F3A" w:rsid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A7CE542" w14:textId="7473B8A4" w:rsidR="00AF44E6" w:rsidRDefault="00AF44E6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67F571A" w14:textId="2E3D4D19" w:rsidR="00AF44E6" w:rsidRDefault="00AF44E6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0C38AF5" w14:textId="77777777" w:rsidR="00AF44E6" w:rsidRPr="0042144F" w:rsidRDefault="00AF44E6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514161C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EA0E6F2" w14:textId="77777777" w:rsidR="0042144F" w:rsidRPr="0042144F" w:rsidRDefault="0042144F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52D0B66" w14:textId="77777777" w:rsidR="0042144F" w:rsidRPr="0042144F" w:rsidRDefault="0042144F" w:rsidP="00F92464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5696E190" w14:textId="77777777" w:rsidR="00D21655" w:rsidRPr="00D32AAD" w:rsidRDefault="00D21655" w:rsidP="00D2165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  <w:r w:rsidRPr="00D32AAD">
        <w:rPr>
          <w:rFonts w:ascii="Arial" w:hAnsi="Arial" w:cs="Arial"/>
          <w:b/>
          <w:sz w:val="28"/>
          <w:szCs w:val="24"/>
          <w:lang w:eastAsia="en-US"/>
        </w:rPr>
        <w:t>GOIÂNIA – GO</w:t>
      </w:r>
    </w:p>
    <w:p w14:paraId="75582514" w14:textId="4A2997F1" w:rsidR="00D21655" w:rsidRPr="00D32AAD" w:rsidRDefault="00D21655" w:rsidP="00D2165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  <w:r w:rsidRPr="00D32AAD">
        <w:rPr>
          <w:rFonts w:ascii="Arial" w:hAnsi="Arial" w:cs="Arial"/>
          <w:b/>
          <w:sz w:val="28"/>
          <w:szCs w:val="24"/>
          <w:lang w:eastAsia="en-US"/>
        </w:rPr>
        <w:t>20</w:t>
      </w:r>
      <w:r w:rsidR="00286527">
        <w:rPr>
          <w:rFonts w:ascii="Arial" w:hAnsi="Arial" w:cs="Arial"/>
          <w:b/>
          <w:sz w:val="28"/>
          <w:szCs w:val="24"/>
          <w:lang w:eastAsia="en-US"/>
        </w:rPr>
        <w:t>20</w:t>
      </w:r>
    </w:p>
    <w:p w14:paraId="607A8F77" w14:textId="3D9CE357" w:rsidR="00F340EB" w:rsidRPr="00F340EB" w:rsidRDefault="00F340EB" w:rsidP="00F340EB">
      <w:pPr>
        <w:spacing w:after="0"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340EB">
        <w:rPr>
          <w:rFonts w:ascii="Arial" w:hAnsi="Arial" w:cs="Arial"/>
          <w:sz w:val="28"/>
          <w:szCs w:val="28"/>
          <w:lang w:eastAsia="en-US"/>
        </w:rPr>
        <w:lastRenderedPageBreak/>
        <w:t>GEOVANA LOUISE FRANCO</w:t>
      </w:r>
    </w:p>
    <w:p w14:paraId="58DEA0B8" w14:textId="77777777" w:rsidR="00F340EB" w:rsidRPr="00F340EB" w:rsidRDefault="00F340EB" w:rsidP="00F340EB">
      <w:pPr>
        <w:spacing w:after="0"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340EB">
        <w:rPr>
          <w:rFonts w:ascii="Arial" w:hAnsi="Arial" w:cs="Arial"/>
          <w:sz w:val="28"/>
          <w:szCs w:val="28"/>
          <w:lang w:eastAsia="en-US"/>
        </w:rPr>
        <w:t>IZABELA FERREIRA ROCHA</w:t>
      </w:r>
    </w:p>
    <w:p w14:paraId="6FC8A089" w14:textId="77777777" w:rsidR="00F340EB" w:rsidRP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7EC3A4F9" w14:textId="2BEAD0F7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6A5F54FE" w14:textId="664C7621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1E5CB25F" w14:textId="6533ACF1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0A7E8FDE" w14:textId="76F24453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7342C4C" w14:textId="77777777" w:rsidR="00AF44E6" w:rsidRDefault="00AF44E6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2A6F28D8" w14:textId="3AED8908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5AEC7B4" w14:textId="5D302F63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1C96D17E" w14:textId="60EF9129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5C6E7F8A" w14:textId="77777777" w:rsidR="00D21655" w:rsidRDefault="00D21655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0DBF6C83" w14:textId="03B28921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7343588E" w14:textId="79A927CF" w:rsid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329CD261" w14:textId="77777777" w:rsidR="00F340EB" w:rsidRPr="00F340EB" w:rsidRDefault="00F340EB" w:rsidP="00F340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09DC127" w14:textId="453F98B2" w:rsidR="001B4CFB" w:rsidRDefault="00F340EB" w:rsidP="00F340E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F340EB">
        <w:rPr>
          <w:rFonts w:ascii="Arial" w:hAnsi="Arial" w:cs="Arial"/>
          <w:b/>
          <w:sz w:val="28"/>
          <w:szCs w:val="28"/>
          <w:lang w:eastAsia="en-US"/>
        </w:rPr>
        <w:t>AVALIAÇÃO DO MANEJO E DESFECHO CLÍNICO DE SEPSE EM UM PRONTO SOCORRO DE HOSPITAL PÚBLICO</w:t>
      </w:r>
    </w:p>
    <w:p w14:paraId="7F07CFC1" w14:textId="77777777" w:rsidR="001B4CFB" w:rsidRPr="0042144F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9BA101A" w14:textId="10AD4179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1B57295" w14:textId="77777777" w:rsidR="00850A43" w:rsidRPr="0042144F" w:rsidRDefault="00850A43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01287CC" w14:textId="77777777" w:rsidR="001B4CFB" w:rsidRPr="0042144F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1F09EAA" w14:textId="1BD60CD1" w:rsidR="001B4CFB" w:rsidRPr="00F92464" w:rsidRDefault="00292013" w:rsidP="001B4CFB">
      <w:pPr>
        <w:spacing w:after="0" w:line="276" w:lineRule="auto"/>
        <w:ind w:left="4536"/>
        <w:jc w:val="both"/>
        <w:rPr>
          <w:rFonts w:ascii="Arial" w:hAnsi="Arial" w:cs="Arial"/>
          <w:sz w:val="20"/>
          <w:szCs w:val="24"/>
          <w:lang w:eastAsia="en-US"/>
        </w:rPr>
      </w:pPr>
      <w:r>
        <w:rPr>
          <w:rFonts w:ascii="Arial" w:hAnsi="Arial" w:cs="Arial"/>
          <w:sz w:val="20"/>
          <w:szCs w:val="24"/>
          <w:lang w:eastAsia="en-US"/>
        </w:rPr>
        <w:t xml:space="preserve">Apresentação de projeto de </w:t>
      </w:r>
      <w:r w:rsidR="001B4CFB">
        <w:rPr>
          <w:rFonts w:ascii="Arial" w:hAnsi="Arial" w:cs="Arial"/>
          <w:sz w:val="20"/>
          <w:szCs w:val="24"/>
          <w:lang w:eastAsia="en-US"/>
        </w:rPr>
        <w:t>Trabalho de Conclusão de Curso (TCC)</w:t>
      </w:r>
      <w:r w:rsidR="001B4CFB" w:rsidRPr="0042144F">
        <w:rPr>
          <w:rFonts w:ascii="Arial" w:hAnsi="Arial" w:cs="Arial"/>
          <w:sz w:val="20"/>
          <w:szCs w:val="24"/>
          <w:lang w:eastAsia="en-US"/>
        </w:rPr>
        <w:t xml:space="preserve">, apresentado </w:t>
      </w:r>
      <w:r w:rsidR="001B4CFB">
        <w:rPr>
          <w:rFonts w:ascii="Arial" w:hAnsi="Arial" w:cs="Arial"/>
          <w:sz w:val="20"/>
          <w:szCs w:val="24"/>
          <w:lang w:eastAsia="en-US"/>
        </w:rPr>
        <w:t>à banca examinadora da Pontifícia Universidade Católica de Goiás (PUC-GO)</w:t>
      </w:r>
      <w:r w:rsidR="001B4CFB" w:rsidRPr="0042144F">
        <w:rPr>
          <w:rFonts w:ascii="Arial" w:hAnsi="Arial" w:cs="Arial"/>
          <w:sz w:val="20"/>
          <w:szCs w:val="24"/>
          <w:lang w:eastAsia="en-US"/>
        </w:rPr>
        <w:t xml:space="preserve">, como parte das exigências para </w:t>
      </w:r>
      <w:r w:rsidR="00965F2F">
        <w:rPr>
          <w:rFonts w:ascii="Arial" w:hAnsi="Arial" w:cs="Arial"/>
          <w:sz w:val="20"/>
          <w:szCs w:val="24"/>
          <w:lang w:eastAsia="en-US"/>
        </w:rPr>
        <w:t>a conclusão</w:t>
      </w:r>
      <w:r>
        <w:rPr>
          <w:rFonts w:ascii="Arial" w:hAnsi="Arial" w:cs="Arial"/>
          <w:sz w:val="20"/>
          <w:szCs w:val="24"/>
          <w:lang w:eastAsia="en-US"/>
        </w:rPr>
        <w:t xml:space="preserve"> do curso de </w:t>
      </w:r>
      <w:r w:rsidR="001B4CFB" w:rsidRPr="00F92464">
        <w:rPr>
          <w:rFonts w:ascii="Arial" w:hAnsi="Arial" w:cs="Arial"/>
          <w:sz w:val="20"/>
          <w:szCs w:val="24"/>
          <w:lang w:eastAsia="en-US"/>
        </w:rPr>
        <w:t>Medicina.</w:t>
      </w:r>
    </w:p>
    <w:p w14:paraId="5703957B" w14:textId="77777777" w:rsidR="001B4CFB" w:rsidRPr="00F92464" w:rsidRDefault="001B4CFB" w:rsidP="001B4CFB">
      <w:pPr>
        <w:spacing w:after="0" w:line="276" w:lineRule="auto"/>
        <w:ind w:left="4536"/>
        <w:jc w:val="both"/>
        <w:rPr>
          <w:rFonts w:ascii="Arial" w:hAnsi="Arial" w:cs="Arial"/>
          <w:sz w:val="20"/>
          <w:szCs w:val="24"/>
          <w:lang w:eastAsia="en-US"/>
        </w:rPr>
      </w:pPr>
    </w:p>
    <w:p w14:paraId="3F8A7297" w14:textId="79609057" w:rsidR="001B4CFB" w:rsidRPr="00F92464" w:rsidRDefault="001B4CFB" w:rsidP="001B4CFB">
      <w:pPr>
        <w:spacing w:after="0" w:line="276" w:lineRule="auto"/>
        <w:ind w:left="4536"/>
        <w:jc w:val="both"/>
        <w:rPr>
          <w:rFonts w:ascii="Arial" w:hAnsi="Arial" w:cs="Arial"/>
          <w:sz w:val="20"/>
          <w:szCs w:val="24"/>
          <w:lang w:eastAsia="en-US"/>
        </w:rPr>
      </w:pPr>
      <w:r w:rsidRPr="00F92464">
        <w:rPr>
          <w:rFonts w:ascii="Arial" w:hAnsi="Arial" w:cs="Arial"/>
          <w:sz w:val="20"/>
          <w:szCs w:val="24"/>
          <w:lang w:eastAsia="en-US"/>
        </w:rPr>
        <w:t>Orientador</w:t>
      </w:r>
      <w:r w:rsidR="00B71372">
        <w:rPr>
          <w:rFonts w:ascii="Arial" w:hAnsi="Arial" w:cs="Arial"/>
          <w:sz w:val="20"/>
          <w:szCs w:val="24"/>
          <w:lang w:eastAsia="en-US"/>
        </w:rPr>
        <w:t>a</w:t>
      </w:r>
      <w:r w:rsidRPr="00F92464">
        <w:rPr>
          <w:rFonts w:ascii="Arial" w:hAnsi="Arial" w:cs="Arial"/>
          <w:sz w:val="20"/>
          <w:szCs w:val="24"/>
          <w:lang w:eastAsia="en-US"/>
        </w:rPr>
        <w:t xml:space="preserve">: Prof. Dra. Denise </w:t>
      </w:r>
      <w:proofErr w:type="spellStart"/>
      <w:r w:rsidRPr="00F92464">
        <w:rPr>
          <w:rFonts w:ascii="Arial" w:hAnsi="Arial" w:cs="Arial"/>
          <w:sz w:val="20"/>
          <w:szCs w:val="24"/>
          <w:lang w:eastAsia="en-US"/>
        </w:rPr>
        <w:t>Milioli</w:t>
      </w:r>
      <w:proofErr w:type="spellEnd"/>
      <w:r w:rsidR="00292013">
        <w:rPr>
          <w:rFonts w:ascii="Arial" w:hAnsi="Arial" w:cs="Arial"/>
          <w:sz w:val="20"/>
          <w:szCs w:val="24"/>
          <w:lang w:eastAsia="en-US"/>
        </w:rPr>
        <w:t xml:space="preserve"> Ferreira</w:t>
      </w:r>
    </w:p>
    <w:p w14:paraId="3D5ADBB4" w14:textId="77777777" w:rsidR="001B4CFB" w:rsidRPr="0042144F" w:rsidRDefault="001B4CFB" w:rsidP="001B4CFB">
      <w:pPr>
        <w:spacing w:after="0" w:line="276" w:lineRule="auto"/>
        <w:ind w:left="4536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1AB61DA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6D5E3C2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68F2ABE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4D67ADBD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D810906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A43EB17" w14:textId="09FF123C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1C3FEFE" w14:textId="671A4637" w:rsidR="00AF44E6" w:rsidRDefault="00AF44E6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01E3FFC" w14:textId="77777777" w:rsidR="00AF44E6" w:rsidRDefault="00AF44E6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A9ECF3D" w14:textId="77777777" w:rsidR="001B4CFB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98110A1" w14:textId="77777777" w:rsidR="001B4CFB" w:rsidRPr="0042144F" w:rsidRDefault="001B4CFB" w:rsidP="001B4CFB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4767D68A" w14:textId="77777777" w:rsidR="001B4CFB" w:rsidRPr="0042144F" w:rsidRDefault="001B4CFB" w:rsidP="001B4CFB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759E551B" w14:textId="77777777" w:rsidR="001B4CFB" w:rsidRPr="00F92464" w:rsidRDefault="001B4CFB" w:rsidP="001B4CFB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  <w:r w:rsidRPr="00F92464">
        <w:rPr>
          <w:rFonts w:ascii="Arial" w:hAnsi="Arial" w:cs="Arial"/>
          <w:b/>
          <w:sz w:val="28"/>
          <w:szCs w:val="24"/>
          <w:lang w:eastAsia="en-US"/>
        </w:rPr>
        <w:t>GOIÂNIA – GO</w:t>
      </w:r>
    </w:p>
    <w:p w14:paraId="5633D901" w14:textId="01ACBC21" w:rsidR="001B4CFB" w:rsidRDefault="001B4CFB" w:rsidP="001B4CFB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  <w:r w:rsidRPr="00F92464">
        <w:rPr>
          <w:rFonts w:ascii="Arial" w:hAnsi="Arial" w:cs="Arial"/>
          <w:b/>
          <w:sz w:val="28"/>
          <w:szCs w:val="24"/>
          <w:lang w:eastAsia="en-US"/>
        </w:rPr>
        <w:t>20</w:t>
      </w:r>
      <w:r w:rsidR="00965F2F">
        <w:rPr>
          <w:rFonts w:ascii="Arial" w:hAnsi="Arial" w:cs="Arial"/>
          <w:b/>
          <w:sz w:val="28"/>
          <w:szCs w:val="24"/>
          <w:lang w:eastAsia="en-US"/>
        </w:rPr>
        <w:t>20</w:t>
      </w:r>
    </w:p>
    <w:p w14:paraId="2627DEC9" w14:textId="629A9617" w:rsidR="00F340EB" w:rsidRDefault="00F340EB" w:rsidP="001B4CFB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0846D782" w14:textId="50721A57" w:rsidR="0042144F" w:rsidRPr="001222FD" w:rsidRDefault="001B4CFB" w:rsidP="004214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222FD">
        <w:rPr>
          <w:rFonts w:ascii="Arial" w:hAnsi="Arial" w:cs="Arial"/>
          <w:b/>
          <w:sz w:val="24"/>
          <w:szCs w:val="24"/>
          <w:lang w:eastAsia="en-US"/>
        </w:rPr>
        <w:t>SUMÁRIO</w:t>
      </w:r>
    </w:p>
    <w:p w14:paraId="44695F8F" w14:textId="1983D6A1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1CDA49E" w14:textId="37EB6D89" w:rsidR="001B4CFB" w:rsidRDefault="001222FD" w:rsidP="001222FD">
      <w:pPr>
        <w:tabs>
          <w:tab w:val="left" w:pos="211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</w:p>
    <w:p w14:paraId="5CC53E12" w14:textId="266727B5" w:rsidR="00B71372" w:rsidRDefault="006B6274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r w:rsidRPr="001222FD">
        <w:rPr>
          <w:rFonts w:cs="Arial"/>
          <w:szCs w:val="24"/>
          <w:lang w:eastAsia="en-US"/>
        </w:rPr>
        <w:fldChar w:fldCharType="begin"/>
      </w:r>
      <w:r w:rsidRPr="001222FD">
        <w:rPr>
          <w:rFonts w:cs="Arial"/>
          <w:szCs w:val="24"/>
          <w:lang w:eastAsia="en-US"/>
        </w:rPr>
        <w:instrText xml:space="preserve"> TOC \o "1-3" \h \z \u </w:instrText>
      </w:r>
      <w:r w:rsidRPr="001222FD">
        <w:rPr>
          <w:rFonts w:cs="Arial"/>
          <w:szCs w:val="24"/>
          <w:lang w:eastAsia="en-US"/>
        </w:rPr>
        <w:fldChar w:fldCharType="separate"/>
      </w:r>
      <w:hyperlink w:anchor="_Toc51189551" w:history="1">
        <w:r w:rsidR="00B71372" w:rsidRPr="00001E38">
          <w:rPr>
            <w:rStyle w:val="Hyperlink"/>
            <w:rFonts w:eastAsia="Arial" w:cs="Arial"/>
            <w:noProof/>
          </w:rPr>
          <w:t>1.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noProof/>
          </w:rPr>
          <w:t>INTRODUÇÃO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_Toc51189551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4</w:t>
        </w:r>
        <w:r w:rsidR="00B71372">
          <w:rPr>
            <w:noProof/>
            <w:webHidden/>
          </w:rPr>
          <w:fldChar w:fldCharType="end"/>
        </w:r>
      </w:hyperlink>
    </w:p>
    <w:p w14:paraId="15EB1D52" w14:textId="277920B7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2" w:history="1">
        <w:r w:rsidR="00B71372" w:rsidRPr="00001E38">
          <w:rPr>
            <w:rStyle w:val="Hyperlink"/>
            <w:rFonts w:eastAsia="Arial" w:cs="Arial"/>
            <w:noProof/>
          </w:rPr>
          <w:t>2.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noProof/>
          </w:rPr>
          <w:t>MÉTODOS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_Toc51189552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6</w:t>
        </w:r>
        <w:r w:rsidR="00B71372">
          <w:rPr>
            <w:noProof/>
            <w:webHidden/>
          </w:rPr>
          <w:fldChar w:fldCharType="end"/>
        </w:r>
      </w:hyperlink>
    </w:p>
    <w:p w14:paraId="77D09207" w14:textId="5E3844A7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3" w:history="1">
        <w:r w:rsidR="00B71372" w:rsidRPr="00001E38">
          <w:rPr>
            <w:rStyle w:val="Hyperlink"/>
            <w:rFonts w:eastAsia="Arial" w:cs="Arial"/>
            <w:bCs/>
            <w:noProof/>
          </w:rPr>
          <w:t>3.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bCs/>
            <w:noProof/>
          </w:rPr>
          <w:t>RESULTADOS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_Toc51189553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8</w:t>
        </w:r>
        <w:r w:rsidR="00B71372">
          <w:rPr>
            <w:noProof/>
            <w:webHidden/>
          </w:rPr>
          <w:fldChar w:fldCharType="end"/>
        </w:r>
      </w:hyperlink>
    </w:p>
    <w:p w14:paraId="177EFC13" w14:textId="73E34542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4" w:history="1">
        <w:r w:rsidR="00B71372" w:rsidRPr="00001E38">
          <w:rPr>
            <w:rStyle w:val="Hyperlink"/>
            <w:rFonts w:eastAsia="Arial" w:cs="Arial"/>
            <w:bCs/>
            <w:noProof/>
          </w:rPr>
          <w:t>4.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bCs/>
            <w:noProof/>
          </w:rPr>
          <w:t>DISCUSSÃO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_Toc51189554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13</w:t>
        </w:r>
        <w:r w:rsidR="00B71372">
          <w:rPr>
            <w:noProof/>
            <w:webHidden/>
          </w:rPr>
          <w:fldChar w:fldCharType="end"/>
        </w:r>
      </w:hyperlink>
    </w:p>
    <w:p w14:paraId="7D991D2C" w14:textId="250EB4DB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5" w:history="1">
        <w:r w:rsidR="00B71372" w:rsidRPr="00001E38">
          <w:rPr>
            <w:rStyle w:val="Hyperlink"/>
            <w:rFonts w:eastAsia="Arial" w:cs="Arial"/>
            <w:bCs/>
            <w:noProof/>
          </w:rPr>
          <w:t>5.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bCs/>
            <w:noProof/>
          </w:rPr>
          <w:t>CONCLUSÃO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_Toc51189555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16</w:t>
        </w:r>
        <w:r w:rsidR="00B71372">
          <w:rPr>
            <w:noProof/>
            <w:webHidden/>
          </w:rPr>
          <w:fldChar w:fldCharType="end"/>
        </w:r>
      </w:hyperlink>
    </w:p>
    <w:p w14:paraId="76010AA1" w14:textId="2CD90246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6" w:history="1">
        <w:r w:rsidR="00B71372" w:rsidRPr="00001E38">
          <w:rPr>
            <w:rStyle w:val="Hyperlink"/>
            <w:rFonts w:eastAsia="Arial" w:cs="Arial"/>
            <w:noProof/>
          </w:rPr>
          <w:t>6.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eastAsia="Arial" w:cs="Arial"/>
            <w:noProof/>
          </w:rPr>
          <w:t>REFERÊNCIAS BIBLIOGRÁFICAS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_Toc51189556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17</w:t>
        </w:r>
        <w:r w:rsidR="00B71372">
          <w:rPr>
            <w:noProof/>
            <w:webHidden/>
          </w:rPr>
          <w:fldChar w:fldCharType="end"/>
        </w:r>
      </w:hyperlink>
    </w:p>
    <w:p w14:paraId="2101C730" w14:textId="13DF522F" w:rsidR="00B71372" w:rsidRDefault="001767C1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51189557" w:history="1">
        <w:r w:rsidR="00B71372" w:rsidRPr="00001E38">
          <w:rPr>
            <w:rStyle w:val="Hyperlink"/>
            <w:rFonts w:cs="Arial"/>
            <w:noProof/>
          </w:rPr>
          <w:t>7.</w:t>
        </w:r>
        <w:r w:rsidR="00B71372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B71372" w:rsidRPr="00001E38">
          <w:rPr>
            <w:rStyle w:val="Hyperlink"/>
            <w:rFonts w:cs="Arial"/>
            <w:noProof/>
          </w:rPr>
          <w:t>ANEXO</w:t>
        </w:r>
        <w:r w:rsidR="00B71372">
          <w:rPr>
            <w:noProof/>
            <w:webHidden/>
          </w:rPr>
          <w:tab/>
        </w:r>
        <w:r w:rsidR="00B71372">
          <w:rPr>
            <w:noProof/>
            <w:webHidden/>
          </w:rPr>
          <w:fldChar w:fldCharType="begin"/>
        </w:r>
        <w:r w:rsidR="00B71372">
          <w:rPr>
            <w:noProof/>
            <w:webHidden/>
          </w:rPr>
          <w:instrText xml:space="preserve"> PAGEREF _Toc51189557 \h </w:instrText>
        </w:r>
        <w:r w:rsidR="00B71372">
          <w:rPr>
            <w:noProof/>
            <w:webHidden/>
          </w:rPr>
        </w:r>
        <w:r w:rsidR="00B71372">
          <w:rPr>
            <w:noProof/>
            <w:webHidden/>
          </w:rPr>
          <w:fldChar w:fldCharType="separate"/>
        </w:r>
        <w:r w:rsidR="00B71372">
          <w:rPr>
            <w:noProof/>
            <w:webHidden/>
          </w:rPr>
          <w:t>19</w:t>
        </w:r>
        <w:r w:rsidR="00B71372">
          <w:rPr>
            <w:noProof/>
            <w:webHidden/>
          </w:rPr>
          <w:fldChar w:fldCharType="end"/>
        </w:r>
      </w:hyperlink>
    </w:p>
    <w:p w14:paraId="2834714B" w14:textId="5C434A49" w:rsidR="001B4CFB" w:rsidRDefault="006B6274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222FD">
        <w:rPr>
          <w:rFonts w:ascii="Arial" w:hAnsi="Arial" w:cs="Arial"/>
          <w:sz w:val="24"/>
          <w:szCs w:val="24"/>
          <w:lang w:eastAsia="en-US"/>
        </w:rPr>
        <w:fldChar w:fldCharType="end"/>
      </w:r>
    </w:p>
    <w:p w14:paraId="1B44CF27" w14:textId="39CBD13A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B26718A" w14:textId="6CDEA24F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4058F1C" w14:textId="544FF9EA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B33708F" w14:textId="1F71DCAB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E2B40DE" w14:textId="0C64800F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6917939" w14:textId="15E434E9" w:rsidR="001B4CFB" w:rsidRDefault="001B4CFB" w:rsidP="001B4C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ECE80C5" w14:textId="032EF344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B37282F" w14:textId="4E0D5A8F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157F55D" w14:textId="566CF3AF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CCD6701" w14:textId="5EF55074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41C49BC" w14:textId="4C4571BC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F291B3B" w14:textId="0706696C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1C07168C" w14:textId="56F8C92E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14ADF20" w14:textId="505E9A4D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8526758" w14:textId="6C537FF8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A61479A" w14:textId="6104B82F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D1AC9BB" w14:textId="57B9B890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AEA5DE8" w14:textId="5C214ED8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4DA8BD7" w14:textId="4F3362A3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15BF583" w14:textId="3FE66474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4A88306" w14:textId="4FB723B1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FE12514" w14:textId="3B5839B2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42AA3BCE" w14:textId="17C51505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EC429B8" w14:textId="46816DEE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E63277D" w14:textId="6CEED30E" w:rsidR="001B4CFB" w:rsidRDefault="001B4CFB" w:rsidP="004214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69902A8" w14:textId="38E7B695" w:rsidR="002E5A1B" w:rsidRDefault="002E5A1B" w:rsidP="007034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0000001" w14:textId="4E8DDFFE" w:rsidR="00272656" w:rsidRPr="001B4CFB" w:rsidRDefault="00921744" w:rsidP="006B6274">
      <w:pPr>
        <w:pStyle w:val="PargrafodaLista"/>
        <w:numPr>
          <w:ilvl w:val="0"/>
          <w:numId w:val="5"/>
        </w:numPr>
        <w:spacing w:line="360" w:lineRule="auto"/>
        <w:jc w:val="both"/>
        <w:outlineLvl w:val="0"/>
        <w:rPr>
          <w:rFonts w:ascii="Arial" w:eastAsia="Arial" w:hAnsi="Arial" w:cs="Arial"/>
          <w:b/>
          <w:sz w:val="24"/>
          <w:szCs w:val="24"/>
        </w:rPr>
      </w:pPr>
      <w:bookmarkStart w:id="0" w:name="_Toc51189551"/>
      <w:r w:rsidRPr="001B4CFB">
        <w:rPr>
          <w:rFonts w:ascii="Arial" w:eastAsia="Arial" w:hAnsi="Arial" w:cs="Arial"/>
          <w:b/>
          <w:sz w:val="24"/>
          <w:szCs w:val="24"/>
        </w:rPr>
        <w:lastRenderedPageBreak/>
        <w:t>INTRODUÇÃO</w:t>
      </w:r>
      <w:bookmarkEnd w:id="0"/>
    </w:p>
    <w:p w14:paraId="7BFB9E84" w14:textId="055403B9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 </w:t>
      </w:r>
      <w:r w:rsidR="00850A43">
        <w:rPr>
          <w:rFonts w:ascii="Arial" w:eastAsia="Arial" w:hAnsi="Arial" w:cs="Arial"/>
          <w:sz w:val="24"/>
          <w:szCs w:val="24"/>
        </w:rPr>
        <w:t>Singer (2016) no</w:t>
      </w:r>
      <w:r>
        <w:rPr>
          <w:rFonts w:ascii="Arial" w:eastAsia="Arial" w:hAnsi="Arial" w:cs="Arial"/>
          <w:sz w:val="24"/>
          <w:szCs w:val="24"/>
        </w:rPr>
        <w:t xml:space="preserve"> Terceiro Consenso Internacional de sepse e choque séptico, conhecido como Sepsis-3 de 2016, a sepse é</w:t>
      </w:r>
      <w:r w:rsidR="00C03C3A">
        <w:rPr>
          <w:rFonts w:ascii="Arial" w:eastAsia="Arial" w:hAnsi="Arial" w:cs="Arial"/>
          <w:sz w:val="24"/>
          <w:szCs w:val="24"/>
        </w:rPr>
        <w:t xml:space="preserve"> definida com</w:t>
      </w:r>
      <w:r>
        <w:rPr>
          <w:rFonts w:ascii="Arial" w:eastAsia="Arial" w:hAnsi="Arial" w:cs="Arial"/>
          <w:sz w:val="24"/>
          <w:szCs w:val="24"/>
        </w:rPr>
        <w:t xml:space="preserve"> disfunção orgânica causada por uma resposta desregulada do hospedeiro a uma infecção. Enquanto o choque séptico é definido como uma subcategoria de sepse, em que </w:t>
      </w:r>
      <w:r w:rsidR="00C03C3A">
        <w:rPr>
          <w:rFonts w:ascii="Arial" w:eastAsia="Arial" w:hAnsi="Arial" w:cs="Arial"/>
          <w:sz w:val="24"/>
          <w:szCs w:val="24"/>
        </w:rPr>
        <w:t>se associa</w:t>
      </w:r>
      <w:r>
        <w:rPr>
          <w:rFonts w:ascii="Arial" w:eastAsia="Arial" w:hAnsi="Arial" w:cs="Arial"/>
          <w:sz w:val="24"/>
          <w:szCs w:val="24"/>
        </w:rPr>
        <w:t xml:space="preserve"> a hipotensão persistente, que requer uso de vasopressores para manter a pressão arterial média (PAM) maior ou igual a 65mmHg e nível sérico de lactato &lt;2mmol/L, apesar de uma reposição volêmica adequada.</w:t>
      </w:r>
    </w:p>
    <w:p w14:paraId="7EFD3472" w14:textId="33BE73B4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o reconhecimento de disfunção orgânica, o critério mais utilizado atualmente é o score 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Sepsis-related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Organ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Failure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Assessment</w:t>
      </w:r>
      <w:r>
        <w:rPr>
          <w:rFonts w:ascii="Arial" w:eastAsia="Arial" w:hAnsi="Arial" w:cs="Arial"/>
          <w:sz w:val="24"/>
          <w:szCs w:val="24"/>
        </w:rPr>
        <w:t xml:space="preserve">, SOFA, que classifica as anormalidades por sistemas orgânicos e suas respostas a intervenções clínicas. Uma mudança no critério de SOFA maior ou igual dois pontos caracteriza </w:t>
      </w:r>
      <w:r w:rsidR="00C03C3A">
        <w:rPr>
          <w:rFonts w:ascii="Arial" w:eastAsia="Arial" w:hAnsi="Arial" w:cs="Arial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 xml:space="preserve"> disfunção orgânica e reflete um aumento de aproximadamente 10% do risco de mortalidade em uma população com infecção presumida. (SINGER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2016)</w:t>
      </w:r>
    </w:p>
    <w:p w14:paraId="52D1FB6A" w14:textId="3E845587" w:rsidR="00F50E38" w:rsidRDefault="00F50E38" w:rsidP="00F50E3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Alguns componentes do critério SOFA requerem exames laboratoriais e, portanto, podem retardar o reconhecimento precoce de disfunções orgânicas. Sendo assim, um novo critério denominado </w:t>
      </w:r>
      <w:proofErr w:type="spellStart"/>
      <w:r>
        <w:rPr>
          <w:rFonts w:ascii="Arial" w:eastAsia="Arial" w:hAnsi="Arial" w:cs="Arial"/>
          <w:sz w:val="24"/>
          <w:szCs w:val="24"/>
        </w:rPr>
        <w:t>qSOFA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quick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SOFA) fornece critérios a beira-leito para identificar pacientes com suspeita de infecção com probabilidade de pior prognóstico. (</w:t>
      </w:r>
      <w:r w:rsidR="001B672F">
        <w:rPr>
          <w:rFonts w:ascii="Arial" w:eastAsia="Arial" w:hAnsi="Arial" w:cs="Arial"/>
          <w:sz w:val="24"/>
          <w:szCs w:val="24"/>
        </w:rPr>
        <w:t>SINGER</w:t>
      </w:r>
      <w:r>
        <w:rPr>
          <w:rFonts w:ascii="Arial" w:eastAsia="Arial" w:hAnsi="Arial" w:cs="Arial"/>
          <w:sz w:val="24"/>
          <w:szCs w:val="24"/>
        </w:rPr>
        <w:t xml:space="preserve">, 2016). </w:t>
      </w:r>
    </w:p>
    <w:p w14:paraId="0B79FD2E" w14:textId="25E4F498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Van der </w:t>
      </w:r>
      <w:proofErr w:type="spellStart"/>
      <w:r>
        <w:rPr>
          <w:rFonts w:ascii="Arial" w:eastAsia="Arial" w:hAnsi="Arial" w:cs="Arial"/>
          <w:sz w:val="24"/>
          <w:szCs w:val="24"/>
        </w:rPr>
        <w:t>Poll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(2017) há uma estimativa de 31,5 milhões de casos de sepse por ano e até 5,3 milhões de mortes anualmente em todo o mundo. Além desta alta mortalidade, aqueles que sobrevivem apresentam ainda um comprometimento significativo da qualidade de vida, conforme </w:t>
      </w:r>
      <w:proofErr w:type="spellStart"/>
      <w:r>
        <w:rPr>
          <w:rFonts w:ascii="Arial" w:eastAsia="Arial" w:hAnsi="Arial" w:cs="Arial"/>
          <w:sz w:val="24"/>
          <w:szCs w:val="24"/>
        </w:rPr>
        <w:t>Westphal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(2012).</w:t>
      </w:r>
    </w:p>
    <w:p w14:paraId="61F27A71" w14:textId="77777777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eastAsia="Arial" w:hAnsi="Arial" w:cs="Arial"/>
          <w:sz w:val="24"/>
          <w:szCs w:val="24"/>
        </w:rPr>
        <w:t>Pierrakos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(2010), a resposta da sepse é uma cadeia complexa de eventos envolvendo processos inflamatórios e anti-inflamatórios, reações imunes humorais e celulares e anormalidades circulatórias, o que dificulta o controle desta patologia e consequentemente aumenta sua mortalidade.</w:t>
      </w:r>
    </w:p>
    <w:p w14:paraId="2E502BC0" w14:textId="77777777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seu artigo, </w:t>
      </w:r>
      <w:proofErr w:type="spellStart"/>
      <w:r>
        <w:rPr>
          <w:rFonts w:ascii="Arial" w:eastAsia="Arial" w:hAnsi="Arial" w:cs="Arial"/>
          <w:sz w:val="24"/>
          <w:szCs w:val="24"/>
        </w:rPr>
        <w:t>Gotts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(2016), demonstra profundas alterações no endotélio leva a um edema tecidual, que leva a um ciclo vicioso de translocação bacteriana, lesão intestinal, incluindo ativação de enzimas pancreáticas (autodigestão) e piorando a inflamação sistêmica, o que pode perpetuar a disfunção orgânica.</w:t>
      </w:r>
    </w:p>
    <w:p w14:paraId="46930F4A" w14:textId="77777777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As manifestações clínicas da sepse são altamente variáveis, dependendo do sítio inicial de infecção, o patógeno causador, o estado de saúde anterior ao quadro e o intervalo até início do tratamento. Os sintomas mais comuns são </w:t>
      </w:r>
      <w:proofErr w:type="gramStart"/>
      <w:r>
        <w:rPr>
          <w:rFonts w:ascii="Arial" w:eastAsia="Arial" w:hAnsi="Arial" w:cs="Arial"/>
          <w:sz w:val="24"/>
          <w:szCs w:val="24"/>
        </w:rPr>
        <w:t>febre</w:t>
      </w:r>
      <w:proofErr w:type="gramEnd"/>
      <w:r>
        <w:rPr>
          <w:rFonts w:ascii="Arial" w:eastAsia="Arial" w:hAnsi="Arial" w:cs="Arial"/>
          <w:sz w:val="24"/>
          <w:szCs w:val="24"/>
        </w:rPr>
        <w:t>, hipotermia, taquicardia, taquipneia, alteração do estado mental, edema importante ou balanço de fluido positivo ou hiperglicemia. (ANGUS, 2013)</w:t>
      </w:r>
    </w:p>
    <w:p w14:paraId="2C6948DD" w14:textId="77777777" w:rsidR="00F50E38" w:rsidRDefault="00F50E38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Nas últimas décadas, vários critérios de conduta com o objetivo de reduzir a mortalidade relacionada a sepse foram criados. A identificação precoce e manejo adequado nas primeiras horas de desenvolvimento de sepse demonstraram melhora no desfecho da sepse.</w:t>
      </w:r>
    </w:p>
    <w:p w14:paraId="5E1D1808" w14:textId="3627567A" w:rsidR="00F50E38" w:rsidRDefault="001B672F" w:rsidP="00F50E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 com Rhodes (2017), propõe-se um </w:t>
      </w:r>
      <w:r w:rsidR="00F50E38">
        <w:rPr>
          <w:rFonts w:ascii="Arial" w:eastAsia="Arial" w:hAnsi="Arial" w:cs="Arial"/>
          <w:sz w:val="24"/>
          <w:szCs w:val="24"/>
        </w:rPr>
        <w:t>consenso internacional de condutas</w:t>
      </w:r>
      <w:r>
        <w:rPr>
          <w:rFonts w:ascii="Arial" w:eastAsia="Arial" w:hAnsi="Arial" w:cs="Arial"/>
          <w:sz w:val="24"/>
          <w:szCs w:val="24"/>
        </w:rPr>
        <w:t xml:space="preserve"> sugeridas para o manejo</w:t>
      </w:r>
      <w:r w:rsidR="00F50E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F50E38">
        <w:rPr>
          <w:rFonts w:ascii="Arial" w:eastAsia="Arial" w:hAnsi="Arial" w:cs="Arial"/>
          <w:sz w:val="24"/>
          <w:szCs w:val="24"/>
        </w:rPr>
        <w:t xml:space="preserve"> sepse</w:t>
      </w:r>
      <w:r>
        <w:rPr>
          <w:rFonts w:ascii="Arial" w:eastAsia="Arial" w:hAnsi="Arial" w:cs="Arial"/>
          <w:sz w:val="24"/>
          <w:szCs w:val="24"/>
        </w:rPr>
        <w:t xml:space="preserve">, conhecido como </w:t>
      </w:r>
      <w:proofErr w:type="spellStart"/>
      <w:r w:rsidRPr="001B672F">
        <w:rPr>
          <w:rFonts w:ascii="Arial" w:eastAsia="Arial" w:hAnsi="Arial" w:cs="Arial"/>
          <w:i/>
          <w:iCs/>
          <w:sz w:val="24"/>
          <w:szCs w:val="24"/>
        </w:rPr>
        <w:t>Surviving</w:t>
      </w:r>
      <w:proofErr w:type="spellEnd"/>
      <w:r w:rsidRPr="001B672F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1B672F">
        <w:rPr>
          <w:rFonts w:ascii="Arial" w:eastAsia="Arial" w:hAnsi="Arial" w:cs="Arial"/>
          <w:i/>
          <w:iCs/>
          <w:sz w:val="24"/>
          <w:szCs w:val="24"/>
        </w:rPr>
        <w:t>Sepsis</w:t>
      </w:r>
      <w:proofErr w:type="spellEnd"/>
      <w:r w:rsidRPr="001B672F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1B672F">
        <w:rPr>
          <w:rFonts w:ascii="Arial" w:eastAsia="Arial" w:hAnsi="Arial" w:cs="Arial"/>
          <w:i/>
          <w:iCs/>
          <w:sz w:val="24"/>
          <w:szCs w:val="24"/>
        </w:rPr>
        <w:t>Campaign</w:t>
      </w:r>
      <w:proofErr w:type="spellEnd"/>
      <w:r w:rsidRPr="001B672F">
        <w:rPr>
          <w:rFonts w:ascii="Arial" w:eastAsia="Arial" w:hAnsi="Arial" w:cs="Arial"/>
          <w:i/>
          <w:iCs/>
          <w:sz w:val="24"/>
          <w:szCs w:val="24"/>
        </w:rPr>
        <w:t xml:space="preserve"> (SSC)</w:t>
      </w:r>
      <w:r w:rsidRPr="001B672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em que </w:t>
      </w:r>
      <w:r w:rsidR="00F50E38">
        <w:rPr>
          <w:rFonts w:ascii="Arial" w:eastAsia="Arial" w:hAnsi="Arial" w:cs="Arial"/>
          <w:sz w:val="24"/>
          <w:szCs w:val="24"/>
        </w:rPr>
        <w:t>estabelece</w:t>
      </w:r>
      <w:r>
        <w:rPr>
          <w:rFonts w:ascii="Arial" w:eastAsia="Arial" w:hAnsi="Arial" w:cs="Arial"/>
          <w:sz w:val="24"/>
          <w:szCs w:val="24"/>
        </w:rPr>
        <w:t>ram</w:t>
      </w:r>
      <w:r w:rsidR="00F50E38">
        <w:rPr>
          <w:rFonts w:ascii="Arial" w:eastAsia="Arial" w:hAnsi="Arial" w:cs="Arial"/>
          <w:sz w:val="24"/>
          <w:szCs w:val="24"/>
        </w:rPr>
        <w:t xml:space="preserve"> passos primordiais, necessários para reduzir a morbimortalidade desta doença, dentre eles:</w:t>
      </w:r>
    </w:p>
    <w:p w14:paraId="1D2FCB44" w14:textId="16CF5A1A" w:rsidR="00F50E38" w:rsidRDefault="00F50E38" w:rsidP="00F50E38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Realizar uma ressuscitação volêmica imediata</w:t>
      </w:r>
      <w:r w:rsidR="00C03C3A">
        <w:rPr>
          <w:rFonts w:ascii="Arial" w:eastAsia="Arial Unicode MS" w:hAnsi="Arial" w:cs="Arial"/>
          <w:sz w:val="24"/>
          <w:szCs w:val="24"/>
        </w:rPr>
        <w:t>mente ao diagnóstico,</w:t>
      </w:r>
      <w:r>
        <w:rPr>
          <w:rFonts w:ascii="Arial" w:eastAsia="Arial Unicode MS" w:hAnsi="Arial" w:cs="Arial"/>
          <w:sz w:val="24"/>
          <w:szCs w:val="24"/>
        </w:rPr>
        <w:t xml:space="preserve"> com pelo menos 30 ml/kg de cristaloide endovenoso, devendo ser completo dentro de 3 horas. </w:t>
      </w:r>
    </w:p>
    <w:p w14:paraId="4D95B9CF" w14:textId="77777777" w:rsidR="00F50E38" w:rsidRDefault="00F50E38" w:rsidP="00F50E38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Obter uma PAM alvo de 65 mmHg para pacientes com choque séptico, após reposição volêmica inicial, e caso necessite do uso de vasopressores, a primeira escolha é norepinefrina.</w:t>
      </w:r>
    </w:p>
    <w:p w14:paraId="04060655" w14:textId="77777777" w:rsidR="00F50E38" w:rsidRDefault="00F50E38" w:rsidP="00F50E38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Obter hemoculturas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de pelo menos dois conjuntos (aeróbico e anaeróbico) e, se possível, antes de i</w:t>
      </w:r>
      <w:r>
        <w:rPr>
          <w:rFonts w:ascii="Arial" w:eastAsia="Arial Unicode MS" w:hAnsi="Arial" w:cs="Arial"/>
          <w:sz w:val="24"/>
          <w:szCs w:val="24"/>
        </w:rPr>
        <w:t xml:space="preserve">niciar antibióticos intravenosos de amplo espectro, preferencialmente na primeira hora. </w:t>
      </w:r>
    </w:p>
    <w:p w14:paraId="6A4B0265" w14:textId="2181754D" w:rsidR="00C03C3A" w:rsidRDefault="00F50E38" w:rsidP="00A82C3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Todas as medidas supracitadas são essenciais e quanto mais precoce forem feitas, melhor a sobrevida do paciente. Sendo assim, conforme publicado por Levy </w:t>
      </w:r>
      <w:r w:rsidR="001B672F">
        <w:rPr>
          <w:rFonts w:ascii="Arial" w:eastAsia="Arial Unicode MS" w:hAnsi="Arial" w:cs="Arial"/>
          <w:sz w:val="24"/>
          <w:szCs w:val="24"/>
        </w:rPr>
        <w:t xml:space="preserve">em </w:t>
      </w:r>
      <w:r>
        <w:rPr>
          <w:rFonts w:ascii="Arial" w:eastAsia="Arial Unicode MS" w:hAnsi="Arial" w:cs="Arial"/>
          <w:sz w:val="24"/>
          <w:szCs w:val="24"/>
        </w:rPr>
        <w:t>2018</w:t>
      </w:r>
      <w:r w:rsidR="001B672F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o </w:t>
      </w:r>
      <w:r w:rsidR="00A82C36">
        <w:rPr>
          <w:rFonts w:ascii="Arial" w:eastAsia="Arial Unicode MS" w:hAnsi="Arial" w:cs="Arial"/>
          <w:i/>
          <w:iCs/>
          <w:sz w:val="24"/>
          <w:szCs w:val="24"/>
        </w:rPr>
        <w:t>SSC</w:t>
      </w:r>
      <w:r>
        <w:rPr>
          <w:rFonts w:ascii="Arial" w:eastAsia="Arial Unicode MS" w:hAnsi="Arial" w:cs="Arial"/>
          <w:sz w:val="24"/>
          <w:szCs w:val="24"/>
        </w:rPr>
        <w:t xml:space="preserve"> incluiu todas elas (além da medição de lactato) em um pacote de 1 hora após o reconhecimento de sepse ou choq</w:t>
      </w:r>
      <w:r>
        <w:rPr>
          <w:rFonts w:ascii="Arial" w:eastAsia="Arial" w:hAnsi="Arial" w:cs="Arial"/>
          <w:sz w:val="24"/>
          <w:szCs w:val="24"/>
        </w:rPr>
        <w:t xml:space="preserve">ue séptico. Segundo </w:t>
      </w:r>
      <w:proofErr w:type="spellStart"/>
      <w:r>
        <w:rPr>
          <w:rFonts w:ascii="Arial" w:eastAsia="Arial" w:hAnsi="Arial" w:cs="Arial"/>
          <w:sz w:val="24"/>
          <w:szCs w:val="24"/>
        </w:rPr>
        <w:t>Cárnio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(2019) essas medidas favorecem o cuidado realizado à beira do leito dos pacientes, quando a terapia terá início imediato, ao invés de se aguardar por mais tempo e posteriormente ter de lidar com medidas de ressuscitação mais complexas e por maiores períodos.</w:t>
      </w:r>
    </w:p>
    <w:p w14:paraId="1D5B4D5A" w14:textId="6DD72009" w:rsidR="007034DB" w:rsidRDefault="00C03C3A" w:rsidP="007034DB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03C3A">
        <w:rPr>
          <w:rFonts w:ascii="Arial" w:eastAsia="Arial" w:hAnsi="Arial" w:cs="Arial"/>
          <w:bCs/>
          <w:sz w:val="24"/>
          <w:szCs w:val="24"/>
        </w:rPr>
        <w:t>Este trabalho tem como objetivos: conhecer o perfil epidemiológico dos pacientes internados com quadro clínico sugestivo de sepse no pronto socorro de hospital público; conhecer o manejo de sepse; e avaliar a sobrevida dos pacientes.</w:t>
      </w:r>
    </w:p>
    <w:p w14:paraId="4F846B64" w14:textId="2A5AA370" w:rsidR="006B6274" w:rsidRDefault="006B6274" w:rsidP="001222FD">
      <w:pPr>
        <w:pStyle w:val="PargrafodaLista"/>
        <w:numPr>
          <w:ilvl w:val="0"/>
          <w:numId w:val="5"/>
        </w:numPr>
        <w:spacing w:line="360" w:lineRule="auto"/>
        <w:jc w:val="both"/>
        <w:outlineLvl w:val="0"/>
        <w:rPr>
          <w:rFonts w:ascii="Arial" w:eastAsia="Arial" w:hAnsi="Arial" w:cs="Arial"/>
          <w:b/>
          <w:sz w:val="24"/>
          <w:szCs w:val="24"/>
        </w:rPr>
      </w:pPr>
      <w:bookmarkStart w:id="1" w:name="_Toc51189552"/>
      <w:r w:rsidRPr="006B6274">
        <w:rPr>
          <w:rFonts w:ascii="Arial" w:eastAsia="Arial" w:hAnsi="Arial" w:cs="Arial"/>
          <w:b/>
          <w:sz w:val="24"/>
          <w:szCs w:val="24"/>
        </w:rPr>
        <w:lastRenderedPageBreak/>
        <w:t>M</w:t>
      </w:r>
      <w:r w:rsidR="009A498A">
        <w:rPr>
          <w:rFonts w:ascii="Arial" w:eastAsia="Arial" w:hAnsi="Arial" w:cs="Arial"/>
          <w:b/>
          <w:sz w:val="24"/>
          <w:szCs w:val="24"/>
        </w:rPr>
        <w:t>É</w:t>
      </w:r>
      <w:r w:rsidRPr="006B6274">
        <w:rPr>
          <w:rFonts w:ascii="Arial" w:eastAsia="Arial" w:hAnsi="Arial" w:cs="Arial"/>
          <w:b/>
          <w:sz w:val="24"/>
          <w:szCs w:val="24"/>
        </w:rPr>
        <w:t>TODO</w:t>
      </w:r>
      <w:r w:rsidR="00FE09AE">
        <w:rPr>
          <w:rFonts w:ascii="Arial" w:eastAsia="Arial" w:hAnsi="Arial" w:cs="Arial"/>
          <w:b/>
          <w:sz w:val="24"/>
          <w:szCs w:val="24"/>
        </w:rPr>
        <w:t>S</w:t>
      </w:r>
      <w:bookmarkEnd w:id="1"/>
    </w:p>
    <w:p w14:paraId="5F742A59" w14:textId="77777777" w:rsidR="00965F2F" w:rsidRDefault="00965F2F" w:rsidP="00965F2F">
      <w:pPr>
        <w:spacing w:line="25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Tipo de pesquisa: </w:t>
      </w:r>
      <w:r>
        <w:rPr>
          <w:rFonts w:ascii="Arial" w:eastAsia="Arial" w:hAnsi="Arial" w:cs="Arial"/>
          <w:sz w:val="24"/>
          <w:szCs w:val="24"/>
        </w:rPr>
        <w:t>Estudo longitudinal, retrospectivo, quantitativo, que parte do pressuposto que a implementação do protocolo de sepse reduz a mortalidade relacionada à sepse.</w:t>
      </w:r>
    </w:p>
    <w:p w14:paraId="06897A1E" w14:textId="68E2BFCB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Período de Estudo: </w:t>
      </w:r>
      <w:r>
        <w:rPr>
          <w:rFonts w:ascii="Arial" w:eastAsia="Arial" w:hAnsi="Arial" w:cs="Arial"/>
          <w:sz w:val="24"/>
          <w:szCs w:val="24"/>
        </w:rPr>
        <w:t xml:space="preserve">Pacientes atendidos no Pronto-Socorro do HUGO no período de </w:t>
      </w:r>
      <w:r w:rsidR="005D3652"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z w:val="24"/>
          <w:szCs w:val="24"/>
        </w:rPr>
        <w:t xml:space="preserve"> de 2019 a dezembro de 2019.</w:t>
      </w:r>
    </w:p>
    <w:p w14:paraId="631E85F2" w14:textId="6E375B1E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Amostra do estudo: </w:t>
      </w:r>
      <w:r>
        <w:rPr>
          <w:rFonts w:ascii="Arial" w:eastAsia="Arial" w:hAnsi="Arial" w:cs="Arial"/>
          <w:sz w:val="24"/>
          <w:szCs w:val="24"/>
        </w:rPr>
        <w:t xml:space="preserve">Prontuários de todos os pacientes atendidos no Pronto-Socorro com quadro clínico sugestivo de sepse no período de </w:t>
      </w:r>
      <w:r w:rsidR="005D3652"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z w:val="24"/>
          <w:szCs w:val="24"/>
        </w:rPr>
        <w:t xml:space="preserve"> de 2019 a dezembro de 2019.</w:t>
      </w:r>
    </w:p>
    <w:p w14:paraId="250585D5" w14:textId="49F37540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Coleta de dados: </w:t>
      </w:r>
      <w:r>
        <w:rPr>
          <w:rFonts w:ascii="Arial" w:eastAsia="Arial" w:hAnsi="Arial" w:cs="Arial"/>
          <w:sz w:val="24"/>
          <w:szCs w:val="24"/>
        </w:rPr>
        <w:t>Os dados foram coletados no período de ju</w:t>
      </w:r>
      <w:r w:rsidR="005D3652"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z w:val="24"/>
          <w:szCs w:val="24"/>
        </w:rPr>
        <w:t xml:space="preserve"> de 2020, através de prontuários do SAME, respeitando a rotina do serviço.</w:t>
      </w:r>
    </w:p>
    <w:p w14:paraId="5FEC0BF3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Critérios de inclusão: </w:t>
      </w:r>
      <w:proofErr w:type="gramStart"/>
      <w:r>
        <w:rPr>
          <w:rFonts w:ascii="Arial" w:eastAsia="Arial" w:hAnsi="Arial" w:cs="Arial"/>
          <w:sz w:val="24"/>
          <w:szCs w:val="24"/>
        </w:rPr>
        <w:t>Todos pacientes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atendidos no Pronto-socorro do HUGO, acima de 18 anos, com quadro clínico sugestivo de sepse, portanto considerado pacientes com foco infeccioso aparente e um sinal de comprometimento orgânico.</w:t>
      </w:r>
    </w:p>
    <w:p w14:paraId="7D9365BB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Critérios de exclusão: </w:t>
      </w:r>
      <w:r>
        <w:rPr>
          <w:rFonts w:ascii="Arial" w:eastAsia="Arial" w:hAnsi="Arial" w:cs="Arial"/>
          <w:sz w:val="24"/>
          <w:szCs w:val="24"/>
        </w:rPr>
        <w:t xml:space="preserve">Pacientes que não foram encontrados os prontuários e que não foi avaliada função orgânica (clínica pelo </w:t>
      </w:r>
      <w:proofErr w:type="spellStart"/>
      <w:r>
        <w:rPr>
          <w:rFonts w:ascii="Arial" w:eastAsia="Arial" w:hAnsi="Arial" w:cs="Arial"/>
          <w:sz w:val="24"/>
          <w:szCs w:val="24"/>
        </w:rPr>
        <w:t>qSOFA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e/ou exames laboratoriais que avaliem função orgânica) nas primeiras 24 horas. </w:t>
      </w:r>
    </w:p>
    <w:p w14:paraId="1AB2ABD3" w14:textId="44204A6F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Instrumento de coleta: </w:t>
      </w:r>
      <w:r>
        <w:rPr>
          <w:rFonts w:ascii="Arial" w:eastAsia="Arial" w:hAnsi="Arial" w:cs="Arial"/>
          <w:sz w:val="24"/>
          <w:szCs w:val="24"/>
        </w:rPr>
        <w:t>Formulário elaborado pelas pesquisadoras (ANEXO), contendo: identificação, idade, comorbidades, disfunção orgânica (frequência cardíaca, frequência respiratória,</w:t>
      </w:r>
      <w:r w:rsidR="001B672F">
        <w:rPr>
          <w:rFonts w:ascii="Arial" w:eastAsia="Arial" w:hAnsi="Arial" w:cs="Arial"/>
          <w:sz w:val="24"/>
          <w:szCs w:val="24"/>
        </w:rPr>
        <w:t xml:space="preserve"> </w:t>
      </w:r>
      <w:r w:rsidR="001B672F" w:rsidRPr="001B672F">
        <w:rPr>
          <w:rFonts w:ascii="Arial" w:eastAsia="Arial" w:hAnsi="Arial" w:cs="Arial"/>
          <w:sz w:val="24"/>
          <w:szCs w:val="24"/>
        </w:rPr>
        <w:t>pressão arterial</w:t>
      </w:r>
      <w:r w:rsidR="001B672F">
        <w:rPr>
          <w:rFonts w:ascii="Arial" w:eastAsia="Arial" w:hAnsi="Arial" w:cs="Arial"/>
          <w:sz w:val="24"/>
          <w:szCs w:val="24"/>
        </w:rPr>
        <w:t>,</w:t>
      </w:r>
      <w:r w:rsidR="001B672F" w:rsidRPr="001B672F">
        <w:rPr>
          <w:rFonts w:ascii="Arial" w:eastAsia="Arial" w:hAnsi="Arial" w:cs="Arial"/>
          <w:sz w:val="24"/>
          <w:szCs w:val="24"/>
        </w:rPr>
        <w:t xml:space="preserve"> </w:t>
      </w:r>
      <w:r w:rsidR="001B672F">
        <w:rPr>
          <w:rFonts w:ascii="Arial" w:eastAsia="Arial" w:hAnsi="Arial" w:cs="Arial"/>
          <w:sz w:val="24"/>
          <w:szCs w:val="24"/>
        </w:rPr>
        <w:t>temperatura axilar, saturação de oxigênio,</w:t>
      </w:r>
      <w:r>
        <w:rPr>
          <w:rFonts w:ascii="Arial" w:eastAsia="Arial" w:hAnsi="Arial" w:cs="Arial"/>
          <w:sz w:val="24"/>
          <w:szCs w:val="24"/>
        </w:rPr>
        <w:t xml:space="preserve"> escala de coma de Glasgow, </w:t>
      </w:r>
      <w:proofErr w:type="spellStart"/>
      <w:r w:rsidR="001B672F">
        <w:rPr>
          <w:rFonts w:ascii="Arial" w:eastAsia="Arial" w:hAnsi="Arial" w:cs="Arial"/>
          <w:sz w:val="24"/>
          <w:szCs w:val="24"/>
        </w:rPr>
        <w:t>leuco</w:t>
      </w:r>
      <w:r>
        <w:rPr>
          <w:rFonts w:ascii="Arial" w:eastAsia="Arial" w:hAnsi="Arial" w:cs="Arial"/>
          <w:sz w:val="24"/>
          <w:szCs w:val="24"/>
        </w:rPr>
        <w:t>grama</w:t>
      </w:r>
      <w:proofErr w:type="spellEnd"/>
      <w:r>
        <w:rPr>
          <w:rFonts w:ascii="Arial" w:eastAsia="Arial" w:hAnsi="Arial" w:cs="Arial"/>
          <w:sz w:val="24"/>
          <w:szCs w:val="24"/>
        </w:rPr>
        <w:t>, lactato, bilirrubinas, creatinina) ressuscitação volêmica, coleta de cultura, antibioticoterapia em horas de internação, uso de vasopressores e prognóstico.</w:t>
      </w:r>
    </w:p>
    <w:p w14:paraId="1B923486" w14:textId="77777777" w:rsidR="005D748B" w:rsidRDefault="00965F2F" w:rsidP="00CB0572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Análise estatística: </w:t>
      </w:r>
      <w:r w:rsidR="00CB0572" w:rsidRPr="00CB0572">
        <w:rPr>
          <w:rFonts w:ascii="Arial" w:eastAsia="Arial" w:hAnsi="Arial" w:cs="Arial"/>
          <w:bCs/>
          <w:sz w:val="24"/>
          <w:szCs w:val="24"/>
        </w:rPr>
        <w:t xml:space="preserve">Os dados coletados foram inicialmente plotados em uma planilha com a utilização do </w:t>
      </w:r>
      <w:r w:rsidR="00CB0572" w:rsidRPr="00CB0572">
        <w:rPr>
          <w:rFonts w:ascii="Arial" w:eastAsia="Arial" w:hAnsi="Arial" w:cs="Arial"/>
          <w:bCs/>
          <w:i/>
          <w:sz w:val="24"/>
          <w:szCs w:val="24"/>
        </w:rPr>
        <w:t>software</w:t>
      </w:r>
      <w:r w:rsidR="00CB0572" w:rsidRPr="00CB0572">
        <w:rPr>
          <w:rFonts w:ascii="Arial" w:eastAsia="Arial" w:hAnsi="Arial" w:cs="Arial"/>
          <w:bCs/>
          <w:sz w:val="24"/>
          <w:szCs w:val="24"/>
        </w:rPr>
        <w:t xml:space="preserve"> Excel (2016) e posteriormente analisados com o auxílio do pacote estatístico SPSS, (26,0). A caracterização do perfil dos pacientes foi realizada por meio de frequência absoluta (n) e relativa (%) para as variáveis categóricas e média e desvio padrão, mínimo e máximo para as variáveis contínuas. A normalidade dos dados foi verificada aplicando-se o teste de normalidade de </w:t>
      </w:r>
      <w:proofErr w:type="spellStart"/>
      <w:r w:rsidR="00CB0572" w:rsidRPr="00CB0572">
        <w:rPr>
          <w:rFonts w:ascii="Arial" w:eastAsia="Arial" w:hAnsi="Arial" w:cs="Arial"/>
          <w:bCs/>
          <w:sz w:val="24"/>
          <w:szCs w:val="24"/>
        </w:rPr>
        <w:t>Kolmogorov</w:t>
      </w:r>
      <w:proofErr w:type="spellEnd"/>
      <w:r w:rsidR="00CB0572" w:rsidRPr="00CB0572">
        <w:rPr>
          <w:rFonts w:ascii="Arial" w:eastAsia="Arial" w:hAnsi="Arial" w:cs="Arial"/>
          <w:bCs/>
          <w:sz w:val="24"/>
          <w:szCs w:val="24"/>
        </w:rPr>
        <w:t xml:space="preserve">-Smirnov. </w:t>
      </w:r>
    </w:p>
    <w:p w14:paraId="4051ADAD" w14:textId="411346DC" w:rsidR="00CB0572" w:rsidRPr="00CB0572" w:rsidRDefault="00CB0572" w:rsidP="00CB0572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B0572">
        <w:rPr>
          <w:rFonts w:ascii="Arial" w:eastAsia="Arial" w:hAnsi="Arial" w:cs="Arial"/>
          <w:bCs/>
          <w:sz w:val="24"/>
          <w:szCs w:val="24"/>
        </w:rPr>
        <w:lastRenderedPageBreak/>
        <w:t xml:space="preserve">A comparação do desfecho com o perfil demográfico, perfil clínico, disfunções orgânicas e protocolo de manejo foi realizada aplicando-se o teste do </w:t>
      </w:r>
      <w:proofErr w:type="spellStart"/>
      <w:r w:rsidRPr="00CB0572">
        <w:rPr>
          <w:rFonts w:ascii="Arial" w:eastAsia="Arial" w:hAnsi="Arial" w:cs="Arial"/>
          <w:bCs/>
          <w:sz w:val="24"/>
          <w:szCs w:val="24"/>
        </w:rPr>
        <w:t>Qui</w:t>
      </w:r>
      <w:proofErr w:type="spellEnd"/>
      <w:r w:rsidRPr="00CB0572">
        <w:rPr>
          <w:rFonts w:ascii="Arial" w:eastAsia="Arial" w:hAnsi="Arial" w:cs="Arial"/>
          <w:bCs/>
          <w:sz w:val="24"/>
          <w:szCs w:val="24"/>
        </w:rPr>
        <w:t xml:space="preserve">-quadrado de Pearson. A correlação de </w:t>
      </w:r>
      <w:proofErr w:type="spellStart"/>
      <w:r w:rsidRPr="00CB0572">
        <w:rPr>
          <w:rFonts w:ascii="Arial" w:eastAsia="Arial" w:hAnsi="Arial" w:cs="Arial"/>
          <w:bCs/>
          <w:sz w:val="24"/>
          <w:szCs w:val="24"/>
        </w:rPr>
        <w:t>Spearman</w:t>
      </w:r>
      <w:proofErr w:type="spellEnd"/>
      <w:r w:rsidRPr="00CB0572">
        <w:rPr>
          <w:rFonts w:ascii="Arial" w:eastAsia="Arial" w:hAnsi="Arial" w:cs="Arial"/>
          <w:bCs/>
          <w:sz w:val="24"/>
          <w:szCs w:val="24"/>
        </w:rPr>
        <w:t xml:space="preserve"> foi aplicada a fim de avaliar a relação entre o </w:t>
      </w:r>
      <w:r>
        <w:rPr>
          <w:rFonts w:ascii="Arial" w:eastAsia="Arial" w:hAnsi="Arial" w:cs="Arial"/>
          <w:bCs/>
          <w:sz w:val="24"/>
          <w:szCs w:val="24"/>
        </w:rPr>
        <w:t>t</w:t>
      </w:r>
      <w:r w:rsidRPr="00CB0572">
        <w:rPr>
          <w:rFonts w:ascii="Arial" w:eastAsia="Arial" w:hAnsi="Arial" w:cs="Arial"/>
          <w:bCs/>
          <w:sz w:val="24"/>
          <w:szCs w:val="24"/>
        </w:rPr>
        <w:t xml:space="preserve">otal do SOFA com a idade e tempo de internação. A análise de regressão logística foi utilizada a fim de verificar o poder preditivo da idade, tempo de internação e total </w:t>
      </w:r>
      <w:r>
        <w:rPr>
          <w:rFonts w:ascii="Arial" w:eastAsia="Arial" w:hAnsi="Arial" w:cs="Arial"/>
          <w:bCs/>
          <w:sz w:val="24"/>
          <w:szCs w:val="24"/>
        </w:rPr>
        <w:t xml:space="preserve">do </w:t>
      </w:r>
      <w:r w:rsidRPr="00CB0572">
        <w:rPr>
          <w:rFonts w:ascii="Arial" w:eastAsia="Arial" w:hAnsi="Arial" w:cs="Arial"/>
          <w:bCs/>
          <w:sz w:val="24"/>
          <w:szCs w:val="24"/>
        </w:rPr>
        <w:t>SOFA no desfecho de óbito. Em todas as análises o nível de significância adotado foi de 5% (</w:t>
      </w:r>
      <w:r w:rsidRPr="00CB0572">
        <w:rPr>
          <w:rFonts w:ascii="Arial" w:eastAsia="Arial" w:hAnsi="Arial" w:cs="Arial"/>
          <w:bCs/>
          <w:i/>
          <w:iCs/>
          <w:sz w:val="24"/>
          <w:szCs w:val="24"/>
        </w:rPr>
        <w:t xml:space="preserve">p </w:t>
      </w:r>
      <w:r w:rsidRPr="00CB0572">
        <w:rPr>
          <w:rFonts w:ascii="Arial" w:eastAsia="Arial" w:hAnsi="Arial" w:cs="Arial"/>
          <w:bCs/>
          <w:sz w:val="24"/>
          <w:szCs w:val="24"/>
        </w:rPr>
        <w:t>&lt; 0,05).</w:t>
      </w:r>
    </w:p>
    <w:p w14:paraId="03EFB8DE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Benefícios: </w:t>
      </w:r>
      <w:r>
        <w:rPr>
          <w:rFonts w:ascii="Arial" w:eastAsia="Arial" w:hAnsi="Arial" w:cs="Arial"/>
          <w:sz w:val="24"/>
          <w:szCs w:val="24"/>
        </w:rPr>
        <w:t xml:space="preserve">Para a instituição, os dados poderão servir de base para implementar medidas de melhor adesão ao protocolo de sepse. </w:t>
      </w:r>
    </w:p>
    <w:p w14:paraId="1E93D8AB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o paciente, ao passo em que a instituição melhor instituir protocolo de sepse poderá repercutir na redução do risco de óbito. </w:t>
      </w:r>
    </w:p>
    <w:p w14:paraId="28EBDE8E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 estudante, os dados e estudos poderão melhorar a discussão e compreensão nos fatores de maior ou menor adesão de protocolos de conduta bem estabelecidos.</w:t>
      </w:r>
    </w:p>
    <w:p w14:paraId="7BC5BD88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Riscos: </w:t>
      </w:r>
      <w:r>
        <w:rPr>
          <w:rFonts w:ascii="Arial" w:eastAsia="Arial" w:hAnsi="Arial" w:cs="Arial"/>
          <w:sz w:val="24"/>
          <w:szCs w:val="24"/>
        </w:rPr>
        <w:t xml:space="preserve">Exposição do paciente, que foi minimizado pela garantia do sigilo médico e pela utilização de siglas dos nomes dos pacientes. Afetar a rotina do serviço, que foi minimizada pela adequação de coleta de dados no período de disponibilidade do serviço. </w:t>
      </w:r>
    </w:p>
    <w:p w14:paraId="08D15C80" w14:textId="4E886789" w:rsidR="001B67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Aspectos éticos: </w:t>
      </w:r>
      <w:r>
        <w:rPr>
          <w:rFonts w:ascii="Arial" w:eastAsia="Arial" w:hAnsi="Arial" w:cs="Arial"/>
          <w:sz w:val="24"/>
          <w:szCs w:val="24"/>
        </w:rPr>
        <w:t xml:space="preserve">O trabalho somente foi iniciado após aprovação do Comitê de Ética e Pesquisa - CEP das instituições PUC-GO e HUGO, respeitando a resolução nº466/2012 do Conselho Nacional de Saúde. </w:t>
      </w:r>
      <w:r w:rsidR="001B672F">
        <w:rPr>
          <w:rFonts w:ascii="Arial" w:eastAsia="Arial" w:hAnsi="Arial" w:cs="Arial"/>
          <w:sz w:val="24"/>
          <w:szCs w:val="24"/>
        </w:rPr>
        <w:t xml:space="preserve">O parecer de aprovação corresponde ao nº </w:t>
      </w:r>
      <w:r w:rsidR="001B672F" w:rsidRPr="001B672F">
        <w:rPr>
          <w:rFonts w:ascii="Arial" w:eastAsia="Arial" w:hAnsi="Arial" w:cs="Arial"/>
          <w:sz w:val="24"/>
          <w:szCs w:val="24"/>
        </w:rPr>
        <w:t>3.918.330</w:t>
      </w:r>
      <w:r w:rsidR="001B672F">
        <w:rPr>
          <w:rFonts w:ascii="Arial" w:eastAsia="Arial" w:hAnsi="Arial" w:cs="Arial"/>
          <w:sz w:val="24"/>
          <w:szCs w:val="24"/>
        </w:rPr>
        <w:t xml:space="preserve">. </w:t>
      </w:r>
    </w:p>
    <w:p w14:paraId="6C050357" w14:textId="648DD038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dados da pesquisa tornaram-se públicos </w:t>
      </w:r>
      <w:r w:rsidR="001B672F">
        <w:rPr>
          <w:rFonts w:ascii="Arial" w:eastAsia="Arial" w:hAnsi="Arial" w:cs="Arial"/>
          <w:sz w:val="24"/>
          <w:szCs w:val="24"/>
        </w:rPr>
        <w:t>independentemente</w:t>
      </w:r>
      <w:r>
        <w:rPr>
          <w:rFonts w:ascii="Arial" w:eastAsia="Arial" w:hAnsi="Arial" w:cs="Arial"/>
          <w:sz w:val="24"/>
          <w:szCs w:val="24"/>
        </w:rPr>
        <w:t xml:space="preserve"> de serem estes favoráveis ou não e serão utilizados única e exclusivamente para o fim desta pesquisa. O material de coleta de dados está sobre guarda das pesquisadoras por um período de três anos, após o qual será incinerado. Esta pesquisa dispensa TCLE por tratar-se de estudo retrospectivo sem contato direto com paciente.</w:t>
      </w:r>
    </w:p>
    <w:p w14:paraId="175E010A" w14:textId="77777777" w:rsidR="00965F2F" w:rsidRDefault="00965F2F" w:rsidP="00965F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Encerramento e suspensão da pesquisa: </w:t>
      </w:r>
      <w:r>
        <w:rPr>
          <w:rFonts w:ascii="Arial" w:eastAsia="Arial" w:hAnsi="Arial" w:cs="Arial"/>
          <w:sz w:val="24"/>
          <w:szCs w:val="24"/>
        </w:rPr>
        <w:t>A pesquisa poderia ser suspensa em casos de catástrofes, em que houver a perda de todos os arquivos de prontuários disponíveis na unidade.</w:t>
      </w:r>
    </w:p>
    <w:p w14:paraId="6789DB30" w14:textId="2EAAAD62" w:rsidR="008A121C" w:rsidRDefault="008A121C" w:rsidP="007034D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710FA2" w14:textId="69B545FE" w:rsidR="00B30F6C" w:rsidRDefault="00B30F6C" w:rsidP="003C3D46">
      <w:pPr>
        <w:pStyle w:val="Ttulo1"/>
        <w:numPr>
          <w:ilvl w:val="0"/>
          <w:numId w:val="5"/>
        </w:numPr>
        <w:rPr>
          <w:rFonts w:ascii="Arial" w:eastAsia="Arial" w:hAnsi="Arial" w:cs="Arial"/>
          <w:bCs/>
          <w:sz w:val="24"/>
          <w:szCs w:val="24"/>
        </w:rPr>
      </w:pPr>
      <w:bookmarkStart w:id="2" w:name="_Toc51189553"/>
      <w:r>
        <w:rPr>
          <w:rFonts w:ascii="Arial" w:eastAsia="Arial" w:hAnsi="Arial" w:cs="Arial"/>
          <w:bCs/>
          <w:sz w:val="24"/>
          <w:szCs w:val="24"/>
        </w:rPr>
        <w:lastRenderedPageBreak/>
        <w:t>RESULTADOS</w:t>
      </w:r>
      <w:bookmarkEnd w:id="2"/>
    </w:p>
    <w:p w14:paraId="3CF7602E" w14:textId="77777777" w:rsidR="003C3D46" w:rsidRPr="003C3D46" w:rsidRDefault="003C3D46" w:rsidP="003C3D46"/>
    <w:p w14:paraId="5CF3D596" w14:textId="77777777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50036379"/>
      <w:r w:rsidRPr="00B8674B">
        <w:rPr>
          <w:rFonts w:ascii="Arial" w:hAnsi="Arial" w:cs="Arial"/>
          <w:bCs/>
          <w:sz w:val="24"/>
          <w:szCs w:val="24"/>
        </w:rPr>
        <w:t>No período de julho de 2019 a dezembro de 2019 foram analisados um total de 7.721 prontuários de pacientes atendidos no pronto-socorro do HUGO e destes, 102 (1,32%) apresentavam quadro clínico sugestivo de sepse. Em virtude da falta de dados e exames que comprovem a disfunção orgânica foram descartados 7 prontuários de pacientes, sendo assim, o número de prontuários analisados foi 95.</w:t>
      </w:r>
    </w:p>
    <w:p w14:paraId="1155CBD0" w14:textId="3DF67434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74B">
        <w:rPr>
          <w:rFonts w:ascii="Arial" w:hAnsi="Arial" w:cs="Arial"/>
          <w:bCs/>
          <w:sz w:val="24"/>
          <w:szCs w:val="24"/>
        </w:rPr>
        <w:t xml:space="preserve">Quanto ao perfil demográfico 48 (50,5%) eram do sexo masculino. Em relação as faixas etárias, foram divididos em três grupos, sendo eles: 18 a 59 anos, 60 a 70 anos e maior de 70 anos, </w:t>
      </w:r>
      <w:r w:rsidR="00BC61BB">
        <w:rPr>
          <w:rFonts w:ascii="Arial" w:hAnsi="Arial" w:cs="Arial"/>
          <w:bCs/>
          <w:sz w:val="24"/>
          <w:szCs w:val="24"/>
        </w:rPr>
        <w:t xml:space="preserve">sendo </w:t>
      </w:r>
      <w:r w:rsidRPr="00B8674B">
        <w:rPr>
          <w:rFonts w:ascii="Arial" w:hAnsi="Arial" w:cs="Arial"/>
          <w:bCs/>
          <w:sz w:val="24"/>
          <w:szCs w:val="24"/>
        </w:rPr>
        <w:t xml:space="preserve">maiores de 70 anos </w:t>
      </w:r>
      <w:r w:rsidR="004F0164">
        <w:rPr>
          <w:rFonts w:ascii="Arial" w:hAnsi="Arial" w:cs="Arial"/>
          <w:bCs/>
          <w:sz w:val="24"/>
          <w:szCs w:val="24"/>
        </w:rPr>
        <w:t>40</w:t>
      </w:r>
      <w:r w:rsidRPr="00B8674B">
        <w:rPr>
          <w:rFonts w:ascii="Arial" w:hAnsi="Arial" w:cs="Arial"/>
          <w:bCs/>
          <w:sz w:val="24"/>
          <w:szCs w:val="24"/>
        </w:rPr>
        <w:t xml:space="preserve"> </w:t>
      </w:r>
      <w:r w:rsidR="004F0164">
        <w:rPr>
          <w:rFonts w:ascii="Arial" w:hAnsi="Arial" w:cs="Arial"/>
          <w:bCs/>
          <w:sz w:val="24"/>
          <w:szCs w:val="24"/>
        </w:rPr>
        <w:t>(</w:t>
      </w:r>
      <w:r w:rsidRPr="00B8674B">
        <w:rPr>
          <w:rFonts w:ascii="Arial" w:hAnsi="Arial" w:cs="Arial"/>
          <w:bCs/>
          <w:sz w:val="24"/>
          <w:szCs w:val="24"/>
        </w:rPr>
        <w:t>42,1%</w:t>
      </w:r>
      <w:r w:rsidR="00BC61BB">
        <w:rPr>
          <w:rFonts w:ascii="Arial" w:hAnsi="Arial" w:cs="Arial"/>
          <w:bCs/>
          <w:sz w:val="24"/>
          <w:szCs w:val="24"/>
        </w:rPr>
        <w:t>)</w:t>
      </w:r>
      <w:r w:rsidRPr="00B8674B">
        <w:rPr>
          <w:rFonts w:ascii="Arial" w:hAnsi="Arial" w:cs="Arial"/>
          <w:bCs/>
          <w:sz w:val="24"/>
          <w:szCs w:val="24"/>
        </w:rPr>
        <w:t xml:space="preserve">, seguido pela faixa de 60 a 70 anos, com </w:t>
      </w:r>
      <w:r w:rsidR="00BC61BB">
        <w:rPr>
          <w:rFonts w:ascii="Arial" w:hAnsi="Arial" w:cs="Arial"/>
          <w:bCs/>
          <w:sz w:val="24"/>
          <w:szCs w:val="24"/>
        </w:rPr>
        <w:t>28 (</w:t>
      </w:r>
      <w:r w:rsidRPr="00B8674B">
        <w:rPr>
          <w:rFonts w:ascii="Arial" w:hAnsi="Arial" w:cs="Arial"/>
          <w:bCs/>
          <w:sz w:val="24"/>
          <w:szCs w:val="24"/>
        </w:rPr>
        <w:t>29,5%</w:t>
      </w:r>
      <w:bookmarkEnd w:id="3"/>
      <w:r w:rsidR="00BC61BB">
        <w:rPr>
          <w:rFonts w:ascii="Arial" w:hAnsi="Arial" w:cs="Arial"/>
          <w:bCs/>
          <w:sz w:val="24"/>
          <w:szCs w:val="24"/>
        </w:rPr>
        <w:t>)</w:t>
      </w:r>
      <w:r w:rsidR="00B8674B" w:rsidRPr="00B8674B">
        <w:rPr>
          <w:rFonts w:ascii="Arial" w:hAnsi="Arial" w:cs="Arial"/>
          <w:bCs/>
          <w:sz w:val="24"/>
          <w:szCs w:val="24"/>
        </w:rPr>
        <w:t xml:space="preserve">, </w:t>
      </w:r>
      <w:r w:rsidRPr="00B8674B">
        <w:rPr>
          <w:rFonts w:ascii="Arial" w:hAnsi="Arial" w:cs="Arial"/>
          <w:bCs/>
          <w:sz w:val="24"/>
          <w:szCs w:val="24"/>
        </w:rPr>
        <w:t>conforme mostrado na tabela abaixo</w:t>
      </w:r>
      <w:r w:rsidR="00B8674B" w:rsidRPr="00B8674B">
        <w:rPr>
          <w:rFonts w:ascii="Arial" w:hAnsi="Arial" w:cs="Arial"/>
          <w:bCs/>
          <w:sz w:val="24"/>
          <w:szCs w:val="24"/>
        </w:rPr>
        <w:t>.</w:t>
      </w:r>
    </w:p>
    <w:p w14:paraId="38721144" w14:textId="06D73418" w:rsidR="00031649" w:rsidRPr="005D748B" w:rsidRDefault="00031649" w:rsidP="005D748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D748B">
        <w:rPr>
          <w:rFonts w:ascii="Arial" w:hAnsi="Arial" w:cs="Arial"/>
          <w:b/>
          <w:bCs/>
          <w:sz w:val="20"/>
          <w:szCs w:val="20"/>
        </w:rPr>
        <w:t>Tabela 1.</w:t>
      </w:r>
      <w:r w:rsidRPr="005D748B">
        <w:rPr>
          <w:rFonts w:ascii="Arial" w:hAnsi="Arial" w:cs="Arial"/>
          <w:sz w:val="20"/>
          <w:szCs w:val="20"/>
        </w:rPr>
        <w:t xml:space="preserve"> Caracterização do perfil demográfico (n = 95).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3"/>
        <w:gridCol w:w="2153"/>
        <w:gridCol w:w="2155"/>
      </w:tblGrid>
      <w:tr w:rsidR="00492EF0" w:rsidRPr="00492EF0" w14:paraId="2C09CAB2" w14:textId="77777777" w:rsidTr="00492EF0">
        <w:trPr>
          <w:trHeight w:val="285"/>
        </w:trPr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501A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BA61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946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92EF0" w:rsidRPr="00492EF0" w14:paraId="1D722B49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E775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3058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8CB1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EF0" w:rsidRPr="00492EF0" w14:paraId="43EC9A24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3FD9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Feminino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47BD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AAF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492EF0" w:rsidRPr="00492EF0" w14:paraId="371FD5EC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2441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AEE7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8CDD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492EF0" w:rsidRPr="00492EF0" w14:paraId="22BD8DAE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9E31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Faixa etária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A760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E517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EF0" w:rsidRPr="00492EF0" w14:paraId="5F2C07E6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1C75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 59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A2F3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413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492EF0" w:rsidRPr="00492EF0" w14:paraId="781FD963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B15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a 70</w:t>
            </w: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703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3BBF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492EF0" w:rsidRPr="00492EF0" w14:paraId="7CAC88DB" w14:textId="77777777" w:rsidTr="00492EF0">
        <w:trPr>
          <w:trHeight w:val="2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A458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70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CE10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0CA9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492EF0" w:rsidRPr="00492EF0" w14:paraId="1D665DAA" w14:textId="77777777" w:rsidTr="00492EF0">
        <w:trPr>
          <w:trHeight w:val="285"/>
        </w:trPr>
        <w:tc>
          <w:tcPr>
            <w:tcW w:w="2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879C" w14:textId="2D37C5BC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= frequência absoluta; % = frequência relativa</w:t>
            </w:r>
          </w:p>
        </w:tc>
        <w:tc>
          <w:tcPr>
            <w:tcW w:w="1187" w:type="pct"/>
            <w:tcBorders>
              <w:top w:val="single" w:sz="4" w:space="0" w:color="auto"/>
            </w:tcBorders>
            <w:noWrap/>
          </w:tcPr>
          <w:p w14:paraId="6CBC18A1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09C8BB" w14:textId="77777777" w:rsidR="00492EF0" w:rsidRPr="00492EF0" w:rsidRDefault="00492EF0" w:rsidP="00492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241EF4" w14:textId="77777777" w:rsidR="00E55B17" w:rsidRDefault="00E55B17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4" w:name="_Hlk50144662"/>
    </w:p>
    <w:p w14:paraId="66EEC4CF" w14:textId="1F93C61E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51180267"/>
      <w:r w:rsidRPr="00B8674B">
        <w:rPr>
          <w:rFonts w:ascii="Arial" w:hAnsi="Arial" w:cs="Arial"/>
          <w:bCs/>
          <w:sz w:val="24"/>
          <w:szCs w:val="24"/>
        </w:rPr>
        <w:t>Quanto aos parâmetros clínicos, 54 (56,8%) apresentaram FC &gt;90; 64 (67,4%), leucócitos &gt;12000 ou &lt;4000; 73 (76,8%) saturação de oxigênio &lt;90% ou necessidade de oxigênio suplementar; 77 (81,1%) apresentavam dispneia.</w:t>
      </w:r>
    </w:p>
    <w:bookmarkEnd w:id="5"/>
    <w:p w14:paraId="71012B16" w14:textId="65D456D0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74B">
        <w:rPr>
          <w:rFonts w:ascii="Arial" w:hAnsi="Arial" w:cs="Arial"/>
          <w:bCs/>
          <w:sz w:val="24"/>
          <w:szCs w:val="24"/>
        </w:rPr>
        <w:t>A pneumonia foi o foco infeccioso provável ou confirmado em 58 (61,1%), seguido d</w:t>
      </w:r>
      <w:r w:rsidR="00E55B17">
        <w:rPr>
          <w:rFonts w:ascii="Arial" w:hAnsi="Arial" w:cs="Arial"/>
          <w:bCs/>
          <w:sz w:val="24"/>
          <w:szCs w:val="24"/>
        </w:rPr>
        <w:t xml:space="preserve">os focos </w:t>
      </w:r>
      <w:r w:rsidRPr="00B8674B">
        <w:rPr>
          <w:rFonts w:ascii="Arial" w:hAnsi="Arial" w:cs="Arial"/>
          <w:bCs/>
          <w:sz w:val="24"/>
          <w:szCs w:val="24"/>
        </w:rPr>
        <w:t>abdominal e urinário, ambos com 9 pacientes (9,5%)</w:t>
      </w:r>
      <w:r w:rsidR="00B8674B" w:rsidRPr="00B8674B">
        <w:rPr>
          <w:rFonts w:ascii="Arial" w:hAnsi="Arial" w:cs="Arial"/>
          <w:bCs/>
          <w:sz w:val="24"/>
          <w:szCs w:val="24"/>
        </w:rPr>
        <w:t xml:space="preserve"> cada</w:t>
      </w:r>
      <w:r w:rsidRPr="00B8674B">
        <w:rPr>
          <w:rFonts w:ascii="Arial" w:hAnsi="Arial" w:cs="Arial"/>
          <w:bCs/>
          <w:sz w:val="24"/>
          <w:szCs w:val="24"/>
        </w:rPr>
        <w:t>.</w:t>
      </w:r>
    </w:p>
    <w:p w14:paraId="077BA8B5" w14:textId="3759403C" w:rsidR="00CB0572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74B">
        <w:rPr>
          <w:rFonts w:ascii="Arial" w:hAnsi="Arial" w:cs="Arial"/>
          <w:bCs/>
          <w:sz w:val="24"/>
          <w:szCs w:val="24"/>
        </w:rPr>
        <w:t>Quando avaliada as comorbidades observou-se que 77 (81,1%) apresentaram comorbidades, sendo destacadas hipertensão arterial sistêmica</w:t>
      </w:r>
      <w:r w:rsidR="00D57017">
        <w:rPr>
          <w:rFonts w:ascii="Arial" w:hAnsi="Arial" w:cs="Arial"/>
          <w:bCs/>
          <w:sz w:val="24"/>
          <w:szCs w:val="24"/>
        </w:rPr>
        <w:t xml:space="preserve"> 19</w:t>
      </w:r>
      <w:r w:rsidRPr="00B8674B">
        <w:rPr>
          <w:rFonts w:ascii="Arial" w:hAnsi="Arial" w:cs="Arial"/>
          <w:bCs/>
          <w:sz w:val="24"/>
          <w:szCs w:val="24"/>
        </w:rPr>
        <w:t xml:space="preserve"> (24,7%), seguido de diabetes mellitus </w:t>
      </w:r>
      <w:r w:rsidR="00D57017">
        <w:rPr>
          <w:rFonts w:ascii="Arial" w:hAnsi="Arial" w:cs="Arial"/>
          <w:bCs/>
          <w:sz w:val="24"/>
          <w:szCs w:val="24"/>
        </w:rPr>
        <w:t xml:space="preserve">14 </w:t>
      </w:r>
      <w:r w:rsidRPr="00B8674B">
        <w:rPr>
          <w:rFonts w:ascii="Arial" w:hAnsi="Arial" w:cs="Arial"/>
          <w:bCs/>
          <w:sz w:val="24"/>
          <w:szCs w:val="24"/>
        </w:rPr>
        <w:t>(18,8%), doença pulmonar obstrutiva crônica</w:t>
      </w:r>
      <w:r w:rsidR="00D57017">
        <w:rPr>
          <w:rFonts w:ascii="Arial" w:hAnsi="Arial" w:cs="Arial"/>
          <w:bCs/>
          <w:sz w:val="24"/>
          <w:szCs w:val="24"/>
        </w:rPr>
        <w:t xml:space="preserve"> 12</w:t>
      </w:r>
      <w:r w:rsidRPr="00B8674B">
        <w:rPr>
          <w:rFonts w:ascii="Arial" w:hAnsi="Arial" w:cs="Arial"/>
          <w:bCs/>
          <w:sz w:val="24"/>
          <w:szCs w:val="24"/>
        </w:rPr>
        <w:t xml:space="preserve"> (16,2%) e doença renal crônica </w:t>
      </w:r>
      <w:r w:rsidR="00D57017">
        <w:rPr>
          <w:rFonts w:ascii="Arial" w:hAnsi="Arial" w:cs="Arial"/>
          <w:bCs/>
          <w:sz w:val="24"/>
          <w:szCs w:val="24"/>
        </w:rPr>
        <w:t xml:space="preserve">7 </w:t>
      </w:r>
      <w:r w:rsidRPr="00B8674B">
        <w:rPr>
          <w:rFonts w:ascii="Arial" w:hAnsi="Arial" w:cs="Arial"/>
          <w:bCs/>
          <w:sz w:val="24"/>
          <w:szCs w:val="24"/>
        </w:rPr>
        <w:t xml:space="preserve">(9,7%), </w:t>
      </w:r>
      <w:bookmarkEnd w:id="4"/>
      <w:r w:rsidRPr="00B8674B">
        <w:rPr>
          <w:rFonts w:ascii="Arial" w:hAnsi="Arial" w:cs="Arial"/>
          <w:bCs/>
          <w:sz w:val="24"/>
          <w:szCs w:val="24"/>
        </w:rPr>
        <w:t xml:space="preserve">conforme </w:t>
      </w:r>
      <w:r w:rsidR="009B51C9">
        <w:rPr>
          <w:rFonts w:ascii="Arial" w:hAnsi="Arial" w:cs="Arial"/>
          <w:bCs/>
          <w:sz w:val="24"/>
          <w:szCs w:val="24"/>
        </w:rPr>
        <w:t>gráfico em figura</w:t>
      </w:r>
      <w:r w:rsidRPr="00B8674B">
        <w:rPr>
          <w:rFonts w:ascii="Arial" w:hAnsi="Arial" w:cs="Arial"/>
          <w:bCs/>
          <w:sz w:val="24"/>
          <w:szCs w:val="24"/>
        </w:rPr>
        <w:t xml:space="preserve"> </w:t>
      </w:r>
      <w:r w:rsidR="00031649" w:rsidRPr="00B8674B">
        <w:rPr>
          <w:rFonts w:ascii="Arial" w:hAnsi="Arial" w:cs="Arial"/>
          <w:bCs/>
          <w:sz w:val="24"/>
          <w:szCs w:val="24"/>
        </w:rPr>
        <w:t>1</w:t>
      </w:r>
      <w:r w:rsidRPr="00B8674B">
        <w:rPr>
          <w:rFonts w:ascii="Arial" w:hAnsi="Arial" w:cs="Arial"/>
          <w:bCs/>
          <w:sz w:val="24"/>
          <w:szCs w:val="24"/>
        </w:rPr>
        <w:t>.</w:t>
      </w:r>
    </w:p>
    <w:p w14:paraId="2BCDEAB7" w14:textId="27919F21" w:rsidR="009B51C9" w:rsidRPr="005D748B" w:rsidRDefault="009B51C9" w:rsidP="005D748B">
      <w:pPr>
        <w:jc w:val="center"/>
        <w:rPr>
          <w:rFonts w:ascii="Arial" w:hAnsi="Arial" w:cs="Arial"/>
          <w:sz w:val="20"/>
          <w:szCs w:val="20"/>
        </w:rPr>
      </w:pPr>
      <w:r w:rsidRPr="005D748B">
        <w:rPr>
          <w:rFonts w:ascii="Arial" w:hAnsi="Arial" w:cs="Arial"/>
          <w:b/>
          <w:bCs/>
          <w:sz w:val="20"/>
          <w:szCs w:val="20"/>
        </w:rPr>
        <w:t>Figura 1.</w:t>
      </w:r>
      <w:r w:rsidRPr="005D748B">
        <w:rPr>
          <w:rFonts w:ascii="Arial" w:hAnsi="Arial" w:cs="Arial"/>
          <w:sz w:val="20"/>
          <w:szCs w:val="20"/>
        </w:rPr>
        <w:t xml:space="preserve"> Gráfico de barras demonstrando a distribuição das comorbidades entre os pacientes.</w:t>
      </w:r>
    </w:p>
    <w:p w14:paraId="2BD31E90" w14:textId="13F2D652" w:rsidR="009B51C9" w:rsidRDefault="009B51C9" w:rsidP="009B51C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3E8AA8" wp14:editId="0B3F3C24">
            <wp:extent cx="3800475" cy="3074401"/>
            <wp:effectExtent l="0" t="0" r="0" b="0"/>
            <wp:docPr id="3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E258937F-C822-43BE-88A2-EEEE787923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E258937F-C822-43BE-88A2-EEEE78792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8665" r="18385"/>
                    <a:stretch/>
                  </pic:blipFill>
                  <pic:spPr>
                    <a:xfrm>
                      <a:off x="0" y="0"/>
                      <a:ext cx="3803169" cy="30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C5D4" w14:textId="77777777" w:rsidR="009B51C9" w:rsidRDefault="009B51C9" w:rsidP="009B51C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E03DBC1" w14:textId="1B724272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674B">
        <w:rPr>
          <w:rFonts w:ascii="Arial" w:hAnsi="Arial" w:cs="Arial"/>
          <w:bCs/>
          <w:sz w:val="24"/>
          <w:szCs w:val="24"/>
        </w:rPr>
        <w:t xml:space="preserve">Para triagem inicial de provável disfunção orgânica, foram utilizados os dados dos critérios clínicos do </w:t>
      </w:r>
      <w:proofErr w:type="spellStart"/>
      <w:r w:rsidRPr="00B8674B">
        <w:rPr>
          <w:rFonts w:ascii="Arial" w:hAnsi="Arial" w:cs="Arial"/>
          <w:bCs/>
          <w:sz w:val="24"/>
          <w:szCs w:val="24"/>
        </w:rPr>
        <w:t>qSOFA</w:t>
      </w:r>
      <w:proofErr w:type="spellEnd"/>
      <w:r w:rsidRPr="00B8674B">
        <w:rPr>
          <w:rFonts w:ascii="Arial" w:hAnsi="Arial" w:cs="Arial"/>
          <w:bCs/>
          <w:sz w:val="24"/>
          <w:szCs w:val="24"/>
        </w:rPr>
        <w:t>, sendo que 83 (87,4%) dos pacientes analisados apresentavam dois ou mais pontos deste score. Dentre estes critérios, o rebaixamento do nível de consciência com 81 (85,3%), seguido de frequência respiratória (FR) &gt;22 60 (63,2%) e por último pressão arterial sistólica (PAS) &lt;100 54 (56,8%).</w:t>
      </w:r>
    </w:p>
    <w:p w14:paraId="4B8525B1" w14:textId="49DB083F" w:rsidR="00031649" w:rsidRDefault="00CB0572" w:rsidP="00B8674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674B">
        <w:rPr>
          <w:rFonts w:ascii="Arial" w:hAnsi="Arial" w:cs="Arial"/>
          <w:bCs/>
          <w:color w:val="000000" w:themeColor="text1"/>
          <w:sz w:val="24"/>
          <w:szCs w:val="24"/>
        </w:rPr>
        <w:t>Quanto aos critérios de disfunção do SOFA, a média de pontuação entre todos os pacientes foi 7,38 (±4,06). Variando de</w:t>
      </w:r>
      <w:r w:rsidR="00031649" w:rsidRPr="00B8674B">
        <w:rPr>
          <w:rFonts w:ascii="Arial" w:hAnsi="Arial" w:cs="Arial"/>
          <w:bCs/>
          <w:color w:val="000000" w:themeColor="text1"/>
          <w:sz w:val="24"/>
          <w:szCs w:val="24"/>
        </w:rPr>
        <w:t xml:space="preserve"> dois pontos em 11 pacientes até dezenove pontos em 2 pacientes</w:t>
      </w:r>
      <w:r w:rsidR="00B8674B" w:rsidRPr="00B8674B">
        <w:rPr>
          <w:rFonts w:ascii="Arial" w:hAnsi="Arial" w:cs="Arial"/>
          <w:bCs/>
          <w:color w:val="000000" w:themeColor="text1"/>
          <w:sz w:val="24"/>
          <w:szCs w:val="24"/>
        </w:rPr>
        <w:t xml:space="preserve"> e a mediana de 7 pontos.</w:t>
      </w:r>
      <w:r w:rsidR="003762FF">
        <w:rPr>
          <w:rFonts w:ascii="Arial" w:hAnsi="Arial" w:cs="Arial"/>
          <w:bCs/>
          <w:color w:val="000000" w:themeColor="text1"/>
          <w:sz w:val="24"/>
          <w:szCs w:val="24"/>
        </w:rPr>
        <w:t xml:space="preserve"> Segue na tabela abaixo os valores encontrados dentro dos parâmetros analisados no critério do SOFA.</w:t>
      </w:r>
    </w:p>
    <w:p w14:paraId="4B114D40" w14:textId="78858AE0" w:rsidR="003762FF" w:rsidRPr="005D748B" w:rsidRDefault="003762FF" w:rsidP="005D748B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D748B">
        <w:rPr>
          <w:rFonts w:ascii="Arial" w:hAnsi="Arial" w:cs="Arial"/>
          <w:b/>
          <w:color w:val="000000" w:themeColor="text1"/>
          <w:sz w:val="20"/>
          <w:szCs w:val="20"/>
        </w:rPr>
        <w:t xml:space="preserve">Tabela </w:t>
      </w:r>
      <w:r w:rsidR="009B51C9" w:rsidRPr="005D748B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D748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5D748B">
        <w:rPr>
          <w:rFonts w:ascii="Arial" w:hAnsi="Arial" w:cs="Arial"/>
          <w:bCs/>
          <w:color w:val="000000" w:themeColor="text1"/>
          <w:sz w:val="20"/>
          <w:szCs w:val="20"/>
        </w:rPr>
        <w:t xml:space="preserve"> Caracterização da amostra segundo os parâmetros avaliados pelo SOFA (n = 95).</w:t>
      </w: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160"/>
        <w:gridCol w:w="2160"/>
      </w:tblGrid>
      <w:tr w:rsidR="003762FF" w:rsidRPr="003762FF" w14:paraId="6C36D3AF" w14:textId="77777777" w:rsidTr="003762FF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FD98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741A" w14:textId="6C16E32C" w:rsidR="003762FF" w:rsidRPr="003762FF" w:rsidRDefault="009B51C9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F90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62FF" w:rsidRPr="003762FF" w14:paraId="16FD3059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A7C" w14:textId="38132E8A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Relação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aO2</w:t>
            </w: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iO2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8EE8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152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76EF0957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876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147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E19C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3762FF" w:rsidRPr="003762FF" w14:paraId="73FD098F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4F8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EBA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432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3762FF" w:rsidRPr="003762FF" w14:paraId="22CAC0DE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A8A9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4306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F8A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3762FF" w:rsidRPr="003762FF" w14:paraId="077E1787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CB1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B49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45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3762FF" w:rsidRPr="003762FF" w14:paraId="56480DBA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592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eastAsia="Times New Roman"/>
                <w:color w:val="000000"/>
                <w:sz w:val="24"/>
                <w:szCs w:val="24"/>
              </w:rPr>
              <w:t>≥</w:t>
            </w: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09F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EA7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3762FF" w:rsidRPr="003762FF" w14:paraId="3A811BFC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B2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45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C6E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3762FF" w:rsidRPr="003762FF" w14:paraId="4D56717A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5AA2" w14:textId="071A2E72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Plaquetas</w:t>
            </w:r>
            <w:r w:rsid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(/mm³)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A249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B58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5F9F87C0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E1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&lt;50000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0FD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294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762FF" w:rsidRPr="003762FF" w14:paraId="096D1E78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B89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&lt;100000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BC58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51F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3762FF" w:rsidRPr="003762FF" w14:paraId="67C91569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A6F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&lt;150000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A64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DE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3762FF" w:rsidRPr="003762FF" w14:paraId="770D6680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5196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&gt;150000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A54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BE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3762FF" w:rsidRPr="003762FF" w14:paraId="6F09138F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3E6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B43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5D6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3762FF" w:rsidRPr="003762FF" w14:paraId="080CBDB7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438B" w14:textId="3BB14361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Bilirrubinas</w:t>
            </w:r>
            <w:r w:rsid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(mg/</w:t>
            </w:r>
            <w:proofErr w:type="spellStart"/>
            <w:r w:rsid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dL</w:t>
            </w:r>
            <w:proofErr w:type="spellEnd"/>
            <w:r w:rsid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093C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FF3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369D558C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D0D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0319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A4D6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3762FF" w:rsidRPr="003762FF" w14:paraId="43E67469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B15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 a 1,9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D3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5FC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762FF" w:rsidRPr="003762FF" w14:paraId="339ADBCA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BF4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 a 5,9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E10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FE0C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3762FF" w:rsidRPr="003762FF" w14:paraId="531F6B86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AE8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 a 11,9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1D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43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3762FF" w:rsidRPr="003762FF" w14:paraId="0D0C828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D7B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76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5C9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3762FF" w:rsidRPr="003762FF" w14:paraId="40821814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D965" w14:textId="7A34C66B" w:rsidR="003762FF" w:rsidRPr="003762FF" w:rsidRDefault="009B51C9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D08E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C1C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3762FF" w:rsidRPr="003762FF" w14:paraId="20A33C8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809F" w14:textId="250D634F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6EE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6A2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0354CE8B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8D9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9F96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01E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</w:tr>
      <w:tr w:rsidR="003762FF" w:rsidRPr="003762FF" w14:paraId="00BCB3C1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52E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E4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99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3762FF" w:rsidRPr="003762FF" w14:paraId="7D95C9B3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AFCE" w14:textId="6CE3C656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Droga vasoativa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mcg/kg/min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50A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C07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13BDCCC9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D4A1" w14:textId="0B3E87EB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9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opamina &lt;</w:t>
            </w: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276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E76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762FF" w:rsidRPr="003762FF" w14:paraId="5D39B5FF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EC3F" w14:textId="71F68B7F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oradrenalina</w:t>
            </w: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≤</w:t>
            </w: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13B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28D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3762FF" w:rsidRPr="003762FF" w14:paraId="108FAB3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051" w14:textId="400C933A" w:rsidR="003762FF" w:rsidRPr="003762FF" w:rsidRDefault="009B51C9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Noradrenalina</w:t>
            </w:r>
            <w:r w:rsidR="003762FF"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&gt;0,1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2D6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FE0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3762FF" w:rsidRPr="003762FF" w14:paraId="754BA880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DC4E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realizado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843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F5F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3762FF" w:rsidRPr="003762FF" w14:paraId="02C54F1A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C2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D6EC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D6D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3762FF" w:rsidRPr="003762FF" w14:paraId="2D9292C1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4D1E" w14:textId="510F4A96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Escala de coma de </w:t>
            </w:r>
            <w:proofErr w:type="spellStart"/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Glasqow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6C5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1A6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26DC26AF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B0B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a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EB3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7B20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3762FF" w:rsidRPr="003762FF" w14:paraId="20AF1E6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D9E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 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FE1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6E0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3762FF" w:rsidRPr="003762FF" w14:paraId="668C949B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DB56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a 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597E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1C4E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762FF" w:rsidRPr="003762FF" w14:paraId="71283F20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7F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a 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803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97A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3762FF" w:rsidRPr="003762FF" w14:paraId="28DEFD1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9295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1D98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244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3762FF" w:rsidRPr="003762FF" w14:paraId="60D7C918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CC13" w14:textId="519194E3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Creatinina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A648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E689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FF" w:rsidRPr="003762FF" w14:paraId="24964565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87D1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&lt;1,2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3E8F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C16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3762FF" w:rsidRPr="003762FF" w14:paraId="4EBAB173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028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 a 1,9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5F1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C6B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3762FF" w:rsidRPr="003762FF" w14:paraId="3059B20B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677D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 a 3,4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07AB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FC4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3762FF" w:rsidRPr="003762FF" w14:paraId="447EE39A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14B4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 a 4,9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CE3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BEBC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762FF" w:rsidRPr="003762FF" w14:paraId="05E829A6" w14:textId="77777777" w:rsidTr="003762FF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525A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eastAsia="Times New Roman"/>
                <w:color w:val="000000"/>
                <w:sz w:val="24"/>
                <w:szCs w:val="24"/>
              </w:rPr>
              <w:t>≥</w:t>
            </w: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2482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5297" w14:textId="77777777" w:rsidR="003762FF" w:rsidRPr="003762FF" w:rsidRDefault="003762FF" w:rsidP="0037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3762FF" w:rsidRPr="003762FF" w14:paraId="1A405818" w14:textId="77777777" w:rsidTr="003762FF">
        <w:trPr>
          <w:trHeight w:val="255"/>
        </w:trPr>
        <w:tc>
          <w:tcPr>
            <w:tcW w:w="7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D3DA" w14:textId="3D5B87B9" w:rsidR="003762FF" w:rsidRPr="003762FF" w:rsidRDefault="003762FF" w:rsidP="0037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= frequência absoluta; % = frequência relativa</w:t>
            </w:r>
            <w:r w:rsidR="009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NI= não informado</w:t>
            </w:r>
          </w:p>
        </w:tc>
      </w:tr>
    </w:tbl>
    <w:p w14:paraId="72D8345F" w14:textId="77777777" w:rsidR="003762FF" w:rsidRDefault="003762FF" w:rsidP="00B8674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76AB860" w14:textId="021CEE5A" w:rsidR="00652C44" w:rsidRDefault="00652C44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_Hlk50137966"/>
      <w:r>
        <w:rPr>
          <w:rFonts w:ascii="Arial" w:hAnsi="Arial" w:cs="Arial"/>
          <w:bCs/>
          <w:sz w:val="24"/>
          <w:szCs w:val="24"/>
        </w:rPr>
        <w:t>Quanto a avaliação dos critérios de definição de sepse e choque séptico do Sepsis-3 (2016), 52 (54,7%) apresentaram sepse e 43 (45,3%) choque séptico.</w:t>
      </w:r>
    </w:p>
    <w:p w14:paraId="48BFC111" w14:textId="53C51FAD" w:rsidR="00652C44" w:rsidRDefault="00652C44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Segundo o manejo clínico do SSC (2019), observou-se que na primeira hora 27 (28,4%) realizaram cultura; 39 (41,2%) ressuscitação volêmica; 41 (43,2%) antimicrobiano; 25 (58,1%) droga vasoativa para os que possuíam indicação; e 42 (44,2%) dosagem do lactato</w:t>
      </w:r>
      <w:r w:rsidR="005D3652">
        <w:rPr>
          <w:rFonts w:ascii="Arial" w:hAnsi="Arial" w:cs="Arial"/>
          <w:bCs/>
          <w:sz w:val="24"/>
          <w:szCs w:val="24"/>
        </w:rPr>
        <w:t>, conforme detalhado em horas na tabela abaixo.</w:t>
      </w:r>
    </w:p>
    <w:p w14:paraId="4C5D16A6" w14:textId="0E9D5124" w:rsidR="005D3652" w:rsidRPr="005D748B" w:rsidRDefault="005D3652" w:rsidP="005D74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5D748B">
        <w:rPr>
          <w:rFonts w:ascii="Arial" w:hAnsi="Arial" w:cs="Arial"/>
          <w:b/>
          <w:sz w:val="20"/>
          <w:szCs w:val="20"/>
        </w:rPr>
        <w:t xml:space="preserve">Tabela </w:t>
      </w:r>
      <w:r w:rsidR="009B51C9" w:rsidRPr="005D748B">
        <w:rPr>
          <w:rFonts w:ascii="Arial" w:hAnsi="Arial" w:cs="Arial"/>
          <w:b/>
          <w:sz w:val="20"/>
          <w:szCs w:val="20"/>
        </w:rPr>
        <w:t>3</w:t>
      </w:r>
      <w:r w:rsidRPr="005D748B">
        <w:rPr>
          <w:rFonts w:ascii="Arial" w:hAnsi="Arial" w:cs="Arial"/>
          <w:b/>
          <w:sz w:val="20"/>
          <w:szCs w:val="20"/>
        </w:rPr>
        <w:t>.</w:t>
      </w:r>
      <w:r w:rsidRPr="005D748B">
        <w:rPr>
          <w:rFonts w:ascii="Arial" w:hAnsi="Arial" w:cs="Arial"/>
          <w:bCs/>
          <w:sz w:val="20"/>
          <w:szCs w:val="20"/>
        </w:rPr>
        <w:t xml:space="preserve"> Caracterização da amostra de acordo com protocolo clínico de manejo de sepse (n = 95).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2525"/>
        <w:gridCol w:w="2525"/>
      </w:tblGrid>
      <w:tr w:rsidR="005D3652" w:rsidRPr="005D3652" w14:paraId="1A7B9303" w14:textId="77777777" w:rsidTr="008A57E0">
        <w:trPr>
          <w:trHeight w:val="255"/>
        </w:trPr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5E7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0F9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064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D3652" w:rsidRPr="005D3652" w14:paraId="5EE06E58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510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3CB5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D58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652" w:rsidRPr="005D3652" w14:paraId="39237E00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040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2A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6348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5D3652" w:rsidRPr="005D3652" w14:paraId="5BFCDE14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8C5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6E66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3C1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D3652" w:rsidRPr="005D3652" w14:paraId="576E0309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924A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DF5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C15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3652" w:rsidRPr="005D3652" w14:paraId="49C0DBEF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F3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5D0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896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5D3652" w:rsidRPr="005D3652" w14:paraId="47C1D479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8A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Não realizado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E69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F7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5D3652" w:rsidRPr="005D3652" w14:paraId="0AEF36B7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0A49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Ressuscitação volêmica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74A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E8E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652" w:rsidRPr="005D3652" w14:paraId="32543443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D3B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CC2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878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5D3652" w:rsidRPr="005D3652" w14:paraId="3B4768C7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CFA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D173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0C0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5D3652" w:rsidRPr="005D3652" w14:paraId="312F577E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5F2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323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042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5D3652" w:rsidRPr="005D3652" w14:paraId="59121E1C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3D2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42A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D45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3652" w:rsidRPr="005D3652" w14:paraId="38ED9847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D96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realizado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FF2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FFF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5D3652" w:rsidRPr="005D3652" w14:paraId="73C8886D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AFF1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Antimicrobiano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359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36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652" w:rsidRPr="005D3652" w14:paraId="714B72C7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B5C8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A0F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A99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5D3652" w:rsidRPr="005D3652" w14:paraId="7F52481D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237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9115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880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5D3652" w:rsidRPr="005D3652" w14:paraId="2FD9259C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883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1779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673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5D3652" w:rsidRPr="005D3652" w14:paraId="75805B50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4E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9DA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875A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D3652" w:rsidRPr="005D3652" w14:paraId="4B22A4CF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012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realizado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198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0A5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5D3652" w:rsidRPr="005D3652" w14:paraId="3AAAF2AB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7BC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Hora da DVA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692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A6E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652" w:rsidRPr="005D3652" w14:paraId="17F269F9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6DC6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1ª h 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51A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D6B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5D3652" w:rsidRPr="005D3652" w14:paraId="75F6F5C2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30E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DCC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FBF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5D3652" w:rsidRPr="005D3652" w14:paraId="5E914DC0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0FEF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126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A7D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5D3652" w:rsidRPr="005D3652" w14:paraId="533476AD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A18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realizado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BB2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0F6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D3652" w:rsidRPr="005D3652" w14:paraId="2608FCD9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BFF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Hora do Lactato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1689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B44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652" w:rsidRPr="005D3652" w14:paraId="6B46DFDA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CCB3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CDE3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55A8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5D3652" w:rsidRPr="005D3652" w14:paraId="38EEBA2A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9586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BBD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5522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5D3652" w:rsidRPr="005D3652" w14:paraId="230E7376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BBAB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63D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FFD6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5D3652" w:rsidRPr="005D3652" w14:paraId="44CE0BD5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419E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6ª h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3CBC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FFB0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5D3652" w:rsidRPr="005D3652" w14:paraId="0A76422C" w14:textId="77777777" w:rsidTr="008A57E0">
        <w:trPr>
          <w:trHeight w:val="255"/>
        </w:trPr>
        <w:tc>
          <w:tcPr>
            <w:tcW w:w="2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BED3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realizado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7353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CB7" w14:textId="77777777" w:rsidR="005D3652" w:rsidRPr="005D3652" w:rsidRDefault="005D3652" w:rsidP="005D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5D3652" w:rsidRPr="005D3652" w14:paraId="402ADA00" w14:textId="77777777" w:rsidTr="008A57E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310F" w14:textId="77777777" w:rsidR="005D3652" w:rsidRPr="005D3652" w:rsidRDefault="005D3652" w:rsidP="005D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= frequência absoluta; % = frequência relativa; h= horas</w:t>
            </w:r>
          </w:p>
        </w:tc>
      </w:tr>
    </w:tbl>
    <w:p w14:paraId="31156554" w14:textId="44D85BDD" w:rsidR="005D3652" w:rsidRDefault="005D365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491643" w14:textId="4F97F1E2" w:rsidR="009B51C9" w:rsidRDefault="009B51C9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Dentre os antimicrobianos</w:t>
      </w:r>
      <w:r w:rsidR="00D57017">
        <w:rPr>
          <w:rFonts w:ascii="Arial" w:hAnsi="Arial" w:cs="Arial"/>
          <w:bCs/>
          <w:sz w:val="24"/>
          <w:szCs w:val="24"/>
        </w:rPr>
        <w:t>, foram prescritos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102E">
        <w:rPr>
          <w:rFonts w:ascii="Arial" w:hAnsi="Arial" w:cs="Arial"/>
          <w:bCs/>
          <w:sz w:val="24"/>
          <w:szCs w:val="24"/>
        </w:rPr>
        <w:t>23</w:t>
      </w:r>
      <w:r w:rsidR="006F75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bookmarkStart w:id="7" w:name="_Hlk51182845"/>
      <w:r>
        <w:rPr>
          <w:rFonts w:ascii="Arial" w:hAnsi="Arial" w:cs="Arial"/>
          <w:bCs/>
          <w:sz w:val="24"/>
          <w:szCs w:val="24"/>
        </w:rPr>
        <w:t xml:space="preserve">25,9%) </w:t>
      </w:r>
      <w:proofErr w:type="spellStart"/>
      <w:r w:rsidR="00D57017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iperacilina</w:t>
      </w:r>
      <w:proofErr w:type="spellEnd"/>
      <w:r>
        <w:rPr>
          <w:rFonts w:ascii="Arial" w:hAnsi="Arial" w:cs="Arial"/>
          <w:bCs/>
          <w:sz w:val="24"/>
          <w:szCs w:val="24"/>
        </w:rPr>
        <w:t>/</w:t>
      </w:r>
      <w:proofErr w:type="spellStart"/>
      <w:r w:rsidR="00D57017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azobactam</w:t>
      </w:r>
      <w:proofErr w:type="spellEnd"/>
      <w:r w:rsidR="00D57017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6F75D0">
        <w:rPr>
          <w:rFonts w:ascii="Arial" w:hAnsi="Arial" w:cs="Arial"/>
          <w:bCs/>
          <w:sz w:val="24"/>
          <w:szCs w:val="24"/>
        </w:rPr>
        <w:t>2</w:t>
      </w:r>
      <w:r w:rsidR="0096102E">
        <w:rPr>
          <w:rFonts w:ascii="Arial" w:hAnsi="Arial" w:cs="Arial"/>
          <w:bCs/>
          <w:sz w:val="24"/>
          <w:szCs w:val="24"/>
        </w:rPr>
        <w:t>2</w:t>
      </w:r>
      <w:r w:rsidR="006F75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(25,2%) </w:t>
      </w:r>
      <w:proofErr w:type="spellStart"/>
      <w:r w:rsidR="00D57017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eftriaxona</w:t>
      </w:r>
      <w:proofErr w:type="spellEnd"/>
      <w:r w:rsidR="00D57017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e</w:t>
      </w:r>
      <w:r w:rsidR="00D57017">
        <w:rPr>
          <w:rFonts w:ascii="Arial" w:hAnsi="Arial" w:cs="Arial"/>
          <w:bCs/>
          <w:sz w:val="24"/>
          <w:szCs w:val="24"/>
        </w:rPr>
        <w:t xml:space="preserve">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102E">
        <w:rPr>
          <w:rFonts w:ascii="Arial" w:hAnsi="Arial" w:cs="Arial"/>
          <w:bCs/>
          <w:sz w:val="24"/>
          <w:szCs w:val="24"/>
        </w:rPr>
        <w:t>12 (</w:t>
      </w:r>
      <w:r>
        <w:rPr>
          <w:rFonts w:ascii="Arial" w:hAnsi="Arial" w:cs="Arial"/>
          <w:bCs/>
          <w:sz w:val="24"/>
          <w:szCs w:val="24"/>
        </w:rPr>
        <w:t>12,9%</w:t>
      </w:r>
      <w:r w:rsidR="0096102E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7017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laritromicina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BA82270" w14:textId="53335C7E" w:rsidR="00CB0572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8" w:name="_Hlk51183320"/>
      <w:bookmarkEnd w:id="6"/>
      <w:r w:rsidRPr="00B8674B">
        <w:rPr>
          <w:rFonts w:ascii="Arial" w:hAnsi="Arial" w:cs="Arial"/>
          <w:bCs/>
          <w:sz w:val="24"/>
          <w:szCs w:val="24"/>
        </w:rPr>
        <w:t>O tempo de internação foi de 1 a 58 dias, sendo a média total de 12,23 (±11,33) dias, sendo que naqueles com alta foi de 18,83 (±12,37) e os que faleceram apresentaram uma média de 9,33 dias (±9,58).</w:t>
      </w:r>
    </w:p>
    <w:p w14:paraId="4C3DCD2C" w14:textId="50A94675" w:rsidR="00CB0572" w:rsidRPr="00B8674B" w:rsidRDefault="00CB0572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9" w:name="_Hlk50144838"/>
      <w:r w:rsidRPr="00B8674B">
        <w:rPr>
          <w:rFonts w:ascii="Arial" w:hAnsi="Arial" w:cs="Arial"/>
          <w:bCs/>
          <w:sz w:val="24"/>
          <w:szCs w:val="24"/>
        </w:rPr>
        <w:t xml:space="preserve">Do total de pacientes, 29 (30,5%) obtiveram alta, enquanto 66 (69,5%) </w:t>
      </w:r>
      <w:r w:rsidR="00693FB5">
        <w:rPr>
          <w:rFonts w:ascii="Arial" w:hAnsi="Arial" w:cs="Arial"/>
          <w:bCs/>
          <w:sz w:val="24"/>
          <w:szCs w:val="24"/>
        </w:rPr>
        <w:t>vieram a óbito</w:t>
      </w:r>
      <w:r w:rsidRPr="00B8674B">
        <w:rPr>
          <w:rFonts w:ascii="Arial" w:hAnsi="Arial" w:cs="Arial"/>
          <w:bCs/>
          <w:sz w:val="24"/>
          <w:szCs w:val="24"/>
        </w:rPr>
        <w:t xml:space="preserve">. </w:t>
      </w:r>
      <w:bookmarkEnd w:id="8"/>
      <w:r w:rsidR="005D3652">
        <w:rPr>
          <w:rFonts w:ascii="Arial" w:hAnsi="Arial" w:cs="Arial"/>
          <w:bCs/>
          <w:sz w:val="24"/>
          <w:szCs w:val="24"/>
        </w:rPr>
        <w:t>Na</w:t>
      </w:r>
      <w:r w:rsidRPr="00B8674B">
        <w:rPr>
          <w:rFonts w:ascii="Arial" w:hAnsi="Arial" w:cs="Arial"/>
          <w:bCs/>
          <w:sz w:val="24"/>
          <w:szCs w:val="24"/>
        </w:rPr>
        <w:t xml:space="preserve"> análise </w:t>
      </w:r>
      <w:r w:rsidR="005D3652">
        <w:rPr>
          <w:rFonts w:ascii="Arial" w:hAnsi="Arial" w:cs="Arial"/>
          <w:bCs/>
          <w:sz w:val="24"/>
          <w:szCs w:val="24"/>
        </w:rPr>
        <w:t xml:space="preserve">bivariada </w:t>
      </w:r>
      <w:r w:rsidRPr="00B8674B">
        <w:rPr>
          <w:rFonts w:ascii="Arial" w:hAnsi="Arial" w:cs="Arial"/>
          <w:bCs/>
          <w:sz w:val="24"/>
          <w:szCs w:val="24"/>
        </w:rPr>
        <w:t xml:space="preserve">do perfil demográfico e desfecho, </w:t>
      </w:r>
      <w:r w:rsidR="005D3652">
        <w:rPr>
          <w:rFonts w:ascii="Arial" w:hAnsi="Arial" w:cs="Arial"/>
          <w:bCs/>
          <w:sz w:val="24"/>
          <w:szCs w:val="24"/>
        </w:rPr>
        <w:t>observa-se</w:t>
      </w:r>
      <w:r w:rsidRPr="00B8674B">
        <w:rPr>
          <w:rFonts w:ascii="Arial" w:hAnsi="Arial" w:cs="Arial"/>
          <w:bCs/>
          <w:sz w:val="24"/>
          <w:szCs w:val="24"/>
        </w:rPr>
        <w:t xml:space="preserve"> faixa etária </w:t>
      </w:r>
      <w:r w:rsidR="005D3652" w:rsidRPr="00B8674B">
        <w:rPr>
          <w:rFonts w:ascii="Arial" w:hAnsi="Arial" w:cs="Arial"/>
          <w:bCs/>
          <w:sz w:val="24"/>
          <w:szCs w:val="24"/>
        </w:rPr>
        <w:t xml:space="preserve">maiores de 70 anos </w:t>
      </w:r>
      <w:r w:rsidRPr="00B8674B">
        <w:rPr>
          <w:rFonts w:ascii="Arial" w:hAnsi="Arial" w:cs="Arial"/>
          <w:bCs/>
          <w:sz w:val="24"/>
          <w:szCs w:val="24"/>
        </w:rPr>
        <w:t>possui associação</w:t>
      </w:r>
      <w:r w:rsidR="005D3652">
        <w:rPr>
          <w:rFonts w:ascii="Arial" w:hAnsi="Arial" w:cs="Arial"/>
          <w:bCs/>
          <w:sz w:val="24"/>
          <w:szCs w:val="24"/>
        </w:rPr>
        <w:t xml:space="preserve"> com desfecho</w:t>
      </w:r>
      <w:r w:rsidR="001B0AB1">
        <w:rPr>
          <w:rFonts w:ascii="Arial" w:hAnsi="Arial" w:cs="Arial"/>
          <w:bCs/>
          <w:sz w:val="24"/>
          <w:szCs w:val="24"/>
        </w:rPr>
        <w:t xml:space="preserve"> clínico óbito</w:t>
      </w:r>
      <w:r w:rsidR="005D3652">
        <w:rPr>
          <w:rFonts w:ascii="Arial" w:hAnsi="Arial" w:cs="Arial"/>
          <w:bCs/>
          <w:sz w:val="24"/>
          <w:szCs w:val="24"/>
        </w:rPr>
        <w:t xml:space="preserve"> </w:t>
      </w:r>
      <w:r w:rsidRPr="00B8674B">
        <w:rPr>
          <w:rFonts w:ascii="Arial" w:hAnsi="Arial" w:cs="Arial"/>
          <w:bCs/>
          <w:sz w:val="24"/>
          <w:szCs w:val="24"/>
        </w:rPr>
        <w:t>(p</w:t>
      </w:r>
      <w:r w:rsidR="001B0AB1">
        <w:rPr>
          <w:rFonts w:ascii="Arial" w:hAnsi="Arial" w:cs="Arial"/>
          <w:bCs/>
          <w:sz w:val="24"/>
          <w:szCs w:val="24"/>
        </w:rPr>
        <w:t xml:space="preserve"> </w:t>
      </w:r>
      <w:r w:rsidRPr="00B8674B">
        <w:rPr>
          <w:rFonts w:ascii="Arial" w:hAnsi="Arial" w:cs="Arial"/>
          <w:bCs/>
          <w:sz w:val="24"/>
          <w:szCs w:val="24"/>
        </w:rPr>
        <w:t>0,0</w:t>
      </w:r>
      <w:r w:rsidR="001B0AB1">
        <w:rPr>
          <w:rFonts w:ascii="Arial" w:hAnsi="Arial" w:cs="Arial"/>
          <w:bCs/>
          <w:sz w:val="24"/>
          <w:szCs w:val="24"/>
        </w:rPr>
        <w:t>06</w:t>
      </w:r>
      <w:r w:rsidRPr="00B8674B">
        <w:rPr>
          <w:rFonts w:ascii="Arial" w:hAnsi="Arial" w:cs="Arial"/>
          <w:bCs/>
          <w:sz w:val="24"/>
          <w:szCs w:val="24"/>
        </w:rPr>
        <w:t>).</w:t>
      </w:r>
    </w:p>
    <w:bookmarkEnd w:id="9"/>
    <w:p w14:paraId="79F4EA72" w14:textId="6F08E0B3" w:rsidR="00CB0572" w:rsidRDefault="001B0AB1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Quando realizada a análise bivariada</w:t>
      </w:r>
      <w:r w:rsidR="0096102E">
        <w:rPr>
          <w:rFonts w:ascii="Arial" w:hAnsi="Arial" w:cs="Arial"/>
          <w:bCs/>
          <w:sz w:val="24"/>
          <w:szCs w:val="24"/>
        </w:rPr>
        <w:t xml:space="preserve">, houve correlação do </w:t>
      </w:r>
      <w:bookmarkStart w:id="10" w:name="_Hlk51183404"/>
      <w:r w:rsidR="0096102E">
        <w:rPr>
          <w:rFonts w:ascii="Arial" w:hAnsi="Arial" w:cs="Arial"/>
          <w:bCs/>
          <w:sz w:val="24"/>
          <w:szCs w:val="24"/>
        </w:rPr>
        <w:t xml:space="preserve">desfecho óbito com presença de comorbidades (p 0,04), </w:t>
      </w:r>
      <w:proofErr w:type="spellStart"/>
      <w:r w:rsidR="00CB0572" w:rsidRPr="00B8674B">
        <w:rPr>
          <w:rFonts w:ascii="Arial" w:hAnsi="Arial" w:cs="Arial"/>
          <w:bCs/>
          <w:sz w:val="24"/>
          <w:szCs w:val="24"/>
        </w:rPr>
        <w:t>qSOFA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maior que dois pontos </w:t>
      </w:r>
      <w:r w:rsidR="00CB0572" w:rsidRPr="00B8674B">
        <w:rPr>
          <w:rFonts w:ascii="Arial" w:hAnsi="Arial" w:cs="Arial"/>
          <w:bCs/>
          <w:sz w:val="24"/>
          <w:szCs w:val="24"/>
        </w:rPr>
        <w:t>(</w:t>
      </w:r>
      <w:r w:rsidR="005D365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 0</w:t>
      </w:r>
      <w:r w:rsidR="00CB0572" w:rsidRPr="00B8674B">
        <w:rPr>
          <w:rFonts w:ascii="Arial" w:hAnsi="Arial" w:cs="Arial"/>
          <w:bCs/>
          <w:sz w:val="24"/>
          <w:szCs w:val="24"/>
        </w:rPr>
        <w:t>,0</w:t>
      </w:r>
      <w:r w:rsidR="005D3652">
        <w:rPr>
          <w:rFonts w:ascii="Arial" w:hAnsi="Arial" w:cs="Arial"/>
          <w:bCs/>
          <w:sz w:val="24"/>
          <w:szCs w:val="24"/>
        </w:rPr>
        <w:t>2</w:t>
      </w:r>
      <w:r w:rsidR="00CB0572" w:rsidRPr="00B8674B">
        <w:rPr>
          <w:rFonts w:ascii="Arial" w:hAnsi="Arial" w:cs="Arial"/>
          <w:bCs/>
          <w:sz w:val="24"/>
          <w:szCs w:val="24"/>
        </w:rPr>
        <w:t>)</w:t>
      </w:r>
      <w:r w:rsidR="0096102E">
        <w:rPr>
          <w:rFonts w:ascii="Arial" w:hAnsi="Arial" w:cs="Arial"/>
          <w:bCs/>
          <w:sz w:val="24"/>
          <w:szCs w:val="24"/>
        </w:rPr>
        <w:t>, choque séptico (p 0,001).</w:t>
      </w:r>
    </w:p>
    <w:bookmarkEnd w:id="10"/>
    <w:p w14:paraId="49E40F6E" w14:textId="34B452C3" w:rsidR="008C3755" w:rsidRDefault="008C3755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de regressão logística múltipla de variáveis, houve contribuição da idade (p 0,012)</w:t>
      </w:r>
      <w:r w:rsidR="00BA7F4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total do SOFA (p 0,007) e </w:t>
      </w:r>
      <w:r w:rsidR="00BA7F44">
        <w:rPr>
          <w:rFonts w:ascii="Arial" w:hAnsi="Arial" w:cs="Arial"/>
          <w:bCs/>
          <w:sz w:val="24"/>
          <w:szCs w:val="24"/>
        </w:rPr>
        <w:t xml:space="preserve">tempo de internação </w:t>
      </w:r>
      <w:r>
        <w:rPr>
          <w:rFonts w:ascii="Arial" w:hAnsi="Arial" w:cs="Arial"/>
          <w:bCs/>
          <w:sz w:val="24"/>
          <w:szCs w:val="24"/>
        </w:rPr>
        <w:t>(p 0,001)</w:t>
      </w:r>
      <w:r w:rsidR="00BA7F44">
        <w:rPr>
          <w:rFonts w:ascii="Arial" w:hAnsi="Arial" w:cs="Arial"/>
          <w:bCs/>
          <w:sz w:val="24"/>
          <w:szCs w:val="24"/>
        </w:rPr>
        <w:t xml:space="preserve"> para desfecho negativo, sendo o </w:t>
      </w:r>
      <w:bookmarkStart w:id="11" w:name="_Hlk51183444"/>
      <w:r w:rsidR="00BA7F44">
        <w:rPr>
          <w:rFonts w:ascii="Arial" w:hAnsi="Arial" w:cs="Arial"/>
          <w:bCs/>
          <w:sz w:val="24"/>
          <w:szCs w:val="24"/>
        </w:rPr>
        <w:t>tempo de internação inversamente proporcional e de maior contribuição</w:t>
      </w:r>
      <w:bookmarkEnd w:id="11"/>
      <w:r w:rsidR="00BA7F44">
        <w:rPr>
          <w:rFonts w:ascii="Arial" w:hAnsi="Arial" w:cs="Arial"/>
          <w:bCs/>
          <w:sz w:val="24"/>
          <w:szCs w:val="24"/>
        </w:rPr>
        <w:t>.</w:t>
      </w:r>
    </w:p>
    <w:p w14:paraId="3A405253" w14:textId="67B946A1" w:rsidR="008C3755" w:rsidRDefault="008C3755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Quanto a an</w:t>
      </w:r>
      <w:r w:rsidR="00BA7F44">
        <w:rPr>
          <w:rFonts w:ascii="Arial" w:hAnsi="Arial" w:cs="Arial"/>
          <w:bCs/>
          <w:sz w:val="24"/>
          <w:szCs w:val="24"/>
        </w:rPr>
        <w:t>á</w:t>
      </w:r>
      <w:r>
        <w:rPr>
          <w:rFonts w:ascii="Arial" w:hAnsi="Arial" w:cs="Arial"/>
          <w:bCs/>
          <w:sz w:val="24"/>
          <w:szCs w:val="24"/>
        </w:rPr>
        <w:t xml:space="preserve">lise multivariada houve uma </w:t>
      </w:r>
      <w:r w:rsidR="00BA7F44">
        <w:rPr>
          <w:rFonts w:ascii="Arial" w:hAnsi="Arial" w:cs="Arial"/>
          <w:bCs/>
          <w:sz w:val="24"/>
          <w:szCs w:val="24"/>
        </w:rPr>
        <w:t>correlação</w:t>
      </w:r>
      <w:r>
        <w:rPr>
          <w:rFonts w:ascii="Arial" w:hAnsi="Arial" w:cs="Arial"/>
          <w:bCs/>
          <w:sz w:val="24"/>
          <w:szCs w:val="24"/>
        </w:rPr>
        <w:t xml:space="preserve"> negativa entre o total dos critérios SOFA e tempo de internação</w:t>
      </w:r>
      <w:r w:rsidR="00BA7F44">
        <w:rPr>
          <w:rFonts w:ascii="Arial" w:hAnsi="Arial" w:cs="Arial"/>
          <w:bCs/>
          <w:sz w:val="24"/>
          <w:szCs w:val="24"/>
        </w:rPr>
        <w:t xml:space="preserve"> (p 0,04).</w:t>
      </w:r>
    </w:p>
    <w:p w14:paraId="49D78480" w14:textId="4A9180B8" w:rsidR="00BA7F44" w:rsidRDefault="001551E9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1551E9">
        <w:rPr>
          <w:rFonts w:ascii="Arial" w:hAnsi="Arial" w:cs="Arial"/>
          <w:bCs/>
          <w:sz w:val="24"/>
          <w:szCs w:val="24"/>
        </w:rPr>
        <w:t>ão houve diferença estatisticamente significante nas medidas de uma hora e</w:t>
      </w:r>
      <w:r>
        <w:rPr>
          <w:rFonts w:ascii="Arial" w:hAnsi="Arial" w:cs="Arial"/>
          <w:bCs/>
          <w:sz w:val="24"/>
          <w:szCs w:val="24"/>
        </w:rPr>
        <w:t xml:space="preserve"> comparadas a hora e desfecho óbito. </w:t>
      </w:r>
      <w:r w:rsidR="003C3D46">
        <w:rPr>
          <w:rFonts w:ascii="Arial" w:hAnsi="Arial" w:cs="Arial"/>
          <w:bCs/>
          <w:sz w:val="24"/>
          <w:szCs w:val="24"/>
        </w:rPr>
        <w:t>Conforme demonstrado em tabela abaixo.</w:t>
      </w:r>
    </w:p>
    <w:p w14:paraId="24DEDC60" w14:textId="05AE28F3" w:rsidR="003C3D46" w:rsidRPr="005D748B" w:rsidRDefault="003C3D46" w:rsidP="005D748B">
      <w:pPr>
        <w:jc w:val="center"/>
        <w:rPr>
          <w:rFonts w:ascii="Arial" w:hAnsi="Arial" w:cs="Arial"/>
          <w:sz w:val="20"/>
          <w:szCs w:val="20"/>
        </w:rPr>
      </w:pPr>
      <w:r w:rsidRPr="005D748B">
        <w:rPr>
          <w:rFonts w:ascii="Arial" w:hAnsi="Arial" w:cs="Arial"/>
          <w:b/>
          <w:bCs/>
          <w:sz w:val="20"/>
          <w:szCs w:val="20"/>
        </w:rPr>
        <w:t>Tabela 4.</w:t>
      </w:r>
      <w:r w:rsidRPr="005D748B">
        <w:rPr>
          <w:rFonts w:ascii="Arial" w:hAnsi="Arial" w:cs="Arial"/>
          <w:sz w:val="20"/>
          <w:szCs w:val="20"/>
        </w:rPr>
        <w:t xml:space="preserve"> Comparação da amostragem do desfecho com o protocolo de manejo, descartados os não realizados.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055"/>
        <w:gridCol w:w="2320"/>
        <w:gridCol w:w="1176"/>
      </w:tblGrid>
      <w:tr w:rsidR="003C3D46" w:rsidRPr="003C3D46" w14:paraId="43282E4A" w14:textId="77777777" w:rsidTr="003C3D46">
        <w:trPr>
          <w:trHeight w:val="285"/>
        </w:trPr>
        <w:tc>
          <w:tcPr>
            <w:tcW w:w="1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07E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B67A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Desfecho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E44F4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p*</w:t>
            </w:r>
          </w:p>
        </w:tc>
      </w:tr>
      <w:tr w:rsidR="003C3D46" w:rsidRPr="003C3D46" w14:paraId="089428CF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AB3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511F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Alta n (%)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DAB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Óbito n (%)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68911F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C3D46" w:rsidRPr="003C3D46" w14:paraId="068F4034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DD1E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B4EB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803A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748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D46" w:rsidRPr="003C3D46" w14:paraId="4DFEC088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C376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650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(42,9)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8B3E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(36,7)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B139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3C3D46" w:rsidRPr="003C3D46" w14:paraId="659568E6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FFAB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09ED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(57,1)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BBE3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lk50143149"/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(63,3)</w:t>
            </w:r>
            <w:bookmarkEnd w:id="12"/>
          </w:p>
        </w:tc>
        <w:tc>
          <w:tcPr>
            <w:tcW w:w="6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AD7CC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46" w:rsidRPr="003C3D46" w14:paraId="3BDF8A7D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3DCF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Ressuscitação volêmica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0A83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150A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E51D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D46" w:rsidRPr="003C3D46" w14:paraId="6A8AB969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A81E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3E0C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(63,2)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2036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(61,4)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86E5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3C3D46" w:rsidRPr="003C3D46" w14:paraId="2A2676E5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D02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4E4B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(36,8)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331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(38,6)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B083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46" w:rsidRPr="003C3D46" w14:paraId="51B439FD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F8D9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Antimicrobiano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584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33C5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FCF5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D46" w:rsidRPr="003C3D46" w14:paraId="3C7CF394" w14:textId="77777777" w:rsidTr="003C3D46">
        <w:trPr>
          <w:trHeight w:val="80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89D6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91F0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(42,9)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6AB3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(47,5)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0595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3C3D46" w:rsidRPr="003C3D46" w14:paraId="702A66E4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556D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1ªh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F636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(57,1)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79F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(52,5)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5F13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46" w:rsidRPr="003C3D46" w14:paraId="090997D8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6EF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Hora da DVA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3D45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8717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3D20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D46" w:rsidRPr="003C3D46" w14:paraId="4A7D49E3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B2F" w14:textId="6A23283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1003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(60,0)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F465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(62,9)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8E19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3C3D46" w:rsidRPr="003C3D46" w14:paraId="1D038A0D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5AE9" w14:textId="61CAB360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1ª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877E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(40,0)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75C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(37,1)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3056A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46" w:rsidRPr="003C3D46" w14:paraId="0F5DAC85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E6B2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Hora do Lactato</w:t>
            </w:r>
          </w:p>
        </w:tc>
        <w:tc>
          <w:tcPr>
            <w:tcW w:w="1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098F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BD6B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7F1F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D46" w:rsidRPr="003C3D46" w14:paraId="71487311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1F25" w14:textId="38504B35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1ª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841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(54,2)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424A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(50,0) </w:t>
            </w:r>
          </w:p>
        </w:tc>
        <w:tc>
          <w:tcPr>
            <w:tcW w:w="6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0C37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3C3D46" w:rsidRPr="003C3D46" w14:paraId="29408919" w14:textId="77777777" w:rsidTr="003C3D46">
        <w:trPr>
          <w:trHeight w:val="285"/>
        </w:trPr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5242" w14:textId="7B62083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1ª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63D9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(45,8)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6CAC" w14:textId="77777777" w:rsidR="003C3D46" w:rsidRPr="003C3D46" w:rsidRDefault="003C3D46" w:rsidP="003C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(50,0)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BF19B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D46" w:rsidRPr="003C3D46" w14:paraId="239B5ACF" w14:textId="77777777" w:rsidTr="008A57E0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49FE" w14:textId="77777777" w:rsidR="003C3D46" w:rsidRPr="003C3D46" w:rsidRDefault="003C3D46" w:rsidP="003C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</w:t>
            </w:r>
            <w:proofErr w:type="spellEnd"/>
            <w:r w:rsidRPr="003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-quadrado de Pearson; n = frequência absoluta; % = frequência relativa; h=hora</w:t>
            </w:r>
          </w:p>
        </w:tc>
      </w:tr>
    </w:tbl>
    <w:p w14:paraId="471AAB69" w14:textId="77777777" w:rsidR="003C3D46" w:rsidRDefault="003C3D46" w:rsidP="00B8674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077E1B" w14:textId="77777777" w:rsidR="003C3D46" w:rsidRDefault="003C3D4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br w:type="page"/>
      </w:r>
    </w:p>
    <w:p w14:paraId="55DEAE12" w14:textId="3603B3FD" w:rsidR="00B30F6C" w:rsidRDefault="00B30F6C" w:rsidP="003C3D46">
      <w:pPr>
        <w:pStyle w:val="Ttulo1"/>
        <w:numPr>
          <w:ilvl w:val="0"/>
          <w:numId w:val="5"/>
        </w:numPr>
        <w:rPr>
          <w:rFonts w:ascii="Arial" w:eastAsia="Arial" w:hAnsi="Arial" w:cs="Arial"/>
          <w:bCs/>
          <w:sz w:val="24"/>
          <w:szCs w:val="24"/>
        </w:rPr>
      </w:pPr>
      <w:bookmarkStart w:id="13" w:name="_Toc51189554"/>
      <w:r>
        <w:rPr>
          <w:rFonts w:ascii="Arial" w:eastAsia="Arial" w:hAnsi="Arial" w:cs="Arial"/>
          <w:bCs/>
          <w:sz w:val="24"/>
          <w:szCs w:val="24"/>
        </w:rPr>
        <w:lastRenderedPageBreak/>
        <w:t>DISCUSSÃO</w:t>
      </w:r>
      <w:bookmarkEnd w:id="13"/>
    </w:p>
    <w:p w14:paraId="471CBB04" w14:textId="77777777" w:rsidR="005D748B" w:rsidRPr="005D748B" w:rsidRDefault="005D748B" w:rsidP="00B71372">
      <w:pPr>
        <w:jc w:val="both"/>
      </w:pPr>
    </w:p>
    <w:p w14:paraId="15ED6B5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Entende-se que o HUGO é um hospital de referência para trauma de todo o estado de Goiás, portanto seus atendimentos em sua maioria são de tratamento das patologias associadas ao mesmo. Portanto, provavelmente é um dos motivos de não apresentar um protocolo específico de sepse no pronto socorro juntamente com uma equipe especializada para triagem e atendimento de pacientes com quadro de sepse e, também, explica a pequena quantidade de número de prontuários que foi equivalente a 1,23% de todos os consultados com quadro clínico sugestivo de sepse.</w:t>
      </w:r>
    </w:p>
    <w:p w14:paraId="3B1B7FE1" w14:textId="77777777" w:rsidR="00B71372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Assim como publicado por Menezes (2019)</w:t>
      </w:r>
      <w:r w:rsidR="004209EB">
        <w:rPr>
          <w:rFonts w:ascii="Arial" w:hAnsi="Arial" w:cs="Arial"/>
          <w:bCs/>
          <w:sz w:val="24"/>
          <w:szCs w:val="24"/>
        </w:rPr>
        <w:t>,</w:t>
      </w:r>
      <w:r w:rsidRPr="002353FB">
        <w:rPr>
          <w:rFonts w:ascii="Arial" w:hAnsi="Arial" w:cs="Arial"/>
          <w:bCs/>
          <w:sz w:val="24"/>
          <w:szCs w:val="24"/>
        </w:rPr>
        <w:t xml:space="preserve"> </w:t>
      </w:r>
      <w:r w:rsidR="0081419C">
        <w:rPr>
          <w:rFonts w:ascii="Arial" w:hAnsi="Arial" w:cs="Arial"/>
          <w:bCs/>
          <w:sz w:val="24"/>
          <w:szCs w:val="24"/>
        </w:rPr>
        <w:t xml:space="preserve">Palomba (2015), </w:t>
      </w:r>
      <w:r w:rsidR="0081419C" w:rsidRPr="002353FB">
        <w:rPr>
          <w:rFonts w:ascii="Arial" w:hAnsi="Arial" w:cs="Arial"/>
          <w:bCs/>
          <w:sz w:val="24"/>
          <w:szCs w:val="24"/>
        </w:rPr>
        <w:t>Silva (2004)</w:t>
      </w:r>
      <w:r w:rsidR="0081419C">
        <w:rPr>
          <w:rFonts w:ascii="Arial" w:hAnsi="Arial" w:cs="Arial"/>
          <w:bCs/>
          <w:sz w:val="24"/>
          <w:szCs w:val="24"/>
        </w:rPr>
        <w:t xml:space="preserve"> e </w:t>
      </w:r>
      <w:r w:rsidRPr="002353FB">
        <w:rPr>
          <w:rFonts w:ascii="Arial" w:hAnsi="Arial" w:cs="Arial"/>
          <w:bCs/>
          <w:sz w:val="24"/>
          <w:szCs w:val="24"/>
        </w:rPr>
        <w:t xml:space="preserve">Zonta (2018) e, foi evidenciado neste estudo um predomínio em pacientes do sexo masculino. </w:t>
      </w:r>
    </w:p>
    <w:p w14:paraId="503B2E50" w14:textId="706A5A6A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Rhodes em 2015 demonstrou que 47% dos pacientes tinham mais de 65 anos e que 59% apresentavam ao menos uma comorbidade, o que condiz com nosso estudo. Demonstramos que a idade de 42,1% dos pacientes foi em maiores de 70 anos e que em 81,1%, comorbidades estavam presentes e com correlação de disfunção orgânica e de óbito com a presença destas. Já foi demonstrado que a presença de comorbidades é fator de risco associado ao agravamento da sepse, destacando-se a hipertensão arterial sistêmica, diabetes mellitus e insuficiência cardíaca (BARROS</w:t>
      </w:r>
      <w:r w:rsidR="004209EB">
        <w:rPr>
          <w:rFonts w:ascii="Arial" w:hAnsi="Arial" w:cs="Arial"/>
          <w:bCs/>
          <w:sz w:val="24"/>
          <w:szCs w:val="24"/>
        </w:rPr>
        <w:t>; MAIA; MONTEIRO</w:t>
      </w:r>
      <w:r w:rsidRPr="002353FB">
        <w:rPr>
          <w:rFonts w:ascii="Arial" w:hAnsi="Arial" w:cs="Arial"/>
          <w:bCs/>
          <w:sz w:val="24"/>
          <w:szCs w:val="24"/>
        </w:rPr>
        <w:t>, 2016</w:t>
      </w:r>
      <w:r w:rsidR="0081419C">
        <w:rPr>
          <w:rFonts w:ascii="Arial" w:hAnsi="Arial" w:cs="Arial"/>
          <w:bCs/>
          <w:sz w:val="24"/>
          <w:szCs w:val="24"/>
        </w:rPr>
        <w:t>; PALOMBA, 2015</w:t>
      </w:r>
      <w:r w:rsidR="00B71372">
        <w:rPr>
          <w:rFonts w:ascii="Arial" w:hAnsi="Arial" w:cs="Arial"/>
          <w:bCs/>
          <w:sz w:val="24"/>
          <w:szCs w:val="24"/>
        </w:rPr>
        <w:t xml:space="preserve">; </w:t>
      </w:r>
      <w:r w:rsidR="0081419C" w:rsidRPr="0081419C">
        <w:rPr>
          <w:rFonts w:ascii="Arial" w:hAnsi="Arial" w:cs="Arial"/>
          <w:bCs/>
          <w:sz w:val="24"/>
          <w:szCs w:val="24"/>
        </w:rPr>
        <w:t>SILVA, 2004</w:t>
      </w:r>
      <w:r w:rsidRPr="002353FB">
        <w:rPr>
          <w:rFonts w:ascii="Arial" w:hAnsi="Arial" w:cs="Arial"/>
          <w:bCs/>
          <w:sz w:val="24"/>
          <w:szCs w:val="24"/>
        </w:rPr>
        <w:t>).</w:t>
      </w:r>
    </w:p>
    <w:p w14:paraId="096C80C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De acordo com resultados de Sanches (2020), Machado (2017) e Zonta (2018) o principal foco infeccioso evidenciado para o desenvolvimento da sepse foi a pneumonia, assim como o encontrado neste estudo. </w:t>
      </w:r>
    </w:p>
    <w:p w14:paraId="2294A08B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Conforme Machado em 2017, os hospitais brasileiros apresentaram mais alterações respiratórias (81,5%). Ao analisar os parâmetros clínicos da admissão, a maioria apresentou dispneia seguido de saturação de oxigênio &lt;90% ou necessidade de oxigênio suplementar, provavelmente relacionados como o quadro infeccioso pulmonar. Quase 90% dos pacientes apresentaram parâmetros clínicos do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qSOFA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 maior ou igual a dois pontos, com destaque ao rebaixamento do nível de consciência, presente em 85% destes.  </w:t>
      </w:r>
    </w:p>
    <w:p w14:paraId="3ADFB6F5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O média de pontuação no escore SOFA foi 7,38 no presente estudo, semelhante com Machado (2017) que publicou a análise comparativa de hospitais públicos e privados </w:t>
      </w:r>
      <w:r w:rsidRPr="002353FB">
        <w:rPr>
          <w:rFonts w:ascii="Arial" w:hAnsi="Arial" w:cs="Arial"/>
          <w:bCs/>
          <w:sz w:val="24"/>
          <w:szCs w:val="24"/>
        </w:rPr>
        <w:lastRenderedPageBreak/>
        <w:t>do Brasil. A associação deste escore ao óbito também foi comprovada no nosso estudo, refletindo a gravidade do quadro dos pacientes. (SANCHES, 2020)</w:t>
      </w:r>
    </w:p>
    <w:p w14:paraId="337AB34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Os resultados evidenciaram índice de sepse maior que de choque séptico, respectivamente, semelhante aos dados publicados no relatório nacional pelo Instituto </w:t>
      </w:r>
      <w:proofErr w:type="gramStart"/>
      <w:r w:rsidRPr="002353FB">
        <w:rPr>
          <w:rFonts w:ascii="Arial" w:hAnsi="Arial" w:cs="Arial"/>
          <w:bCs/>
          <w:sz w:val="24"/>
          <w:szCs w:val="24"/>
        </w:rPr>
        <w:t>Latino Americano</w:t>
      </w:r>
      <w:proofErr w:type="gramEnd"/>
      <w:r w:rsidRPr="002353FB">
        <w:rPr>
          <w:rFonts w:ascii="Arial" w:hAnsi="Arial" w:cs="Arial"/>
          <w:bCs/>
          <w:sz w:val="24"/>
          <w:szCs w:val="24"/>
        </w:rPr>
        <w:t xml:space="preserve"> de Sepse em 2019, demonstrando hospitais brasileiros em que a sepse e o choque séptico atingem, 62,8% e 37,2%, respectivamente.</w:t>
      </w:r>
    </w:p>
    <w:p w14:paraId="053BFE8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De acordo com Levy (2018), é recomendado que o diagnóstico da sepse seja precoce, no presente estudo demonstra que o reconhecimento e manejo de sepse realizado na primeira hora teve uma porcentagem superior em relação ao manejo em horas outras, mesmo sem a implantação do protocolo na emergência da instituição.</w:t>
      </w:r>
    </w:p>
    <w:p w14:paraId="699FB40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Identificamos que mais da metade das coletas para dosagem de lactato foram realizadas, porém ocorreu em mais de 6 horas após o diagnóstico. Segundo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Cols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 (2016) o atraso da coleta de lactato pode retardar a implementação do tratamento e contribuir para pior prognóstico.</w:t>
      </w:r>
    </w:p>
    <w:p w14:paraId="2EC9E1C9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Em seu estudo realizado no Brasil, Rhodes (2015) evidenciou que tanto em   hospitais públicos quanto em hospitais privados a adesão à coleta de hemoculturas foi de 75%, mas não foi determinado em qual momento foi solicitado. Em nosso estudo, a coleta de hemoculturas foi realizada na maioria dos pacientes, porém somente em 28,4% ocorreu na primeira hora, dificultando a identificação do possível agente etiológico caso já tenha sido realizado a primeira dose do antimicrobiano. Essa conduta é importante para auxiliar na identificação do agente etiológico e possibilitar o escalonamento ou de-escalonamento adequado de antimicrobianos para evitar resistências a essas medicações e devendo ser priorizada nas instituições hospitalares. (ILAS, 2015)</w:t>
      </w:r>
    </w:p>
    <w:p w14:paraId="11E797D1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No protocolo de manejo recomendado pelo SSC o início da primeira dose de antibiótico deve ocorrer precocemente, preferencialmente na primeira hora. No   presente estudo, a maioria dos pacientes receberam a terapêutica antimicrobiana depois da primeira hora. (LEWY, 2018)</w:t>
      </w:r>
    </w:p>
    <w:p w14:paraId="7CB7DE73" w14:textId="24BB813F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Dentre os antimicrobianos prescritos destaca-se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piperacilina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tazobactam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 em 25,9%, diferente de outro estudo brasileiro publicado por Andrade (2019), em que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amicacina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piperacilina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tazobactam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 foram os menos utilizados e de Barros</w:t>
      </w:r>
      <w:r w:rsidR="0081419C">
        <w:rPr>
          <w:rFonts w:ascii="Arial" w:hAnsi="Arial" w:cs="Arial"/>
          <w:bCs/>
          <w:sz w:val="24"/>
          <w:szCs w:val="24"/>
        </w:rPr>
        <w:t>; Maia e Monteiro</w:t>
      </w:r>
      <w:r w:rsidRPr="002353FB">
        <w:rPr>
          <w:rFonts w:ascii="Arial" w:hAnsi="Arial" w:cs="Arial"/>
          <w:bCs/>
          <w:sz w:val="24"/>
          <w:szCs w:val="24"/>
        </w:rPr>
        <w:t xml:space="preserve"> </w:t>
      </w:r>
      <w:r w:rsidRPr="002353FB">
        <w:rPr>
          <w:rFonts w:ascii="Arial" w:hAnsi="Arial" w:cs="Arial"/>
          <w:bCs/>
          <w:sz w:val="24"/>
          <w:szCs w:val="24"/>
        </w:rPr>
        <w:lastRenderedPageBreak/>
        <w:t xml:space="preserve">(2016) em que demonstrou maior consumo de </w:t>
      </w:r>
      <w:proofErr w:type="spellStart"/>
      <w:r w:rsidRPr="002353FB">
        <w:rPr>
          <w:rFonts w:ascii="Arial" w:hAnsi="Arial" w:cs="Arial"/>
          <w:bCs/>
          <w:sz w:val="24"/>
          <w:szCs w:val="24"/>
        </w:rPr>
        <w:t>carbapenêmicos</w:t>
      </w:r>
      <w:proofErr w:type="spellEnd"/>
      <w:r w:rsidRPr="002353FB">
        <w:rPr>
          <w:rFonts w:ascii="Arial" w:hAnsi="Arial" w:cs="Arial"/>
          <w:bCs/>
          <w:sz w:val="24"/>
          <w:szCs w:val="24"/>
        </w:rPr>
        <w:t xml:space="preserve">. A escolha do medicamento depende de cada serviço hospitalar e seus protocolos, avaliando características especificas de cada região. </w:t>
      </w:r>
    </w:p>
    <w:p w14:paraId="34DDE474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É importante ter uma equipe especializada para triagem e reconhecimento precoce de pacientes com quadro sugestivo de sepse visto que a evolução para o choque séptico e, consequentemente, ao óbito está intimamente relacionado à demora na implementação da terapia antimicrobiana. Portanto o atraso no início interfere diretamente na sobrevida e predispõe ao agravamento do quadro. </w:t>
      </w:r>
    </w:p>
    <w:p w14:paraId="3F920797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A implementação de medidas na primeira hora comparada a outra hora e o desfecho óbito não houve diferença significante neste estudo. </w:t>
      </w:r>
    </w:p>
    <w:p w14:paraId="6039F057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Por tratar-se de estudo retrospectivo, houve uma limitação dos resultados comparando as medidas do protocolo na primeira hora e demais horas. Apesar do nosso estudo não ter mostrado relação de óbito com as medidas, existem várias evidências a favor dessas medidas e nosso estudo mostrou uma pequena adesão as medidas de primeira hora, principalmente em relação a cultura e uso de antimicrobianos.</w:t>
      </w:r>
    </w:p>
    <w:p w14:paraId="29C61432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Contudo, pode-se perder o parâmetro para avaliar o desfecho desses pacientes que já possuem disfunção orgânica prévia relacionada a idade avançada e, assim, provavelmente as medidas não foram efetivas devido alta taxa de comorbidades. </w:t>
      </w:r>
    </w:p>
    <w:p w14:paraId="2F018CCB" w14:textId="77777777" w:rsidR="002353FB" w:rsidRPr="002353FB" w:rsidRDefault="002353FB" w:rsidP="00B7137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 xml:space="preserve">A média do tempo de internação foi de 12,23 (±11,33) dias, sendo inversamente proporcional e de maior contribuição para o desfecho óbito, menor do que demonstrado por Sanches em 2020, em que foi 22 dias (±20,7), com menor tempo correspondente aos não sobreviventes. </w:t>
      </w:r>
    </w:p>
    <w:p w14:paraId="62B27AF2" w14:textId="604F8D51" w:rsidR="00502716" w:rsidRDefault="002353FB" w:rsidP="00B7137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353FB">
        <w:rPr>
          <w:rFonts w:ascii="Arial" w:hAnsi="Arial" w:cs="Arial"/>
          <w:bCs/>
          <w:sz w:val="24"/>
          <w:szCs w:val="24"/>
        </w:rPr>
        <w:t>A maioria dos pacientes vieram a óbito, sendo este desfecho também associado ao choque séptico. Desde 2006 Sales Júnior e, em 2016, Barros</w:t>
      </w:r>
      <w:r w:rsidR="0081419C">
        <w:rPr>
          <w:rFonts w:ascii="Arial" w:hAnsi="Arial" w:cs="Arial"/>
          <w:bCs/>
          <w:sz w:val="24"/>
          <w:szCs w:val="24"/>
        </w:rPr>
        <w:t>; Maia e Monteiro</w:t>
      </w:r>
      <w:r w:rsidRPr="002353FB">
        <w:rPr>
          <w:rFonts w:ascii="Arial" w:hAnsi="Arial" w:cs="Arial"/>
          <w:bCs/>
          <w:sz w:val="24"/>
          <w:szCs w:val="24"/>
        </w:rPr>
        <w:t xml:space="preserve"> demonstram que os casos de choque séptico possuem maior mortalidade comparados aos de sepse, </w:t>
      </w:r>
      <w:r w:rsidR="00850A43" w:rsidRPr="002353FB">
        <w:rPr>
          <w:rFonts w:ascii="Arial" w:hAnsi="Arial" w:cs="Arial"/>
          <w:bCs/>
          <w:sz w:val="24"/>
          <w:szCs w:val="24"/>
        </w:rPr>
        <w:t>tratando-se, portanto,</w:t>
      </w:r>
      <w:r w:rsidRPr="002353FB">
        <w:rPr>
          <w:rFonts w:ascii="Arial" w:hAnsi="Arial" w:cs="Arial"/>
          <w:bCs/>
          <w:sz w:val="24"/>
          <w:szCs w:val="24"/>
        </w:rPr>
        <w:t xml:space="preserve"> de uma complicação mais grave da sepse.</w:t>
      </w:r>
    </w:p>
    <w:p w14:paraId="26786040" w14:textId="0BB98B5D" w:rsidR="00B30F6C" w:rsidRDefault="00B30F6C" w:rsidP="00B71372">
      <w:pPr>
        <w:jc w:val="both"/>
        <w:rPr>
          <w:rFonts w:ascii="Arial" w:eastAsia="Arial" w:hAnsi="Arial" w:cs="Arial"/>
          <w:sz w:val="24"/>
          <w:szCs w:val="24"/>
        </w:rPr>
      </w:pPr>
    </w:p>
    <w:p w14:paraId="7D596108" w14:textId="114BDD60" w:rsidR="00B30F6C" w:rsidRDefault="00B30F6C" w:rsidP="00B7137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F25B61B" w14:textId="66C12436" w:rsidR="00387A97" w:rsidRDefault="00387A97" w:rsidP="00B71372">
      <w:pPr>
        <w:pStyle w:val="Ttulo1"/>
        <w:numPr>
          <w:ilvl w:val="0"/>
          <w:numId w:val="5"/>
        </w:numPr>
        <w:jc w:val="both"/>
        <w:rPr>
          <w:rFonts w:ascii="Arial" w:eastAsia="Arial" w:hAnsi="Arial" w:cs="Arial"/>
          <w:bCs/>
          <w:sz w:val="24"/>
          <w:szCs w:val="24"/>
        </w:rPr>
      </w:pPr>
      <w:bookmarkStart w:id="14" w:name="_Toc51189555"/>
      <w:r>
        <w:rPr>
          <w:rFonts w:ascii="Arial" w:eastAsia="Arial" w:hAnsi="Arial" w:cs="Arial"/>
          <w:bCs/>
          <w:sz w:val="24"/>
          <w:szCs w:val="24"/>
        </w:rPr>
        <w:lastRenderedPageBreak/>
        <w:t>CONCLUSÃO</w:t>
      </w:r>
      <w:bookmarkEnd w:id="14"/>
    </w:p>
    <w:p w14:paraId="1A9727B4" w14:textId="77777777" w:rsidR="00850A43" w:rsidRPr="00850A43" w:rsidRDefault="00850A43" w:rsidP="00B71372">
      <w:pPr>
        <w:jc w:val="both"/>
      </w:pPr>
    </w:p>
    <w:p w14:paraId="3419955F" w14:textId="77777777" w:rsidR="00C03C3A" w:rsidRPr="00387A97" w:rsidRDefault="00C03C3A" w:rsidP="00B71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A97">
        <w:rPr>
          <w:rFonts w:ascii="Arial" w:hAnsi="Arial" w:cs="Arial"/>
          <w:sz w:val="24"/>
          <w:szCs w:val="24"/>
        </w:rPr>
        <w:t>Após a análise de 95 prontuários de pacientes com quadro clínico sugestivo de sepse, observou-se maior prevalência no sexo masculino e em maiores de 70 anos e em pacientes com comorbidades.</w:t>
      </w:r>
    </w:p>
    <w:p w14:paraId="548438B3" w14:textId="77777777" w:rsidR="00C03C3A" w:rsidRPr="00387A97" w:rsidRDefault="00C03C3A" w:rsidP="00B71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A97">
        <w:rPr>
          <w:rFonts w:ascii="Arial" w:hAnsi="Arial" w:cs="Arial"/>
          <w:sz w:val="24"/>
          <w:szCs w:val="24"/>
        </w:rPr>
        <w:t xml:space="preserve">Observou-se que a adesão foi menor que 60% nas medidas de primeira hora do protocolo de sepse do SSC (2019). O óbito ocorreu em 69,5% dos casos e esteve relacionado com idade maior de 70 anos, presença de comorbidades, </w:t>
      </w:r>
      <w:proofErr w:type="spellStart"/>
      <w:r w:rsidRPr="00387A97">
        <w:rPr>
          <w:rFonts w:ascii="Arial" w:hAnsi="Arial" w:cs="Arial"/>
          <w:sz w:val="24"/>
          <w:szCs w:val="24"/>
        </w:rPr>
        <w:t>qSOFA</w:t>
      </w:r>
      <w:proofErr w:type="spellEnd"/>
      <w:r w:rsidRPr="00387A97">
        <w:rPr>
          <w:rFonts w:ascii="Arial" w:hAnsi="Arial" w:cs="Arial"/>
          <w:sz w:val="24"/>
          <w:szCs w:val="24"/>
        </w:rPr>
        <w:t xml:space="preserve"> maior que dois pontos ou maior escore do SOFA, </w:t>
      </w:r>
      <w:r w:rsidRPr="00387A97">
        <w:rPr>
          <w:rFonts w:ascii="Arial" w:hAnsi="Arial" w:cs="Arial"/>
          <w:bCs/>
          <w:sz w:val="24"/>
          <w:szCs w:val="24"/>
        </w:rPr>
        <w:t>e menor tempo de internação.</w:t>
      </w:r>
    </w:p>
    <w:p w14:paraId="755C844D" w14:textId="3236E105" w:rsidR="008E1600" w:rsidRPr="008E1600" w:rsidRDefault="008E1600" w:rsidP="00B71372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E1600">
        <w:rPr>
          <w:rFonts w:ascii="Arial" w:eastAsia="Arial" w:hAnsi="Arial" w:cs="Arial"/>
          <w:sz w:val="24"/>
          <w:szCs w:val="24"/>
        </w:rPr>
        <w:t xml:space="preserve">Apesar de nosso </w:t>
      </w:r>
      <w:r w:rsidR="00B71372">
        <w:rPr>
          <w:rFonts w:ascii="Arial" w:eastAsia="Arial" w:hAnsi="Arial" w:cs="Arial"/>
          <w:sz w:val="24"/>
          <w:szCs w:val="24"/>
        </w:rPr>
        <w:t>estudo</w:t>
      </w:r>
      <w:r w:rsidRPr="008E1600">
        <w:rPr>
          <w:rFonts w:ascii="Arial" w:eastAsia="Arial" w:hAnsi="Arial" w:cs="Arial"/>
          <w:sz w:val="24"/>
          <w:szCs w:val="24"/>
        </w:rPr>
        <w:t xml:space="preserve"> não demonstrar correlação</w:t>
      </w:r>
      <w:r>
        <w:rPr>
          <w:rFonts w:ascii="Arial" w:eastAsia="Arial" w:hAnsi="Arial" w:cs="Arial"/>
          <w:sz w:val="24"/>
          <w:szCs w:val="24"/>
        </w:rPr>
        <w:t xml:space="preserve"> das medidas</w:t>
      </w:r>
      <w:r w:rsidR="00B71372">
        <w:rPr>
          <w:rFonts w:ascii="Arial" w:eastAsia="Arial" w:hAnsi="Arial" w:cs="Arial"/>
          <w:sz w:val="24"/>
          <w:szCs w:val="24"/>
        </w:rPr>
        <w:t xml:space="preserve"> na primeira hora</w:t>
      </w:r>
      <w:r>
        <w:rPr>
          <w:rFonts w:ascii="Arial" w:eastAsia="Arial" w:hAnsi="Arial" w:cs="Arial"/>
          <w:sz w:val="24"/>
          <w:szCs w:val="24"/>
        </w:rPr>
        <w:t xml:space="preserve"> com o desfecho</w:t>
      </w:r>
      <w:r w:rsidRPr="008E1600">
        <w:rPr>
          <w:rFonts w:ascii="Arial" w:eastAsia="Arial" w:hAnsi="Arial" w:cs="Arial"/>
          <w:sz w:val="24"/>
          <w:szCs w:val="24"/>
        </w:rPr>
        <w:t>, é importante que hospitais que atendem prioritariamente trauma implementem as medidas de manejo clínico da sepse, apesar de um percentual pequeno de pacientes atendidos com quadro cl</w:t>
      </w:r>
      <w:r>
        <w:rPr>
          <w:rFonts w:ascii="Arial" w:eastAsia="Arial" w:hAnsi="Arial" w:cs="Arial"/>
          <w:sz w:val="24"/>
          <w:szCs w:val="24"/>
        </w:rPr>
        <w:t>í</w:t>
      </w:r>
      <w:r w:rsidRPr="008E1600">
        <w:rPr>
          <w:rFonts w:ascii="Arial" w:eastAsia="Arial" w:hAnsi="Arial" w:cs="Arial"/>
          <w:sz w:val="24"/>
          <w:szCs w:val="24"/>
        </w:rPr>
        <w:t>nico sugestivo.</w:t>
      </w:r>
    </w:p>
    <w:p w14:paraId="1C77A8C5" w14:textId="77777777" w:rsidR="00F67AE4" w:rsidRPr="00F67AE4" w:rsidRDefault="00F67AE4" w:rsidP="00B71372">
      <w:pPr>
        <w:suppressAutoHyphens/>
        <w:overflowPunct w:val="0"/>
        <w:autoSpaceDN w:val="0"/>
        <w:spacing w:after="0" w:line="360" w:lineRule="auto"/>
        <w:jc w:val="both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5926143" w14:textId="77777777" w:rsidR="00F67AE4" w:rsidRPr="00F67AE4" w:rsidRDefault="00F67AE4" w:rsidP="00B71372">
      <w:pPr>
        <w:suppressAutoHyphens/>
        <w:overflowPunct w:val="0"/>
        <w:autoSpaceDN w:val="0"/>
        <w:spacing w:after="0" w:line="360" w:lineRule="auto"/>
        <w:jc w:val="both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4BAA1D0F" w14:textId="77777777" w:rsidR="00F67AE4" w:rsidRPr="00F67AE4" w:rsidRDefault="00F67AE4" w:rsidP="00B71372">
      <w:pPr>
        <w:suppressAutoHyphens/>
        <w:overflowPunct w:val="0"/>
        <w:autoSpaceDN w:val="0"/>
        <w:spacing w:after="0" w:line="360" w:lineRule="auto"/>
        <w:jc w:val="both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58299A7F" w14:textId="77777777" w:rsidR="00F67AE4" w:rsidRPr="00F67AE4" w:rsidRDefault="00F67AE4" w:rsidP="00B71372">
      <w:pPr>
        <w:suppressAutoHyphens/>
        <w:overflowPunct w:val="0"/>
        <w:autoSpaceDN w:val="0"/>
        <w:spacing w:after="0" w:line="360" w:lineRule="auto"/>
        <w:jc w:val="both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7C215086" w14:textId="77777777" w:rsidR="00F67AE4" w:rsidRPr="00F67AE4" w:rsidRDefault="00F67AE4" w:rsidP="00B7137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51B1D51" w14:textId="77777777" w:rsidR="00F67AE4" w:rsidRPr="00F67AE4" w:rsidRDefault="00F67AE4" w:rsidP="00B7137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4070FD" w14:textId="77777777" w:rsidR="00F67AE4" w:rsidRPr="00F67AE4" w:rsidRDefault="00F67AE4" w:rsidP="00B7137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F3B551A" w14:textId="77777777" w:rsidR="00F67AE4" w:rsidRPr="00F67AE4" w:rsidRDefault="00F67AE4" w:rsidP="00B7137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3CB351" w14:textId="77777777" w:rsidR="00F67AE4" w:rsidRPr="00F67AE4" w:rsidRDefault="00F67AE4" w:rsidP="00B71372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3342DD" w14:textId="768B8ADE" w:rsidR="00044F7D" w:rsidRPr="00B71372" w:rsidRDefault="00AF44E6" w:rsidP="00B71372">
      <w:pPr>
        <w:pStyle w:val="PargrafodaLista"/>
        <w:numPr>
          <w:ilvl w:val="0"/>
          <w:numId w:val="5"/>
        </w:numPr>
        <w:spacing w:line="360" w:lineRule="auto"/>
        <w:jc w:val="both"/>
        <w:outlineLvl w:val="0"/>
        <w:rPr>
          <w:rFonts w:ascii="Arial" w:eastAsia="Arial" w:hAnsi="Arial" w:cs="Arial"/>
          <w:b/>
          <w:sz w:val="24"/>
          <w:szCs w:val="24"/>
        </w:rPr>
      </w:pPr>
      <w:r w:rsidRPr="00387A97">
        <w:rPr>
          <w:rFonts w:ascii="Arial" w:eastAsia="Arial" w:hAnsi="Arial" w:cs="Arial"/>
          <w:b/>
          <w:sz w:val="24"/>
          <w:szCs w:val="24"/>
        </w:rPr>
        <w:br w:type="page"/>
      </w:r>
      <w:bookmarkStart w:id="15" w:name="_Toc51189556"/>
      <w:r w:rsidR="001222FD" w:rsidRPr="00B71372">
        <w:rPr>
          <w:rFonts w:ascii="Arial" w:eastAsia="Arial" w:hAnsi="Arial" w:cs="Arial"/>
          <w:b/>
          <w:sz w:val="24"/>
          <w:szCs w:val="24"/>
        </w:rPr>
        <w:lastRenderedPageBreak/>
        <w:t>REFERÊNCIAS BIBLIOGRÁFICAS</w:t>
      </w:r>
      <w:bookmarkEnd w:id="15"/>
    </w:p>
    <w:p w14:paraId="0FFA0F64" w14:textId="77777777" w:rsidR="00B71372" w:rsidRPr="00B71372" w:rsidRDefault="00B71372" w:rsidP="00B71372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14:paraId="072D340B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ANDRADE, Diego Correia. PREVALÊNCIA DE SEPSE NA UNIDADE DE TRATAMENTO INTENSIVO E OS FATORES ASSOCIADOS. </w:t>
      </w:r>
      <w:r w:rsidRPr="00B71372">
        <w:rPr>
          <w:rFonts w:ascii="Arial" w:hAnsi="Arial" w:cs="Arial"/>
          <w:b/>
          <w:bCs/>
          <w:sz w:val="24"/>
          <w:szCs w:val="24"/>
        </w:rPr>
        <w:t>Revista Brasileira de Inovação Tecnológica em Saúde - ISSN:2236-1103</w:t>
      </w:r>
      <w:r w:rsidRPr="00B71372">
        <w:rPr>
          <w:rFonts w:ascii="Arial" w:hAnsi="Arial" w:cs="Arial"/>
          <w:sz w:val="24"/>
          <w:szCs w:val="24"/>
        </w:rPr>
        <w:t>, v. 8, n. 4, p. 11, 16 jul. 2019.</w:t>
      </w:r>
    </w:p>
    <w:p w14:paraId="6C322CC3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ANGUS Derek Calder, VAN DER POLL Tom. Severe Sepsis and Septic Shock. </w:t>
      </w:r>
      <w:r w:rsidRPr="00B71372">
        <w:rPr>
          <w:rFonts w:ascii="Arial" w:hAnsi="Arial" w:cs="Arial"/>
          <w:b/>
          <w:bCs/>
          <w:sz w:val="24"/>
          <w:szCs w:val="24"/>
        </w:rPr>
        <w:t xml:space="preserve">N.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Engl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>. J. Med</w:t>
      </w:r>
      <w:r w:rsidRPr="00B71372">
        <w:rPr>
          <w:rFonts w:ascii="Arial" w:hAnsi="Arial" w:cs="Arial"/>
          <w:sz w:val="24"/>
          <w:szCs w:val="24"/>
        </w:rPr>
        <w:t>., v. 369, p. 840-851, ago., 2013.</w:t>
      </w:r>
    </w:p>
    <w:p w14:paraId="5BEC1978" w14:textId="77777777" w:rsidR="00B71372" w:rsidRPr="00B71372" w:rsidRDefault="00B71372" w:rsidP="00B71372">
      <w:pPr>
        <w:pStyle w:val="SemEspaamento"/>
        <w:spacing w:after="240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>BARROS Lea Lima dos Santos; MAIA Cristiane do Socorro Ferraz; MONTEIRO, Marta Chagas. Fatores de risco associados ao agravamento de sepse em pacientes em Unidade de Terapia Intensiva. </w:t>
      </w:r>
      <w:r w:rsidRPr="00B71372">
        <w:rPr>
          <w:rFonts w:ascii="Arial" w:hAnsi="Arial" w:cs="Arial"/>
          <w:b/>
          <w:bCs/>
          <w:sz w:val="24"/>
          <w:szCs w:val="24"/>
        </w:rPr>
        <w:t>Cad. saúde colet</w:t>
      </w:r>
      <w:r w:rsidRPr="00B71372">
        <w:rPr>
          <w:rFonts w:ascii="Arial" w:hAnsi="Arial" w:cs="Arial"/>
          <w:sz w:val="24"/>
          <w:szCs w:val="24"/>
        </w:rPr>
        <w:t>., Rio de Janeiro, v. 24, n. 4, p. 388-396, dez, 2016</w:t>
      </w:r>
    </w:p>
    <w:p w14:paraId="0B99E857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CÁRNIO </w:t>
      </w:r>
      <w:proofErr w:type="spellStart"/>
      <w:r w:rsidRPr="00B71372">
        <w:rPr>
          <w:rFonts w:ascii="Arial" w:hAnsi="Arial" w:cs="Arial"/>
          <w:sz w:val="24"/>
          <w:szCs w:val="24"/>
        </w:rPr>
        <w:t>Evellin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Capellari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. Novas perspectivas no tratamento do paciente com sepse. </w:t>
      </w:r>
      <w:r w:rsidRPr="00B71372">
        <w:rPr>
          <w:rFonts w:ascii="Arial" w:hAnsi="Arial" w:cs="Arial"/>
          <w:b/>
          <w:bCs/>
          <w:sz w:val="24"/>
          <w:szCs w:val="24"/>
        </w:rPr>
        <w:t>Rev. Latino-Am. Enfermagem</w:t>
      </w:r>
      <w:r w:rsidRPr="00B71372">
        <w:rPr>
          <w:rFonts w:ascii="Arial" w:hAnsi="Arial" w:cs="Arial"/>
          <w:sz w:val="24"/>
          <w:szCs w:val="24"/>
        </w:rPr>
        <w:t>, v.27, n. 3082, 2019.</w:t>
      </w:r>
    </w:p>
    <w:p w14:paraId="2A72F99E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COLS Ester </w:t>
      </w:r>
      <w:proofErr w:type="spellStart"/>
      <w:r w:rsidRPr="00B71372">
        <w:rPr>
          <w:rFonts w:ascii="Arial" w:hAnsi="Arial" w:cs="Arial"/>
          <w:sz w:val="24"/>
          <w:szCs w:val="24"/>
        </w:rPr>
        <w:t>Monclús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, et al. Manejo de </w:t>
      </w:r>
      <w:proofErr w:type="spellStart"/>
      <w:r w:rsidRPr="00B71372">
        <w:rPr>
          <w:rFonts w:ascii="Arial" w:hAnsi="Arial" w:cs="Arial"/>
          <w:sz w:val="24"/>
          <w:szCs w:val="24"/>
        </w:rPr>
        <w:t>la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sepsis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grave y </w:t>
      </w:r>
      <w:proofErr w:type="spellStart"/>
      <w:r w:rsidRPr="00B71372">
        <w:rPr>
          <w:rFonts w:ascii="Arial" w:hAnsi="Arial" w:cs="Arial"/>
          <w:sz w:val="24"/>
          <w:szCs w:val="24"/>
        </w:rPr>
        <w:t>el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shock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séptico </w:t>
      </w:r>
      <w:proofErr w:type="spellStart"/>
      <w:r w:rsidRPr="00B71372">
        <w:rPr>
          <w:rFonts w:ascii="Arial" w:hAnsi="Arial" w:cs="Arial"/>
          <w:sz w:val="24"/>
          <w:szCs w:val="24"/>
        </w:rPr>
        <w:t>en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un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servicio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1372">
        <w:rPr>
          <w:rFonts w:ascii="Arial" w:hAnsi="Arial" w:cs="Arial"/>
          <w:sz w:val="24"/>
          <w:szCs w:val="24"/>
        </w:rPr>
        <w:t>urgencias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1372">
        <w:rPr>
          <w:rFonts w:ascii="Arial" w:hAnsi="Arial" w:cs="Arial"/>
          <w:sz w:val="24"/>
          <w:szCs w:val="24"/>
        </w:rPr>
        <w:t>un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hospital urbano de </w:t>
      </w:r>
      <w:proofErr w:type="spellStart"/>
      <w:r w:rsidRPr="00B71372">
        <w:rPr>
          <w:rFonts w:ascii="Arial" w:hAnsi="Arial" w:cs="Arial"/>
          <w:sz w:val="24"/>
          <w:szCs w:val="24"/>
        </w:rPr>
        <w:t>tercer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nivel</w:t>
      </w:r>
      <w:proofErr w:type="spellEnd"/>
      <w:r w:rsidRPr="00B71372">
        <w:rPr>
          <w:rFonts w:ascii="Arial" w:hAnsi="Arial" w:cs="Arial"/>
          <w:sz w:val="24"/>
          <w:szCs w:val="24"/>
        </w:rPr>
        <w:t>.  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Emergencias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: Revista de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la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Sociedad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Española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de Medicina de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Urgencias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Emergencias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. v.18, n.4, p.229-234, </w:t>
      </w:r>
      <w:proofErr w:type="spellStart"/>
      <w:r w:rsidRPr="00B71372">
        <w:rPr>
          <w:rFonts w:ascii="Arial" w:hAnsi="Arial" w:cs="Arial"/>
          <w:sz w:val="24"/>
          <w:szCs w:val="24"/>
        </w:rPr>
        <w:t>ago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, 2016. </w:t>
      </w:r>
    </w:p>
    <w:p w14:paraId="17DEFC17" w14:textId="77777777" w:rsidR="00B71372" w:rsidRPr="00B71372" w:rsidRDefault="00B71372" w:rsidP="00B713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GOTTS Jeffrey, MATTHAY Michael. Sepsis: pathophysiology and clinical management. </w:t>
      </w:r>
      <w:r w:rsidRPr="00B71372">
        <w:rPr>
          <w:rFonts w:ascii="Arial" w:hAnsi="Arial" w:cs="Arial"/>
          <w:sz w:val="24"/>
          <w:szCs w:val="24"/>
        </w:rPr>
        <w:t>BMJ, v.353, n.1585, mai., 2016.</w:t>
      </w:r>
    </w:p>
    <w:p w14:paraId="6079C217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Instituto </w:t>
      </w:r>
      <w:proofErr w:type="gramStart"/>
      <w:r w:rsidRPr="00B71372">
        <w:rPr>
          <w:rFonts w:ascii="Arial" w:hAnsi="Arial" w:cs="Arial"/>
          <w:sz w:val="24"/>
          <w:szCs w:val="24"/>
        </w:rPr>
        <w:t>Latino Americano</w:t>
      </w:r>
      <w:proofErr w:type="gramEnd"/>
      <w:r w:rsidRPr="00B71372">
        <w:rPr>
          <w:rFonts w:ascii="Arial" w:hAnsi="Arial" w:cs="Arial"/>
          <w:sz w:val="24"/>
          <w:szCs w:val="24"/>
        </w:rPr>
        <w:t xml:space="preserve"> de Sepse. </w:t>
      </w:r>
      <w:r w:rsidRPr="00B71372">
        <w:rPr>
          <w:rFonts w:ascii="Arial" w:hAnsi="Arial" w:cs="Arial"/>
          <w:b/>
          <w:bCs/>
          <w:sz w:val="24"/>
          <w:szCs w:val="24"/>
        </w:rPr>
        <w:t>Relatório nacional. Programa de melhoria de qualidade – protocolos gerenciados de sepse. 2019</w:t>
      </w:r>
      <w:r w:rsidRPr="00B71372">
        <w:rPr>
          <w:rFonts w:ascii="Arial" w:hAnsi="Arial" w:cs="Arial"/>
          <w:sz w:val="24"/>
          <w:szCs w:val="24"/>
        </w:rPr>
        <w:t>. Disponível em: https://ilas.org.br/assets/arquivos/upload/relatorios/relatorio-de-atividades-2019.pdf</w:t>
      </w:r>
      <w:r w:rsidRPr="00B713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Pr="00B7137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Acesso em</w:t>
      </w:r>
      <w:r w:rsidRPr="00B71372">
        <w:rPr>
          <w:rStyle w:val="Hyperlink"/>
          <w:rFonts w:ascii="Arial" w:hAnsi="Arial" w:cs="Arial"/>
          <w:sz w:val="24"/>
          <w:szCs w:val="24"/>
        </w:rPr>
        <w:t>:</w:t>
      </w:r>
      <w:r w:rsidRPr="00B713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 jul</w:t>
      </w:r>
      <w:r w:rsidRPr="00B71372">
        <w:rPr>
          <w:rStyle w:val="Hyperlink"/>
          <w:rFonts w:ascii="Arial" w:hAnsi="Arial" w:cs="Arial"/>
          <w:sz w:val="24"/>
          <w:szCs w:val="24"/>
        </w:rPr>
        <w:t>.</w:t>
      </w:r>
      <w:r w:rsidRPr="00B713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2020</w:t>
      </w:r>
      <w:r w:rsidRPr="00B71372">
        <w:rPr>
          <w:rStyle w:val="Hyperlink"/>
          <w:rFonts w:ascii="Arial" w:hAnsi="Arial" w:cs="Arial"/>
          <w:sz w:val="24"/>
          <w:szCs w:val="24"/>
        </w:rPr>
        <w:t>.</w:t>
      </w:r>
    </w:p>
    <w:p w14:paraId="3A17CDFD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</w:rPr>
        <w:t xml:space="preserve">Instituto Latino-Americano para Estudos da Sepse. </w:t>
      </w:r>
      <w:r w:rsidRPr="00B71372">
        <w:rPr>
          <w:rFonts w:ascii="Arial" w:hAnsi="Arial" w:cs="Arial"/>
          <w:b/>
          <w:bCs/>
          <w:sz w:val="24"/>
          <w:szCs w:val="24"/>
        </w:rPr>
        <w:t>Sepse: um problema de saúde pública / Instituto Latino-Americano para Estudos da Sepse</w:t>
      </w:r>
      <w:r w:rsidRPr="00B71372">
        <w:rPr>
          <w:rFonts w:ascii="Arial" w:hAnsi="Arial" w:cs="Arial"/>
          <w:sz w:val="24"/>
          <w:szCs w:val="24"/>
        </w:rPr>
        <w:t xml:space="preserve">. </w:t>
      </w:r>
      <w:r w:rsidRPr="00B71372">
        <w:rPr>
          <w:rFonts w:ascii="Arial" w:hAnsi="Arial" w:cs="Arial"/>
          <w:sz w:val="24"/>
          <w:szCs w:val="24"/>
          <w:lang w:val="en-US"/>
        </w:rPr>
        <w:t>Brasília: CFM, 2015.</w:t>
      </w:r>
    </w:p>
    <w:p w14:paraId="3E463063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LEVY Mitchell, EVANS Laura, RHODES Andrew. The Surviving Sepsis Campaign Bundle: 2018 Update. </w:t>
      </w:r>
      <w:r w:rsidRPr="00B71372">
        <w:rPr>
          <w:rFonts w:ascii="Arial" w:hAnsi="Arial" w:cs="Arial"/>
          <w:b/>
          <w:sz w:val="24"/>
          <w:szCs w:val="24"/>
          <w:lang w:val="en-US"/>
        </w:rPr>
        <w:t>Critical Care Medicine</w:t>
      </w:r>
      <w:r w:rsidRPr="00B71372">
        <w:rPr>
          <w:rFonts w:ascii="Arial" w:hAnsi="Arial" w:cs="Arial"/>
          <w:sz w:val="24"/>
          <w:szCs w:val="24"/>
          <w:lang w:val="en-US"/>
        </w:rPr>
        <w:t>, v. 46, n. 6, jun., 2018.</w:t>
      </w:r>
    </w:p>
    <w:p w14:paraId="25BB18C3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MACHADO Flavia et al. Quality Improvement Initiatives in Sepsis in an Emerging Country: Does the Institution's Main Source of Income Influence the Results? An Analysis of 21,103 Patients. </w:t>
      </w:r>
      <w:r w:rsidRPr="00B71372">
        <w:rPr>
          <w:rFonts w:ascii="Arial" w:hAnsi="Arial" w:cs="Arial"/>
          <w:b/>
          <w:bCs/>
          <w:sz w:val="24"/>
          <w:szCs w:val="24"/>
          <w:lang w:val="en-US"/>
        </w:rPr>
        <w:t xml:space="preserve">Critical Care Medicine, </w:t>
      </w:r>
      <w:r w:rsidRPr="00B71372">
        <w:rPr>
          <w:rFonts w:ascii="Arial" w:hAnsi="Arial" w:cs="Arial"/>
          <w:sz w:val="24"/>
          <w:szCs w:val="24"/>
          <w:lang w:val="en-US"/>
        </w:rPr>
        <w:t>v.</w:t>
      </w:r>
      <w:r w:rsidRPr="00B7137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45, n. 10, p. 1650-1659, out, 2017 </w:t>
      </w:r>
    </w:p>
    <w:p w14:paraId="15B1BFAB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MACHADO, Flavia et al. The epidemiology of sepsis in Brazilian intensive care units (the Sepsis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PREvalence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Assessment Database, SPREAD): an observational study.  </w:t>
      </w:r>
      <w:r w:rsidRPr="00B71372">
        <w:rPr>
          <w:rFonts w:ascii="Arial" w:hAnsi="Arial" w:cs="Arial"/>
          <w:b/>
          <w:bCs/>
          <w:sz w:val="24"/>
          <w:szCs w:val="24"/>
        </w:rPr>
        <w:t xml:space="preserve">Lancet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Infect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Dis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>.,</w:t>
      </w:r>
      <w:r w:rsidRPr="00B71372">
        <w:rPr>
          <w:rFonts w:ascii="Arial" w:hAnsi="Arial" w:cs="Arial"/>
          <w:sz w:val="24"/>
          <w:szCs w:val="24"/>
        </w:rPr>
        <w:t xml:space="preserve"> v.17, n. 11, p. 1180-1189, nov., 2017.</w:t>
      </w:r>
    </w:p>
    <w:p w14:paraId="5F12B9E4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MENEZES Larissa Estela Ferreira Jacó et al. Perfil </w:t>
      </w:r>
      <w:proofErr w:type="spellStart"/>
      <w:r w:rsidRPr="00B71372">
        <w:rPr>
          <w:rFonts w:ascii="Arial" w:hAnsi="Arial" w:cs="Arial"/>
          <w:sz w:val="24"/>
          <w:szCs w:val="24"/>
        </w:rPr>
        <w:t>epidemiológico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71372">
        <w:rPr>
          <w:rFonts w:ascii="Arial" w:hAnsi="Arial" w:cs="Arial"/>
          <w:sz w:val="24"/>
          <w:szCs w:val="24"/>
        </w:rPr>
        <w:t>análise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da efetividade para </w:t>
      </w:r>
      <w:proofErr w:type="spellStart"/>
      <w:r w:rsidRPr="00B71372">
        <w:rPr>
          <w:rFonts w:ascii="Arial" w:hAnsi="Arial" w:cs="Arial"/>
          <w:sz w:val="24"/>
          <w:szCs w:val="24"/>
        </w:rPr>
        <w:t>prevenção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1372">
        <w:rPr>
          <w:rFonts w:ascii="Arial" w:hAnsi="Arial" w:cs="Arial"/>
          <w:sz w:val="24"/>
          <w:szCs w:val="24"/>
        </w:rPr>
        <w:t>óbitos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de pacientes inseridos em protocolo de sepse. </w:t>
      </w:r>
      <w:proofErr w:type="spellStart"/>
      <w:r w:rsidRPr="00B71372">
        <w:rPr>
          <w:rFonts w:ascii="Arial" w:hAnsi="Arial" w:cs="Arial"/>
          <w:sz w:val="24"/>
          <w:szCs w:val="24"/>
        </w:rPr>
        <w:t>Rev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Soc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Bras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</w:rPr>
        <w:t>Clin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Med. V. 17, n. 1, p. 25-30, 2019</w:t>
      </w:r>
    </w:p>
    <w:p w14:paraId="6C725790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bookmarkStart w:id="16" w:name="_Hlk50138328"/>
      <w:r w:rsidRPr="00B71372">
        <w:rPr>
          <w:rFonts w:ascii="Arial" w:hAnsi="Arial" w:cs="Arial"/>
          <w:sz w:val="24"/>
          <w:szCs w:val="24"/>
        </w:rPr>
        <w:t xml:space="preserve">PALOMBA, Henrique et al. </w:t>
      </w:r>
      <w:r w:rsidRPr="00B71372">
        <w:rPr>
          <w:rFonts w:ascii="Arial" w:hAnsi="Arial" w:cs="Arial"/>
          <w:sz w:val="24"/>
          <w:szCs w:val="24"/>
          <w:lang w:val="en-US"/>
        </w:rPr>
        <w:t>Comparative analysis of survival between elderly and non-elderly severe sepsis and septic shock resuscitated patients.</w:t>
      </w:r>
      <w:r w:rsidRPr="00B71372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B71372">
        <w:rPr>
          <w:rFonts w:ascii="Arial" w:hAnsi="Arial" w:cs="Arial"/>
          <w:b/>
          <w:bCs/>
          <w:sz w:val="24"/>
          <w:szCs w:val="24"/>
        </w:rPr>
        <w:t>Einstein (São Paulo)</w:t>
      </w:r>
      <w:r w:rsidRPr="00B71372">
        <w:rPr>
          <w:rFonts w:ascii="Arial" w:hAnsi="Arial" w:cs="Arial"/>
          <w:sz w:val="24"/>
          <w:szCs w:val="24"/>
        </w:rPr>
        <w:t xml:space="preserve">, São Paulo, v. 13, n. 3, p. 357-363, set, 2015. </w:t>
      </w:r>
    </w:p>
    <w:p w14:paraId="79961330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</w:rPr>
        <w:lastRenderedPageBreak/>
        <w:t xml:space="preserve">PIERRAKOS </w:t>
      </w:r>
      <w:proofErr w:type="spellStart"/>
      <w:r w:rsidRPr="00B71372">
        <w:rPr>
          <w:rFonts w:ascii="Arial" w:hAnsi="Arial" w:cs="Arial"/>
          <w:sz w:val="24"/>
          <w:szCs w:val="24"/>
        </w:rPr>
        <w:t>Charalampos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.; VINCENT Jean-Louis. 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Sepsis biomarkers: a review.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  <w:lang w:val="en-US"/>
        </w:rPr>
        <w:t>Pierrakos</w:t>
      </w:r>
      <w:proofErr w:type="spellEnd"/>
      <w:r w:rsidRPr="00B71372">
        <w:rPr>
          <w:rFonts w:ascii="Arial" w:hAnsi="Arial" w:cs="Arial"/>
          <w:b/>
          <w:bCs/>
          <w:sz w:val="24"/>
          <w:szCs w:val="24"/>
          <w:lang w:val="en-US"/>
        </w:rPr>
        <w:t xml:space="preserve"> and Vincent Critical Care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, v.14, n.15,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fev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>., 2010.</w:t>
      </w:r>
    </w:p>
    <w:p w14:paraId="0D6B1D97" w14:textId="77777777" w:rsidR="00B71372" w:rsidRPr="001F3491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17" w:name="_Hlk50138260"/>
      <w:r w:rsidRPr="00B71372">
        <w:rPr>
          <w:rFonts w:ascii="Arial" w:hAnsi="Arial" w:cs="Arial"/>
          <w:sz w:val="24"/>
          <w:szCs w:val="24"/>
          <w:lang w:val="en-US"/>
        </w:rPr>
        <w:t xml:space="preserve">RHODES Andrew et al. Surviving Sepsis Campaign: International Guidelines for Management of Sepsis and Septic Shock: 2016. </w:t>
      </w:r>
      <w:r w:rsidRPr="001F3491">
        <w:rPr>
          <w:rFonts w:ascii="Arial" w:hAnsi="Arial" w:cs="Arial"/>
          <w:b/>
          <w:bCs/>
          <w:sz w:val="24"/>
          <w:szCs w:val="24"/>
          <w:lang w:val="en-US"/>
        </w:rPr>
        <w:t>Intensive Care Med.,</w:t>
      </w:r>
      <w:r w:rsidRPr="001F3491">
        <w:rPr>
          <w:rFonts w:ascii="Arial" w:hAnsi="Arial" w:cs="Arial"/>
          <w:sz w:val="24"/>
          <w:szCs w:val="24"/>
          <w:lang w:val="en-US"/>
        </w:rPr>
        <w:t xml:space="preserve"> v 43, n. 3, p. 304–377, mar., 2017.</w:t>
      </w:r>
    </w:p>
    <w:bookmarkEnd w:id="16"/>
    <w:bookmarkEnd w:id="17"/>
    <w:p w14:paraId="615AD4CA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RHODES Andrew, et al. The Surviving Sepsis Campaign bundles and outcome: results from the International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Multicentre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Prevalence Study on Sepsis (the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IMPreSS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study).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Intensive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Care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Med.</w:t>
      </w:r>
      <w:r w:rsidRPr="00B71372">
        <w:rPr>
          <w:rFonts w:ascii="Arial" w:hAnsi="Arial" w:cs="Arial"/>
          <w:sz w:val="24"/>
          <w:szCs w:val="24"/>
        </w:rPr>
        <w:t xml:space="preserve"> v.41, p</w:t>
      </w:r>
      <w:r w:rsidRPr="00B71372">
        <w:rPr>
          <w:rFonts w:ascii="Arial" w:hAnsi="Arial" w:cs="Arial"/>
          <w:b/>
          <w:bCs/>
          <w:sz w:val="24"/>
          <w:szCs w:val="24"/>
        </w:rPr>
        <w:t>.</w:t>
      </w:r>
      <w:r w:rsidRPr="00B71372">
        <w:rPr>
          <w:rFonts w:ascii="Arial" w:hAnsi="Arial" w:cs="Arial"/>
          <w:sz w:val="24"/>
          <w:szCs w:val="24"/>
        </w:rPr>
        <w:t xml:space="preserve">1620–1628. 25 </w:t>
      </w:r>
      <w:proofErr w:type="gramStart"/>
      <w:r w:rsidRPr="00B71372">
        <w:rPr>
          <w:rFonts w:ascii="Arial" w:hAnsi="Arial" w:cs="Arial"/>
          <w:sz w:val="24"/>
          <w:szCs w:val="24"/>
        </w:rPr>
        <w:t>Junho</w:t>
      </w:r>
      <w:proofErr w:type="gramEnd"/>
      <w:r w:rsidRPr="00B71372">
        <w:rPr>
          <w:rFonts w:ascii="Arial" w:hAnsi="Arial" w:cs="Arial"/>
          <w:sz w:val="24"/>
          <w:szCs w:val="24"/>
        </w:rPr>
        <w:t xml:space="preserve"> 2015.</w:t>
      </w:r>
    </w:p>
    <w:p w14:paraId="74A2264A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 xml:space="preserve">SALES JUNIOR João Andrade L. et </w:t>
      </w:r>
      <w:proofErr w:type="gramStart"/>
      <w:r w:rsidRPr="00B71372">
        <w:rPr>
          <w:rFonts w:ascii="Arial" w:hAnsi="Arial" w:cs="Arial"/>
          <w:sz w:val="24"/>
          <w:szCs w:val="24"/>
        </w:rPr>
        <w:t>al .</w:t>
      </w:r>
      <w:proofErr w:type="gramEnd"/>
      <w:r w:rsidRPr="00B71372">
        <w:rPr>
          <w:rFonts w:ascii="Arial" w:hAnsi="Arial" w:cs="Arial"/>
          <w:sz w:val="24"/>
          <w:szCs w:val="24"/>
        </w:rPr>
        <w:t xml:space="preserve"> Sepse Brasil: estudo epidemiológico da sepse em Unidades de Terapia Intensiva brasileiras. </w:t>
      </w:r>
      <w:r w:rsidRPr="00B71372">
        <w:rPr>
          <w:rFonts w:ascii="Arial" w:hAnsi="Arial" w:cs="Arial"/>
          <w:b/>
          <w:bCs/>
          <w:sz w:val="24"/>
          <w:szCs w:val="24"/>
        </w:rPr>
        <w:t>Rev. bras. ter. intensiva</w:t>
      </w:r>
      <w:r w:rsidRPr="00B71372">
        <w:rPr>
          <w:rFonts w:ascii="Arial" w:hAnsi="Arial" w:cs="Arial"/>
          <w:sz w:val="24"/>
          <w:szCs w:val="24"/>
        </w:rPr>
        <w:t>, São Paulo, v. 18, n. 1, p. 9-17, mar, 2006.</w:t>
      </w:r>
    </w:p>
    <w:p w14:paraId="0BA3EE14" w14:textId="77777777" w:rsidR="00B71372" w:rsidRPr="00B71372" w:rsidRDefault="00B71372" w:rsidP="00B7137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</w:rPr>
        <w:t xml:space="preserve">SANCHES Caroline Tolentino et al. Sepse: Avaliação da qualidade do atendimento em setor de urgência e emergência.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  <w:lang w:val="en-US"/>
        </w:rPr>
        <w:t>Cienc</w:t>
      </w:r>
      <w:proofErr w:type="spellEnd"/>
      <w:r w:rsidRPr="00B7137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  <w:lang w:val="en-US"/>
        </w:rPr>
        <w:t>Cuid</w:t>
      </w:r>
      <w:proofErr w:type="spellEnd"/>
      <w:r w:rsidRPr="00B7137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  <w:lang w:val="en-US"/>
        </w:rPr>
        <w:t>Saude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, v.19, 2020. </w:t>
      </w:r>
    </w:p>
    <w:p w14:paraId="2AF13F39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71372">
        <w:rPr>
          <w:rFonts w:ascii="Arial" w:hAnsi="Arial" w:cs="Arial"/>
          <w:sz w:val="24"/>
          <w:szCs w:val="24"/>
          <w:lang w:val="en-US"/>
        </w:rPr>
        <w:t xml:space="preserve">SILVA Eliezer et al. Brazilian Sepsis Epidemiological Study (BASES study). </w:t>
      </w:r>
      <w:r w:rsidRPr="00B71372">
        <w:rPr>
          <w:rFonts w:ascii="Arial" w:hAnsi="Arial" w:cs="Arial"/>
          <w:b/>
          <w:bCs/>
          <w:sz w:val="24"/>
          <w:szCs w:val="24"/>
          <w:lang w:val="en-US"/>
        </w:rPr>
        <w:t>Critical Care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. v. 8, n.4, p.251-260, ago., 2004. </w:t>
      </w:r>
    </w:p>
    <w:p w14:paraId="04132BE7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18" w:name="_Hlk50138080"/>
      <w:r w:rsidRPr="00B71372">
        <w:rPr>
          <w:rFonts w:ascii="Arial" w:hAnsi="Arial" w:cs="Arial"/>
          <w:sz w:val="24"/>
          <w:szCs w:val="24"/>
          <w:lang w:val="en-US"/>
        </w:rPr>
        <w:t xml:space="preserve">SINGER, Mervyn et al. The Third International Consensus Definitions for Sepsis and Septic Shock (Sepsis-3). </w:t>
      </w:r>
      <w:r w:rsidRPr="00B71372">
        <w:rPr>
          <w:rFonts w:ascii="Arial" w:hAnsi="Arial" w:cs="Arial"/>
          <w:b/>
          <w:bCs/>
          <w:sz w:val="24"/>
          <w:szCs w:val="24"/>
          <w:lang w:val="en-US"/>
        </w:rPr>
        <w:t>JAMA,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 v. 315, n. 8, p. 801-810, 2016</w:t>
      </w:r>
      <w:bookmarkEnd w:id="18"/>
      <w:r w:rsidRPr="00B7137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E87E740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19" w:name="_Hlk50138228"/>
      <w:r w:rsidRPr="00B71372">
        <w:rPr>
          <w:rFonts w:ascii="Arial" w:hAnsi="Arial" w:cs="Arial"/>
          <w:sz w:val="24"/>
          <w:szCs w:val="24"/>
          <w:lang w:val="en-US"/>
        </w:rPr>
        <w:t xml:space="preserve">VAN DER POLL, Tom et al. The immunopathology of sepsis and potential therapeutic targets. </w:t>
      </w:r>
      <w:r w:rsidRPr="00B71372">
        <w:rPr>
          <w:rFonts w:ascii="Arial" w:hAnsi="Arial" w:cs="Arial"/>
          <w:b/>
          <w:sz w:val="24"/>
          <w:szCs w:val="24"/>
          <w:lang w:val="en-US"/>
        </w:rPr>
        <w:t>Nat Rev. Immunol</w:t>
      </w:r>
      <w:r w:rsidRPr="00B71372">
        <w:rPr>
          <w:rFonts w:ascii="Arial" w:hAnsi="Arial" w:cs="Arial"/>
          <w:sz w:val="24"/>
          <w:szCs w:val="24"/>
          <w:lang w:val="en-US"/>
        </w:rPr>
        <w:t xml:space="preserve">., v. 17, n.7, p:407-420,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jul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2017.</w:t>
      </w:r>
    </w:p>
    <w:p w14:paraId="6EBF7423" w14:textId="77777777" w:rsidR="00B71372" w:rsidRPr="00B71372" w:rsidRDefault="00B71372" w:rsidP="00B713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20" w:name="_Hlk50138172"/>
      <w:bookmarkEnd w:id="19"/>
      <w:r w:rsidRPr="00B71372">
        <w:rPr>
          <w:rFonts w:ascii="Arial" w:hAnsi="Arial" w:cs="Arial"/>
          <w:sz w:val="24"/>
          <w:szCs w:val="24"/>
          <w:lang w:val="en-US"/>
        </w:rPr>
        <w:t xml:space="preserve">WESTPHAL,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Glauco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71372">
        <w:rPr>
          <w:rFonts w:ascii="Arial" w:hAnsi="Arial" w:cs="Arial"/>
          <w:sz w:val="24"/>
          <w:szCs w:val="24"/>
          <w:lang w:val="en-US"/>
        </w:rPr>
        <w:t>Adrieno</w:t>
      </w:r>
      <w:proofErr w:type="spellEnd"/>
      <w:r w:rsidRPr="00B71372">
        <w:rPr>
          <w:rFonts w:ascii="Arial" w:hAnsi="Arial" w:cs="Arial"/>
          <w:sz w:val="24"/>
          <w:szCs w:val="24"/>
          <w:lang w:val="en-US"/>
        </w:rPr>
        <w:t xml:space="preserve"> et al. </w:t>
      </w:r>
      <w:proofErr w:type="spellStart"/>
      <w:r w:rsidRPr="00B71372">
        <w:rPr>
          <w:rFonts w:ascii="Arial" w:hAnsi="Arial" w:cs="Arial"/>
          <w:sz w:val="24"/>
          <w:szCs w:val="24"/>
        </w:rPr>
        <w:t>Análise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da qualidade de vida </w:t>
      </w:r>
      <w:proofErr w:type="spellStart"/>
      <w:r w:rsidRPr="00B71372">
        <w:rPr>
          <w:rFonts w:ascii="Arial" w:hAnsi="Arial" w:cs="Arial"/>
          <w:sz w:val="24"/>
          <w:szCs w:val="24"/>
        </w:rPr>
        <w:t>após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1372">
        <w:rPr>
          <w:rFonts w:ascii="Arial" w:hAnsi="Arial" w:cs="Arial"/>
          <w:sz w:val="24"/>
          <w:szCs w:val="24"/>
        </w:rPr>
        <w:t>a</w:t>
      </w:r>
      <w:proofErr w:type="gramEnd"/>
      <w:r w:rsidRPr="00B71372">
        <w:rPr>
          <w:rFonts w:ascii="Arial" w:hAnsi="Arial" w:cs="Arial"/>
          <w:sz w:val="24"/>
          <w:szCs w:val="24"/>
        </w:rPr>
        <w:t xml:space="preserve"> alta hospitalar em sobreviventes de sepse grave e choque </w:t>
      </w:r>
      <w:proofErr w:type="spellStart"/>
      <w:r w:rsidRPr="00B71372">
        <w:rPr>
          <w:rFonts w:ascii="Arial" w:hAnsi="Arial" w:cs="Arial"/>
          <w:sz w:val="24"/>
          <w:szCs w:val="24"/>
        </w:rPr>
        <w:t>séptico</w:t>
      </w:r>
      <w:proofErr w:type="spellEnd"/>
      <w:r w:rsidRPr="00B71372">
        <w:rPr>
          <w:rFonts w:ascii="Arial" w:hAnsi="Arial" w:cs="Arial"/>
          <w:sz w:val="24"/>
          <w:szCs w:val="24"/>
        </w:rPr>
        <w:t xml:space="preserve">. </w:t>
      </w:r>
      <w:r w:rsidRPr="00B71372">
        <w:rPr>
          <w:rFonts w:ascii="Arial" w:hAnsi="Arial" w:cs="Arial"/>
          <w:b/>
          <w:bCs/>
          <w:sz w:val="24"/>
          <w:szCs w:val="24"/>
        </w:rPr>
        <w:t xml:space="preserve">Rev. Panam. </w:t>
      </w:r>
      <w:proofErr w:type="spellStart"/>
      <w:r w:rsidRPr="00B71372">
        <w:rPr>
          <w:rFonts w:ascii="Arial" w:hAnsi="Arial" w:cs="Arial"/>
          <w:b/>
          <w:bCs/>
          <w:sz w:val="24"/>
          <w:szCs w:val="24"/>
        </w:rPr>
        <w:t>Salud</w:t>
      </w:r>
      <w:proofErr w:type="spellEnd"/>
      <w:r w:rsidRPr="00B71372">
        <w:rPr>
          <w:rFonts w:ascii="Arial" w:hAnsi="Arial" w:cs="Arial"/>
          <w:b/>
          <w:bCs/>
          <w:sz w:val="24"/>
          <w:szCs w:val="24"/>
        </w:rPr>
        <w:t xml:space="preserve"> Publica</w:t>
      </w:r>
      <w:r w:rsidRPr="00B71372">
        <w:rPr>
          <w:rFonts w:ascii="Arial" w:hAnsi="Arial" w:cs="Arial"/>
          <w:sz w:val="24"/>
          <w:szCs w:val="24"/>
        </w:rPr>
        <w:t>, v. 31, n.6, jun., 2012.</w:t>
      </w:r>
    </w:p>
    <w:bookmarkEnd w:id="20"/>
    <w:p w14:paraId="41D76684" w14:textId="77777777" w:rsidR="00B71372" w:rsidRPr="00AC379C" w:rsidRDefault="00B71372" w:rsidP="00B71372">
      <w:pPr>
        <w:jc w:val="both"/>
        <w:rPr>
          <w:rFonts w:ascii="Arial" w:hAnsi="Arial" w:cs="Arial"/>
          <w:sz w:val="24"/>
          <w:szCs w:val="24"/>
        </w:rPr>
      </w:pPr>
      <w:r w:rsidRPr="00B71372">
        <w:rPr>
          <w:rFonts w:ascii="Arial" w:hAnsi="Arial" w:cs="Arial"/>
          <w:sz w:val="24"/>
          <w:szCs w:val="24"/>
        </w:rPr>
        <w:t>ZONTA, Franciele Nascimento Santos et al. Características epidemiológicas e clínicas da sepse em um hospital público do Paraná. </w:t>
      </w:r>
      <w:r w:rsidRPr="00B71372">
        <w:rPr>
          <w:rFonts w:ascii="Arial" w:hAnsi="Arial" w:cs="Arial"/>
          <w:b/>
          <w:bCs/>
          <w:sz w:val="24"/>
          <w:szCs w:val="24"/>
        </w:rPr>
        <w:t>Revista de Epidemiologia e Controle de Infecção</w:t>
      </w:r>
      <w:r w:rsidRPr="00B71372">
        <w:rPr>
          <w:rFonts w:ascii="Arial" w:hAnsi="Arial" w:cs="Arial"/>
          <w:sz w:val="24"/>
          <w:szCs w:val="24"/>
        </w:rPr>
        <w:t>, Santa Cruz do Sul, v. 8, n. 3, p. 224-231, jun. 2018.</w:t>
      </w:r>
    </w:p>
    <w:p w14:paraId="1C66598E" w14:textId="77777777" w:rsidR="00693FB5" w:rsidRDefault="00693FB5" w:rsidP="00B71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F5C122" w14:textId="58A2D65B" w:rsidR="000F28E2" w:rsidRPr="00850A43" w:rsidRDefault="00292013" w:rsidP="00850A43">
      <w:pPr>
        <w:pStyle w:val="PargrafodaLista"/>
        <w:numPr>
          <w:ilvl w:val="0"/>
          <w:numId w:val="5"/>
        </w:num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21" w:name="_Toc51189557"/>
      <w:r w:rsidRPr="00850A43">
        <w:rPr>
          <w:rFonts w:ascii="Arial" w:hAnsi="Arial" w:cs="Arial"/>
          <w:b/>
          <w:sz w:val="24"/>
          <w:szCs w:val="24"/>
        </w:rPr>
        <w:lastRenderedPageBreak/>
        <w:t>ANEXO</w:t>
      </w:r>
      <w:bookmarkEnd w:id="21"/>
      <w:r w:rsidR="00850A43" w:rsidRPr="00850A43">
        <w:rPr>
          <w:rFonts w:ascii="Arial" w:hAnsi="Arial" w:cs="Arial"/>
          <w:b/>
          <w:sz w:val="24"/>
          <w:szCs w:val="24"/>
        </w:rPr>
        <w:t xml:space="preserve"> </w:t>
      </w:r>
    </w:p>
    <w:p w14:paraId="4DD0B24B" w14:textId="0FE74A2A" w:rsidR="002D4226" w:rsidRPr="002D4226" w:rsidRDefault="006F7471" w:rsidP="0054507B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C18BA50" wp14:editId="0B62DDB1">
            <wp:extent cx="6067319" cy="5715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796" t="10588" r="25918" b="8517"/>
                    <a:stretch/>
                  </pic:blipFill>
                  <pic:spPr bwMode="auto">
                    <a:xfrm>
                      <a:off x="0" y="0"/>
                      <a:ext cx="6082158" cy="572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4EB13" wp14:editId="283E8104">
            <wp:extent cx="6210300" cy="26514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845" t="54118" r="27901" b="10000"/>
                    <a:stretch/>
                  </pic:blipFill>
                  <pic:spPr bwMode="auto">
                    <a:xfrm>
                      <a:off x="0" y="0"/>
                      <a:ext cx="6235187" cy="2662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4226" w:rsidRPr="002D4226" w:rsidSect="00122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113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28554" w14:textId="77777777" w:rsidR="001767C1" w:rsidRDefault="001767C1">
      <w:pPr>
        <w:spacing w:after="0" w:line="240" w:lineRule="auto"/>
      </w:pPr>
      <w:r>
        <w:separator/>
      </w:r>
    </w:p>
  </w:endnote>
  <w:endnote w:type="continuationSeparator" w:id="0">
    <w:p w14:paraId="43118B69" w14:textId="77777777" w:rsidR="001767C1" w:rsidRDefault="0017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D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F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FB345" w14:textId="77777777" w:rsidR="001767C1" w:rsidRDefault="001767C1">
      <w:pPr>
        <w:spacing w:after="0" w:line="240" w:lineRule="auto"/>
      </w:pPr>
      <w:r>
        <w:separator/>
      </w:r>
    </w:p>
  </w:footnote>
  <w:footnote w:type="continuationSeparator" w:id="0">
    <w:p w14:paraId="38F003F7" w14:textId="77777777" w:rsidR="001767C1" w:rsidRDefault="0017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7188596"/>
      <w:docPartObj>
        <w:docPartGallery w:val="Page Numbers (Top of Page)"/>
        <w:docPartUnique/>
      </w:docPartObj>
    </w:sdtPr>
    <w:sdtEndPr/>
    <w:sdtContent>
      <w:p w14:paraId="6446CCDF" w14:textId="0D96D940" w:rsidR="00693FB5" w:rsidRDefault="00693F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03A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C" w14:textId="77777777" w:rsidR="00693FB5" w:rsidRDefault="00693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F1B"/>
    <w:multiLevelType w:val="hybridMultilevel"/>
    <w:tmpl w:val="9E907A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59F"/>
    <w:multiLevelType w:val="multilevel"/>
    <w:tmpl w:val="61C8A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F892A7F"/>
    <w:multiLevelType w:val="hybridMultilevel"/>
    <w:tmpl w:val="A2F29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75DF"/>
    <w:multiLevelType w:val="multilevel"/>
    <w:tmpl w:val="7D525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D65AC5"/>
    <w:multiLevelType w:val="multilevel"/>
    <w:tmpl w:val="7D525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92F570A"/>
    <w:multiLevelType w:val="hybridMultilevel"/>
    <w:tmpl w:val="7A8A5C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72A6B"/>
    <w:multiLevelType w:val="hybridMultilevel"/>
    <w:tmpl w:val="EBE6762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996DA3"/>
    <w:multiLevelType w:val="hybridMultilevel"/>
    <w:tmpl w:val="11E02C4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B29"/>
    <w:multiLevelType w:val="hybridMultilevel"/>
    <w:tmpl w:val="90B887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07E8D"/>
    <w:multiLevelType w:val="hybridMultilevel"/>
    <w:tmpl w:val="5C5E1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62EEF"/>
    <w:multiLevelType w:val="multilevel"/>
    <w:tmpl w:val="62501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56"/>
    <w:rsid w:val="00012336"/>
    <w:rsid w:val="00021916"/>
    <w:rsid w:val="00031649"/>
    <w:rsid w:val="00035263"/>
    <w:rsid w:val="00044F7D"/>
    <w:rsid w:val="000F28E2"/>
    <w:rsid w:val="00105DEA"/>
    <w:rsid w:val="001222FD"/>
    <w:rsid w:val="00124B1C"/>
    <w:rsid w:val="001551E9"/>
    <w:rsid w:val="001767C1"/>
    <w:rsid w:val="001827BD"/>
    <w:rsid w:val="001B0AB1"/>
    <w:rsid w:val="001B4CFB"/>
    <w:rsid w:val="001B672F"/>
    <w:rsid w:val="001F3491"/>
    <w:rsid w:val="00213908"/>
    <w:rsid w:val="002353FB"/>
    <w:rsid w:val="00272656"/>
    <w:rsid w:val="00276750"/>
    <w:rsid w:val="00286527"/>
    <w:rsid w:val="00286717"/>
    <w:rsid w:val="00292013"/>
    <w:rsid w:val="00293251"/>
    <w:rsid w:val="002C1F9A"/>
    <w:rsid w:val="002C7E36"/>
    <w:rsid w:val="002D4226"/>
    <w:rsid w:val="002E1004"/>
    <w:rsid w:val="002E5A1B"/>
    <w:rsid w:val="00350BD7"/>
    <w:rsid w:val="003762FF"/>
    <w:rsid w:val="00385A4F"/>
    <w:rsid w:val="00387A97"/>
    <w:rsid w:val="003929E8"/>
    <w:rsid w:val="003A3CF8"/>
    <w:rsid w:val="003B6007"/>
    <w:rsid w:val="003C3D46"/>
    <w:rsid w:val="003F3E5A"/>
    <w:rsid w:val="004060D4"/>
    <w:rsid w:val="004209EB"/>
    <w:rsid w:val="0042144F"/>
    <w:rsid w:val="00436044"/>
    <w:rsid w:val="004458A5"/>
    <w:rsid w:val="00492EF0"/>
    <w:rsid w:val="004C36FF"/>
    <w:rsid w:val="004F0164"/>
    <w:rsid w:val="00502716"/>
    <w:rsid w:val="00532FCC"/>
    <w:rsid w:val="0054507B"/>
    <w:rsid w:val="00582178"/>
    <w:rsid w:val="005B21C3"/>
    <w:rsid w:val="005B5EF0"/>
    <w:rsid w:val="005D3652"/>
    <w:rsid w:val="005D748B"/>
    <w:rsid w:val="006064D3"/>
    <w:rsid w:val="006149A3"/>
    <w:rsid w:val="00652C44"/>
    <w:rsid w:val="00693FB5"/>
    <w:rsid w:val="006B6274"/>
    <w:rsid w:val="006B709A"/>
    <w:rsid w:val="006D70CF"/>
    <w:rsid w:val="006D7D0C"/>
    <w:rsid w:val="006F7471"/>
    <w:rsid w:val="006F75D0"/>
    <w:rsid w:val="007034DB"/>
    <w:rsid w:val="00703918"/>
    <w:rsid w:val="00723711"/>
    <w:rsid w:val="00732775"/>
    <w:rsid w:val="0076588A"/>
    <w:rsid w:val="00786BAE"/>
    <w:rsid w:val="00794079"/>
    <w:rsid w:val="007B20A5"/>
    <w:rsid w:val="007F3727"/>
    <w:rsid w:val="0081419C"/>
    <w:rsid w:val="0083373A"/>
    <w:rsid w:val="00850A43"/>
    <w:rsid w:val="008871DA"/>
    <w:rsid w:val="008A121C"/>
    <w:rsid w:val="008A57E0"/>
    <w:rsid w:val="008C14B5"/>
    <w:rsid w:val="008C3755"/>
    <w:rsid w:val="008E1600"/>
    <w:rsid w:val="00907D1D"/>
    <w:rsid w:val="00921744"/>
    <w:rsid w:val="0094111D"/>
    <w:rsid w:val="0096102E"/>
    <w:rsid w:val="00965F2F"/>
    <w:rsid w:val="009A498A"/>
    <w:rsid w:val="009B51C9"/>
    <w:rsid w:val="009C3754"/>
    <w:rsid w:val="00A02A29"/>
    <w:rsid w:val="00A26558"/>
    <w:rsid w:val="00A31322"/>
    <w:rsid w:val="00A671DE"/>
    <w:rsid w:val="00A82C36"/>
    <w:rsid w:val="00AB6CB9"/>
    <w:rsid w:val="00AF44E6"/>
    <w:rsid w:val="00B30F6C"/>
    <w:rsid w:val="00B30F8E"/>
    <w:rsid w:val="00B70B9A"/>
    <w:rsid w:val="00B71372"/>
    <w:rsid w:val="00B8674B"/>
    <w:rsid w:val="00BA7F44"/>
    <w:rsid w:val="00BB50A5"/>
    <w:rsid w:val="00BC61BB"/>
    <w:rsid w:val="00C03C3A"/>
    <w:rsid w:val="00C243A6"/>
    <w:rsid w:val="00C405B5"/>
    <w:rsid w:val="00C43996"/>
    <w:rsid w:val="00C45597"/>
    <w:rsid w:val="00C57AFA"/>
    <w:rsid w:val="00C62795"/>
    <w:rsid w:val="00CB0572"/>
    <w:rsid w:val="00CC4E44"/>
    <w:rsid w:val="00D023C9"/>
    <w:rsid w:val="00D17EF2"/>
    <w:rsid w:val="00D21655"/>
    <w:rsid w:val="00D32AAD"/>
    <w:rsid w:val="00D3696F"/>
    <w:rsid w:val="00D57017"/>
    <w:rsid w:val="00D606C1"/>
    <w:rsid w:val="00DB73FB"/>
    <w:rsid w:val="00DE4ECE"/>
    <w:rsid w:val="00E03486"/>
    <w:rsid w:val="00E21E90"/>
    <w:rsid w:val="00E22224"/>
    <w:rsid w:val="00E55B17"/>
    <w:rsid w:val="00E77E5E"/>
    <w:rsid w:val="00EA23EA"/>
    <w:rsid w:val="00EE2453"/>
    <w:rsid w:val="00EF05CD"/>
    <w:rsid w:val="00F20270"/>
    <w:rsid w:val="00F21EEF"/>
    <w:rsid w:val="00F340EB"/>
    <w:rsid w:val="00F34DAE"/>
    <w:rsid w:val="00F50E38"/>
    <w:rsid w:val="00F54B3D"/>
    <w:rsid w:val="00F67AE4"/>
    <w:rsid w:val="00F67BA4"/>
    <w:rsid w:val="00F70CBB"/>
    <w:rsid w:val="00F92464"/>
    <w:rsid w:val="00FA044B"/>
    <w:rsid w:val="00FA125B"/>
    <w:rsid w:val="00FB5B2A"/>
    <w:rsid w:val="00FB7BDB"/>
    <w:rsid w:val="00FC27FB"/>
    <w:rsid w:val="00FC3CDF"/>
    <w:rsid w:val="00FD53EC"/>
    <w:rsid w:val="00FE09A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B207A"/>
  <w15:docId w15:val="{FE8F888B-57DA-432E-87C2-1C95F4E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44F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34DAE"/>
    <w:rPr>
      <w:b/>
      <w:bCs/>
    </w:rPr>
  </w:style>
  <w:style w:type="paragraph" w:styleId="PargrafodaLista">
    <w:name w:val="List Paragraph"/>
    <w:basedOn w:val="Normal"/>
    <w:uiPriority w:val="34"/>
    <w:qFormat/>
    <w:rsid w:val="000F28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E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7AE4"/>
    <w:pPr>
      <w:suppressAutoHyphens/>
      <w:overflowPunct w:val="0"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F67AE4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1F9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C1F9A"/>
    <w:rPr>
      <w:rFonts w:asciiTheme="minorHAnsi" w:eastAsiaTheme="minorEastAsia" w:hAnsiTheme="minorHAns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1222FD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6B6274"/>
    <w:pPr>
      <w:spacing w:after="100"/>
      <w:jc w:val="both"/>
    </w:pPr>
    <w:rPr>
      <w:rFonts w:ascii="Arial" w:hAnsi="Arial"/>
      <w:b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36044"/>
    <w:rPr>
      <w:color w:val="605E5C"/>
      <w:shd w:val="clear" w:color="auto" w:fill="E1DFDD"/>
    </w:rPr>
  </w:style>
  <w:style w:type="table" w:styleId="TabelaSimples1">
    <w:name w:val="Plain Table 1"/>
    <w:basedOn w:val="Tabelanormal"/>
    <w:uiPriority w:val="41"/>
    <w:rsid w:val="00B867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B7137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B0A1-CCAF-47EA-AB18-17A6475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4303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 MILIOLI FERREIRA</cp:lastModifiedBy>
  <cp:revision>2</cp:revision>
  <cp:lastPrinted>2019-12-19T22:19:00Z</cp:lastPrinted>
  <dcterms:created xsi:type="dcterms:W3CDTF">2020-12-22T14:32:00Z</dcterms:created>
  <dcterms:modified xsi:type="dcterms:W3CDTF">2020-12-22T14:32:00Z</dcterms:modified>
</cp:coreProperties>
</file>