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C96C1" w14:textId="76264308" w:rsidR="007A10A6" w:rsidRDefault="007A10A6" w:rsidP="007A10A6">
      <w:pPr>
        <w:jc w:val="center"/>
        <w:rPr>
          <w:rFonts w:ascii="Arial" w:hAnsi="Arial" w:cs="Arial"/>
          <w:b/>
          <w:bCs/>
          <w:sz w:val="28"/>
          <w:szCs w:val="28"/>
        </w:rPr>
      </w:pPr>
      <w:r>
        <w:rPr>
          <w:rFonts w:ascii="Arial" w:hAnsi="Arial"/>
          <w:b/>
          <w:sz w:val="28"/>
        </w:rPr>
        <w:t>AMBIENTE ALIMENTAR E CONSUMO DE ALIMENTOS ULTRAPROCESSADOS NO BRASIL: UMA REVISÃO NARRATIVA</w:t>
      </w:r>
    </w:p>
    <w:p w14:paraId="4849E33E" w14:textId="77777777" w:rsidR="00640403" w:rsidRDefault="00640403" w:rsidP="00640403">
      <w:pPr>
        <w:rPr>
          <w:rFonts w:ascii="Arial" w:hAnsi="Arial" w:cs="Arial"/>
          <w:sz w:val="28"/>
          <w:szCs w:val="28"/>
        </w:rPr>
      </w:pPr>
    </w:p>
    <w:p w14:paraId="04C26E82" w14:textId="6BCC3824" w:rsidR="00640403" w:rsidRPr="00640403" w:rsidRDefault="00640403" w:rsidP="00640403">
      <w:pPr>
        <w:rPr>
          <w:rFonts w:ascii="Arial" w:hAnsi="Arial" w:cs="Arial"/>
          <w:sz w:val="28"/>
          <w:szCs w:val="28"/>
        </w:rPr>
      </w:pPr>
      <w:r>
        <w:rPr>
          <w:rFonts w:ascii="Arial" w:hAnsi="Arial" w:cs="Arial"/>
          <w:sz w:val="28"/>
          <w:szCs w:val="28"/>
        </w:rPr>
        <w:t>Eliza Garcês Castro</w:t>
      </w:r>
      <w:r w:rsidRPr="00640403">
        <w:rPr>
          <w:rFonts w:ascii="Arial" w:hAnsi="Arial" w:cs="Arial"/>
          <w:sz w:val="28"/>
          <w:szCs w:val="28"/>
        </w:rPr>
        <w:t>¹</w:t>
      </w:r>
    </w:p>
    <w:p w14:paraId="32162BBF" w14:textId="77777777" w:rsidR="00640403" w:rsidRPr="00640403" w:rsidRDefault="00640403" w:rsidP="00640403">
      <w:pPr>
        <w:rPr>
          <w:rFonts w:ascii="Arial" w:hAnsi="Arial" w:cs="Arial"/>
          <w:sz w:val="28"/>
          <w:szCs w:val="28"/>
        </w:rPr>
      </w:pPr>
      <w:r w:rsidRPr="00640403">
        <w:rPr>
          <w:rFonts w:ascii="Arial" w:hAnsi="Arial" w:cs="Arial"/>
          <w:sz w:val="28"/>
          <w:szCs w:val="28"/>
        </w:rPr>
        <w:t>Vanessa Roriz Ferreira de Abreu²</w:t>
      </w:r>
    </w:p>
    <w:p w14:paraId="179912E9" w14:textId="77777777" w:rsidR="00640403" w:rsidRPr="00640403" w:rsidRDefault="00640403" w:rsidP="00640403">
      <w:pPr>
        <w:rPr>
          <w:rFonts w:ascii="Arial" w:hAnsi="Arial" w:cs="Arial"/>
          <w:b/>
          <w:bCs/>
          <w:sz w:val="28"/>
          <w:szCs w:val="28"/>
        </w:rPr>
      </w:pPr>
    </w:p>
    <w:p w14:paraId="3AB4B0DA" w14:textId="7871D923" w:rsidR="00640403" w:rsidRPr="00640403" w:rsidRDefault="00640403" w:rsidP="00640403">
      <w:pPr>
        <w:rPr>
          <w:rFonts w:ascii="Arial" w:hAnsi="Arial" w:cs="Arial"/>
          <w:sz w:val="28"/>
          <w:szCs w:val="28"/>
        </w:rPr>
      </w:pPr>
      <w:r>
        <w:rPr>
          <w:rFonts w:ascii="Arial" w:hAnsi="Arial" w:cs="Arial"/>
          <w:sz w:val="28"/>
          <w:szCs w:val="28"/>
          <w:vertAlign w:val="superscript"/>
        </w:rPr>
        <w:t>1</w:t>
      </w:r>
      <w:r w:rsidRPr="00640403">
        <w:rPr>
          <w:rFonts w:ascii="Arial" w:hAnsi="Arial" w:cs="Arial"/>
          <w:sz w:val="28"/>
          <w:szCs w:val="28"/>
        </w:rPr>
        <w:t>Acadêmica do curso de Nutrição - Escola de Ciências Sociais e da Saúde (ECISS) – Pontifícia Universidade Católica de Goiás – PUC/GO.</w:t>
      </w:r>
    </w:p>
    <w:p w14:paraId="08D63AF2" w14:textId="6040D769" w:rsidR="00640403" w:rsidRDefault="00640403" w:rsidP="00640403">
      <w:pPr>
        <w:rPr>
          <w:rFonts w:ascii="Arial" w:hAnsi="Arial" w:cs="Arial"/>
          <w:sz w:val="28"/>
          <w:szCs w:val="28"/>
        </w:rPr>
      </w:pPr>
      <w:r w:rsidRPr="00640403">
        <w:rPr>
          <w:rFonts w:ascii="Arial" w:hAnsi="Arial" w:cs="Arial"/>
          <w:sz w:val="28"/>
          <w:szCs w:val="28"/>
        </w:rPr>
        <w:t>garceseliza01@gmail.com</w:t>
      </w:r>
    </w:p>
    <w:p w14:paraId="3294B960" w14:textId="77777777" w:rsidR="00640403" w:rsidRPr="00640403" w:rsidRDefault="00640403" w:rsidP="00640403">
      <w:pPr>
        <w:rPr>
          <w:rFonts w:ascii="Arial" w:hAnsi="Arial" w:cs="Arial"/>
          <w:sz w:val="28"/>
          <w:szCs w:val="28"/>
        </w:rPr>
      </w:pPr>
    </w:p>
    <w:p w14:paraId="640F8367" w14:textId="3B43A902" w:rsidR="00640403" w:rsidRPr="00640403" w:rsidRDefault="00E360BA" w:rsidP="00640403">
      <w:pPr>
        <w:rPr>
          <w:rFonts w:ascii="Arial" w:hAnsi="Arial" w:cs="Arial"/>
          <w:sz w:val="28"/>
          <w:szCs w:val="28"/>
        </w:rPr>
      </w:pPr>
      <w:r>
        <w:rPr>
          <w:rFonts w:ascii="Arial" w:hAnsi="Arial" w:cs="Arial"/>
          <w:sz w:val="28"/>
          <w:szCs w:val="28"/>
          <w:vertAlign w:val="superscript"/>
        </w:rPr>
        <w:t>2</w:t>
      </w:r>
      <w:r w:rsidR="00640403" w:rsidRPr="00640403">
        <w:rPr>
          <w:rFonts w:ascii="Arial" w:hAnsi="Arial" w:cs="Arial"/>
          <w:sz w:val="28"/>
          <w:szCs w:val="28"/>
        </w:rPr>
        <w:t>Docente Doutora do curso de Nutrição - Escola de Ciências Sociais e da Saúde (ECISS) – Pontifícia Universidade Católica de Goiás – PUC/GO.</w:t>
      </w:r>
      <w:r w:rsidR="00640403">
        <w:rPr>
          <w:rFonts w:ascii="Arial" w:hAnsi="Arial" w:cs="Arial"/>
          <w:sz w:val="28"/>
          <w:szCs w:val="28"/>
        </w:rPr>
        <w:t xml:space="preserve"> vanessa_roriz@hotmail.com</w:t>
      </w:r>
    </w:p>
    <w:p w14:paraId="5860EEC1" w14:textId="77777777" w:rsidR="005D19E8" w:rsidRPr="007C5724" w:rsidRDefault="005D19E8" w:rsidP="005D19E8">
      <w:pPr>
        <w:jc w:val="both"/>
        <w:rPr>
          <w:rFonts w:ascii="Arial" w:hAnsi="Arial" w:cs="Arial"/>
          <w:b/>
          <w:bCs/>
          <w:sz w:val="24"/>
          <w:szCs w:val="24"/>
        </w:rPr>
      </w:pPr>
    </w:p>
    <w:p w14:paraId="19B4349D" w14:textId="77777777" w:rsidR="005D19E8" w:rsidRPr="00640403" w:rsidRDefault="005D19E8" w:rsidP="00640403">
      <w:pPr>
        <w:spacing w:after="0" w:line="240" w:lineRule="auto"/>
        <w:jc w:val="both"/>
        <w:rPr>
          <w:rFonts w:ascii="Arial" w:hAnsi="Arial" w:cs="Arial"/>
          <w:b/>
          <w:bCs/>
          <w:sz w:val="24"/>
          <w:szCs w:val="24"/>
        </w:rPr>
      </w:pPr>
      <w:r w:rsidRPr="00640403">
        <w:rPr>
          <w:rFonts w:ascii="Arial" w:hAnsi="Arial" w:cs="Arial"/>
          <w:b/>
          <w:bCs/>
          <w:sz w:val="24"/>
          <w:szCs w:val="24"/>
        </w:rPr>
        <w:t>RESUMO</w:t>
      </w:r>
    </w:p>
    <w:p w14:paraId="31531DFD" w14:textId="77777777" w:rsidR="005D19E8" w:rsidRPr="007C5724" w:rsidRDefault="005D19E8" w:rsidP="005D19E8">
      <w:pPr>
        <w:pStyle w:val="PargrafodaLista"/>
        <w:jc w:val="both"/>
        <w:rPr>
          <w:rFonts w:ascii="Arial" w:hAnsi="Arial" w:cs="Arial"/>
          <w:b/>
          <w:bCs/>
          <w:sz w:val="24"/>
          <w:szCs w:val="24"/>
        </w:rPr>
      </w:pPr>
    </w:p>
    <w:p w14:paraId="5CB23A2A" w14:textId="6E007E55" w:rsidR="005D19E8" w:rsidRDefault="005D19E8" w:rsidP="00640403">
      <w:pPr>
        <w:jc w:val="both"/>
        <w:rPr>
          <w:rFonts w:ascii="Arial" w:hAnsi="Arial" w:cs="Arial"/>
          <w:sz w:val="24"/>
          <w:szCs w:val="24"/>
        </w:rPr>
      </w:pPr>
      <w:r w:rsidRPr="00640403">
        <w:rPr>
          <w:rFonts w:ascii="Arial" w:hAnsi="Arial" w:cs="Arial"/>
          <w:b/>
          <w:bCs/>
          <w:sz w:val="24"/>
          <w:szCs w:val="24"/>
        </w:rPr>
        <w:t>Introdução:</w:t>
      </w:r>
      <w:r w:rsidRPr="00640403">
        <w:rPr>
          <w:rFonts w:ascii="Arial" w:hAnsi="Arial" w:cs="Arial"/>
          <w:sz w:val="24"/>
          <w:szCs w:val="24"/>
        </w:rPr>
        <w:t xml:space="preserve"> O alto consumo de alimentos ultraprocessados é um grande problema de saúde pública no Brasil, principalmente entre as populações que habitam territórios onde há pouco acesso a alimentos saudáveis. </w:t>
      </w:r>
      <w:r w:rsidRPr="00640403">
        <w:rPr>
          <w:rFonts w:ascii="Arial" w:hAnsi="Arial" w:cs="Arial"/>
          <w:b/>
          <w:bCs/>
          <w:sz w:val="24"/>
          <w:szCs w:val="24"/>
        </w:rPr>
        <w:t>Objetivo:</w:t>
      </w:r>
      <w:r w:rsidRPr="00640403">
        <w:rPr>
          <w:rFonts w:ascii="Arial" w:hAnsi="Arial" w:cs="Arial"/>
          <w:sz w:val="24"/>
          <w:szCs w:val="24"/>
        </w:rPr>
        <w:t xml:space="preserve"> Avaliar a relação entre o ambiente alimentar e o consumo de alimentos ultraprocessados no Brasil, considerando as desigualdades territoriais e socioeconômicas.</w:t>
      </w:r>
      <w:r w:rsidRPr="00640403">
        <w:rPr>
          <w:rFonts w:ascii="Arial" w:hAnsi="Arial" w:cs="Arial"/>
          <w:b/>
          <w:bCs/>
          <w:sz w:val="24"/>
          <w:szCs w:val="24"/>
        </w:rPr>
        <w:t xml:space="preserve"> Métodos: </w:t>
      </w:r>
      <w:r w:rsidRPr="00640403">
        <w:rPr>
          <w:rFonts w:ascii="Arial" w:hAnsi="Arial" w:cs="Arial"/>
          <w:sz w:val="24"/>
          <w:szCs w:val="24"/>
        </w:rPr>
        <w:t xml:space="preserve">Trata-se de uma revisão narrativa da literatura. Foram utilizadas as bases de dados SciELO, PubMed e Epidemiológicas em Nutrição e Saúde (NUPENS) e os descritores “social inequalities”, “social vulnerability”, “food”, “processed”, “ultra processed, usando operador booleano AND. As buscas foram coletadas, no período de setembro a abril de 2026. </w:t>
      </w:r>
      <w:r w:rsidRPr="00640403">
        <w:rPr>
          <w:rFonts w:ascii="Arial" w:hAnsi="Arial" w:cs="Arial"/>
          <w:b/>
          <w:bCs/>
          <w:sz w:val="24"/>
          <w:szCs w:val="24"/>
        </w:rPr>
        <w:t xml:space="preserve">Resultados: </w:t>
      </w:r>
      <w:r w:rsidRPr="00640403">
        <w:rPr>
          <w:rFonts w:ascii="Arial" w:hAnsi="Arial" w:cs="Arial"/>
          <w:sz w:val="24"/>
          <w:szCs w:val="24"/>
        </w:rPr>
        <w:t>Os estudos que analisaram os bairros urbanos identificaram elevada presença de desertos e pântanos alimentares nas cidades brasileiras. Em Belo Horizonte</w:t>
      </w:r>
      <w:r w:rsidR="009C7EE7">
        <w:rPr>
          <w:rFonts w:ascii="Arial" w:hAnsi="Arial" w:cs="Arial"/>
          <w:sz w:val="24"/>
          <w:szCs w:val="24"/>
        </w:rPr>
        <w:t>-</w:t>
      </w:r>
      <w:r w:rsidRPr="00640403">
        <w:rPr>
          <w:rFonts w:ascii="Arial" w:hAnsi="Arial" w:cs="Arial"/>
          <w:sz w:val="24"/>
          <w:szCs w:val="24"/>
        </w:rPr>
        <w:t xml:space="preserve">MG, cerca de 80% dos bairros foram classificados como desertos ou pântanos alimentares. Outro estudo em Belo horizonte aponta que de 132 </w:t>
      </w:r>
      <w:r w:rsidR="009C7EE7" w:rsidRPr="00640403">
        <w:rPr>
          <w:rFonts w:ascii="Arial" w:hAnsi="Arial" w:cs="Arial"/>
          <w:sz w:val="24"/>
          <w:szCs w:val="24"/>
        </w:rPr>
        <w:t>bairros</w:t>
      </w:r>
      <w:r w:rsidRPr="00640403">
        <w:rPr>
          <w:rFonts w:ascii="Arial" w:hAnsi="Arial" w:cs="Arial"/>
          <w:sz w:val="24"/>
          <w:szCs w:val="24"/>
        </w:rPr>
        <w:t xml:space="preserve"> localizados em favelas 41,67% eram desertos alimentares. </w:t>
      </w:r>
      <w:r w:rsidRPr="00640403">
        <w:rPr>
          <w:rFonts w:ascii="Arial" w:hAnsi="Arial" w:cs="Arial"/>
          <w:b/>
          <w:bCs/>
          <w:sz w:val="24"/>
          <w:szCs w:val="24"/>
        </w:rPr>
        <w:t xml:space="preserve">Conclusão: </w:t>
      </w:r>
      <w:r w:rsidRPr="00640403">
        <w:rPr>
          <w:rFonts w:ascii="Arial" w:hAnsi="Arial" w:cs="Arial"/>
          <w:sz w:val="24"/>
          <w:szCs w:val="24"/>
        </w:rPr>
        <w:t>A literatura analisada indica relação entre as características do ambiente alimentar e o consumo de AUP, especialmente em contextos marcados por desigualdades territoriais e socioeconômicas.</w:t>
      </w:r>
    </w:p>
    <w:p w14:paraId="0E05573C" w14:textId="65968347" w:rsidR="00640403" w:rsidRPr="00A65B60" w:rsidRDefault="00640403" w:rsidP="00640403">
      <w:pPr>
        <w:spacing w:after="0" w:line="360" w:lineRule="auto"/>
        <w:jc w:val="both"/>
        <w:rPr>
          <w:rFonts w:ascii="Arial" w:hAnsi="Arial" w:cs="Arial"/>
          <w:sz w:val="24"/>
          <w:szCs w:val="24"/>
        </w:rPr>
      </w:pPr>
      <w:r w:rsidRPr="00A65B60">
        <w:rPr>
          <w:rFonts w:ascii="Arial" w:hAnsi="Arial" w:cs="Arial"/>
          <w:b/>
          <w:bCs/>
          <w:sz w:val="24"/>
          <w:szCs w:val="24"/>
        </w:rPr>
        <w:t>Palavras-chave:</w:t>
      </w:r>
      <w:r w:rsidRPr="00A65B60">
        <w:rPr>
          <w:rFonts w:ascii="Arial" w:hAnsi="Arial" w:cs="Arial"/>
          <w:sz w:val="24"/>
          <w:szCs w:val="24"/>
        </w:rPr>
        <w:t xml:space="preserve"> </w:t>
      </w:r>
      <w:r w:rsidR="00A65B60" w:rsidRPr="00A65B60">
        <w:rPr>
          <w:rFonts w:ascii="Arial" w:hAnsi="Arial" w:cs="Arial"/>
          <w:sz w:val="24"/>
          <w:szCs w:val="24"/>
        </w:rPr>
        <w:t>Fatores Socioeconômicos</w:t>
      </w:r>
      <w:r w:rsidRPr="00A65B60">
        <w:rPr>
          <w:rFonts w:ascii="Arial" w:hAnsi="Arial" w:cs="Arial"/>
          <w:sz w:val="24"/>
          <w:szCs w:val="24"/>
        </w:rPr>
        <w:t xml:space="preserve">, </w:t>
      </w:r>
      <w:r w:rsidR="00A65B60" w:rsidRPr="00A65B60">
        <w:rPr>
          <w:rFonts w:ascii="Arial" w:hAnsi="Arial" w:cs="Arial"/>
          <w:sz w:val="24"/>
          <w:szCs w:val="24"/>
        </w:rPr>
        <w:t>Vulnerabilidade Social</w:t>
      </w:r>
      <w:r w:rsidRPr="00A65B60">
        <w:rPr>
          <w:rFonts w:ascii="Arial" w:hAnsi="Arial" w:cs="Arial"/>
          <w:sz w:val="24"/>
          <w:szCs w:val="24"/>
        </w:rPr>
        <w:t xml:space="preserve">, </w:t>
      </w:r>
      <w:r w:rsidR="00A65B60" w:rsidRPr="00A65B60">
        <w:rPr>
          <w:rFonts w:ascii="Arial" w:hAnsi="Arial" w:cs="Arial"/>
          <w:sz w:val="24"/>
          <w:szCs w:val="24"/>
        </w:rPr>
        <w:t>Alimento Processado</w:t>
      </w:r>
      <w:r w:rsidRPr="00A65B60">
        <w:rPr>
          <w:rFonts w:ascii="Arial" w:hAnsi="Arial" w:cs="Arial"/>
          <w:sz w:val="24"/>
          <w:szCs w:val="24"/>
        </w:rPr>
        <w:t xml:space="preserve">, </w:t>
      </w:r>
      <w:r w:rsidR="00A65B60" w:rsidRPr="00A65B60">
        <w:rPr>
          <w:rFonts w:ascii="Arial" w:hAnsi="Arial" w:cs="Arial"/>
          <w:sz w:val="24"/>
          <w:szCs w:val="24"/>
        </w:rPr>
        <w:t>Espaço Social Alimentar</w:t>
      </w:r>
      <w:r w:rsidR="00A65B60">
        <w:rPr>
          <w:rFonts w:ascii="Arial" w:hAnsi="Arial" w:cs="Arial"/>
          <w:sz w:val="24"/>
          <w:szCs w:val="24"/>
        </w:rPr>
        <w:t xml:space="preserve">, </w:t>
      </w:r>
      <w:r w:rsidR="00A65B60" w:rsidRPr="00A65B60">
        <w:rPr>
          <w:rFonts w:ascii="Arial" w:hAnsi="Arial" w:cs="Arial"/>
          <w:sz w:val="24"/>
          <w:szCs w:val="24"/>
        </w:rPr>
        <w:t>Dieta Saudável</w:t>
      </w:r>
      <w:r w:rsidR="00A65B60">
        <w:rPr>
          <w:rFonts w:ascii="Arial" w:hAnsi="Arial" w:cs="Arial"/>
          <w:sz w:val="24"/>
          <w:szCs w:val="24"/>
        </w:rPr>
        <w:t>.</w:t>
      </w:r>
    </w:p>
    <w:p w14:paraId="5160EA32" w14:textId="77777777" w:rsidR="00640403" w:rsidRPr="00A65B60" w:rsidRDefault="00640403" w:rsidP="00640403">
      <w:pPr>
        <w:jc w:val="both"/>
        <w:rPr>
          <w:rFonts w:ascii="Arial" w:hAnsi="Arial" w:cs="Arial"/>
          <w:sz w:val="24"/>
          <w:szCs w:val="24"/>
        </w:rPr>
      </w:pPr>
    </w:p>
    <w:p w14:paraId="3C6E537F" w14:textId="77777777" w:rsidR="005D19E8" w:rsidRPr="00A65B60" w:rsidRDefault="005D19E8" w:rsidP="005D19E8">
      <w:pPr>
        <w:pStyle w:val="PargrafodaLista"/>
        <w:jc w:val="both"/>
        <w:rPr>
          <w:rFonts w:ascii="Arial" w:hAnsi="Arial" w:cs="Arial"/>
          <w:sz w:val="24"/>
          <w:szCs w:val="24"/>
        </w:rPr>
      </w:pPr>
    </w:p>
    <w:p w14:paraId="6F85FABD" w14:textId="77777777" w:rsidR="005D19E8" w:rsidRPr="00640403" w:rsidRDefault="005D19E8" w:rsidP="00640403">
      <w:pPr>
        <w:spacing w:after="0" w:line="240" w:lineRule="auto"/>
        <w:jc w:val="both"/>
        <w:rPr>
          <w:rFonts w:ascii="Arial" w:hAnsi="Arial" w:cs="Arial"/>
          <w:sz w:val="24"/>
          <w:szCs w:val="24"/>
        </w:rPr>
      </w:pPr>
      <w:r w:rsidRPr="00640403">
        <w:rPr>
          <w:rFonts w:ascii="Arial" w:hAnsi="Arial" w:cs="Arial"/>
          <w:b/>
          <w:bCs/>
          <w:sz w:val="24"/>
          <w:szCs w:val="24"/>
        </w:rPr>
        <w:t>INTRODUÇÃO</w:t>
      </w:r>
      <w:r w:rsidRPr="00640403">
        <w:rPr>
          <w:rFonts w:ascii="Arial" w:hAnsi="Arial" w:cs="Arial"/>
          <w:sz w:val="24"/>
          <w:szCs w:val="24"/>
        </w:rPr>
        <w:t xml:space="preserve"> </w:t>
      </w:r>
    </w:p>
    <w:p w14:paraId="01F10911" w14:textId="77777777" w:rsidR="005D19E8" w:rsidRPr="007C5724" w:rsidRDefault="005D19E8" w:rsidP="005D19E8">
      <w:pPr>
        <w:jc w:val="both"/>
        <w:rPr>
          <w:sz w:val="24"/>
          <w:szCs w:val="24"/>
        </w:rPr>
      </w:pPr>
      <w:r w:rsidRPr="003A4F1A">
        <w:t xml:space="preserve"> </w:t>
      </w:r>
    </w:p>
    <w:p w14:paraId="16F593F1" w14:textId="5B8E30CC" w:rsidR="005D19E8" w:rsidRPr="007C5724" w:rsidRDefault="005D19E8" w:rsidP="005D19E8">
      <w:pPr>
        <w:spacing w:line="240" w:lineRule="auto"/>
        <w:ind w:firstLine="360"/>
        <w:jc w:val="both"/>
        <w:rPr>
          <w:rFonts w:ascii="Arial" w:hAnsi="Arial" w:cs="Arial"/>
          <w:sz w:val="24"/>
          <w:szCs w:val="24"/>
        </w:rPr>
      </w:pPr>
      <w:r w:rsidRPr="007C5724">
        <w:rPr>
          <w:rFonts w:ascii="Arial" w:hAnsi="Arial" w:cs="Arial"/>
          <w:sz w:val="24"/>
          <w:szCs w:val="24"/>
        </w:rPr>
        <w:t>O alto consumo de alimentos ultraprocessados (AUP) é hoje um dos maiores problemas de saúde pública do Brasil e do mundo</w:t>
      </w:r>
      <w:r w:rsidR="004E119D">
        <w:rPr>
          <w:rFonts w:ascii="Arial" w:hAnsi="Arial" w:cs="Arial"/>
          <w:sz w:val="24"/>
          <w:szCs w:val="24"/>
          <w:vertAlign w:val="superscript"/>
        </w:rPr>
        <w:t>1</w:t>
      </w:r>
      <w:r w:rsidRPr="007C5724">
        <w:rPr>
          <w:rFonts w:ascii="Arial" w:hAnsi="Arial" w:cs="Arial"/>
          <w:sz w:val="24"/>
          <w:szCs w:val="24"/>
        </w:rPr>
        <w:t>. Foram constatados evidencias que apresentam que as vendas de AUP expandiram substancialmente devido a uma transição global para uma dieta mais processada devido as mudanças de hábitos no último século</w:t>
      </w:r>
      <w:r w:rsidR="004E119D">
        <w:rPr>
          <w:rFonts w:ascii="Arial" w:hAnsi="Arial" w:cs="Arial"/>
          <w:sz w:val="24"/>
          <w:szCs w:val="24"/>
          <w:vertAlign w:val="superscript"/>
        </w:rPr>
        <w:t>2</w:t>
      </w:r>
      <w:r w:rsidRPr="007C5724">
        <w:rPr>
          <w:rFonts w:ascii="Arial" w:hAnsi="Arial" w:cs="Arial"/>
          <w:sz w:val="24"/>
          <w:szCs w:val="24"/>
        </w:rPr>
        <w:t>. A produção em massa de AUP e seus preços cada vez menores carregados pela disputa e mercantilização industrial (a partir de 1870) junto a inovação do transporte movido a vapor fez com que os AUP se tornassem uma significativa parcela da energia alimentar do mundo</w:t>
      </w:r>
      <w:r w:rsidR="004E119D">
        <w:rPr>
          <w:rFonts w:ascii="Arial" w:hAnsi="Arial" w:cs="Arial"/>
          <w:sz w:val="24"/>
          <w:szCs w:val="24"/>
          <w:vertAlign w:val="superscript"/>
        </w:rPr>
        <w:t>3</w:t>
      </w:r>
      <w:r w:rsidRPr="007C5724">
        <w:rPr>
          <w:rFonts w:ascii="Arial" w:hAnsi="Arial" w:cs="Arial"/>
          <w:sz w:val="24"/>
          <w:szCs w:val="24"/>
        </w:rPr>
        <w:t xml:space="preserve">.  </w:t>
      </w:r>
    </w:p>
    <w:p w14:paraId="663931F5" w14:textId="662787D5" w:rsidR="005D19E8" w:rsidRPr="007C5724" w:rsidRDefault="005D19E8" w:rsidP="005D19E8">
      <w:pPr>
        <w:ind w:firstLine="708"/>
        <w:jc w:val="both"/>
        <w:rPr>
          <w:rFonts w:ascii="Arial" w:hAnsi="Arial" w:cs="Arial"/>
          <w:sz w:val="24"/>
          <w:szCs w:val="24"/>
        </w:rPr>
      </w:pPr>
      <w:r w:rsidRPr="007C5724">
        <w:rPr>
          <w:rFonts w:ascii="Arial" w:hAnsi="Arial" w:cs="Arial"/>
          <w:sz w:val="24"/>
          <w:szCs w:val="24"/>
        </w:rPr>
        <w:t>No processo de crescimento de capital e busca de mecanismos capazes de alimentar toda a população, surgiram-se novas tecnologias de processamento. Grandes mudanças após a Segunda Guerra Mundial deram liberdade para que corporações internacionais expandissem para além de suas fronteiras. A partir de 1980, consequência da desregulamentação do investimento estrangeiro e a globalização das indústrias alimentícias acelerou-se a produção de AUP paralelamente ao aumento de doenças crônicas não transmissíveis</w:t>
      </w:r>
      <w:r w:rsidR="004E119D">
        <w:rPr>
          <w:rFonts w:ascii="Arial" w:hAnsi="Arial" w:cs="Arial"/>
          <w:sz w:val="24"/>
          <w:szCs w:val="24"/>
          <w:vertAlign w:val="superscript"/>
        </w:rPr>
        <w:t>4</w:t>
      </w:r>
      <w:r w:rsidRPr="007C5724">
        <w:rPr>
          <w:rFonts w:ascii="Arial" w:hAnsi="Arial" w:cs="Arial"/>
          <w:sz w:val="24"/>
          <w:szCs w:val="24"/>
        </w:rPr>
        <w:t>.</w:t>
      </w:r>
    </w:p>
    <w:p w14:paraId="3B3E77B2" w14:textId="371245B9" w:rsidR="005D19E8" w:rsidRPr="007C5724" w:rsidRDefault="005D19E8" w:rsidP="005D19E8">
      <w:pPr>
        <w:jc w:val="both"/>
        <w:rPr>
          <w:rFonts w:ascii="Arial" w:hAnsi="Arial" w:cs="Arial"/>
          <w:sz w:val="24"/>
          <w:szCs w:val="24"/>
        </w:rPr>
      </w:pPr>
      <w:commentRangeStart w:id="3"/>
      <w:r w:rsidRPr="007C5724">
        <w:rPr>
          <w:rFonts w:ascii="Arial" w:hAnsi="Arial" w:cs="Arial"/>
          <w:sz w:val="24"/>
          <w:szCs w:val="24"/>
        </w:rPr>
        <w:t>Atualmente</w:t>
      </w:r>
      <w:commentRangeEnd w:id="3"/>
      <w:r w:rsidR="00CD5F12" w:rsidRPr="007C5724">
        <w:rPr>
          <w:rStyle w:val="Refdecomentrio"/>
          <w:rFonts w:ascii="Arial" w:hAnsi="Arial" w:cs="Arial"/>
          <w:sz w:val="24"/>
          <w:szCs w:val="24"/>
        </w:rPr>
      </w:r>
      <w:r w:rsidRPr="007C5724">
        <w:rPr>
          <w:rFonts w:ascii="Arial" w:hAnsi="Arial" w:cs="Arial"/>
          <w:sz w:val="24"/>
          <w:szCs w:val="24"/>
        </w:rPr>
        <w:t>, cerca de 61,4% da população adulta brasileira apresenta excesso de peso, evidenciando o avanço do sobrepeso e da obesidade como importantes problemas de saúde pública no país</w:t>
      </w:r>
      <w:r w:rsidR="004E119D">
        <w:rPr>
          <w:rFonts w:ascii="Arial" w:hAnsi="Arial" w:cs="Arial"/>
          <w:sz w:val="24"/>
          <w:szCs w:val="24"/>
          <w:vertAlign w:val="superscript"/>
        </w:rPr>
        <w:t>5</w:t>
      </w:r>
      <w:r w:rsidRPr="007C5724">
        <w:rPr>
          <w:rFonts w:ascii="Arial" w:hAnsi="Arial" w:cs="Arial"/>
          <w:sz w:val="24"/>
          <w:szCs w:val="24"/>
        </w:rPr>
        <w:t xml:space="preserve"> </w:t>
      </w:r>
      <w:r w:rsidRPr="00CD5F12">
        <w:rPr>
          <w:rFonts w:ascii="Arial" w:hAnsi="Arial" w:cs="Arial"/>
          <w:sz w:val="24"/>
          <w:szCs w:val="24"/>
          <w:highlight w:val="yellow"/>
        </w:rPr>
        <w:t xml:space="preserve">e </w:t>
      </w:r>
      <w:commentRangeStart w:id="4"/>
      <w:r w:rsidRPr="00CD5F12">
        <w:rPr>
          <w:rFonts w:ascii="Arial" w:hAnsi="Arial" w:cs="Arial"/>
          <w:sz w:val="24"/>
          <w:szCs w:val="24"/>
          <w:highlight w:val="yellow"/>
        </w:rPr>
        <w:t>os</w:t>
      </w:r>
      <w:commentRangeEnd w:id="4"/>
      <w:r w:rsidR="00CD5F12" w:rsidRPr="00CD5F12">
        <w:rPr>
          <w:rStyle w:val="Refdecomentrio"/>
          <w:rFonts w:ascii="Arial" w:hAnsi="Arial" w:cs="Arial"/>
          <w:sz w:val="24"/>
          <w:szCs w:val="24"/>
          <w:highlight w:val="yellow"/>
        </w:rPr>
      </w:r>
      <w:r w:rsidRPr="00CD5F12">
        <w:rPr>
          <w:rFonts w:ascii="Arial" w:hAnsi="Arial" w:cs="Arial"/>
          <w:sz w:val="24"/>
          <w:szCs w:val="24"/>
          <w:highlight w:val="yellow"/>
        </w:rPr>
        <w:t xml:space="preserve"> A</w:t>
      </w:r>
      <w:r w:rsidRPr="007C5724">
        <w:rPr>
          <w:rFonts w:ascii="Arial" w:hAnsi="Arial" w:cs="Arial"/>
          <w:sz w:val="24"/>
          <w:szCs w:val="24"/>
        </w:rPr>
        <w:t xml:space="preserve"> obesidade custa ao Brasil cerca de 2,4% do Produto Interno Bruto (PIB), considerando gastos diretos e indiretos relacionados ao tratamento da doença e suas consequências para a economia</w:t>
      </w:r>
      <w:r w:rsidR="004E119D">
        <w:rPr>
          <w:rFonts w:ascii="Arial" w:hAnsi="Arial" w:cs="Arial"/>
          <w:sz w:val="24"/>
          <w:szCs w:val="24"/>
          <w:vertAlign w:val="superscript"/>
        </w:rPr>
        <w:t>6.</w:t>
      </w:r>
      <w:r w:rsidRPr="007C5724">
        <w:rPr>
          <w:rFonts w:ascii="Arial" w:hAnsi="Arial" w:cs="Arial"/>
          <w:sz w:val="24"/>
          <w:szCs w:val="24"/>
        </w:rPr>
        <w:t xml:space="preserve">  O Guia Alimentar para população brasileira, acima de tudo, recomenda que a população evite os AUP porque neles são concentradas grandes porções de sal, açúcar, óleos, gorduras e substâncias de uso exclusivamente industrial provenientes de transformações químicas e </w:t>
      </w:r>
      <w:r w:rsidRPr="00CD5F12">
        <w:rPr>
          <w:rFonts w:ascii="Arial" w:hAnsi="Arial" w:cs="Arial"/>
          <w:sz w:val="24"/>
          <w:szCs w:val="24"/>
          <w:highlight w:val="yellow"/>
        </w:rPr>
        <w:t xml:space="preserve">até </w:t>
      </w:r>
      <w:commentRangeStart w:id="5"/>
      <w:r w:rsidRPr="00CD5F12">
        <w:rPr>
          <w:rFonts w:ascii="Arial" w:hAnsi="Arial" w:cs="Arial"/>
          <w:sz w:val="24"/>
          <w:szCs w:val="24"/>
          <w:highlight w:val="yellow"/>
        </w:rPr>
        <w:t>fontes orgânicas de</w:t>
      </w:r>
      <w:commentRangeEnd w:id="5"/>
      <w:r w:rsidR="00CD5F12" w:rsidRPr="00CD5F12">
        <w:rPr>
          <w:rStyle w:val="Refdecomentrio"/>
          <w:rFonts w:ascii="Arial" w:hAnsi="Arial" w:cs="Arial"/>
          <w:sz w:val="24"/>
          <w:szCs w:val="24"/>
          <w:highlight w:val="yellow"/>
        </w:rPr>
      </w:r>
      <w:r w:rsidRPr="00CD5F12">
        <w:rPr>
          <w:rFonts w:ascii="Arial" w:hAnsi="Arial" w:cs="Arial"/>
          <w:sz w:val="24"/>
          <w:szCs w:val="24"/>
          <w:highlight w:val="yellow"/>
        </w:rPr>
        <w:t xml:space="preserve"> petróleo.</w:t>
      </w:r>
      <w:r w:rsidRPr="007C5724">
        <w:rPr>
          <w:rFonts w:ascii="Arial" w:hAnsi="Arial" w:cs="Arial"/>
          <w:sz w:val="24"/>
          <w:szCs w:val="24"/>
        </w:rPr>
        <w:t xml:space="preserve"> Na sua grande maioria os AUP são produzidos por empresas de grande porte. A </w:t>
      </w:r>
      <w:commentRangeStart w:id="6"/>
      <w:r w:rsidRPr="00CD5F12">
        <w:rPr>
          <w:rFonts w:ascii="Arial" w:hAnsi="Arial" w:cs="Arial"/>
          <w:sz w:val="24"/>
          <w:szCs w:val="24"/>
          <w:highlight w:val="yellow"/>
        </w:rPr>
        <w:t>identificação</w:t>
      </w:r>
      <w:commentRangeEnd w:id="6"/>
      <w:r w:rsidR="00CD5F12" w:rsidRPr="00CD5F12">
        <w:rPr>
          <w:rStyle w:val="Refdecomentrio"/>
          <w:rFonts w:ascii="Arial" w:hAnsi="Arial" w:cs="Arial"/>
          <w:sz w:val="24"/>
          <w:szCs w:val="24"/>
          <w:highlight w:val="yellow"/>
        </w:rPr>
      </w:r>
      <w:r w:rsidRPr="00CD5F12">
        <w:rPr>
          <w:rFonts w:ascii="Arial" w:hAnsi="Arial" w:cs="Arial"/>
          <w:sz w:val="24"/>
          <w:szCs w:val="24"/>
          <w:highlight w:val="yellow"/>
        </w:rPr>
        <w:t xml:space="preserve"> desses produtos é simples, basta consultar a lista de ingredientes – a presença de mais de 5 ingredientes</w:t>
      </w:r>
      <w:r w:rsidRPr="007C5724">
        <w:rPr>
          <w:rFonts w:ascii="Arial" w:hAnsi="Arial" w:cs="Arial"/>
          <w:sz w:val="24"/>
          <w:szCs w:val="24"/>
        </w:rPr>
        <w:t xml:space="preserve"> e nomes poucos familiares indicam que este alimento passou pelo processo de ultra processamento</w:t>
      </w:r>
      <w:r w:rsidR="004E119D">
        <w:rPr>
          <w:rFonts w:ascii="Arial" w:hAnsi="Arial" w:cs="Arial"/>
          <w:sz w:val="24"/>
          <w:szCs w:val="24"/>
          <w:vertAlign w:val="superscript"/>
        </w:rPr>
        <w:t>7</w:t>
      </w:r>
      <w:r w:rsidRPr="007C5724">
        <w:rPr>
          <w:rFonts w:ascii="Arial" w:hAnsi="Arial" w:cs="Arial"/>
          <w:sz w:val="24"/>
          <w:szCs w:val="24"/>
        </w:rPr>
        <w:t xml:space="preserve">.  </w:t>
      </w:r>
    </w:p>
    <w:p w14:paraId="6682AC85" w14:textId="79827B93" w:rsidR="005D19E8" w:rsidRPr="007C5724" w:rsidRDefault="005D19E8" w:rsidP="005D19E8">
      <w:pPr>
        <w:ind w:firstLine="708"/>
        <w:jc w:val="both"/>
        <w:rPr>
          <w:rFonts w:ascii="Arial" w:hAnsi="Arial" w:cs="Arial"/>
          <w:sz w:val="24"/>
          <w:szCs w:val="24"/>
        </w:rPr>
      </w:pPr>
      <w:r w:rsidRPr="007C5724">
        <w:rPr>
          <w:rFonts w:ascii="Arial" w:hAnsi="Arial" w:cs="Arial"/>
          <w:sz w:val="24"/>
          <w:szCs w:val="24"/>
        </w:rPr>
        <w:t xml:space="preserve">As grandes </w:t>
      </w:r>
      <w:commentRangeStart w:id="7"/>
      <w:r w:rsidRPr="007C5724">
        <w:rPr>
          <w:rFonts w:ascii="Arial" w:hAnsi="Arial" w:cs="Arial"/>
          <w:sz w:val="24"/>
          <w:szCs w:val="24"/>
        </w:rPr>
        <w:t xml:space="preserve">quantidades de açúcar e gorduras presentes aliados a serem pobres em fibras resultam em excesso de peso </w:t>
      </w:r>
      <w:commentRangeEnd w:id="7"/>
      <w:r w:rsidR="00CD5F12" w:rsidRPr="007C5724">
        <w:rPr>
          <w:rStyle w:val="Refdecomentrio"/>
          <w:rFonts w:ascii="Arial" w:hAnsi="Arial" w:cs="Arial"/>
          <w:sz w:val="24"/>
          <w:szCs w:val="24"/>
        </w:rPr>
      </w:r>
      <w:r w:rsidRPr="007C5724">
        <w:rPr>
          <w:rFonts w:ascii="Arial" w:hAnsi="Arial" w:cs="Arial"/>
          <w:sz w:val="24"/>
          <w:szCs w:val="24"/>
        </w:rPr>
        <w:t>ao longo do tempo de consumo</w:t>
      </w:r>
      <w:r w:rsidR="004E119D">
        <w:rPr>
          <w:rFonts w:ascii="Arial" w:hAnsi="Arial" w:cs="Arial"/>
          <w:sz w:val="24"/>
          <w:szCs w:val="24"/>
          <w:vertAlign w:val="superscript"/>
        </w:rPr>
        <w:t>5</w:t>
      </w:r>
      <w:r w:rsidRPr="007C5724">
        <w:rPr>
          <w:rFonts w:ascii="Arial" w:hAnsi="Arial" w:cs="Arial"/>
          <w:sz w:val="24"/>
          <w:szCs w:val="24"/>
        </w:rPr>
        <w:t>. Estudos apontam que o maior consumo de AUP está relacionado as doenças crônicas não transmissíveis, sendo elas, diabetes mellitus 2, hipertensão arterial crônica e distúrbios gastrointestinais e risco de mortalidade maior por todas as causas</w:t>
      </w:r>
      <w:r w:rsidR="004E119D">
        <w:rPr>
          <w:rFonts w:ascii="Arial" w:hAnsi="Arial" w:cs="Arial"/>
          <w:sz w:val="24"/>
          <w:szCs w:val="24"/>
          <w:vertAlign w:val="superscript"/>
        </w:rPr>
        <w:t>8</w:t>
      </w:r>
      <w:r w:rsidRPr="007C5724">
        <w:rPr>
          <w:rFonts w:ascii="Arial" w:hAnsi="Arial" w:cs="Arial"/>
          <w:sz w:val="24"/>
          <w:szCs w:val="24"/>
        </w:rPr>
        <w:t xml:space="preserve">.    </w:t>
      </w:r>
    </w:p>
    <w:p w14:paraId="3E2167BF" w14:textId="770087DA" w:rsidR="005D19E8" w:rsidRPr="007C5724" w:rsidRDefault="005D19E8" w:rsidP="005D19E8">
      <w:pPr>
        <w:ind w:firstLine="708"/>
        <w:jc w:val="both"/>
        <w:rPr>
          <w:rFonts w:ascii="Arial" w:hAnsi="Arial" w:cs="Arial"/>
          <w:sz w:val="24"/>
          <w:szCs w:val="24"/>
        </w:rPr>
      </w:pPr>
      <w:r w:rsidRPr="007C5724">
        <w:rPr>
          <w:rFonts w:ascii="Arial" w:hAnsi="Arial" w:cs="Arial"/>
          <w:sz w:val="24"/>
          <w:szCs w:val="24"/>
        </w:rPr>
        <w:t>Além dos impactos nutricionais, o consumo de alimentos ultraprocessados também deve ser compreendido a partir das desigualdades territoriais e da organização dos ambientes alimentares. O ambiente alimentar corresponde ao conjunto de condições físicas, econômicas, políticas e socioculturais que influenciam as escolhas alimentares da população, sendo diretamente relacionado ao acesso, disponibilidade e comercialização dos alimentos nos territórios</w:t>
      </w:r>
      <w:r w:rsidR="004E119D">
        <w:rPr>
          <w:rFonts w:ascii="Arial" w:hAnsi="Arial" w:cs="Arial"/>
          <w:sz w:val="24"/>
          <w:szCs w:val="24"/>
          <w:vertAlign w:val="superscript"/>
        </w:rPr>
        <w:t>9</w:t>
      </w:r>
      <w:r w:rsidRPr="007C5724">
        <w:rPr>
          <w:rFonts w:ascii="Arial" w:hAnsi="Arial" w:cs="Arial"/>
          <w:sz w:val="24"/>
          <w:szCs w:val="24"/>
        </w:rPr>
        <w:t xml:space="preserve">. A ciência brasileira </w:t>
      </w:r>
      <w:r w:rsidRPr="007C5724">
        <w:rPr>
          <w:rFonts w:ascii="Arial" w:hAnsi="Arial" w:cs="Arial"/>
          <w:sz w:val="24"/>
          <w:szCs w:val="24"/>
        </w:rPr>
        <w:t xml:space="preserve">mostrou através de evidências cientificas que uma alimentação saudável e livre de </w:t>
      </w:r>
      <w:r w:rsidRPr="00CD5F12">
        <w:rPr>
          <w:rFonts w:ascii="Arial" w:hAnsi="Arial" w:cs="Arial"/>
          <w:sz w:val="24"/>
          <w:szCs w:val="24"/>
          <w:highlight w:val="yellow"/>
        </w:rPr>
        <w:t>AUP</w:t>
      </w:r>
      <w:r w:rsidRPr="007C5724">
        <w:rPr>
          <w:rFonts w:ascii="Arial" w:hAnsi="Arial" w:cs="Arial"/>
          <w:sz w:val="24"/>
          <w:szCs w:val="24"/>
        </w:rPr>
        <w:t xml:space="preserve"> nem sempre é devido a uma escolha individual, do território onde se obtém o alimento ao prato, são atravessadas condições socio estruturais e espaciais que rodeiam milhares de cidadãos brasileiros.</w:t>
      </w:r>
    </w:p>
    <w:p w14:paraId="2295E6C7" w14:textId="142FD61F" w:rsidR="005D19E8" w:rsidRPr="007C5724" w:rsidRDefault="005D19E8" w:rsidP="005D19E8">
      <w:pPr>
        <w:ind w:firstLine="360"/>
        <w:jc w:val="both"/>
        <w:rPr>
          <w:rFonts w:ascii="Arial" w:hAnsi="Arial" w:cs="Arial"/>
          <w:sz w:val="24"/>
          <w:szCs w:val="24"/>
        </w:rPr>
      </w:pPr>
      <w:r w:rsidRPr="007C5724">
        <w:rPr>
          <w:rFonts w:ascii="Arial" w:hAnsi="Arial" w:cs="Arial"/>
          <w:sz w:val="24"/>
          <w:szCs w:val="24"/>
        </w:rPr>
        <w:t>Nesse contexto, a discussão sobre território torna-se essencial para compreender os determinantes sociais da alimentação. Milton Santos propõe o conceito de “território usado”, entendido como um espaço produzido pelas relações sociais, econômicas e políticas, no qual se expressam as desigualdades e disputas do modelo de desenvolvimento capitalista. Assim, os territórios urbanos passam a refletir diferentes possibilidades de acesso à saúde, alimentação e qualidade de vida</w:t>
      </w:r>
      <w:r w:rsidR="004E119D">
        <w:rPr>
          <w:rFonts w:ascii="Arial" w:hAnsi="Arial" w:cs="Arial"/>
          <w:sz w:val="24"/>
          <w:szCs w:val="24"/>
          <w:vertAlign w:val="superscript"/>
        </w:rPr>
        <w:t>10</w:t>
      </w:r>
      <w:r w:rsidRPr="007C5724">
        <w:rPr>
          <w:rFonts w:ascii="Arial" w:hAnsi="Arial" w:cs="Arial"/>
          <w:sz w:val="24"/>
          <w:szCs w:val="24"/>
        </w:rPr>
        <w:t xml:space="preserve">. </w:t>
      </w:r>
    </w:p>
    <w:p w14:paraId="6BC31258" w14:textId="19112465" w:rsidR="005D19E8" w:rsidRPr="007C5724" w:rsidRDefault="005D19E8" w:rsidP="005D19E8">
      <w:pPr>
        <w:ind w:firstLine="360"/>
        <w:jc w:val="both"/>
        <w:rPr>
          <w:rFonts w:ascii="Arial" w:hAnsi="Arial" w:cs="Arial"/>
          <w:sz w:val="24"/>
          <w:szCs w:val="24"/>
        </w:rPr>
      </w:pPr>
      <w:r w:rsidRPr="007C5724">
        <w:rPr>
          <w:rFonts w:ascii="Arial" w:hAnsi="Arial" w:cs="Arial"/>
          <w:sz w:val="24"/>
          <w:szCs w:val="24"/>
        </w:rPr>
        <w:t>A distribuição desigual dos equipamentos urbanos, dos serviços e dos estabelecimentos alimentares evidencia como o território influencia diretamente na formação de ambientes alimentares que geram o risco de adoecimento das populações socialmente vulneráveis</w:t>
      </w:r>
      <w:r w:rsidR="004E119D">
        <w:rPr>
          <w:rFonts w:ascii="Arial" w:hAnsi="Arial" w:cs="Arial"/>
          <w:sz w:val="24"/>
          <w:szCs w:val="24"/>
          <w:vertAlign w:val="superscript"/>
        </w:rPr>
        <w:t>11</w:t>
      </w:r>
      <w:r w:rsidRPr="007C5724">
        <w:rPr>
          <w:rFonts w:ascii="Arial" w:hAnsi="Arial" w:cs="Arial"/>
          <w:sz w:val="24"/>
          <w:szCs w:val="24"/>
        </w:rPr>
        <w:t xml:space="preserve">. Portanto, discutir sobres as características dos ambientes alimentares são fundamentais para se entender as necessidades da população. O objetivo deste estudo foi avaliar a relação entre o ambiente alimentar e o consumo de alimentos ultraprocessados no Brasil, considerando as desigualdades territoriais e socioeconômicas. </w:t>
      </w:r>
    </w:p>
    <w:p w14:paraId="35A3A0B2" w14:textId="77777777" w:rsidR="005D19E8" w:rsidRDefault="005D19E8" w:rsidP="005D19E8">
      <w:pPr>
        <w:jc w:val="both"/>
        <w:rPr>
          <w:rFonts w:ascii="Arial" w:hAnsi="Arial" w:cs="Arial"/>
          <w:sz w:val="28"/>
          <w:szCs w:val="28"/>
        </w:rPr>
      </w:pPr>
    </w:p>
    <w:p w14:paraId="6158A7B3" w14:textId="77777777" w:rsidR="005D19E8" w:rsidRPr="00640403" w:rsidRDefault="005D19E8" w:rsidP="00640403">
      <w:pPr>
        <w:spacing w:line="278" w:lineRule="auto"/>
        <w:rPr>
          <w:rFonts w:ascii="Arial" w:hAnsi="Arial" w:cs="Arial"/>
          <w:b/>
          <w:bCs/>
          <w:sz w:val="24"/>
          <w:szCs w:val="24"/>
        </w:rPr>
      </w:pPr>
      <w:r w:rsidRPr="00640403">
        <w:rPr>
          <w:rFonts w:ascii="Arial" w:hAnsi="Arial" w:cs="Arial"/>
          <w:b/>
          <w:bCs/>
          <w:sz w:val="24"/>
          <w:szCs w:val="24"/>
        </w:rPr>
        <w:t>MÉTODOS</w:t>
      </w:r>
    </w:p>
    <w:p w14:paraId="21267278" w14:textId="77777777" w:rsidR="005D19E8" w:rsidRPr="007C5724" w:rsidRDefault="005D19E8" w:rsidP="005D19E8">
      <w:pPr>
        <w:rPr>
          <w:rFonts w:ascii="Arial" w:hAnsi="Arial" w:cs="Arial"/>
          <w:sz w:val="24"/>
          <w:szCs w:val="24"/>
        </w:rPr>
      </w:pPr>
      <w:r w:rsidRPr="007C5724">
        <w:rPr>
          <w:rFonts w:ascii="Arial" w:hAnsi="Arial" w:cs="Arial"/>
          <w:sz w:val="24"/>
          <w:szCs w:val="24"/>
        </w:rPr>
        <w:t>Trata-se de uma revisão narrativa da literatura, realizada com o objetivo de avaliar a relação entre o ambiente alimentar e o consumo de AUP no território brasileiro, considerando as desigualdades territoriais e socioeconômicas.</w:t>
      </w:r>
    </w:p>
    <w:p w14:paraId="5B022369" w14:textId="0E87B704" w:rsidR="005D19E8" w:rsidRPr="007C5724" w:rsidRDefault="005D19E8" w:rsidP="005D19E8">
      <w:pPr>
        <w:rPr>
          <w:rFonts w:ascii="Arial" w:hAnsi="Arial" w:cs="Arial"/>
          <w:sz w:val="24"/>
          <w:szCs w:val="24"/>
        </w:rPr>
      </w:pPr>
      <w:r w:rsidRPr="007C5724">
        <w:rPr>
          <w:rFonts w:ascii="Arial" w:hAnsi="Arial" w:cs="Arial"/>
          <w:sz w:val="24"/>
          <w:szCs w:val="24"/>
        </w:rPr>
        <w:t xml:space="preserve">As buscas foram coletadas, no período de setembro a abril de 2026, nas bases de dados PubMed, SciELO e no acervo do Núcleo de Pesquisas Epidemiológicas em Nutrição e Saúde (NUPENS), com os descritores “social inequalities”, “social vulnerability”, “food”, “processed”, “ultra processed” usando operador booleano AND. Os critérios de inclusão para esta pesquisa foram: estudos publicados nos últimos 10 anos, artigos originais, estudos que abordassem o consumo de alimentos ultraprocessados relacionado às desigualdades/vulnerabilidades sociais, território ou ambiente alimentar. Foram excluídos artigos de revisão, </w:t>
      </w:r>
      <w:r w:rsidRPr="007C5724">
        <w:rPr>
          <w:rFonts w:ascii="Arial" w:hAnsi="Arial" w:cs="Arial"/>
        </w:rPr>
        <w:t>análises</w:t>
      </w:r>
      <w:r w:rsidRPr="007C5724">
        <w:rPr>
          <w:rFonts w:ascii="Arial" w:hAnsi="Arial" w:cs="Arial"/>
          <w:sz w:val="24"/>
          <w:szCs w:val="24"/>
        </w:rPr>
        <w:t xml:space="preserve">, artigos publicados a mais de 10 anos e artigos que não abordavam temas relacionados a consumo de AUP. </w:t>
      </w:r>
      <w:r w:rsidR="004C48CD">
        <w:rPr>
          <w:rFonts w:ascii="Arial" w:hAnsi="Arial" w:cs="Arial"/>
          <w:sz w:val="24"/>
          <w:szCs w:val="24"/>
        </w:rPr>
        <w:t>Esse</w:t>
      </w:r>
      <w:r w:rsidR="004C48CD" w:rsidRPr="004C48CD">
        <w:rPr>
          <w:rFonts w:ascii="Arial" w:hAnsi="Arial" w:cs="Arial"/>
          <w:sz w:val="24"/>
          <w:szCs w:val="24"/>
        </w:rPr>
        <w:t xml:space="preserve"> trabalho utilizou ferramenta de inteligência artificial generativa como apoio complementar ao processo de escrita, organização e revisão do conteúdo acadêmico. Foi utilizado o modelo GPT-5.5 do ChatGPT Plus, para auxiliar no refinamento da linguagem científica.</w:t>
      </w:r>
    </w:p>
    <w:p w14:paraId="09C70503" w14:textId="3085D778" w:rsidR="005D19E8" w:rsidRPr="007A10A6" w:rsidRDefault="005D19E8" w:rsidP="005D19E8">
      <w:pPr>
        <w:rPr>
          <w:rFonts w:ascii="Arial" w:hAnsi="Arial" w:cs="Arial"/>
          <w:sz w:val="24"/>
          <w:szCs w:val="24"/>
        </w:rPr>
      </w:pPr>
      <w:r w:rsidRPr="007C5724">
        <w:rPr>
          <w:rFonts w:ascii="Arial" w:hAnsi="Arial" w:cs="Arial"/>
          <w:sz w:val="24"/>
          <w:szCs w:val="24"/>
        </w:rPr>
        <w:t xml:space="preserve">As principais características dos estudos incluídos foram organizadas </w:t>
      </w:r>
      <w:r w:rsidR="008D0F52" w:rsidRPr="007C5724">
        <w:rPr>
          <w:rFonts w:ascii="Arial" w:hAnsi="Arial" w:cs="Arial"/>
          <w:sz w:val="24"/>
          <w:szCs w:val="24"/>
        </w:rPr>
        <w:t xml:space="preserve">na </w:t>
      </w:r>
      <w:r w:rsidR="008D0F52">
        <w:rPr>
          <w:rFonts w:ascii="Arial" w:hAnsi="Arial" w:cs="Arial"/>
          <w:sz w:val="24"/>
          <w:szCs w:val="24"/>
        </w:rPr>
        <w:t>figura</w:t>
      </w:r>
      <w:r w:rsidR="00D912B6">
        <w:rPr>
          <w:rFonts w:ascii="Arial" w:hAnsi="Arial" w:cs="Arial"/>
          <w:sz w:val="24"/>
          <w:szCs w:val="24"/>
        </w:rPr>
        <w:t xml:space="preserve"> </w:t>
      </w:r>
      <w:r w:rsidR="007A10A6">
        <w:rPr>
          <w:rFonts w:ascii="Arial" w:hAnsi="Arial" w:cs="Arial"/>
          <w:sz w:val="24"/>
          <w:szCs w:val="24"/>
        </w:rPr>
        <w:t>2</w:t>
      </w:r>
      <w:r w:rsidRPr="007C5724">
        <w:rPr>
          <w:rFonts w:ascii="Arial" w:hAnsi="Arial" w:cs="Arial"/>
          <w:sz w:val="24"/>
          <w:szCs w:val="24"/>
        </w:rPr>
        <w:t>.</w:t>
      </w:r>
    </w:p>
    <w:p w14:paraId="0C5DF86F" w14:textId="77777777" w:rsidR="00640403" w:rsidRDefault="00640403" w:rsidP="00640403">
      <w:pPr>
        <w:spacing w:line="278" w:lineRule="auto"/>
        <w:rPr>
          <w:rFonts w:ascii="Arial" w:hAnsi="Arial" w:cs="Arial"/>
          <w:b/>
          <w:bCs/>
          <w:sz w:val="24"/>
          <w:szCs w:val="24"/>
        </w:rPr>
      </w:pPr>
    </w:p>
    <w:p w14:paraId="5EECD8A3" w14:textId="39870880" w:rsidR="005D19E8" w:rsidRPr="00640403" w:rsidRDefault="005D19E8" w:rsidP="00640403">
      <w:pPr>
        <w:spacing w:line="278" w:lineRule="auto"/>
        <w:rPr>
          <w:rFonts w:ascii="Arial" w:hAnsi="Arial" w:cs="Arial"/>
          <w:b/>
          <w:bCs/>
          <w:sz w:val="24"/>
          <w:szCs w:val="24"/>
        </w:rPr>
      </w:pPr>
      <w:r w:rsidRPr="00640403">
        <w:rPr>
          <w:rFonts w:ascii="Arial" w:hAnsi="Arial" w:cs="Arial"/>
          <w:b/>
          <w:bCs/>
          <w:sz w:val="24"/>
          <w:szCs w:val="24"/>
        </w:rPr>
        <w:t>RESULTADOS:</w:t>
      </w:r>
    </w:p>
    <w:p w14:paraId="3F3FDBD4" w14:textId="77777777" w:rsidR="005D19E8" w:rsidRPr="007C5724" w:rsidRDefault="005D19E8" w:rsidP="005D19E8">
      <w:pPr>
        <w:ind w:firstLine="360"/>
        <w:rPr>
          <w:rFonts w:ascii="Arial" w:hAnsi="Arial" w:cs="Arial"/>
          <w:sz w:val="24"/>
          <w:szCs w:val="24"/>
        </w:rPr>
      </w:pPr>
      <w:commentRangeStart w:id="8"/>
      <w:r w:rsidRPr="007C5724">
        <w:rPr>
          <w:rFonts w:ascii="Arial" w:hAnsi="Arial" w:cs="Arial"/>
          <w:sz w:val="24"/>
          <w:szCs w:val="24"/>
        </w:rPr>
        <w:t>Dos 17 estudos incluídos nesta revisão (Figura 1), 88,2% foram realizados no Brasil, sendo de interesse principal entender a realidade do território brasileiro. E 9 dos 17 estudos analisados são pesquisas em populações de baixa renda.</w:t>
      </w:r>
    </w:p>
    <w:p w14:paraId="0FE11C1A" w14:textId="77777777" w:rsidR="005D19E8" w:rsidRPr="007C5724" w:rsidRDefault="005D19E8" w:rsidP="005D19E8">
      <w:pPr>
        <w:rPr>
          <w:rFonts w:ascii="Arial" w:hAnsi="Arial" w:cs="Arial"/>
          <w:sz w:val="24"/>
          <w:szCs w:val="24"/>
        </w:rPr>
      </w:pPr>
      <w:r w:rsidRPr="007C5724">
        <w:rPr>
          <w:rFonts w:ascii="Arial" w:hAnsi="Arial" w:cs="Arial"/>
          <w:sz w:val="24"/>
          <w:szCs w:val="24"/>
        </w:rPr>
        <w:t>Nesta revisão foram avaliadas 7.483.033 pessoas, 6.187 bairros e 31.848 estabelecimentos de alimentos</w:t>
      </w:r>
    </w:p>
    <w:p w14:paraId="49FFBAE1" w14:textId="4DF9A5B6" w:rsidR="005D19E8" w:rsidRPr="007C5724" w:rsidRDefault="005D19E8" w:rsidP="005D19E8">
      <w:pPr>
        <w:ind w:firstLine="708"/>
        <w:rPr>
          <w:rFonts w:ascii="Arial" w:hAnsi="Arial" w:cs="Arial"/>
          <w:sz w:val="24"/>
          <w:szCs w:val="24"/>
        </w:rPr>
      </w:pPr>
      <w:r w:rsidRPr="007C5724">
        <w:rPr>
          <w:rFonts w:ascii="Arial" w:hAnsi="Arial" w:cs="Arial"/>
          <w:sz w:val="24"/>
          <w:szCs w:val="24"/>
        </w:rPr>
        <w:t>Os estudos que analisaram os bairros (SC) urbanos identificaram elevada presença de desertos e pântanos alimentares nas cidades brasileiras. Em Belo Horizonte (MG), cerca de 80% dos bairros foram classificados como desertos ou pântanos alimentares</w:t>
      </w:r>
      <w:r w:rsidR="008D0F52">
        <w:rPr>
          <w:rFonts w:ascii="Arial" w:hAnsi="Arial" w:cs="Arial"/>
          <w:sz w:val="24"/>
          <w:szCs w:val="24"/>
          <w:vertAlign w:val="superscript"/>
        </w:rPr>
        <w:t>12</w:t>
      </w:r>
      <w:r w:rsidRPr="007C5724">
        <w:rPr>
          <w:rFonts w:ascii="Arial" w:hAnsi="Arial" w:cs="Arial"/>
          <w:sz w:val="24"/>
          <w:szCs w:val="24"/>
        </w:rPr>
        <w:t xml:space="preserve">.  Outro </w:t>
      </w:r>
      <w:commentRangeEnd w:id="8"/>
      <w:r w:rsidR="00CD5F12" w:rsidRPr="007C5724">
        <w:rPr>
          <w:rStyle w:val="Refdecomentrio"/>
          <w:rFonts w:ascii="Arial" w:hAnsi="Arial" w:cs="Arial"/>
          <w:sz w:val="24"/>
          <w:szCs w:val="24"/>
        </w:rPr>
      </w:r>
      <w:r w:rsidRPr="007C5724">
        <w:rPr>
          <w:rFonts w:ascii="Arial" w:hAnsi="Arial" w:cs="Arial"/>
          <w:sz w:val="24"/>
          <w:szCs w:val="24"/>
        </w:rPr>
        <w:t>estudo em Belo horizonte aponta que de 132 SC localizados em favelas 41,67% eram desertos alimentares</w:t>
      </w:r>
      <w:r w:rsidR="008D0F52">
        <w:rPr>
          <w:rFonts w:ascii="Arial" w:hAnsi="Arial" w:cs="Arial"/>
          <w:sz w:val="24"/>
          <w:szCs w:val="24"/>
          <w:vertAlign w:val="superscript"/>
        </w:rPr>
        <w:t>13</w:t>
      </w:r>
      <w:r w:rsidRPr="007C5724">
        <w:rPr>
          <w:rFonts w:ascii="Arial" w:hAnsi="Arial" w:cs="Arial"/>
          <w:sz w:val="24"/>
          <w:szCs w:val="24"/>
        </w:rPr>
        <w:t>. Evidências apresentaram que dentre 81 regiões urbanas de Belo Horizonte, apenas 9,4% dos estabelecimentos comercializavam AUP foram 35,2%. Ambos os estudos indicaram que o ambiente alimentar desfavorável pode contribuir para doenças crônicas não transmissíveis, sendo os desertos alimentares mais prevalentes em regiões com maior Índice de Vulnerabilidade Social (IVS)</w:t>
      </w:r>
      <w:r w:rsidR="008D0F52">
        <w:rPr>
          <w:rFonts w:ascii="Arial" w:hAnsi="Arial" w:cs="Arial"/>
          <w:sz w:val="24"/>
          <w:szCs w:val="24"/>
          <w:vertAlign w:val="superscript"/>
        </w:rPr>
        <w:t>14</w:t>
      </w:r>
      <w:r w:rsidRPr="007C5724">
        <w:rPr>
          <w:rFonts w:ascii="Arial" w:hAnsi="Arial" w:cs="Arial"/>
          <w:sz w:val="24"/>
          <w:szCs w:val="24"/>
        </w:rPr>
        <w:t>.</w:t>
      </w:r>
    </w:p>
    <w:p w14:paraId="72B134BC" w14:textId="5F17AB73" w:rsidR="005D19E8" w:rsidRPr="007C5724" w:rsidRDefault="005D19E8" w:rsidP="005D19E8">
      <w:pPr>
        <w:ind w:firstLine="708"/>
        <w:rPr>
          <w:rFonts w:ascii="Arial" w:hAnsi="Arial" w:cs="Arial"/>
          <w:sz w:val="24"/>
          <w:szCs w:val="24"/>
        </w:rPr>
      </w:pPr>
      <w:r w:rsidRPr="007C5724">
        <w:rPr>
          <w:rFonts w:ascii="Arial" w:hAnsi="Arial" w:cs="Arial"/>
          <w:sz w:val="24"/>
          <w:szCs w:val="24"/>
        </w:rPr>
        <w:t>Em Recife (PE), uma pesquisa realizada com 1376 SC mostrou que 50% apresentavam alto Índice de Vulnerabilidade à Saúde (HVI)</w:t>
      </w:r>
      <w:r w:rsidR="008D0F52">
        <w:rPr>
          <w:rFonts w:ascii="Arial" w:hAnsi="Arial" w:cs="Arial"/>
          <w:sz w:val="24"/>
          <w:szCs w:val="24"/>
          <w:vertAlign w:val="superscript"/>
        </w:rPr>
        <w:t>15</w:t>
      </w:r>
      <w:r w:rsidRPr="007C5724">
        <w:rPr>
          <w:rFonts w:ascii="Arial" w:hAnsi="Arial" w:cs="Arial"/>
          <w:sz w:val="24"/>
          <w:szCs w:val="24"/>
        </w:rPr>
        <w:t>. Ao avaliar 20.199 varejistas em recife, 28,5% dos bairros foram caracterizados como desertos alimentares e foi evidenciado que os residentes destes desertos alimentares eram majoritariamente indivíduos com menor escolaridade e maior concentração de pessoas negras, pardas e indígenas</w:t>
      </w:r>
      <w:r w:rsidR="008D0F52">
        <w:rPr>
          <w:rFonts w:ascii="Arial" w:hAnsi="Arial" w:cs="Arial"/>
          <w:sz w:val="24"/>
          <w:szCs w:val="24"/>
          <w:vertAlign w:val="superscript"/>
        </w:rPr>
        <w:t>16</w:t>
      </w:r>
      <w:r w:rsidRPr="007C5724">
        <w:rPr>
          <w:rFonts w:ascii="Arial" w:hAnsi="Arial" w:cs="Arial"/>
          <w:sz w:val="24"/>
          <w:szCs w:val="24"/>
        </w:rPr>
        <w:t xml:space="preserve">. </w:t>
      </w:r>
    </w:p>
    <w:p w14:paraId="1340F8D3" w14:textId="1F68B03C" w:rsidR="005D19E8" w:rsidRPr="007C5724" w:rsidRDefault="005D19E8" w:rsidP="005D19E8">
      <w:pPr>
        <w:rPr>
          <w:rFonts w:ascii="Arial" w:hAnsi="Arial" w:cs="Arial"/>
          <w:sz w:val="24"/>
          <w:szCs w:val="24"/>
        </w:rPr>
      </w:pPr>
      <w:r w:rsidRPr="007C5724">
        <w:rPr>
          <w:rFonts w:ascii="Arial" w:hAnsi="Arial" w:cs="Arial"/>
          <w:sz w:val="24"/>
          <w:szCs w:val="24"/>
        </w:rPr>
        <w:t>Ainda na região Nordeste, em Maceió (AL), um estudo realizado com 1.882 mulheres residentes em favelas e 624 estabelecimentos alimentares identificou que 75,8% das participantes viviam em situação de pobreza e 65,7% dos comércios avaliados comercializavam predominantemente alimentos ultraprocessados. Foi apresentado que o consumo de AUP era favorecido devido ao baixo custo desses produtos e à elevada disponibilidade nos estabelecimentos locais, considerando</w:t>
      </w:r>
      <w:r w:rsidR="0053320D">
        <w:rPr>
          <w:rFonts w:ascii="Arial" w:hAnsi="Arial" w:cs="Arial"/>
          <w:sz w:val="24"/>
          <w:szCs w:val="24"/>
          <w:vertAlign w:val="superscript"/>
        </w:rPr>
        <w:t>17</w:t>
      </w:r>
      <w:r w:rsidRPr="007C5724">
        <w:rPr>
          <w:rFonts w:ascii="Arial" w:hAnsi="Arial" w:cs="Arial"/>
          <w:sz w:val="24"/>
          <w:szCs w:val="24"/>
        </w:rPr>
        <w:t>.</w:t>
      </w:r>
    </w:p>
    <w:p w14:paraId="3E96791D" w14:textId="63A3116B" w:rsidR="005D19E8" w:rsidRPr="007C5724" w:rsidRDefault="005D19E8" w:rsidP="005D19E8">
      <w:pPr>
        <w:ind w:firstLine="708"/>
        <w:rPr>
          <w:rFonts w:ascii="Arial" w:hAnsi="Arial" w:cs="Arial"/>
          <w:sz w:val="24"/>
          <w:szCs w:val="24"/>
        </w:rPr>
      </w:pPr>
      <w:r w:rsidRPr="007C5724">
        <w:rPr>
          <w:rFonts w:ascii="Arial" w:hAnsi="Arial" w:cs="Arial"/>
          <w:sz w:val="24"/>
          <w:szCs w:val="24"/>
        </w:rPr>
        <w:t>Na cidade de São Paulo (SP), ao analisar 19 estações de metrô, pesquisadores observaram que 86,5% dos estabelecimentos ofertavam alimentos ultraprocessados, enquanto apenas 36,5% disponibilizavam frutas</w:t>
      </w:r>
      <w:r w:rsidR="0053320D">
        <w:rPr>
          <w:rFonts w:ascii="Arial" w:hAnsi="Arial" w:cs="Arial"/>
          <w:sz w:val="24"/>
          <w:szCs w:val="24"/>
          <w:vertAlign w:val="superscript"/>
        </w:rPr>
        <w:t>18</w:t>
      </w:r>
      <w:r w:rsidRPr="007C5724">
        <w:rPr>
          <w:rFonts w:ascii="Arial" w:hAnsi="Arial" w:cs="Arial"/>
          <w:sz w:val="24"/>
          <w:szCs w:val="24"/>
        </w:rPr>
        <w:t>. Os autores destacam que regiões de menor nível socioeconômico apresentam maior acessibilidade a alimentos ultraprocessados</w:t>
      </w:r>
      <w:r w:rsidR="0053320D">
        <w:rPr>
          <w:rFonts w:ascii="Arial" w:hAnsi="Arial" w:cs="Arial"/>
          <w:sz w:val="24"/>
          <w:szCs w:val="24"/>
          <w:vertAlign w:val="superscript"/>
        </w:rPr>
        <w:t>18</w:t>
      </w:r>
      <w:r w:rsidRPr="007C5724">
        <w:rPr>
          <w:rFonts w:ascii="Arial" w:hAnsi="Arial" w:cs="Arial"/>
          <w:sz w:val="24"/>
          <w:szCs w:val="24"/>
        </w:rPr>
        <w:t>.</w:t>
      </w:r>
    </w:p>
    <w:p w14:paraId="2DB12BCC" w14:textId="5326EEBA" w:rsidR="005D19E8" w:rsidRPr="007C5724" w:rsidRDefault="005D19E8" w:rsidP="005D19E8">
      <w:pPr>
        <w:ind w:firstLine="708"/>
        <w:rPr>
          <w:rFonts w:ascii="Arial" w:hAnsi="Arial" w:cs="Arial"/>
          <w:sz w:val="24"/>
          <w:szCs w:val="24"/>
        </w:rPr>
      </w:pPr>
      <w:r w:rsidRPr="007C5724">
        <w:rPr>
          <w:rFonts w:ascii="Arial" w:hAnsi="Arial" w:cs="Arial"/>
          <w:sz w:val="24"/>
          <w:szCs w:val="24"/>
        </w:rPr>
        <w:t>Além da capital paulista, estudos realizados no interior do estado de São Paulo, nos municípios de Campinas e Jundiaí, também evidenciaram associação entre vulnerabilidade social e maior exposição a AUP</w:t>
      </w:r>
      <w:r w:rsidR="0053320D">
        <w:rPr>
          <w:rFonts w:ascii="Arial" w:hAnsi="Arial" w:cs="Arial"/>
          <w:sz w:val="24"/>
          <w:szCs w:val="24"/>
          <w:vertAlign w:val="superscript"/>
        </w:rPr>
        <w:t>19,20</w:t>
      </w:r>
      <w:r w:rsidRPr="007C5724">
        <w:rPr>
          <w:rFonts w:ascii="Arial" w:hAnsi="Arial" w:cs="Arial"/>
          <w:sz w:val="24"/>
          <w:szCs w:val="24"/>
        </w:rPr>
        <w:t>. Em Campinas, regiões de menor nível econômico apresentaram maior disponibilidade e acessibilidade a AUP em comparação aos alimentos in natura</w:t>
      </w:r>
      <w:r w:rsidR="0053320D">
        <w:rPr>
          <w:rFonts w:ascii="Arial" w:hAnsi="Arial" w:cs="Arial"/>
          <w:sz w:val="24"/>
          <w:szCs w:val="24"/>
          <w:vertAlign w:val="superscript"/>
        </w:rPr>
        <w:t>19</w:t>
      </w:r>
      <w:r w:rsidRPr="007C5724">
        <w:rPr>
          <w:rFonts w:ascii="Arial" w:hAnsi="Arial" w:cs="Arial"/>
          <w:sz w:val="24"/>
          <w:szCs w:val="24"/>
        </w:rPr>
        <w:t>. Em Jundiaí, ao analisar 683 bairros distribuídos em 74 bairros, identificaram que indivíduos socialmente desfavorecidos possuíam acesso facilitado ao consumo de alimentos não saudáveis</w:t>
      </w:r>
      <w:r w:rsidR="009843D8">
        <w:rPr>
          <w:rFonts w:ascii="Arial" w:hAnsi="Arial" w:cs="Arial"/>
          <w:sz w:val="24"/>
          <w:szCs w:val="24"/>
          <w:vertAlign w:val="superscript"/>
        </w:rPr>
        <w:t>20</w:t>
      </w:r>
      <w:r w:rsidRPr="007C5724">
        <w:rPr>
          <w:rFonts w:ascii="Arial" w:hAnsi="Arial" w:cs="Arial"/>
          <w:sz w:val="24"/>
          <w:szCs w:val="24"/>
        </w:rPr>
        <w:t>.</w:t>
      </w:r>
    </w:p>
    <w:p w14:paraId="00E9F7EC" w14:textId="2DF50EC1" w:rsidR="005D19E8" w:rsidRPr="007C5724" w:rsidRDefault="005D19E8" w:rsidP="005D19E8">
      <w:pPr>
        <w:ind w:firstLine="708"/>
        <w:rPr>
          <w:rFonts w:ascii="Arial" w:hAnsi="Arial" w:cs="Arial"/>
          <w:sz w:val="24"/>
          <w:szCs w:val="24"/>
        </w:rPr>
      </w:pPr>
      <w:r w:rsidRPr="007C5724">
        <w:rPr>
          <w:rFonts w:ascii="Arial" w:hAnsi="Arial" w:cs="Arial"/>
          <w:sz w:val="24"/>
          <w:szCs w:val="24"/>
        </w:rPr>
        <w:t xml:space="preserve">Em âmbito nacional, os estudos identificaram associação entre vulnerabilidade social e consumo alimentar inadequado. Observou-se que o consumo de alimentos ultraprocessados foi mais frequente entre indivíduos de </w:t>
      </w:r>
      <w:r w:rsidRPr="007C5724">
        <w:rPr>
          <w:rFonts w:ascii="Arial" w:hAnsi="Arial" w:cs="Arial"/>
          <w:sz w:val="24"/>
          <w:szCs w:val="24"/>
        </w:rPr>
        <w:t>menor renda, escolaridade reduzida e baixo acesso a alimentos in natura ou minimamente processados</w:t>
      </w:r>
      <w:r w:rsidR="009843D8">
        <w:rPr>
          <w:rFonts w:ascii="Arial" w:hAnsi="Arial" w:cs="Arial"/>
          <w:sz w:val="24"/>
          <w:szCs w:val="24"/>
          <w:vertAlign w:val="superscript"/>
        </w:rPr>
        <w:t>21</w:t>
      </w:r>
      <w:r w:rsidRPr="007C5724">
        <w:rPr>
          <w:rFonts w:ascii="Arial" w:hAnsi="Arial" w:cs="Arial"/>
          <w:sz w:val="24"/>
          <w:szCs w:val="24"/>
        </w:rPr>
        <w:t>. Em diversos estudos, o consumo de alimentos in natura/minimamente processados foi maior em adultos e adolescentes que se caracterizavam com renda elevada</w:t>
      </w:r>
      <w:r w:rsidR="009843D8">
        <w:rPr>
          <w:rFonts w:ascii="Arial" w:hAnsi="Arial" w:cs="Arial"/>
          <w:sz w:val="24"/>
          <w:szCs w:val="24"/>
          <w:vertAlign w:val="superscript"/>
        </w:rPr>
        <w:t>22</w:t>
      </w:r>
      <w:r w:rsidRPr="007C5724">
        <w:rPr>
          <w:rFonts w:ascii="Arial" w:hAnsi="Arial" w:cs="Arial"/>
          <w:sz w:val="24"/>
          <w:szCs w:val="24"/>
        </w:rPr>
        <w:t>. Ao avaliarem a percepção de moradores de favelas brasileiras sobre o ambiente alimentar, foi identificado que a limitação do acesso à alimentação saudável estava diretamente relacionada à renda insuficiente, sendo que 60% dos participantes eram autodeclarados pretos, pardos ou indígenas</w:t>
      </w:r>
      <w:r w:rsidR="009843D8">
        <w:rPr>
          <w:rFonts w:ascii="Arial" w:hAnsi="Arial" w:cs="Arial"/>
          <w:sz w:val="24"/>
          <w:szCs w:val="24"/>
          <w:vertAlign w:val="superscript"/>
        </w:rPr>
        <w:t>23</w:t>
      </w:r>
      <w:r w:rsidRPr="007C5724">
        <w:rPr>
          <w:rFonts w:ascii="Arial" w:hAnsi="Arial" w:cs="Arial"/>
          <w:sz w:val="24"/>
          <w:szCs w:val="24"/>
        </w:rPr>
        <w:t>.</w:t>
      </w:r>
    </w:p>
    <w:p w14:paraId="2AD8BECD" w14:textId="50B1AC2D" w:rsidR="005D19E8" w:rsidRPr="007C5724" w:rsidRDefault="005D19E8" w:rsidP="005D19E8">
      <w:pPr>
        <w:ind w:firstLine="360"/>
        <w:rPr>
          <w:rFonts w:ascii="Arial" w:hAnsi="Arial" w:cs="Arial"/>
          <w:sz w:val="24"/>
          <w:szCs w:val="24"/>
        </w:rPr>
      </w:pPr>
      <w:r w:rsidRPr="007C5724">
        <w:rPr>
          <w:rFonts w:ascii="Arial" w:hAnsi="Arial" w:cs="Arial"/>
          <w:sz w:val="24"/>
          <w:szCs w:val="24"/>
        </w:rPr>
        <w:t>Corroborando esses achados, a Pesquisa de Orçamentos Familiares (POF 2017–2018) ao analisar 57.920 famílias, também evidenciou que indivíduos com menor renda apresentaram maior consumo de AUP, demonstrando relação entre vulnerabilidade econômica, baixa escolaridade e padrão alimentar inadequado</w:t>
      </w:r>
      <w:r w:rsidR="009843D8">
        <w:rPr>
          <w:rFonts w:ascii="Arial" w:hAnsi="Arial" w:cs="Arial"/>
          <w:sz w:val="24"/>
          <w:szCs w:val="24"/>
          <w:vertAlign w:val="superscript"/>
        </w:rPr>
        <w:t>24</w:t>
      </w:r>
      <w:r w:rsidRPr="007C5724">
        <w:rPr>
          <w:rFonts w:ascii="Arial" w:hAnsi="Arial" w:cs="Arial"/>
          <w:sz w:val="24"/>
          <w:szCs w:val="24"/>
        </w:rPr>
        <w:t>. Além disso, avaliando a escolaridade, 61% dos indivíduos tinham até 8 anos de estudo. De forma semelhante, os dados da Vigilância de Fatores de Risco e Proteção para Doenças Crônicas por Inquérito Telefônico (Vigitel), também mostraram maior prevalência de excesso de peso entre indivíduos com menor escolaridade, reforçando a influência do acesso desigual a informação sobre os hábitos alimentares da população brasileir</w:t>
      </w:r>
      <w:r w:rsidR="009843D8">
        <w:rPr>
          <w:rFonts w:ascii="Arial" w:hAnsi="Arial" w:cs="Arial"/>
          <w:sz w:val="24"/>
          <w:szCs w:val="24"/>
        </w:rPr>
        <w:t>a</w:t>
      </w:r>
      <w:r w:rsidR="009843D8">
        <w:rPr>
          <w:rFonts w:ascii="Arial" w:hAnsi="Arial" w:cs="Arial"/>
          <w:sz w:val="24"/>
          <w:szCs w:val="24"/>
          <w:vertAlign w:val="superscript"/>
        </w:rPr>
        <w:t>25</w:t>
      </w:r>
      <w:r w:rsidRPr="007C5724">
        <w:rPr>
          <w:rFonts w:ascii="Arial" w:hAnsi="Arial" w:cs="Arial"/>
          <w:sz w:val="24"/>
          <w:szCs w:val="24"/>
        </w:rPr>
        <w:t>.</w:t>
      </w:r>
    </w:p>
    <w:p w14:paraId="581C7C70" w14:textId="77777777" w:rsidR="005D19E8" w:rsidRPr="007C5724" w:rsidRDefault="005D19E8" w:rsidP="005D19E8">
      <w:pPr>
        <w:rPr>
          <w:rFonts w:ascii="Arial" w:hAnsi="Arial" w:cs="Arial"/>
          <w:sz w:val="24"/>
          <w:szCs w:val="24"/>
        </w:rPr>
      </w:pPr>
    </w:p>
    <w:p w14:paraId="57DEC258" w14:textId="77777777" w:rsidR="005D19E8" w:rsidRPr="00640403" w:rsidRDefault="005D19E8" w:rsidP="00640403">
      <w:pPr>
        <w:spacing w:line="278" w:lineRule="auto"/>
        <w:rPr>
          <w:rFonts w:ascii="Arial" w:hAnsi="Arial" w:cs="Arial"/>
          <w:b/>
          <w:bCs/>
          <w:sz w:val="24"/>
          <w:szCs w:val="24"/>
        </w:rPr>
      </w:pPr>
      <w:r w:rsidRPr="00640403">
        <w:rPr>
          <w:rFonts w:ascii="Arial" w:hAnsi="Arial" w:cs="Arial"/>
          <w:b/>
          <w:bCs/>
          <w:sz w:val="24"/>
          <w:szCs w:val="24"/>
        </w:rPr>
        <w:t>DISCUSSÃO</w:t>
      </w:r>
    </w:p>
    <w:p w14:paraId="17D29079" w14:textId="15A9460F" w:rsidR="005D19E8" w:rsidRPr="007C5724" w:rsidRDefault="005D19E8" w:rsidP="005D19E8">
      <w:pPr>
        <w:spacing w:line="278" w:lineRule="auto"/>
        <w:ind w:firstLine="709"/>
        <w:rPr>
          <w:rFonts w:ascii="Arial" w:hAnsi="Arial" w:cs="Arial"/>
          <w:sz w:val="24"/>
          <w:szCs w:val="24"/>
        </w:rPr>
      </w:pPr>
      <w:r w:rsidRPr="007C5724">
        <w:rPr>
          <w:rFonts w:ascii="Arial" w:hAnsi="Arial" w:cs="Arial"/>
          <w:sz w:val="24"/>
          <w:szCs w:val="24"/>
        </w:rPr>
        <w:t>O presente estudo reforça que a alimentação no Brasil não pode ser compreendida exclusivamente como resultado de escolhas individuais. O território onde os indivíduos vivem exerce influência direta sobre os padrões alimentares e as condições de saúde, uma vez que o conceito de território ultrapassa a dimensão geográfica e física, sendo compreendido como um espaço socialmente produzido e atravessado por relações econômicas, políticas, culturais e históricas</w:t>
      </w:r>
      <w:r w:rsidR="009843D8">
        <w:rPr>
          <w:rFonts w:ascii="Arial" w:hAnsi="Arial" w:cs="Arial"/>
          <w:sz w:val="24"/>
          <w:szCs w:val="24"/>
          <w:vertAlign w:val="superscript"/>
        </w:rPr>
        <w:t>26,27</w:t>
      </w:r>
      <w:r w:rsidRPr="007C5724">
        <w:rPr>
          <w:rFonts w:ascii="Arial" w:hAnsi="Arial" w:cs="Arial"/>
          <w:sz w:val="24"/>
          <w:szCs w:val="24"/>
        </w:rPr>
        <w:t>. Nessa perspectiva, o território não se limita ao espaço de moradia, mas representa o local onde se expressam desigualdades sociais, acesso ou privação de direitos, infraestrutura urbana, oportunidades econômicas e condições de vida. Assim, os ambientes alimentares inserem-se como parte constitutiva do território, refletindo as dinâmicas de poder, renda, mobilidade urbana, disponibilidade de alimentos e atuação das políticas públicas. Dessa forma, compreender o território torna-se fundamental para analisar como desigualdades estruturais influenciam o acesso à alimentação adequada e saudável, especialmente entre populações socialmente vulnerabilizadas.</w:t>
      </w:r>
    </w:p>
    <w:p w14:paraId="03FD3805" w14:textId="4A20D288" w:rsidR="005D19E8" w:rsidRPr="007C5724" w:rsidRDefault="005D19E8" w:rsidP="005D19E8">
      <w:pPr>
        <w:spacing w:line="278" w:lineRule="auto"/>
        <w:ind w:firstLine="709"/>
        <w:rPr>
          <w:rFonts w:ascii="Arial" w:hAnsi="Arial" w:cs="Arial"/>
          <w:sz w:val="24"/>
          <w:szCs w:val="24"/>
        </w:rPr>
      </w:pPr>
      <w:r w:rsidRPr="007C5724">
        <w:rPr>
          <w:rFonts w:ascii="Arial" w:hAnsi="Arial" w:cs="Arial"/>
          <w:sz w:val="24"/>
          <w:szCs w:val="24"/>
        </w:rPr>
        <w:t xml:space="preserve">Os resultados encontrados evidenciam que a vulnerabilidade social associada à baixa renda constitui um importante fator relacionado ao maior consumo de AUP, além de aumentar a exposição de populações vulneráveis aos desertos alimentares. Os ambientes alimentares acompanham as desigualdades sociais por meio das condições de disponibilidade e acessibilidade aos alimentos. A disponibilidade refere-se à oferta, variedade e qualidade dos alimentos presentes nos estabelecimentos comerciais, enquanto a acessibilidade envolve tanto o acesso </w:t>
      </w:r>
      <w:r w:rsidRPr="007C5724">
        <w:rPr>
          <w:rFonts w:ascii="Arial" w:hAnsi="Arial" w:cs="Arial"/>
          <w:sz w:val="24"/>
          <w:szCs w:val="24"/>
        </w:rPr>
        <w:t>econômico quanto a proximidade física e territorial desses estabelecimentos em relação aos indivíduos</w:t>
      </w:r>
      <w:r w:rsidR="009843D8">
        <w:rPr>
          <w:rFonts w:ascii="Arial" w:hAnsi="Arial" w:cs="Arial"/>
          <w:sz w:val="24"/>
          <w:szCs w:val="24"/>
          <w:vertAlign w:val="superscript"/>
        </w:rPr>
        <w:t>9</w:t>
      </w:r>
      <w:r w:rsidRPr="007C5724">
        <w:rPr>
          <w:rFonts w:ascii="Arial" w:hAnsi="Arial" w:cs="Arial"/>
          <w:sz w:val="24"/>
          <w:szCs w:val="24"/>
        </w:rPr>
        <w:t>.</w:t>
      </w:r>
    </w:p>
    <w:p w14:paraId="245AC4ED" w14:textId="4354DC44" w:rsidR="005D19E8" w:rsidRPr="007C5724" w:rsidRDefault="005D19E8" w:rsidP="005D19E8">
      <w:pPr>
        <w:spacing w:line="278" w:lineRule="auto"/>
        <w:ind w:firstLine="709"/>
        <w:rPr>
          <w:rFonts w:ascii="Arial" w:hAnsi="Arial" w:cs="Arial"/>
          <w:sz w:val="24"/>
          <w:szCs w:val="24"/>
        </w:rPr>
      </w:pPr>
      <w:r w:rsidRPr="007C5724">
        <w:rPr>
          <w:rFonts w:ascii="Arial" w:hAnsi="Arial" w:cs="Arial"/>
          <w:sz w:val="24"/>
          <w:szCs w:val="24"/>
        </w:rPr>
        <w:t>Nesse cenário, os desertos alimentares são definidos na literatura como territórios nos quais há baixa disponibilidade, limitada oferta e difícil acesso físico e econômico a alimentos in natura ou minimamente processados, especialmente frutas, verduras, legumes e outros alimentos saudáveis</w:t>
      </w:r>
      <w:r w:rsidR="009843D8">
        <w:rPr>
          <w:rFonts w:ascii="Arial" w:hAnsi="Arial" w:cs="Arial"/>
          <w:sz w:val="24"/>
          <w:szCs w:val="24"/>
          <w:vertAlign w:val="superscript"/>
        </w:rPr>
        <w:t>28</w:t>
      </w:r>
      <w:r w:rsidRPr="007C5724">
        <w:rPr>
          <w:rFonts w:ascii="Arial" w:hAnsi="Arial" w:cs="Arial"/>
          <w:sz w:val="24"/>
          <w:szCs w:val="24"/>
        </w:rPr>
        <w:t>. Essas áreas são caracterizadas pela escassez ou ausência de estabelecimentos que comercializam alimentos frescos e de qualidade, como feiras livres, mercados públicos e supermercados com adequada oferta de alimentos saudáveis, afetando principalmente populações socialmente vulneráveis residentes em periferias urbanas, favelas e regiões marcadas pela pobreza e exclusão social</w:t>
      </w:r>
      <w:r w:rsidR="009843D8">
        <w:rPr>
          <w:rFonts w:ascii="Arial" w:hAnsi="Arial" w:cs="Arial"/>
          <w:sz w:val="24"/>
          <w:szCs w:val="24"/>
          <w:vertAlign w:val="superscript"/>
        </w:rPr>
        <w:t>13</w:t>
      </w:r>
      <w:r w:rsidRPr="007C5724">
        <w:rPr>
          <w:rFonts w:ascii="Arial" w:hAnsi="Arial" w:cs="Arial"/>
          <w:sz w:val="24"/>
          <w:szCs w:val="24"/>
        </w:rPr>
        <w:t>. Além da distância física desses estabelecimentos, fatores como baixa renda, precariedade do transporte público e desigualdades territoriais também dificultam o acesso regular à alimentação adequada, tornando os desertos alimentares expressão das iniquidades sociais e urbanas</w:t>
      </w:r>
      <w:r w:rsidR="009843D8">
        <w:rPr>
          <w:rFonts w:ascii="Arial" w:hAnsi="Arial" w:cs="Arial"/>
          <w:sz w:val="24"/>
          <w:szCs w:val="24"/>
          <w:vertAlign w:val="superscript"/>
        </w:rPr>
        <w:t>28</w:t>
      </w:r>
      <w:r w:rsidRPr="007C5724">
        <w:rPr>
          <w:rFonts w:ascii="Arial" w:hAnsi="Arial" w:cs="Arial"/>
          <w:sz w:val="24"/>
          <w:szCs w:val="24"/>
        </w:rPr>
        <w:t>.</w:t>
      </w:r>
    </w:p>
    <w:p w14:paraId="494178E9" w14:textId="2EB01DBF"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Em contrapartida, os pântanos alimentares correspondem a territórios onde há elevada concentração e ampla disponibilidade de estabelecimentos que comercializam predominantemente AUP, fast-foods, bebidas açucaradas e produtos de baixo valor nutricional</w:t>
      </w:r>
      <w:r w:rsidR="009843D8">
        <w:rPr>
          <w:rFonts w:ascii="Arial" w:hAnsi="Arial" w:cs="Arial"/>
          <w:sz w:val="24"/>
          <w:szCs w:val="24"/>
          <w:vertAlign w:val="superscript"/>
        </w:rPr>
        <w:t>29</w:t>
      </w:r>
      <w:r w:rsidRPr="007C5724">
        <w:rPr>
          <w:rFonts w:ascii="Arial" w:hAnsi="Arial" w:cs="Arial"/>
          <w:sz w:val="24"/>
          <w:szCs w:val="24"/>
        </w:rPr>
        <w:t>. Diferentemente dos desertos alimentares, nos pântanos alimentares pode até existir disponibilidade de alimentos, porém essa oferta ocorre majoritariamente por meio de produtos ultraprocessados, ricos em açúcares, gorduras e sódio, favorecendo padrões alimentares inadequados e ambientes alimentares obesogênicos</w:t>
      </w:r>
      <w:r w:rsidR="009843D8">
        <w:rPr>
          <w:rFonts w:ascii="Arial" w:hAnsi="Arial" w:cs="Arial"/>
          <w:sz w:val="24"/>
          <w:szCs w:val="24"/>
          <w:vertAlign w:val="superscript"/>
        </w:rPr>
        <w:t>30</w:t>
      </w:r>
      <w:r w:rsidRPr="007C5724">
        <w:rPr>
          <w:rFonts w:ascii="Arial" w:hAnsi="Arial" w:cs="Arial"/>
          <w:sz w:val="24"/>
          <w:szCs w:val="24"/>
        </w:rPr>
        <w:t>. A literatura demonstra que esses territórios estão frequentemente associados a áreas de maior vulnerabilidade socioeconômica, onde a elevada presença de ultraprocessados, associada aos baixos preços e à praticidade desses produtos, influencia diretamente os hábitos alimentares da população</w:t>
      </w:r>
      <w:r w:rsidR="009843D8">
        <w:rPr>
          <w:rFonts w:ascii="Arial" w:hAnsi="Arial" w:cs="Arial"/>
          <w:sz w:val="24"/>
          <w:szCs w:val="24"/>
          <w:vertAlign w:val="superscript"/>
        </w:rPr>
        <w:t>31</w:t>
      </w:r>
      <w:r w:rsidRPr="007C5724">
        <w:rPr>
          <w:rFonts w:ascii="Arial" w:hAnsi="Arial" w:cs="Arial"/>
          <w:sz w:val="24"/>
          <w:szCs w:val="24"/>
        </w:rPr>
        <w:t>. Dessa forma, tanto os desertos quanto os pântanos alimentares representam importantes determinantes sociais da saúde e contribuem para o aumento das desigualdades alimentares e nutricionais</w:t>
      </w:r>
    </w:p>
    <w:p w14:paraId="6FC8610D" w14:textId="3CC30CAA"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A presença de desertos alimentares em territórios socialmente desfavorecidos torna-se ainda mais preocupante devido ao fenômeno descrito por Sarah Macintyre como “amplificação da privação”, no qual as desigualdades territoriais intensificam vulnerabilidades individuais e coletivas</w:t>
      </w:r>
      <w:r w:rsidR="009843D8">
        <w:rPr>
          <w:rFonts w:ascii="Arial" w:hAnsi="Arial" w:cs="Arial"/>
          <w:sz w:val="24"/>
          <w:szCs w:val="24"/>
          <w:vertAlign w:val="superscript"/>
        </w:rPr>
        <w:t>32</w:t>
      </w:r>
      <w:r w:rsidRPr="007C5724">
        <w:rPr>
          <w:rFonts w:ascii="Arial" w:hAnsi="Arial" w:cs="Arial"/>
          <w:sz w:val="24"/>
          <w:szCs w:val="24"/>
        </w:rPr>
        <w:t>. Estudos realizados em Recife e Belo Horizonte demonstraram que bairros com elevados índices de vulnerabilidade social (IVS) e de vulnerabilidade à saúde (HVI) apresentaram maior concentração de estabelecimentos que comercializam AUP</w:t>
      </w:r>
      <w:r w:rsidR="009843D8">
        <w:rPr>
          <w:rFonts w:ascii="Arial" w:hAnsi="Arial" w:cs="Arial"/>
          <w:sz w:val="24"/>
          <w:szCs w:val="24"/>
          <w:vertAlign w:val="superscript"/>
        </w:rPr>
        <w:t>14,15</w:t>
      </w:r>
      <w:r w:rsidRPr="007C5724">
        <w:rPr>
          <w:rFonts w:ascii="Arial" w:hAnsi="Arial" w:cs="Arial"/>
          <w:sz w:val="24"/>
          <w:szCs w:val="24"/>
        </w:rPr>
        <w:t>. Assim, indivíduos que já convivem com restrições econômicas passam a habitar territórios onde o acesso à alimentação saudável é limitado, enquanto a exposição a produtos ultraprocessados ocorre de maneira intensa e contínua, configurando um importante risco nutricional e sanitário.</w:t>
      </w:r>
    </w:p>
    <w:p w14:paraId="75402AD4" w14:textId="17597AA5"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Além disso, o elevado consumo de AUP está associado ao aumento do excesso de peso, obesidade e doenças crônicas não transmissíveis (DCNT), como hipertensão arterial, diabetes mellitus tipo 2 e doenças cardiovasculares</w:t>
      </w:r>
      <w:r w:rsidR="009843D8">
        <w:rPr>
          <w:rFonts w:ascii="Arial" w:hAnsi="Arial" w:cs="Arial"/>
          <w:sz w:val="24"/>
          <w:szCs w:val="24"/>
          <w:vertAlign w:val="superscript"/>
        </w:rPr>
        <w:t>8,30</w:t>
      </w:r>
      <w:r w:rsidRPr="007C5724">
        <w:rPr>
          <w:rFonts w:ascii="Arial" w:hAnsi="Arial" w:cs="Arial"/>
          <w:sz w:val="24"/>
          <w:szCs w:val="24"/>
        </w:rPr>
        <w:t xml:space="preserve">. Dessa forma, os ambientes alimentares obesogênicos contribuem não apenas para o </w:t>
      </w:r>
      <w:r w:rsidRPr="007C5724">
        <w:rPr>
          <w:rFonts w:ascii="Arial" w:hAnsi="Arial" w:cs="Arial"/>
          <w:sz w:val="24"/>
          <w:szCs w:val="24"/>
        </w:rPr>
        <w:t>adoecimento individual, mas também para o agravamento das desigualdades em saúde e para o aumento dos gastos públicos com tratamentos e internações relacionadas às DCNT (25).</w:t>
      </w:r>
    </w:p>
    <w:p w14:paraId="39B7F1A4" w14:textId="4DDA2342"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Os dados analisados neste estudo demonstram ainda a urgência de discutir a segregação urbana e social na alimentação. Os estudos revisados apontam que indivíduos com melhores condições socioeconômicas apresentam maior consumo de alimentos in natura e minimamente processados. Em contrapartida, moradores de periferias, favelas e populações autodeclaradas pretas, pardas e indígenas encontram-se mais expostos aos desertos alimentares e aos ambientes alimentares obesogênicos</w:t>
      </w:r>
      <w:r w:rsidR="009843D8">
        <w:rPr>
          <w:rFonts w:ascii="Arial" w:hAnsi="Arial" w:cs="Arial"/>
          <w:sz w:val="24"/>
          <w:szCs w:val="24"/>
          <w:vertAlign w:val="superscript"/>
        </w:rPr>
        <w:t>8</w:t>
      </w:r>
      <w:r w:rsidRPr="007C5724">
        <w:rPr>
          <w:rFonts w:ascii="Arial" w:hAnsi="Arial" w:cs="Arial"/>
          <w:sz w:val="24"/>
          <w:szCs w:val="24"/>
        </w:rPr>
        <w:t>. Esse cenário evidencia que as desigualdades alimentares também possuem dimensão racial e territorial, refletindo processos históricos de exclusão social e urbana no Brasil.</w:t>
      </w:r>
    </w:p>
    <w:p w14:paraId="60BDE656" w14:textId="21AC3816" w:rsidR="005D19E8" w:rsidRPr="00B2630B" w:rsidRDefault="005D19E8" w:rsidP="005D19E8">
      <w:pPr>
        <w:spacing w:after="0"/>
        <w:ind w:firstLine="709"/>
        <w:rPr>
          <w:rFonts w:ascii="Arial" w:hAnsi="Arial" w:cs="Arial"/>
          <w:sz w:val="24"/>
          <w:szCs w:val="24"/>
          <w:vertAlign w:val="superscript"/>
        </w:rPr>
      </w:pPr>
      <w:r w:rsidRPr="007C5724">
        <w:rPr>
          <w:rFonts w:ascii="Arial" w:hAnsi="Arial" w:cs="Arial"/>
          <w:sz w:val="24"/>
          <w:szCs w:val="24"/>
        </w:rPr>
        <w:t>Outro aspecto relevante refere-se às características econômicas dos alimentos ultraprocessados, que favorecem sua ampla circulação nos territórios vulnerabilizados. Esses produtos geralmente apresentam menor custo, maior durabilidade e ampla disponibilidade comercial, tornando-se mais acessíveis para populações de baixa renda. Em contrapartida, alimentos in natura apresentam maior perecibilidade, preços frequentemente elevados e menor presença em determinados estabelecimentos comerciais, dificultando seu acesso regular</w:t>
      </w:r>
      <w:r w:rsidR="00B2630B">
        <w:rPr>
          <w:rFonts w:ascii="Arial" w:hAnsi="Arial" w:cs="Arial"/>
          <w:sz w:val="24"/>
          <w:szCs w:val="24"/>
          <w:vertAlign w:val="superscript"/>
        </w:rPr>
        <w:t>33</w:t>
      </w:r>
      <w:r w:rsidRPr="007C5724">
        <w:rPr>
          <w:rFonts w:ascii="Arial" w:hAnsi="Arial" w:cs="Arial"/>
          <w:sz w:val="24"/>
          <w:szCs w:val="24"/>
        </w:rPr>
        <w:t>. Dessa forma, fatores econômicos e estruturais acabam condicionando escolhas alimentares, especialmente em contextos marcados pela insegurança alimentar e pela limitação do poder de compra</w:t>
      </w:r>
      <w:r w:rsidR="00B2630B">
        <w:rPr>
          <w:rFonts w:ascii="Arial" w:hAnsi="Arial" w:cs="Arial"/>
          <w:sz w:val="24"/>
          <w:szCs w:val="24"/>
          <w:vertAlign w:val="superscript"/>
        </w:rPr>
        <w:t xml:space="preserve">23 </w:t>
      </w:r>
    </w:p>
    <w:p w14:paraId="703A4F33" w14:textId="74C54A59"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A escolaridade também aparece como importante marcador social relacionado às condições alimentares e nutricionais. Dados do Vigitel apontam menor escolaridade como fator associado ao aumento do excesso de peso e à pior qualidade da alimentação no Brasil</w:t>
      </w:r>
      <w:r w:rsidR="00B2630B">
        <w:rPr>
          <w:rFonts w:ascii="Arial" w:hAnsi="Arial" w:cs="Arial"/>
          <w:sz w:val="24"/>
          <w:szCs w:val="24"/>
          <w:vertAlign w:val="superscript"/>
        </w:rPr>
        <w:t>25</w:t>
      </w:r>
      <w:r w:rsidRPr="007C5724">
        <w:rPr>
          <w:rFonts w:ascii="Arial" w:hAnsi="Arial" w:cs="Arial"/>
          <w:sz w:val="24"/>
          <w:szCs w:val="24"/>
        </w:rPr>
        <w:t>. Em Belo Horizonte, Honório et al. (2024) identificaram que moradores de bairros classificados como desertos alimentares apresentavam menor escolaridade e menor empregabilidade. Esses achados reforçam que as desigualdades territoriais influenciam diretamente os determinantes sociais da saúde, contribuindo para o aumento das DCNT e para a perpetuação das iniquidades sociais</w:t>
      </w:r>
      <w:r w:rsidR="00B2630B">
        <w:rPr>
          <w:rFonts w:ascii="Arial" w:hAnsi="Arial" w:cs="Arial"/>
          <w:sz w:val="24"/>
          <w:szCs w:val="24"/>
          <w:vertAlign w:val="superscript"/>
        </w:rPr>
        <w:t>12</w:t>
      </w:r>
      <w:r w:rsidRPr="007C5724">
        <w:rPr>
          <w:rFonts w:ascii="Arial" w:hAnsi="Arial" w:cs="Arial"/>
          <w:sz w:val="24"/>
          <w:szCs w:val="24"/>
        </w:rPr>
        <w:t>.</w:t>
      </w:r>
    </w:p>
    <w:p w14:paraId="07FD4F31" w14:textId="77777777"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Diante desse contexto, torna-se fundamental o desenvolvimento de estratégias intersetoriais capazes de transformar os ambientes alimentares e reduzir as desigualdades territoriais em saúde. Entre as principais estratégias destacam-se o fortalecimento das políticas de segurança alimentar e nutricional, o incentivo à agricultura familiar, às feiras livres e a ampliação da instalação de equipamentos públicos de abastecimento alimentar em periferias. Também se faz necessária a implementação de políticas urbanas que promovam maior equidade territorial, garantindo acesso físico e econômico à alimentação adequada e saudável.</w:t>
      </w:r>
    </w:p>
    <w:p w14:paraId="1BD3C16D" w14:textId="1F4D21A3"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 xml:space="preserve">Nesse contexto, destaca-se o Programa de Aquisição de Alimentos (PAA) como uma importante política pública de enfrentamento à insegurança alimentar e às desigualdades territoriais no acesso à alimentação. Criado em 2003 no âmbito da Estratégia Fome Zero, o PAA articula simultaneamente o fortalecimento da agricultura familiar e a promoção da Segurança Alimentar e Nutricional (SAN), por meio da compra institucional de alimentos produzidos por agricultores familiares e sua destinação a populações em situação de vulnerabilidade social. O programa funciona através da aquisição de alimentos sem necessidade de licitação, permitindo </w:t>
      </w:r>
      <w:r w:rsidRPr="007C5724">
        <w:rPr>
          <w:rFonts w:ascii="Arial" w:hAnsi="Arial" w:cs="Arial"/>
          <w:sz w:val="24"/>
          <w:szCs w:val="24"/>
        </w:rPr>
        <w:t>que produtos oriundos da agricultura familiar sejam destinados a escolas públicas, cozinhas comunitárias, hospitais, bancos de alimentos, restaurantes populares e equipamentos da assistência social, como os Centros de Referência de Assistência Social (CRAS)</w:t>
      </w:r>
      <w:r w:rsidR="006719ED">
        <w:rPr>
          <w:rFonts w:ascii="Arial" w:hAnsi="Arial" w:cs="Arial"/>
          <w:sz w:val="24"/>
          <w:szCs w:val="24"/>
          <w:vertAlign w:val="superscript"/>
        </w:rPr>
        <w:t>34</w:t>
      </w:r>
      <w:r w:rsidRPr="007C5724">
        <w:rPr>
          <w:rFonts w:ascii="Arial" w:hAnsi="Arial" w:cs="Arial"/>
          <w:sz w:val="24"/>
          <w:szCs w:val="24"/>
        </w:rPr>
        <w:t>.</w:t>
      </w:r>
    </w:p>
    <w:p w14:paraId="25B03609" w14:textId="0DD48503"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Além de promover geração de renda e fortalecimento econômico para agricultores familiares, o PAA contribui diretamente para ampliar a disponibilidade e o acesso a alimentos in natura e minimamente processados em territórios marcados pela vulnerabilidade social. Dessa forma, o programa apresenta importante potencial para o enfrentamento dos desertos alimentares, especialmente em periferias urbanas e regiões socialmente desfavorecidas, onde há baixa oferta de alimentos saudáveis e elevada presença de alimentos ultraprocessados</w:t>
      </w:r>
      <w:r w:rsidR="006719ED">
        <w:rPr>
          <w:rFonts w:ascii="Arial" w:hAnsi="Arial" w:cs="Arial"/>
          <w:sz w:val="24"/>
          <w:szCs w:val="24"/>
          <w:vertAlign w:val="superscript"/>
        </w:rPr>
        <w:t>35</w:t>
      </w:r>
      <w:r w:rsidRPr="007C5724">
        <w:rPr>
          <w:rFonts w:ascii="Arial" w:hAnsi="Arial" w:cs="Arial"/>
          <w:sz w:val="24"/>
          <w:szCs w:val="24"/>
        </w:rPr>
        <w:t>. Ao incentivar circuitos curtos de comercialização e aproximar produção e consumo dentro dos próprios territórios, o PAA fortalece sistemas alimentares locais, promove soberania alimentar e reduz a dependência de produtos ultraprocessados.</w:t>
      </w:r>
    </w:p>
    <w:p w14:paraId="7415BD06" w14:textId="77777777" w:rsidR="005D19E8" w:rsidRPr="007C5724" w:rsidRDefault="005D19E8" w:rsidP="005D19E8">
      <w:pPr>
        <w:ind w:firstLine="709"/>
        <w:rPr>
          <w:rFonts w:ascii="Arial" w:hAnsi="Arial" w:cs="Arial"/>
          <w:sz w:val="24"/>
          <w:szCs w:val="24"/>
        </w:rPr>
      </w:pPr>
      <w:r w:rsidRPr="007C5724">
        <w:rPr>
          <w:rFonts w:ascii="Arial" w:hAnsi="Arial" w:cs="Arial"/>
          <w:sz w:val="24"/>
          <w:szCs w:val="24"/>
        </w:rPr>
        <w:t xml:space="preserve">A implementação e ampliação do PAA em territórios classificados como desertos alimentares pode ocorrer por meio da articulação entre agricultura familiar, equipamentos públicos de alimentação e políticas de assistência social e saúde. </w:t>
      </w:r>
    </w:p>
    <w:p w14:paraId="01019382" w14:textId="716349B5" w:rsidR="005D19E8" w:rsidRPr="007C5724" w:rsidRDefault="005D19E8" w:rsidP="005D19E8">
      <w:pPr>
        <w:ind w:firstLine="709"/>
        <w:rPr>
          <w:rFonts w:ascii="Arial" w:hAnsi="Arial" w:cs="Arial"/>
          <w:sz w:val="24"/>
          <w:szCs w:val="24"/>
        </w:rPr>
      </w:pPr>
      <w:r w:rsidRPr="007C5724">
        <w:rPr>
          <w:rFonts w:ascii="Arial" w:hAnsi="Arial" w:cs="Arial"/>
          <w:sz w:val="24"/>
          <w:szCs w:val="24"/>
        </w:rPr>
        <w:t xml:space="preserve">Outra estratégia que tem se destacado no enfrentamento da insegurança alimentar e na promoção do Direito Humano à Alimentação Adequada </w:t>
      </w:r>
      <w:r w:rsidR="008F788A">
        <w:rPr>
          <w:rFonts w:ascii="Arial" w:hAnsi="Arial" w:cs="Arial"/>
          <w:sz w:val="24"/>
          <w:szCs w:val="24"/>
        </w:rPr>
        <w:t xml:space="preserve">(DHAA) </w:t>
      </w:r>
      <w:r w:rsidRPr="007C5724">
        <w:rPr>
          <w:rFonts w:ascii="Arial" w:hAnsi="Arial" w:cs="Arial"/>
          <w:sz w:val="24"/>
          <w:szCs w:val="24"/>
        </w:rPr>
        <w:t>é o fortalecimento das cozinhas solidárias. Essas iniciativas surgem, em grande parte, a partir da organização comunitária e dos movimentos sociais, atuando diretamente em territórios marcados pela pobreza, fome e vulnerabilidade social, por meio da produção e distribuição gratuita de refeições para populações em situação de insegurança alimentar</w:t>
      </w:r>
      <w:r w:rsidR="006719ED">
        <w:rPr>
          <w:rFonts w:ascii="Arial" w:hAnsi="Arial" w:cs="Arial"/>
          <w:sz w:val="24"/>
          <w:szCs w:val="24"/>
          <w:vertAlign w:val="superscript"/>
        </w:rPr>
        <w:t>36</w:t>
      </w:r>
      <w:r w:rsidRPr="007C5724">
        <w:rPr>
          <w:rFonts w:ascii="Arial" w:hAnsi="Arial" w:cs="Arial"/>
          <w:sz w:val="24"/>
          <w:szCs w:val="24"/>
        </w:rPr>
        <w:t>.</w:t>
      </w:r>
    </w:p>
    <w:p w14:paraId="34848D50" w14:textId="77777777"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 xml:space="preserve"> Reconhecendo a importância desses equipamentos para a Segurança Alimentar e Nutricional (SAN), o Governo Federal instituiu o Programa Cozinha Solidária, por meio da Lei nº 14.628/2023 e do Decreto nº 11.937/2024, com o objetivo de apoiar, estruturar e ampliar a atuação dessas iniciativas nos territórios vulnerabilizados. O programa integra o Sistema Nacional de Segurança Alimentar e Nutricional (SISAN) e atua de forma articulada com outras políticas públicas voltadas ao combate à fome e à promoção da alimentação adequada (BRASIL, 2024).</w:t>
      </w:r>
    </w:p>
    <w:p w14:paraId="5C2DFA8C" w14:textId="4121C385" w:rsidR="005D19E8" w:rsidRPr="007C5724" w:rsidRDefault="005D19E8" w:rsidP="005D19E8">
      <w:pPr>
        <w:ind w:firstLine="709"/>
        <w:rPr>
          <w:rFonts w:ascii="Arial" w:hAnsi="Arial" w:cs="Arial"/>
          <w:sz w:val="24"/>
          <w:szCs w:val="24"/>
        </w:rPr>
      </w:pPr>
      <w:r w:rsidRPr="007C5724">
        <w:rPr>
          <w:rFonts w:ascii="Arial" w:hAnsi="Arial" w:cs="Arial"/>
          <w:sz w:val="24"/>
          <w:szCs w:val="24"/>
        </w:rPr>
        <w:t>A articulação entre o Programa Cozinha Solidária e o Programa de Aquisição de Alimentos (PAA) representa um importante mecanismo de fortalecimento dos sistemas alimentares locais e de enfrentamento dos desertos alimentares. Por meio dessa integração, alimentos in natura e minimamente processados adquiridos da agricultura familiar pelo PAA podem ser destinados diretamente às cozinhas solidárias, ampliando a oferta de refeições nutricionalmente adequadas para populações em situação de vulnerabilidade social</w:t>
      </w:r>
      <w:r w:rsidR="006719ED">
        <w:rPr>
          <w:rFonts w:ascii="Arial" w:hAnsi="Arial" w:cs="Arial"/>
          <w:sz w:val="24"/>
          <w:szCs w:val="24"/>
          <w:vertAlign w:val="superscript"/>
        </w:rPr>
        <w:t>37</w:t>
      </w:r>
      <w:r w:rsidRPr="007C5724">
        <w:rPr>
          <w:rFonts w:ascii="Arial" w:hAnsi="Arial" w:cs="Arial"/>
          <w:sz w:val="24"/>
          <w:szCs w:val="24"/>
        </w:rPr>
        <w:t>. Além de garantir acesso imediato à alimentação, essa estratégia fortalece a agricultura familiar, promove circuitos curtos de comercialização e reduz a dependência de alimentos ultraprocessados em territórios marcados pela escassez de alimentos saudáveis. Dessa forma, as cozinhas solidárias tornam-se importantes equipamentos de abastecimento alimentar, especialmente em periferias urbanas e regiões classificadas como desertos alimentares, contribuindo para reduzir desigualdades no acesso à alimentação e fortalecer redes comunitárias de cuidado e proteção social.</w:t>
      </w:r>
    </w:p>
    <w:p w14:paraId="6AF1B2F2" w14:textId="095BE74A"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A criação de feiras populares, pontos de distribuição de alimentos oriundos da agricultura familiar, cozinhas solidárias e ações vinculadas à Atenção Primária à Saúde pode contribuir para ampliar o acesso físico e econômico da população a alimentos saudáveis, reduzindo desigualdades alimentares historicamente produzidas nos territórios periféricos</w:t>
      </w:r>
      <w:r w:rsidR="006719ED">
        <w:rPr>
          <w:rFonts w:ascii="Arial" w:hAnsi="Arial" w:cs="Arial"/>
          <w:sz w:val="24"/>
          <w:szCs w:val="24"/>
          <w:vertAlign w:val="superscript"/>
        </w:rPr>
        <w:t>38</w:t>
      </w:r>
      <w:r w:rsidRPr="007C5724">
        <w:rPr>
          <w:rFonts w:ascii="Arial" w:hAnsi="Arial" w:cs="Arial"/>
          <w:sz w:val="24"/>
          <w:szCs w:val="24"/>
        </w:rPr>
        <w:t>.</w:t>
      </w:r>
    </w:p>
    <w:p w14:paraId="556AED97" w14:textId="20054F11"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Associado a isso, o fortalecimento das hortas comunitárias e da agricultura urbana também se apresenta como estratégia relevante para a promoção da Segurança Alimentar e Nutricional em territórios vulnerabilizados</w:t>
      </w:r>
      <w:r w:rsidR="006719ED">
        <w:rPr>
          <w:rFonts w:ascii="Arial" w:hAnsi="Arial" w:cs="Arial"/>
          <w:sz w:val="24"/>
          <w:szCs w:val="24"/>
          <w:vertAlign w:val="superscript"/>
        </w:rPr>
        <w:t>39</w:t>
      </w:r>
      <w:r w:rsidRPr="007C5724">
        <w:rPr>
          <w:rFonts w:ascii="Arial" w:hAnsi="Arial" w:cs="Arial"/>
          <w:sz w:val="24"/>
          <w:szCs w:val="24"/>
        </w:rPr>
        <w:t>. As hortas comunitárias ampliam a disponibilidade local de frutas, verduras e legumes, especialmente em áreas periféricas marcadas pela escassez de estabelecimentos que comercializam alimentos. Além disso, esses espaços promovem integração comunitária, educação alimentar e ambiental, fortalecimento de vínculos sociais e valorização dos saberes populares relacionados à produção de alimentos e a cultura da população.</w:t>
      </w:r>
    </w:p>
    <w:p w14:paraId="0229A77B" w14:textId="4AB00022" w:rsidR="005D19E8" w:rsidRPr="007C5724" w:rsidRDefault="005D19E8" w:rsidP="005D19E8">
      <w:pPr>
        <w:spacing w:after="0"/>
        <w:ind w:firstLine="709"/>
        <w:rPr>
          <w:rFonts w:ascii="Arial" w:hAnsi="Arial" w:cs="Arial"/>
          <w:sz w:val="24"/>
          <w:szCs w:val="24"/>
        </w:rPr>
      </w:pPr>
      <w:r w:rsidRPr="007C5724">
        <w:rPr>
          <w:rFonts w:ascii="Arial" w:hAnsi="Arial" w:cs="Arial"/>
          <w:sz w:val="24"/>
          <w:szCs w:val="24"/>
        </w:rPr>
        <w:t>Sob a perspectiva territorial, as hortas comunitárias representam formas de ressignificação dos espaços urbanos, transformando áreas ociosas em ambientes produtores de saúde, convivência e participação social</w:t>
      </w:r>
      <w:r w:rsidR="006719ED">
        <w:rPr>
          <w:rFonts w:ascii="Arial" w:hAnsi="Arial" w:cs="Arial"/>
          <w:sz w:val="24"/>
          <w:szCs w:val="24"/>
          <w:vertAlign w:val="superscript"/>
        </w:rPr>
        <w:t>39</w:t>
      </w:r>
      <w:r w:rsidRPr="007C5724">
        <w:rPr>
          <w:rFonts w:ascii="Arial" w:hAnsi="Arial" w:cs="Arial"/>
          <w:sz w:val="24"/>
          <w:szCs w:val="24"/>
        </w:rPr>
        <w:t>. A agricultura urbana pode fortalecer a soberania alimentar e reduzir vulnerabilidades sociais ao possibilitar maior autonomia das populações na produção e no acesso aos alimentos saudáveis. Dessa forma, tanto o PAA quanto as hortas comunitárias configuram-se como importantes estratégias de enfrentamento aos desertos alimentares, contribuindo para a construção de ambientes alimentares mais saudáveis, sustentáveis e socialmente justos.</w:t>
      </w:r>
    </w:p>
    <w:p w14:paraId="130AC332" w14:textId="77777777" w:rsidR="005D19E8" w:rsidRPr="007C5724" w:rsidRDefault="005D19E8" w:rsidP="005D19E8">
      <w:pPr>
        <w:spacing w:after="0"/>
        <w:rPr>
          <w:rFonts w:ascii="Arial" w:hAnsi="Arial" w:cs="Arial"/>
          <w:sz w:val="24"/>
          <w:szCs w:val="24"/>
        </w:rPr>
      </w:pPr>
      <w:r w:rsidRPr="007C5724">
        <w:rPr>
          <w:rFonts w:ascii="Arial" w:hAnsi="Arial" w:cs="Arial"/>
          <w:sz w:val="24"/>
          <w:szCs w:val="24"/>
        </w:rPr>
        <w:t>Além disso, a atuação da Atenção Primária à Saúde e das políticas de Educação Alimentar e Nutricional mostra-se essencial para fortalecer a autonomia alimentar das populações vulneráveis. No entanto, é importante reconhecer que intervenções educativas isoladas não são suficientes quando os indivíduos permanecem inseridos em territórios marcados pela privação alimentar e pela desigualdade estrutural. Assim, o enfrentamento dos desertos e pântanos alimentares exige ações integradas entre saúde, assistência social, educação, planejamento urbano e políticas econômicas.</w:t>
      </w:r>
    </w:p>
    <w:p w14:paraId="63326487" w14:textId="16E49ADD" w:rsidR="005D19E8" w:rsidRDefault="005D19E8" w:rsidP="00463C6C">
      <w:pPr>
        <w:spacing w:after="0"/>
        <w:rPr>
          <w:rFonts w:ascii="Arial" w:hAnsi="Arial" w:cs="Arial"/>
          <w:sz w:val="24"/>
          <w:szCs w:val="24"/>
        </w:rPr>
      </w:pPr>
      <w:r w:rsidRPr="007C5724">
        <w:rPr>
          <w:rFonts w:ascii="Arial" w:hAnsi="Arial" w:cs="Arial"/>
          <w:sz w:val="24"/>
          <w:szCs w:val="24"/>
        </w:rPr>
        <w:t xml:space="preserve">Portanto, os achados desta revisão evidenciam que os ambientes alimentares refletem e reproduzem desigualdades sociais no Brasil. A alimentação, nesse sentido, deve ser compreendida como uma questão social, política e territorial, sendo indispensável a construção de políticas públicas que garantam </w:t>
      </w:r>
      <w:r w:rsidR="00D912B6">
        <w:rPr>
          <w:rFonts w:ascii="Arial" w:hAnsi="Arial" w:cs="Arial"/>
          <w:sz w:val="24"/>
          <w:szCs w:val="24"/>
        </w:rPr>
        <w:t>DHAA</w:t>
      </w:r>
      <w:r w:rsidRPr="007C5724">
        <w:rPr>
          <w:rFonts w:ascii="Arial" w:hAnsi="Arial" w:cs="Arial"/>
          <w:sz w:val="24"/>
          <w:szCs w:val="24"/>
        </w:rPr>
        <w:t xml:space="preserve"> e promovam ambientes alimentares mais saudáveis, acessíveis e socialmente justos.</w:t>
      </w:r>
    </w:p>
    <w:p w14:paraId="5B15CB8D" w14:textId="6E2ED40F" w:rsidR="00CA4D66" w:rsidRDefault="00CA4D66" w:rsidP="00463C6C">
      <w:pPr>
        <w:spacing w:after="0"/>
        <w:rPr>
          <w:rFonts w:ascii="Arial" w:hAnsi="Arial" w:cs="Arial"/>
          <w:sz w:val="24"/>
          <w:szCs w:val="24"/>
        </w:rPr>
      </w:pPr>
    </w:p>
    <w:p w14:paraId="158A3C9C" w14:textId="3DBD4455" w:rsidR="00CA4D66" w:rsidRDefault="00CA4D66" w:rsidP="00463C6C">
      <w:pPr>
        <w:spacing w:after="0"/>
        <w:rPr>
          <w:rFonts w:ascii="Arial" w:hAnsi="Arial" w:cs="Arial"/>
          <w:b/>
          <w:bCs/>
          <w:sz w:val="24"/>
          <w:szCs w:val="24"/>
        </w:rPr>
      </w:pPr>
      <w:r w:rsidRPr="00CA4D66">
        <w:rPr>
          <w:rFonts w:ascii="Arial" w:hAnsi="Arial" w:cs="Arial"/>
          <w:b/>
          <w:bCs/>
          <w:sz w:val="24"/>
          <w:szCs w:val="24"/>
        </w:rPr>
        <w:t>CONCLUSÃO</w:t>
      </w:r>
    </w:p>
    <w:p w14:paraId="20F34B3F" w14:textId="309A659D" w:rsidR="00CA4D66" w:rsidRDefault="00CA4D66" w:rsidP="00463C6C">
      <w:pPr>
        <w:spacing w:after="0"/>
        <w:rPr>
          <w:rFonts w:ascii="Arial" w:hAnsi="Arial" w:cs="Arial"/>
          <w:b/>
          <w:bCs/>
          <w:sz w:val="24"/>
          <w:szCs w:val="24"/>
        </w:rPr>
      </w:pPr>
    </w:p>
    <w:p w14:paraId="473A016D" w14:textId="77777777" w:rsidR="00CA4D66" w:rsidRPr="00CA4D66" w:rsidRDefault="00CA4D66" w:rsidP="00CA4D66">
      <w:pPr>
        <w:spacing w:after="0"/>
        <w:ind w:firstLine="708"/>
        <w:rPr>
          <w:rFonts w:ascii="Arial" w:hAnsi="Arial" w:cs="Arial"/>
          <w:b/>
          <w:bCs/>
          <w:sz w:val="24"/>
          <w:szCs w:val="24"/>
        </w:rPr>
      </w:pPr>
      <w:r w:rsidRPr="00CA4D66">
        <w:rPr>
          <w:rFonts w:ascii="Arial" w:hAnsi="Arial" w:cs="Arial"/>
          <w:b/>
          <w:bCs/>
          <w:sz w:val="24"/>
          <w:szCs w:val="24"/>
        </w:rPr>
        <w:t xml:space="preserve">Conclui-se, portanto, que o território e os fatores socioeconômicos impactam diretamente no alto consumo de alimentos AUP e pessoas que vivem adjuntas as consequências das desigualdades sociais são as que detém dos maiores riscos de saúde associados ao consumo de alimentos não saudáveis. Os baixos preços associados aos alimentos AUP favorecem o seu consumo em ambientes onde a população possui renda reduzida, territórios com esses aspectos tem maior concentração de pessoas pretas, pardas e indígenas. Em contrapartidas ambientes onde se tem maior consumo de </w:t>
      </w:r>
      <w:r w:rsidRPr="00CA4D66">
        <w:rPr>
          <w:rFonts w:ascii="Arial" w:hAnsi="Arial" w:cs="Arial"/>
          <w:b/>
          <w:bCs/>
          <w:sz w:val="24"/>
          <w:szCs w:val="24"/>
        </w:rPr>
        <w:t>alimentos in natura são predominados por pessoas brancas com maior poder aquisitivo. Os desertos alimentares podem vir acompanhados de maiores índices de vulnerabilidade social e piores serviços de saúde. Ou seja, as desigualdades socias atreladas a saúde se intensificam em territórios onde não há cuidado de equidade ao olhar do estado.</w:t>
      </w:r>
    </w:p>
    <w:p w14:paraId="2E38F494" w14:textId="17557A88" w:rsidR="00CA4D66" w:rsidRPr="00CA4D66" w:rsidRDefault="00CA4D66" w:rsidP="00CA4D66">
      <w:pPr>
        <w:spacing w:after="0"/>
        <w:ind w:firstLine="708"/>
        <w:rPr>
          <w:rFonts w:ascii="Arial" w:hAnsi="Arial" w:cs="Arial"/>
          <w:b/>
          <w:bCs/>
          <w:sz w:val="24"/>
          <w:szCs w:val="24"/>
        </w:rPr>
      </w:pPr>
      <w:r w:rsidRPr="00CA4D66">
        <w:rPr>
          <w:rFonts w:ascii="Arial" w:hAnsi="Arial" w:cs="Arial"/>
          <w:b/>
          <w:bCs/>
          <w:sz w:val="24"/>
          <w:szCs w:val="24"/>
        </w:rPr>
        <w:t xml:space="preserve">Nesse contexto, cabe aos nutricionistas fortalecer as pesquisas que buscam compreender ainda mais sobre os ambientes alimentares do brasil, neste estudo ficou nítido que ainda é uma dificuldade de </w:t>
      </w:r>
      <w:commentRangeStart w:id="9"/>
      <w:r w:rsidRPr="00CA4D66">
        <w:rPr>
          <w:rFonts w:ascii="Arial" w:hAnsi="Arial" w:cs="Arial"/>
          <w:b/>
          <w:bCs/>
          <w:sz w:val="24"/>
          <w:szCs w:val="24"/>
        </w:rPr>
        <w:t>encontrar estudos acerca dos ambientes alimentares por todo o país, sendo os estudos com maior concentração no sudeste brasileiro e nordeste. Porém é</w:t>
      </w:r>
      <w:commentRangeEnd w:id="9"/>
      <w:r w:rsidR="00C04330" w:rsidRPr="00CA4D66">
        <w:rPr>
          <w:rStyle w:val="Refdecomentrio"/>
          <w:rFonts w:ascii="Arial" w:hAnsi="Arial" w:cs="Arial"/>
          <w:b/>
          <w:bCs/>
          <w:sz w:val="24"/>
          <w:szCs w:val="24"/>
        </w:rPr>
      </w:r>
      <w:r w:rsidRPr="00CA4D66">
        <w:rPr>
          <w:rFonts w:ascii="Arial" w:hAnsi="Arial" w:cs="Arial"/>
          <w:b/>
          <w:bCs/>
          <w:sz w:val="24"/>
          <w:szCs w:val="24"/>
        </w:rPr>
        <w:t xml:space="preserve"> necessário ainda se estudar as demais regiões do brasil para que se possa entender a realidade do povo brasileiro a fim dos nutricionistas desenvolverem atividades, dinâmicas, políticas e debates territoriais que fortalecem a informação acerca de uma boa alimentação.</w:t>
      </w:r>
    </w:p>
    <w:p w14:paraId="06945A39" w14:textId="77777777" w:rsidR="00CA49F1" w:rsidRDefault="00CA49F1" w:rsidP="005D19E8">
      <w:pPr>
        <w:rPr>
          <w:rFonts w:ascii="Arial" w:hAnsi="Arial" w:cs="Arial"/>
          <w:sz w:val="28"/>
          <w:szCs w:val="28"/>
        </w:rPr>
      </w:pPr>
    </w:p>
    <w:p w14:paraId="757D2674" w14:textId="77777777" w:rsidR="00CA49F1" w:rsidRPr="00CA49F1" w:rsidRDefault="00CA49F1" w:rsidP="005D19E8">
      <w:pPr>
        <w:rPr>
          <w:rFonts w:ascii="Arial" w:hAnsi="Arial" w:cs="Arial"/>
          <w:sz w:val="28"/>
          <w:szCs w:val="28"/>
        </w:rPr>
      </w:pPr>
    </w:p>
    <w:p w14:paraId="77BE0743" w14:textId="4F42087A" w:rsidR="00E9640E" w:rsidRPr="007C5724" w:rsidRDefault="005D19E8" w:rsidP="00CA49F1">
      <w:pPr>
        <w:rPr>
          <w:rFonts w:ascii="Arial" w:hAnsi="Arial" w:cs="Arial"/>
          <w:b/>
          <w:bCs/>
          <w:sz w:val="24"/>
          <w:szCs w:val="24"/>
        </w:rPr>
      </w:pPr>
      <w:r w:rsidRPr="007C5724">
        <w:rPr>
          <w:rFonts w:ascii="Arial" w:hAnsi="Arial" w:cs="Arial"/>
          <w:b/>
          <w:bCs/>
          <w:sz w:val="24"/>
          <w:szCs w:val="24"/>
        </w:rPr>
        <w:t>REFERÊNCIAS</w:t>
      </w:r>
    </w:p>
    <w:p w14:paraId="441CBFB8" w14:textId="77777777" w:rsidR="005D19E8" w:rsidRPr="00640403" w:rsidRDefault="005D19E8" w:rsidP="005D19E8">
      <w:pPr>
        <w:pStyle w:val="PargrafodaLista"/>
        <w:numPr>
          <w:ilvl w:val="0"/>
          <w:numId w:val="8"/>
        </w:numPr>
        <w:spacing w:after="0" w:line="240" w:lineRule="auto"/>
        <w:rPr>
          <w:rFonts w:ascii="Arial" w:hAnsi="Arial" w:cs="Arial"/>
          <w:sz w:val="24"/>
          <w:szCs w:val="24"/>
        </w:rPr>
      </w:pPr>
      <w:r w:rsidRPr="00640403">
        <w:rPr>
          <w:rFonts w:ascii="Arial" w:hAnsi="Arial" w:cs="Arial"/>
          <w:sz w:val="24"/>
          <w:szCs w:val="24"/>
        </w:rPr>
        <w:t>BRASIL. Ministério da Saúde. Secretaria de Atenção à Saúde</w:t>
      </w:r>
      <w:r w:rsidRPr="00640403">
        <w:rPr>
          <w:rFonts w:ascii="Arial" w:hAnsi="Arial" w:cs="Arial"/>
          <w:i/>
          <w:iCs/>
          <w:sz w:val="24"/>
          <w:szCs w:val="24"/>
        </w:rPr>
        <w:t xml:space="preserve">. Departamento de </w:t>
      </w:r>
      <w:r w:rsidRPr="00640403">
        <w:rPr>
          <w:rFonts w:ascii="Arial" w:hAnsi="Arial" w:cs="Arial"/>
          <w:sz w:val="24"/>
          <w:szCs w:val="24"/>
        </w:rPr>
        <w:t>Atenção Básica</w:t>
      </w:r>
      <w:r w:rsidRPr="00640403">
        <w:rPr>
          <w:rFonts w:ascii="Arial" w:hAnsi="Arial" w:cs="Arial"/>
          <w:i/>
          <w:iCs/>
          <w:sz w:val="24"/>
          <w:szCs w:val="24"/>
        </w:rPr>
        <w:t>.</w:t>
      </w:r>
      <w:r w:rsidRPr="00640403">
        <w:rPr>
          <w:rFonts w:ascii="Arial" w:hAnsi="Arial" w:cs="Arial"/>
          <w:sz w:val="24"/>
          <w:szCs w:val="24"/>
        </w:rPr>
        <w:t xml:space="preserve"> Orientações para avaliação de marcadores de consumo alimentar na Atenção Básica. Brasília, DF: Ministério da Saúde, 2015. p. 34. Disponível em: http://bvsms.saude.gov.br/bvs/publicacoes/marcadores_consumo_alimentar_atencao_basica.pdf. Acesso em: 9 jun. 2020.</w:t>
      </w:r>
    </w:p>
    <w:p w14:paraId="1DF3D53B"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hAnsi="Arial" w:cs="Arial"/>
          <w:sz w:val="24"/>
          <w:szCs w:val="24"/>
        </w:rPr>
        <w:t>BAKER, F. et al. Alimentos ultraprocessados e a transição nutricional. Tendencias globais, regionais e nacionais, transformaçoes dos sistemas alimentares e fatores político-economico.Obesity Reviews</w:t>
      </w:r>
      <w:r w:rsidRPr="00640403">
        <w:rPr>
          <w:rFonts w:ascii="Arial" w:hAnsi="Arial" w:cs="Arial"/>
          <w:i/>
          <w:iCs/>
          <w:sz w:val="24"/>
          <w:szCs w:val="24"/>
        </w:rPr>
        <w:t xml:space="preserve">, </w:t>
      </w:r>
      <w:r w:rsidRPr="00640403">
        <w:rPr>
          <w:rFonts w:ascii="Arial" w:hAnsi="Arial" w:cs="Arial"/>
          <w:sz w:val="24"/>
          <w:szCs w:val="24"/>
        </w:rPr>
        <w:t xml:space="preserve">v. 21, n 12, 2020. Disponível em:  </w:t>
      </w:r>
      <w:hyperlink r:id="rId15" w:history="1">
        <w:r w:rsidRPr="00640403">
          <w:rPr>
            <w:rStyle w:val="Hyperlink"/>
            <w:rFonts w:ascii="Arial" w:hAnsi="Arial" w:cs="Arial"/>
            <w:sz w:val="24"/>
            <w:szCs w:val="24"/>
          </w:rPr>
          <w:t>https://onlinelibrary.wiley.com/doi/full/10.1111/obr.13126</w:t>
        </w:r>
      </w:hyperlink>
    </w:p>
    <w:p w14:paraId="2E47F4AD" w14:textId="77777777" w:rsidR="005D19E8" w:rsidRPr="00640403" w:rsidRDefault="005D19E8" w:rsidP="005D19E8">
      <w:pPr>
        <w:pStyle w:val="PargrafodaLista"/>
        <w:numPr>
          <w:ilvl w:val="0"/>
          <w:numId w:val="8"/>
        </w:numPr>
        <w:spacing w:after="0" w:line="240" w:lineRule="auto"/>
        <w:rPr>
          <w:rFonts w:ascii="Arial" w:hAnsi="Arial" w:cs="Arial"/>
          <w:sz w:val="24"/>
          <w:szCs w:val="24"/>
        </w:rPr>
      </w:pPr>
      <w:r w:rsidRPr="00640403">
        <w:rPr>
          <w:rFonts w:ascii="Arial" w:hAnsi="Arial" w:cs="Arial"/>
          <w:sz w:val="24"/>
          <w:szCs w:val="24"/>
          <w:lang w:val="en-US"/>
        </w:rPr>
        <w:t xml:space="preserve">MORABAC, J; C.Parra D. C, Cannon G, Monteiro C. A. Food Classification Systems Based on Food Processing: Significance and Implications for Policies and Actions: A Systematic Literature Review and Assessment. </w:t>
      </w:r>
      <w:r w:rsidRPr="00640403">
        <w:rPr>
          <w:rFonts w:ascii="Arial" w:hAnsi="Arial" w:cs="Arial"/>
          <w:sz w:val="24"/>
          <w:szCs w:val="24"/>
        </w:rPr>
        <w:t>Curr Obes 2014.</w:t>
      </w:r>
    </w:p>
    <w:p w14:paraId="19826C30"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hAnsi="Arial" w:cs="Arial"/>
          <w:sz w:val="24"/>
          <w:szCs w:val="24"/>
        </w:rPr>
        <w:t>MONTEIRO, C. A. et al. Alimentos ultraprocessasos e saude humana. A tese principal e as evidencias. The lancet</w:t>
      </w:r>
      <w:r w:rsidRPr="00640403">
        <w:rPr>
          <w:rFonts w:ascii="Arial" w:hAnsi="Arial" w:cs="Arial"/>
          <w:i/>
          <w:iCs/>
          <w:sz w:val="24"/>
          <w:szCs w:val="24"/>
        </w:rPr>
        <w:t xml:space="preserve">, </w:t>
      </w:r>
      <w:r w:rsidRPr="00640403">
        <w:rPr>
          <w:rFonts w:ascii="Arial" w:hAnsi="Arial" w:cs="Arial"/>
          <w:sz w:val="24"/>
          <w:szCs w:val="24"/>
        </w:rPr>
        <w:t xml:space="preserve">v. 406, n. 10520, p. 2667-2684. 2025. </w:t>
      </w:r>
    </w:p>
    <w:p w14:paraId="3B7D3106"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hAnsi="Arial" w:cs="Arial"/>
          <w:sz w:val="24"/>
          <w:szCs w:val="24"/>
        </w:rPr>
        <w:t xml:space="preserve"> Instituto Brasileiro de Geografia e Estatística (IBGE). Pesquisa de Orçamentos Familiares 2017-2018: análise do consumo alimentar pessoal no Brasil. Rio de Janeiro: IBGE; 2020</w:t>
      </w:r>
    </w:p>
    <w:p w14:paraId="4CCE86E0"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hAnsi="Arial" w:cs="Arial"/>
          <w:sz w:val="24"/>
          <w:szCs w:val="24"/>
          <w:lang w:val="en-US"/>
        </w:rPr>
        <w:t xml:space="preserve">McKinsey Global Institute. Overcoming obesity: an initial economic analysis. </w:t>
      </w:r>
      <w:r w:rsidRPr="00640403">
        <w:rPr>
          <w:rFonts w:ascii="Arial" w:hAnsi="Arial" w:cs="Arial"/>
          <w:sz w:val="24"/>
          <w:szCs w:val="24"/>
        </w:rPr>
        <w:t>London: McKinsey Global Institute; 2014</w:t>
      </w:r>
    </w:p>
    <w:p w14:paraId="2A191518"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hAnsi="Arial" w:cs="Arial"/>
          <w:sz w:val="24"/>
          <w:szCs w:val="24"/>
        </w:rPr>
        <w:t>BRASIL. Ministério da Saúde</w:t>
      </w:r>
      <w:r w:rsidRPr="00640403">
        <w:rPr>
          <w:rFonts w:ascii="Arial" w:hAnsi="Arial" w:cs="Arial"/>
          <w:i/>
          <w:iCs/>
          <w:sz w:val="24"/>
          <w:szCs w:val="24"/>
        </w:rPr>
        <w:t>.</w:t>
      </w:r>
      <w:r w:rsidRPr="00640403">
        <w:rPr>
          <w:rFonts w:ascii="Arial" w:hAnsi="Arial" w:cs="Arial"/>
          <w:sz w:val="24"/>
          <w:szCs w:val="24"/>
        </w:rPr>
        <w:t xml:space="preserve"> Guia alimentar para a população brasileira. Brasília, DF: Ministério da Saúde, 2014b.</w:t>
      </w:r>
    </w:p>
    <w:p w14:paraId="1F4B0BC4"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CD5F12">
        <w:rPr>
          <w:rFonts w:ascii="Arial" w:hAnsi="Arial" w:cs="Arial"/>
          <w:sz w:val="24"/>
          <w:szCs w:val="24"/>
          <w:lang w:val="fr-FR"/>
        </w:rPr>
        <w:t xml:space="preserve">COSTA, M. L. et al. </w:t>
      </w:r>
      <w:r w:rsidRPr="00640403">
        <w:rPr>
          <w:rFonts w:ascii="Arial" w:hAnsi="Arial" w:cs="Arial"/>
          <w:sz w:val="24"/>
          <w:szCs w:val="24"/>
        </w:rPr>
        <w:t xml:space="preserve">A participação de alimentos ultraprocessados deteremina a qualidade nutricional geral das dietas no Brasil. Nutrição em Saude Publica, 2017. Disponivel em https://pmc.ncbi.nlm.nih.gov/articles/PMC10260839/. </w:t>
      </w:r>
    </w:p>
    <w:p w14:paraId="1D0F3413"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hAnsi="Arial" w:cs="Arial"/>
          <w:sz w:val="24"/>
          <w:szCs w:val="24"/>
        </w:rPr>
        <w:t xml:space="preserve">AMANCIO, L. S.; SCHEMIKO, L. B.; RETONDARIO, A. Ambiente alimentar em um território de vulnerabilidade social em Piraquara-PR. Saúde em Debate, v. 48, n. 141, 2024. Disponível em: </w:t>
      </w:r>
      <w:hyperlink r:id="rId16" w:history="1">
        <w:r w:rsidRPr="00640403">
          <w:rPr>
            <w:rStyle w:val="Hyperlink"/>
            <w:rFonts w:ascii="Arial" w:hAnsi="Arial" w:cs="Arial"/>
            <w:sz w:val="24"/>
            <w:szCs w:val="24"/>
          </w:rPr>
          <w:t xml:space="preserve">Brasil - Ambiente alimentar emum território de </w:t>
        </w:r>
        <w:r w:rsidRPr="00640403">
          <w:rPr>
            <w:rStyle w:val="Hyperlink"/>
            <w:rFonts w:ascii="Arial" w:hAnsi="Arial" w:cs="Arial"/>
            <w:sz w:val="24"/>
            <w:szCs w:val="24"/>
          </w:rPr>
          <w:lastRenderedPageBreak/>
          <w:t>vulnerabilidade social em Piraquara-PR Ambiente alimentar em um território de vulnerabilidade social em Piraquara-PR</w:t>
        </w:r>
      </w:hyperlink>
    </w:p>
    <w:p w14:paraId="6B4D7685"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hAnsi="Arial" w:cs="Arial"/>
          <w:sz w:val="24"/>
          <w:szCs w:val="24"/>
        </w:rPr>
        <w:t>SANTOS, M. O retorno do território. In: SANTOS, M.; SOUZA, M. A. A.; SILVEIRA, M. L. Território: globalização e fragmentação. São Paulo: Hucitec/ANPUR, 2000.</w:t>
      </w:r>
    </w:p>
    <w:p w14:paraId="15C8C04F"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CD5F12">
        <w:rPr>
          <w:rFonts w:ascii="Arial" w:eastAsia="Times New Roman" w:hAnsi="Arial" w:cs="Arial"/>
          <w:sz w:val="24"/>
          <w:szCs w:val="24"/>
          <w:lang w:val="fr-FR" w:eastAsia="pt-BR"/>
        </w:rPr>
        <w:t xml:space="preserve">CHAGAS, A. S. et al. </w:t>
      </w:r>
      <w:r w:rsidRPr="00640403">
        <w:rPr>
          <w:rFonts w:ascii="Arial" w:eastAsia="Times New Roman" w:hAnsi="Arial" w:cs="Arial"/>
          <w:sz w:val="24"/>
          <w:szCs w:val="24"/>
          <w:lang w:eastAsia="pt-BR"/>
        </w:rPr>
        <w:t xml:space="preserve">Desigualdades sociais nas áreas vizinhas de desertos alimentares e pântanos alimentares em uma metrópole brasileira. Revista de Saúde Pública, São Paulo, v. 59, p. 15, 2025. Disponivel em: </w:t>
      </w:r>
      <w:hyperlink r:id="rId17" w:history="1">
        <w:r w:rsidRPr="00640403">
          <w:rPr>
            <w:rStyle w:val="Hyperlink"/>
            <w:rFonts w:ascii="Arial" w:hAnsi="Arial" w:cs="Arial"/>
            <w:sz w:val="24"/>
            <w:szCs w:val="24"/>
          </w:rPr>
          <w:t>Vista do Acesso físico às feiras de orgânicos municipais em favelas de Belo Horizonte, Minas Gerais</w:t>
        </w:r>
      </w:hyperlink>
    </w:p>
    <w:p w14:paraId="51865111"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eastAsia="Times New Roman" w:hAnsi="Arial" w:cs="Arial"/>
          <w:sz w:val="24"/>
          <w:szCs w:val="24"/>
          <w:lang w:eastAsia="pt-BR"/>
        </w:rPr>
        <w:t xml:space="preserve">MOREIRA, A.; NOGUEIRA, L.; CÂNDIDO, R. Ambiente alimentar comunitário e identificação de desertos e pântanos alimentares em uma cidade de Minas Gerais. Cadernos Saúde Coletiva, Rio de Janeiro, v. 32, n. 1, e320104, 2024. Disponível em: </w:t>
      </w:r>
      <w:hyperlink r:id="rId18" w:history="1">
        <w:r w:rsidRPr="00640403">
          <w:rPr>
            <w:rStyle w:val="Hyperlink"/>
            <w:rFonts w:ascii="Arial" w:hAnsi="Arial" w:cs="Arial"/>
            <w:sz w:val="24"/>
            <w:szCs w:val="24"/>
          </w:rPr>
          <w:t>Vista do Ambiente alimentar comunitário e identificação de desertos e pântanos alimentares em uma cidade de Minas Gerais</w:t>
        </w:r>
      </w:hyperlink>
    </w:p>
    <w:p w14:paraId="28E0E620"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eastAsia="Times New Roman" w:hAnsi="Arial" w:cs="Arial"/>
          <w:sz w:val="24"/>
          <w:szCs w:val="24"/>
          <w:lang w:eastAsia="pt-BR"/>
        </w:rPr>
        <w:t xml:space="preserve">OLIVEIRA, J. P. et al. Acesso físico às feiras de orgânicos municipais em favelas de Belo Horizonte, Minas Gerais. Revista de Nutrição, Campinas, v. 36, e220145, 2023. Disponivel em: </w:t>
      </w:r>
      <w:hyperlink r:id="rId19" w:history="1">
        <w:r w:rsidRPr="00640403">
          <w:rPr>
            <w:rStyle w:val="Hyperlink"/>
            <w:rFonts w:ascii="Arial" w:hAnsi="Arial" w:cs="Arial"/>
            <w:sz w:val="24"/>
            <w:szCs w:val="24"/>
          </w:rPr>
          <w:t>Vista do Acesso físico às feiras de orgânicos municipais em favelas de Belo Horizonte, Minas Gerais</w:t>
        </w:r>
      </w:hyperlink>
    </w:p>
    <w:p w14:paraId="56E91125"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eastAsia="Times New Roman" w:hAnsi="Arial" w:cs="Arial"/>
          <w:sz w:val="24"/>
          <w:szCs w:val="24"/>
          <w:lang w:eastAsia="pt-BR"/>
        </w:rPr>
        <w:t>MOREIRA, A.; NOGUEIRA, L.; CÂNDIDO, R. Ambiente alimentar comunitário e identificação de desertos e pântanos alimentares em uma cidade de Minas Gerais. Cadernos Saúde Coletiva, Rio de Janeiro, v. 32, n. 1, e320104, 2024. Disponivel em:</w:t>
      </w:r>
      <w:r w:rsidRPr="00640403">
        <w:rPr>
          <w:rFonts w:ascii="Arial" w:hAnsi="Arial" w:cs="Arial"/>
          <w:sz w:val="24"/>
          <w:szCs w:val="24"/>
        </w:rPr>
        <w:t xml:space="preserve"> </w:t>
      </w:r>
      <w:hyperlink r:id="rId20" w:history="1">
        <w:r w:rsidRPr="00640403">
          <w:rPr>
            <w:rStyle w:val="Hyperlink"/>
            <w:rFonts w:ascii="Arial" w:hAnsi="Arial" w:cs="Arial"/>
            <w:sz w:val="24"/>
            <w:szCs w:val="24"/>
          </w:rPr>
          <w:t>Vista do Ambiente alimentar comunitário e identificação de desertos e pântanos alimentares em uma cidade de Minas Gerais</w:t>
        </w:r>
      </w:hyperlink>
    </w:p>
    <w:p w14:paraId="4643A922"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CD5F12">
        <w:rPr>
          <w:rFonts w:ascii="Arial" w:eastAsia="Times New Roman" w:hAnsi="Arial" w:cs="Arial"/>
          <w:sz w:val="24"/>
          <w:szCs w:val="24"/>
          <w:lang w:val="fr-FR" w:eastAsia="pt-BR"/>
        </w:rPr>
        <w:t xml:space="preserve">ROCHA, D. S. et al. </w:t>
      </w:r>
      <w:r w:rsidRPr="00640403">
        <w:rPr>
          <w:rFonts w:ascii="Arial" w:eastAsia="Times New Roman" w:hAnsi="Arial" w:cs="Arial"/>
          <w:sz w:val="24"/>
          <w:szCs w:val="24"/>
          <w:lang w:eastAsia="pt-BR"/>
        </w:rPr>
        <w:t xml:space="preserve">Desigualdades intraurbanas no ambiente alimentar comunitário de uma região metropolitana brasileira: uma análise de desertos alimentares, pântanos e oásis. Health &amp; Place, Oxford, v. 82, 2023. Disponível em: </w:t>
      </w:r>
      <w:hyperlink r:id="rId21" w:anchor="sec0001" w:history="1">
        <w:r w:rsidRPr="00640403">
          <w:rPr>
            <w:rStyle w:val="Hyperlink"/>
            <w:rFonts w:ascii="Arial" w:hAnsi="Arial" w:cs="Arial"/>
            <w:sz w:val="24"/>
            <w:szCs w:val="24"/>
          </w:rPr>
          <w:t>Desigualdades intraurbanas no ambiente alimentar comunitário de uma região metropolitana brasileira: Uma análise de desertos alimentares, pântanos e oásis - ScienceDirect</w:t>
        </w:r>
      </w:hyperlink>
    </w:p>
    <w:p w14:paraId="2CBC5E63"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640403">
        <w:rPr>
          <w:rFonts w:ascii="Arial" w:eastAsia="Times New Roman" w:hAnsi="Arial" w:cs="Arial"/>
          <w:sz w:val="24"/>
          <w:szCs w:val="24"/>
          <w:lang w:eastAsia="pt-BR"/>
        </w:rPr>
        <w:t xml:space="preserve"> </w:t>
      </w:r>
      <w:r w:rsidRPr="00CD5F12">
        <w:rPr>
          <w:rFonts w:ascii="Arial" w:eastAsia="Times New Roman" w:hAnsi="Arial" w:cs="Arial"/>
          <w:sz w:val="24"/>
          <w:szCs w:val="24"/>
          <w:lang w:val="fr-FR" w:eastAsia="pt-BR"/>
        </w:rPr>
        <w:t xml:space="preserve">SILVA, T. L. et al. </w:t>
      </w:r>
      <w:r w:rsidRPr="00640403">
        <w:rPr>
          <w:rFonts w:ascii="Arial" w:eastAsia="Times New Roman" w:hAnsi="Arial" w:cs="Arial"/>
          <w:sz w:val="24"/>
          <w:szCs w:val="24"/>
          <w:lang w:eastAsia="pt-BR"/>
        </w:rPr>
        <w:t>Desigualdades sociais em desertos alimentares e pântanos alimentares em uma capital do nordeste do Brasil. Journal of Biosocial Science, Cambridge, v. 56, n. 2, p. 245-260, 2024. Disponível em:</w:t>
      </w:r>
      <w:r w:rsidRPr="00640403">
        <w:rPr>
          <w:rFonts w:ascii="Arial" w:hAnsi="Arial" w:cs="Arial"/>
          <w:sz w:val="24"/>
          <w:szCs w:val="24"/>
        </w:rPr>
        <w:t xml:space="preserve"> </w:t>
      </w:r>
      <w:hyperlink r:id="rId22" w:history="1">
        <w:r w:rsidRPr="00640403">
          <w:rPr>
            <w:rStyle w:val="Hyperlink"/>
            <w:rFonts w:ascii="Arial" w:hAnsi="Arial" w:cs="Arial"/>
            <w:sz w:val="24"/>
            <w:szCs w:val="24"/>
          </w:rPr>
          <w:t>Desigualdades sociais em desertos alimentares e pântanos alimentares em uma capital do nordeste do Brasil | Revista de Ciências Biosociais | Cambridge Core</w:t>
        </w:r>
      </w:hyperlink>
    </w:p>
    <w:p w14:paraId="517DB80E"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CD5F12">
        <w:rPr>
          <w:rFonts w:ascii="Arial" w:eastAsia="Times New Roman" w:hAnsi="Arial" w:cs="Arial"/>
          <w:sz w:val="24"/>
          <w:szCs w:val="24"/>
          <w:lang w:val="fr-FR" w:eastAsia="pt-BR"/>
        </w:rPr>
        <w:t xml:space="preserve">ALMEIDA, P. F. et al. </w:t>
      </w:r>
      <w:r w:rsidRPr="00640403">
        <w:rPr>
          <w:rFonts w:ascii="Arial" w:eastAsia="Times New Roman" w:hAnsi="Arial" w:cs="Arial"/>
          <w:sz w:val="24"/>
          <w:szCs w:val="24"/>
          <w:lang w:eastAsia="pt-BR"/>
        </w:rPr>
        <w:t>O ambiente alimentar nas favelas está associado à presença de hipertensão arterial e diabetes em mulheres socialmente vulneráveis. Cadernos de Saúde Pública, Rio de Janeiro, v. 39, n. 7, e00045623, 2023. Disponivel em:</w:t>
      </w:r>
      <w:r w:rsidRPr="00640403">
        <w:rPr>
          <w:rFonts w:ascii="Arial" w:hAnsi="Arial" w:cs="Arial"/>
          <w:sz w:val="24"/>
          <w:szCs w:val="24"/>
        </w:rPr>
        <w:t xml:space="preserve"> </w:t>
      </w:r>
      <w:hyperlink r:id="rId23" w:history="1">
        <w:r w:rsidRPr="00640403">
          <w:rPr>
            <w:rStyle w:val="Hyperlink"/>
            <w:rFonts w:ascii="Arial" w:hAnsi="Arial" w:cs="Arial"/>
            <w:sz w:val="24"/>
            <w:szCs w:val="24"/>
          </w:rPr>
          <w:t>O ambiente alimentar nas favelas está associado à presença de hipertensão arterial e diabetes em mulheres socialmente vulneráveis - PubMed</w:t>
        </w:r>
      </w:hyperlink>
    </w:p>
    <w:p w14:paraId="5F0AE4D9" w14:textId="77777777" w:rsidR="005D19E8" w:rsidRPr="00CD5F12" w:rsidRDefault="005D19E8" w:rsidP="005D19E8">
      <w:pPr>
        <w:pStyle w:val="PargrafodaLista"/>
        <w:numPr>
          <w:ilvl w:val="0"/>
          <w:numId w:val="8"/>
        </w:numPr>
        <w:spacing w:after="0" w:line="240" w:lineRule="auto"/>
        <w:jc w:val="both"/>
        <w:rPr>
          <w:rFonts w:ascii="Arial" w:hAnsi="Arial" w:cs="Arial"/>
          <w:sz w:val="24"/>
          <w:szCs w:val="24"/>
        </w:rPr>
      </w:pPr>
      <w:r w:rsidRPr="00CD5F12">
        <w:rPr>
          <w:rFonts w:ascii="Arial" w:eastAsia="Times New Roman" w:hAnsi="Arial" w:cs="Arial"/>
          <w:sz w:val="24"/>
          <w:szCs w:val="24"/>
          <w:lang w:val="fr-FR" w:eastAsia="pt-BR"/>
        </w:rPr>
        <w:t xml:space="preserve">COSTA, M. A. et al. </w:t>
      </w:r>
      <w:r w:rsidRPr="00640403">
        <w:rPr>
          <w:rFonts w:ascii="Arial" w:eastAsia="Times New Roman" w:hAnsi="Arial" w:cs="Arial"/>
          <w:sz w:val="24"/>
          <w:szCs w:val="24"/>
          <w:lang w:val="en-US" w:eastAsia="pt-BR"/>
        </w:rPr>
        <w:t xml:space="preserve">Food environment at subway stations: a study in the municipality of São Paulo, Brazil. </w:t>
      </w:r>
      <w:r w:rsidRPr="00CD5F12">
        <w:rPr>
          <w:rFonts w:ascii="Arial" w:eastAsia="Times New Roman" w:hAnsi="Arial" w:cs="Arial"/>
          <w:sz w:val="24"/>
          <w:szCs w:val="24"/>
          <w:lang w:eastAsia="pt-BR"/>
        </w:rPr>
        <w:t>Revista de Saúde Pública, São Paulo, v. 57, p. 102, 2023. Disponível em:</w:t>
      </w:r>
      <w:r w:rsidRPr="00CD5F12">
        <w:rPr>
          <w:rFonts w:ascii="Arial" w:hAnsi="Arial" w:cs="Arial"/>
          <w:sz w:val="24"/>
          <w:szCs w:val="24"/>
        </w:rPr>
        <w:t xml:space="preserve"> </w:t>
      </w:r>
      <w:hyperlink r:id="rId24" w:history="1">
        <w:r w:rsidRPr="00CD5F12">
          <w:rPr>
            <w:rStyle w:val="Hyperlink"/>
            <w:rFonts w:ascii="Arial" w:hAnsi="Arial" w:cs="Arial"/>
            <w:sz w:val="24"/>
            <w:szCs w:val="24"/>
          </w:rPr>
          <w:t>Food environment at subway stations: a study in the municipality of São Paulo, Brazil - PubMed</w:t>
        </w:r>
      </w:hyperlink>
    </w:p>
    <w:p w14:paraId="3FFA4B06"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CD5F12">
        <w:rPr>
          <w:rFonts w:ascii="Arial" w:eastAsia="Times New Roman" w:hAnsi="Arial" w:cs="Arial"/>
          <w:sz w:val="24"/>
          <w:szCs w:val="24"/>
          <w:lang w:val="fr-FR" w:eastAsia="pt-BR"/>
        </w:rPr>
        <w:t xml:space="preserve">SOUZA, R. R. et al. </w:t>
      </w:r>
      <w:r w:rsidRPr="00640403">
        <w:rPr>
          <w:rFonts w:ascii="Arial" w:eastAsia="Times New Roman" w:hAnsi="Arial" w:cs="Arial"/>
          <w:sz w:val="24"/>
          <w:szCs w:val="24"/>
          <w:lang w:val="en-US" w:eastAsia="pt-BR"/>
        </w:rPr>
        <w:t xml:space="preserve">Ultra-Processed Food Availability and Sociodemographic Associated Factors in a Brazilian Municipality. </w:t>
      </w:r>
      <w:r w:rsidRPr="00640403">
        <w:rPr>
          <w:rFonts w:ascii="Arial" w:eastAsia="Times New Roman" w:hAnsi="Arial" w:cs="Arial"/>
          <w:sz w:val="24"/>
          <w:szCs w:val="24"/>
          <w:lang w:eastAsia="pt-BR"/>
        </w:rPr>
        <w:t>Public Health Nutrition, Cambridge, v. 27, n. 2, p. 1-10, 2024.</w:t>
      </w:r>
    </w:p>
    <w:p w14:paraId="001CF821" w14:textId="77777777" w:rsidR="005D19E8" w:rsidRPr="00CD5F12" w:rsidRDefault="005D19E8" w:rsidP="005D19E8">
      <w:pPr>
        <w:pStyle w:val="PargrafodaLista"/>
        <w:numPr>
          <w:ilvl w:val="0"/>
          <w:numId w:val="8"/>
        </w:numPr>
        <w:spacing w:after="0" w:line="240" w:lineRule="auto"/>
        <w:jc w:val="both"/>
        <w:rPr>
          <w:rFonts w:ascii="Arial" w:hAnsi="Arial" w:cs="Arial"/>
          <w:sz w:val="24"/>
          <w:szCs w:val="24"/>
          <w:lang w:val="en-CA"/>
        </w:rPr>
      </w:pPr>
      <w:r w:rsidRPr="00640403">
        <w:rPr>
          <w:rFonts w:ascii="Arial" w:eastAsia="Times New Roman" w:hAnsi="Arial" w:cs="Arial"/>
          <w:sz w:val="24"/>
          <w:szCs w:val="24"/>
          <w:lang w:eastAsia="pt-BR"/>
        </w:rPr>
        <w:t xml:space="preserve"> PEREIRA, L. M. et al. Mapeamento de pântanos alimentares em Campinas, Brasil. Revista de Saúde Pública, São Paulo, v. 58, p. 77, 2024. </w:t>
      </w:r>
      <w:r w:rsidRPr="00CD5F12">
        <w:rPr>
          <w:rFonts w:ascii="Arial" w:eastAsia="Times New Roman" w:hAnsi="Arial" w:cs="Arial"/>
          <w:sz w:val="24"/>
          <w:szCs w:val="24"/>
          <w:lang w:val="en-CA" w:eastAsia="pt-BR"/>
        </w:rPr>
        <w:t>Disponível em:</w:t>
      </w:r>
      <w:r w:rsidRPr="00CD5F12">
        <w:rPr>
          <w:rFonts w:ascii="Arial" w:hAnsi="Arial" w:cs="Arial"/>
          <w:sz w:val="24"/>
          <w:szCs w:val="24"/>
          <w:lang w:val="en-CA"/>
        </w:rPr>
        <w:t xml:space="preserve"> </w:t>
      </w:r>
      <w:hyperlink r:id="rId25" w:history="1">
        <w:r w:rsidRPr="00CD5F12">
          <w:rPr>
            <w:rStyle w:val="Hyperlink"/>
            <w:rFonts w:ascii="Arial" w:hAnsi="Arial" w:cs="Arial"/>
            <w:color w:val="000000" w:themeColor="text1"/>
            <w:sz w:val="24"/>
            <w:szCs w:val="24"/>
            <w:lang w:val="en-CA"/>
          </w:rPr>
          <w:t>Ultra-Processed Food Availability and Sociodemographic Associated Factors in a Brazilian Municipality - PubMed</w:t>
        </w:r>
      </w:hyperlink>
    </w:p>
    <w:p w14:paraId="7267C062"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CD5F12">
        <w:rPr>
          <w:rFonts w:ascii="Arial" w:eastAsia="Times New Roman" w:hAnsi="Arial" w:cs="Arial"/>
          <w:sz w:val="24"/>
          <w:szCs w:val="24"/>
          <w:lang w:val="fr-FR" w:eastAsia="pt-BR"/>
        </w:rPr>
        <w:t xml:space="preserve">ROCHA, D. S. et al. </w:t>
      </w:r>
      <w:r w:rsidRPr="00640403">
        <w:rPr>
          <w:rFonts w:ascii="Arial" w:eastAsia="Times New Roman" w:hAnsi="Arial" w:cs="Arial"/>
          <w:sz w:val="24"/>
          <w:szCs w:val="24"/>
          <w:lang w:eastAsia="pt-BR"/>
        </w:rPr>
        <w:t>Percepção dos residentes de favelas brasileiras sobre o ambiente alimentar: um estudo qualitativo. Cadernos de Saúde Pública, Rio de Janeiro, v. 40, n. 2, e00124523, 2024. Disponível em:</w:t>
      </w:r>
      <w:r w:rsidRPr="00640403">
        <w:rPr>
          <w:rFonts w:ascii="Arial" w:hAnsi="Arial" w:cs="Arial"/>
          <w:sz w:val="24"/>
          <w:szCs w:val="24"/>
        </w:rPr>
        <w:t xml:space="preserve"> </w:t>
      </w:r>
      <w:hyperlink r:id="rId26" w:history="1">
        <w:r w:rsidRPr="00640403">
          <w:rPr>
            <w:rStyle w:val="Hyperlink"/>
            <w:rFonts w:ascii="Arial" w:hAnsi="Arial" w:cs="Arial"/>
            <w:sz w:val="24"/>
            <w:szCs w:val="24"/>
          </w:rPr>
          <w:t>SciELO - Saúde Pública - Mapeamento de pântanos alimentares em Campinas, Brasil Mapeamento de pântanos alimentares em Campinas, Brasil</w:t>
        </w:r>
      </w:hyperlink>
    </w:p>
    <w:p w14:paraId="114C6ADD"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CD5F12">
        <w:rPr>
          <w:rFonts w:ascii="Arial" w:hAnsi="Arial" w:cs="Arial"/>
          <w:sz w:val="24"/>
          <w:szCs w:val="24"/>
          <w:lang w:val="fr-FR"/>
        </w:rPr>
        <w:t xml:space="preserve">ROCHA, D. S. et al. </w:t>
      </w:r>
      <w:r w:rsidRPr="00640403">
        <w:rPr>
          <w:rFonts w:ascii="Arial" w:hAnsi="Arial" w:cs="Arial"/>
          <w:sz w:val="24"/>
          <w:szCs w:val="24"/>
        </w:rPr>
        <w:t xml:space="preserve">Percepção dos residentes de favelas brasileiras sobre o ambiente alimentar: um estudo qualitativo. Cadernos de Saúde Pública, Rio de Janeiro, v. 40, n. 2, e00124523, 2024. Disponível em: </w:t>
      </w:r>
      <w:hyperlink r:id="rId27" w:history="1">
        <w:r w:rsidRPr="00640403">
          <w:rPr>
            <w:rStyle w:val="Hyperlink"/>
            <w:rFonts w:ascii="Arial" w:hAnsi="Arial" w:cs="Arial"/>
            <w:sz w:val="24"/>
            <w:szCs w:val="24"/>
          </w:rPr>
          <w:t>SciELO Brasil - Percepção dos residentes de favelas brasileiras sobre o ambiente alimentar: um estudo qualitativo Percepção dos residentes de favelas brasileiras sobre o ambiente alimentar: um estudo qualitativo</w:t>
        </w:r>
      </w:hyperlink>
    </w:p>
    <w:p w14:paraId="3BAC5A81"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eastAsia="Times New Roman" w:hAnsi="Arial" w:cs="Arial"/>
          <w:sz w:val="24"/>
          <w:szCs w:val="24"/>
          <w:lang w:eastAsia="pt-BR"/>
        </w:rPr>
        <w:t xml:space="preserve"> </w:t>
      </w:r>
      <w:r w:rsidRPr="00CD5F12">
        <w:rPr>
          <w:rFonts w:ascii="Arial" w:eastAsia="Times New Roman" w:hAnsi="Arial" w:cs="Arial"/>
          <w:sz w:val="24"/>
          <w:szCs w:val="24"/>
          <w:lang w:val="fr-FR" w:eastAsia="pt-BR"/>
        </w:rPr>
        <w:t xml:space="preserve">CLARO, R. M. et al. </w:t>
      </w:r>
      <w:r w:rsidRPr="00640403">
        <w:rPr>
          <w:rFonts w:ascii="Arial" w:eastAsia="Times New Roman" w:hAnsi="Arial" w:cs="Arial"/>
          <w:sz w:val="24"/>
          <w:szCs w:val="24"/>
          <w:lang w:val="en-US" w:eastAsia="pt-BR"/>
        </w:rPr>
        <w:t xml:space="preserve">Changes in socioeconomic inequalities in food consumption among Brazilian adults in a 10-years period. </w:t>
      </w:r>
      <w:r w:rsidRPr="00640403">
        <w:rPr>
          <w:rFonts w:ascii="Arial" w:eastAsia="Times New Roman" w:hAnsi="Arial" w:cs="Arial"/>
          <w:sz w:val="24"/>
          <w:szCs w:val="24"/>
          <w:lang w:eastAsia="pt-BR"/>
        </w:rPr>
        <w:t>Public Health Nutrition, Cambridge, v. 27, n. 1, p. 1-10, 2024.</w:t>
      </w:r>
    </w:p>
    <w:p w14:paraId="5E18E5DF"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eastAsia="Times New Roman" w:hAnsi="Arial" w:cs="Arial"/>
          <w:sz w:val="24"/>
          <w:szCs w:val="24"/>
          <w:lang w:eastAsia="pt-BR"/>
        </w:rPr>
        <w:t xml:space="preserve"> INSTITUTO BRASILEIRO DE GEOGRAFIA E ESTATÍSTICA (IBGE). Pesquisa de Orçamentos Familiares 2017-2018: análise do consumo alimentar pessoal no Brasil. Rio de Janeiro: IBGE, 2020.</w:t>
      </w:r>
    </w:p>
    <w:p w14:paraId="7C378223"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CD5F12">
        <w:rPr>
          <w:rFonts w:ascii="Arial" w:eastAsia="Times New Roman" w:hAnsi="Arial" w:cs="Arial"/>
          <w:sz w:val="24"/>
          <w:szCs w:val="24"/>
          <w:lang w:val="fr-FR" w:eastAsia="pt-BR"/>
        </w:rPr>
        <w:t xml:space="preserve">LOUZADA, M. L. C. et al. </w:t>
      </w:r>
      <w:r w:rsidRPr="00640403">
        <w:rPr>
          <w:rFonts w:ascii="Arial" w:eastAsia="Times New Roman" w:hAnsi="Arial" w:cs="Arial"/>
          <w:sz w:val="24"/>
          <w:szCs w:val="24"/>
          <w:lang w:eastAsia="pt-BR"/>
        </w:rPr>
        <w:t>Desigualdades socioeconômicas no consumo de alimentos minimamente processados e ultraprocessados em adolescentes brasileiros. Revista de Saúde Pública, São Paulo, v. 57, p. 92, 2023.</w:t>
      </w:r>
      <w:r w:rsidRPr="00640403">
        <w:rPr>
          <w:rFonts w:ascii="Arial" w:hAnsi="Arial" w:cs="Arial"/>
          <w:sz w:val="24"/>
          <w:szCs w:val="24"/>
        </w:rPr>
        <w:t>Santos M. A natureza do espaço: técnica e tempo, razão e emoção. 4. ed. São Paulo: Edusp; 2006.</w:t>
      </w:r>
    </w:p>
    <w:p w14:paraId="788868A8" w14:textId="77777777" w:rsidR="005D19E8" w:rsidRPr="00640403" w:rsidRDefault="005D19E8" w:rsidP="005D19E8">
      <w:pPr>
        <w:pStyle w:val="PargrafodaLista"/>
        <w:numPr>
          <w:ilvl w:val="0"/>
          <w:numId w:val="8"/>
        </w:numPr>
        <w:spacing w:after="0" w:line="240" w:lineRule="auto"/>
        <w:jc w:val="both"/>
        <w:rPr>
          <w:rFonts w:ascii="Arial" w:hAnsi="Arial" w:cs="Arial"/>
          <w:sz w:val="24"/>
          <w:szCs w:val="24"/>
        </w:rPr>
      </w:pPr>
      <w:r w:rsidRPr="00640403">
        <w:rPr>
          <w:rFonts w:ascii="Arial" w:hAnsi="Arial" w:cs="Arial"/>
          <w:sz w:val="24"/>
          <w:szCs w:val="24"/>
        </w:rPr>
        <w:t>MONKEN M, Barcellos C. Vigilância em saúde e território utilizado: possibilidades teóricas e metodológicas. Cad Saúde Pública. 2005;21(3):898-906</w:t>
      </w:r>
    </w:p>
    <w:p w14:paraId="2423DD42"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640403">
        <w:rPr>
          <w:rFonts w:ascii="Arial" w:hAnsi="Arial" w:cs="Arial"/>
          <w:sz w:val="24"/>
          <w:szCs w:val="24"/>
        </w:rPr>
        <w:t>Câmara Interministerial de Segurança Alimentar e Nutricional (CAISAN). Mapeamento dos desertos alimentares no Brasil. Brasília: CAISAN; 2018</w:t>
      </w:r>
    </w:p>
    <w:p w14:paraId="0EEBF9EE" w14:textId="77777777" w:rsidR="005D19E8" w:rsidRPr="00CD5F12" w:rsidRDefault="005D19E8" w:rsidP="005D19E8">
      <w:pPr>
        <w:pStyle w:val="PargrafodaLista"/>
        <w:numPr>
          <w:ilvl w:val="0"/>
          <w:numId w:val="8"/>
        </w:numPr>
        <w:spacing w:after="0" w:line="240" w:lineRule="auto"/>
        <w:rPr>
          <w:rFonts w:ascii="Arial" w:eastAsia="Times New Roman" w:hAnsi="Arial" w:cs="Arial"/>
          <w:sz w:val="24"/>
          <w:szCs w:val="24"/>
          <w:lang w:val="en-CA" w:eastAsia="pt-BR"/>
        </w:rPr>
      </w:pPr>
      <w:r w:rsidRPr="00640403">
        <w:rPr>
          <w:rFonts w:ascii="Arial" w:hAnsi="Arial" w:cs="Arial"/>
          <w:sz w:val="24"/>
          <w:szCs w:val="24"/>
          <w:lang w:val="en-US"/>
        </w:rPr>
        <w:t xml:space="preserve">GLANZ K, Sallis JF, Saelens BE, Frank LD. Healthy nutrition environments: concepts and measures. </w:t>
      </w:r>
      <w:r w:rsidRPr="00CD5F12">
        <w:rPr>
          <w:rFonts w:ascii="Arial" w:hAnsi="Arial" w:cs="Arial"/>
          <w:sz w:val="24"/>
          <w:szCs w:val="24"/>
          <w:lang w:val="en-CA"/>
        </w:rPr>
        <w:t>Am J Health Promot. 2005;19(5):330-333.</w:t>
      </w:r>
    </w:p>
    <w:p w14:paraId="0DDFE7D8" w14:textId="77777777" w:rsidR="005D19E8" w:rsidRPr="00CD5F12" w:rsidRDefault="005D19E8" w:rsidP="005D19E8">
      <w:pPr>
        <w:pStyle w:val="PargrafodaLista"/>
        <w:numPr>
          <w:ilvl w:val="0"/>
          <w:numId w:val="8"/>
        </w:numPr>
        <w:spacing w:after="0" w:line="240" w:lineRule="auto"/>
        <w:rPr>
          <w:rFonts w:ascii="Arial" w:eastAsia="Times New Roman" w:hAnsi="Arial" w:cs="Arial"/>
          <w:sz w:val="24"/>
          <w:szCs w:val="24"/>
          <w:lang w:val="en-CA" w:eastAsia="pt-BR"/>
        </w:rPr>
      </w:pPr>
      <w:r w:rsidRPr="00CD5F12">
        <w:rPr>
          <w:rFonts w:ascii="Arial" w:eastAsia="Times New Roman" w:hAnsi="Arial" w:cs="Arial"/>
          <w:sz w:val="24"/>
          <w:szCs w:val="24"/>
          <w:lang w:eastAsia="pt-BR"/>
        </w:rPr>
        <w:t xml:space="preserve">MONTEIRO CA, Cannon G, Levy RB, Moubarac JC, Louzada MLC, Rauber F, et al. </w:t>
      </w:r>
      <w:r w:rsidRPr="00640403">
        <w:rPr>
          <w:rFonts w:ascii="Arial" w:eastAsia="Times New Roman" w:hAnsi="Arial" w:cs="Arial"/>
          <w:sz w:val="24"/>
          <w:szCs w:val="24"/>
          <w:lang w:val="en-US" w:eastAsia="pt-BR"/>
        </w:rPr>
        <w:t xml:space="preserve">Ultra-processed foods: what they are and how to identify them. </w:t>
      </w:r>
      <w:r w:rsidRPr="00CD5F12">
        <w:rPr>
          <w:rFonts w:ascii="Arial" w:eastAsia="Times New Roman" w:hAnsi="Arial" w:cs="Arial"/>
          <w:sz w:val="24"/>
          <w:szCs w:val="24"/>
          <w:lang w:val="en-CA" w:eastAsia="pt-BR"/>
        </w:rPr>
        <w:t>Public Health Nutr. 2019;22(5):936-941.</w:t>
      </w:r>
    </w:p>
    <w:p w14:paraId="61CE0EC7"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640403">
        <w:rPr>
          <w:rFonts w:ascii="Arial" w:eastAsia="Times New Roman" w:hAnsi="Arial" w:cs="Arial"/>
          <w:sz w:val="24"/>
          <w:szCs w:val="24"/>
          <w:lang w:val="en-US" w:eastAsia="pt-BR"/>
        </w:rPr>
        <w:t xml:space="preserve"> SWINBURN BA, Sacks G, Hall KD, McPherson K, Finegood DT, Moodie ML, et al. The global obesity pandemic: shaped by global drivers and local environments. </w:t>
      </w:r>
      <w:r w:rsidRPr="00640403">
        <w:rPr>
          <w:rFonts w:ascii="Arial" w:eastAsia="Times New Roman" w:hAnsi="Arial" w:cs="Arial"/>
          <w:sz w:val="24"/>
          <w:szCs w:val="24"/>
          <w:lang w:eastAsia="pt-BR"/>
        </w:rPr>
        <w:t>Lancet. 2011;378(9793):804-814.</w:t>
      </w:r>
    </w:p>
    <w:p w14:paraId="3919C2CF"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640403">
        <w:rPr>
          <w:rFonts w:ascii="Arial" w:hAnsi="Arial" w:cs="Arial"/>
          <w:sz w:val="24"/>
          <w:szCs w:val="24"/>
          <w:lang w:val="en-US"/>
        </w:rPr>
        <w:t xml:space="preserve">MACINTYRE S. Deprivation amplification revisited; or, is it always true that poorer places have poorer access to resources for healthy diets and physical activity? </w:t>
      </w:r>
      <w:r w:rsidRPr="00640403">
        <w:rPr>
          <w:rFonts w:ascii="Arial" w:hAnsi="Arial" w:cs="Arial"/>
          <w:sz w:val="24"/>
          <w:szCs w:val="24"/>
        </w:rPr>
        <w:t>Int J Behav Nutr Phys Act. 2007;4:32.</w:t>
      </w:r>
    </w:p>
    <w:p w14:paraId="2C5342DC"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CD5F12">
        <w:rPr>
          <w:rFonts w:ascii="Arial" w:hAnsi="Arial" w:cs="Arial"/>
          <w:sz w:val="24"/>
          <w:szCs w:val="24"/>
          <w:lang w:val="fr-FR"/>
        </w:rPr>
        <w:t xml:space="preserve">ROCHADS, Almeida PF, Souza RR, et al. </w:t>
      </w:r>
      <w:r w:rsidRPr="00640403">
        <w:rPr>
          <w:rFonts w:ascii="Arial" w:hAnsi="Arial" w:cs="Arial"/>
          <w:sz w:val="24"/>
          <w:szCs w:val="24"/>
        </w:rPr>
        <w:t>Desertos alimentares e desigualdades raciais no Brasil. Saúde Debate. 2024;48(140):220-235.</w:t>
      </w:r>
    </w:p>
    <w:p w14:paraId="1138CC97"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640403">
        <w:rPr>
          <w:rFonts w:ascii="Arial" w:hAnsi="Arial" w:cs="Arial"/>
          <w:sz w:val="24"/>
          <w:szCs w:val="24"/>
        </w:rPr>
        <w:t xml:space="preserve">AMBUICHI RHR, Silva APM, Oliveira MA, et al. Programa de Aquisição de Alimentos e Segurança Alimentar no Brasil. Brasília: IPEA; 2019 </w:t>
      </w:r>
    </w:p>
    <w:p w14:paraId="4B0D6817"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640403">
        <w:rPr>
          <w:rFonts w:ascii="Arial" w:hAnsi="Arial" w:cs="Arial"/>
          <w:sz w:val="24"/>
          <w:szCs w:val="24"/>
        </w:rPr>
        <w:t>GRISA C,, Schneider S. Três gerações de políticas públicas para a agricultura familiar eformas de interação entre sociedade e Estado no Brasil. Rev Econ Sociol Rural. 2015;52(suppl 1):125-146</w:t>
      </w:r>
    </w:p>
    <w:p w14:paraId="5C5F0CC6"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640403">
        <w:rPr>
          <w:rFonts w:ascii="Arial" w:hAnsi="Arial" w:cs="Arial"/>
          <w:sz w:val="24"/>
          <w:szCs w:val="24"/>
        </w:rPr>
        <w:t>CAIAFA J. Cozinhas solidárias e redes comunitárias de combate à fome no Brasil. Rev Katálysis. 2022;25(3):560-569</w:t>
      </w:r>
    </w:p>
    <w:p w14:paraId="457A00A4"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640403">
        <w:rPr>
          <w:rFonts w:ascii="Arial" w:hAnsi="Arial" w:cs="Arial"/>
          <w:sz w:val="24"/>
          <w:szCs w:val="24"/>
        </w:rPr>
        <w:t>BRASIL. Decreto nº 11.937, de 5 de março de 2024. Regulamenta o Programa Cozinha Solidária. Diário Oficial da União. 6 mar 2024.</w:t>
      </w:r>
    </w:p>
    <w:p w14:paraId="74775EF4"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640403">
        <w:rPr>
          <w:rFonts w:ascii="Arial" w:hAnsi="Arial" w:cs="Arial"/>
          <w:sz w:val="24"/>
          <w:szCs w:val="24"/>
        </w:rPr>
        <w:t>MALUFRS. Segurança alimentar e nutricional. Petrópolis: Vozes; 2009.</w:t>
      </w:r>
    </w:p>
    <w:p w14:paraId="2282AC81" w14:textId="77777777" w:rsidR="005D19E8" w:rsidRPr="00640403" w:rsidRDefault="005D19E8" w:rsidP="005D19E8">
      <w:pPr>
        <w:pStyle w:val="PargrafodaLista"/>
        <w:numPr>
          <w:ilvl w:val="0"/>
          <w:numId w:val="8"/>
        </w:numPr>
        <w:spacing w:after="0" w:line="240" w:lineRule="auto"/>
        <w:rPr>
          <w:rFonts w:ascii="Arial" w:eastAsia="Times New Roman" w:hAnsi="Arial" w:cs="Arial"/>
          <w:sz w:val="24"/>
          <w:szCs w:val="24"/>
          <w:lang w:eastAsia="pt-BR"/>
        </w:rPr>
      </w:pPr>
      <w:r w:rsidRPr="00640403">
        <w:rPr>
          <w:rFonts w:ascii="Arial" w:hAnsi="Arial" w:cs="Arial"/>
          <w:sz w:val="24"/>
          <w:szCs w:val="24"/>
        </w:rPr>
        <w:t>MENDONÇA M, Monteiro D. Agricultura urbana e transformação dos espaços urbanos. Rev Geogr Acadêmica. 2015;9(2):45-58.</w:t>
      </w:r>
    </w:p>
    <w:p w14:paraId="0A20A011" w14:textId="2A93E1B4" w:rsidR="005D19E8" w:rsidRPr="00FE77F7" w:rsidRDefault="005D19E8" w:rsidP="005D19E8">
      <w:pPr>
        <w:pStyle w:val="PargrafodaLista"/>
        <w:numPr>
          <w:ilvl w:val="0"/>
          <w:numId w:val="8"/>
        </w:numPr>
        <w:spacing w:after="0" w:line="240" w:lineRule="auto"/>
        <w:rPr>
          <w:rFonts w:ascii="Arial" w:eastAsia="Times New Roman" w:hAnsi="Arial" w:cs="Arial"/>
          <w:sz w:val="24"/>
          <w:szCs w:val="24"/>
          <w:lang w:val="en-US" w:eastAsia="pt-BR"/>
        </w:rPr>
      </w:pPr>
      <w:r w:rsidRPr="00640403">
        <w:rPr>
          <w:rFonts w:ascii="Arial" w:hAnsi="Arial" w:cs="Arial"/>
          <w:sz w:val="24"/>
          <w:szCs w:val="24"/>
          <w:lang w:val="en-US"/>
        </w:rPr>
        <w:t>Food and Agriculture Organization of the United Nations (FAO). Urban food agenda. Rome: FAO; 2019.</w:t>
      </w:r>
    </w:p>
    <w:p w14:paraId="6E999A84" w14:textId="0E2D212C" w:rsidR="00FE77F7" w:rsidRDefault="00FE77F7" w:rsidP="00FE77F7">
      <w:pPr>
        <w:spacing w:after="0" w:line="240" w:lineRule="auto"/>
        <w:rPr>
          <w:rFonts w:ascii="Arial" w:eastAsia="Times New Roman" w:hAnsi="Arial" w:cs="Arial"/>
          <w:sz w:val="24"/>
          <w:szCs w:val="24"/>
          <w:lang w:val="en-US" w:eastAsia="pt-BR"/>
        </w:rPr>
      </w:pPr>
    </w:p>
    <w:p w14:paraId="745E51D3" w14:textId="6175F85F" w:rsidR="00FE77F7" w:rsidRDefault="00FE77F7" w:rsidP="00FE77F7">
      <w:pPr>
        <w:spacing w:after="0" w:line="240" w:lineRule="auto"/>
        <w:rPr>
          <w:rFonts w:ascii="Arial" w:eastAsia="Times New Roman" w:hAnsi="Arial" w:cs="Arial"/>
          <w:sz w:val="24"/>
          <w:szCs w:val="24"/>
          <w:lang w:val="en-US" w:eastAsia="pt-BR"/>
        </w:rPr>
      </w:pPr>
    </w:p>
    <w:p w14:paraId="5481A4F1" w14:textId="77777777" w:rsidR="00CA4D66" w:rsidRDefault="00CA4D66" w:rsidP="00FE77F7">
      <w:pPr>
        <w:rPr>
          <w:rFonts w:ascii="Arial" w:eastAsia="Times New Roman" w:hAnsi="Arial" w:cs="Arial"/>
          <w:sz w:val="24"/>
          <w:szCs w:val="24"/>
          <w:lang w:val="en-US" w:eastAsia="pt-BR"/>
        </w:rPr>
      </w:pPr>
    </w:p>
    <w:p w14:paraId="2E83F4F2" w14:textId="77777777" w:rsidR="00CA4D66" w:rsidRDefault="00CA4D66" w:rsidP="00FE77F7">
      <w:pPr>
        <w:rPr>
          <w:rFonts w:ascii="Arial" w:eastAsia="Times New Roman" w:hAnsi="Arial" w:cs="Arial"/>
          <w:sz w:val="24"/>
          <w:szCs w:val="24"/>
          <w:lang w:val="en-US" w:eastAsia="pt-BR"/>
        </w:rPr>
      </w:pPr>
    </w:p>
    <w:p w14:paraId="694AADC1" w14:textId="0CA19954" w:rsidR="00FE77F7" w:rsidRPr="000D7140" w:rsidRDefault="00FE77F7" w:rsidP="00FE77F7">
      <w:pPr>
        <w:rPr>
          <w:rFonts w:ascii="Arial" w:hAnsi="Arial" w:cs="Arial"/>
          <w:sz w:val="28"/>
          <w:szCs w:val="28"/>
        </w:rPr>
      </w:pPr>
      <w:r w:rsidRPr="000D7140">
        <w:rPr>
          <w:rFonts w:ascii="Arial" w:hAnsi="Arial" w:cs="Arial"/>
          <w:b/>
          <w:bCs/>
          <w:sz w:val="28"/>
          <w:szCs w:val="28"/>
        </w:rPr>
        <w:t>F</w:t>
      </w:r>
      <w:r w:rsidRPr="007C5724">
        <w:rPr>
          <w:rFonts w:ascii="Arial" w:hAnsi="Arial" w:cs="Arial"/>
          <w:b/>
          <w:bCs/>
          <w:sz w:val="24"/>
          <w:szCs w:val="24"/>
        </w:rPr>
        <w:t xml:space="preserve">igura </w:t>
      </w:r>
      <w:r>
        <w:rPr>
          <w:rFonts w:ascii="Arial" w:hAnsi="Arial" w:cs="Arial"/>
          <w:b/>
          <w:bCs/>
          <w:sz w:val="24"/>
          <w:szCs w:val="24"/>
        </w:rPr>
        <w:t>1</w:t>
      </w:r>
      <w:r w:rsidRPr="007C5724">
        <w:rPr>
          <w:rFonts w:ascii="Arial" w:hAnsi="Arial" w:cs="Arial"/>
          <w:sz w:val="24"/>
          <w:szCs w:val="24"/>
        </w:rPr>
        <w:t xml:space="preserve"> – Fluxograma do processo de seleção dos estudos incluídos na revisão</w:t>
      </w:r>
    </w:p>
    <w:p w14:paraId="70F8A671" w14:textId="77777777" w:rsidR="00FE77F7" w:rsidRPr="000D7140" w:rsidRDefault="00FE77F7" w:rsidP="00FE77F7">
      <w:pPr>
        <w:rPr>
          <w:rFonts w:ascii="Arial" w:hAnsi="Arial" w:cs="Arial"/>
          <w:sz w:val="28"/>
          <w:szCs w:val="28"/>
        </w:rPr>
      </w:pPr>
      <w:r w:rsidRPr="000D7140">
        <w:rPr>
          <w:rFonts w:ascii="Arial" w:hAnsi="Arial" w:cs="Arial"/>
          <w:noProof/>
          <w:sz w:val="28"/>
          <w:szCs w:val="28"/>
        </w:rPr>
      </w:r>
    </w:p>
    <w:p w14:paraId="0E163B62" w14:textId="77777777" w:rsidR="00FE77F7" w:rsidRPr="007A10A6" w:rsidRDefault="00FE77F7" w:rsidP="00FE77F7">
      <w:pPr>
        <w:spacing w:after="0" w:line="360" w:lineRule="auto"/>
        <w:jc w:val="both"/>
        <w:rPr>
          <w:rFonts w:ascii="Arial" w:hAnsi="Arial" w:cs="Arial"/>
          <w:sz w:val="24"/>
          <w:szCs w:val="24"/>
        </w:rPr>
      </w:pPr>
    </w:p>
    <w:p w14:paraId="20A95F6E" w14:textId="1504840D" w:rsidR="005D19E8" w:rsidRPr="007C5724" w:rsidRDefault="005D19E8" w:rsidP="005D19E8">
      <w:pPr>
        <w:jc w:val="both"/>
        <w:rPr>
          <w:rFonts w:ascii="Arial" w:hAnsi="Arial" w:cs="Arial"/>
          <w:sz w:val="24"/>
          <w:szCs w:val="24"/>
        </w:rPr>
      </w:pPr>
    </w:p>
    <w:p w14:paraId="310C6362" w14:textId="77777777" w:rsidR="003F71AD" w:rsidRDefault="003F71AD" w:rsidP="007A10A6">
      <w:pPr>
        <w:spacing w:after="0" w:line="360" w:lineRule="auto"/>
        <w:jc w:val="both"/>
        <w:rPr>
          <w:rFonts w:ascii="Arial" w:hAnsi="Arial" w:cs="Arial"/>
          <w:b/>
          <w:bCs/>
          <w:sz w:val="24"/>
          <w:szCs w:val="24"/>
        </w:rPr>
      </w:pPr>
    </w:p>
    <w:p w14:paraId="22010807" w14:textId="77777777" w:rsidR="005E0C59" w:rsidRDefault="005E0C59" w:rsidP="007A10A6">
      <w:pPr>
        <w:spacing w:after="0" w:line="360" w:lineRule="auto"/>
        <w:jc w:val="both"/>
        <w:rPr>
          <w:rFonts w:ascii="Arial" w:hAnsi="Arial" w:cs="Arial"/>
          <w:b/>
          <w:bCs/>
          <w:sz w:val="24"/>
          <w:szCs w:val="24"/>
        </w:rPr>
      </w:pPr>
    </w:p>
    <w:p w14:paraId="6B3D2BB4" w14:textId="77777777" w:rsidR="005E0C59" w:rsidRDefault="005E0C59" w:rsidP="007A10A6">
      <w:pPr>
        <w:spacing w:after="0" w:line="360" w:lineRule="auto"/>
        <w:jc w:val="both"/>
        <w:rPr>
          <w:rFonts w:ascii="Arial" w:hAnsi="Arial" w:cs="Arial"/>
          <w:b/>
          <w:bCs/>
          <w:sz w:val="24"/>
          <w:szCs w:val="24"/>
        </w:rPr>
      </w:pPr>
    </w:p>
    <w:p w14:paraId="582B538D" w14:textId="77777777" w:rsidR="005E0C59" w:rsidRDefault="005E0C59" w:rsidP="007A10A6">
      <w:pPr>
        <w:spacing w:after="0" w:line="360" w:lineRule="auto"/>
        <w:jc w:val="both"/>
        <w:rPr>
          <w:rFonts w:ascii="Arial" w:hAnsi="Arial" w:cs="Arial"/>
          <w:b/>
          <w:bCs/>
          <w:sz w:val="24"/>
          <w:szCs w:val="24"/>
        </w:rPr>
      </w:pPr>
    </w:p>
    <w:p w14:paraId="71A41736" w14:textId="77777777" w:rsidR="005E0C59" w:rsidRDefault="005E0C59" w:rsidP="007A10A6">
      <w:pPr>
        <w:spacing w:after="0" w:line="360" w:lineRule="auto"/>
        <w:jc w:val="both"/>
        <w:rPr>
          <w:rFonts w:ascii="Arial" w:hAnsi="Arial" w:cs="Arial"/>
          <w:b/>
          <w:bCs/>
          <w:sz w:val="24"/>
          <w:szCs w:val="24"/>
        </w:rPr>
      </w:pPr>
    </w:p>
    <w:p w14:paraId="1A169F37" w14:textId="77777777" w:rsidR="005E0C59" w:rsidRDefault="005E0C59" w:rsidP="007A10A6">
      <w:pPr>
        <w:spacing w:after="0" w:line="360" w:lineRule="auto"/>
        <w:jc w:val="both"/>
        <w:rPr>
          <w:rFonts w:ascii="Arial" w:hAnsi="Arial" w:cs="Arial"/>
          <w:b/>
          <w:bCs/>
          <w:sz w:val="24"/>
          <w:szCs w:val="24"/>
        </w:rPr>
      </w:pPr>
    </w:p>
    <w:p w14:paraId="7ED13AC7" w14:textId="77777777" w:rsidR="004F3943" w:rsidRDefault="004F3943" w:rsidP="007A10A6">
      <w:pPr>
        <w:spacing w:after="0" w:line="360" w:lineRule="auto"/>
        <w:jc w:val="both"/>
        <w:rPr>
          <w:rFonts w:ascii="Arial" w:hAnsi="Arial" w:cs="Arial"/>
          <w:b/>
          <w:bCs/>
          <w:sz w:val="24"/>
          <w:szCs w:val="24"/>
        </w:rPr>
        <w:sectPr w:rsidR="004F3943" w:rsidSect="00ED500F">
          <w:headerReference w:type="default" r:id="rId29"/>
          <w:type w:val="continuous"/>
          <w:pgSz w:w="11906" w:h="16838"/>
          <w:pgMar w:top="1701" w:right="1134" w:bottom="1134" w:left="1701" w:header="709" w:footer="709" w:gutter="0"/>
          <w:cols w:space="708"/>
          <w:docGrid w:linePitch="360"/>
        </w:sectPr>
      </w:pPr>
    </w:p>
    <w:p w14:paraId="5F91480F" w14:textId="77777777" w:rsidR="005E0C59" w:rsidRDefault="005E0C59" w:rsidP="007A10A6">
      <w:pPr>
        <w:spacing w:after="0" w:line="360" w:lineRule="auto"/>
        <w:jc w:val="both"/>
        <w:rPr>
          <w:rFonts w:ascii="Arial" w:hAnsi="Arial" w:cs="Arial"/>
          <w:b/>
          <w:bCs/>
          <w:sz w:val="24"/>
          <w:szCs w:val="24"/>
        </w:rPr>
      </w:pPr>
    </w:p>
    <w:p w14:paraId="34159C6E" w14:textId="77777777" w:rsidR="005E0C59" w:rsidRDefault="005E0C59" w:rsidP="007A10A6">
      <w:pPr>
        <w:spacing w:after="0" w:line="360" w:lineRule="auto"/>
        <w:jc w:val="both"/>
        <w:rPr>
          <w:rFonts w:ascii="Arial" w:hAnsi="Arial" w:cs="Arial"/>
          <w:b/>
          <w:bCs/>
          <w:sz w:val="24"/>
          <w:szCs w:val="24"/>
        </w:rPr>
      </w:pPr>
    </w:p>
    <w:p w14:paraId="55C2C3EB" w14:textId="6386591D" w:rsidR="007A10A6" w:rsidRPr="002649D0" w:rsidRDefault="00640403" w:rsidP="007A10A6">
      <w:pPr>
        <w:spacing w:after="0" w:line="360" w:lineRule="auto"/>
        <w:jc w:val="both"/>
        <w:rPr>
          <w:rFonts w:ascii="Arial" w:hAnsi="Arial" w:cs="Arial"/>
          <w:b/>
          <w:bCs/>
          <w:sz w:val="24"/>
          <w:szCs w:val="24"/>
        </w:rPr>
      </w:pPr>
      <w:r w:rsidRPr="002649D0">
        <w:rPr>
          <w:rFonts w:ascii="Arial" w:hAnsi="Arial" w:cs="Arial"/>
          <w:b/>
          <w:bCs/>
          <w:sz w:val="24"/>
          <w:szCs w:val="24"/>
        </w:rPr>
        <w:t>Quadro 1</w:t>
      </w:r>
      <w:r w:rsidR="007A10A6" w:rsidRPr="002649D0">
        <w:rPr>
          <w:rFonts w:ascii="Arial" w:hAnsi="Arial" w:cs="Arial"/>
          <w:b/>
          <w:bCs/>
          <w:sz w:val="24"/>
          <w:szCs w:val="24"/>
        </w:rPr>
        <w:t xml:space="preserve"> – </w:t>
      </w:r>
      <w:r w:rsidR="007A10A6" w:rsidRPr="002649D0">
        <w:rPr>
          <w:rFonts w:ascii="Arial" w:hAnsi="Arial" w:cs="Arial"/>
          <w:sz w:val="24"/>
          <w:szCs w:val="24"/>
        </w:rPr>
        <w:t>Principais resultados dos artigos selecionados</w:t>
      </w:r>
      <w:r w:rsidRPr="002649D0">
        <w:rPr>
          <w:rFonts w:ascii="Arial" w:hAnsi="Arial" w:cs="Arial"/>
          <w:sz w:val="24"/>
          <w:szCs w:val="24"/>
        </w:rPr>
        <w:t xml:space="preserve"> sobre a influência do ambiente alimentar no consumo de alimentos ultraprocessados.</w:t>
      </w:r>
    </w:p>
    <w:tbl>
      <w:tblPr>
        <w:tblStyle w:val="Tabelacomgrade"/>
        <w:tblpPr w:leftFromText="141" w:rightFromText="141" w:vertAnchor="text" w:horzAnchor="margin" w:tblpXSpec="center" w:tblpY="1108"/>
        <w:tblW w:w="0" w:type="auto"/>
        <w:tblLayout w:type="fixed"/>
        <w:tblLook w:val="04A0" w:firstRow="1" w:lastRow="0" w:firstColumn="1" w:lastColumn="0" w:noHBand="0" w:noVBand="1"/>
      </w:tblPr>
      <w:tblGrid>
        <w:gridCol w:w="988"/>
        <w:gridCol w:w="992"/>
        <w:gridCol w:w="1559"/>
        <w:gridCol w:w="2410"/>
        <w:gridCol w:w="1417"/>
        <w:gridCol w:w="993"/>
        <w:gridCol w:w="5613"/>
      </w:tblGrid>
      <w:tr w:rsidR="002649D0" w:rsidRPr="004F3943" w14:paraId="1BEC3360" w14:textId="77777777" w:rsidTr="002649D0">
        <w:trPr>
          <w:trHeight w:val="253"/>
        </w:trPr>
        <w:tc>
          <w:tcPr>
            <w:tcW w:w="988" w:type="dxa"/>
          </w:tcPr>
          <w:p w14:paraId="758EE4DC" w14:textId="77777777" w:rsidR="00640403" w:rsidRPr="002649D0" w:rsidRDefault="00640403" w:rsidP="00685A8E">
            <w:pPr>
              <w:jc w:val="center"/>
              <w:rPr>
                <w:rFonts w:ascii="Arial" w:hAnsi="Arial" w:cs="Arial"/>
                <w:b/>
                <w:sz w:val="24"/>
                <w:szCs w:val="24"/>
              </w:rPr>
            </w:pPr>
            <w:r w:rsidRPr="002649D0">
              <w:rPr>
                <w:rFonts w:ascii="Arial" w:hAnsi="Arial" w:cs="Arial"/>
                <w:b/>
                <w:sz w:val="24"/>
                <w:szCs w:val="24"/>
              </w:rPr>
              <w:t>Autor/ano</w:t>
            </w:r>
          </w:p>
          <w:p w14:paraId="05EEBF2A" w14:textId="77777777" w:rsidR="00640403" w:rsidRPr="002649D0" w:rsidRDefault="00640403" w:rsidP="00685A8E">
            <w:pPr>
              <w:rPr>
                <w:rFonts w:ascii="Arial" w:hAnsi="Arial" w:cs="Arial"/>
                <w:b/>
                <w:sz w:val="24"/>
                <w:szCs w:val="24"/>
              </w:rPr>
            </w:pPr>
          </w:p>
        </w:tc>
        <w:tc>
          <w:tcPr>
            <w:tcW w:w="992" w:type="dxa"/>
          </w:tcPr>
          <w:p w14:paraId="33286FD2" w14:textId="77777777" w:rsidR="00640403" w:rsidRPr="002649D0" w:rsidRDefault="00640403" w:rsidP="00685A8E">
            <w:pPr>
              <w:jc w:val="center"/>
              <w:rPr>
                <w:rFonts w:ascii="Arial" w:hAnsi="Arial" w:cs="Arial"/>
                <w:b/>
                <w:sz w:val="24"/>
                <w:szCs w:val="24"/>
              </w:rPr>
            </w:pPr>
            <w:r w:rsidRPr="002649D0">
              <w:rPr>
                <w:rFonts w:ascii="Arial" w:hAnsi="Arial" w:cs="Arial"/>
                <w:b/>
                <w:sz w:val="24"/>
                <w:szCs w:val="24"/>
              </w:rPr>
              <w:t>Local</w:t>
            </w:r>
          </w:p>
        </w:tc>
        <w:tc>
          <w:tcPr>
            <w:tcW w:w="1559" w:type="dxa"/>
          </w:tcPr>
          <w:p w14:paraId="3156A2A8" w14:textId="77777777" w:rsidR="00640403" w:rsidRPr="002649D0" w:rsidRDefault="00640403" w:rsidP="00685A8E">
            <w:pPr>
              <w:jc w:val="center"/>
              <w:rPr>
                <w:rFonts w:ascii="Arial" w:hAnsi="Arial" w:cs="Arial"/>
                <w:b/>
                <w:sz w:val="24"/>
                <w:szCs w:val="24"/>
              </w:rPr>
            </w:pPr>
            <w:r w:rsidRPr="002649D0">
              <w:rPr>
                <w:rFonts w:ascii="Arial" w:hAnsi="Arial" w:cs="Arial"/>
                <w:b/>
                <w:sz w:val="24"/>
                <w:szCs w:val="24"/>
              </w:rPr>
              <w:t xml:space="preserve">População </w:t>
            </w:r>
          </w:p>
        </w:tc>
        <w:tc>
          <w:tcPr>
            <w:tcW w:w="2410" w:type="dxa"/>
          </w:tcPr>
          <w:p w14:paraId="63AAD8ED" w14:textId="77777777" w:rsidR="00640403" w:rsidRPr="002649D0" w:rsidRDefault="00640403" w:rsidP="00685A8E">
            <w:pPr>
              <w:jc w:val="center"/>
              <w:rPr>
                <w:rFonts w:ascii="Arial" w:hAnsi="Arial" w:cs="Arial"/>
                <w:b/>
                <w:sz w:val="24"/>
                <w:szCs w:val="24"/>
              </w:rPr>
            </w:pPr>
            <w:r w:rsidRPr="002649D0">
              <w:rPr>
                <w:rFonts w:ascii="Arial" w:hAnsi="Arial" w:cs="Arial"/>
                <w:b/>
                <w:sz w:val="24"/>
                <w:szCs w:val="24"/>
              </w:rPr>
              <w:t>Objetivo</w:t>
            </w:r>
          </w:p>
        </w:tc>
        <w:tc>
          <w:tcPr>
            <w:tcW w:w="1417" w:type="dxa"/>
          </w:tcPr>
          <w:p w14:paraId="2C50EA65" w14:textId="77777777" w:rsidR="00640403" w:rsidRPr="002649D0" w:rsidRDefault="00640403" w:rsidP="00685A8E">
            <w:pPr>
              <w:jc w:val="center"/>
              <w:rPr>
                <w:rFonts w:ascii="Arial" w:hAnsi="Arial" w:cs="Arial"/>
                <w:b/>
                <w:sz w:val="24"/>
                <w:szCs w:val="24"/>
              </w:rPr>
            </w:pPr>
            <w:r w:rsidRPr="002649D0">
              <w:rPr>
                <w:rFonts w:ascii="Arial" w:hAnsi="Arial" w:cs="Arial"/>
                <w:b/>
                <w:sz w:val="24"/>
                <w:szCs w:val="24"/>
              </w:rPr>
              <w:t>Ambiente alimentar</w:t>
            </w:r>
          </w:p>
        </w:tc>
        <w:tc>
          <w:tcPr>
            <w:tcW w:w="993" w:type="dxa"/>
          </w:tcPr>
          <w:p w14:paraId="373CE68E" w14:textId="77777777" w:rsidR="00640403" w:rsidRPr="002649D0" w:rsidRDefault="00640403" w:rsidP="00685A8E">
            <w:pPr>
              <w:rPr>
                <w:rFonts w:ascii="Arial" w:hAnsi="Arial" w:cs="Arial"/>
                <w:b/>
                <w:sz w:val="24"/>
                <w:szCs w:val="24"/>
              </w:rPr>
            </w:pPr>
            <w:r w:rsidRPr="002649D0">
              <w:rPr>
                <w:rFonts w:ascii="Arial" w:hAnsi="Arial" w:cs="Arial"/>
                <w:b/>
                <w:sz w:val="24"/>
                <w:szCs w:val="24"/>
              </w:rPr>
              <w:t>Classe Social</w:t>
            </w:r>
          </w:p>
        </w:tc>
        <w:tc>
          <w:tcPr>
            <w:tcW w:w="5613" w:type="dxa"/>
          </w:tcPr>
          <w:p w14:paraId="3665A277" w14:textId="77777777" w:rsidR="00640403" w:rsidRPr="002649D0" w:rsidRDefault="00640403" w:rsidP="004F3943">
            <w:pPr>
              <w:tabs>
                <w:tab w:val="left" w:pos="2055"/>
              </w:tabs>
              <w:ind w:firstLine="360"/>
              <w:jc w:val="center"/>
              <w:rPr>
                <w:rFonts w:ascii="Arial" w:hAnsi="Arial" w:cs="Arial"/>
                <w:b/>
                <w:sz w:val="24"/>
                <w:szCs w:val="24"/>
              </w:rPr>
            </w:pPr>
            <w:r w:rsidRPr="002649D0">
              <w:rPr>
                <w:rFonts w:ascii="Arial" w:hAnsi="Arial" w:cs="Arial"/>
                <w:b/>
                <w:sz w:val="24"/>
                <w:szCs w:val="24"/>
              </w:rPr>
              <w:t xml:space="preserve">Principais resultados </w:t>
            </w:r>
          </w:p>
          <w:p w14:paraId="741670A4" w14:textId="77777777" w:rsidR="00640403" w:rsidRPr="002649D0" w:rsidRDefault="00640403" w:rsidP="004F3943">
            <w:pPr>
              <w:tabs>
                <w:tab w:val="left" w:pos="2055"/>
              </w:tabs>
              <w:ind w:firstLine="360"/>
              <w:jc w:val="center"/>
              <w:rPr>
                <w:rFonts w:ascii="Arial" w:hAnsi="Arial" w:cs="Arial"/>
                <w:b/>
                <w:sz w:val="24"/>
                <w:szCs w:val="24"/>
              </w:rPr>
            </w:pPr>
          </w:p>
        </w:tc>
      </w:tr>
      <w:tr w:rsidR="002649D0" w:rsidRPr="004F3943" w14:paraId="224FA4C9" w14:textId="77777777" w:rsidTr="002649D0">
        <w:tc>
          <w:tcPr>
            <w:tcW w:w="988" w:type="dxa"/>
          </w:tcPr>
          <w:p w14:paraId="624E3219" w14:textId="77777777" w:rsidR="00640403" w:rsidRPr="004F3943" w:rsidRDefault="00640403" w:rsidP="00685A8E">
            <w:pPr>
              <w:rPr>
                <w:rFonts w:ascii="Arial" w:hAnsi="Arial" w:cs="Arial"/>
                <w:sz w:val="20"/>
                <w:szCs w:val="20"/>
              </w:rPr>
            </w:pPr>
            <w:r w:rsidRPr="004F3943">
              <w:rPr>
                <w:rFonts w:ascii="Arial" w:hAnsi="Arial" w:cs="Arial"/>
                <w:sz w:val="20"/>
                <w:szCs w:val="20"/>
              </w:rPr>
              <w:t>Honório et, al. (2021)</w:t>
            </w:r>
          </w:p>
        </w:tc>
        <w:tc>
          <w:tcPr>
            <w:tcW w:w="992" w:type="dxa"/>
          </w:tcPr>
          <w:p w14:paraId="6CE4DF2B" w14:textId="77777777" w:rsidR="00640403" w:rsidRPr="004F3943" w:rsidRDefault="00640403" w:rsidP="00685A8E">
            <w:pPr>
              <w:rPr>
                <w:rFonts w:ascii="Arial" w:hAnsi="Arial" w:cs="Arial"/>
                <w:sz w:val="20"/>
                <w:szCs w:val="20"/>
              </w:rPr>
            </w:pPr>
            <w:r w:rsidRPr="004F3943">
              <w:rPr>
                <w:rFonts w:ascii="Arial" w:hAnsi="Arial" w:cs="Arial"/>
                <w:sz w:val="20"/>
                <w:szCs w:val="20"/>
              </w:rPr>
              <w:t>Belo Horizonte, Estado de Minas Gerais, Brasil.</w:t>
            </w:r>
          </w:p>
        </w:tc>
        <w:tc>
          <w:tcPr>
            <w:tcW w:w="1559" w:type="dxa"/>
          </w:tcPr>
          <w:p w14:paraId="235258A7" w14:textId="77777777" w:rsidR="00640403" w:rsidRPr="004F3943" w:rsidRDefault="00640403" w:rsidP="00685A8E">
            <w:pPr>
              <w:rPr>
                <w:rFonts w:ascii="Arial" w:hAnsi="Arial" w:cs="Arial"/>
                <w:sz w:val="20"/>
                <w:szCs w:val="20"/>
              </w:rPr>
            </w:pPr>
            <w:r w:rsidRPr="004F3943">
              <w:rPr>
                <w:rFonts w:ascii="Arial" w:hAnsi="Arial" w:cs="Arial"/>
                <w:sz w:val="20"/>
                <w:szCs w:val="20"/>
              </w:rPr>
              <w:t>Bairros urbanos, 3.936 bairros. 2.375.151 habitantes.</w:t>
            </w:r>
            <w:r w:rsidRPr="004F3943">
              <w:rPr>
                <w:rFonts w:ascii="Arial" w:hAnsi="Arial" w:cs="Arial"/>
                <w:color w:val="1B1B1B"/>
                <w:sz w:val="20"/>
                <w:szCs w:val="20"/>
                <w:shd w:val="clear" w:color="auto" w:fill="FFFFFF"/>
              </w:rPr>
              <w:t xml:space="preserve"> </w:t>
            </w:r>
          </w:p>
        </w:tc>
        <w:tc>
          <w:tcPr>
            <w:tcW w:w="2410" w:type="dxa"/>
          </w:tcPr>
          <w:p w14:paraId="291FC507" w14:textId="77777777" w:rsidR="00640403" w:rsidRPr="004F3943" w:rsidRDefault="00640403" w:rsidP="00685A8E">
            <w:pPr>
              <w:rPr>
                <w:rFonts w:ascii="Arial" w:hAnsi="Arial" w:cs="Arial"/>
                <w:sz w:val="20"/>
                <w:szCs w:val="20"/>
              </w:rPr>
            </w:pPr>
            <w:r w:rsidRPr="004F3943">
              <w:rPr>
                <w:rFonts w:ascii="Arial" w:hAnsi="Arial" w:cs="Arial"/>
                <w:sz w:val="20"/>
                <w:szCs w:val="20"/>
              </w:rPr>
              <w:t>Analisar a associação entre desigualdades sociais e a distribuição espacial de desertos alimentares e pântanos alimentares</w:t>
            </w:r>
          </w:p>
        </w:tc>
        <w:tc>
          <w:tcPr>
            <w:tcW w:w="1417" w:type="dxa"/>
          </w:tcPr>
          <w:p w14:paraId="42D66686" w14:textId="77777777" w:rsidR="00640403" w:rsidRPr="004F3943" w:rsidRDefault="00640403" w:rsidP="00685A8E">
            <w:pPr>
              <w:rPr>
                <w:rFonts w:ascii="Arial" w:hAnsi="Arial" w:cs="Arial"/>
                <w:sz w:val="20"/>
                <w:szCs w:val="20"/>
              </w:rPr>
            </w:pPr>
            <w:r w:rsidRPr="004F3943">
              <w:rPr>
                <w:rFonts w:ascii="Arial" w:hAnsi="Arial" w:cs="Arial"/>
                <w:sz w:val="20"/>
                <w:szCs w:val="20"/>
              </w:rPr>
              <w:t>Exposição a desertos e Pântanos Alimentares</w:t>
            </w:r>
          </w:p>
        </w:tc>
        <w:tc>
          <w:tcPr>
            <w:tcW w:w="993" w:type="dxa"/>
          </w:tcPr>
          <w:p w14:paraId="3627F95F" w14:textId="77777777" w:rsidR="00640403" w:rsidRPr="004F3943" w:rsidRDefault="00640403" w:rsidP="00685A8E">
            <w:pPr>
              <w:rPr>
                <w:rFonts w:ascii="Arial" w:hAnsi="Arial" w:cs="Arial"/>
                <w:sz w:val="20"/>
                <w:szCs w:val="20"/>
              </w:rPr>
            </w:pPr>
            <w:r w:rsidRPr="004F3943">
              <w:rPr>
                <w:rFonts w:ascii="Arial" w:hAnsi="Arial" w:cs="Arial"/>
                <w:sz w:val="20"/>
                <w:szCs w:val="20"/>
              </w:rPr>
              <w:t>Baixa renda</w:t>
            </w:r>
          </w:p>
        </w:tc>
        <w:tc>
          <w:tcPr>
            <w:tcW w:w="5613" w:type="dxa"/>
          </w:tcPr>
          <w:p w14:paraId="3696916C"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 xml:space="preserve">80% foram classificados como </w:t>
            </w:r>
            <w:commentRangeStart w:id="10"/>
            <w:r w:rsidRPr="004F3943">
              <w:rPr>
                <w:rFonts w:ascii="Arial" w:hAnsi="Arial" w:cs="Arial"/>
                <w:sz w:val="20"/>
                <w:szCs w:val="20"/>
              </w:rPr>
              <w:t>desertos alimentares ou pântanos alimentares</w:t>
            </w:r>
            <w:commentRangeEnd w:id="10"/>
            <w:r w:rsidR="00C04330" w:rsidRPr="004F3943">
              <w:rPr>
                <w:rStyle w:val="Refdecomentrio"/>
                <w:rFonts w:ascii="Arial" w:hAnsi="Arial" w:cs="Arial"/>
                <w:sz w:val="20"/>
                <w:szCs w:val="20"/>
              </w:rPr>
            </w:r>
            <w:r w:rsidRPr="004F3943">
              <w:rPr>
                <w:rFonts w:ascii="Arial" w:hAnsi="Arial" w:cs="Arial"/>
                <w:sz w:val="20"/>
                <w:szCs w:val="20"/>
              </w:rPr>
              <w:t xml:space="preserve">. Pessoas moradoras de </w:t>
            </w:r>
            <w:commentRangeStart w:id="11"/>
            <w:r w:rsidRPr="004F3943">
              <w:rPr>
                <w:rFonts w:ascii="Arial" w:hAnsi="Arial" w:cs="Arial"/>
                <w:sz w:val="20"/>
                <w:szCs w:val="20"/>
              </w:rPr>
              <w:t xml:space="preserve">esses bairros </w:t>
            </w:r>
            <w:commentRangeEnd w:id="11"/>
            <w:r w:rsidR="00927F4C" w:rsidRPr="004F3943">
              <w:rPr>
                <w:rStyle w:val="Refdecomentrio"/>
                <w:rFonts w:ascii="Arial" w:hAnsi="Arial" w:cs="Arial"/>
                <w:sz w:val="20"/>
                <w:szCs w:val="20"/>
              </w:rPr>
            </w:r>
            <w:r w:rsidRPr="004F3943">
              <w:rPr>
                <w:rFonts w:ascii="Arial" w:hAnsi="Arial" w:cs="Arial"/>
                <w:sz w:val="20"/>
                <w:szCs w:val="20"/>
              </w:rPr>
              <w:t>tem maior propensão a consumir alimentos ultraprocessados (AUP).</w:t>
            </w:r>
          </w:p>
          <w:p w14:paraId="4955A2E4"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Pessoas que habitam os desertos alimentares apresentaram menor renda e menor escolaridade</w:t>
            </w:r>
          </w:p>
          <w:p w14:paraId="7556E9AE"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A desigualdade alimentar apresentada no estudo pode contribuir para maiores riscos de Doenças Crônicas Não transmissíveis (DCNT)</w:t>
            </w:r>
          </w:p>
        </w:tc>
      </w:tr>
      <w:tr w:rsidR="002649D0" w:rsidRPr="004F3943" w14:paraId="0AFFC86F" w14:textId="77777777" w:rsidTr="002649D0">
        <w:tc>
          <w:tcPr>
            <w:tcW w:w="988" w:type="dxa"/>
          </w:tcPr>
          <w:p w14:paraId="4F58FA70" w14:textId="77777777" w:rsidR="00640403" w:rsidRPr="004F3943" w:rsidRDefault="00640403" w:rsidP="00685A8E">
            <w:pPr>
              <w:rPr>
                <w:rFonts w:ascii="Arial" w:hAnsi="Arial" w:cs="Arial"/>
                <w:sz w:val="20"/>
                <w:szCs w:val="20"/>
              </w:rPr>
            </w:pPr>
            <w:r w:rsidRPr="004F3943">
              <w:rPr>
                <w:rFonts w:ascii="Arial" w:hAnsi="Arial" w:cs="Arial"/>
                <w:sz w:val="20"/>
                <w:szCs w:val="20"/>
              </w:rPr>
              <w:t>Chagas et, al. (2025)</w:t>
            </w:r>
          </w:p>
          <w:p w14:paraId="238C68D7" w14:textId="77777777" w:rsidR="00640403" w:rsidRPr="004F3943" w:rsidRDefault="00640403" w:rsidP="00685A8E">
            <w:pPr>
              <w:rPr>
                <w:rFonts w:ascii="Arial" w:hAnsi="Arial" w:cs="Arial"/>
                <w:sz w:val="20"/>
                <w:szCs w:val="20"/>
              </w:rPr>
            </w:pPr>
          </w:p>
        </w:tc>
        <w:tc>
          <w:tcPr>
            <w:tcW w:w="992" w:type="dxa"/>
          </w:tcPr>
          <w:p w14:paraId="5C9EC4E3" w14:textId="77777777" w:rsidR="00640403" w:rsidRPr="004F3943" w:rsidRDefault="00640403" w:rsidP="00685A8E">
            <w:pPr>
              <w:rPr>
                <w:rFonts w:ascii="Arial" w:hAnsi="Arial" w:cs="Arial"/>
                <w:sz w:val="20"/>
                <w:szCs w:val="20"/>
              </w:rPr>
            </w:pPr>
            <w:r w:rsidRPr="004F3943">
              <w:rPr>
                <w:rFonts w:ascii="Arial" w:hAnsi="Arial" w:cs="Arial"/>
                <w:sz w:val="20"/>
                <w:szCs w:val="20"/>
              </w:rPr>
              <w:t>Recife, Cabo de Santo Agostinho, Jaboatão dos Guararapes, Olinda e Paulista)</w:t>
            </w:r>
          </w:p>
        </w:tc>
        <w:tc>
          <w:tcPr>
            <w:tcW w:w="1559" w:type="dxa"/>
          </w:tcPr>
          <w:p w14:paraId="51F42EED" w14:textId="77777777" w:rsidR="00640403" w:rsidRPr="004F3943" w:rsidRDefault="00640403" w:rsidP="00685A8E">
            <w:pPr>
              <w:rPr>
                <w:rFonts w:ascii="Arial" w:hAnsi="Arial" w:cs="Arial"/>
                <w:sz w:val="20"/>
                <w:szCs w:val="20"/>
              </w:rPr>
            </w:pPr>
            <w:r w:rsidRPr="004F3943">
              <w:rPr>
                <w:rFonts w:ascii="Arial" w:hAnsi="Arial" w:cs="Arial"/>
                <w:sz w:val="20"/>
                <w:szCs w:val="20"/>
              </w:rPr>
              <w:t>1376 bairros. 1,5 milhão de habitantes.</w:t>
            </w:r>
          </w:p>
        </w:tc>
        <w:tc>
          <w:tcPr>
            <w:tcW w:w="2410" w:type="dxa"/>
          </w:tcPr>
          <w:p w14:paraId="1FB91A9C" w14:textId="77777777" w:rsidR="00640403" w:rsidRPr="004F3943" w:rsidRDefault="00640403" w:rsidP="00685A8E">
            <w:pPr>
              <w:rPr>
                <w:rFonts w:ascii="Arial" w:hAnsi="Arial" w:cs="Arial"/>
                <w:sz w:val="20"/>
                <w:szCs w:val="20"/>
              </w:rPr>
            </w:pPr>
            <w:r w:rsidRPr="004F3943">
              <w:rPr>
                <w:rFonts w:ascii="Arial" w:hAnsi="Arial" w:cs="Arial"/>
                <w:sz w:val="20"/>
                <w:szCs w:val="20"/>
              </w:rPr>
              <w:t>Analisar e mapear a distribuição dos diferentes tipos de ambientes alimentares</w:t>
            </w:r>
          </w:p>
        </w:tc>
        <w:tc>
          <w:tcPr>
            <w:tcW w:w="1417" w:type="dxa"/>
          </w:tcPr>
          <w:p w14:paraId="1B3E845A" w14:textId="77777777" w:rsidR="00640403" w:rsidRPr="004F3943" w:rsidRDefault="00640403" w:rsidP="00685A8E">
            <w:pPr>
              <w:rPr>
                <w:rFonts w:ascii="Arial" w:hAnsi="Arial" w:cs="Arial"/>
                <w:sz w:val="20"/>
                <w:szCs w:val="20"/>
              </w:rPr>
            </w:pPr>
            <w:r w:rsidRPr="004F3943">
              <w:rPr>
                <w:rFonts w:ascii="Arial" w:hAnsi="Arial" w:cs="Arial"/>
                <w:sz w:val="20"/>
                <w:szCs w:val="20"/>
              </w:rPr>
              <w:t>Exposição a desertos e Pântanos Alimentares</w:t>
            </w:r>
          </w:p>
        </w:tc>
        <w:tc>
          <w:tcPr>
            <w:tcW w:w="993" w:type="dxa"/>
          </w:tcPr>
          <w:p w14:paraId="48683495" w14:textId="77777777" w:rsidR="00640403" w:rsidRPr="004F3943" w:rsidRDefault="00640403" w:rsidP="00685A8E">
            <w:pPr>
              <w:rPr>
                <w:rFonts w:ascii="Arial" w:hAnsi="Arial" w:cs="Arial"/>
                <w:sz w:val="20"/>
                <w:szCs w:val="20"/>
              </w:rPr>
            </w:pPr>
            <w:r w:rsidRPr="004F3943">
              <w:rPr>
                <w:rFonts w:ascii="Arial" w:hAnsi="Arial" w:cs="Arial"/>
                <w:sz w:val="20"/>
                <w:szCs w:val="20"/>
              </w:rPr>
              <w:t>Baixa renda</w:t>
            </w:r>
          </w:p>
        </w:tc>
        <w:tc>
          <w:tcPr>
            <w:tcW w:w="5613" w:type="dxa"/>
          </w:tcPr>
          <w:p w14:paraId="60B60155"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50% dos bairros classificados como apresentando alto Índice de Vulnerabilidade à Saúde (HVI)</w:t>
            </w:r>
          </w:p>
          <w:p w14:paraId="415E057A"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Bairros com menor HVI apresentaram estabelecimentos com maior oferta de AUP em relação aos setores com maior HVI que apresentaram maior disponibilidade de estabelecimentos com oferta de alimentos in natura.</w:t>
            </w:r>
          </w:p>
          <w:p w14:paraId="4F04ECDD"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 xml:space="preserve"> 6% desertos e 94% pântanos alimentares</w:t>
            </w:r>
          </w:p>
        </w:tc>
      </w:tr>
      <w:tr w:rsidR="002649D0" w:rsidRPr="004F3943" w14:paraId="71BFE896" w14:textId="77777777" w:rsidTr="002649D0">
        <w:tc>
          <w:tcPr>
            <w:tcW w:w="988" w:type="dxa"/>
          </w:tcPr>
          <w:p w14:paraId="460DA72D" w14:textId="77777777" w:rsidR="00640403" w:rsidRPr="004F3943" w:rsidRDefault="00640403" w:rsidP="00685A8E">
            <w:pPr>
              <w:rPr>
                <w:rFonts w:ascii="Arial" w:hAnsi="Arial" w:cs="Arial"/>
                <w:sz w:val="20"/>
                <w:szCs w:val="20"/>
              </w:rPr>
            </w:pPr>
            <w:r w:rsidRPr="004F3943">
              <w:rPr>
                <w:rFonts w:ascii="Arial" w:hAnsi="Arial" w:cs="Arial"/>
                <w:sz w:val="20"/>
                <w:szCs w:val="20"/>
              </w:rPr>
              <w:t>Rocha et, al. (2024)</w:t>
            </w:r>
          </w:p>
        </w:tc>
        <w:tc>
          <w:tcPr>
            <w:tcW w:w="992" w:type="dxa"/>
          </w:tcPr>
          <w:p w14:paraId="14D339D3" w14:textId="77777777" w:rsidR="00640403" w:rsidRPr="004F3943" w:rsidRDefault="00640403" w:rsidP="00685A8E">
            <w:pPr>
              <w:rPr>
                <w:rFonts w:ascii="Arial" w:hAnsi="Arial" w:cs="Arial"/>
                <w:sz w:val="20"/>
                <w:szCs w:val="20"/>
              </w:rPr>
            </w:pPr>
            <w:r w:rsidRPr="004F3943">
              <w:rPr>
                <w:rFonts w:ascii="Arial" w:hAnsi="Arial" w:cs="Arial"/>
                <w:sz w:val="20"/>
                <w:szCs w:val="20"/>
              </w:rPr>
              <w:t>Belo Horizonte, Minas Gerais, Brasil</w:t>
            </w:r>
          </w:p>
        </w:tc>
        <w:tc>
          <w:tcPr>
            <w:tcW w:w="1559" w:type="dxa"/>
          </w:tcPr>
          <w:p w14:paraId="065E15BE" w14:textId="77777777" w:rsidR="00640403" w:rsidRPr="004F3943" w:rsidRDefault="00640403" w:rsidP="00685A8E">
            <w:pPr>
              <w:rPr>
                <w:rFonts w:ascii="Arial" w:hAnsi="Arial" w:cs="Arial"/>
                <w:sz w:val="20"/>
                <w:szCs w:val="20"/>
              </w:rPr>
            </w:pPr>
            <w:r w:rsidRPr="004F3943">
              <w:rPr>
                <w:rFonts w:ascii="Arial" w:hAnsi="Arial" w:cs="Arial"/>
                <w:sz w:val="20"/>
                <w:szCs w:val="20"/>
              </w:rPr>
              <w:t>132   bairros localizados em favelas.</w:t>
            </w:r>
          </w:p>
        </w:tc>
        <w:tc>
          <w:tcPr>
            <w:tcW w:w="2410" w:type="dxa"/>
          </w:tcPr>
          <w:p w14:paraId="6274D571" w14:textId="77777777" w:rsidR="00640403" w:rsidRPr="004F3943" w:rsidRDefault="00640403" w:rsidP="00685A8E">
            <w:pPr>
              <w:rPr>
                <w:rFonts w:ascii="Arial" w:hAnsi="Arial" w:cs="Arial"/>
                <w:sz w:val="20"/>
                <w:szCs w:val="20"/>
              </w:rPr>
            </w:pPr>
            <w:r w:rsidRPr="004F3943">
              <w:rPr>
                <w:rFonts w:ascii="Arial" w:hAnsi="Arial" w:cs="Arial"/>
                <w:sz w:val="20"/>
                <w:szCs w:val="20"/>
              </w:rPr>
              <w:t>Analisar a distribuição espacial das feiras municipais de orgânicos</w:t>
            </w:r>
          </w:p>
        </w:tc>
        <w:tc>
          <w:tcPr>
            <w:tcW w:w="1417" w:type="dxa"/>
          </w:tcPr>
          <w:p w14:paraId="372D2B77" w14:textId="77777777" w:rsidR="00640403" w:rsidRPr="004F3943" w:rsidRDefault="00640403" w:rsidP="00685A8E">
            <w:pPr>
              <w:rPr>
                <w:rFonts w:ascii="Arial" w:hAnsi="Arial" w:cs="Arial"/>
                <w:sz w:val="20"/>
                <w:szCs w:val="20"/>
              </w:rPr>
            </w:pPr>
            <w:r w:rsidRPr="004F3943">
              <w:rPr>
                <w:rFonts w:ascii="Arial" w:hAnsi="Arial" w:cs="Arial"/>
                <w:sz w:val="20"/>
                <w:szCs w:val="20"/>
              </w:rPr>
              <w:t>Exposição a desertos e Pântanos Alimentares</w:t>
            </w:r>
          </w:p>
        </w:tc>
        <w:tc>
          <w:tcPr>
            <w:tcW w:w="993" w:type="dxa"/>
          </w:tcPr>
          <w:p w14:paraId="5AE93EC8" w14:textId="77777777" w:rsidR="00640403" w:rsidRPr="004F3943" w:rsidRDefault="00640403" w:rsidP="00685A8E">
            <w:pPr>
              <w:rPr>
                <w:rFonts w:ascii="Arial" w:hAnsi="Arial" w:cs="Arial"/>
                <w:sz w:val="20"/>
                <w:szCs w:val="20"/>
              </w:rPr>
            </w:pPr>
            <w:r w:rsidRPr="004F3943">
              <w:rPr>
                <w:rFonts w:ascii="Arial" w:hAnsi="Arial" w:cs="Arial"/>
                <w:sz w:val="20"/>
                <w:szCs w:val="20"/>
              </w:rPr>
              <w:t>Baixa renda</w:t>
            </w:r>
          </w:p>
        </w:tc>
        <w:tc>
          <w:tcPr>
            <w:tcW w:w="5613" w:type="dxa"/>
          </w:tcPr>
          <w:p w14:paraId="411A7498"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De 132 bairros, 41,67% eram desertos alimentares, 63,64% eram pântanos alimentares e 18,94% eram desertos e pântanos alimentares simultaneamente.</w:t>
            </w:r>
          </w:p>
          <w:p w14:paraId="2EF7C150"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Bairros apresentam ter maior exposição a alimentos não saudáveis</w:t>
            </w:r>
          </w:p>
        </w:tc>
      </w:tr>
      <w:tr w:rsidR="002649D0" w:rsidRPr="004F3943" w14:paraId="5ACAAC40" w14:textId="77777777" w:rsidTr="002649D0">
        <w:tc>
          <w:tcPr>
            <w:tcW w:w="988" w:type="dxa"/>
          </w:tcPr>
          <w:p w14:paraId="6EDE085D" w14:textId="77777777" w:rsidR="00640403" w:rsidRPr="004F3943" w:rsidRDefault="00640403" w:rsidP="00685A8E">
            <w:pPr>
              <w:rPr>
                <w:rFonts w:ascii="Arial" w:hAnsi="Arial" w:cs="Arial"/>
                <w:sz w:val="20"/>
                <w:szCs w:val="20"/>
              </w:rPr>
            </w:pPr>
            <w:r w:rsidRPr="004F3943">
              <w:rPr>
                <w:rFonts w:ascii="Arial" w:hAnsi="Arial" w:cs="Arial"/>
                <w:sz w:val="20"/>
                <w:szCs w:val="20"/>
              </w:rPr>
              <w:t>Rocha et, al. (2024)</w:t>
            </w:r>
          </w:p>
        </w:tc>
        <w:tc>
          <w:tcPr>
            <w:tcW w:w="992" w:type="dxa"/>
          </w:tcPr>
          <w:p w14:paraId="56F3C075" w14:textId="77777777" w:rsidR="00640403" w:rsidRPr="004F3943" w:rsidRDefault="00640403" w:rsidP="00685A8E">
            <w:pPr>
              <w:rPr>
                <w:rFonts w:ascii="Arial" w:hAnsi="Arial" w:cs="Arial"/>
                <w:sz w:val="20"/>
                <w:szCs w:val="20"/>
              </w:rPr>
            </w:pPr>
            <w:r w:rsidRPr="004F3943">
              <w:rPr>
                <w:rFonts w:ascii="Arial" w:hAnsi="Arial" w:cs="Arial"/>
                <w:sz w:val="20"/>
                <w:szCs w:val="20"/>
              </w:rPr>
              <w:t>Brasil</w:t>
            </w:r>
          </w:p>
        </w:tc>
        <w:tc>
          <w:tcPr>
            <w:tcW w:w="1559" w:type="dxa"/>
          </w:tcPr>
          <w:p w14:paraId="602B3F43" w14:textId="77777777" w:rsidR="00640403" w:rsidRPr="004F3943" w:rsidRDefault="00640403" w:rsidP="00685A8E">
            <w:pPr>
              <w:rPr>
                <w:rFonts w:ascii="Arial" w:hAnsi="Arial" w:cs="Arial"/>
                <w:sz w:val="20"/>
                <w:szCs w:val="20"/>
              </w:rPr>
            </w:pPr>
            <w:r w:rsidRPr="004F3943">
              <w:rPr>
                <w:rFonts w:ascii="Arial" w:hAnsi="Arial" w:cs="Arial"/>
                <w:sz w:val="20"/>
                <w:szCs w:val="20"/>
              </w:rPr>
              <w:t>10 habitantes</w:t>
            </w:r>
          </w:p>
        </w:tc>
        <w:tc>
          <w:tcPr>
            <w:tcW w:w="2410" w:type="dxa"/>
          </w:tcPr>
          <w:p w14:paraId="7626E9B8" w14:textId="77777777" w:rsidR="00640403" w:rsidRPr="004F3943" w:rsidRDefault="00640403" w:rsidP="00685A8E">
            <w:pPr>
              <w:rPr>
                <w:rFonts w:ascii="Arial" w:hAnsi="Arial" w:cs="Arial"/>
                <w:sz w:val="20"/>
                <w:szCs w:val="20"/>
              </w:rPr>
            </w:pPr>
            <w:r w:rsidRPr="004F3943">
              <w:rPr>
                <w:rFonts w:ascii="Arial" w:hAnsi="Arial" w:cs="Arial"/>
                <w:sz w:val="20"/>
                <w:szCs w:val="20"/>
              </w:rPr>
              <w:t>Avaliar a percepção dos moradores de favelas brasileiras sobre o ambiente alimentar em suas vizinhanças</w:t>
            </w:r>
          </w:p>
        </w:tc>
        <w:tc>
          <w:tcPr>
            <w:tcW w:w="1417" w:type="dxa"/>
          </w:tcPr>
          <w:p w14:paraId="4DE125C3" w14:textId="77777777" w:rsidR="00640403" w:rsidRPr="004F3943" w:rsidRDefault="00640403" w:rsidP="00685A8E">
            <w:pPr>
              <w:rPr>
                <w:rFonts w:ascii="Arial" w:hAnsi="Arial" w:cs="Arial"/>
                <w:sz w:val="20"/>
                <w:szCs w:val="20"/>
              </w:rPr>
            </w:pPr>
            <w:r w:rsidRPr="004F3943">
              <w:rPr>
                <w:rFonts w:ascii="Arial" w:hAnsi="Arial" w:cs="Arial"/>
                <w:sz w:val="20"/>
                <w:szCs w:val="20"/>
              </w:rPr>
              <w:t>Exposição a desertos e Pântanos Alimentares</w:t>
            </w:r>
          </w:p>
        </w:tc>
        <w:tc>
          <w:tcPr>
            <w:tcW w:w="993" w:type="dxa"/>
          </w:tcPr>
          <w:p w14:paraId="517295A9" w14:textId="77777777" w:rsidR="00640403" w:rsidRPr="004F3943" w:rsidRDefault="00640403" w:rsidP="00685A8E">
            <w:pPr>
              <w:rPr>
                <w:rFonts w:ascii="Arial" w:hAnsi="Arial" w:cs="Arial"/>
                <w:sz w:val="20"/>
                <w:szCs w:val="20"/>
              </w:rPr>
            </w:pPr>
            <w:r w:rsidRPr="004F3943">
              <w:rPr>
                <w:rFonts w:ascii="Arial" w:hAnsi="Arial" w:cs="Arial"/>
                <w:sz w:val="20"/>
                <w:szCs w:val="20"/>
              </w:rPr>
              <w:t>Baixa renda</w:t>
            </w:r>
          </w:p>
        </w:tc>
        <w:tc>
          <w:tcPr>
            <w:tcW w:w="5613" w:type="dxa"/>
          </w:tcPr>
          <w:p w14:paraId="33E45CD8"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O acesso aos alimentos é permeado pela falta de informação sobre alimentação, pela renda insuficiente e pela baixa disponibilidade de estabelecimentos que comercializam alimentos saudáveis a preços acessíveis em suas vizinhanças. 60% dos participantes eram autodeclaradas pessoas pretas, 80% mulheres.</w:t>
            </w:r>
          </w:p>
        </w:tc>
      </w:tr>
      <w:tr w:rsidR="002649D0" w:rsidRPr="004F3943" w14:paraId="1535CCA2" w14:textId="77777777" w:rsidTr="002649D0">
        <w:tc>
          <w:tcPr>
            <w:tcW w:w="988" w:type="dxa"/>
          </w:tcPr>
          <w:p w14:paraId="6B365EA2" w14:textId="77777777" w:rsidR="00640403" w:rsidRPr="004F3943" w:rsidRDefault="00640403" w:rsidP="00685A8E">
            <w:pPr>
              <w:rPr>
                <w:rFonts w:ascii="Arial" w:hAnsi="Arial" w:cs="Arial"/>
                <w:sz w:val="20"/>
                <w:szCs w:val="20"/>
              </w:rPr>
            </w:pPr>
            <w:r w:rsidRPr="004F3943">
              <w:rPr>
                <w:rFonts w:ascii="Arial" w:hAnsi="Arial" w:cs="Arial"/>
                <w:sz w:val="20"/>
                <w:szCs w:val="20"/>
              </w:rPr>
              <w:t>IBGE, 2019 (POF 2017-2018)</w:t>
            </w:r>
          </w:p>
        </w:tc>
        <w:tc>
          <w:tcPr>
            <w:tcW w:w="992" w:type="dxa"/>
          </w:tcPr>
          <w:p w14:paraId="1FD9694F" w14:textId="77777777" w:rsidR="00640403" w:rsidRPr="004F3943" w:rsidRDefault="00640403" w:rsidP="00685A8E">
            <w:pPr>
              <w:rPr>
                <w:rFonts w:ascii="Arial" w:hAnsi="Arial" w:cs="Arial"/>
                <w:sz w:val="20"/>
                <w:szCs w:val="20"/>
              </w:rPr>
            </w:pPr>
            <w:r w:rsidRPr="004F3943">
              <w:rPr>
                <w:rFonts w:ascii="Arial" w:hAnsi="Arial" w:cs="Arial"/>
                <w:sz w:val="20"/>
                <w:szCs w:val="20"/>
              </w:rPr>
              <w:t>Brasil</w:t>
            </w:r>
          </w:p>
        </w:tc>
        <w:tc>
          <w:tcPr>
            <w:tcW w:w="1559" w:type="dxa"/>
          </w:tcPr>
          <w:p w14:paraId="72A9CA4C" w14:textId="77777777" w:rsidR="00640403" w:rsidRPr="004F3943" w:rsidRDefault="00640403" w:rsidP="00685A8E">
            <w:pPr>
              <w:rPr>
                <w:rFonts w:ascii="Arial" w:hAnsi="Arial" w:cs="Arial"/>
                <w:sz w:val="20"/>
                <w:szCs w:val="20"/>
              </w:rPr>
            </w:pPr>
            <w:r w:rsidRPr="004F3943">
              <w:rPr>
                <w:rFonts w:ascii="Arial" w:hAnsi="Arial" w:cs="Arial"/>
                <w:sz w:val="20"/>
                <w:szCs w:val="20"/>
              </w:rPr>
              <w:t>57.920 brasileiros</w:t>
            </w:r>
          </w:p>
        </w:tc>
        <w:tc>
          <w:tcPr>
            <w:tcW w:w="2410" w:type="dxa"/>
          </w:tcPr>
          <w:p w14:paraId="76C2B433" w14:textId="77777777" w:rsidR="00640403" w:rsidRPr="004F3943" w:rsidRDefault="00640403" w:rsidP="00685A8E">
            <w:pPr>
              <w:rPr>
                <w:rFonts w:ascii="Arial" w:hAnsi="Arial" w:cs="Arial"/>
                <w:sz w:val="20"/>
                <w:szCs w:val="20"/>
              </w:rPr>
            </w:pPr>
            <w:r w:rsidRPr="004F3943">
              <w:rPr>
                <w:rFonts w:ascii="Arial" w:hAnsi="Arial" w:cs="Arial"/>
                <w:sz w:val="20"/>
                <w:szCs w:val="20"/>
              </w:rPr>
              <w:t>Investigar as características dos domicílios e das famílias, as avaliações submetidas, as restrições à saúde, o tempo de deslocamento, serviços de utilidade pública, alimentação e outros elementos da qualidade de vida.</w:t>
            </w:r>
          </w:p>
        </w:tc>
        <w:tc>
          <w:tcPr>
            <w:tcW w:w="1417" w:type="dxa"/>
          </w:tcPr>
          <w:p w14:paraId="26880CA1" w14:textId="77777777" w:rsidR="00640403" w:rsidRPr="004F3943" w:rsidRDefault="00640403" w:rsidP="00685A8E">
            <w:pPr>
              <w:rPr>
                <w:rFonts w:ascii="Arial" w:hAnsi="Arial" w:cs="Arial"/>
                <w:sz w:val="20"/>
                <w:szCs w:val="20"/>
              </w:rPr>
            </w:pPr>
            <w:r w:rsidRPr="004F3943">
              <w:rPr>
                <w:rFonts w:ascii="Arial" w:hAnsi="Arial" w:cs="Arial"/>
                <w:sz w:val="20"/>
                <w:szCs w:val="20"/>
              </w:rPr>
              <w:t>Ambiente alimentar N.A</w:t>
            </w:r>
          </w:p>
        </w:tc>
        <w:tc>
          <w:tcPr>
            <w:tcW w:w="993" w:type="dxa"/>
          </w:tcPr>
          <w:p w14:paraId="4C5938F4" w14:textId="77777777" w:rsidR="00640403" w:rsidRPr="004F3943" w:rsidRDefault="00640403" w:rsidP="00685A8E">
            <w:pPr>
              <w:rPr>
                <w:rFonts w:ascii="Arial" w:hAnsi="Arial" w:cs="Arial"/>
                <w:sz w:val="20"/>
                <w:szCs w:val="20"/>
              </w:rPr>
            </w:pPr>
            <w:r w:rsidRPr="004F3943">
              <w:rPr>
                <w:rFonts w:ascii="Arial" w:hAnsi="Arial" w:cs="Arial"/>
                <w:sz w:val="20"/>
                <w:szCs w:val="20"/>
              </w:rPr>
              <w:t>Comparação por classes de renda, regiões, área urbana/rural e escolaridade</w:t>
            </w:r>
          </w:p>
        </w:tc>
        <w:tc>
          <w:tcPr>
            <w:tcW w:w="5613" w:type="dxa"/>
          </w:tcPr>
          <w:p w14:paraId="15EAD8E3"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Famílias com menor renda apresentaram maior consumo de alimentos processados e ultraprocessados.</w:t>
            </w:r>
          </w:p>
          <w:p w14:paraId="6D8F33AF"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 xml:space="preserve"> A maior renda esteve presente no alto consumo de ultraprocessados industrializados diversos.</w:t>
            </w:r>
          </w:p>
          <w:p w14:paraId="29BEBBC2"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A maior prevalência de excesso de peso está entre indivíduos com menor escolaridade, sendo de 61,0% entre aqueles com até 8 anos de estudo, comparado a 52,2% entre indivíduos com 12 anos ou mais</w:t>
            </w:r>
          </w:p>
        </w:tc>
      </w:tr>
      <w:tr w:rsidR="002649D0" w:rsidRPr="004F3943" w14:paraId="573A0218" w14:textId="77777777" w:rsidTr="002649D0">
        <w:tc>
          <w:tcPr>
            <w:tcW w:w="988" w:type="dxa"/>
          </w:tcPr>
          <w:p w14:paraId="5CE76470" w14:textId="77777777" w:rsidR="00640403" w:rsidRPr="004F3943" w:rsidRDefault="00640403" w:rsidP="00685A8E">
            <w:pPr>
              <w:rPr>
                <w:rFonts w:ascii="Arial" w:hAnsi="Arial" w:cs="Arial"/>
                <w:sz w:val="20"/>
                <w:szCs w:val="20"/>
              </w:rPr>
            </w:pPr>
            <w:r w:rsidRPr="004F3943">
              <w:rPr>
                <w:rFonts w:ascii="Arial" w:hAnsi="Arial" w:cs="Arial"/>
                <w:sz w:val="20"/>
                <w:szCs w:val="20"/>
              </w:rPr>
              <w:t>Ministério da Saúde, Vigitel 2019</w:t>
            </w:r>
          </w:p>
        </w:tc>
        <w:tc>
          <w:tcPr>
            <w:tcW w:w="992" w:type="dxa"/>
          </w:tcPr>
          <w:p w14:paraId="34050E81" w14:textId="77777777" w:rsidR="00640403" w:rsidRPr="004F3943" w:rsidRDefault="00640403" w:rsidP="00685A8E">
            <w:pPr>
              <w:rPr>
                <w:rFonts w:ascii="Arial" w:hAnsi="Arial" w:cs="Arial"/>
                <w:sz w:val="20"/>
                <w:szCs w:val="20"/>
              </w:rPr>
            </w:pPr>
            <w:r w:rsidRPr="004F3943">
              <w:rPr>
                <w:rFonts w:ascii="Arial" w:hAnsi="Arial" w:cs="Arial"/>
                <w:sz w:val="20"/>
                <w:szCs w:val="20"/>
              </w:rPr>
              <w:t>Brasil</w:t>
            </w:r>
          </w:p>
        </w:tc>
        <w:tc>
          <w:tcPr>
            <w:tcW w:w="1559" w:type="dxa"/>
          </w:tcPr>
          <w:p w14:paraId="410A4155" w14:textId="77777777" w:rsidR="00640403" w:rsidRPr="004F3943" w:rsidRDefault="00640403" w:rsidP="00685A8E">
            <w:pPr>
              <w:rPr>
                <w:rFonts w:ascii="Arial" w:hAnsi="Arial" w:cs="Arial"/>
                <w:sz w:val="20"/>
                <w:szCs w:val="20"/>
              </w:rPr>
            </w:pPr>
            <w:r w:rsidRPr="004F3943">
              <w:rPr>
                <w:rFonts w:ascii="Arial" w:hAnsi="Arial" w:cs="Arial"/>
                <w:sz w:val="20"/>
                <w:szCs w:val="20"/>
              </w:rPr>
              <w:t>52.443 adultos ≥18 anos residentes em domicílios com linha telefônica fixa</w:t>
            </w:r>
          </w:p>
        </w:tc>
        <w:tc>
          <w:tcPr>
            <w:tcW w:w="2410" w:type="dxa"/>
          </w:tcPr>
          <w:p w14:paraId="417924E2" w14:textId="77777777" w:rsidR="00640403" w:rsidRPr="004F3943" w:rsidRDefault="00640403" w:rsidP="00685A8E">
            <w:pPr>
              <w:rPr>
                <w:rFonts w:ascii="Arial" w:hAnsi="Arial" w:cs="Arial"/>
                <w:sz w:val="20"/>
                <w:szCs w:val="20"/>
              </w:rPr>
            </w:pPr>
            <w:r w:rsidRPr="004F3943">
              <w:rPr>
                <w:rFonts w:ascii="Arial" w:hAnsi="Arial" w:cs="Arial"/>
                <w:sz w:val="20"/>
                <w:szCs w:val="20"/>
              </w:rPr>
              <w:t>Monitorar fatores de risco e proteção para doenças crônicas, incluindo estado nutricional e consumo alimentar da população adulta brasileira</w:t>
            </w:r>
          </w:p>
        </w:tc>
        <w:tc>
          <w:tcPr>
            <w:tcW w:w="1417" w:type="dxa"/>
          </w:tcPr>
          <w:p w14:paraId="5F88C51F" w14:textId="77777777" w:rsidR="00640403" w:rsidRPr="004F3943" w:rsidRDefault="00640403" w:rsidP="00685A8E">
            <w:pPr>
              <w:rPr>
                <w:rFonts w:ascii="Arial" w:hAnsi="Arial" w:cs="Arial"/>
                <w:sz w:val="20"/>
                <w:szCs w:val="20"/>
              </w:rPr>
            </w:pPr>
            <w:r w:rsidRPr="004F3943">
              <w:rPr>
                <w:rFonts w:ascii="Arial" w:hAnsi="Arial" w:cs="Arial"/>
                <w:sz w:val="20"/>
                <w:szCs w:val="20"/>
              </w:rPr>
              <w:t>Ambiente alimentar N.A</w:t>
            </w:r>
          </w:p>
        </w:tc>
        <w:tc>
          <w:tcPr>
            <w:tcW w:w="993" w:type="dxa"/>
          </w:tcPr>
          <w:p w14:paraId="1CFF19FE" w14:textId="77777777" w:rsidR="00640403" w:rsidRPr="004F3943" w:rsidRDefault="00640403" w:rsidP="00685A8E">
            <w:pPr>
              <w:rPr>
                <w:rFonts w:ascii="Arial" w:hAnsi="Arial" w:cs="Arial"/>
                <w:sz w:val="20"/>
                <w:szCs w:val="20"/>
              </w:rPr>
            </w:pPr>
            <w:r w:rsidRPr="004F3943">
              <w:rPr>
                <w:rFonts w:ascii="Arial" w:hAnsi="Arial" w:cs="Arial"/>
                <w:sz w:val="20"/>
                <w:szCs w:val="20"/>
              </w:rPr>
              <w:t>Diferenças analisadas por sexo, faixa etária e escolaridade (proxy de condição socioec</w:t>
            </w:r>
            <w:r w:rsidRPr="004F3943">
              <w:rPr>
                <w:rFonts w:ascii="Arial" w:hAnsi="Arial" w:cs="Arial"/>
                <w:sz w:val="20"/>
                <w:szCs w:val="20"/>
              </w:rPr>
              <w:t>onômica)</w:t>
            </w:r>
          </w:p>
        </w:tc>
        <w:tc>
          <w:tcPr>
            <w:tcW w:w="5613" w:type="dxa"/>
          </w:tcPr>
          <w:p w14:paraId="0194F60D"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 xml:space="preserve">Observou-se maior prevalência de excesso de peso em indivíduos com menor escolaridade, cuja empregabilidade e renda é comprometida. </w:t>
            </w:r>
          </w:p>
          <w:p w14:paraId="4AAFFCDB"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As desigualdades sociais fortalecem o acesso e o consumo a alimentos não saudáveis devido ao seu baixo custo e grande oferta no mercado.</w:t>
            </w:r>
          </w:p>
          <w:p w14:paraId="5C8436DF" w14:textId="77777777" w:rsidR="00640403" w:rsidRPr="004F3943" w:rsidRDefault="00640403" w:rsidP="004F3943">
            <w:pPr>
              <w:pStyle w:val="PargrafodaLista"/>
              <w:tabs>
                <w:tab w:val="left" w:pos="2055"/>
              </w:tabs>
              <w:ind w:left="0" w:firstLine="360"/>
              <w:rPr>
                <w:rFonts w:ascii="Arial" w:hAnsi="Arial" w:cs="Arial"/>
                <w:sz w:val="20"/>
                <w:szCs w:val="20"/>
              </w:rPr>
            </w:pPr>
          </w:p>
        </w:tc>
      </w:tr>
      <w:tr w:rsidR="002649D0" w:rsidRPr="004F3943" w14:paraId="24FEE050" w14:textId="77777777" w:rsidTr="002649D0">
        <w:tc>
          <w:tcPr>
            <w:tcW w:w="988" w:type="dxa"/>
          </w:tcPr>
          <w:p w14:paraId="54859E69" w14:textId="77777777" w:rsidR="00640403" w:rsidRPr="004F3943" w:rsidRDefault="00640403" w:rsidP="00685A8E">
            <w:pPr>
              <w:rPr>
                <w:rFonts w:ascii="Arial" w:hAnsi="Arial" w:cs="Arial"/>
                <w:sz w:val="20"/>
                <w:szCs w:val="20"/>
              </w:rPr>
            </w:pPr>
            <w:r w:rsidRPr="004F3943">
              <w:rPr>
                <w:rFonts w:ascii="Arial" w:hAnsi="Arial" w:cs="Arial"/>
                <w:sz w:val="20"/>
                <w:szCs w:val="20"/>
              </w:rPr>
              <w:t>Fagundes, Menezes, Duran. (2022)</w:t>
            </w:r>
          </w:p>
        </w:tc>
        <w:tc>
          <w:tcPr>
            <w:tcW w:w="992" w:type="dxa"/>
          </w:tcPr>
          <w:p w14:paraId="251B098C" w14:textId="77777777" w:rsidR="00640403" w:rsidRPr="004F3943" w:rsidRDefault="00640403" w:rsidP="00685A8E">
            <w:pPr>
              <w:rPr>
                <w:rFonts w:ascii="Arial" w:hAnsi="Arial" w:cs="Arial"/>
                <w:sz w:val="20"/>
                <w:szCs w:val="20"/>
              </w:rPr>
            </w:pPr>
            <w:r w:rsidRPr="004F3943">
              <w:rPr>
                <w:rFonts w:ascii="Arial" w:hAnsi="Arial" w:cs="Arial"/>
                <w:sz w:val="20"/>
                <w:szCs w:val="20"/>
              </w:rPr>
              <w:t>Campinas (SP), Brasil</w:t>
            </w:r>
          </w:p>
        </w:tc>
        <w:tc>
          <w:tcPr>
            <w:tcW w:w="1559" w:type="dxa"/>
          </w:tcPr>
          <w:p w14:paraId="194A0CD0" w14:textId="77777777" w:rsidR="00640403" w:rsidRPr="004F3943" w:rsidRDefault="00640403" w:rsidP="00685A8E">
            <w:pPr>
              <w:rPr>
                <w:rFonts w:ascii="Arial" w:hAnsi="Arial" w:cs="Arial"/>
                <w:sz w:val="20"/>
                <w:szCs w:val="20"/>
              </w:rPr>
            </w:pPr>
            <w:r w:rsidRPr="004F3943">
              <w:rPr>
                <w:rFonts w:ascii="Arial" w:hAnsi="Arial" w:cs="Arial"/>
                <w:sz w:val="20"/>
                <w:szCs w:val="20"/>
              </w:rPr>
              <w:t>10.775 estabelecimentos.3,2 milhões de habitantes</w:t>
            </w:r>
          </w:p>
        </w:tc>
        <w:tc>
          <w:tcPr>
            <w:tcW w:w="2410" w:type="dxa"/>
          </w:tcPr>
          <w:p w14:paraId="48DA4FF1" w14:textId="77777777" w:rsidR="00640403" w:rsidRPr="004F3943" w:rsidRDefault="00640403" w:rsidP="00685A8E">
            <w:pPr>
              <w:rPr>
                <w:rFonts w:ascii="Arial" w:hAnsi="Arial" w:cs="Arial"/>
                <w:sz w:val="20"/>
                <w:szCs w:val="20"/>
              </w:rPr>
            </w:pPr>
            <w:r w:rsidRPr="004F3943">
              <w:rPr>
                <w:rFonts w:ascii="Arial" w:hAnsi="Arial" w:cs="Arial"/>
                <w:sz w:val="20"/>
                <w:szCs w:val="20"/>
              </w:rPr>
              <w:t>Mapear os pântanos alimentares na cidade</w:t>
            </w:r>
          </w:p>
        </w:tc>
        <w:tc>
          <w:tcPr>
            <w:tcW w:w="1417" w:type="dxa"/>
          </w:tcPr>
          <w:p w14:paraId="7A39BC38" w14:textId="77777777" w:rsidR="00640403" w:rsidRPr="004F3943" w:rsidRDefault="00640403" w:rsidP="00685A8E">
            <w:pPr>
              <w:rPr>
                <w:rFonts w:ascii="Arial" w:hAnsi="Arial" w:cs="Arial"/>
                <w:sz w:val="20"/>
                <w:szCs w:val="20"/>
              </w:rPr>
            </w:pPr>
            <w:r w:rsidRPr="004F3943">
              <w:rPr>
                <w:rFonts w:ascii="Arial" w:hAnsi="Arial" w:cs="Arial"/>
                <w:sz w:val="20"/>
                <w:szCs w:val="20"/>
              </w:rPr>
              <w:t>Exposição a pântanos alimentares</w:t>
            </w:r>
          </w:p>
        </w:tc>
        <w:tc>
          <w:tcPr>
            <w:tcW w:w="993" w:type="dxa"/>
          </w:tcPr>
          <w:p w14:paraId="13F6B139" w14:textId="77777777" w:rsidR="00640403" w:rsidRPr="004F3943" w:rsidRDefault="00640403" w:rsidP="00685A8E">
            <w:pPr>
              <w:rPr>
                <w:rFonts w:ascii="Arial" w:hAnsi="Arial" w:cs="Arial"/>
                <w:sz w:val="20"/>
                <w:szCs w:val="20"/>
              </w:rPr>
            </w:pPr>
            <w:r w:rsidRPr="004F3943">
              <w:rPr>
                <w:rFonts w:ascii="Arial" w:hAnsi="Arial" w:cs="Arial"/>
                <w:sz w:val="20"/>
                <w:szCs w:val="20"/>
              </w:rPr>
              <w:t>Baixa renda</w:t>
            </w:r>
          </w:p>
        </w:tc>
        <w:tc>
          <w:tcPr>
            <w:tcW w:w="5613" w:type="dxa"/>
          </w:tcPr>
          <w:p w14:paraId="79F99B5D"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Regiões de baixo nível econômico apresentaram mais disponibilidade e acessibilidades de AUP em relação a alimentos in natura</w:t>
            </w:r>
          </w:p>
          <w:p w14:paraId="77CA3FCF"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 xml:space="preserve">As áreas regionais com maiores rendas foram as que apresentam menores porcentagens de pretos e pardos entre seus residentes </w:t>
            </w:r>
          </w:p>
        </w:tc>
      </w:tr>
      <w:tr w:rsidR="002649D0" w:rsidRPr="004F3943" w14:paraId="0D1BC624" w14:textId="77777777" w:rsidTr="002649D0">
        <w:tc>
          <w:tcPr>
            <w:tcW w:w="988" w:type="dxa"/>
          </w:tcPr>
          <w:p w14:paraId="1FB1D19B" w14:textId="77777777" w:rsidR="00640403" w:rsidRPr="004F3943" w:rsidRDefault="00640403" w:rsidP="00685A8E">
            <w:pPr>
              <w:rPr>
                <w:rFonts w:ascii="Arial" w:hAnsi="Arial" w:cs="Arial"/>
                <w:sz w:val="20"/>
                <w:szCs w:val="20"/>
              </w:rPr>
            </w:pPr>
            <w:r w:rsidRPr="004F3943">
              <w:rPr>
                <w:rFonts w:ascii="Arial" w:hAnsi="Arial" w:cs="Arial"/>
                <w:sz w:val="20"/>
                <w:szCs w:val="20"/>
              </w:rPr>
              <w:t>Halldórsdóttir</w:t>
            </w:r>
          </w:p>
          <w:p w14:paraId="03C2F038" w14:textId="77777777" w:rsidR="00640403" w:rsidRPr="004F3943" w:rsidRDefault="00640403" w:rsidP="00685A8E">
            <w:pPr>
              <w:rPr>
                <w:rFonts w:ascii="Arial" w:hAnsi="Arial" w:cs="Arial"/>
                <w:sz w:val="20"/>
                <w:szCs w:val="20"/>
              </w:rPr>
            </w:pPr>
            <w:r w:rsidRPr="004F3943">
              <w:rPr>
                <w:rFonts w:ascii="Arial" w:hAnsi="Arial" w:cs="Arial"/>
                <w:sz w:val="20"/>
                <w:szCs w:val="20"/>
              </w:rPr>
              <w:t>et, al. (2025)</w:t>
            </w:r>
          </w:p>
        </w:tc>
        <w:tc>
          <w:tcPr>
            <w:tcW w:w="992" w:type="dxa"/>
          </w:tcPr>
          <w:p w14:paraId="68863DB4" w14:textId="77777777" w:rsidR="00640403" w:rsidRPr="004F3943" w:rsidRDefault="00640403" w:rsidP="00685A8E">
            <w:pPr>
              <w:rPr>
                <w:rFonts w:ascii="Arial" w:hAnsi="Arial" w:cs="Arial"/>
                <w:sz w:val="20"/>
                <w:szCs w:val="20"/>
              </w:rPr>
            </w:pPr>
            <w:r w:rsidRPr="004F3943">
              <w:rPr>
                <w:rFonts w:ascii="Arial" w:hAnsi="Arial" w:cs="Arial"/>
                <w:sz w:val="20"/>
                <w:szCs w:val="20"/>
              </w:rPr>
              <w:t>Reykjavik, Islandia</w:t>
            </w:r>
          </w:p>
        </w:tc>
        <w:tc>
          <w:tcPr>
            <w:tcW w:w="1559" w:type="dxa"/>
          </w:tcPr>
          <w:p w14:paraId="00FA066D" w14:textId="77777777" w:rsidR="00640403" w:rsidRPr="004F3943" w:rsidRDefault="00640403" w:rsidP="00685A8E">
            <w:pPr>
              <w:rPr>
                <w:rFonts w:ascii="Arial" w:hAnsi="Arial" w:cs="Arial"/>
                <w:sz w:val="20"/>
                <w:szCs w:val="20"/>
              </w:rPr>
            </w:pPr>
            <w:r w:rsidRPr="004F3943">
              <w:rPr>
                <w:rFonts w:ascii="Arial" w:hAnsi="Arial" w:cs="Arial"/>
                <w:sz w:val="20"/>
                <w:szCs w:val="20"/>
              </w:rPr>
              <w:t xml:space="preserve"> 5764 idosos</w:t>
            </w:r>
          </w:p>
        </w:tc>
        <w:tc>
          <w:tcPr>
            <w:tcW w:w="2410" w:type="dxa"/>
          </w:tcPr>
          <w:p w14:paraId="12D52385" w14:textId="77777777" w:rsidR="00640403" w:rsidRPr="004F3943" w:rsidRDefault="00640403" w:rsidP="00685A8E">
            <w:pPr>
              <w:rPr>
                <w:rFonts w:ascii="Arial" w:hAnsi="Arial" w:cs="Arial"/>
                <w:b/>
                <w:bCs/>
                <w:sz w:val="20"/>
                <w:szCs w:val="20"/>
              </w:rPr>
            </w:pPr>
            <w:r w:rsidRPr="004F3943">
              <w:rPr>
                <w:rFonts w:ascii="Arial" w:hAnsi="Arial" w:cs="Arial"/>
                <w:sz w:val="20"/>
                <w:szCs w:val="20"/>
              </w:rPr>
              <w:t>Avaliar o Status Socioeconômico e Associações com a Nutrição em Idosos Comunitários Islandeses</w:t>
            </w:r>
          </w:p>
          <w:p w14:paraId="15C06755" w14:textId="77777777" w:rsidR="00640403" w:rsidRPr="004F3943" w:rsidRDefault="00640403" w:rsidP="00685A8E">
            <w:pPr>
              <w:rPr>
                <w:rFonts w:ascii="Arial" w:hAnsi="Arial" w:cs="Arial"/>
                <w:sz w:val="20"/>
                <w:szCs w:val="20"/>
              </w:rPr>
            </w:pPr>
          </w:p>
        </w:tc>
        <w:tc>
          <w:tcPr>
            <w:tcW w:w="1417" w:type="dxa"/>
          </w:tcPr>
          <w:p w14:paraId="1148E7D5" w14:textId="77777777" w:rsidR="00640403" w:rsidRPr="004F3943" w:rsidRDefault="00640403" w:rsidP="00685A8E">
            <w:pPr>
              <w:rPr>
                <w:rFonts w:ascii="Arial" w:hAnsi="Arial" w:cs="Arial"/>
                <w:sz w:val="20"/>
                <w:szCs w:val="20"/>
              </w:rPr>
            </w:pPr>
            <w:r w:rsidRPr="004F3943">
              <w:rPr>
                <w:rFonts w:ascii="Arial" w:hAnsi="Arial" w:cs="Arial"/>
                <w:sz w:val="20"/>
                <w:szCs w:val="20"/>
              </w:rPr>
              <w:t>Exposição a ultraprocessados</w:t>
            </w:r>
          </w:p>
        </w:tc>
        <w:tc>
          <w:tcPr>
            <w:tcW w:w="993" w:type="dxa"/>
          </w:tcPr>
          <w:p w14:paraId="34F29E33" w14:textId="77777777" w:rsidR="00640403" w:rsidRPr="004F3943" w:rsidRDefault="00640403" w:rsidP="00685A8E">
            <w:pPr>
              <w:rPr>
                <w:rFonts w:ascii="Arial" w:hAnsi="Arial" w:cs="Arial"/>
                <w:sz w:val="20"/>
                <w:szCs w:val="20"/>
              </w:rPr>
            </w:pPr>
            <w:r w:rsidRPr="004F3943">
              <w:rPr>
                <w:rFonts w:ascii="Arial" w:hAnsi="Arial" w:cs="Arial"/>
                <w:sz w:val="20"/>
                <w:szCs w:val="20"/>
              </w:rPr>
              <w:t>Avaliação de classe social a partir da escolaridade</w:t>
            </w:r>
          </w:p>
        </w:tc>
        <w:tc>
          <w:tcPr>
            <w:tcW w:w="5613" w:type="dxa"/>
          </w:tcPr>
          <w:p w14:paraId="5AABD51E"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Indivíduos de baixo status socioeconômico têm menos probabilidade de consumir vegetais e frutas do que aqueles com alto nível socioeconômico</w:t>
            </w:r>
          </w:p>
        </w:tc>
      </w:tr>
      <w:tr w:rsidR="002649D0" w:rsidRPr="004F3943" w14:paraId="66387E1B" w14:textId="77777777" w:rsidTr="002649D0">
        <w:tc>
          <w:tcPr>
            <w:tcW w:w="988" w:type="dxa"/>
          </w:tcPr>
          <w:p w14:paraId="4C9392DF" w14:textId="77777777" w:rsidR="00640403" w:rsidRPr="004F3943" w:rsidRDefault="00640403" w:rsidP="00685A8E">
            <w:pPr>
              <w:rPr>
                <w:rFonts w:ascii="Arial" w:hAnsi="Arial" w:cs="Arial"/>
                <w:sz w:val="20"/>
                <w:szCs w:val="20"/>
              </w:rPr>
            </w:pPr>
            <w:r w:rsidRPr="004F3943">
              <w:rPr>
                <w:rFonts w:ascii="Arial" w:hAnsi="Arial" w:cs="Arial"/>
                <w:sz w:val="20"/>
                <w:szCs w:val="20"/>
              </w:rPr>
              <w:t>Serafim et, al. (2022)</w:t>
            </w:r>
          </w:p>
        </w:tc>
        <w:tc>
          <w:tcPr>
            <w:tcW w:w="992" w:type="dxa"/>
          </w:tcPr>
          <w:p w14:paraId="5476408A" w14:textId="77777777" w:rsidR="00640403" w:rsidRPr="004F3943" w:rsidRDefault="00640403" w:rsidP="00685A8E">
            <w:pPr>
              <w:rPr>
                <w:rFonts w:ascii="Arial" w:hAnsi="Arial" w:cs="Arial"/>
                <w:sz w:val="20"/>
                <w:szCs w:val="20"/>
              </w:rPr>
            </w:pPr>
            <w:r w:rsidRPr="004F3943">
              <w:rPr>
                <w:rFonts w:ascii="Arial" w:hAnsi="Arial" w:cs="Arial"/>
                <w:sz w:val="20"/>
                <w:szCs w:val="20"/>
              </w:rPr>
              <w:t>Jundiá  (SP), Brasil</w:t>
            </w:r>
          </w:p>
        </w:tc>
        <w:tc>
          <w:tcPr>
            <w:tcW w:w="1559" w:type="dxa"/>
          </w:tcPr>
          <w:p w14:paraId="5796CB91" w14:textId="77777777" w:rsidR="00640403" w:rsidRPr="004F3943" w:rsidRDefault="00640403" w:rsidP="00685A8E">
            <w:pPr>
              <w:rPr>
                <w:rFonts w:ascii="Arial" w:hAnsi="Arial" w:cs="Arial"/>
                <w:sz w:val="20"/>
                <w:szCs w:val="20"/>
              </w:rPr>
            </w:pPr>
            <w:r w:rsidRPr="004F3943">
              <w:rPr>
                <w:rFonts w:ascii="Arial" w:hAnsi="Arial" w:cs="Arial"/>
                <w:sz w:val="20"/>
                <w:szCs w:val="20"/>
              </w:rPr>
              <w:t>683 bairros e 74 bairros. Atualmente possui 418.962 habitantes</w:t>
            </w:r>
          </w:p>
        </w:tc>
        <w:tc>
          <w:tcPr>
            <w:tcW w:w="2410" w:type="dxa"/>
          </w:tcPr>
          <w:p w14:paraId="4F0C66EC" w14:textId="77777777" w:rsidR="00640403" w:rsidRPr="004F3943" w:rsidRDefault="00640403" w:rsidP="00685A8E">
            <w:pPr>
              <w:rPr>
                <w:rFonts w:ascii="Arial" w:hAnsi="Arial" w:cs="Arial"/>
                <w:sz w:val="20"/>
                <w:szCs w:val="20"/>
              </w:rPr>
            </w:pPr>
            <w:r w:rsidRPr="004F3943">
              <w:rPr>
                <w:rFonts w:ascii="Arial" w:hAnsi="Arial" w:cs="Arial"/>
                <w:sz w:val="20"/>
                <w:szCs w:val="20"/>
              </w:rPr>
              <w:t>Analisar a associação entre desigualdades sociais e a distribuição espacial de desertos alimentares e pântanos alimentares em uma metrópole brasileira.</w:t>
            </w:r>
          </w:p>
        </w:tc>
        <w:tc>
          <w:tcPr>
            <w:tcW w:w="1417" w:type="dxa"/>
          </w:tcPr>
          <w:p w14:paraId="29D53F22" w14:textId="77777777" w:rsidR="00640403" w:rsidRPr="004F3943" w:rsidRDefault="00640403" w:rsidP="00685A8E">
            <w:pPr>
              <w:rPr>
                <w:rFonts w:ascii="Arial" w:hAnsi="Arial" w:cs="Arial"/>
                <w:sz w:val="20"/>
                <w:szCs w:val="20"/>
              </w:rPr>
            </w:pPr>
            <w:r w:rsidRPr="004F3943">
              <w:rPr>
                <w:rFonts w:ascii="Arial" w:hAnsi="Arial" w:cs="Arial"/>
                <w:sz w:val="20"/>
                <w:szCs w:val="20"/>
              </w:rPr>
              <w:t>Exposição a pântanos alimentares</w:t>
            </w:r>
          </w:p>
        </w:tc>
        <w:tc>
          <w:tcPr>
            <w:tcW w:w="993" w:type="dxa"/>
          </w:tcPr>
          <w:p w14:paraId="74E3B531" w14:textId="77777777" w:rsidR="00640403" w:rsidRPr="004F3943" w:rsidRDefault="00640403" w:rsidP="00685A8E">
            <w:pPr>
              <w:rPr>
                <w:rFonts w:ascii="Arial" w:hAnsi="Arial" w:cs="Arial"/>
                <w:sz w:val="20"/>
                <w:szCs w:val="20"/>
              </w:rPr>
            </w:pPr>
            <w:r w:rsidRPr="004F3943">
              <w:rPr>
                <w:rFonts w:ascii="Arial" w:hAnsi="Arial" w:cs="Arial"/>
                <w:sz w:val="20"/>
                <w:szCs w:val="20"/>
              </w:rPr>
              <w:t>Baixa renda</w:t>
            </w:r>
          </w:p>
        </w:tc>
        <w:tc>
          <w:tcPr>
            <w:tcW w:w="5613" w:type="dxa"/>
          </w:tcPr>
          <w:p w14:paraId="5EAB21B1"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Indivíduos socioeconomicamente desfavorecidos possuem acesso facilitado para o consumo de alimentos não saudáveis em relação a alimentos saudáveis.</w:t>
            </w:r>
          </w:p>
        </w:tc>
      </w:tr>
      <w:tr w:rsidR="002649D0" w:rsidRPr="004F3943" w14:paraId="7C31E835" w14:textId="77777777" w:rsidTr="002649D0">
        <w:tc>
          <w:tcPr>
            <w:tcW w:w="988" w:type="dxa"/>
          </w:tcPr>
          <w:p w14:paraId="7DE10684" w14:textId="77777777" w:rsidR="00640403" w:rsidRPr="004F3943" w:rsidRDefault="00640403" w:rsidP="00685A8E">
            <w:pPr>
              <w:rPr>
                <w:rFonts w:ascii="Arial" w:hAnsi="Arial" w:cs="Arial"/>
                <w:sz w:val="20"/>
                <w:szCs w:val="20"/>
              </w:rPr>
            </w:pPr>
            <w:r w:rsidRPr="004F3943">
              <w:rPr>
                <w:rFonts w:ascii="Arial" w:hAnsi="Arial" w:cs="Arial"/>
                <w:sz w:val="20"/>
                <w:szCs w:val="20"/>
              </w:rPr>
              <w:t>Lima et, al. (2025)</w:t>
            </w:r>
          </w:p>
        </w:tc>
        <w:tc>
          <w:tcPr>
            <w:tcW w:w="992" w:type="dxa"/>
          </w:tcPr>
          <w:p w14:paraId="3CC3FF72" w14:textId="77777777" w:rsidR="00640403" w:rsidRPr="004F3943" w:rsidRDefault="00640403" w:rsidP="00685A8E">
            <w:pPr>
              <w:rPr>
                <w:rFonts w:ascii="Arial" w:hAnsi="Arial" w:cs="Arial"/>
                <w:sz w:val="20"/>
                <w:szCs w:val="20"/>
              </w:rPr>
            </w:pPr>
            <w:r w:rsidRPr="004F3943">
              <w:rPr>
                <w:rFonts w:ascii="Arial" w:hAnsi="Arial" w:cs="Arial"/>
                <w:sz w:val="20"/>
                <w:szCs w:val="20"/>
              </w:rPr>
              <w:t>Recife</w:t>
            </w:r>
          </w:p>
        </w:tc>
        <w:tc>
          <w:tcPr>
            <w:tcW w:w="1559" w:type="dxa"/>
          </w:tcPr>
          <w:p w14:paraId="462B9E3E" w14:textId="77777777" w:rsidR="00640403" w:rsidRPr="004F3943" w:rsidRDefault="00640403" w:rsidP="00685A8E">
            <w:pPr>
              <w:rPr>
                <w:rFonts w:ascii="Arial" w:hAnsi="Arial" w:cs="Arial"/>
                <w:sz w:val="20"/>
                <w:szCs w:val="20"/>
              </w:rPr>
            </w:pPr>
            <w:r w:rsidRPr="004F3943">
              <w:rPr>
                <w:rFonts w:ascii="Arial" w:hAnsi="Arial" w:cs="Arial"/>
                <w:sz w:val="20"/>
                <w:szCs w:val="20"/>
              </w:rPr>
              <w:t>20.199 lojas varejistas de alimentos. 1,5 milhão de habitantes</w:t>
            </w:r>
          </w:p>
        </w:tc>
        <w:tc>
          <w:tcPr>
            <w:tcW w:w="2410" w:type="dxa"/>
          </w:tcPr>
          <w:p w14:paraId="12628499" w14:textId="77777777" w:rsidR="00640403" w:rsidRPr="004F3943" w:rsidRDefault="00640403" w:rsidP="00685A8E">
            <w:pPr>
              <w:rPr>
                <w:rFonts w:ascii="Arial" w:hAnsi="Arial" w:cs="Arial"/>
                <w:sz w:val="20"/>
                <w:szCs w:val="20"/>
              </w:rPr>
            </w:pPr>
            <w:r w:rsidRPr="004F3943">
              <w:rPr>
                <w:rFonts w:ascii="Arial" w:hAnsi="Arial" w:cs="Arial"/>
                <w:sz w:val="20"/>
                <w:szCs w:val="20"/>
              </w:rPr>
              <w:t>Identificar áreas classificadas como desertos alimentares e pântanos alimentares na cidade de Recife (PE)</w:t>
            </w:r>
          </w:p>
        </w:tc>
        <w:tc>
          <w:tcPr>
            <w:tcW w:w="1417" w:type="dxa"/>
          </w:tcPr>
          <w:p w14:paraId="68858D6A" w14:textId="77777777" w:rsidR="00640403" w:rsidRPr="004F3943" w:rsidRDefault="00640403" w:rsidP="00685A8E">
            <w:pPr>
              <w:rPr>
                <w:rFonts w:ascii="Arial" w:hAnsi="Arial" w:cs="Arial"/>
                <w:sz w:val="20"/>
                <w:szCs w:val="20"/>
              </w:rPr>
            </w:pPr>
            <w:r w:rsidRPr="004F3943">
              <w:rPr>
                <w:rFonts w:ascii="Arial" w:hAnsi="Arial" w:cs="Arial"/>
                <w:sz w:val="20"/>
                <w:szCs w:val="20"/>
              </w:rPr>
              <w:t>Exposição a pântanos e desertos alimentares</w:t>
            </w:r>
          </w:p>
        </w:tc>
        <w:tc>
          <w:tcPr>
            <w:tcW w:w="993" w:type="dxa"/>
          </w:tcPr>
          <w:p w14:paraId="668EFF4F" w14:textId="77777777" w:rsidR="00640403" w:rsidRPr="004F3943" w:rsidRDefault="00640403" w:rsidP="00685A8E">
            <w:pPr>
              <w:rPr>
                <w:rFonts w:ascii="Arial" w:hAnsi="Arial" w:cs="Arial"/>
                <w:sz w:val="20"/>
                <w:szCs w:val="20"/>
              </w:rPr>
            </w:pPr>
            <w:r w:rsidRPr="004F3943">
              <w:rPr>
                <w:rFonts w:ascii="Arial" w:hAnsi="Arial" w:cs="Arial"/>
                <w:sz w:val="20"/>
                <w:szCs w:val="20"/>
              </w:rPr>
              <w:t>Baixa renda</w:t>
            </w:r>
          </w:p>
        </w:tc>
        <w:tc>
          <w:tcPr>
            <w:tcW w:w="5613" w:type="dxa"/>
          </w:tcPr>
          <w:p w14:paraId="16E577CE"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Áreas vulneráveis socialmente tem menor disponibilidade de alimentos saudáveis e baixa oferta de alimentos in natura. 28,5% dos bairros foram considerados desertos alimentares, sendo seus residentes pessoas com menor escolaridades, menor renda maior vulnerabilidade e maior concentração de negros/pardos e indígenas. 73,47% foram classificadas com pântanos alimentares, nessas áreas foi encontrada maior concentração de pessoas brancas e com maior escolaridade.</w:t>
            </w:r>
          </w:p>
        </w:tc>
      </w:tr>
      <w:tr w:rsidR="002649D0" w:rsidRPr="004F3943" w14:paraId="17AEDCEC" w14:textId="77777777" w:rsidTr="002649D0">
        <w:tc>
          <w:tcPr>
            <w:tcW w:w="988" w:type="dxa"/>
          </w:tcPr>
          <w:p w14:paraId="448416D4" w14:textId="77777777" w:rsidR="00640403" w:rsidRPr="004F3943" w:rsidRDefault="00640403" w:rsidP="00685A8E">
            <w:pPr>
              <w:rPr>
                <w:rFonts w:ascii="Arial" w:hAnsi="Arial" w:cs="Arial"/>
                <w:sz w:val="20"/>
                <w:szCs w:val="20"/>
              </w:rPr>
            </w:pPr>
            <w:r w:rsidRPr="004F3943">
              <w:rPr>
                <w:rFonts w:ascii="Arial" w:hAnsi="Arial" w:cs="Arial"/>
                <w:sz w:val="20"/>
                <w:szCs w:val="20"/>
              </w:rPr>
              <w:t>Louzada et, al. (2022)</w:t>
            </w:r>
          </w:p>
        </w:tc>
        <w:tc>
          <w:tcPr>
            <w:tcW w:w="992" w:type="dxa"/>
          </w:tcPr>
          <w:p w14:paraId="1A6C8C60" w14:textId="77777777" w:rsidR="00640403" w:rsidRPr="004F3943" w:rsidRDefault="00640403" w:rsidP="00685A8E">
            <w:pPr>
              <w:rPr>
                <w:rFonts w:ascii="Arial" w:hAnsi="Arial" w:cs="Arial"/>
                <w:sz w:val="20"/>
                <w:szCs w:val="20"/>
              </w:rPr>
            </w:pPr>
            <w:r w:rsidRPr="004F3943">
              <w:rPr>
                <w:rFonts w:ascii="Arial" w:hAnsi="Arial" w:cs="Arial"/>
                <w:sz w:val="20"/>
                <w:szCs w:val="20"/>
              </w:rPr>
              <w:t>Brasil</w:t>
            </w:r>
          </w:p>
        </w:tc>
        <w:tc>
          <w:tcPr>
            <w:tcW w:w="1559" w:type="dxa"/>
          </w:tcPr>
          <w:p w14:paraId="5151F725" w14:textId="77777777" w:rsidR="00640403" w:rsidRPr="004F3943" w:rsidRDefault="00640403" w:rsidP="00685A8E">
            <w:pPr>
              <w:rPr>
                <w:rFonts w:ascii="Arial" w:hAnsi="Arial" w:cs="Arial"/>
                <w:sz w:val="20"/>
                <w:szCs w:val="20"/>
              </w:rPr>
            </w:pPr>
            <w:r w:rsidRPr="004F3943">
              <w:rPr>
                <w:rFonts w:ascii="Arial" w:hAnsi="Arial" w:cs="Arial"/>
                <w:sz w:val="20"/>
                <w:szCs w:val="20"/>
              </w:rPr>
              <w:t>26.327 adultos brasileiros</w:t>
            </w:r>
          </w:p>
        </w:tc>
        <w:tc>
          <w:tcPr>
            <w:tcW w:w="2410" w:type="dxa"/>
          </w:tcPr>
          <w:p w14:paraId="50833017" w14:textId="77777777" w:rsidR="00640403" w:rsidRPr="004F3943" w:rsidRDefault="00640403" w:rsidP="00685A8E">
            <w:pPr>
              <w:rPr>
                <w:rFonts w:ascii="Arial" w:hAnsi="Arial" w:cs="Arial"/>
                <w:sz w:val="20"/>
                <w:szCs w:val="20"/>
              </w:rPr>
            </w:pPr>
            <w:r w:rsidRPr="004F3943">
              <w:rPr>
                <w:rFonts w:ascii="Arial" w:hAnsi="Arial" w:cs="Arial"/>
                <w:sz w:val="20"/>
                <w:szCs w:val="20"/>
              </w:rPr>
              <w:t>Analisar mudanças nas desigualdades socioeconômicas no consumo alimentar entre 2008 e 2017</w:t>
            </w:r>
          </w:p>
          <w:p w14:paraId="53D8C08A" w14:textId="77777777" w:rsidR="00640403" w:rsidRPr="004F3943" w:rsidRDefault="00640403" w:rsidP="00685A8E">
            <w:pPr>
              <w:rPr>
                <w:rFonts w:ascii="Arial" w:hAnsi="Arial" w:cs="Arial"/>
                <w:sz w:val="20"/>
                <w:szCs w:val="20"/>
              </w:rPr>
            </w:pPr>
          </w:p>
        </w:tc>
        <w:tc>
          <w:tcPr>
            <w:tcW w:w="1417" w:type="dxa"/>
          </w:tcPr>
          <w:p w14:paraId="3D5F5456" w14:textId="77777777" w:rsidR="00640403" w:rsidRPr="004F3943" w:rsidRDefault="00640403" w:rsidP="00685A8E">
            <w:pPr>
              <w:rPr>
                <w:rFonts w:ascii="Arial" w:hAnsi="Arial" w:cs="Arial"/>
                <w:sz w:val="20"/>
                <w:szCs w:val="20"/>
              </w:rPr>
            </w:pPr>
            <w:r w:rsidRPr="004F3943">
              <w:rPr>
                <w:rFonts w:ascii="Arial" w:hAnsi="Arial" w:cs="Arial"/>
                <w:sz w:val="20"/>
                <w:szCs w:val="20"/>
              </w:rPr>
              <w:t>Ambiente N.A</w:t>
            </w:r>
          </w:p>
        </w:tc>
        <w:tc>
          <w:tcPr>
            <w:tcW w:w="993" w:type="dxa"/>
          </w:tcPr>
          <w:p w14:paraId="0D3337CB" w14:textId="77777777" w:rsidR="00640403" w:rsidRPr="004F3943" w:rsidRDefault="00640403" w:rsidP="00685A8E">
            <w:pPr>
              <w:rPr>
                <w:rFonts w:ascii="Arial" w:hAnsi="Arial" w:cs="Arial"/>
                <w:sz w:val="20"/>
                <w:szCs w:val="20"/>
              </w:rPr>
            </w:pPr>
            <w:r w:rsidRPr="004F3943">
              <w:rPr>
                <w:rFonts w:ascii="Arial" w:hAnsi="Arial" w:cs="Arial"/>
                <w:sz w:val="20"/>
                <w:szCs w:val="20"/>
              </w:rPr>
              <w:t>Todas as classes sociais</w:t>
            </w:r>
          </w:p>
        </w:tc>
        <w:tc>
          <w:tcPr>
            <w:tcW w:w="5613" w:type="dxa"/>
          </w:tcPr>
          <w:p w14:paraId="00F02457"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Pessoas com nível socioeconômico mais elevado apresentaram consumo mais elevado de alimentos in natura/minimamente processados e ultraprocessados em relação as ´pessoas com menor renda</w:t>
            </w:r>
          </w:p>
        </w:tc>
      </w:tr>
      <w:tr w:rsidR="002649D0" w:rsidRPr="004F3943" w14:paraId="36351477" w14:textId="77777777" w:rsidTr="002649D0">
        <w:tc>
          <w:tcPr>
            <w:tcW w:w="988" w:type="dxa"/>
          </w:tcPr>
          <w:p w14:paraId="3B117532" w14:textId="77777777" w:rsidR="00640403" w:rsidRPr="004F3943" w:rsidRDefault="00640403" w:rsidP="00685A8E">
            <w:pPr>
              <w:rPr>
                <w:rFonts w:ascii="Arial" w:hAnsi="Arial" w:cs="Arial"/>
                <w:sz w:val="20"/>
                <w:szCs w:val="20"/>
              </w:rPr>
            </w:pPr>
            <w:r w:rsidRPr="004F3943">
              <w:rPr>
                <w:rFonts w:ascii="Arial" w:hAnsi="Arial" w:cs="Arial"/>
                <w:sz w:val="20"/>
                <w:szCs w:val="20"/>
              </w:rPr>
              <w:t>Gonçalves et, al. (2022)</w:t>
            </w:r>
          </w:p>
        </w:tc>
        <w:tc>
          <w:tcPr>
            <w:tcW w:w="992" w:type="dxa"/>
          </w:tcPr>
          <w:p w14:paraId="27C9DE66" w14:textId="77777777" w:rsidR="00640403" w:rsidRPr="004F3943" w:rsidRDefault="00640403" w:rsidP="00685A8E">
            <w:pPr>
              <w:rPr>
                <w:rFonts w:ascii="Arial" w:hAnsi="Arial" w:cs="Arial"/>
                <w:sz w:val="20"/>
                <w:szCs w:val="20"/>
              </w:rPr>
            </w:pPr>
            <w:r w:rsidRPr="004F3943">
              <w:rPr>
                <w:rFonts w:ascii="Arial" w:hAnsi="Arial" w:cs="Arial"/>
                <w:sz w:val="20"/>
                <w:szCs w:val="20"/>
              </w:rPr>
              <w:t>Brasil</w:t>
            </w:r>
          </w:p>
        </w:tc>
        <w:tc>
          <w:tcPr>
            <w:tcW w:w="1559" w:type="dxa"/>
          </w:tcPr>
          <w:p w14:paraId="0665C3BA" w14:textId="77777777" w:rsidR="00640403" w:rsidRPr="004F3943" w:rsidRDefault="00640403" w:rsidP="00685A8E">
            <w:pPr>
              <w:rPr>
                <w:rFonts w:ascii="Arial" w:hAnsi="Arial" w:cs="Arial"/>
                <w:sz w:val="20"/>
                <w:szCs w:val="20"/>
              </w:rPr>
            </w:pPr>
            <w:r w:rsidRPr="004F3943">
              <w:rPr>
                <w:rFonts w:ascii="Arial" w:hAnsi="Arial" w:cs="Arial"/>
                <w:sz w:val="20"/>
                <w:szCs w:val="20"/>
              </w:rPr>
              <w:t>101.689 adolescentes</w:t>
            </w:r>
          </w:p>
        </w:tc>
        <w:tc>
          <w:tcPr>
            <w:tcW w:w="2410" w:type="dxa"/>
          </w:tcPr>
          <w:p w14:paraId="091273CA" w14:textId="77777777" w:rsidR="00640403" w:rsidRPr="004F3943" w:rsidRDefault="00640403" w:rsidP="00685A8E">
            <w:pPr>
              <w:rPr>
                <w:rFonts w:ascii="Arial" w:hAnsi="Arial" w:cs="Arial"/>
                <w:sz w:val="20"/>
                <w:szCs w:val="20"/>
              </w:rPr>
            </w:pPr>
            <w:r w:rsidRPr="004F3943">
              <w:rPr>
                <w:rFonts w:ascii="Arial" w:hAnsi="Arial" w:cs="Arial"/>
                <w:sz w:val="20"/>
                <w:szCs w:val="20"/>
              </w:rPr>
              <w:t>Avalia as desigualdades socioeconômicas no consumo de alimentos in natura/minimamente processados e ultraprocessados entre adolescente</w:t>
            </w:r>
          </w:p>
        </w:tc>
        <w:tc>
          <w:tcPr>
            <w:tcW w:w="1417" w:type="dxa"/>
          </w:tcPr>
          <w:p w14:paraId="23F0CF39" w14:textId="77777777" w:rsidR="00640403" w:rsidRPr="004F3943" w:rsidRDefault="00640403" w:rsidP="00685A8E">
            <w:pPr>
              <w:rPr>
                <w:rFonts w:ascii="Arial" w:hAnsi="Arial" w:cs="Arial"/>
                <w:sz w:val="20"/>
                <w:szCs w:val="20"/>
              </w:rPr>
            </w:pPr>
            <w:r w:rsidRPr="004F3943">
              <w:rPr>
                <w:rFonts w:ascii="Arial" w:hAnsi="Arial" w:cs="Arial"/>
                <w:sz w:val="20"/>
                <w:szCs w:val="20"/>
              </w:rPr>
              <w:t>Ambiente N.A</w:t>
            </w:r>
          </w:p>
        </w:tc>
        <w:tc>
          <w:tcPr>
            <w:tcW w:w="993" w:type="dxa"/>
          </w:tcPr>
          <w:p w14:paraId="684A7214" w14:textId="77777777" w:rsidR="00640403" w:rsidRPr="004F3943" w:rsidRDefault="00640403" w:rsidP="00685A8E">
            <w:pPr>
              <w:rPr>
                <w:rFonts w:ascii="Arial" w:hAnsi="Arial" w:cs="Arial"/>
                <w:sz w:val="20"/>
                <w:szCs w:val="20"/>
              </w:rPr>
            </w:pPr>
            <w:r w:rsidRPr="004F3943">
              <w:rPr>
                <w:rFonts w:ascii="Arial" w:hAnsi="Arial" w:cs="Arial"/>
                <w:sz w:val="20"/>
                <w:szCs w:val="20"/>
              </w:rPr>
              <w:t>Todas as classes sociais</w:t>
            </w:r>
          </w:p>
        </w:tc>
        <w:tc>
          <w:tcPr>
            <w:tcW w:w="5613" w:type="dxa"/>
          </w:tcPr>
          <w:p w14:paraId="0B076833"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 xml:space="preserve">Adolescentes brasileiros no nível socioeconômico mais baixo relataram consumir menos </w:t>
            </w:r>
            <w:r w:rsidRPr="004F3943">
              <w:rPr>
                <w:rFonts w:ascii="Arial" w:hAnsi="Arial" w:cs="Arial"/>
                <w:i/>
                <w:iCs/>
                <w:sz w:val="20"/>
                <w:szCs w:val="20"/>
              </w:rPr>
              <w:t>alimentos naturais</w:t>
            </w:r>
            <w:r w:rsidRPr="004F3943">
              <w:rPr>
                <w:rFonts w:ascii="Arial" w:hAnsi="Arial" w:cs="Arial"/>
                <w:sz w:val="20"/>
                <w:szCs w:val="20"/>
              </w:rPr>
              <w:t>/minimamente processados, mas também menos AUP em comparação com aqueles no nível socioeconômico mais alto.</w:t>
            </w:r>
          </w:p>
        </w:tc>
      </w:tr>
      <w:tr w:rsidR="002649D0" w:rsidRPr="004F3943" w14:paraId="2BF54BAD" w14:textId="77777777" w:rsidTr="002649D0">
        <w:tc>
          <w:tcPr>
            <w:tcW w:w="988" w:type="dxa"/>
          </w:tcPr>
          <w:p w14:paraId="57226464" w14:textId="77777777" w:rsidR="00640403" w:rsidRPr="004F3943" w:rsidRDefault="00640403" w:rsidP="00685A8E">
            <w:pPr>
              <w:rPr>
                <w:rFonts w:ascii="Arial" w:hAnsi="Arial" w:cs="Arial"/>
                <w:sz w:val="20"/>
                <w:szCs w:val="20"/>
              </w:rPr>
            </w:pPr>
            <w:r w:rsidRPr="004F3943">
              <w:rPr>
                <w:rFonts w:ascii="Arial" w:hAnsi="Arial" w:cs="Arial"/>
                <w:sz w:val="20"/>
                <w:szCs w:val="20"/>
              </w:rPr>
              <w:t>Ribeiro et, al. (2025)</w:t>
            </w:r>
          </w:p>
        </w:tc>
        <w:tc>
          <w:tcPr>
            <w:tcW w:w="992" w:type="dxa"/>
          </w:tcPr>
          <w:p w14:paraId="5D7247B0" w14:textId="77777777" w:rsidR="00640403" w:rsidRPr="004F3943" w:rsidRDefault="00640403" w:rsidP="00685A8E">
            <w:pPr>
              <w:rPr>
                <w:rFonts w:ascii="Arial" w:hAnsi="Arial" w:cs="Arial"/>
                <w:sz w:val="20"/>
                <w:szCs w:val="20"/>
              </w:rPr>
            </w:pPr>
            <w:r w:rsidRPr="004F3943">
              <w:rPr>
                <w:rFonts w:ascii="Arial" w:hAnsi="Arial" w:cs="Arial"/>
                <w:sz w:val="20"/>
                <w:szCs w:val="20"/>
              </w:rPr>
              <w:t>Rio de Janeiro</w:t>
            </w:r>
          </w:p>
        </w:tc>
        <w:tc>
          <w:tcPr>
            <w:tcW w:w="1559" w:type="dxa"/>
          </w:tcPr>
          <w:p w14:paraId="04351258" w14:textId="77777777" w:rsidR="00640403" w:rsidRPr="004F3943" w:rsidRDefault="00640403" w:rsidP="00685A8E">
            <w:pPr>
              <w:rPr>
                <w:rFonts w:ascii="Arial" w:hAnsi="Arial" w:cs="Arial"/>
                <w:sz w:val="20"/>
                <w:szCs w:val="20"/>
              </w:rPr>
            </w:pPr>
            <w:r w:rsidRPr="004F3943">
              <w:rPr>
                <w:rFonts w:ascii="Arial" w:hAnsi="Arial" w:cs="Arial"/>
                <w:sz w:val="20"/>
                <w:szCs w:val="20"/>
              </w:rPr>
              <w:t>924 estudantes</w:t>
            </w:r>
          </w:p>
        </w:tc>
        <w:tc>
          <w:tcPr>
            <w:tcW w:w="2410" w:type="dxa"/>
          </w:tcPr>
          <w:p w14:paraId="030D6090" w14:textId="77777777" w:rsidR="00640403" w:rsidRPr="004F3943" w:rsidRDefault="00640403" w:rsidP="00685A8E">
            <w:pPr>
              <w:rPr>
                <w:rFonts w:ascii="Arial" w:hAnsi="Arial" w:cs="Arial"/>
                <w:sz w:val="20"/>
                <w:szCs w:val="20"/>
              </w:rPr>
            </w:pPr>
            <w:r w:rsidRPr="004F3943">
              <w:rPr>
                <w:rFonts w:ascii="Arial" w:hAnsi="Arial" w:cs="Arial"/>
                <w:sz w:val="20"/>
                <w:szCs w:val="20"/>
              </w:rPr>
              <w:t>Descrever o consumo de alimentos dos estudantes admitidos na universidade após a pandemia, de acordo com a situação de vulnerabilidade social.</w:t>
            </w:r>
          </w:p>
        </w:tc>
        <w:tc>
          <w:tcPr>
            <w:tcW w:w="1417" w:type="dxa"/>
          </w:tcPr>
          <w:p w14:paraId="333E1655" w14:textId="77777777" w:rsidR="00640403" w:rsidRPr="004F3943" w:rsidRDefault="00640403" w:rsidP="00685A8E">
            <w:pPr>
              <w:rPr>
                <w:rFonts w:ascii="Arial" w:hAnsi="Arial" w:cs="Arial"/>
                <w:sz w:val="20"/>
                <w:szCs w:val="20"/>
              </w:rPr>
            </w:pPr>
            <w:r w:rsidRPr="004F3943">
              <w:rPr>
                <w:rFonts w:ascii="Arial" w:hAnsi="Arial" w:cs="Arial"/>
                <w:sz w:val="20"/>
                <w:szCs w:val="20"/>
              </w:rPr>
              <w:t>Segurança e Insegurança alimentar, com fome e sem fome.</w:t>
            </w:r>
          </w:p>
        </w:tc>
        <w:tc>
          <w:tcPr>
            <w:tcW w:w="993" w:type="dxa"/>
          </w:tcPr>
          <w:p w14:paraId="6FEB8030" w14:textId="77777777" w:rsidR="00640403" w:rsidRPr="004F3943" w:rsidRDefault="00640403" w:rsidP="00685A8E">
            <w:pPr>
              <w:rPr>
                <w:rFonts w:ascii="Arial" w:hAnsi="Arial" w:cs="Arial"/>
                <w:sz w:val="20"/>
                <w:szCs w:val="20"/>
              </w:rPr>
            </w:pPr>
            <w:r w:rsidRPr="004F3943">
              <w:rPr>
                <w:rFonts w:ascii="Arial" w:hAnsi="Arial" w:cs="Arial"/>
                <w:sz w:val="20"/>
                <w:szCs w:val="20"/>
              </w:rPr>
              <w:t>Estudantes sem cota e estudantes cotistas</w:t>
            </w:r>
          </w:p>
        </w:tc>
        <w:tc>
          <w:tcPr>
            <w:tcW w:w="5613" w:type="dxa"/>
          </w:tcPr>
          <w:p w14:paraId="38A1A2F4"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45% dos estudantes sem cota tinham consumo regular de frutas e vegetais, superior aos 36% de estudantes com cotas que apresentaram este consumo.</w:t>
            </w:r>
          </w:p>
        </w:tc>
      </w:tr>
      <w:tr w:rsidR="002649D0" w:rsidRPr="004F3943" w14:paraId="6E68FC38" w14:textId="77777777" w:rsidTr="002649D0">
        <w:tc>
          <w:tcPr>
            <w:tcW w:w="988" w:type="dxa"/>
          </w:tcPr>
          <w:p w14:paraId="4176BD8B" w14:textId="77777777" w:rsidR="00640403" w:rsidRPr="004F3943" w:rsidRDefault="00640403" w:rsidP="00685A8E">
            <w:pPr>
              <w:rPr>
                <w:rFonts w:ascii="Arial" w:hAnsi="Arial" w:cs="Arial"/>
                <w:sz w:val="20"/>
                <w:szCs w:val="20"/>
              </w:rPr>
            </w:pPr>
            <w:r w:rsidRPr="004F3943">
              <w:rPr>
                <w:rFonts w:ascii="Arial" w:hAnsi="Arial" w:cs="Arial"/>
                <w:sz w:val="20"/>
                <w:szCs w:val="20"/>
              </w:rPr>
              <w:t>González-Rodriguéz et, at. (2025)</w:t>
            </w:r>
          </w:p>
        </w:tc>
        <w:tc>
          <w:tcPr>
            <w:tcW w:w="992" w:type="dxa"/>
          </w:tcPr>
          <w:p w14:paraId="0352576A" w14:textId="77777777" w:rsidR="00640403" w:rsidRPr="004F3943" w:rsidRDefault="00640403" w:rsidP="00685A8E">
            <w:pPr>
              <w:rPr>
                <w:rFonts w:ascii="Arial" w:hAnsi="Arial" w:cs="Arial"/>
                <w:sz w:val="20"/>
                <w:szCs w:val="20"/>
              </w:rPr>
            </w:pPr>
            <w:r w:rsidRPr="004F3943">
              <w:rPr>
                <w:rFonts w:ascii="Arial" w:hAnsi="Arial" w:cs="Arial"/>
                <w:sz w:val="20"/>
                <w:szCs w:val="20"/>
              </w:rPr>
              <w:t>Área metropolitana da Espanha.</w:t>
            </w:r>
          </w:p>
        </w:tc>
        <w:tc>
          <w:tcPr>
            <w:tcW w:w="1559" w:type="dxa"/>
          </w:tcPr>
          <w:p w14:paraId="08F02FCA" w14:textId="77777777" w:rsidR="00640403" w:rsidRPr="004F3943" w:rsidRDefault="00640403" w:rsidP="00685A8E">
            <w:pPr>
              <w:rPr>
                <w:rFonts w:ascii="Arial" w:hAnsi="Arial" w:cs="Arial"/>
                <w:sz w:val="20"/>
                <w:szCs w:val="20"/>
              </w:rPr>
            </w:pPr>
            <w:r w:rsidRPr="004F3943">
              <w:rPr>
                <w:rFonts w:ascii="Arial" w:hAnsi="Arial" w:cs="Arial"/>
                <w:sz w:val="20"/>
                <w:szCs w:val="20"/>
              </w:rPr>
              <w:t>280 crianças</w:t>
            </w:r>
          </w:p>
        </w:tc>
        <w:tc>
          <w:tcPr>
            <w:tcW w:w="2410" w:type="dxa"/>
          </w:tcPr>
          <w:p w14:paraId="0166074B" w14:textId="77777777" w:rsidR="00640403" w:rsidRPr="004F3943" w:rsidRDefault="00640403" w:rsidP="00685A8E">
            <w:pPr>
              <w:rPr>
                <w:rFonts w:ascii="Arial" w:hAnsi="Arial" w:cs="Arial"/>
                <w:sz w:val="20"/>
                <w:szCs w:val="20"/>
              </w:rPr>
            </w:pPr>
            <w:r w:rsidRPr="004F3943">
              <w:rPr>
                <w:rFonts w:ascii="Arial" w:hAnsi="Arial" w:cs="Arial"/>
                <w:sz w:val="20"/>
                <w:szCs w:val="20"/>
              </w:rPr>
              <w:t>Explorar como a vulnerabilidade social influencia padrões alimentares, composição corporal e insegurança alimentar entre crianças e adolescentes, com foco especial nas diferenças sexuais</w:t>
            </w:r>
          </w:p>
        </w:tc>
        <w:tc>
          <w:tcPr>
            <w:tcW w:w="1417" w:type="dxa"/>
          </w:tcPr>
          <w:p w14:paraId="4232877A" w14:textId="77777777" w:rsidR="00640403" w:rsidRPr="004F3943" w:rsidRDefault="00640403" w:rsidP="00685A8E">
            <w:pPr>
              <w:rPr>
                <w:rFonts w:ascii="Arial" w:hAnsi="Arial" w:cs="Arial"/>
                <w:sz w:val="20"/>
                <w:szCs w:val="20"/>
              </w:rPr>
            </w:pPr>
            <w:r w:rsidRPr="004F3943">
              <w:rPr>
                <w:rFonts w:ascii="Arial" w:hAnsi="Arial" w:cs="Arial"/>
                <w:sz w:val="20"/>
                <w:szCs w:val="20"/>
              </w:rPr>
              <w:t>Ambiente alimentar N.A</w:t>
            </w:r>
          </w:p>
        </w:tc>
        <w:tc>
          <w:tcPr>
            <w:tcW w:w="993" w:type="dxa"/>
          </w:tcPr>
          <w:p w14:paraId="27842998" w14:textId="77777777" w:rsidR="00640403" w:rsidRPr="004F3943" w:rsidRDefault="00640403" w:rsidP="00685A8E">
            <w:pPr>
              <w:rPr>
                <w:rFonts w:ascii="Arial" w:hAnsi="Arial" w:cs="Arial"/>
                <w:sz w:val="20"/>
                <w:szCs w:val="20"/>
              </w:rPr>
            </w:pPr>
            <w:r w:rsidRPr="004F3943">
              <w:rPr>
                <w:rFonts w:ascii="Arial" w:hAnsi="Arial" w:cs="Arial"/>
                <w:sz w:val="20"/>
                <w:szCs w:val="20"/>
              </w:rPr>
              <w:t xml:space="preserve">Vulnerabilidade socioeconômica e não vulneráveis </w:t>
            </w:r>
          </w:p>
        </w:tc>
        <w:tc>
          <w:tcPr>
            <w:tcW w:w="5613" w:type="dxa"/>
          </w:tcPr>
          <w:p w14:paraId="143C7534"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80,6% do grupo de pessoas vulneráveis consumia alimentos ultraprocessados, em comparação 68,5% foi o resultado no grupo de pessoas não vulneráveis.</w:t>
            </w:r>
          </w:p>
        </w:tc>
      </w:tr>
      <w:tr w:rsidR="002649D0" w:rsidRPr="004F3943" w14:paraId="76A7FEAF" w14:textId="77777777" w:rsidTr="002649D0">
        <w:tc>
          <w:tcPr>
            <w:tcW w:w="988" w:type="dxa"/>
          </w:tcPr>
          <w:p w14:paraId="5DB07FEB" w14:textId="77777777" w:rsidR="00640403" w:rsidRPr="004F3943" w:rsidRDefault="00640403" w:rsidP="00685A8E">
            <w:pPr>
              <w:rPr>
                <w:rFonts w:ascii="Arial" w:hAnsi="Arial" w:cs="Arial"/>
                <w:sz w:val="20"/>
                <w:szCs w:val="20"/>
              </w:rPr>
            </w:pPr>
            <w:r w:rsidRPr="004F3943">
              <w:rPr>
                <w:rFonts w:ascii="Arial" w:hAnsi="Arial" w:cs="Arial"/>
                <w:sz w:val="20"/>
                <w:szCs w:val="20"/>
              </w:rPr>
              <w:t>Franco et al., (2021)</w:t>
            </w:r>
          </w:p>
        </w:tc>
        <w:tc>
          <w:tcPr>
            <w:tcW w:w="992" w:type="dxa"/>
          </w:tcPr>
          <w:p w14:paraId="572846F1" w14:textId="77777777" w:rsidR="00640403" w:rsidRPr="004F3943" w:rsidRDefault="00640403" w:rsidP="00685A8E">
            <w:pPr>
              <w:rPr>
                <w:rFonts w:ascii="Arial" w:hAnsi="Arial" w:cs="Arial"/>
                <w:sz w:val="20"/>
                <w:szCs w:val="20"/>
              </w:rPr>
            </w:pPr>
            <w:r w:rsidRPr="004F3943">
              <w:rPr>
                <w:rFonts w:ascii="Arial" w:hAnsi="Arial" w:cs="Arial"/>
                <w:sz w:val="20"/>
                <w:szCs w:val="20"/>
              </w:rPr>
              <w:t>São Paulo</w:t>
            </w:r>
          </w:p>
        </w:tc>
        <w:tc>
          <w:tcPr>
            <w:tcW w:w="1559" w:type="dxa"/>
          </w:tcPr>
          <w:p w14:paraId="3F366CF5" w14:textId="77777777" w:rsidR="00640403" w:rsidRPr="004F3943" w:rsidRDefault="00640403" w:rsidP="00685A8E">
            <w:pPr>
              <w:rPr>
                <w:rFonts w:ascii="Arial" w:hAnsi="Arial" w:cs="Arial"/>
                <w:sz w:val="20"/>
                <w:szCs w:val="20"/>
              </w:rPr>
            </w:pPr>
            <w:r w:rsidRPr="004F3943">
              <w:rPr>
                <w:rFonts w:ascii="Arial" w:hAnsi="Arial" w:cs="Arial"/>
                <w:sz w:val="20"/>
                <w:szCs w:val="20"/>
              </w:rPr>
              <w:t>19 estações de metrô</w:t>
            </w:r>
          </w:p>
        </w:tc>
        <w:tc>
          <w:tcPr>
            <w:tcW w:w="2410" w:type="dxa"/>
          </w:tcPr>
          <w:p w14:paraId="25FED1F1" w14:textId="77777777" w:rsidR="00640403" w:rsidRPr="004F3943" w:rsidRDefault="00640403" w:rsidP="00685A8E">
            <w:pPr>
              <w:rPr>
                <w:rFonts w:ascii="Arial" w:hAnsi="Arial" w:cs="Arial"/>
                <w:sz w:val="20"/>
                <w:szCs w:val="20"/>
              </w:rPr>
            </w:pPr>
            <w:r w:rsidRPr="004F3943">
              <w:rPr>
                <w:rFonts w:ascii="Arial" w:hAnsi="Arial" w:cs="Arial"/>
                <w:sz w:val="20"/>
                <w:szCs w:val="20"/>
              </w:rPr>
              <w:t>Caracterizar o ambiente alimentar nas estações de metrô em São Paulo e descrever a disponibilidade de alimentos e bebidas de acordo com a vulnerabilidade social da área onde as estações estão localizadas</w:t>
            </w:r>
          </w:p>
        </w:tc>
        <w:tc>
          <w:tcPr>
            <w:tcW w:w="1417" w:type="dxa"/>
          </w:tcPr>
          <w:p w14:paraId="3BC8C359" w14:textId="77777777" w:rsidR="00640403" w:rsidRPr="004F3943" w:rsidRDefault="00640403" w:rsidP="00685A8E">
            <w:pPr>
              <w:rPr>
                <w:rFonts w:ascii="Arial" w:hAnsi="Arial" w:cs="Arial"/>
                <w:sz w:val="20"/>
                <w:szCs w:val="20"/>
              </w:rPr>
            </w:pPr>
            <w:r w:rsidRPr="004F3943">
              <w:rPr>
                <w:rFonts w:ascii="Arial" w:hAnsi="Arial" w:cs="Arial"/>
                <w:sz w:val="20"/>
                <w:szCs w:val="20"/>
              </w:rPr>
              <w:t>Alta disponibilidade de ultraprocessados;</w:t>
            </w:r>
          </w:p>
          <w:p w14:paraId="1FFAFB09" w14:textId="77777777" w:rsidR="00640403" w:rsidRPr="004F3943" w:rsidRDefault="00640403" w:rsidP="00685A8E">
            <w:pPr>
              <w:rPr>
                <w:rFonts w:ascii="Arial" w:hAnsi="Arial" w:cs="Arial"/>
                <w:sz w:val="20"/>
                <w:szCs w:val="20"/>
              </w:rPr>
            </w:pPr>
            <w:r w:rsidRPr="004F3943">
              <w:rPr>
                <w:rFonts w:ascii="Arial" w:hAnsi="Arial" w:cs="Arial"/>
                <w:sz w:val="20"/>
                <w:szCs w:val="20"/>
              </w:rPr>
              <w:t>Alta oferta de bebidas açucaradas; Baixa presença de frutas</w:t>
            </w:r>
          </w:p>
        </w:tc>
        <w:tc>
          <w:tcPr>
            <w:tcW w:w="993" w:type="dxa"/>
          </w:tcPr>
          <w:p w14:paraId="7A7D499B" w14:textId="77777777" w:rsidR="00640403" w:rsidRPr="004F3943" w:rsidRDefault="00640403" w:rsidP="00685A8E">
            <w:pPr>
              <w:rPr>
                <w:rFonts w:ascii="Arial" w:hAnsi="Arial" w:cs="Arial"/>
                <w:sz w:val="20"/>
                <w:szCs w:val="20"/>
              </w:rPr>
            </w:pPr>
            <w:r w:rsidRPr="004F3943">
              <w:rPr>
                <w:rFonts w:ascii="Arial" w:hAnsi="Arial" w:cs="Arial"/>
                <w:sz w:val="20"/>
                <w:szCs w:val="20"/>
              </w:rPr>
              <w:t>Vulnerabilidade extremamente baixa; vulnerabilidade muito baixa; baixa vulnerabilidade</w:t>
            </w:r>
          </w:p>
        </w:tc>
        <w:tc>
          <w:tcPr>
            <w:tcW w:w="5613" w:type="dxa"/>
          </w:tcPr>
          <w:p w14:paraId="337DA822"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 xml:space="preserve">Os estabelecimentos mais são de produtos alimentícios prontos ou máquinas de comida rápida, cuja característica principal é a venda quase exclusiva de alimentos e bebidas ultraprocessados. Apenas 36,5% dos estabelecimentos ofertavam frutas em comparação com 86,5% que ofertavam AUP. Áreas com maior vulnerabilidade social priorizam a venda de alimentos com menor custo, sendo assim maior a disponibilidade de ultraprocessados.  </w:t>
            </w:r>
          </w:p>
        </w:tc>
      </w:tr>
      <w:tr w:rsidR="002649D0" w:rsidRPr="004F3943" w14:paraId="724B42F1" w14:textId="77777777" w:rsidTr="002649D0">
        <w:tc>
          <w:tcPr>
            <w:tcW w:w="988" w:type="dxa"/>
          </w:tcPr>
          <w:p w14:paraId="2B36F277" w14:textId="77777777" w:rsidR="00640403" w:rsidRPr="004F3943" w:rsidRDefault="00640403" w:rsidP="00685A8E">
            <w:pPr>
              <w:rPr>
                <w:rFonts w:ascii="Arial" w:hAnsi="Arial" w:cs="Arial"/>
                <w:sz w:val="20"/>
                <w:szCs w:val="20"/>
              </w:rPr>
            </w:pPr>
            <w:r w:rsidRPr="004F3943">
              <w:rPr>
                <w:rFonts w:ascii="Arial" w:hAnsi="Arial" w:cs="Arial"/>
                <w:sz w:val="20"/>
                <w:szCs w:val="20"/>
              </w:rPr>
              <w:t>Gonzaga et, el. (2025)</w:t>
            </w:r>
          </w:p>
        </w:tc>
        <w:tc>
          <w:tcPr>
            <w:tcW w:w="992" w:type="dxa"/>
          </w:tcPr>
          <w:p w14:paraId="760095C5" w14:textId="77777777" w:rsidR="00640403" w:rsidRPr="004F3943" w:rsidRDefault="00640403" w:rsidP="00685A8E">
            <w:pPr>
              <w:rPr>
                <w:rFonts w:ascii="Arial" w:hAnsi="Arial" w:cs="Arial"/>
                <w:sz w:val="20"/>
                <w:szCs w:val="20"/>
              </w:rPr>
            </w:pPr>
            <w:r w:rsidRPr="004F3943">
              <w:rPr>
                <w:rFonts w:ascii="Arial" w:hAnsi="Arial" w:cs="Arial"/>
                <w:sz w:val="20"/>
                <w:szCs w:val="20"/>
              </w:rPr>
              <w:t>Maceió (AL)</w:t>
            </w:r>
          </w:p>
        </w:tc>
        <w:tc>
          <w:tcPr>
            <w:tcW w:w="1559" w:type="dxa"/>
          </w:tcPr>
          <w:p w14:paraId="0F7E9EE8" w14:textId="77777777" w:rsidR="00640403" w:rsidRPr="004F3943" w:rsidRDefault="00640403" w:rsidP="00685A8E">
            <w:pPr>
              <w:rPr>
                <w:rFonts w:ascii="Arial" w:hAnsi="Arial" w:cs="Arial"/>
                <w:sz w:val="20"/>
                <w:szCs w:val="20"/>
              </w:rPr>
            </w:pPr>
            <w:r w:rsidRPr="004F3943">
              <w:rPr>
                <w:rFonts w:ascii="Arial" w:hAnsi="Arial" w:cs="Arial"/>
                <w:sz w:val="20"/>
                <w:szCs w:val="20"/>
              </w:rPr>
              <w:t xml:space="preserve"> 624 estabelecimentos de varejo de alimentos e 1882 mulheres.</w:t>
            </w:r>
          </w:p>
        </w:tc>
        <w:tc>
          <w:tcPr>
            <w:tcW w:w="2410" w:type="dxa"/>
          </w:tcPr>
          <w:p w14:paraId="07A2D2F9" w14:textId="77777777" w:rsidR="00640403" w:rsidRPr="004F3943" w:rsidRDefault="00640403" w:rsidP="00685A8E">
            <w:pPr>
              <w:rPr>
                <w:rFonts w:ascii="Arial" w:hAnsi="Arial" w:cs="Arial"/>
                <w:sz w:val="20"/>
                <w:szCs w:val="20"/>
              </w:rPr>
            </w:pPr>
            <w:r w:rsidRPr="004F3943">
              <w:rPr>
                <w:rFonts w:ascii="Arial" w:hAnsi="Arial" w:cs="Arial"/>
                <w:sz w:val="20"/>
                <w:szCs w:val="20"/>
              </w:rPr>
              <w:t>Avaliar a relação entre o ambiente alimentar nas favelas e a presença de hipertensão arterial e diabetes entre as mulheres no contexto da vulnerabilidade social.</w:t>
            </w:r>
          </w:p>
        </w:tc>
        <w:tc>
          <w:tcPr>
            <w:tcW w:w="1417" w:type="dxa"/>
          </w:tcPr>
          <w:p w14:paraId="0C843FC6" w14:textId="77777777" w:rsidR="00640403" w:rsidRPr="004F3943" w:rsidRDefault="00640403" w:rsidP="00685A8E">
            <w:pPr>
              <w:rPr>
                <w:rFonts w:ascii="Arial" w:hAnsi="Arial" w:cs="Arial"/>
                <w:sz w:val="20"/>
                <w:szCs w:val="20"/>
              </w:rPr>
            </w:pPr>
            <w:r w:rsidRPr="004F3943">
              <w:rPr>
                <w:rFonts w:ascii="Arial" w:hAnsi="Arial" w:cs="Arial"/>
                <w:sz w:val="20"/>
                <w:szCs w:val="20"/>
              </w:rPr>
              <w:t>Exposição a desertos e pântanos alimentares</w:t>
            </w:r>
          </w:p>
        </w:tc>
        <w:tc>
          <w:tcPr>
            <w:tcW w:w="993" w:type="dxa"/>
          </w:tcPr>
          <w:p w14:paraId="488F53F0" w14:textId="77777777" w:rsidR="00640403" w:rsidRPr="004F3943" w:rsidRDefault="00640403" w:rsidP="00685A8E">
            <w:pPr>
              <w:rPr>
                <w:rFonts w:ascii="Arial" w:hAnsi="Arial" w:cs="Arial"/>
                <w:sz w:val="20"/>
                <w:szCs w:val="20"/>
              </w:rPr>
            </w:pPr>
            <w:r w:rsidRPr="004F3943">
              <w:rPr>
                <w:rFonts w:ascii="Arial" w:hAnsi="Arial" w:cs="Arial"/>
                <w:sz w:val="20"/>
                <w:szCs w:val="20"/>
              </w:rPr>
              <w:t>Baixa renda</w:t>
            </w:r>
          </w:p>
        </w:tc>
        <w:tc>
          <w:tcPr>
            <w:tcW w:w="5613" w:type="dxa"/>
          </w:tcPr>
          <w:p w14:paraId="3D940331"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75,8% viviam em situação de pobreza, 65,7% dos estabelecimentos vendiam principalmente AUP. O baixo custo dos AUP favorece o seu consumo.</w:t>
            </w:r>
          </w:p>
        </w:tc>
      </w:tr>
      <w:tr w:rsidR="002649D0" w:rsidRPr="004F3943" w14:paraId="36AA0E9C" w14:textId="77777777" w:rsidTr="002649D0">
        <w:tc>
          <w:tcPr>
            <w:tcW w:w="988" w:type="dxa"/>
          </w:tcPr>
          <w:p w14:paraId="76EFB722" w14:textId="77777777" w:rsidR="00640403" w:rsidRPr="004F3943" w:rsidRDefault="00640403" w:rsidP="00685A8E">
            <w:pPr>
              <w:rPr>
                <w:rFonts w:ascii="Arial" w:hAnsi="Arial" w:cs="Arial"/>
                <w:sz w:val="20"/>
                <w:szCs w:val="20"/>
              </w:rPr>
            </w:pPr>
            <w:r w:rsidRPr="004F3943">
              <w:rPr>
                <w:rFonts w:ascii="Arial" w:hAnsi="Arial" w:cs="Arial"/>
                <w:sz w:val="20"/>
                <w:szCs w:val="20"/>
              </w:rPr>
              <w:t>Moreira, Nogueira, Candido. (2024)</w:t>
            </w:r>
          </w:p>
        </w:tc>
        <w:tc>
          <w:tcPr>
            <w:tcW w:w="992" w:type="dxa"/>
          </w:tcPr>
          <w:p w14:paraId="65517C53" w14:textId="77777777" w:rsidR="00640403" w:rsidRPr="004F3943" w:rsidRDefault="00640403" w:rsidP="00685A8E">
            <w:pPr>
              <w:rPr>
                <w:rFonts w:ascii="Arial" w:hAnsi="Arial" w:cs="Arial"/>
                <w:sz w:val="20"/>
                <w:szCs w:val="20"/>
              </w:rPr>
            </w:pPr>
            <w:r w:rsidRPr="004F3943">
              <w:rPr>
                <w:rFonts w:ascii="Arial" w:hAnsi="Arial" w:cs="Arial"/>
                <w:sz w:val="20"/>
                <w:szCs w:val="20"/>
              </w:rPr>
              <w:t>Belo Horizonte, Minas Gerais (MG). Brasil.</w:t>
            </w:r>
          </w:p>
        </w:tc>
        <w:tc>
          <w:tcPr>
            <w:tcW w:w="1559" w:type="dxa"/>
          </w:tcPr>
          <w:p w14:paraId="021B686E" w14:textId="77777777" w:rsidR="00640403" w:rsidRPr="004F3943" w:rsidRDefault="00640403" w:rsidP="00685A8E">
            <w:pPr>
              <w:rPr>
                <w:rFonts w:ascii="Arial" w:hAnsi="Arial" w:cs="Arial"/>
                <w:sz w:val="20"/>
                <w:szCs w:val="20"/>
              </w:rPr>
            </w:pPr>
            <w:r w:rsidRPr="004F3943">
              <w:rPr>
                <w:rFonts w:ascii="Arial" w:hAnsi="Arial" w:cs="Arial"/>
                <w:sz w:val="20"/>
                <w:szCs w:val="20"/>
              </w:rPr>
              <w:t>81 regiões urbanas.  577.532 habitantes.</w:t>
            </w:r>
          </w:p>
        </w:tc>
        <w:tc>
          <w:tcPr>
            <w:tcW w:w="2410" w:type="dxa"/>
          </w:tcPr>
          <w:p w14:paraId="7081E321" w14:textId="77777777" w:rsidR="00640403" w:rsidRPr="004F3943" w:rsidRDefault="00640403" w:rsidP="00685A8E">
            <w:pPr>
              <w:rPr>
                <w:rFonts w:ascii="Arial" w:hAnsi="Arial" w:cs="Arial"/>
                <w:sz w:val="20"/>
                <w:szCs w:val="20"/>
              </w:rPr>
            </w:pPr>
            <w:r w:rsidRPr="004F3943">
              <w:rPr>
                <w:rFonts w:ascii="Arial" w:hAnsi="Arial" w:cs="Arial"/>
                <w:sz w:val="20"/>
                <w:szCs w:val="20"/>
              </w:rPr>
              <w:t>Avaliar o ambiente alimentar comunitário, identificando regiões de desertos e pântanos alimentares e associações com características socioeconômicas em uma cidade de Minas Gerais</w:t>
            </w:r>
          </w:p>
        </w:tc>
        <w:tc>
          <w:tcPr>
            <w:tcW w:w="1417" w:type="dxa"/>
          </w:tcPr>
          <w:p w14:paraId="41F35869" w14:textId="77777777" w:rsidR="00640403" w:rsidRPr="004F3943" w:rsidRDefault="00640403" w:rsidP="00685A8E">
            <w:pPr>
              <w:rPr>
                <w:rFonts w:ascii="Arial" w:hAnsi="Arial" w:cs="Arial"/>
                <w:sz w:val="20"/>
                <w:szCs w:val="20"/>
              </w:rPr>
            </w:pPr>
            <w:r w:rsidRPr="004F3943">
              <w:rPr>
                <w:rFonts w:ascii="Arial" w:hAnsi="Arial" w:cs="Arial"/>
                <w:sz w:val="20"/>
                <w:szCs w:val="20"/>
              </w:rPr>
              <w:t>Exposição a desertos e pântanos alimentares</w:t>
            </w:r>
          </w:p>
        </w:tc>
        <w:tc>
          <w:tcPr>
            <w:tcW w:w="993" w:type="dxa"/>
          </w:tcPr>
          <w:p w14:paraId="2F938272" w14:textId="77777777" w:rsidR="00640403" w:rsidRPr="004F3943" w:rsidRDefault="00640403" w:rsidP="00685A8E">
            <w:pPr>
              <w:rPr>
                <w:rFonts w:ascii="Arial" w:hAnsi="Arial" w:cs="Arial"/>
                <w:sz w:val="20"/>
                <w:szCs w:val="20"/>
              </w:rPr>
            </w:pPr>
            <w:r w:rsidRPr="004F3943">
              <w:rPr>
                <w:rFonts w:ascii="Arial" w:hAnsi="Arial" w:cs="Arial"/>
                <w:sz w:val="20"/>
                <w:szCs w:val="20"/>
              </w:rPr>
              <w:t>Baixa renda</w:t>
            </w:r>
          </w:p>
        </w:tc>
        <w:tc>
          <w:tcPr>
            <w:tcW w:w="5613" w:type="dxa"/>
          </w:tcPr>
          <w:p w14:paraId="49002222"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9,4% dos estabelecimentos são de aquisição de alimentos in natura e 35,2% de AUP.</w:t>
            </w:r>
          </w:p>
          <w:p w14:paraId="252A6093"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os desertos alimentares foram mais prevalentes em regiões de baixo  Índice de Vulnerabilidade Social (IVS).</w:t>
            </w:r>
          </w:p>
          <w:p w14:paraId="65C7A24B" w14:textId="77777777" w:rsidR="00640403" w:rsidRPr="004F3943" w:rsidRDefault="00640403" w:rsidP="004F3943">
            <w:pPr>
              <w:tabs>
                <w:tab w:val="left" w:pos="2055"/>
              </w:tabs>
              <w:ind w:firstLine="360"/>
              <w:rPr>
                <w:rFonts w:ascii="Arial" w:hAnsi="Arial" w:cs="Arial"/>
                <w:sz w:val="20"/>
                <w:szCs w:val="20"/>
              </w:rPr>
            </w:pPr>
            <w:r w:rsidRPr="004F3943">
              <w:rPr>
                <w:rFonts w:ascii="Arial" w:hAnsi="Arial" w:cs="Arial"/>
                <w:sz w:val="20"/>
                <w:szCs w:val="20"/>
              </w:rPr>
              <w:t>33,3% das pessoas com renda inferior a dois salários-mínimos/mês vivem em desertos alimentares.</w:t>
            </w:r>
          </w:p>
        </w:tc>
      </w:tr>
    </w:tbl>
    <w:p w14:paraId="549B9A6F" w14:textId="77777777" w:rsidR="004F3943" w:rsidRPr="004F3943" w:rsidRDefault="004F3943" w:rsidP="007A10A6">
      <w:pPr>
        <w:rPr>
          <w:rFonts w:ascii="Arial" w:hAnsi="Arial" w:cs="Arial"/>
          <w:sz w:val="20"/>
          <w:szCs w:val="20"/>
        </w:rPr>
      </w:pPr>
    </w:p>
    <w:p w14:paraId="34FF37B6" w14:textId="76275DB0" w:rsidR="007A10A6" w:rsidRPr="004F3943" w:rsidRDefault="004F3943" w:rsidP="004F3943">
      <w:pPr>
        <w:jc w:val="both"/>
        <w:rPr>
          <w:rFonts w:ascii="Arial" w:hAnsi="Arial" w:cs="Arial"/>
          <w:sz w:val="20"/>
          <w:szCs w:val="20"/>
        </w:rPr>
      </w:pPr>
      <w:r w:rsidRPr="004F3943">
        <w:rPr>
          <w:rFonts w:ascii="Arial" w:hAnsi="Arial" w:cs="Arial"/>
          <w:sz w:val="20"/>
          <w:szCs w:val="20"/>
        </w:rPr>
        <w:t>Siglas e abreviaturas: AUP = alimentos ultraprocessados; DCNT = doenças crônicas não transmissíveis; HVI = Índice de Vulnerabilidade à Saúde; IVS = Índice de Vulnerabilidade Social; POF = Pesquisa de Orçamentos Familiares; Vigitel = Vigilância de Fatores de Risco e Proteção para Doenças Crônicas por Inquérito Telefônico; PAA = Programa de Aquisição de Alimentos; SAN = Segurança Alimentar e Nutricional; DHAA = Direito Humano à Alimentação Adequada; SISAN = Sistema Nacional de Segurança Alimentar e Nutricional; CRAS = Centros de Referência de Assistência Social; APS = Atenção Primária à Saúde; EAN = Educação Alimentar e Nutricional; NUPENS = Núcleo de Pesquisas Epidemiológicas em Nutrição e Saúde.</w:t>
      </w:r>
      <w:r w:rsidR="007A10A6" w:rsidRPr="004F3943">
        <w:rPr>
          <w:rFonts w:ascii="Arial" w:hAnsi="Arial" w:cs="Arial"/>
          <w:sz w:val="20"/>
          <w:szCs w:val="20"/>
        </w:rPr>
      </w:r>
    </w:p>
    <w:p w14:paraId="5C3E1BF1" w14:textId="77777777" w:rsidR="007A10A6" w:rsidRDefault="007A10A6" w:rsidP="001D4B51">
      <w:pPr>
        <w:spacing w:after="0" w:line="360" w:lineRule="auto"/>
        <w:jc w:val="both"/>
        <w:rPr>
          <w:rFonts w:ascii="Arial" w:hAnsi="Arial" w:cs="Arial"/>
          <w:sz w:val="24"/>
          <w:szCs w:val="24"/>
        </w:rPr>
      </w:pPr>
    </w:p>
    <w:sectPr w:rsidR="007A10A6" w:rsidSect="004F3943">
      <w:type w:val="continuous"/>
      <w:pgSz w:w="16817" w:h="11901" w:orient="landscape"/>
      <w:pgMar w:top="1134" w:right="1134"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HAISA BORGES ROCHA" w:date="2026-06-07T16:52:00Z" w:initials="TB">
    <w:p w14:paraId="6473E7F3" w14:textId="77777777" w:rsidR="00C04330" w:rsidRDefault="00C04330" w:rsidP="00C04330">
      <w:pPr>
        <w:pStyle w:val="Textodecomentrio"/>
      </w:pPr>
      <w:r>
        <w:rPr>
          <w:rStyle w:val="Refdecomentrio"/>
        </w:rPr>
        <w:annotationRef/>
      </w:r>
      <w:r>
        <w:t>Sugiro que o título seja mais breve.</w:t>
      </w:r>
    </w:p>
  </w:comment>
  <w:comment w:id="1" w:author="THAISA BORGES ROCHA" w:date="2026-06-07T16:53:00Z" w:initials="TB">
    <w:p w14:paraId="34E67953" w14:textId="77777777" w:rsidR="00C04330" w:rsidRDefault="00C04330" w:rsidP="00C04330">
      <w:pPr>
        <w:pStyle w:val="Textodecomentrio"/>
      </w:pPr>
      <w:r>
        <w:rPr>
          <w:rStyle w:val="Refdecomentrio"/>
        </w:rPr>
        <w:annotationRef/>
      </w:r>
      <w:r>
        <w:t>Sugiro trocar ambiente alimentar por território.</w:t>
      </w:r>
    </w:p>
  </w:comment>
  <w:comment w:id="2" w:author="THAISA BORGES ROCHA" w:date="2026-06-07T16:54:00Z" w:initials="TB">
    <w:p w14:paraId="58833755" w14:textId="77777777" w:rsidR="00C04330" w:rsidRDefault="00C04330" w:rsidP="00C04330">
      <w:pPr>
        <w:pStyle w:val="Textodecomentrio"/>
      </w:pPr>
      <w:r>
        <w:rPr>
          <w:rStyle w:val="Refdecomentrio"/>
        </w:rPr>
        <w:annotationRef/>
      </w:r>
      <w:r>
        <w:t>Primeiramente, gostaria de agradecer fazer parte desse momento especial de sua formação.</w:t>
      </w:r>
    </w:p>
  </w:comment>
  <w:comment w:id="3" w:author="THAISA BORGES ROCHA" w:date="2026-06-07T16:25:00Z" w:initials="TB">
    <w:p w14:paraId="2F2DD37A" w14:textId="77777777" w:rsidR="00CD5F12" w:rsidRDefault="00CD5F12" w:rsidP="00CD5F12">
      <w:pPr>
        <w:pStyle w:val="Textodecomentrio"/>
      </w:pPr>
      <w:r>
        <w:rPr>
          <w:rStyle w:val="Refdecomentrio"/>
        </w:rPr>
        <w:annotationRef/>
      </w:r>
      <w:r>
        <w:t>Verificar espaçamento de parágrafo.</w:t>
      </w:r>
    </w:p>
  </w:comment>
  <w:comment w:id="4" w:author="THAISA BORGES ROCHA" w:date="2026-06-07T16:26:00Z" w:initials="TB">
    <w:p w14:paraId="4086C5B8" w14:textId="77777777" w:rsidR="00CD5F12" w:rsidRDefault="00CD5F12" w:rsidP="00CD5F12">
      <w:pPr>
        <w:pStyle w:val="Textodecomentrio"/>
      </w:pPr>
      <w:r>
        <w:rPr>
          <w:rStyle w:val="Refdecomentrio"/>
        </w:rPr>
        <w:annotationRef/>
      </w:r>
      <w:r>
        <w:t>Verificar pontuação.</w:t>
      </w:r>
    </w:p>
  </w:comment>
  <w:comment w:id="5" w:author="THAISA BORGES ROCHA" w:date="2026-06-07T16:27:00Z" w:initials="TB">
    <w:p w14:paraId="7F54EADB" w14:textId="77777777" w:rsidR="00CD5F12" w:rsidRDefault="00CD5F12" w:rsidP="00CD5F12">
      <w:pPr>
        <w:pStyle w:val="Textodecomentrio"/>
      </w:pPr>
      <w:r>
        <w:rPr>
          <w:rStyle w:val="Refdecomentrio"/>
        </w:rPr>
        <w:annotationRef/>
      </w:r>
      <w:r>
        <w:t>Por favor, verificar informação.</w:t>
      </w:r>
    </w:p>
  </w:comment>
  <w:comment w:id="6" w:author="THAISA BORGES ROCHA" w:date="2026-06-07T16:28:00Z" w:initials="TB">
    <w:p w14:paraId="6E10DEF9" w14:textId="77777777" w:rsidR="00CD5F12" w:rsidRDefault="00CD5F12" w:rsidP="00CD5F12">
      <w:pPr>
        <w:pStyle w:val="Textodecomentrio"/>
      </w:pPr>
      <w:r>
        <w:rPr>
          <w:rStyle w:val="Refdecomentrio"/>
        </w:rPr>
        <w:annotationRef/>
      </w:r>
      <w:r>
        <w:t>Essa não é a forma correta de identificação. Verifique!</w:t>
      </w:r>
    </w:p>
  </w:comment>
  <w:comment w:id="7" w:author="THAISA BORGES ROCHA" w:date="2026-06-07T16:29:00Z" w:initials="TB">
    <w:p w14:paraId="1C19C530" w14:textId="77777777" w:rsidR="00CD5F12" w:rsidRDefault="00CD5F12" w:rsidP="00CD5F12">
      <w:pPr>
        <w:pStyle w:val="Textodecomentrio"/>
      </w:pPr>
      <w:r>
        <w:rPr>
          <w:rStyle w:val="Refdecomentrio"/>
        </w:rPr>
        <w:annotationRef/>
      </w:r>
      <w:r>
        <w:t>Esses não são os únicos motivos para desenvolvimento de obesidade (uma doença multifatorial)</w:t>
      </w:r>
    </w:p>
  </w:comment>
  <w:comment w:id="8" w:author="THAISA BORGES ROCHA" w:date="2026-06-07T16:34:00Z" w:initials="TB">
    <w:p w14:paraId="09AFF515" w14:textId="77777777" w:rsidR="00CD5F12" w:rsidRDefault="00CD5F12" w:rsidP="00CD5F12">
      <w:pPr>
        <w:pStyle w:val="Textodecomentrio"/>
      </w:pPr>
      <w:r>
        <w:rPr>
          <w:rStyle w:val="Refdecomentrio"/>
        </w:rPr>
        <w:annotationRef/>
      </w:r>
      <w:r>
        <w:t xml:space="preserve">Verificar espaçamento e ter linhas em todo trabalho, e recuos de parágrafo. </w:t>
      </w:r>
    </w:p>
  </w:comment>
  <w:comment w:id="9" w:author="THAISA BORGES ROCHA" w:date="2026-06-07T16:51:00Z" w:initials="TB">
    <w:p w14:paraId="44F98783" w14:textId="77777777" w:rsidR="00C04330" w:rsidRDefault="00C04330" w:rsidP="00C04330">
      <w:pPr>
        <w:pStyle w:val="Textodecomentrio"/>
      </w:pPr>
      <w:r>
        <w:rPr>
          <w:rStyle w:val="Refdecomentrio"/>
        </w:rPr>
        <w:annotationRef/>
      </w:r>
      <w:r>
        <w:t>Estudo de tema relevante, porém sugiro que reveja a redação e, principalmente, a formatação. Evite incluir incluir informações, mesmo que relacionadas, que não estejam dentro do objetivo.</w:t>
      </w:r>
    </w:p>
  </w:comment>
  <w:comment w:id="10" w:author="THAISA BORGES ROCHA" w:date="2026-06-07T16:55:00Z" w:initials="TB">
    <w:p w14:paraId="6C4EA887" w14:textId="77777777" w:rsidR="00C04330" w:rsidRDefault="00C04330" w:rsidP="00C04330">
      <w:pPr>
        <w:pStyle w:val="Textodecomentrio"/>
      </w:pPr>
      <w:r>
        <w:rPr>
          <w:rStyle w:val="Refdecomentrio"/>
        </w:rPr>
        <w:annotationRef/>
      </w:r>
      <w:r>
        <w:t>Não são a mesma coisa</w:t>
      </w:r>
    </w:p>
  </w:comment>
  <w:comment w:id="11" w:author="THAISA BORGES ROCHA" w:date="2026-06-07T16:56:00Z" w:initials="TB">
    <w:p w14:paraId="66638430" w14:textId="77777777" w:rsidR="00927F4C" w:rsidRDefault="00927F4C" w:rsidP="00927F4C">
      <w:pPr>
        <w:pStyle w:val="Textodecomentrio"/>
      </w:pPr>
      <w:r>
        <w:rPr>
          <w:rStyle w:val="Refdecomentrio"/>
        </w:rPr>
        <w:annotationRef/>
      </w:r>
      <w:r>
        <w:t>Todos os bairros são censitaros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73E7F3" w15:done="0"/>
  <w15:commentEx w15:paraId="34E67953" w15:paraIdParent="6473E7F3" w15:done="0"/>
  <w15:commentEx w15:paraId="58833755" w15:paraIdParent="6473E7F3" w15:done="0"/>
  <w15:commentEx w15:paraId="2F2DD37A" w15:done="0"/>
  <w15:commentEx w15:paraId="4086C5B8" w15:done="0"/>
  <w15:commentEx w15:paraId="7F54EADB" w15:done="0"/>
  <w15:commentEx w15:paraId="6E10DEF9" w15:done="0"/>
  <w15:commentEx w15:paraId="1C19C530" w15:done="0"/>
  <w15:commentEx w15:paraId="09AFF515" w15:done="0"/>
  <w15:commentEx w15:paraId="44F98783" w15:done="0"/>
  <w15:commentEx w15:paraId="6C4EA887" w15:done="0"/>
  <w15:commentEx w15:paraId="666384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34B2AD" w16cex:dateUtc="2026-06-07T19:52:00Z"/>
  <w16cex:commentExtensible w16cex:durableId="5B60E096" w16cex:dateUtc="2026-06-07T19:53:00Z"/>
  <w16cex:commentExtensible w16cex:durableId="083AFBCE" w16cex:dateUtc="2026-06-07T19:54:00Z"/>
  <w16cex:commentExtensible w16cex:durableId="5B33582B" w16cex:dateUtc="2026-06-07T19:25:00Z"/>
  <w16cex:commentExtensible w16cex:durableId="5D7F5CEE" w16cex:dateUtc="2026-06-07T19:26:00Z"/>
  <w16cex:commentExtensible w16cex:durableId="0DCE5A50" w16cex:dateUtc="2026-06-07T19:27:00Z"/>
  <w16cex:commentExtensible w16cex:durableId="6484EA36" w16cex:dateUtc="2026-06-07T19:28:00Z"/>
  <w16cex:commentExtensible w16cex:durableId="05DD6423" w16cex:dateUtc="2026-06-07T19:29:00Z"/>
  <w16cex:commentExtensible w16cex:durableId="1F5806C4" w16cex:dateUtc="2026-06-07T19:34:00Z"/>
  <w16cex:commentExtensible w16cex:durableId="6F5122A9" w16cex:dateUtc="2026-06-07T19:51:00Z"/>
  <w16cex:commentExtensible w16cex:durableId="1410722F" w16cex:dateUtc="2026-06-07T19:55:00Z"/>
  <w16cex:commentExtensible w16cex:durableId="5A551F87" w16cex:dateUtc="2026-06-07T1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73E7F3" w16cid:durableId="6134B2AD"/>
  <w16cid:commentId w16cid:paraId="34E67953" w16cid:durableId="5B60E096"/>
  <w16cid:commentId w16cid:paraId="58833755" w16cid:durableId="083AFBCE"/>
  <w16cid:commentId w16cid:paraId="2F2DD37A" w16cid:durableId="5B33582B"/>
  <w16cid:commentId w16cid:paraId="4086C5B8" w16cid:durableId="5D7F5CEE"/>
  <w16cid:commentId w16cid:paraId="7F54EADB" w16cid:durableId="0DCE5A50"/>
  <w16cid:commentId w16cid:paraId="6E10DEF9" w16cid:durableId="6484EA36"/>
  <w16cid:commentId w16cid:paraId="1C19C530" w16cid:durableId="05DD6423"/>
  <w16cid:commentId w16cid:paraId="09AFF515" w16cid:durableId="1F5806C4"/>
  <w16cid:commentId w16cid:paraId="44F98783" w16cid:durableId="6F5122A9"/>
  <w16cid:commentId w16cid:paraId="6C4EA887" w16cid:durableId="1410722F"/>
  <w16cid:commentId w16cid:paraId="66638430" w16cid:durableId="5A551F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143ED" w14:textId="77777777" w:rsidR="000F268D" w:rsidRDefault="000F268D" w:rsidP="00ED500F">
      <w:pPr>
        <w:spacing w:after="0" w:line="240" w:lineRule="auto"/>
      </w:pPr>
      <w:r>
        <w:separator/>
      </w:r>
    </w:p>
  </w:endnote>
  <w:endnote w:type="continuationSeparator" w:id="0">
    <w:p w14:paraId="25152275" w14:textId="77777777" w:rsidR="000F268D" w:rsidRDefault="000F268D" w:rsidP="00ED5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967F5" w14:textId="77777777" w:rsidR="000F268D" w:rsidRDefault="000F268D" w:rsidP="00ED500F">
      <w:pPr>
        <w:spacing w:after="0" w:line="240" w:lineRule="auto"/>
      </w:pPr>
      <w:r>
        <w:separator/>
      </w:r>
    </w:p>
  </w:footnote>
  <w:footnote w:type="continuationSeparator" w:id="0">
    <w:p w14:paraId="6379DF99" w14:textId="77777777" w:rsidR="000F268D" w:rsidRDefault="000F268D" w:rsidP="00ED50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145078"/>
      <w:docPartObj>
        <w:docPartGallery w:val="Page Numbers (Top of Page)"/>
        <w:docPartUnique/>
      </w:docPartObj>
    </w:sdtPr>
    <w:sdtContent>
      <w:p w14:paraId="514D4E39" w14:textId="794B6C6D" w:rsidR="00CC2267" w:rsidRDefault="00CC2267">
        <w:pPr>
          <w:pStyle w:val="Cabealho"/>
          <w:jc w:val="right"/>
        </w:pPr>
        <w:r>
          <w:fldChar w:fldCharType="begin"/>
        </w:r>
        <w:r>
          <w:instrText>PAGE   \* MERGEFORMAT</w:instrText>
        </w:r>
        <w:r>
          <w:fldChar w:fldCharType="separate"/>
        </w:r>
        <w:r>
          <w:t>2</w:t>
        </w:r>
        <w:r>
          <w:fldChar w:fldCharType="end"/>
        </w:r>
      </w:p>
    </w:sdtContent>
  </w:sdt>
  <w:p w14:paraId="7C4366C6" w14:textId="77777777" w:rsidR="00ED500F" w:rsidRDefault="00ED500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7E32"/>
    <w:multiLevelType w:val="hybridMultilevel"/>
    <w:tmpl w:val="B11E607C"/>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B101BE3"/>
    <w:multiLevelType w:val="hybridMultilevel"/>
    <w:tmpl w:val="E82C90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151175"/>
    <w:multiLevelType w:val="hybridMultilevel"/>
    <w:tmpl w:val="727677C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A7F35E0"/>
    <w:multiLevelType w:val="hybridMultilevel"/>
    <w:tmpl w:val="33A6F0A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C604582"/>
    <w:multiLevelType w:val="multilevel"/>
    <w:tmpl w:val="C14402B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793621"/>
    <w:multiLevelType w:val="hybridMultilevel"/>
    <w:tmpl w:val="937A2B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DF372F0"/>
    <w:multiLevelType w:val="hybridMultilevel"/>
    <w:tmpl w:val="DD628BE4"/>
    <w:lvl w:ilvl="0" w:tplc="AD5071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F3E10C0"/>
    <w:multiLevelType w:val="hybridMultilevel"/>
    <w:tmpl w:val="E82C90A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5E1352B"/>
    <w:multiLevelType w:val="multilevel"/>
    <w:tmpl w:val="F31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5C2B1C"/>
    <w:multiLevelType w:val="hybridMultilevel"/>
    <w:tmpl w:val="79366C9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A30677C"/>
    <w:multiLevelType w:val="hybridMultilevel"/>
    <w:tmpl w:val="D0AAB8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E04333E"/>
    <w:multiLevelType w:val="hybridMultilevel"/>
    <w:tmpl w:val="32428B26"/>
    <w:lvl w:ilvl="0" w:tplc="5DB0802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215397B"/>
    <w:multiLevelType w:val="hybridMultilevel"/>
    <w:tmpl w:val="F0EAEFBA"/>
    <w:lvl w:ilvl="0" w:tplc="040CBE7A">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67492777"/>
    <w:multiLevelType w:val="hybridMultilevel"/>
    <w:tmpl w:val="6B9490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6A877B0E"/>
    <w:multiLevelType w:val="hybridMultilevel"/>
    <w:tmpl w:val="6CA6B2A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2F625CF"/>
    <w:multiLevelType w:val="hybridMultilevel"/>
    <w:tmpl w:val="00C4D44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6672531"/>
    <w:multiLevelType w:val="multilevel"/>
    <w:tmpl w:val="FFFFFFFF"/>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CF0542C"/>
    <w:multiLevelType w:val="hybridMultilevel"/>
    <w:tmpl w:val="33A6F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28624049">
    <w:abstractNumId w:val="8"/>
  </w:num>
  <w:num w:numId="2" w16cid:durableId="1073164130">
    <w:abstractNumId w:val="16"/>
  </w:num>
  <w:num w:numId="3" w16cid:durableId="1735739175">
    <w:abstractNumId w:val="0"/>
  </w:num>
  <w:num w:numId="4" w16cid:durableId="1721712845">
    <w:abstractNumId w:val="4"/>
  </w:num>
  <w:num w:numId="5" w16cid:durableId="1494029924">
    <w:abstractNumId w:val="9"/>
  </w:num>
  <w:num w:numId="6" w16cid:durableId="1785540480">
    <w:abstractNumId w:val="15"/>
  </w:num>
  <w:num w:numId="7" w16cid:durableId="1276210511">
    <w:abstractNumId w:val="14"/>
  </w:num>
  <w:num w:numId="8" w16cid:durableId="1902789665">
    <w:abstractNumId w:val="7"/>
  </w:num>
  <w:num w:numId="9" w16cid:durableId="218983208">
    <w:abstractNumId w:val="1"/>
  </w:num>
  <w:num w:numId="10" w16cid:durableId="1335763122">
    <w:abstractNumId w:val="12"/>
  </w:num>
  <w:num w:numId="11" w16cid:durableId="2065061383">
    <w:abstractNumId w:val="3"/>
  </w:num>
  <w:num w:numId="12" w16cid:durableId="43531770">
    <w:abstractNumId w:val="10"/>
  </w:num>
  <w:num w:numId="13" w16cid:durableId="2144930977">
    <w:abstractNumId w:val="2"/>
  </w:num>
  <w:num w:numId="14" w16cid:durableId="1148863773">
    <w:abstractNumId w:val="11"/>
  </w:num>
  <w:num w:numId="15" w16cid:durableId="953318693">
    <w:abstractNumId w:val="6"/>
  </w:num>
  <w:num w:numId="16" w16cid:durableId="1652250413">
    <w:abstractNumId w:val="17"/>
  </w:num>
  <w:num w:numId="17" w16cid:durableId="952246258">
    <w:abstractNumId w:val="5"/>
  </w:num>
  <w:num w:numId="18" w16cid:durableId="12282263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AISA BORGES ROCHA">
    <w15:presenceInfo w15:providerId="AD" w15:userId="S::thaisa@pucgoias.edu.br::6a2cd735-6ccb-4825-aef5-513577c9ca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71"/>
    <w:rsid w:val="00012A19"/>
    <w:rsid w:val="0002328B"/>
    <w:rsid w:val="00033393"/>
    <w:rsid w:val="0005197A"/>
    <w:rsid w:val="000519CB"/>
    <w:rsid w:val="0006663A"/>
    <w:rsid w:val="00070118"/>
    <w:rsid w:val="0007325B"/>
    <w:rsid w:val="00082FAD"/>
    <w:rsid w:val="00084F52"/>
    <w:rsid w:val="000C320A"/>
    <w:rsid w:val="000D2618"/>
    <w:rsid w:val="000D7EE1"/>
    <w:rsid w:val="000F268D"/>
    <w:rsid w:val="00103A46"/>
    <w:rsid w:val="00106080"/>
    <w:rsid w:val="001125D9"/>
    <w:rsid w:val="00113838"/>
    <w:rsid w:val="00136948"/>
    <w:rsid w:val="00183190"/>
    <w:rsid w:val="00191662"/>
    <w:rsid w:val="001B5198"/>
    <w:rsid w:val="001B7195"/>
    <w:rsid w:val="001D4B51"/>
    <w:rsid w:val="001D7BB6"/>
    <w:rsid w:val="001F2864"/>
    <w:rsid w:val="001F55D8"/>
    <w:rsid w:val="00200F1D"/>
    <w:rsid w:val="0024496D"/>
    <w:rsid w:val="0025066F"/>
    <w:rsid w:val="00251953"/>
    <w:rsid w:val="00261F23"/>
    <w:rsid w:val="002649D0"/>
    <w:rsid w:val="00267E91"/>
    <w:rsid w:val="0027138D"/>
    <w:rsid w:val="002858EF"/>
    <w:rsid w:val="002A41A5"/>
    <w:rsid w:val="002B131F"/>
    <w:rsid w:val="002B4697"/>
    <w:rsid w:val="002C02ED"/>
    <w:rsid w:val="002D2926"/>
    <w:rsid w:val="002E5B5B"/>
    <w:rsid w:val="00334AAF"/>
    <w:rsid w:val="00340747"/>
    <w:rsid w:val="00357104"/>
    <w:rsid w:val="00367127"/>
    <w:rsid w:val="0038394C"/>
    <w:rsid w:val="003A77B1"/>
    <w:rsid w:val="003C0FEA"/>
    <w:rsid w:val="003D64A1"/>
    <w:rsid w:val="003E5D17"/>
    <w:rsid w:val="003F4718"/>
    <w:rsid w:val="003F71AD"/>
    <w:rsid w:val="0042586D"/>
    <w:rsid w:val="00433762"/>
    <w:rsid w:val="00462E25"/>
    <w:rsid w:val="00463C6C"/>
    <w:rsid w:val="00481351"/>
    <w:rsid w:val="004908F2"/>
    <w:rsid w:val="00491A77"/>
    <w:rsid w:val="004C48CD"/>
    <w:rsid w:val="004E119D"/>
    <w:rsid w:val="004E2318"/>
    <w:rsid w:val="004F0C48"/>
    <w:rsid w:val="004F3943"/>
    <w:rsid w:val="00524752"/>
    <w:rsid w:val="00531548"/>
    <w:rsid w:val="00532B3A"/>
    <w:rsid w:val="0053320D"/>
    <w:rsid w:val="0053344F"/>
    <w:rsid w:val="00541E97"/>
    <w:rsid w:val="005549A5"/>
    <w:rsid w:val="00567386"/>
    <w:rsid w:val="005765B1"/>
    <w:rsid w:val="005920A0"/>
    <w:rsid w:val="005932BD"/>
    <w:rsid w:val="005936B0"/>
    <w:rsid w:val="005A544F"/>
    <w:rsid w:val="005D09CD"/>
    <w:rsid w:val="005D19E8"/>
    <w:rsid w:val="005E0C59"/>
    <w:rsid w:val="005E7B6E"/>
    <w:rsid w:val="005F124E"/>
    <w:rsid w:val="00640403"/>
    <w:rsid w:val="00660AF0"/>
    <w:rsid w:val="006719ED"/>
    <w:rsid w:val="00677BAA"/>
    <w:rsid w:val="006813CF"/>
    <w:rsid w:val="0069582A"/>
    <w:rsid w:val="006C0761"/>
    <w:rsid w:val="006C3FC4"/>
    <w:rsid w:val="007134CC"/>
    <w:rsid w:val="007338D4"/>
    <w:rsid w:val="00744792"/>
    <w:rsid w:val="00761E41"/>
    <w:rsid w:val="00764FD5"/>
    <w:rsid w:val="00797618"/>
    <w:rsid w:val="007A10A6"/>
    <w:rsid w:val="007A29E3"/>
    <w:rsid w:val="007B24DA"/>
    <w:rsid w:val="007C2D90"/>
    <w:rsid w:val="007C537F"/>
    <w:rsid w:val="007C7057"/>
    <w:rsid w:val="007D3C1E"/>
    <w:rsid w:val="007D4BEA"/>
    <w:rsid w:val="007D7EB2"/>
    <w:rsid w:val="007F0B71"/>
    <w:rsid w:val="00802A69"/>
    <w:rsid w:val="008118E4"/>
    <w:rsid w:val="0081301C"/>
    <w:rsid w:val="008265B5"/>
    <w:rsid w:val="00833291"/>
    <w:rsid w:val="00842B19"/>
    <w:rsid w:val="00851DD7"/>
    <w:rsid w:val="00875D27"/>
    <w:rsid w:val="00881FBE"/>
    <w:rsid w:val="00890193"/>
    <w:rsid w:val="00890EFB"/>
    <w:rsid w:val="008960B8"/>
    <w:rsid w:val="008B2F37"/>
    <w:rsid w:val="008B45ED"/>
    <w:rsid w:val="008C0910"/>
    <w:rsid w:val="008D0F52"/>
    <w:rsid w:val="008D440B"/>
    <w:rsid w:val="008F788A"/>
    <w:rsid w:val="00907321"/>
    <w:rsid w:val="009117B4"/>
    <w:rsid w:val="009125AA"/>
    <w:rsid w:val="00916281"/>
    <w:rsid w:val="00927F4C"/>
    <w:rsid w:val="00931C4A"/>
    <w:rsid w:val="009618BC"/>
    <w:rsid w:val="00964FA5"/>
    <w:rsid w:val="0096582B"/>
    <w:rsid w:val="00970014"/>
    <w:rsid w:val="009701B1"/>
    <w:rsid w:val="00975294"/>
    <w:rsid w:val="0097662B"/>
    <w:rsid w:val="009843D8"/>
    <w:rsid w:val="0098717F"/>
    <w:rsid w:val="009900B7"/>
    <w:rsid w:val="00991600"/>
    <w:rsid w:val="009A3B3F"/>
    <w:rsid w:val="009C7EE7"/>
    <w:rsid w:val="009D1B5E"/>
    <w:rsid w:val="009D1D3F"/>
    <w:rsid w:val="009D3993"/>
    <w:rsid w:val="009E59BD"/>
    <w:rsid w:val="00A0062E"/>
    <w:rsid w:val="00A0270B"/>
    <w:rsid w:val="00A226C6"/>
    <w:rsid w:val="00A65B60"/>
    <w:rsid w:val="00A858E1"/>
    <w:rsid w:val="00AB04D4"/>
    <w:rsid w:val="00AD1C32"/>
    <w:rsid w:val="00B219F3"/>
    <w:rsid w:val="00B2630B"/>
    <w:rsid w:val="00B27F53"/>
    <w:rsid w:val="00B3428E"/>
    <w:rsid w:val="00B51A0F"/>
    <w:rsid w:val="00B748A6"/>
    <w:rsid w:val="00BC7495"/>
    <w:rsid w:val="00BD3B76"/>
    <w:rsid w:val="00BD3C99"/>
    <w:rsid w:val="00BE398D"/>
    <w:rsid w:val="00BF357B"/>
    <w:rsid w:val="00C04330"/>
    <w:rsid w:val="00C20636"/>
    <w:rsid w:val="00C700EC"/>
    <w:rsid w:val="00C86B84"/>
    <w:rsid w:val="00C86B87"/>
    <w:rsid w:val="00C96DB0"/>
    <w:rsid w:val="00CA49F1"/>
    <w:rsid w:val="00CA4D66"/>
    <w:rsid w:val="00CB5686"/>
    <w:rsid w:val="00CC2267"/>
    <w:rsid w:val="00CD5F12"/>
    <w:rsid w:val="00CE118C"/>
    <w:rsid w:val="00CF4039"/>
    <w:rsid w:val="00D02309"/>
    <w:rsid w:val="00D029B8"/>
    <w:rsid w:val="00D20B75"/>
    <w:rsid w:val="00D353BD"/>
    <w:rsid w:val="00D462D4"/>
    <w:rsid w:val="00D56EAE"/>
    <w:rsid w:val="00D60F32"/>
    <w:rsid w:val="00D663FA"/>
    <w:rsid w:val="00D702D8"/>
    <w:rsid w:val="00D74A1C"/>
    <w:rsid w:val="00D912B6"/>
    <w:rsid w:val="00DA36D5"/>
    <w:rsid w:val="00DC082D"/>
    <w:rsid w:val="00DD185F"/>
    <w:rsid w:val="00DF08CA"/>
    <w:rsid w:val="00E10F9C"/>
    <w:rsid w:val="00E360BA"/>
    <w:rsid w:val="00E41137"/>
    <w:rsid w:val="00E50478"/>
    <w:rsid w:val="00E564E7"/>
    <w:rsid w:val="00E65F00"/>
    <w:rsid w:val="00E66B8F"/>
    <w:rsid w:val="00E704FE"/>
    <w:rsid w:val="00E73738"/>
    <w:rsid w:val="00E77071"/>
    <w:rsid w:val="00E82F29"/>
    <w:rsid w:val="00E865F4"/>
    <w:rsid w:val="00E9195B"/>
    <w:rsid w:val="00E9640E"/>
    <w:rsid w:val="00EC6152"/>
    <w:rsid w:val="00EC637F"/>
    <w:rsid w:val="00ED500F"/>
    <w:rsid w:val="00EE4E1B"/>
    <w:rsid w:val="00EF3B5E"/>
    <w:rsid w:val="00EF7A64"/>
    <w:rsid w:val="00F1005F"/>
    <w:rsid w:val="00F1285B"/>
    <w:rsid w:val="00F13D95"/>
    <w:rsid w:val="00F403ED"/>
    <w:rsid w:val="00F43652"/>
    <w:rsid w:val="00F55E12"/>
    <w:rsid w:val="00F61D8D"/>
    <w:rsid w:val="00F90B1B"/>
    <w:rsid w:val="00FB4905"/>
    <w:rsid w:val="00FC64CD"/>
    <w:rsid w:val="00FD03FD"/>
    <w:rsid w:val="00FD5326"/>
    <w:rsid w:val="00FD5ED3"/>
    <w:rsid w:val="00FE77F7"/>
    <w:rsid w:val="00FF19F8"/>
    <w:rsid w:val="00FF2203"/>
    <w:rsid w:val="00FF7466"/>
    <w:rsid w:val="0E299B7E"/>
    <w:rsid w:val="16AD5603"/>
    <w:rsid w:val="1D1CD2A7"/>
    <w:rsid w:val="27690781"/>
    <w:rsid w:val="2AAF85B0"/>
    <w:rsid w:val="3033197A"/>
    <w:rsid w:val="326CF9BF"/>
    <w:rsid w:val="342038CA"/>
    <w:rsid w:val="36C8A892"/>
    <w:rsid w:val="37C15615"/>
    <w:rsid w:val="415FD85E"/>
    <w:rsid w:val="4BBCA4A7"/>
    <w:rsid w:val="4FE2C08B"/>
    <w:rsid w:val="5149C42E"/>
    <w:rsid w:val="59038717"/>
    <w:rsid w:val="5DEA995A"/>
    <w:rsid w:val="62397114"/>
    <w:rsid w:val="6D9B8A5F"/>
    <w:rsid w:val="72C0B8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5FBCE"/>
  <w15:chartTrackingRefBased/>
  <w15:docId w15:val="{3666FBE5-A9FA-40CC-A8E9-9F21E3534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2BD"/>
  </w:style>
  <w:style w:type="paragraph" w:styleId="Ttulo1">
    <w:name w:val="heading 1"/>
    <w:basedOn w:val="Normal"/>
    <w:next w:val="Normal"/>
    <w:link w:val="Ttulo1Char"/>
    <w:uiPriority w:val="9"/>
    <w:qFormat/>
    <w:rsid w:val="00E77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E77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E7707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E7707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7707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7707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7707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7707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7707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7707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E7707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7707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7707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7707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7707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7707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7707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77071"/>
    <w:rPr>
      <w:rFonts w:eastAsiaTheme="majorEastAsia" w:cstheme="majorBidi"/>
      <w:color w:val="272727" w:themeColor="text1" w:themeTint="D8"/>
    </w:rPr>
  </w:style>
  <w:style w:type="paragraph" w:styleId="Ttulo">
    <w:name w:val="Title"/>
    <w:basedOn w:val="Normal"/>
    <w:next w:val="Normal"/>
    <w:link w:val="TtuloChar"/>
    <w:uiPriority w:val="10"/>
    <w:qFormat/>
    <w:rsid w:val="00E77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7707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7707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7707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77071"/>
    <w:pPr>
      <w:spacing w:before="160"/>
      <w:jc w:val="center"/>
    </w:pPr>
    <w:rPr>
      <w:i/>
      <w:iCs/>
      <w:color w:val="404040" w:themeColor="text1" w:themeTint="BF"/>
    </w:rPr>
  </w:style>
  <w:style w:type="character" w:customStyle="1" w:styleId="CitaoChar">
    <w:name w:val="Citação Char"/>
    <w:basedOn w:val="Fontepargpadro"/>
    <w:link w:val="Citao"/>
    <w:uiPriority w:val="29"/>
    <w:rsid w:val="00E77071"/>
    <w:rPr>
      <w:i/>
      <w:iCs/>
      <w:color w:val="404040" w:themeColor="text1" w:themeTint="BF"/>
    </w:rPr>
  </w:style>
  <w:style w:type="paragraph" w:styleId="PargrafodaLista">
    <w:name w:val="List Paragraph"/>
    <w:basedOn w:val="Normal"/>
    <w:uiPriority w:val="34"/>
    <w:qFormat/>
    <w:rsid w:val="00E77071"/>
    <w:pPr>
      <w:ind w:left="720"/>
      <w:contextualSpacing/>
    </w:pPr>
  </w:style>
  <w:style w:type="character" w:styleId="nfaseIntensa">
    <w:name w:val="Intense Emphasis"/>
    <w:basedOn w:val="Fontepargpadro"/>
    <w:uiPriority w:val="21"/>
    <w:qFormat/>
    <w:rsid w:val="00E77071"/>
    <w:rPr>
      <w:i/>
      <w:iCs/>
      <w:color w:val="0F4761" w:themeColor="accent1" w:themeShade="BF"/>
    </w:rPr>
  </w:style>
  <w:style w:type="paragraph" w:styleId="CitaoIntensa">
    <w:name w:val="Intense Quote"/>
    <w:basedOn w:val="Normal"/>
    <w:next w:val="Normal"/>
    <w:link w:val="CitaoIntensaChar"/>
    <w:uiPriority w:val="30"/>
    <w:qFormat/>
    <w:rsid w:val="00E77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77071"/>
    <w:rPr>
      <w:i/>
      <w:iCs/>
      <w:color w:val="0F4761" w:themeColor="accent1" w:themeShade="BF"/>
    </w:rPr>
  </w:style>
  <w:style w:type="character" w:styleId="RefernciaIntensa">
    <w:name w:val="Intense Reference"/>
    <w:basedOn w:val="Fontepargpadro"/>
    <w:uiPriority w:val="32"/>
    <w:qFormat/>
    <w:rsid w:val="00E77071"/>
    <w:rPr>
      <w:b/>
      <w:bCs/>
      <w:smallCaps/>
      <w:color w:val="0F4761" w:themeColor="accent1" w:themeShade="BF"/>
      <w:spacing w:val="5"/>
    </w:rPr>
  </w:style>
  <w:style w:type="table" w:customStyle="1" w:styleId="TableNormal1">
    <w:name w:val="Table Normal1"/>
    <w:uiPriority w:val="2"/>
    <w:semiHidden/>
    <w:unhideWhenUsed/>
    <w:qFormat/>
    <w:rsid w:val="009125A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125AA"/>
    <w:pPr>
      <w:widowControl w:val="0"/>
      <w:autoSpaceDE w:val="0"/>
      <w:autoSpaceDN w:val="0"/>
      <w:spacing w:after="0" w:line="240" w:lineRule="auto"/>
    </w:pPr>
    <w:rPr>
      <w:rFonts w:ascii="Arial" w:eastAsia="Arial" w:hAnsi="Arial" w:cs="Arial"/>
      <w:kern w:val="0"/>
      <w:lang w:val="pt-PT"/>
      <w14:ligatures w14:val="none"/>
    </w:rPr>
  </w:style>
  <w:style w:type="paragraph" w:styleId="Corpodetexto">
    <w:name w:val="Body Text"/>
    <w:basedOn w:val="Normal"/>
    <w:link w:val="CorpodetextoChar"/>
    <w:uiPriority w:val="1"/>
    <w:qFormat/>
    <w:rsid w:val="00F90B1B"/>
    <w:pPr>
      <w:widowControl w:val="0"/>
      <w:autoSpaceDE w:val="0"/>
      <w:autoSpaceDN w:val="0"/>
      <w:spacing w:after="0" w:line="240" w:lineRule="auto"/>
    </w:pPr>
    <w:rPr>
      <w:rFonts w:ascii="Arial" w:eastAsia="Arial" w:hAnsi="Arial" w:cs="Arial"/>
      <w:kern w:val="0"/>
      <w:sz w:val="24"/>
      <w:szCs w:val="24"/>
      <w:lang w:val="pt-PT"/>
      <w14:ligatures w14:val="none"/>
    </w:rPr>
  </w:style>
  <w:style w:type="character" w:customStyle="1" w:styleId="CorpodetextoChar">
    <w:name w:val="Corpo de texto Char"/>
    <w:basedOn w:val="Fontepargpadro"/>
    <w:link w:val="Corpodetexto"/>
    <w:uiPriority w:val="1"/>
    <w:rsid w:val="00F90B1B"/>
    <w:rPr>
      <w:rFonts w:ascii="Arial" w:eastAsia="Arial" w:hAnsi="Arial" w:cs="Arial"/>
      <w:kern w:val="0"/>
      <w:sz w:val="24"/>
      <w:szCs w:val="24"/>
      <w:lang w:val="pt-PT"/>
      <w14:ligatures w14:val="none"/>
    </w:rPr>
  </w:style>
  <w:style w:type="paragraph" w:styleId="CabealhodoSumrio">
    <w:name w:val="TOC Heading"/>
    <w:basedOn w:val="Ttulo1"/>
    <w:next w:val="Normal"/>
    <w:uiPriority w:val="39"/>
    <w:unhideWhenUsed/>
    <w:qFormat/>
    <w:rsid w:val="007B24DA"/>
    <w:pPr>
      <w:spacing w:before="240" w:after="0"/>
      <w:outlineLvl w:val="9"/>
    </w:pPr>
    <w:rPr>
      <w:kern w:val="0"/>
      <w:sz w:val="32"/>
      <w:szCs w:val="32"/>
      <w:lang w:eastAsia="pt-BR"/>
      <w14:ligatures w14:val="none"/>
    </w:rPr>
  </w:style>
  <w:style w:type="paragraph" w:styleId="Sumrio1">
    <w:name w:val="toc 1"/>
    <w:basedOn w:val="Normal"/>
    <w:next w:val="Normal"/>
    <w:autoRedefine/>
    <w:uiPriority w:val="39"/>
    <w:semiHidden/>
    <w:unhideWhenUsed/>
    <w:rsid w:val="00802A69"/>
    <w:pPr>
      <w:spacing w:after="100"/>
    </w:pPr>
  </w:style>
  <w:style w:type="paragraph" w:styleId="Sumrio2">
    <w:name w:val="toc 2"/>
    <w:basedOn w:val="Normal"/>
    <w:next w:val="Normal"/>
    <w:autoRedefine/>
    <w:uiPriority w:val="39"/>
    <w:semiHidden/>
    <w:unhideWhenUsed/>
    <w:rsid w:val="00802A69"/>
    <w:pPr>
      <w:spacing w:after="100"/>
      <w:ind w:left="220"/>
    </w:pPr>
  </w:style>
  <w:style w:type="paragraph" w:styleId="Sumrio3">
    <w:name w:val="toc 3"/>
    <w:basedOn w:val="Normal"/>
    <w:next w:val="Normal"/>
    <w:autoRedefine/>
    <w:uiPriority w:val="39"/>
    <w:semiHidden/>
    <w:unhideWhenUsed/>
    <w:rsid w:val="00802A69"/>
    <w:pPr>
      <w:spacing w:after="100"/>
      <w:ind w:left="440"/>
    </w:pPr>
  </w:style>
  <w:style w:type="paragraph" w:styleId="Sumrio4">
    <w:name w:val="toc 4"/>
    <w:basedOn w:val="Normal"/>
    <w:next w:val="Normal"/>
    <w:autoRedefine/>
    <w:uiPriority w:val="39"/>
    <w:semiHidden/>
    <w:unhideWhenUsed/>
    <w:rsid w:val="00802A69"/>
    <w:pPr>
      <w:spacing w:after="100"/>
      <w:ind w:left="660"/>
    </w:pPr>
  </w:style>
  <w:style w:type="paragraph" w:styleId="Sumrio5">
    <w:name w:val="toc 5"/>
    <w:basedOn w:val="Normal"/>
    <w:next w:val="Normal"/>
    <w:autoRedefine/>
    <w:uiPriority w:val="39"/>
    <w:semiHidden/>
    <w:unhideWhenUsed/>
    <w:rsid w:val="00802A69"/>
    <w:pPr>
      <w:spacing w:after="100"/>
      <w:ind w:left="880"/>
    </w:pPr>
  </w:style>
  <w:style w:type="paragraph" w:styleId="Sumrio6">
    <w:name w:val="toc 6"/>
    <w:basedOn w:val="Normal"/>
    <w:next w:val="Normal"/>
    <w:autoRedefine/>
    <w:uiPriority w:val="39"/>
    <w:semiHidden/>
    <w:unhideWhenUsed/>
    <w:rsid w:val="00802A69"/>
    <w:pPr>
      <w:spacing w:after="100"/>
      <w:ind w:left="1100"/>
    </w:pPr>
  </w:style>
  <w:style w:type="table" w:styleId="Tabelacomgrade">
    <w:name w:val="Table Grid"/>
    <w:basedOn w:val="Tabelanormal"/>
    <w:uiPriority w:val="39"/>
    <w:rsid w:val="00802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ED500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D500F"/>
  </w:style>
  <w:style w:type="paragraph" w:styleId="Rodap">
    <w:name w:val="footer"/>
    <w:basedOn w:val="Normal"/>
    <w:link w:val="RodapChar"/>
    <w:uiPriority w:val="99"/>
    <w:unhideWhenUsed/>
    <w:rsid w:val="00ED500F"/>
    <w:pPr>
      <w:tabs>
        <w:tab w:val="center" w:pos="4252"/>
        <w:tab w:val="right" w:pos="8504"/>
      </w:tabs>
      <w:spacing w:after="0" w:line="240" w:lineRule="auto"/>
    </w:pPr>
  </w:style>
  <w:style w:type="character" w:customStyle="1" w:styleId="RodapChar">
    <w:name w:val="Rodapé Char"/>
    <w:basedOn w:val="Fontepargpadro"/>
    <w:link w:val="Rodap"/>
    <w:uiPriority w:val="99"/>
    <w:rsid w:val="00ED500F"/>
  </w:style>
  <w:style w:type="paragraph" w:customStyle="1" w:styleId="paragraph">
    <w:name w:val="paragraph"/>
    <w:basedOn w:val="Normal"/>
    <w:rsid w:val="001D4B51"/>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normaltextrun">
    <w:name w:val="normaltextrun"/>
    <w:basedOn w:val="Fontepargpadro"/>
    <w:rsid w:val="001D4B51"/>
  </w:style>
  <w:style w:type="character" w:customStyle="1" w:styleId="eop">
    <w:name w:val="eop"/>
    <w:basedOn w:val="Fontepargpadro"/>
    <w:rsid w:val="001D4B51"/>
  </w:style>
  <w:style w:type="character" w:styleId="Hyperlink">
    <w:name w:val="Hyperlink"/>
    <w:basedOn w:val="Fontepargpadro"/>
    <w:uiPriority w:val="99"/>
    <w:unhideWhenUsed/>
    <w:rsid w:val="001D4B51"/>
    <w:rPr>
      <w:color w:val="467886" w:themeColor="hyperlink"/>
      <w:u w:val="single"/>
    </w:rPr>
  </w:style>
  <w:style w:type="character" w:styleId="HiperlinkVisitado">
    <w:name w:val="FollowedHyperlink"/>
    <w:basedOn w:val="Fontepargpadro"/>
    <w:uiPriority w:val="99"/>
    <w:semiHidden/>
    <w:unhideWhenUsed/>
    <w:rsid w:val="004908F2"/>
    <w:rPr>
      <w:color w:val="96607D" w:themeColor="followedHyperlink"/>
      <w:u w:val="single"/>
    </w:rPr>
  </w:style>
  <w:style w:type="character" w:styleId="MenoPendente">
    <w:name w:val="Unresolved Mention"/>
    <w:basedOn w:val="Fontepargpadro"/>
    <w:uiPriority w:val="99"/>
    <w:semiHidden/>
    <w:unhideWhenUsed/>
    <w:rsid w:val="00640403"/>
    <w:rPr>
      <w:color w:val="605E5C"/>
      <w:shd w:val="clear" w:color="auto" w:fill="E1DFDD"/>
    </w:rPr>
  </w:style>
  <w:style w:type="character" w:styleId="Refdecomentrio">
    <w:name w:val="annotation reference"/>
    <w:basedOn w:val="Fontepargpadro"/>
    <w:uiPriority w:val="99"/>
    <w:semiHidden/>
    <w:unhideWhenUsed/>
    <w:rsid w:val="00CD5F12"/>
    <w:rPr>
      <w:sz w:val="16"/>
      <w:szCs w:val="16"/>
    </w:rPr>
  </w:style>
  <w:style w:type="paragraph" w:styleId="Textodecomentrio">
    <w:name w:val="annotation text"/>
    <w:basedOn w:val="Normal"/>
    <w:link w:val="TextodecomentrioChar"/>
    <w:uiPriority w:val="99"/>
    <w:unhideWhenUsed/>
    <w:rsid w:val="00CD5F12"/>
    <w:pPr>
      <w:spacing w:line="240" w:lineRule="auto"/>
    </w:pPr>
    <w:rPr>
      <w:sz w:val="20"/>
      <w:szCs w:val="20"/>
    </w:rPr>
  </w:style>
  <w:style w:type="character" w:customStyle="1" w:styleId="TextodecomentrioChar">
    <w:name w:val="Texto de comentário Char"/>
    <w:basedOn w:val="Fontepargpadro"/>
    <w:link w:val="Textodecomentrio"/>
    <w:uiPriority w:val="99"/>
    <w:rsid w:val="00CD5F12"/>
    <w:rPr>
      <w:sz w:val="20"/>
      <w:szCs w:val="20"/>
    </w:rPr>
  </w:style>
  <w:style w:type="paragraph" w:styleId="Assuntodocomentrio">
    <w:name w:val="annotation subject"/>
    <w:basedOn w:val="Textodecomentrio"/>
    <w:next w:val="Textodecomentrio"/>
    <w:link w:val="AssuntodocomentrioChar"/>
    <w:uiPriority w:val="99"/>
    <w:semiHidden/>
    <w:unhideWhenUsed/>
    <w:rsid w:val="00CD5F12"/>
    <w:rPr>
      <w:b/>
      <w:bCs/>
    </w:rPr>
  </w:style>
  <w:style w:type="character" w:customStyle="1" w:styleId="AssuntodocomentrioChar">
    <w:name w:val="Assunto do comentário Char"/>
    <w:basedOn w:val="TextodecomentrioChar"/>
    <w:link w:val="Assuntodocomentrio"/>
    <w:uiPriority w:val="99"/>
    <w:semiHidden/>
    <w:rsid w:val="00CD5F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50004">
      <w:bodyDiv w:val="1"/>
      <w:marLeft w:val="0"/>
      <w:marRight w:val="0"/>
      <w:marTop w:val="0"/>
      <w:marBottom w:val="0"/>
      <w:divBdr>
        <w:top w:val="none" w:sz="0" w:space="0" w:color="auto"/>
        <w:left w:val="none" w:sz="0" w:space="0" w:color="auto"/>
        <w:bottom w:val="none" w:sz="0" w:space="0" w:color="auto"/>
        <w:right w:val="none" w:sz="0" w:space="0" w:color="auto"/>
      </w:divBdr>
    </w:div>
    <w:div w:id="189118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periodicos.ufjf.br/index.php/hurevista/article/view/45218/28044" TargetMode="External"/><Relationship Id="rId26" Type="http://schemas.openxmlformats.org/officeDocument/2006/relationships/hyperlink" Target="https://www.scielosp.org/article/csc/2022.v27n7/2717-2728/pt/" TargetMode="External"/><Relationship Id="rId3" Type="http://schemas.openxmlformats.org/officeDocument/2006/relationships/customXml" Target="../customXml/item3.xml"/><Relationship Id="rId21" Type="http://schemas.openxmlformats.org/officeDocument/2006/relationships/hyperlink" Target="https://www.sciencedirect.com/science/article/pii/S1877584525000590?via%3Dihub"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e-publicacoes.uerj.br/demetra/article/view/71469/49413" TargetMode="External"/><Relationship Id="rId25" Type="http://schemas.openxmlformats.org/officeDocument/2006/relationships/hyperlink" Target="https://pubmed.ncbi.nlm.nih.gov/35529462/" TargetMode="External"/><Relationship Id="rId2" Type="http://schemas.openxmlformats.org/officeDocument/2006/relationships/customXml" Target="../customXml/item2.xml"/><Relationship Id="rId16" Type="http://schemas.openxmlformats.org/officeDocument/2006/relationships/hyperlink" Target="https://www.scielo.br/j/sdeb/a/K7sxzg9RdCqQq4JKLvxygNb/?format=html&amp;lang=pt" TargetMode="External"/><Relationship Id="rId20" Type="http://schemas.openxmlformats.org/officeDocument/2006/relationships/hyperlink" Target="https://periodicos.ufjf.br/index.php/hurevista/article/view/45218/2804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pubmed.ncbi.nlm.nih.gov/34378708/"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onlinelibrary.wiley.com/doi/full/10.1111/obr.13126" TargetMode="External"/><Relationship Id="rId23" Type="http://schemas.openxmlformats.org/officeDocument/2006/relationships/hyperlink" Target="https://pubmed.ncbi.nlm.nih.gov/39898435/" TargetMode="External"/><Relationship Id="rId28"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yperlink" Target="https://www.e-publicacoes.uerj.br/demetra/article/view/71469/49413"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cambridge.org/core/journals/journal-of-biosocial-science/article/social-inequities-in-food-deserts-and-food-swamps-in-a-northeastern-brazilian-capital/C29367E31D9954326B8FE7FC7F2C1280" TargetMode="External"/><Relationship Id="rId27" Type="http://schemas.openxmlformats.org/officeDocument/2006/relationships/hyperlink" Target="https://www.scielo.br/j/csp/a/94f4Yc9vndFGkcvZdXzpytD/?lang=pt" TargetMode="External"/><Relationship Id="rId30"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028DD8E8C6DC9140872ECBC48028A918" ma:contentTypeVersion="16" ma:contentTypeDescription="Crie um novo documento." ma:contentTypeScope="" ma:versionID="fa81c3e7def81fc0fd677cb48b3c64dd">
  <xsd:schema xmlns:xsd="http://www.w3.org/2001/XMLSchema" xmlns:xs="http://www.w3.org/2001/XMLSchema" xmlns:p="http://schemas.microsoft.com/office/2006/metadata/properties" xmlns:ns3="24172c8e-3b81-4f8f-8eb3-51f33d5c070b" xmlns:ns4="21daf5c1-2b68-4780-bf90-f152c485f782" targetNamespace="http://schemas.microsoft.com/office/2006/metadata/properties" ma:root="true" ma:fieldsID="48412ef6d7737d7802a40f56dbcf9655" ns3:_="" ns4:_="">
    <xsd:import namespace="24172c8e-3b81-4f8f-8eb3-51f33d5c070b"/>
    <xsd:import namespace="21daf5c1-2b68-4780-bf90-f152c485f7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element ref="ns4:_activity"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72c8e-3b81-4f8f-8eb3-51f33d5c070b"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SharingHintHash" ma:index="10" nillable="true" ma:displayName="Hash de Dica de Compartilhamento"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daf5c1-2b68-4780-bf90-f152c485f7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1daf5c1-2b68-4780-bf90-f152c485f78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B29C3-4D34-4703-A3E6-FFF9F529A98E}">
  <ds:schemaRefs>
    <ds:schemaRef ds:uri="http://schemas.openxmlformats.org/officeDocument/2006/bibliography"/>
  </ds:schemaRefs>
</ds:datastoreItem>
</file>

<file path=customXml/itemProps2.xml><?xml version="1.0" encoding="utf-8"?>
<ds:datastoreItem xmlns:ds="http://schemas.openxmlformats.org/officeDocument/2006/customXml" ds:itemID="{CD110326-7A65-42F9-B6D6-7D8947778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72c8e-3b81-4f8f-8eb3-51f33d5c070b"/>
    <ds:schemaRef ds:uri="21daf5c1-2b68-4780-bf90-f152c485f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C62F9C-FE24-4FE5-B030-3E3490C31B99}">
  <ds:schemaRefs>
    <ds:schemaRef ds:uri="http://schemas.microsoft.com/office/2006/metadata/properties"/>
    <ds:schemaRef ds:uri="http://schemas.microsoft.com/office/infopath/2007/PartnerControls"/>
    <ds:schemaRef ds:uri="21daf5c1-2b68-4780-bf90-f152c485f782"/>
  </ds:schemaRefs>
</ds:datastoreItem>
</file>

<file path=customXml/itemProps4.xml><?xml version="1.0" encoding="utf-8"?>
<ds:datastoreItem xmlns:ds="http://schemas.openxmlformats.org/officeDocument/2006/customXml" ds:itemID="{206E9047-2F55-4181-A097-3F0810BB2F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18</Pages>
  <Words>7464</Words>
  <Characters>40309</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NAIR AUGUSTA DE ARAUJO A GOMES</dc:creator>
  <cp:keywords/>
  <dc:description/>
  <cp:lastModifiedBy>THAISA BORGES ROCHA</cp:lastModifiedBy>
  <cp:revision>16</cp:revision>
  <dcterms:created xsi:type="dcterms:W3CDTF">2026-06-02T14:25:00Z</dcterms:created>
  <dcterms:modified xsi:type="dcterms:W3CDTF">2026-06-07T20:01:00Z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0x010100028DD8E8C6DC9140872ECBC48028A918</vt:lpwstr>
  </property>
</Properties>
</file>