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75C4" w14:textId="6D216F8B" w:rsidR="00A667AC" w:rsidRDefault="00A667AC" w:rsidP="00B96310">
      <w:pPr>
        <w:rPr>
          <w:rFonts w:ascii="Arial" w:hAnsi="Arial" w:cs="Arial"/>
          <w:b/>
          <w:bCs/>
          <w:sz w:val="32"/>
          <w:szCs w:val="32"/>
        </w:rPr>
      </w:pPr>
      <w:r w:rsidRPr="00FD5326">
        <w:rPr>
          <w:rFonts w:ascii="Arial" w:hAnsi="Arial" w:cs="Arial"/>
          <w:b/>
          <w:bCs/>
          <w:sz w:val="32"/>
          <w:szCs w:val="32"/>
        </w:rPr>
        <w:t>EFEITOS CARDIOMETABÓLICOS DOS ÁCIDOS</w:t>
      </w:r>
      <w:r>
        <w:rPr>
          <w:rFonts w:ascii="Arial" w:hAnsi="Arial" w:cs="Arial"/>
          <w:b/>
          <w:bCs/>
          <w:sz w:val="32"/>
          <w:szCs w:val="32"/>
        </w:rPr>
        <w:t xml:space="preserve"> </w:t>
      </w:r>
      <w:r w:rsidRPr="00FD5326">
        <w:rPr>
          <w:rFonts w:ascii="Arial" w:hAnsi="Arial" w:cs="Arial"/>
          <w:b/>
          <w:bCs/>
          <w:sz w:val="32"/>
          <w:szCs w:val="32"/>
        </w:rPr>
        <w:t>GRAXOS POLI-INSATURADOS ÔMEGA-3</w:t>
      </w:r>
    </w:p>
    <w:p w14:paraId="73800445" w14:textId="4FE8FB8A" w:rsidR="006978DC" w:rsidRPr="007670A5" w:rsidRDefault="006978DC" w:rsidP="00B96310">
      <w:pPr>
        <w:rPr>
          <w:rFonts w:ascii="Arial" w:hAnsi="Arial" w:cs="Arial"/>
          <w:b/>
          <w:bCs/>
          <w:sz w:val="32"/>
          <w:szCs w:val="32"/>
          <w:lang w:val="en-US"/>
        </w:rPr>
      </w:pPr>
      <w:r w:rsidRPr="007670A5">
        <w:rPr>
          <w:rFonts w:ascii="Arial" w:hAnsi="Arial" w:cs="Arial"/>
          <w:b/>
          <w:bCs/>
          <w:sz w:val="32"/>
          <w:szCs w:val="32"/>
          <w:lang w:val="en-US"/>
        </w:rPr>
        <w:t>CARDIOMETABOLIC EFFECTS OF OMEGA-3 POLYUNSATURATED FATTY ACIDS</w:t>
      </w:r>
    </w:p>
    <w:p w14:paraId="6EEFEC41" w14:textId="77777777" w:rsidR="00F95EEE" w:rsidRPr="007670A5" w:rsidRDefault="00F95EEE" w:rsidP="00A667AC">
      <w:pPr>
        <w:jc w:val="center"/>
        <w:rPr>
          <w:rFonts w:ascii="Times New Roman" w:hAnsi="Times New Roman" w:cs="Times New Roman"/>
          <w:b/>
          <w:bCs/>
          <w:lang w:val="en-US"/>
        </w:rPr>
      </w:pPr>
    </w:p>
    <w:p w14:paraId="39DB8421" w14:textId="781090FE" w:rsidR="002C0DFF" w:rsidRDefault="002C0DFF" w:rsidP="00F95EEE">
      <w:pPr>
        <w:spacing w:after="0"/>
        <w:rPr>
          <w:rFonts w:ascii="Arial" w:hAnsi="Arial" w:cs="Arial"/>
          <w:b/>
          <w:bCs/>
        </w:rPr>
      </w:pPr>
      <w:proofErr w:type="spellStart"/>
      <w:r>
        <w:rPr>
          <w:rFonts w:ascii="Arial" w:hAnsi="Arial" w:cs="Arial"/>
          <w:b/>
          <w:bCs/>
        </w:rPr>
        <w:t>Kalynny</w:t>
      </w:r>
      <w:proofErr w:type="spellEnd"/>
      <w:r>
        <w:rPr>
          <w:rFonts w:ascii="Arial" w:hAnsi="Arial" w:cs="Arial"/>
          <w:b/>
          <w:bCs/>
        </w:rPr>
        <w:t xml:space="preserve"> Gomes da Silva Machado</w:t>
      </w:r>
      <w:r w:rsidR="00A52D45">
        <w:rPr>
          <w:rFonts w:ascii="Arial" w:hAnsi="Arial" w:cs="Arial"/>
          <w:b/>
          <w:bCs/>
        </w:rPr>
        <w:t>¹</w:t>
      </w:r>
    </w:p>
    <w:p w14:paraId="7EB0AD42" w14:textId="576B4BDA" w:rsidR="00A52D45" w:rsidRDefault="00A52D45" w:rsidP="00F95EEE">
      <w:pPr>
        <w:spacing w:after="0"/>
        <w:rPr>
          <w:rFonts w:ascii="Arial" w:hAnsi="Arial" w:cs="Arial"/>
          <w:b/>
          <w:bCs/>
        </w:rPr>
      </w:pPr>
      <w:r>
        <w:rPr>
          <w:rFonts w:ascii="Arial" w:hAnsi="Arial" w:cs="Arial"/>
          <w:b/>
          <w:bCs/>
        </w:rPr>
        <w:t xml:space="preserve">Vanessa </w:t>
      </w:r>
      <w:r w:rsidR="00AC4504">
        <w:rPr>
          <w:rFonts w:ascii="Arial" w:hAnsi="Arial" w:cs="Arial"/>
          <w:b/>
          <w:bCs/>
        </w:rPr>
        <w:t>Ro</w:t>
      </w:r>
      <w:r w:rsidR="00374881">
        <w:rPr>
          <w:rFonts w:ascii="Arial" w:hAnsi="Arial" w:cs="Arial"/>
          <w:b/>
          <w:bCs/>
        </w:rPr>
        <w:t>r</w:t>
      </w:r>
      <w:r w:rsidR="00AC4504">
        <w:rPr>
          <w:rFonts w:ascii="Arial" w:hAnsi="Arial" w:cs="Arial"/>
          <w:b/>
          <w:bCs/>
        </w:rPr>
        <w:t xml:space="preserve">iz Ferreira </w:t>
      </w:r>
      <w:r w:rsidR="00B46D51">
        <w:rPr>
          <w:rFonts w:ascii="Arial" w:hAnsi="Arial" w:cs="Arial"/>
          <w:b/>
          <w:bCs/>
        </w:rPr>
        <w:t>de Abreu²</w:t>
      </w:r>
    </w:p>
    <w:p w14:paraId="320B2E52" w14:textId="77777777" w:rsidR="00B96310" w:rsidRDefault="00B96310" w:rsidP="00F95EEE">
      <w:pPr>
        <w:spacing w:after="0"/>
        <w:rPr>
          <w:rFonts w:ascii="Arial" w:hAnsi="Arial" w:cs="Arial"/>
          <w:b/>
          <w:bCs/>
        </w:rPr>
      </w:pPr>
    </w:p>
    <w:p w14:paraId="75C84A2C" w14:textId="02265A0B" w:rsidR="00374881" w:rsidRDefault="00374881" w:rsidP="00374881">
      <w:pPr>
        <w:spacing w:after="0"/>
        <w:rPr>
          <w:rFonts w:ascii="Arial" w:hAnsi="Arial" w:cs="Arial"/>
          <w:b/>
          <w:bCs/>
        </w:rPr>
      </w:pPr>
      <w:r w:rsidRPr="00374881">
        <w:rPr>
          <w:rFonts w:ascii="Arial" w:hAnsi="Arial" w:cs="Arial"/>
          <w:b/>
          <w:bCs/>
        </w:rPr>
        <w:t>1.</w:t>
      </w:r>
      <w:r>
        <w:rPr>
          <w:rFonts w:ascii="Arial" w:hAnsi="Arial" w:cs="Arial"/>
          <w:b/>
          <w:bCs/>
        </w:rPr>
        <w:t xml:space="preserve"> </w:t>
      </w:r>
      <w:r w:rsidRPr="00374881">
        <w:rPr>
          <w:rFonts w:ascii="Arial" w:hAnsi="Arial" w:cs="Arial"/>
          <w:b/>
          <w:bCs/>
        </w:rPr>
        <w:t>Acadêmic</w:t>
      </w:r>
      <w:r>
        <w:rPr>
          <w:rFonts w:ascii="Arial" w:hAnsi="Arial" w:cs="Arial"/>
          <w:b/>
          <w:bCs/>
        </w:rPr>
        <w:t>a</w:t>
      </w:r>
      <w:r w:rsidRPr="00374881">
        <w:rPr>
          <w:rFonts w:ascii="Arial" w:hAnsi="Arial" w:cs="Arial"/>
          <w:b/>
          <w:bCs/>
        </w:rPr>
        <w:t xml:space="preserve"> do curso de Nutrição - Escola de Ciências Sociais e da Saúde (ECISS) – Pontifícia Universidade Católica de Goiás – PUC/GO.</w:t>
      </w:r>
    </w:p>
    <w:p w14:paraId="48A18049" w14:textId="1E27BE9D" w:rsidR="00374881" w:rsidRPr="00374881" w:rsidRDefault="00374881" w:rsidP="00374881">
      <w:pPr>
        <w:spacing w:after="0"/>
        <w:rPr>
          <w:rFonts w:ascii="Arial" w:hAnsi="Arial" w:cs="Arial"/>
          <w:b/>
          <w:bCs/>
        </w:rPr>
      </w:pPr>
      <w:r w:rsidRPr="00374881">
        <w:rPr>
          <w:rFonts w:ascii="Arial" w:hAnsi="Arial" w:cs="Arial"/>
          <w:b/>
          <w:bCs/>
        </w:rPr>
        <w:t xml:space="preserve"> Contato: </w:t>
      </w:r>
    </w:p>
    <w:p w14:paraId="76C3591E" w14:textId="43833A8A" w:rsidR="00374881" w:rsidRPr="00374881" w:rsidRDefault="00374881" w:rsidP="00374881">
      <w:pPr>
        <w:spacing w:after="0"/>
        <w:rPr>
          <w:rFonts w:ascii="Arial" w:hAnsi="Arial" w:cs="Arial"/>
          <w:b/>
          <w:bCs/>
        </w:rPr>
      </w:pPr>
      <w:r>
        <w:rPr>
          <w:rFonts w:ascii="Arial" w:hAnsi="Arial" w:cs="Arial"/>
          <w:b/>
          <w:bCs/>
        </w:rPr>
        <w:t>mkalynny@gmail.com</w:t>
      </w:r>
    </w:p>
    <w:p w14:paraId="34AF6E10" w14:textId="1C0522F5" w:rsidR="00B46D51" w:rsidRDefault="00374881" w:rsidP="00F95EEE">
      <w:pPr>
        <w:spacing w:after="0"/>
        <w:rPr>
          <w:rFonts w:ascii="Arial" w:hAnsi="Arial" w:cs="Arial"/>
          <w:b/>
          <w:bCs/>
        </w:rPr>
      </w:pPr>
      <w:r w:rsidRPr="00374881">
        <w:rPr>
          <w:rFonts w:ascii="Arial" w:hAnsi="Arial" w:cs="Arial"/>
          <w:b/>
          <w:bCs/>
        </w:rPr>
        <w:t>2. Docente Doutora do curso de Nutrição - Escola de Ciências Sociais e da Saúde (ECISS) – Pontifícia Universidade Católica de Goiás – PUC/GO.</w:t>
      </w:r>
    </w:p>
    <w:p w14:paraId="6B9CA5A6" w14:textId="77777777" w:rsidR="00AC4504" w:rsidRDefault="00AC4504" w:rsidP="00F95EEE">
      <w:pPr>
        <w:spacing w:after="0"/>
        <w:rPr>
          <w:rFonts w:ascii="Arial" w:hAnsi="Arial" w:cs="Arial"/>
          <w:b/>
          <w:bCs/>
        </w:rPr>
      </w:pPr>
    </w:p>
    <w:p w14:paraId="09392991" w14:textId="77777777" w:rsidR="00B96310" w:rsidRDefault="00B96310" w:rsidP="00F95EEE">
      <w:pPr>
        <w:spacing w:after="0"/>
        <w:rPr>
          <w:rFonts w:ascii="Arial" w:hAnsi="Arial" w:cs="Arial"/>
          <w:b/>
          <w:bCs/>
        </w:rPr>
      </w:pPr>
    </w:p>
    <w:p w14:paraId="29E2BEF2" w14:textId="77777777" w:rsidR="00537F6A" w:rsidRDefault="00537F6A" w:rsidP="00F95EEE">
      <w:pPr>
        <w:spacing w:after="0"/>
        <w:rPr>
          <w:rFonts w:ascii="Arial" w:hAnsi="Arial" w:cs="Arial"/>
          <w:b/>
          <w:bCs/>
        </w:rPr>
      </w:pPr>
    </w:p>
    <w:p w14:paraId="51321992" w14:textId="77777777" w:rsidR="00537F6A" w:rsidRDefault="00537F6A" w:rsidP="00F95EEE">
      <w:pPr>
        <w:spacing w:after="0"/>
        <w:rPr>
          <w:rFonts w:ascii="Arial" w:hAnsi="Arial" w:cs="Arial"/>
          <w:b/>
          <w:bCs/>
        </w:rPr>
      </w:pPr>
    </w:p>
    <w:p w14:paraId="01FEFEBE" w14:textId="77777777" w:rsidR="00537F6A" w:rsidRDefault="00537F6A" w:rsidP="00F95EEE">
      <w:pPr>
        <w:spacing w:after="0"/>
        <w:rPr>
          <w:rFonts w:ascii="Arial" w:hAnsi="Arial" w:cs="Arial"/>
          <w:b/>
          <w:bCs/>
        </w:rPr>
      </w:pPr>
    </w:p>
    <w:p w14:paraId="69E56F58" w14:textId="77777777" w:rsidR="00537F6A" w:rsidRDefault="00537F6A" w:rsidP="00F95EEE">
      <w:pPr>
        <w:spacing w:after="0"/>
        <w:rPr>
          <w:rFonts w:ascii="Arial" w:hAnsi="Arial" w:cs="Arial"/>
          <w:b/>
          <w:bCs/>
        </w:rPr>
      </w:pPr>
    </w:p>
    <w:p w14:paraId="2F24684A" w14:textId="77777777" w:rsidR="00537F6A" w:rsidRDefault="00537F6A" w:rsidP="00F95EEE">
      <w:pPr>
        <w:spacing w:after="0"/>
        <w:rPr>
          <w:rFonts w:ascii="Arial" w:hAnsi="Arial" w:cs="Arial"/>
          <w:b/>
          <w:bCs/>
        </w:rPr>
      </w:pPr>
    </w:p>
    <w:p w14:paraId="78F8AF7E" w14:textId="77777777" w:rsidR="00537F6A" w:rsidRDefault="00537F6A" w:rsidP="00F95EEE">
      <w:pPr>
        <w:spacing w:after="0"/>
        <w:rPr>
          <w:rFonts w:ascii="Arial" w:hAnsi="Arial" w:cs="Arial"/>
          <w:b/>
          <w:bCs/>
        </w:rPr>
      </w:pPr>
    </w:p>
    <w:p w14:paraId="56E94942" w14:textId="77777777" w:rsidR="00537F6A" w:rsidRDefault="00537F6A" w:rsidP="00F95EEE">
      <w:pPr>
        <w:spacing w:after="0"/>
        <w:rPr>
          <w:rFonts w:ascii="Arial" w:hAnsi="Arial" w:cs="Arial"/>
          <w:b/>
          <w:bCs/>
        </w:rPr>
      </w:pPr>
    </w:p>
    <w:p w14:paraId="434C896C" w14:textId="77777777" w:rsidR="00537F6A" w:rsidRDefault="00537F6A" w:rsidP="00F95EEE">
      <w:pPr>
        <w:spacing w:after="0"/>
        <w:rPr>
          <w:rFonts w:ascii="Arial" w:hAnsi="Arial" w:cs="Arial"/>
          <w:b/>
          <w:bCs/>
        </w:rPr>
      </w:pPr>
    </w:p>
    <w:p w14:paraId="600E897E" w14:textId="77777777" w:rsidR="00537F6A" w:rsidRDefault="00537F6A" w:rsidP="003A6C2E">
      <w:pPr>
        <w:spacing w:after="0"/>
        <w:ind w:left="0"/>
        <w:rPr>
          <w:rFonts w:ascii="Arial" w:hAnsi="Arial" w:cs="Arial"/>
          <w:b/>
          <w:bCs/>
        </w:rPr>
      </w:pPr>
    </w:p>
    <w:p w14:paraId="3AF3C758" w14:textId="77777777" w:rsidR="00E013AF" w:rsidRDefault="00E013AF" w:rsidP="003A6C2E">
      <w:pPr>
        <w:spacing w:after="0"/>
        <w:ind w:left="0"/>
        <w:rPr>
          <w:rFonts w:ascii="Arial" w:hAnsi="Arial" w:cs="Arial"/>
          <w:b/>
          <w:bCs/>
        </w:rPr>
      </w:pPr>
    </w:p>
    <w:p w14:paraId="2F3FFF08" w14:textId="77777777" w:rsidR="00537F6A" w:rsidRPr="00537F6A" w:rsidRDefault="00537F6A" w:rsidP="00537F6A">
      <w:pPr>
        <w:spacing w:after="0"/>
        <w:rPr>
          <w:rFonts w:ascii="Times New Roman" w:hAnsi="Times New Roman" w:cs="Times New Roman"/>
        </w:rPr>
      </w:pPr>
      <w:r w:rsidRPr="00537F6A">
        <w:rPr>
          <w:rFonts w:ascii="Times New Roman" w:hAnsi="Times New Roman" w:cs="Times New Roman"/>
        </w:rPr>
        <w:lastRenderedPageBreak/>
        <w:t>RESUMO</w:t>
      </w:r>
    </w:p>
    <w:p w14:paraId="08A533B2" w14:textId="77777777" w:rsidR="00537F6A" w:rsidRPr="00537F6A" w:rsidRDefault="00537F6A" w:rsidP="00537F6A">
      <w:pPr>
        <w:spacing w:after="0"/>
        <w:rPr>
          <w:rFonts w:ascii="Times New Roman" w:hAnsi="Times New Roman" w:cs="Times New Roman"/>
        </w:rPr>
      </w:pPr>
    </w:p>
    <w:p w14:paraId="45279512" w14:textId="21522E2A" w:rsidR="00537F6A" w:rsidRPr="00537F6A" w:rsidRDefault="00537F6A" w:rsidP="00537F6A">
      <w:pPr>
        <w:spacing w:after="0"/>
        <w:rPr>
          <w:rFonts w:ascii="Times New Roman" w:hAnsi="Times New Roman" w:cs="Times New Roman"/>
        </w:rPr>
      </w:pPr>
      <w:r w:rsidRPr="00537F6A">
        <w:rPr>
          <w:rFonts w:ascii="Times New Roman" w:hAnsi="Times New Roman" w:cs="Times New Roman"/>
        </w:rPr>
        <w:t>O presente artigo analis</w:t>
      </w:r>
      <w:r w:rsidR="0027732B">
        <w:rPr>
          <w:rFonts w:ascii="Times New Roman" w:hAnsi="Times New Roman" w:cs="Times New Roman"/>
        </w:rPr>
        <w:t>ou</w:t>
      </w:r>
      <w:r w:rsidRPr="00537F6A">
        <w:rPr>
          <w:rFonts w:ascii="Times New Roman" w:hAnsi="Times New Roman" w:cs="Times New Roman"/>
        </w:rPr>
        <w:t xml:space="preserve"> as evidências científicas sobre os mecanismos de ação, os efeitos metabólicos e o papel cardioprotetor dos ácidos graxos </w:t>
      </w:r>
      <w:proofErr w:type="gramStart"/>
      <w:r w:rsidRPr="00537F6A">
        <w:rPr>
          <w:rFonts w:ascii="Times New Roman" w:hAnsi="Times New Roman" w:cs="Times New Roman"/>
        </w:rPr>
        <w:t>poli-insaturados</w:t>
      </w:r>
      <w:proofErr w:type="gramEnd"/>
      <w:r w:rsidRPr="00537F6A">
        <w:rPr>
          <w:rFonts w:ascii="Times New Roman" w:hAnsi="Times New Roman" w:cs="Times New Roman"/>
        </w:rPr>
        <w:t xml:space="preserve"> ômega-3, destacando sua relevância na prevenção e controle de doenças cardiometabólicas. Trata-se de uma revisão narrativa da literatura realizada nas bases </w:t>
      </w:r>
      <w:proofErr w:type="spellStart"/>
      <w:r w:rsidRPr="00537F6A">
        <w:rPr>
          <w:rFonts w:ascii="Times New Roman" w:hAnsi="Times New Roman" w:cs="Times New Roman"/>
        </w:rPr>
        <w:t>PubMed</w:t>
      </w:r>
      <w:proofErr w:type="spellEnd"/>
      <w:r w:rsidRPr="00537F6A">
        <w:rPr>
          <w:rFonts w:ascii="Times New Roman" w:hAnsi="Times New Roman" w:cs="Times New Roman"/>
        </w:rPr>
        <w:t xml:space="preserve">, SciELO e LILACS/BIREME, utilizando os descritores “omega-3 </w:t>
      </w:r>
      <w:proofErr w:type="spellStart"/>
      <w:r w:rsidRPr="00537F6A">
        <w:rPr>
          <w:rFonts w:ascii="Times New Roman" w:hAnsi="Times New Roman" w:cs="Times New Roman"/>
        </w:rPr>
        <w:t>fatty</w:t>
      </w:r>
      <w:proofErr w:type="spellEnd"/>
      <w:r w:rsidRPr="00537F6A">
        <w:rPr>
          <w:rFonts w:ascii="Times New Roman" w:hAnsi="Times New Roman" w:cs="Times New Roman"/>
        </w:rPr>
        <w:t xml:space="preserve"> </w:t>
      </w:r>
      <w:proofErr w:type="spellStart"/>
      <w:r w:rsidRPr="00537F6A">
        <w:rPr>
          <w:rFonts w:ascii="Times New Roman" w:hAnsi="Times New Roman" w:cs="Times New Roman"/>
        </w:rPr>
        <w:t>acids</w:t>
      </w:r>
      <w:proofErr w:type="spellEnd"/>
      <w:r w:rsidRPr="00537F6A">
        <w:rPr>
          <w:rFonts w:ascii="Times New Roman" w:hAnsi="Times New Roman" w:cs="Times New Roman"/>
        </w:rPr>
        <w:t>”, “</w:t>
      </w:r>
      <w:proofErr w:type="spellStart"/>
      <w:r w:rsidRPr="00537F6A">
        <w:rPr>
          <w:rFonts w:ascii="Times New Roman" w:hAnsi="Times New Roman" w:cs="Times New Roman"/>
        </w:rPr>
        <w:t>polyunsaturated</w:t>
      </w:r>
      <w:proofErr w:type="spellEnd"/>
      <w:r w:rsidRPr="00537F6A">
        <w:rPr>
          <w:rFonts w:ascii="Times New Roman" w:hAnsi="Times New Roman" w:cs="Times New Roman"/>
        </w:rPr>
        <w:t xml:space="preserve"> </w:t>
      </w:r>
      <w:proofErr w:type="spellStart"/>
      <w:r w:rsidRPr="00537F6A">
        <w:rPr>
          <w:rFonts w:ascii="Times New Roman" w:hAnsi="Times New Roman" w:cs="Times New Roman"/>
        </w:rPr>
        <w:t>fatty</w:t>
      </w:r>
      <w:proofErr w:type="spellEnd"/>
      <w:r w:rsidRPr="00537F6A">
        <w:rPr>
          <w:rFonts w:ascii="Times New Roman" w:hAnsi="Times New Roman" w:cs="Times New Roman"/>
        </w:rPr>
        <w:t xml:space="preserve"> </w:t>
      </w:r>
      <w:proofErr w:type="spellStart"/>
      <w:r w:rsidRPr="00537F6A">
        <w:rPr>
          <w:rFonts w:ascii="Times New Roman" w:hAnsi="Times New Roman" w:cs="Times New Roman"/>
        </w:rPr>
        <w:t>acids</w:t>
      </w:r>
      <w:proofErr w:type="spellEnd"/>
      <w:r w:rsidRPr="00537F6A">
        <w:rPr>
          <w:rFonts w:ascii="Times New Roman" w:hAnsi="Times New Roman" w:cs="Times New Roman"/>
        </w:rPr>
        <w:t xml:space="preserve">”, “cardiovascular </w:t>
      </w:r>
      <w:proofErr w:type="spellStart"/>
      <w:r w:rsidRPr="00537F6A">
        <w:rPr>
          <w:rFonts w:ascii="Times New Roman" w:hAnsi="Times New Roman" w:cs="Times New Roman"/>
        </w:rPr>
        <w:t>risk</w:t>
      </w:r>
      <w:proofErr w:type="spellEnd"/>
      <w:r w:rsidRPr="00537F6A">
        <w:rPr>
          <w:rFonts w:ascii="Times New Roman" w:hAnsi="Times New Roman" w:cs="Times New Roman"/>
        </w:rPr>
        <w:t>” e “</w:t>
      </w:r>
      <w:proofErr w:type="spellStart"/>
      <w:r w:rsidRPr="00537F6A">
        <w:rPr>
          <w:rFonts w:ascii="Times New Roman" w:hAnsi="Times New Roman" w:cs="Times New Roman"/>
        </w:rPr>
        <w:t>clinical</w:t>
      </w:r>
      <w:proofErr w:type="spellEnd"/>
      <w:r w:rsidRPr="00537F6A">
        <w:rPr>
          <w:rFonts w:ascii="Times New Roman" w:hAnsi="Times New Roman" w:cs="Times New Roman"/>
        </w:rPr>
        <w:t xml:space="preserve"> </w:t>
      </w:r>
      <w:proofErr w:type="spellStart"/>
      <w:r w:rsidRPr="00537F6A">
        <w:rPr>
          <w:rFonts w:ascii="Times New Roman" w:hAnsi="Times New Roman" w:cs="Times New Roman"/>
        </w:rPr>
        <w:t>trial</w:t>
      </w:r>
      <w:proofErr w:type="spellEnd"/>
      <w:r w:rsidRPr="00537F6A">
        <w:rPr>
          <w:rFonts w:ascii="Times New Roman" w:hAnsi="Times New Roman" w:cs="Times New Roman"/>
        </w:rPr>
        <w:t>”, combinados pelos operadores booleanos AND e OR. Foram incluídos ensaios clínicos realizados em humanos, publicados entre 2017 e 2023, e relacionados diretamente aos efeitos cardiometabólicos dos ômega-3. Após aplicação dos critérios de inclusão e exclusão, 13 estudos compuseram a revisão. Os resultados demonstraram efeitos positivos principalmente na redução dos níveis de triglicerídeos, melhora do perfil lipídico e modulação inflamatória, com benefícios mais consistentes em indivíduos com elevado risco cardiovascular e em estudos que utilizaram ácido eicosapentaenoico (EPA) isolado em doses elevadas. Além disso, alguns estudos evidenciaram melhora da função vascular e menor progressão aterosclerótica. Em contrapartida, estudos com populações saudáveis, doses menores ou formulações combinadas de EPA e DHA apresentaram resultados mais discretos. Conclui-se que os ômega-3 apresentam potencial benefício cardiometabólico, especialmente em indivíduos com maior risco cardiovascular.</w:t>
      </w:r>
    </w:p>
    <w:p w14:paraId="1A8EB21A" w14:textId="77777777" w:rsidR="00537F6A" w:rsidRPr="00537F6A" w:rsidRDefault="00537F6A" w:rsidP="00537F6A">
      <w:pPr>
        <w:spacing w:after="0"/>
        <w:rPr>
          <w:rFonts w:ascii="Times New Roman" w:hAnsi="Times New Roman" w:cs="Times New Roman"/>
        </w:rPr>
      </w:pPr>
    </w:p>
    <w:p w14:paraId="6F534BC3" w14:textId="77777777" w:rsidR="00537F6A" w:rsidRPr="00537F6A" w:rsidRDefault="00537F6A" w:rsidP="00537F6A">
      <w:pPr>
        <w:spacing w:after="0"/>
        <w:rPr>
          <w:rFonts w:ascii="Times New Roman" w:hAnsi="Times New Roman" w:cs="Times New Roman"/>
        </w:rPr>
      </w:pPr>
      <w:r w:rsidRPr="00537F6A">
        <w:rPr>
          <w:rFonts w:ascii="Times New Roman" w:hAnsi="Times New Roman" w:cs="Times New Roman"/>
        </w:rPr>
        <w:t>Palavras-chave: Ômega-3; Ácidos graxos poli-insaturados; Risco cardiovascular; Ensaios clínicos.</w:t>
      </w:r>
    </w:p>
    <w:p w14:paraId="698E5A25" w14:textId="77777777" w:rsidR="00537F6A" w:rsidRPr="00537F6A" w:rsidRDefault="00537F6A" w:rsidP="00537F6A">
      <w:pPr>
        <w:spacing w:after="0"/>
        <w:rPr>
          <w:rFonts w:ascii="Times New Roman" w:hAnsi="Times New Roman" w:cs="Times New Roman"/>
        </w:rPr>
      </w:pPr>
    </w:p>
    <w:p w14:paraId="15252346" w14:textId="77777777" w:rsidR="00537F6A" w:rsidRPr="007670A5" w:rsidRDefault="00537F6A" w:rsidP="00537F6A">
      <w:pPr>
        <w:spacing w:after="0"/>
        <w:rPr>
          <w:rFonts w:ascii="Times New Roman" w:hAnsi="Times New Roman" w:cs="Times New Roman"/>
          <w:lang w:val="en-US"/>
        </w:rPr>
      </w:pPr>
      <w:r w:rsidRPr="007670A5">
        <w:rPr>
          <w:rFonts w:ascii="Times New Roman" w:hAnsi="Times New Roman" w:cs="Times New Roman"/>
          <w:lang w:val="en-US"/>
        </w:rPr>
        <w:t>ABSTRACT</w:t>
      </w:r>
    </w:p>
    <w:p w14:paraId="4CC6E223" w14:textId="77777777" w:rsidR="00537F6A" w:rsidRPr="007670A5" w:rsidRDefault="00537F6A" w:rsidP="00537F6A">
      <w:pPr>
        <w:spacing w:after="0"/>
        <w:rPr>
          <w:rFonts w:ascii="Times New Roman" w:hAnsi="Times New Roman" w:cs="Times New Roman"/>
          <w:lang w:val="en-US"/>
        </w:rPr>
      </w:pPr>
      <w:r w:rsidRPr="007670A5">
        <w:rPr>
          <w:rFonts w:ascii="Times New Roman" w:hAnsi="Times New Roman" w:cs="Times New Roman"/>
          <w:lang w:val="en-US"/>
        </w:rPr>
        <w:t xml:space="preserve">This study aimed to analyze the scientific evidence regarding the mechanisms of action, metabolic effects, and cardioprotective role of </w:t>
      </w:r>
      <w:r w:rsidRPr="007670A5">
        <w:rPr>
          <w:rFonts w:ascii="Times New Roman" w:hAnsi="Times New Roman" w:cs="Times New Roman"/>
          <w:lang w:val="en-US"/>
        </w:rPr>
        <w:lastRenderedPageBreak/>
        <w:t>omega-3 polyunsaturated fatty acids, highlighting their relevance in the prevention and management of cardiometabolic diseases. This is a narrative literature review conducted using the PubMed, SciELO and LILACS/BIREME databases, using the descriptors “omega-3 fatty acids”, “polyunsaturated fatty acids”, “cardiovascular risk” and “clinical trial”, combined with the Boolean operators AND and OR. Clinical trials conducted in humans and published between 2017 and 2023, directly related to the cardiometabolic effects of omega-3, were included. After applying the inclusion and exclusion criteria, 13 studies were selected for the review. The results demonstrated positive effects mainly on triglyceride reduction, lipid profile improvement and inflammatory modulation, with more consistent benefits observed in individuals at high cardiovascular risk and in studies using high-dose isolated eicosapentaenoic acid (EPA). In addition, some studies showed improved vascular function and lower atherosclerotic progression. In contrast, studies involving healthy populations, lower doses or combined EPA and DHA formulations showed more modest results. It is concluded that omega-3 fatty acids present potential cardiometabolic benefits, especially in individuals at higher cardiovascular risk.</w:t>
      </w:r>
    </w:p>
    <w:p w14:paraId="04DE2AEA" w14:textId="77777777" w:rsidR="00537F6A" w:rsidRPr="007670A5" w:rsidRDefault="00537F6A" w:rsidP="00537F6A">
      <w:pPr>
        <w:spacing w:after="0"/>
        <w:rPr>
          <w:rFonts w:ascii="Times New Roman" w:hAnsi="Times New Roman" w:cs="Times New Roman"/>
          <w:lang w:val="en-US"/>
        </w:rPr>
      </w:pPr>
    </w:p>
    <w:p w14:paraId="0E3767E9" w14:textId="5A211073" w:rsidR="00537F6A" w:rsidRPr="007670A5" w:rsidRDefault="00537F6A" w:rsidP="00537F6A">
      <w:pPr>
        <w:spacing w:after="0"/>
        <w:rPr>
          <w:rFonts w:ascii="Times New Roman" w:hAnsi="Times New Roman" w:cs="Times New Roman"/>
          <w:lang w:val="en-US"/>
        </w:rPr>
      </w:pPr>
      <w:r w:rsidRPr="007670A5">
        <w:rPr>
          <w:rFonts w:ascii="Times New Roman" w:hAnsi="Times New Roman" w:cs="Times New Roman"/>
          <w:lang w:val="en-US"/>
        </w:rPr>
        <w:t>Keywords: Omega-3; Polyunsaturated fatty acids; Cardiovascular risk; Clinical trials.</w:t>
      </w:r>
    </w:p>
    <w:p w14:paraId="74C1AE6D" w14:textId="77777777" w:rsidR="00537F6A" w:rsidRPr="007670A5" w:rsidRDefault="00537F6A" w:rsidP="00F95EEE">
      <w:pPr>
        <w:spacing w:after="0"/>
        <w:rPr>
          <w:rFonts w:ascii="Arial" w:hAnsi="Arial" w:cs="Arial"/>
          <w:b/>
          <w:bCs/>
          <w:lang w:val="en-US"/>
        </w:rPr>
      </w:pPr>
    </w:p>
    <w:p w14:paraId="66EF8D8F" w14:textId="17AF444A" w:rsidR="00DD56DF" w:rsidRPr="006978DC" w:rsidRDefault="00DD56DF" w:rsidP="00537F6A">
      <w:pPr>
        <w:rPr>
          <w:rFonts w:ascii="Times New Roman" w:hAnsi="Times New Roman" w:cs="Times New Roman"/>
        </w:rPr>
      </w:pPr>
      <w:r w:rsidRPr="006978DC">
        <w:rPr>
          <w:rFonts w:ascii="Times New Roman" w:hAnsi="Times New Roman" w:cs="Times New Roman"/>
        </w:rPr>
        <w:t>INTRODUÇÃO</w:t>
      </w:r>
    </w:p>
    <w:p w14:paraId="0F169FBD" w14:textId="77777777" w:rsidR="00DD56DF" w:rsidRPr="006978DC" w:rsidRDefault="00DD56DF" w:rsidP="00DD56DF">
      <w:pPr>
        <w:pStyle w:val="PargrafodaLista"/>
        <w:spacing w:after="0"/>
        <w:ind w:left="0"/>
        <w:jc w:val="both"/>
        <w:rPr>
          <w:rFonts w:ascii="Times New Roman" w:hAnsi="Times New Roman" w:cs="Times New Roman"/>
          <w:b/>
          <w:bCs/>
        </w:rPr>
      </w:pPr>
    </w:p>
    <w:p w14:paraId="5A6DFFD4" w14:textId="764B6397" w:rsidR="00D262E7" w:rsidRPr="00D875AC" w:rsidRDefault="00DD56DF" w:rsidP="00A05271">
      <w:pPr>
        <w:spacing w:after="0"/>
        <w:ind w:firstLine="709"/>
        <w:jc w:val="both"/>
        <w:rPr>
          <w:rFonts w:ascii="Times New Roman" w:hAnsi="Times New Roman" w:cs="Times New Roman"/>
          <w:vertAlign w:val="superscript"/>
        </w:rPr>
      </w:pPr>
      <w:r w:rsidRPr="006978DC">
        <w:rPr>
          <w:rFonts w:ascii="Times New Roman" w:hAnsi="Times New Roman" w:cs="Times New Roman"/>
        </w:rPr>
        <w:t xml:space="preserve">As </w:t>
      </w:r>
      <w:r w:rsidR="00233B43" w:rsidRPr="00233B43">
        <w:rPr>
          <w:rFonts w:ascii="Times New Roman" w:hAnsi="Times New Roman" w:cs="Times New Roman"/>
        </w:rPr>
        <w:t>doenças cardiovasculares permanecem entre as principais causas de morbimortalidade no mundo, estando associadas a processos inflamatórios crônicos, disfunção endotelial, alterações metabólicas e estresse oxidativo</w:t>
      </w:r>
      <w:r w:rsidR="00C51414">
        <w:rPr>
          <w:rFonts w:ascii="Times New Roman" w:hAnsi="Times New Roman" w:cs="Times New Roman"/>
          <w:vertAlign w:val="superscript"/>
        </w:rPr>
        <w:t>1</w:t>
      </w:r>
      <w:r w:rsidR="00DB07B2">
        <w:rPr>
          <w:rFonts w:ascii="Times New Roman" w:hAnsi="Times New Roman" w:cs="Times New Roman"/>
        </w:rPr>
        <w:t>,</w:t>
      </w:r>
      <w:r w:rsidR="00D26F11">
        <w:rPr>
          <w:rFonts w:ascii="Times New Roman" w:hAnsi="Times New Roman" w:cs="Times New Roman"/>
          <w:vertAlign w:val="superscript"/>
        </w:rPr>
        <w:t>2</w:t>
      </w:r>
      <w:r w:rsidR="00B66CF7">
        <w:rPr>
          <w:rFonts w:ascii="Times New Roman" w:hAnsi="Times New Roman" w:cs="Times New Roman"/>
        </w:rPr>
        <w:t>.</w:t>
      </w:r>
      <w:r w:rsidR="00233B43" w:rsidRPr="00233B43">
        <w:rPr>
          <w:rFonts w:ascii="Times New Roman" w:hAnsi="Times New Roman" w:cs="Times New Roman"/>
        </w:rPr>
        <w:t xml:space="preserve"> Nesse contexto, os ácidos graxos </w:t>
      </w:r>
      <w:proofErr w:type="gramStart"/>
      <w:r w:rsidR="00233B43" w:rsidRPr="00233B43">
        <w:rPr>
          <w:rFonts w:ascii="Times New Roman" w:hAnsi="Times New Roman" w:cs="Times New Roman"/>
        </w:rPr>
        <w:t>poli-insaturados</w:t>
      </w:r>
      <w:proofErr w:type="gramEnd"/>
      <w:r w:rsidR="00233B43" w:rsidRPr="00233B43">
        <w:rPr>
          <w:rFonts w:ascii="Times New Roman" w:hAnsi="Times New Roman" w:cs="Times New Roman"/>
        </w:rPr>
        <w:t xml:space="preserve"> da série ômega-3 (</w:t>
      </w:r>
      <w:proofErr w:type="spellStart"/>
      <w:r w:rsidR="00233B43" w:rsidRPr="00233B43">
        <w:rPr>
          <w:rFonts w:ascii="Times New Roman" w:hAnsi="Times New Roman" w:cs="Times New Roman"/>
        </w:rPr>
        <w:t>PUFAs</w:t>
      </w:r>
      <w:proofErr w:type="spellEnd"/>
      <w:r w:rsidR="00233B43" w:rsidRPr="00233B43">
        <w:rPr>
          <w:rFonts w:ascii="Times New Roman" w:hAnsi="Times New Roman" w:cs="Times New Roman"/>
        </w:rPr>
        <w:t xml:space="preserve"> n-3) têm despertado crescente interesse científico devido aos seus potenciais efeitos cardioprotetores e metabólicos</w:t>
      </w:r>
      <w:r w:rsidR="00DB07B2">
        <w:rPr>
          <w:rFonts w:ascii="Times New Roman" w:hAnsi="Times New Roman" w:cs="Times New Roman"/>
          <w:vertAlign w:val="superscript"/>
        </w:rPr>
        <w:t>3</w:t>
      </w:r>
      <w:r w:rsidR="00D875AC">
        <w:rPr>
          <w:rFonts w:ascii="Times New Roman" w:hAnsi="Times New Roman" w:cs="Times New Roman"/>
          <w:vertAlign w:val="superscript"/>
        </w:rPr>
        <w:t>,4</w:t>
      </w:r>
      <w:r w:rsidR="00E32AEC">
        <w:rPr>
          <w:rFonts w:ascii="Times New Roman" w:hAnsi="Times New Roman" w:cs="Times New Roman"/>
          <w:vertAlign w:val="superscript"/>
        </w:rPr>
        <w:t>,</w:t>
      </w:r>
      <w:proofErr w:type="gramStart"/>
      <w:r w:rsidR="00E32AEC">
        <w:rPr>
          <w:rFonts w:ascii="Times New Roman" w:hAnsi="Times New Roman" w:cs="Times New Roman"/>
          <w:vertAlign w:val="superscript"/>
        </w:rPr>
        <w:t>5</w:t>
      </w:r>
      <w:r w:rsidR="004509FA">
        <w:rPr>
          <w:rFonts w:ascii="Times New Roman" w:hAnsi="Times New Roman" w:cs="Times New Roman"/>
          <w:vertAlign w:val="superscript"/>
        </w:rPr>
        <w:t xml:space="preserve"> .</w:t>
      </w:r>
      <w:proofErr w:type="gramEnd"/>
    </w:p>
    <w:p w14:paraId="22FB3991" w14:textId="52270BCC" w:rsidR="00A05271" w:rsidRPr="00B74110" w:rsidRDefault="00042297" w:rsidP="00233B43">
      <w:pPr>
        <w:spacing w:after="0"/>
        <w:ind w:firstLine="709"/>
        <w:jc w:val="both"/>
        <w:rPr>
          <w:rFonts w:ascii="Times New Roman" w:hAnsi="Times New Roman" w:cs="Times New Roman"/>
          <w:vertAlign w:val="superscript"/>
        </w:rPr>
      </w:pPr>
      <w:r>
        <w:rPr>
          <w:rFonts w:ascii="Times New Roman" w:hAnsi="Times New Roman" w:cs="Times New Roman"/>
        </w:rPr>
        <w:lastRenderedPageBreak/>
        <w:t>Além dos fatores genéticos e meta</w:t>
      </w:r>
      <w:r w:rsidR="00D4456F">
        <w:rPr>
          <w:rFonts w:ascii="Times New Roman" w:hAnsi="Times New Roman" w:cs="Times New Roman"/>
        </w:rPr>
        <w:t xml:space="preserve">bólicos, a alimentação exerce um papel fundamental </w:t>
      </w:r>
      <w:r w:rsidR="005D1989">
        <w:rPr>
          <w:rFonts w:ascii="Times New Roman" w:hAnsi="Times New Roman" w:cs="Times New Roman"/>
        </w:rPr>
        <w:t>na prevenção e no desenvolvimento das doenças cardio</w:t>
      </w:r>
      <w:r w:rsidR="00B84AA6">
        <w:rPr>
          <w:rFonts w:ascii="Times New Roman" w:hAnsi="Times New Roman" w:cs="Times New Roman"/>
        </w:rPr>
        <w:t>vasculares.</w:t>
      </w:r>
      <w:r w:rsidR="00B74110">
        <w:rPr>
          <w:rFonts w:ascii="Times New Roman" w:hAnsi="Times New Roman" w:cs="Times New Roman"/>
        </w:rPr>
        <w:t xml:space="preserve"> </w:t>
      </w:r>
      <w:r w:rsidR="00B74110" w:rsidRPr="00B74110">
        <w:rPr>
          <w:rFonts w:ascii="Times New Roman" w:hAnsi="Times New Roman" w:cs="Times New Roman"/>
        </w:rPr>
        <w:t xml:space="preserve">A ingestão adequada de nutrientes com propriedades anti-inflamatórias e cardioprotetoras tem sido associada à melhora de parâmetros metabólicos e à redução de fatores de risco cardiovascular. Nesse contexto, os ácidos graxos </w:t>
      </w:r>
      <w:proofErr w:type="gramStart"/>
      <w:r w:rsidR="00B74110" w:rsidRPr="00B74110">
        <w:rPr>
          <w:rFonts w:ascii="Times New Roman" w:hAnsi="Times New Roman" w:cs="Times New Roman"/>
        </w:rPr>
        <w:t>poli-insaturados</w:t>
      </w:r>
      <w:proofErr w:type="gramEnd"/>
      <w:r w:rsidR="00B74110" w:rsidRPr="00B74110">
        <w:rPr>
          <w:rFonts w:ascii="Times New Roman" w:hAnsi="Times New Roman" w:cs="Times New Roman"/>
        </w:rPr>
        <w:t xml:space="preserve"> ômega-3 destacam-se pelo potencial de modular processos inflamatórios, oxidativos e vasculares relacionados ao desenvolvimento das doenças cardiometabólicas</w:t>
      </w:r>
      <w:r w:rsidR="00CD3A75">
        <w:rPr>
          <w:rFonts w:ascii="Times New Roman" w:hAnsi="Times New Roman" w:cs="Times New Roman"/>
          <w:vertAlign w:val="superscript"/>
        </w:rPr>
        <w:t>2</w:t>
      </w:r>
      <w:r w:rsidR="00A027CF">
        <w:rPr>
          <w:rFonts w:ascii="Times New Roman" w:hAnsi="Times New Roman" w:cs="Times New Roman"/>
          <w:vertAlign w:val="superscript"/>
        </w:rPr>
        <w:t>,3,16</w:t>
      </w:r>
      <w:r w:rsidR="00A062C8">
        <w:rPr>
          <w:rFonts w:ascii="Times New Roman" w:hAnsi="Times New Roman" w:cs="Times New Roman"/>
          <w:vertAlign w:val="superscript"/>
        </w:rPr>
        <w:t>.</w:t>
      </w:r>
    </w:p>
    <w:p w14:paraId="3459379A" w14:textId="1ADC306B" w:rsidR="00233B43" w:rsidRPr="00233B43" w:rsidRDefault="00A05271" w:rsidP="00233B43">
      <w:pPr>
        <w:spacing w:after="0"/>
        <w:ind w:firstLine="709"/>
        <w:jc w:val="both"/>
        <w:rPr>
          <w:rFonts w:ascii="Times New Roman" w:hAnsi="Times New Roman" w:cs="Times New Roman"/>
        </w:rPr>
      </w:pPr>
      <w:r>
        <w:rPr>
          <w:rFonts w:ascii="Times New Roman" w:hAnsi="Times New Roman" w:cs="Times New Roman"/>
        </w:rPr>
        <w:t>O</w:t>
      </w:r>
      <w:r w:rsidR="00233B43" w:rsidRPr="00233B43">
        <w:rPr>
          <w:rFonts w:ascii="Times New Roman" w:hAnsi="Times New Roman" w:cs="Times New Roman"/>
        </w:rPr>
        <w:t xml:space="preserve">s principais representantes dos </w:t>
      </w:r>
      <w:proofErr w:type="spellStart"/>
      <w:r w:rsidR="00233B43" w:rsidRPr="00233B43">
        <w:rPr>
          <w:rFonts w:ascii="Times New Roman" w:hAnsi="Times New Roman" w:cs="Times New Roman"/>
        </w:rPr>
        <w:t>PUFAs</w:t>
      </w:r>
      <w:proofErr w:type="spellEnd"/>
      <w:r w:rsidR="00233B43" w:rsidRPr="00233B43">
        <w:rPr>
          <w:rFonts w:ascii="Times New Roman" w:hAnsi="Times New Roman" w:cs="Times New Roman"/>
        </w:rPr>
        <w:t xml:space="preserve"> n-3 são o ácido eicosapentaenoico (EPA), o ácido </w:t>
      </w:r>
      <w:proofErr w:type="spellStart"/>
      <w:r w:rsidR="00233B43" w:rsidRPr="00233B43">
        <w:rPr>
          <w:rFonts w:ascii="Times New Roman" w:hAnsi="Times New Roman" w:cs="Times New Roman"/>
        </w:rPr>
        <w:t>docosa-hexaenoico</w:t>
      </w:r>
      <w:proofErr w:type="spellEnd"/>
      <w:r w:rsidR="00233B43" w:rsidRPr="00233B43">
        <w:rPr>
          <w:rFonts w:ascii="Times New Roman" w:hAnsi="Times New Roman" w:cs="Times New Roman"/>
        </w:rPr>
        <w:t xml:space="preserve"> (DHA) e o ácido α-linolênico (ALA). EPA e DHA são encontrados predominantemente em peixes de águas frias e profundas, como salmão, sardinha e arenque, enquanto o ALA está presente em fontes vegetais, como linhaça e chia</w:t>
      </w:r>
      <w:r w:rsidR="009453DD">
        <w:rPr>
          <w:rFonts w:ascii="Times New Roman" w:hAnsi="Times New Roman" w:cs="Times New Roman"/>
          <w:vertAlign w:val="superscript"/>
        </w:rPr>
        <w:t>6,7,8</w:t>
      </w:r>
      <w:r w:rsidR="00233B43" w:rsidRPr="00233B43">
        <w:rPr>
          <w:rFonts w:ascii="Times New Roman" w:hAnsi="Times New Roman" w:cs="Times New Roman"/>
        </w:rPr>
        <w:t>. Entretanto, a conversão endógena de ALA em EPA e DHA é limitada, o que reforça a importância da ingestão dietética adequada dessas formas biologicamente ativas</w:t>
      </w:r>
      <w:r w:rsidR="00E81D07">
        <w:rPr>
          <w:rFonts w:ascii="Times New Roman" w:hAnsi="Times New Roman" w:cs="Times New Roman"/>
          <w:vertAlign w:val="superscript"/>
        </w:rPr>
        <w:t>9,10</w:t>
      </w:r>
      <w:r w:rsidR="00233B43" w:rsidRPr="00233B43">
        <w:rPr>
          <w:rFonts w:ascii="Times New Roman" w:hAnsi="Times New Roman" w:cs="Times New Roman"/>
        </w:rPr>
        <w:t>.</w:t>
      </w:r>
    </w:p>
    <w:p w14:paraId="5DB6D334" w14:textId="76F57DA8" w:rsidR="00233B43" w:rsidRPr="00233B43" w:rsidRDefault="00233B43" w:rsidP="006657CE">
      <w:pPr>
        <w:spacing w:after="0"/>
        <w:ind w:firstLine="709"/>
        <w:rPr>
          <w:rFonts w:ascii="Times New Roman" w:hAnsi="Times New Roman" w:cs="Times New Roman"/>
        </w:rPr>
      </w:pPr>
      <w:r w:rsidRPr="00233B43">
        <w:rPr>
          <w:rFonts w:ascii="Times New Roman" w:hAnsi="Times New Roman" w:cs="Times New Roman"/>
        </w:rPr>
        <w:t xml:space="preserve">Os </w:t>
      </w:r>
      <w:proofErr w:type="spellStart"/>
      <w:r w:rsidRPr="00233B43">
        <w:rPr>
          <w:rFonts w:ascii="Times New Roman" w:hAnsi="Times New Roman" w:cs="Times New Roman"/>
        </w:rPr>
        <w:t>PUFAs</w:t>
      </w:r>
      <w:proofErr w:type="spellEnd"/>
      <w:r w:rsidRPr="00233B43">
        <w:rPr>
          <w:rFonts w:ascii="Times New Roman" w:hAnsi="Times New Roman" w:cs="Times New Roman"/>
        </w:rPr>
        <w:t xml:space="preserve"> n-3 exercem funções importantes na composição das membranas celulares e na regulação de vias metabólicas e inflamatórias. Essas moléculas participam da formação de eicosanoides e mediadores pró-resolução, influenciam a fluidez das membranas e modulam mecanismos relacionados ao estresse oxidativo, resposta inflamatória e função endotelial</w:t>
      </w:r>
      <w:r w:rsidR="008367C7">
        <w:rPr>
          <w:rFonts w:ascii="Times New Roman" w:hAnsi="Times New Roman" w:cs="Times New Roman"/>
          <w:vertAlign w:val="superscript"/>
        </w:rPr>
        <w:t>11,12,13</w:t>
      </w:r>
      <w:r w:rsidRPr="00233B43">
        <w:rPr>
          <w:rFonts w:ascii="Times New Roman" w:hAnsi="Times New Roman" w:cs="Times New Roman"/>
        </w:rPr>
        <w:t>. Além disso, estudos demonstram que EPA e DHA atuam na modulação da via do NF-</w:t>
      </w:r>
      <w:proofErr w:type="spellStart"/>
      <w:r w:rsidRPr="00233B43">
        <w:rPr>
          <w:rFonts w:ascii="Times New Roman" w:hAnsi="Times New Roman" w:cs="Times New Roman"/>
        </w:rPr>
        <w:t>κB</w:t>
      </w:r>
      <w:proofErr w:type="spellEnd"/>
      <w:r w:rsidRPr="00233B43">
        <w:rPr>
          <w:rFonts w:ascii="Times New Roman" w:hAnsi="Times New Roman" w:cs="Times New Roman"/>
        </w:rPr>
        <w:t>, redução de citocinas pró-inflamatórias e ativação de mecanismos antioxidantes mediados por Nrf2, contribuindo para a redução da inflamação crônica de baixo grau associada às doenças cardiometabólicas</w:t>
      </w:r>
      <w:r w:rsidR="00A66DFD">
        <w:rPr>
          <w:rFonts w:ascii="Times New Roman" w:hAnsi="Times New Roman" w:cs="Times New Roman"/>
          <w:vertAlign w:val="superscript"/>
        </w:rPr>
        <w:t>14,15,16</w:t>
      </w:r>
      <w:r w:rsidRPr="00233B43">
        <w:rPr>
          <w:rFonts w:ascii="Times New Roman" w:hAnsi="Times New Roman" w:cs="Times New Roman"/>
        </w:rPr>
        <w:t>.</w:t>
      </w:r>
    </w:p>
    <w:p w14:paraId="49D15DF0" w14:textId="3AC22C78" w:rsidR="00233B43" w:rsidRPr="00233B43" w:rsidRDefault="00233B43" w:rsidP="00233B43">
      <w:pPr>
        <w:spacing w:after="0"/>
        <w:ind w:firstLine="709"/>
        <w:jc w:val="both"/>
        <w:rPr>
          <w:rFonts w:ascii="Times New Roman" w:hAnsi="Times New Roman" w:cs="Times New Roman"/>
        </w:rPr>
      </w:pPr>
      <w:r w:rsidRPr="00233B43">
        <w:rPr>
          <w:rFonts w:ascii="Times New Roman" w:hAnsi="Times New Roman" w:cs="Times New Roman"/>
        </w:rPr>
        <w:t>Entre os principais efeitos cardiometabólicos atribuídos aos ômega-3 destacam-se a redução dos níveis plasmáticos de triglicerídeos, melhora do perfil lipídico, modulação da agregação plaquetária, melhora da função endotelial e possível estabilização de placas ateroscleróticas</w:t>
      </w:r>
      <w:r w:rsidR="000F4BB7">
        <w:rPr>
          <w:rFonts w:ascii="Times New Roman" w:hAnsi="Times New Roman" w:cs="Times New Roman"/>
          <w:vertAlign w:val="superscript"/>
        </w:rPr>
        <w:t>17,18,19,20,21</w:t>
      </w:r>
      <w:r w:rsidRPr="00233B43">
        <w:rPr>
          <w:rFonts w:ascii="Times New Roman" w:hAnsi="Times New Roman" w:cs="Times New Roman"/>
        </w:rPr>
        <w:t xml:space="preserve">. Evidências recentes também sugerem que EPA e DHA podem influenciar o metabolismo lipídico hepático, reduzir a síntese de VLDL e exercer efeitos </w:t>
      </w:r>
      <w:proofErr w:type="spellStart"/>
      <w:r w:rsidRPr="00233B43">
        <w:rPr>
          <w:rFonts w:ascii="Times New Roman" w:hAnsi="Times New Roman" w:cs="Times New Roman"/>
        </w:rPr>
        <w:lastRenderedPageBreak/>
        <w:t>antiaterogênicos</w:t>
      </w:r>
      <w:proofErr w:type="spellEnd"/>
      <w:r w:rsidRPr="00233B43">
        <w:rPr>
          <w:rFonts w:ascii="Times New Roman" w:hAnsi="Times New Roman" w:cs="Times New Roman"/>
        </w:rPr>
        <w:t xml:space="preserve"> relevantes em indivíduos com maior risco cardiovascular</w:t>
      </w:r>
      <w:r w:rsidR="0074019A">
        <w:rPr>
          <w:rFonts w:ascii="Times New Roman" w:hAnsi="Times New Roman" w:cs="Times New Roman"/>
          <w:vertAlign w:val="superscript"/>
        </w:rPr>
        <w:t>22,23,24</w:t>
      </w:r>
      <w:r w:rsidRPr="00233B43">
        <w:rPr>
          <w:rFonts w:ascii="Times New Roman" w:hAnsi="Times New Roman" w:cs="Times New Roman"/>
        </w:rPr>
        <w:t>.</w:t>
      </w:r>
    </w:p>
    <w:p w14:paraId="000D972F" w14:textId="77777777" w:rsidR="00233B43" w:rsidRPr="00233B43" w:rsidRDefault="00233B43" w:rsidP="00233B43">
      <w:pPr>
        <w:spacing w:after="0"/>
        <w:ind w:firstLine="709"/>
        <w:jc w:val="both"/>
        <w:rPr>
          <w:rFonts w:ascii="Times New Roman" w:hAnsi="Times New Roman" w:cs="Times New Roman"/>
        </w:rPr>
      </w:pPr>
      <w:r w:rsidRPr="00233B43">
        <w:rPr>
          <w:rFonts w:ascii="Times New Roman" w:hAnsi="Times New Roman" w:cs="Times New Roman"/>
        </w:rPr>
        <w:t xml:space="preserve">Apesar do crescente número de estudos sobre os efeitos dos ômega-3, os resultados clínicos ainda apresentam divergências quanto à magnitude dos benefícios cardiovasculares, especialmente em relação às diferentes formulações, doses utilizadas e perfis populacionais avaliados. Diante disso, torna-se relevante compreender de forma integrada os mecanismos de ação e os efeitos cardiometabólicos dos </w:t>
      </w:r>
      <w:proofErr w:type="spellStart"/>
      <w:r w:rsidRPr="00233B43">
        <w:rPr>
          <w:rFonts w:ascii="Times New Roman" w:hAnsi="Times New Roman" w:cs="Times New Roman"/>
        </w:rPr>
        <w:t>PUFAs</w:t>
      </w:r>
      <w:proofErr w:type="spellEnd"/>
      <w:r w:rsidRPr="00233B43">
        <w:rPr>
          <w:rFonts w:ascii="Times New Roman" w:hAnsi="Times New Roman" w:cs="Times New Roman"/>
        </w:rPr>
        <w:t xml:space="preserve"> n-3 em humanos.</w:t>
      </w:r>
    </w:p>
    <w:p w14:paraId="65AE5C2B" w14:textId="246D9522" w:rsidR="00DD56DF" w:rsidRPr="006978DC" w:rsidRDefault="00233B43" w:rsidP="00233B43">
      <w:pPr>
        <w:spacing w:after="0"/>
        <w:ind w:firstLine="709"/>
        <w:jc w:val="both"/>
        <w:rPr>
          <w:rFonts w:ascii="Times New Roman" w:hAnsi="Times New Roman" w:cs="Times New Roman"/>
        </w:rPr>
      </w:pPr>
      <w:r w:rsidRPr="00233B43">
        <w:rPr>
          <w:rFonts w:ascii="Times New Roman" w:hAnsi="Times New Roman" w:cs="Times New Roman"/>
        </w:rPr>
        <w:t>Assim, o presente estudo objetivou analisar as evidências científicas sobre os mecanismos de ação, os efeitos metabólicos e o papel cardioprotetor dos ácidos graxos poli-insaturados ômega-3, destacando sua relevância na prevenção e controle das doenças cardiometabólicas.</w:t>
      </w:r>
    </w:p>
    <w:p w14:paraId="2BEBEB46" w14:textId="77777777" w:rsidR="002A0783" w:rsidRPr="006978DC" w:rsidRDefault="002A0783">
      <w:pPr>
        <w:spacing w:after="0" w:line="240" w:lineRule="auto"/>
        <w:rPr>
          <w:rFonts w:ascii="Times New Roman" w:eastAsia="Calibri" w:hAnsi="Times New Roman" w:cs="Times New Roman"/>
          <w:color w:val="17365D"/>
        </w:rPr>
      </w:pPr>
    </w:p>
    <w:p w14:paraId="7CA6FD39" w14:textId="005315FF" w:rsidR="00CA13B9" w:rsidRDefault="00CA13B9" w:rsidP="002B7EE5">
      <w:pPr>
        <w:spacing w:after="0"/>
        <w:jc w:val="both"/>
        <w:rPr>
          <w:rFonts w:ascii="Times New Roman" w:hAnsi="Times New Roman" w:cs="Times New Roman"/>
          <w:b/>
          <w:bCs/>
        </w:rPr>
      </w:pPr>
      <w:r w:rsidRPr="006978DC">
        <w:rPr>
          <w:rFonts w:ascii="Times New Roman" w:hAnsi="Times New Roman" w:cs="Times New Roman"/>
          <w:b/>
          <w:bCs/>
        </w:rPr>
        <w:t>M</w:t>
      </w:r>
      <w:r w:rsidR="009630AD" w:rsidRPr="006978DC">
        <w:rPr>
          <w:rFonts w:ascii="Times New Roman" w:hAnsi="Times New Roman" w:cs="Times New Roman"/>
          <w:b/>
          <w:bCs/>
        </w:rPr>
        <w:t>E</w:t>
      </w:r>
      <w:r w:rsidRPr="006978DC">
        <w:rPr>
          <w:rFonts w:ascii="Times New Roman" w:hAnsi="Times New Roman" w:cs="Times New Roman"/>
          <w:b/>
          <w:bCs/>
        </w:rPr>
        <w:t>TODO</w:t>
      </w:r>
      <w:r w:rsidR="009630AD" w:rsidRPr="006978DC">
        <w:rPr>
          <w:rFonts w:ascii="Times New Roman" w:hAnsi="Times New Roman" w:cs="Times New Roman"/>
          <w:b/>
          <w:bCs/>
        </w:rPr>
        <w:t>LOGIA</w:t>
      </w:r>
    </w:p>
    <w:p w14:paraId="4DFD29BA" w14:textId="77777777" w:rsidR="002B7EE5" w:rsidRPr="006978DC" w:rsidRDefault="002B7EE5" w:rsidP="002B7EE5">
      <w:pPr>
        <w:spacing w:after="0"/>
        <w:jc w:val="both"/>
        <w:rPr>
          <w:rFonts w:ascii="Times New Roman" w:hAnsi="Times New Roman" w:cs="Times New Roman"/>
          <w:b/>
          <w:bCs/>
        </w:rPr>
      </w:pPr>
    </w:p>
    <w:p w14:paraId="206B1EE9" w14:textId="77777777" w:rsidR="00CC0B62" w:rsidRPr="00CC0B62" w:rsidRDefault="00CA13B9" w:rsidP="00CC0B62">
      <w:pPr>
        <w:spacing w:after="0"/>
        <w:ind w:firstLine="708"/>
        <w:jc w:val="both"/>
        <w:rPr>
          <w:rFonts w:ascii="Times New Roman" w:hAnsi="Times New Roman" w:cs="Times New Roman"/>
        </w:rPr>
      </w:pPr>
      <w:r w:rsidRPr="006978DC">
        <w:rPr>
          <w:rFonts w:ascii="Times New Roman" w:hAnsi="Times New Roman" w:cs="Times New Roman"/>
        </w:rPr>
        <w:t xml:space="preserve">Este </w:t>
      </w:r>
      <w:r w:rsidR="00CC0B62" w:rsidRPr="00CC0B62">
        <w:rPr>
          <w:rFonts w:ascii="Times New Roman" w:hAnsi="Times New Roman" w:cs="Times New Roman"/>
        </w:rPr>
        <w:t>Trabalho de Conclusão de Curso caracteriza-se como uma revisão narrativa da literatura com busca estruturada, desenvolvida com o objetivo de reunir, analisar e discutir as principais evidências científicas disponíveis sobre os efeitos cardiometabólicos dos ácidos graxos poli-insaturados da série ômega-3 (</w:t>
      </w:r>
      <w:proofErr w:type="spellStart"/>
      <w:r w:rsidR="00CC0B62" w:rsidRPr="00CC0B62">
        <w:rPr>
          <w:rFonts w:ascii="Times New Roman" w:hAnsi="Times New Roman" w:cs="Times New Roman"/>
        </w:rPr>
        <w:t>PUFAs</w:t>
      </w:r>
      <w:proofErr w:type="spellEnd"/>
      <w:r w:rsidR="00CC0B62" w:rsidRPr="00CC0B62">
        <w:rPr>
          <w:rFonts w:ascii="Times New Roman" w:hAnsi="Times New Roman" w:cs="Times New Roman"/>
        </w:rPr>
        <w:t xml:space="preserve"> n-3) e seus mecanismos relacionados aos processos inflamatórios, oxidativos e metabólicos.</w:t>
      </w:r>
    </w:p>
    <w:p w14:paraId="488D8F5C" w14:textId="71202053" w:rsidR="00CC0B62" w:rsidRPr="00CC0B62" w:rsidRDefault="686CAB09" w:rsidP="00CC0B62">
      <w:pPr>
        <w:spacing w:after="0"/>
        <w:ind w:firstLine="708"/>
        <w:jc w:val="both"/>
        <w:rPr>
          <w:rFonts w:ascii="Times New Roman" w:hAnsi="Times New Roman" w:cs="Times New Roman"/>
        </w:rPr>
      </w:pPr>
      <w:r w:rsidRPr="686CAB09">
        <w:rPr>
          <w:rFonts w:ascii="Times New Roman" w:hAnsi="Times New Roman" w:cs="Times New Roman"/>
        </w:rPr>
        <w:t xml:space="preserve">A busca dos estudos foi realizada entre os meses de setembro de 2025 a abril de 2026 nas bases de dados </w:t>
      </w:r>
      <w:proofErr w:type="spellStart"/>
      <w:r w:rsidRPr="686CAB09">
        <w:rPr>
          <w:rFonts w:ascii="Times New Roman" w:hAnsi="Times New Roman" w:cs="Times New Roman"/>
        </w:rPr>
        <w:t>PubMed</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Scientific</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Electronic</w:t>
      </w:r>
      <w:proofErr w:type="spellEnd"/>
      <w:r w:rsidRPr="686CAB09">
        <w:rPr>
          <w:rFonts w:ascii="Times New Roman" w:hAnsi="Times New Roman" w:cs="Times New Roman"/>
        </w:rPr>
        <w:t xml:space="preserve"> Library Online (SciELO) e LILACS/BIREME. Foram utilizados descritores indexados nos Descritores em Ciências da Saúde (</w:t>
      </w:r>
      <w:proofErr w:type="spellStart"/>
      <w:r w:rsidRPr="686CAB09">
        <w:rPr>
          <w:rFonts w:ascii="Times New Roman" w:hAnsi="Times New Roman" w:cs="Times New Roman"/>
        </w:rPr>
        <w:t>DeCS</w:t>
      </w:r>
      <w:proofErr w:type="spellEnd"/>
      <w:r w:rsidRPr="686CAB09">
        <w:rPr>
          <w:rFonts w:ascii="Times New Roman" w:hAnsi="Times New Roman" w:cs="Times New Roman"/>
        </w:rPr>
        <w:t xml:space="preserve">) e Medical </w:t>
      </w:r>
      <w:proofErr w:type="spellStart"/>
      <w:r w:rsidRPr="686CAB09">
        <w:rPr>
          <w:rFonts w:ascii="Times New Roman" w:hAnsi="Times New Roman" w:cs="Times New Roman"/>
        </w:rPr>
        <w:t>Subject</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Headings</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MeSH</w:t>
      </w:r>
      <w:proofErr w:type="spellEnd"/>
      <w:r w:rsidRPr="686CAB09">
        <w:rPr>
          <w:rFonts w:ascii="Times New Roman" w:hAnsi="Times New Roman" w:cs="Times New Roman"/>
        </w:rPr>
        <w:t xml:space="preserve">), combinados pelos operadores booleanos AND e OR, incluindo os termos: “omega-3 </w:t>
      </w:r>
      <w:proofErr w:type="spellStart"/>
      <w:r w:rsidRPr="686CAB09">
        <w:rPr>
          <w:rFonts w:ascii="Times New Roman" w:hAnsi="Times New Roman" w:cs="Times New Roman"/>
        </w:rPr>
        <w:t>fatty</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acids</w:t>
      </w:r>
      <w:proofErr w:type="spellEnd"/>
      <w:r w:rsidRPr="686CAB09">
        <w:rPr>
          <w:rFonts w:ascii="Times New Roman" w:hAnsi="Times New Roman" w:cs="Times New Roman"/>
        </w:rPr>
        <w:t>”, “</w:t>
      </w:r>
      <w:proofErr w:type="spellStart"/>
      <w:r w:rsidRPr="686CAB09">
        <w:rPr>
          <w:rFonts w:ascii="Times New Roman" w:hAnsi="Times New Roman" w:cs="Times New Roman"/>
        </w:rPr>
        <w:t>polyunsaturated</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fatty</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acids</w:t>
      </w:r>
      <w:proofErr w:type="spellEnd"/>
      <w:r w:rsidRPr="686CAB09">
        <w:rPr>
          <w:rFonts w:ascii="Times New Roman" w:hAnsi="Times New Roman" w:cs="Times New Roman"/>
        </w:rPr>
        <w:t xml:space="preserve">”, “cardiovascular </w:t>
      </w:r>
      <w:proofErr w:type="spellStart"/>
      <w:r w:rsidRPr="686CAB09">
        <w:rPr>
          <w:rFonts w:ascii="Times New Roman" w:hAnsi="Times New Roman" w:cs="Times New Roman"/>
        </w:rPr>
        <w:t>risk</w:t>
      </w:r>
      <w:proofErr w:type="spellEnd"/>
      <w:r w:rsidRPr="686CAB09">
        <w:rPr>
          <w:rFonts w:ascii="Times New Roman" w:hAnsi="Times New Roman" w:cs="Times New Roman"/>
        </w:rPr>
        <w:t>”, “</w:t>
      </w:r>
      <w:proofErr w:type="spellStart"/>
      <w:r w:rsidRPr="686CAB09">
        <w:rPr>
          <w:rFonts w:ascii="Times New Roman" w:hAnsi="Times New Roman" w:cs="Times New Roman"/>
        </w:rPr>
        <w:t>clinical</w:t>
      </w:r>
      <w:proofErr w:type="spellEnd"/>
      <w:r w:rsidRPr="686CAB09">
        <w:rPr>
          <w:rFonts w:ascii="Times New Roman" w:hAnsi="Times New Roman" w:cs="Times New Roman"/>
        </w:rPr>
        <w:t xml:space="preserve"> </w:t>
      </w:r>
      <w:proofErr w:type="spellStart"/>
      <w:r w:rsidRPr="686CAB09">
        <w:rPr>
          <w:rFonts w:ascii="Times New Roman" w:hAnsi="Times New Roman" w:cs="Times New Roman"/>
        </w:rPr>
        <w:t>trial</w:t>
      </w:r>
      <w:proofErr w:type="spellEnd"/>
      <w:r w:rsidRPr="686CAB09">
        <w:rPr>
          <w:rFonts w:ascii="Times New Roman" w:hAnsi="Times New Roman" w:cs="Times New Roman"/>
        </w:rPr>
        <w:t>”, “</w:t>
      </w:r>
      <w:proofErr w:type="spellStart"/>
      <w:r w:rsidRPr="686CAB09">
        <w:rPr>
          <w:rFonts w:ascii="Times New Roman" w:hAnsi="Times New Roman" w:cs="Times New Roman"/>
        </w:rPr>
        <w:t>inflammation</w:t>
      </w:r>
      <w:proofErr w:type="spellEnd"/>
      <w:r w:rsidRPr="686CAB09">
        <w:rPr>
          <w:rFonts w:ascii="Times New Roman" w:hAnsi="Times New Roman" w:cs="Times New Roman"/>
        </w:rPr>
        <w:t>”, “</w:t>
      </w:r>
      <w:proofErr w:type="spellStart"/>
      <w:r w:rsidRPr="686CAB09">
        <w:rPr>
          <w:rFonts w:ascii="Times New Roman" w:hAnsi="Times New Roman" w:cs="Times New Roman"/>
        </w:rPr>
        <w:t>oxidative</w:t>
      </w:r>
      <w:proofErr w:type="spellEnd"/>
      <w:r w:rsidRPr="686CAB09">
        <w:rPr>
          <w:rFonts w:ascii="Times New Roman" w:hAnsi="Times New Roman" w:cs="Times New Roman"/>
        </w:rPr>
        <w:t xml:space="preserve"> stress” e “</w:t>
      </w:r>
      <w:proofErr w:type="spellStart"/>
      <w:r w:rsidRPr="686CAB09">
        <w:rPr>
          <w:rFonts w:ascii="Times New Roman" w:hAnsi="Times New Roman" w:cs="Times New Roman"/>
        </w:rPr>
        <w:t>atherosclerosis</w:t>
      </w:r>
      <w:proofErr w:type="spellEnd"/>
      <w:r w:rsidRPr="686CAB09">
        <w:rPr>
          <w:rFonts w:ascii="Times New Roman" w:hAnsi="Times New Roman" w:cs="Times New Roman"/>
        </w:rPr>
        <w:t>”.</w:t>
      </w:r>
    </w:p>
    <w:p w14:paraId="79C19788" w14:textId="77777777" w:rsidR="00CC0B62" w:rsidRPr="00CC0B62" w:rsidRDefault="00CC0B62" w:rsidP="00CC0B62">
      <w:pPr>
        <w:spacing w:after="0"/>
        <w:ind w:firstLine="708"/>
        <w:jc w:val="both"/>
        <w:rPr>
          <w:rFonts w:ascii="Times New Roman" w:hAnsi="Times New Roman" w:cs="Times New Roman"/>
        </w:rPr>
      </w:pPr>
      <w:r w:rsidRPr="00CC0B62">
        <w:rPr>
          <w:rFonts w:ascii="Times New Roman" w:hAnsi="Times New Roman" w:cs="Times New Roman"/>
        </w:rPr>
        <w:t xml:space="preserve">O recorte temporal foi definido com o objetivo de reunir evidências clínicas mais recentes sobre os efeitos cardiometabólicos dos ômega-3. Foram </w:t>
      </w:r>
      <w:r w:rsidRPr="00CC0B62">
        <w:rPr>
          <w:rFonts w:ascii="Times New Roman" w:hAnsi="Times New Roman" w:cs="Times New Roman"/>
        </w:rPr>
        <w:lastRenderedPageBreak/>
        <w:t>incluídos ensaios clínicos originais realizados em humanos, publicados entre 2017 e 2023, disponíveis na íntegra nos idiomas inglês ou português e relacionados diretamente aos efeitos cardiometabólicos dos ômega-3, incluindo marcadores lipídicos, inflamatórios e desfechos cardiovasculares. Foram excluídos estudos duplicados, artigos que não apresentavam relação direta com o tema, estudos experimentais em animais, revisões da literatura e trabalhos com informações incompletas.</w:t>
      </w:r>
    </w:p>
    <w:p w14:paraId="12DF37D1" w14:textId="42885F68" w:rsidR="00CC0B62" w:rsidRPr="00CC0B62" w:rsidRDefault="00CC0B62" w:rsidP="00CC0B62">
      <w:pPr>
        <w:spacing w:after="0"/>
        <w:ind w:firstLine="708"/>
        <w:jc w:val="both"/>
        <w:rPr>
          <w:rFonts w:ascii="Times New Roman" w:hAnsi="Times New Roman" w:cs="Times New Roman"/>
        </w:rPr>
      </w:pPr>
      <w:r w:rsidRPr="00CC0B62">
        <w:rPr>
          <w:rFonts w:ascii="Times New Roman" w:hAnsi="Times New Roman" w:cs="Times New Roman"/>
        </w:rPr>
        <w:t>A seleção dos estudos ocorreu inicialmente pela leitura dos títulos e resumos, seguida da leitura completa dos artigos potencialmente elegíveis. Após a aplicação dos critérios de inclusão e exclusão, os estudos selecionados foram organizados conforme abordagem temática</w:t>
      </w:r>
      <w:r w:rsidR="007670A5">
        <w:rPr>
          <w:rFonts w:ascii="Times New Roman" w:hAnsi="Times New Roman" w:cs="Times New Roman"/>
        </w:rPr>
        <w:t xml:space="preserve"> (Figura 1)</w:t>
      </w:r>
      <w:r w:rsidRPr="00CC0B62">
        <w:rPr>
          <w:rFonts w:ascii="Times New Roman" w:hAnsi="Times New Roman" w:cs="Times New Roman"/>
        </w:rPr>
        <w:t xml:space="preserve">, contemplando: (a) mecanismos de ação e biodisponibilidade dos </w:t>
      </w:r>
      <w:proofErr w:type="spellStart"/>
      <w:r w:rsidRPr="00CC0B62">
        <w:rPr>
          <w:rFonts w:ascii="Times New Roman" w:hAnsi="Times New Roman" w:cs="Times New Roman"/>
        </w:rPr>
        <w:t>PUFAs</w:t>
      </w:r>
      <w:proofErr w:type="spellEnd"/>
      <w:r w:rsidRPr="00CC0B62">
        <w:rPr>
          <w:rFonts w:ascii="Times New Roman" w:hAnsi="Times New Roman" w:cs="Times New Roman"/>
        </w:rPr>
        <w:t xml:space="preserve"> n-3; (b) efeitos anti-inflamatórios e antioxidantes; (c) efeitos cardiometabólicos; e (d) evidências clínicas relacionadas à prevenção e redução de eventos cardiovasculares.</w:t>
      </w:r>
    </w:p>
    <w:p w14:paraId="60EB27C1" w14:textId="186D06B3" w:rsidR="00CA13B9" w:rsidRPr="006978DC" w:rsidRDefault="00CC0B62" w:rsidP="00CC0B62">
      <w:pPr>
        <w:spacing w:after="0"/>
        <w:ind w:firstLine="708"/>
        <w:jc w:val="both"/>
        <w:rPr>
          <w:rFonts w:ascii="Times New Roman" w:hAnsi="Times New Roman" w:cs="Times New Roman"/>
        </w:rPr>
      </w:pPr>
      <w:r w:rsidRPr="00CC0B62">
        <w:rPr>
          <w:rFonts w:ascii="Times New Roman" w:hAnsi="Times New Roman" w:cs="Times New Roman"/>
        </w:rPr>
        <w:t xml:space="preserve">As informações obtidas foram analisadas de forma descritiva, comparativa e crítica, permitindo análise integrada, comparação dos achados e identificação das convergências e divergências entre os estudos incluídos, possibilitando a síntese dos principais resultados relacionados ao potencial terapêutico dos </w:t>
      </w:r>
      <w:proofErr w:type="spellStart"/>
      <w:r w:rsidRPr="00CC0B62">
        <w:rPr>
          <w:rFonts w:ascii="Times New Roman" w:hAnsi="Times New Roman" w:cs="Times New Roman"/>
        </w:rPr>
        <w:t>PUFAs</w:t>
      </w:r>
      <w:proofErr w:type="spellEnd"/>
      <w:r w:rsidRPr="00CC0B62">
        <w:rPr>
          <w:rFonts w:ascii="Times New Roman" w:hAnsi="Times New Roman" w:cs="Times New Roman"/>
        </w:rPr>
        <w:t xml:space="preserve"> n-3 na prevenção e controle das doenças cardiovasculares.</w:t>
      </w:r>
    </w:p>
    <w:p w14:paraId="21BFDB16" w14:textId="390F2928" w:rsidR="00D3702E" w:rsidRPr="006978DC" w:rsidRDefault="0042147E" w:rsidP="00914045">
      <w:pPr>
        <w:spacing w:after="0" w:line="240" w:lineRule="auto"/>
        <w:rPr>
          <w:rFonts w:ascii="Times New Roman" w:eastAsia="Calibri" w:hAnsi="Times New Roman" w:cs="Times New Roman"/>
          <w:color w:val="17365D"/>
        </w:rPr>
      </w:pPr>
      <w:r>
        <w:rPr>
          <w:rFonts w:ascii="Times New Roman" w:eastAsia="Calibri" w:hAnsi="Times New Roman" w:cs="Times New Roman"/>
          <w:noProof/>
          <w:color w:val="17365D"/>
        </w:rPr>
        <w:lastRenderedPageBreak/>
        <w:drawing>
          <wp:inline distT="0" distB="0" distL="0" distR="0" wp14:anchorId="7F66E6EA" wp14:editId="5F3217AD">
            <wp:extent cx="5429250" cy="3998595"/>
            <wp:effectExtent l="0" t="0" r="0" b="1905"/>
            <wp:docPr id="135727412" name="Imagem 1">
              <a:extLst xmlns:a="http://schemas.openxmlformats.org/drawingml/2006/main">
                <a:ext uri="{FF2B5EF4-FFF2-40B4-BE49-F238E27FC236}">
                  <a16:creationId xmlns:a16="http://schemas.microsoft.com/office/drawing/2014/main" id="{39F38840-CC62-47FC-B9CA-331EA98F4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7412" name="Imagem 135727412"/>
                    <pic:cNvPicPr/>
                  </pic:nvPicPr>
                  <pic:blipFill>
                    <a:blip r:embed="rId5">
                      <a:extLst>
                        <a:ext uri="{28A0092B-C50C-407E-A947-70E740481C1C}">
                          <a14:useLocalDpi xmlns:a14="http://schemas.microsoft.com/office/drawing/2010/main" val="0"/>
                        </a:ext>
                      </a:extLst>
                    </a:blip>
                    <a:stretch>
                      <a:fillRect/>
                    </a:stretch>
                  </pic:blipFill>
                  <pic:spPr>
                    <a:xfrm>
                      <a:off x="0" y="0"/>
                      <a:ext cx="5461473" cy="4022327"/>
                    </a:xfrm>
                    <a:prstGeom prst="rect">
                      <a:avLst/>
                    </a:prstGeom>
                  </pic:spPr>
                </pic:pic>
              </a:graphicData>
            </a:graphic>
          </wp:inline>
        </w:drawing>
      </w:r>
    </w:p>
    <w:p w14:paraId="083A8CF7" w14:textId="420DF5DD" w:rsidR="00CB3C27" w:rsidRDefault="007670A5" w:rsidP="00E03DEC">
      <w:pPr>
        <w:rPr>
          <w:rFonts w:ascii="Times New Roman" w:hAnsi="Times New Roman" w:cs="Times New Roman"/>
        </w:rPr>
      </w:pPr>
      <w:r>
        <w:rPr>
          <w:rFonts w:ascii="Times New Roman" w:hAnsi="Times New Roman" w:cs="Times New Roman"/>
        </w:rPr>
        <w:t>Figura 1. Processo de seleção dos artigos do estudo.</w:t>
      </w:r>
    </w:p>
    <w:p w14:paraId="78FB69FB" w14:textId="77777777" w:rsidR="007670A5" w:rsidRPr="006978DC" w:rsidRDefault="007670A5" w:rsidP="00E03DEC">
      <w:pPr>
        <w:rPr>
          <w:rFonts w:ascii="Times New Roman" w:hAnsi="Times New Roman" w:cs="Times New Roman"/>
        </w:rPr>
      </w:pPr>
    </w:p>
    <w:p w14:paraId="1975B5D5" w14:textId="636116E4" w:rsidR="00E03DEC" w:rsidRPr="006978DC" w:rsidRDefault="00630A7D" w:rsidP="00E03DEC">
      <w:pPr>
        <w:rPr>
          <w:rFonts w:ascii="Times New Roman" w:hAnsi="Times New Roman" w:cs="Times New Roman"/>
        </w:rPr>
      </w:pPr>
      <w:r>
        <w:rPr>
          <w:rFonts w:ascii="Times New Roman" w:hAnsi="Times New Roman" w:cs="Times New Roman"/>
        </w:rPr>
        <w:t>RESULTADOS</w:t>
      </w:r>
    </w:p>
    <w:p w14:paraId="081CCF28" w14:textId="77777777" w:rsidR="00E03DEC" w:rsidRPr="006978DC" w:rsidRDefault="00E03DEC" w:rsidP="00E03DEC">
      <w:pPr>
        <w:rPr>
          <w:rFonts w:ascii="Times New Roman" w:hAnsi="Times New Roman" w:cs="Times New Roman"/>
        </w:rPr>
      </w:pPr>
    </w:p>
    <w:p w14:paraId="23949D7C" w14:textId="4DADE5D5" w:rsidR="00EB0F7C" w:rsidRPr="00A14F1B" w:rsidRDefault="00A14F1B" w:rsidP="00505A2B">
      <w:pPr>
        <w:ind w:firstLine="282"/>
        <w:rPr>
          <w:rFonts w:ascii="Times New Roman" w:hAnsi="Times New Roman" w:cs="Times New Roman"/>
        </w:rPr>
      </w:pPr>
      <w:r w:rsidRPr="00A14F1B">
        <w:rPr>
          <w:rFonts w:ascii="Times New Roman" w:hAnsi="Times New Roman" w:cs="Times New Roman"/>
        </w:rPr>
        <w:t xml:space="preserve">Os principais achados dos estudos incluídos estão apresentados no Quadro 1, que sintetiza as características metodológicas e os desfechos observados nos ensaios clínicos selecionados. Os estudos avaliaram os efeitos da suplementação com ácidos graxos ômega-3, incluindo EPA isolado e combinações de EPA+DHA, sobre diferentes desfechos cardiometabólicos, como eventos cardiovasculares maiores, progressão da aterosclerose coronária, calcificação arterial, perfil lipídico e lipoproteico, marcadores inflamatórios, composição corporal, índice ômega-3 e modulação de células regenerativas vasculares. As populações avaliadas incluíram indivíduos com hipertrigliceridemia em uso de estatinas, pacientes com doença cardiovascular estabelecida, indivíduos de alto risco </w:t>
      </w:r>
      <w:r w:rsidRPr="00A14F1B">
        <w:rPr>
          <w:rFonts w:ascii="Times New Roman" w:hAnsi="Times New Roman" w:cs="Times New Roman"/>
        </w:rPr>
        <w:lastRenderedPageBreak/>
        <w:t>cardiovascular, pacientes com diabetes mellitus, idosos pós-infarto, além de adultos jovens e indivíduos saudáveis.</w:t>
      </w:r>
    </w:p>
    <w:p w14:paraId="1B2D825E" w14:textId="77777777" w:rsidR="00A14F1B" w:rsidRPr="00A14F1B" w:rsidRDefault="00A14F1B" w:rsidP="00E27DDB">
      <w:pPr>
        <w:ind w:firstLine="282"/>
        <w:rPr>
          <w:rFonts w:ascii="Times New Roman" w:hAnsi="Times New Roman" w:cs="Times New Roman"/>
        </w:rPr>
      </w:pPr>
      <w:r w:rsidRPr="00A14F1B">
        <w:rPr>
          <w:rFonts w:ascii="Times New Roman" w:hAnsi="Times New Roman" w:cs="Times New Roman"/>
        </w:rPr>
        <w:t>A amostra total dos estudos ultrapassou 60.000 participantes, com predominância de indivíduos acima de 50 anos, variando desde adultos jovens até idosos com idade superior a 80 anos. Em relação às intervenções, a maioria dos ensaios utilizou doses de 4 g/dia de ômega-3, embora também tenham sido observadas intervenções com 1 g/dia, 1,2 g/dia, 1,8 g/dia, 2 g/dia e 3 g/dia. Quanto à composição dos suplementos, parte dos estudos utilizou EPA isolado, enquanto outros utilizaram combinações de EPA e DHA.</w:t>
      </w:r>
    </w:p>
    <w:p w14:paraId="3BEEFD7B" w14:textId="77777777" w:rsidR="00A14F1B" w:rsidRPr="00A14F1B" w:rsidRDefault="00A14F1B" w:rsidP="00E27DDB">
      <w:pPr>
        <w:ind w:firstLine="282"/>
        <w:rPr>
          <w:rFonts w:ascii="Times New Roman" w:hAnsi="Times New Roman" w:cs="Times New Roman"/>
        </w:rPr>
      </w:pPr>
      <w:r w:rsidRPr="00A14F1B">
        <w:rPr>
          <w:rFonts w:ascii="Times New Roman" w:hAnsi="Times New Roman" w:cs="Times New Roman"/>
        </w:rPr>
        <w:t>A duração das intervenções apresentou ampla variação entre os estudos, incluindo períodos de curto prazo, com duração de 8, 12 e 16 semanas, estudos de médio prazo, com aproximadamente 6 meses, e ensaios de longo prazo, com acompanhamento de até 5 anos.</w:t>
      </w:r>
    </w:p>
    <w:p w14:paraId="4D081434" w14:textId="77777777" w:rsidR="00E27DDB" w:rsidRDefault="00A14F1B" w:rsidP="00E27DDB">
      <w:pPr>
        <w:spacing w:before="0" w:after="0"/>
        <w:ind w:firstLine="282"/>
        <w:rPr>
          <w:rFonts w:ascii="Times New Roman" w:hAnsi="Times New Roman" w:cs="Times New Roman"/>
        </w:rPr>
      </w:pPr>
      <w:r w:rsidRPr="00A14F1B">
        <w:rPr>
          <w:rFonts w:ascii="Times New Roman" w:hAnsi="Times New Roman" w:cs="Times New Roman"/>
        </w:rPr>
        <w:t>Dos treze ensaios clínicos incluídos nesta revisão, sete apresentaram benefícios significativos em desfechos cardiometabólicos, cinco demonstraram efeitos limitados a marcadores intermediários ou ausência de diferença significativa em desfechos clínicos, e um estudo não evidenciou benefício significativo</w:t>
      </w:r>
      <w:r w:rsidR="00F67243">
        <w:rPr>
          <w:rFonts w:ascii="Times New Roman" w:hAnsi="Times New Roman" w:cs="Times New Roman"/>
          <w:vertAlign w:val="superscript"/>
        </w:rPr>
        <w:t>25</w:t>
      </w:r>
      <w:r w:rsidRPr="00A14F1B">
        <w:rPr>
          <w:rFonts w:ascii="Times New Roman" w:hAnsi="Times New Roman" w:cs="Times New Roman"/>
        </w:rPr>
        <w:t>. De modo geral, os estudos demonstraram redução dos níveis de triglicerídeos</w:t>
      </w:r>
      <w:r w:rsidR="002C11E9">
        <w:rPr>
          <w:rFonts w:ascii="Times New Roman" w:hAnsi="Times New Roman" w:cs="Times New Roman"/>
          <w:vertAlign w:val="superscript"/>
        </w:rPr>
        <w:t>26,27</w:t>
      </w:r>
      <w:r w:rsidRPr="00A14F1B">
        <w:rPr>
          <w:rFonts w:ascii="Times New Roman" w:hAnsi="Times New Roman" w:cs="Times New Roman"/>
        </w:rPr>
        <w:t>, melhora do perfil lipoproteico</w:t>
      </w:r>
      <w:r w:rsidR="009D447E">
        <w:rPr>
          <w:rFonts w:ascii="Times New Roman" w:hAnsi="Times New Roman" w:cs="Times New Roman"/>
          <w:vertAlign w:val="superscript"/>
        </w:rPr>
        <w:t>26</w:t>
      </w:r>
      <w:r w:rsidRPr="00A14F1B">
        <w:rPr>
          <w:rFonts w:ascii="Times New Roman" w:hAnsi="Times New Roman" w:cs="Times New Roman"/>
        </w:rPr>
        <w:t xml:space="preserve"> e modulação de marcadores inflamatórios</w:t>
      </w:r>
      <w:r w:rsidR="006C7C00">
        <w:rPr>
          <w:rFonts w:ascii="Times New Roman" w:hAnsi="Times New Roman" w:cs="Times New Roman"/>
          <w:vertAlign w:val="superscript"/>
        </w:rPr>
        <w:t>28,29</w:t>
      </w:r>
      <w:r w:rsidRPr="00A14F1B">
        <w:rPr>
          <w:rFonts w:ascii="Times New Roman" w:hAnsi="Times New Roman" w:cs="Times New Roman"/>
        </w:rPr>
        <w:t xml:space="preserve">. </w:t>
      </w:r>
    </w:p>
    <w:p w14:paraId="3A5FED16" w14:textId="5BF30BB3" w:rsidR="00E201AB" w:rsidRDefault="00A14F1B" w:rsidP="009948AC">
      <w:pPr>
        <w:spacing w:before="0" w:after="0"/>
        <w:ind w:firstLine="282"/>
        <w:rPr>
          <w:rFonts w:ascii="Times New Roman" w:hAnsi="Times New Roman" w:cs="Times New Roman"/>
        </w:rPr>
      </w:pPr>
      <w:r w:rsidRPr="00A14F1B">
        <w:rPr>
          <w:rFonts w:ascii="Times New Roman" w:hAnsi="Times New Roman" w:cs="Times New Roman"/>
        </w:rPr>
        <w:t>Também foram observados efeitos sobre a composição corporal</w:t>
      </w:r>
      <w:r w:rsidR="006C7C00">
        <w:rPr>
          <w:rFonts w:ascii="Times New Roman" w:hAnsi="Times New Roman" w:cs="Times New Roman"/>
          <w:vertAlign w:val="superscript"/>
        </w:rPr>
        <w:t>28</w:t>
      </w:r>
      <w:r w:rsidRPr="00A14F1B">
        <w:rPr>
          <w:rFonts w:ascii="Times New Roman" w:hAnsi="Times New Roman" w:cs="Times New Roman"/>
        </w:rPr>
        <w:t>, aumento do índice ômega-3</w:t>
      </w:r>
      <w:r w:rsidR="009C6855">
        <w:rPr>
          <w:rFonts w:ascii="Times New Roman" w:hAnsi="Times New Roman" w:cs="Times New Roman"/>
          <w:vertAlign w:val="superscript"/>
        </w:rPr>
        <w:t>30</w:t>
      </w:r>
      <w:r w:rsidRPr="00A14F1B">
        <w:rPr>
          <w:rFonts w:ascii="Times New Roman" w:hAnsi="Times New Roman" w:cs="Times New Roman"/>
        </w:rPr>
        <w:t xml:space="preserve"> e alterações em marcadores celulares relacionados à função vascular</w:t>
      </w:r>
      <w:r w:rsidR="00E87ECD">
        <w:rPr>
          <w:rFonts w:ascii="Times New Roman" w:hAnsi="Times New Roman" w:cs="Times New Roman"/>
          <w:vertAlign w:val="superscript"/>
        </w:rPr>
        <w:t>31</w:t>
      </w:r>
      <w:r w:rsidRPr="00A14F1B">
        <w:rPr>
          <w:rFonts w:ascii="Times New Roman" w:hAnsi="Times New Roman" w:cs="Times New Roman"/>
        </w:rPr>
        <w:t>. Em relação aos desfechos clínicos, parte dos estudos evidenciou redução de eventos cardiovasculares maiores e menor progressão da aterosclerose coronária.</w:t>
      </w:r>
      <w:r w:rsidR="003E6F23">
        <w:rPr>
          <w:rFonts w:ascii="Times New Roman" w:hAnsi="Times New Roman" w:cs="Times New Roman"/>
        </w:rPr>
        <w:t xml:space="preserve"> </w:t>
      </w:r>
      <w:r w:rsidR="00E03DEC" w:rsidRPr="006978DC">
        <w:rPr>
          <w:rFonts w:ascii="Times New Roman" w:hAnsi="Times New Roman" w:cs="Times New Roman"/>
        </w:rPr>
        <w:t>Além disso, foram observadas variações nos resultados conforme a dose administrada, a forma de apresentação dos ácidos graxos (EPA isolado ou combinação com DHA), o tempo de intervenção e as características das populações avaliadas.</w:t>
      </w:r>
    </w:p>
    <w:p w14:paraId="1B217B16" w14:textId="77777777" w:rsidR="00354242" w:rsidRPr="006978DC" w:rsidRDefault="00354242" w:rsidP="00E03DEC">
      <w:pPr>
        <w:rPr>
          <w:rFonts w:ascii="Times New Roman" w:hAnsi="Times New Roman" w:cs="Times New Roman"/>
        </w:rPr>
      </w:pPr>
    </w:p>
    <w:p w14:paraId="7750B85E" w14:textId="77777777" w:rsidR="0069537A" w:rsidRPr="006978DC" w:rsidRDefault="0069537A" w:rsidP="0069537A">
      <w:pPr>
        <w:rPr>
          <w:rFonts w:ascii="Times New Roman" w:hAnsi="Times New Roman" w:cs="Times New Roman"/>
        </w:rPr>
      </w:pPr>
      <w:r w:rsidRPr="006978DC">
        <w:rPr>
          <w:rFonts w:ascii="Times New Roman" w:hAnsi="Times New Roman" w:cs="Times New Roman"/>
        </w:rPr>
        <w:t xml:space="preserve">DISCUSSÃO </w:t>
      </w:r>
    </w:p>
    <w:p w14:paraId="09B3896B" w14:textId="4848655B" w:rsidR="0069537A" w:rsidRPr="006978DC" w:rsidRDefault="0069537A" w:rsidP="0069537A">
      <w:pPr>
        <w:rPr>
          <w:rFonts w:ascii="Times New Roman" w:hAnsi="Times New Roman" w:cs="Times New Roman"/>
        </w:rPr>
      </w:pPr>
    </w:p>
    <w:p w14:paraId="2B987CDA" w14:textId="2938696D" w:rsidR="002C59AB" w:rsidRPr="002C59AB" w:rsidRDefault="0092359A" w:rsidP="00E27DDB">
      <w:pPr>
        <w:ind w:firstLine="282"/>
        <w:rPr>
          <w:rFonts w:ascii="Times New Roman" w:hAnsi="Times New Roman" w:cs="Times New Roman"/>
        </w:rPr>
      </w:pPr>
      <w:r w:rsidRPr="006978DC">
        <w:rPr>
          <w:rFonts w:ascii="Times New Roman" w:hAnsi="Times New Roman" w:cs="Times New Roman"/>
        </w:rPr>
        <w:t xml:space="preserve">Os </w:t>
      </w:r>
      <w:r w:rsidR="002C59AB" w:rsidRPr="002C59AB">
        <w:rPr>
          <w:rFonts w:ascii="Times New Roman" w:hAnsi="Times New Roman" w:cs="Times New Roman"/>
        </w:rPr>
        <w:t>resultados desta revisão evidenciam que a suplementação com ácidos graxos poli-insaturados ômega-3 apresenta ações consistentes sobre parâmetros cardiometabólicos intermediários, especialmente na redução dos níveis de triglicerídeos e na modulação de processos inflamatórios, porém com impacto heterogêneo em desfechos clínicos. Estudos como os de</w:t>
      </w:r>
      <w:r w:rsidR="003F65A9">
        <w:rPr>
          <w:rFonts w:ascii="Times New Roman" w:hAnsi="Times New Roman" w:cs="Times New Roman"/>
          <w:vertAlign w:val="superscript"/>
        </w:rPr>
        <w:t>26,27</w:t>
      </w:r>
      <w:r w:rsidR="002C59AB" w:rsidRPr="002C59AB">
        <w:rPr>
          <w:rFonts w:ascii="Times New Roman" w:hAnsi="Times New Roman" w:cs="Times New Roman"/>
        </w:rPr>
        <w:t xml:space="preserve"> demonstraram reduções significativas nos níveis de triglicerídeos e alterações favoráveis no perfil lipídico, enquanto intervenções dietéticas e suplementações em populações saudáveis, como observado por</w:t>
      </w:r>
      <w:r w:rsidR="00AB39CE">
        <w:rPr>
          <w:rFonts w:ascii="Times New Roman" w:hAnsi="Times New Roman" w:cs="Times New Roman"/>
          <w:vertAlign w:val="superscript"/>
        </w:rPr>
        <w:t>30</w:t>
      </w:r>
      <w:r w:rsidR="002C59AB" w:rsidRPr="002C59AB">
        <w:rPr>
          <w:rFonts w:ascii="Times New Roman" w:hAnsi="Times New Roman" w:cs="Times New Roman"/>
        </w:rPr>
        <w:t>, evidenciaram predominantemente alterações bioquímicas, sem repercussão clínica direta.</w:t>
      </w:r>
    </w:p>
    <w:p w14:paraId="6263A55A" w14:textId="77777777" w:rsidR="00E27DDB" w:rsidRDefault="002C59AB" w:rsidP="00E27DDB">
      <w:pPr>
        <w:ind w:firstLine="282"/>
        <w:rPr>
          <w:rFonts w:ascii="Times New Roman" w:hAnsi="Times New Roman" w:cs="Times New Roman"/>
        </w:rPr>
      </w:pPr>
      <w:r w:rsidRPr="002C59AB">
        <w:rPr>
          <w:rFonts w:ascii="Times New Roman" w:hAnsi="Times New Roman" w:cs="Times New Roman"/>
        </w:rPr>
        <w:t>Um dos aspectos mais relevantes observados foi a diferença nas respostas conforme a composição dos ácidos graxos utilizados. Ensaios clínicos que utilizaram EPA isolado em doses elevadas demonstraram benefícios clínicos mais robustos. O estudo REDUCE-IT evidenciou redução significativa de eventos cardiovasculares maiores em pacientes com hipertrigliceridemia, enquanto o estudo EVAPORATE demonstrou redução da progressão de placas ateroscleróticas</w:t>
      </w:r>
      <w:r w:rsidR="005943A8">
        <w:rPr>
          <w:rFonts w:ascii="Times New Roman" w:hAnsi="Times New Roman" w:cs="Times New Roman"/>
          <w:vertAlign w:val="superscript"/>
        </w:rPr>
        <w:t>31,32</w:t>
      </w:r>
      <w:r w:rsidRPr="002C59AB">
        <w:rPr>
          <w:rFonts w:ascii="Times New Roman" w:hAnsi="Times New Roman" w:cs="Times New Roman"/>
        </w:rPr>
        <w:t>. Além disso, análises complementares, como o estudo conduzido por</w:t>
      </w:r>
      <w:r w:rsidR="005943A8">
        <w:rPr>
          <w:rFonts w:ascii="Times New Roman" w:hAnsi="Times New Roman" w:cs="Times New Roman"/>
          <w:vertAlign w:val="superscript"/>
        </w:rPr>
        <w:t>33</w:t>
      </w:r>
      <w:r w:rsidRPr="002C59AB">
        <w:rPr>
          <w:rFonts w:ascii="Times New Roman" w:hAnsi="Times New Roman" w:cs="Times New Roman"/>
        </w:rPr>
        <w:t xml:space="preserve">, reforçaram a eficácia do EPA em populações de alto risco, como pacientes submetidos à cirurgia de revascularização miocárdica. Em contrapartida, estudos que utilizaram combinações de EPA e DHA apresentaram resultados menos consistentes em relação aos desfechos clínicos. </w:t>
      </w:r>
    </w:p>
    <w:p w14:paraId="13FA88B8" w14:textId="49FBF7F1"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Ensaios como o VITAL e o STRENGTH não demonstraram redução significativa de eventos cardiovasculares, apesar de evidências de melhora em marcadores intermediário</w:t>
      </w:r>
      <w:r w:rsidR="00164EE0">
        <w:rPr>
          <w:rFonts w:ascii="Times New Roman" w:hAnsi="Times New Roman" w:cs="Times New Roman"/>
        </w:rPr>
        <w:t>s</w:t>
      </w:r>
      <w:r w:rsidR="00164EE0">
        <w:rPr>
          <w:rFonts w:ascii="Times New Roman" w:hAnsi="Times New Roman" w:cs="Times New Roman"/>
          <w:vertAlign w:val="superscript"/>
        </w:rPr>
        <w:t>25,34</w:t>
      </w:r>
      <w:r w:rsidRPr="002C59AB">
        <w:rPr>
          <w:rFonts w:ascii="Times New Roman" w:hAnsi="Times New Roman" w:cs="Times New Roman"/>
        </w:rPr>
        <w:t>. De forma semelhante, o estudo ASCEND, que utilizou doses mais baixas de ômega-3, não evidenciou benefício clínico significativo em pacientes diabéticos</w:t>
      </w:r>
      <w:r w:rsidR="005A1063">
        <w:rPr>
          <w:rFonts w:ascii="Times New Roman" w:hAnsi="Times New Roman" w:cs="Times New Roman"/>
          <w:vertAlign w:val="superscript"/>
        </w:rPr>
        <w:t>35</w:t>
      </w:r>
      <w:r w:rsidRPr="002C59AB">
        <w:rPr>
          <w:rFonts w:ascii="Times New Roman" w:hAnsi="Times New Roman" w:cs="Times New Roman"/>
        </w:rPr>
        <w:t>. Esses achados sugerem que tanto a composição quanto a dose do suplemento desempenham papel determinante na eficácia clínica, sendo possível que diferenças relacionadas à biodisponibilidade e às propriedades estruturais de EPA e DHA também contribuam para essas respostas distintas.</w:t>
      </w:r>
    </w:p>
    <w:p w14:paraId="0D5BC64D" w14:textId="334D0EBF"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lastRenderedPageBreak/>
        <w:t>A influência da dose e do tempo de intervenção também se destacou como fator crítico. Estudos que utilizaram doses elevadas, particularmente 4 g/dia de EPA, e com maior duração de acompanhamento apresentaram resultados mais expressivos, especialmente em indivíduos com alto risco cardiovascular</w:t>
      </w:r>
      <w:r w:rsidR="00293FC9">
        <w:rPr>
          <w:rFonts w:ascii="Times New Roman" w:hAnsi="Times New Roman" w:cs="Times New Roman"/>
          <w:vertAlign w:val="superscript"/>
        </w:rPr>
        <w:t>31,32</w:t>
      </w:r>
      <w:r w:rsidRPr="002C59AB">
        <w:rPr>
          <w:rFonts w:ascii="Times New Roman" w:hAnsi="Times New Roman" w:cs="Times New Roman"/>
        </w:rPr>
        <w:t>. Em contraste, intervenções com doses menores ou em populações de baixo risco demonstraram respostas limitadas, como observado no estudo de</w:t>
      </w:r>
      <w:r w:rsidR="00F27895">
        <w:rPr>
          <w:rFonts w:ascii="Times New Roman" w:hAnsi="Times New Roman" w:cs="Times New Roman"/>
          <w:vertAlign w:val="superscript"/>
        </w:rPr>
        <w:t>30</w:t>
      </w:r>
      <w:r w:rsidRPr="002C59AB">
        <w:rPr>
          <w:rFonts w:ascii="Times New Roman" w:hAnsi="Times New Roman" w:cs="Times New Roman"/>
        </w:rPr>
        <w:t xml:space="preserve">, indicando que os benefícios dos ômega-3 </w:t>
      </w:r>
      <w:r w:rsidR="00BD600A">
        <w:rPr>
          <w:rFonts w:ascii="Times New Roman" w:hAnsi="Times New Roman" w:cs="Times New Roman"/>
        </w:rPr>
        <w:t xml:space="preserve">são </w:t>
      </w:r>
      <w:r w:rsidRPr="002C59AB">
        <w:rPr>
          <w:rFonts w:ascii="Times New Roman" w:hAnsi="Times New Roman" w:cs="Times New Roman"/>
        </w:rPr>
        <w:t>dependentes do risco basal e da intensidade da intervenção.</w:t>
      </w:r>
    </w:p>
    <w:p w14:paraId="14D32814" w14:textId="5369E4BD"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Do ponto de vista fisiopatológico, os resultados sugerem que as ações cardiometabólicas dos ômega-3 estão relacionadas à atuação em múltiplas vias metabólicas e vasculares. EPA e DHA contribuem para redução da síntese hepática de triglicerídeos por meio da inibição da lipogênese e aumento da β-oxidação de ácidos graxos, reduzindo a produção de lipoproteínas de muito baixa densidade (VLDL) e promovendo melhora do perfil lipídico plasmático, conforme observado nos estudos de</w:t>
      </w:r>
      <w:r w:rsidR="0085286F">
        <w:rPr>
          <w:rFonts w:ascii="Times New Roman" w:hAnsi="Times New Roman" w:cs="Times New Roman"/>
          <w:vertAlign w:val="superscript"/>
        </w:rPr>
        <w:t>26</w:t>
      </w:r>
      <w:r w:rsidR="003E1BC2">
        <w:rPr>
          <w:rFonts w:ascii="Times New Roman" w:hAnsi="Times New Roman" w:cs="Times New Roman"/>
          <w:vertAlign w:val="superscript"/>
        </w:rPr>
        <w:t>,27</w:t>
      </w:r>
      <w:r w:rsidRPr="002C59AB">
        <w:rPr>
          <w:rFonts w:ascii="Times New Roman" w:hAnsi="Times New Roman" w:cs="Times New Roman"/>
        </w:rPr>
        <w:t>. Além disso, esses ácidos graxos exercem importante ação anti-inflamatória, associada à modulação de citocinas pró-inflamatórias e à produção de mediadores especializados pró-resolução, o que pode justificar a melhora de marcadores inflamatórios identificada por</w:t>
      </w:r>
      <w:r w:rsidR="00E17249">
        <w:rPr>
          <w:rFonts w:ascii="Times New Roman" w:hAnsi="Times New Roman" w:cs="Times New Roman"/>
          <w:vertAlign w:val="superscript"/>
        </w:rPr>
        <w:t>28</w:t>
      </w:r>
      <w:r w:rsidR="00FF0F26">
        <w:rPr>
          <w:rFonts w:ascii="Times New Roman" w:hAnsi="Times New Roman" w:cs="Times New Roman"/>
          <w:vertAlign w:val="superscript"/>
        </w:rPr>
        <w:t>,29</w:t>
      </w:r>
      <w:r w:rsidRPr="002C59AB">
        <w:rPr>
          <w:rFonts w:ascii="Times New Roman" w:hAnsi="Times New Roman" w:cs="Times New Roman"/>
        </w:rPr>
        <w:t>.</w:t>
      </w:r>
    </w:p>
    <w:p w14:paraId="03B55246" w14:textId="59858C64"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Outro mecanismo relevante envolve a melhora da função endotelial e da estabilidade vascular. Evidências apontam que os ômega-3 promovem aumento da biodisponibilidade de óxido nítrico, redução do estresse oxidativo e melhora da fluidez das membranas celulares, favorecendo a função vascular e reduzindo processos aterogênicos. Esses mecanismos podem explicar os achados do estudo EVAPORATE, no qual houve menor progressão da placa aterosclerótica com uso de EPA</w:t>
      </w:r>
      <w:r w:rsidR="009847A4">
        <w:rPr>
          <w:rFonts w:ascii="Times New Roman" w:hAnsi="Times New Roman" w:cs="Times New Roman"/>
          <w:vertAlign w:val="superscript"/>
        </w:rPr>
        <w:t>32</w:t>
      </w:r>
      <w:r w:rsidRPr="002C59AB">
        <w:rPr>
          <w:rFonts w:ascii="Times New Roman" w:hAnsi="Times New Roman" w:cs="Times New Roman"/>
        </w:rPr>
        <w:t>, bem como os resultados observados por</w:t>
      </w:r>
      <w:r w:rsidR="00A5621C">
        <w:rPr>
          <w:rFonts w:ascii="Times New Roman" w:hAnsi="Times New Roman" w:cs="Times New Roman"/>
          <w:vertAlign w:val="superscript"/>
        </w:rPr>
        <w:t>3</w:t>
      </w:r>
      <w:r w:rsidR="00A9123E">
        <w:rPr>
          <w:rFonts w:ascii="Times New Roman" w:hAnsi="Times New Roman" w:cs="Times New Roman"/>
          <w:vertAlign w:val="superscript"/>
        </w:rPr>
        <w:t>6</w:t>
      </w:r>
      <w:r w:rsidRPr="002C59AB">
        <w:rPr>
          <w:rFonts w:ascii="Times New Roman" w:hAnsi="Times New Roman" w:cs="Times New Roman"/>
        </w:rPr>
        <w:t>, que demonstraram aumento da mobilização de células regenerativas vasculares. Adicionalmente, alguns estudos sugerem que o EPA pode atuar na estabilização de placas ateroscleróticas, reduzindo inflamação local e vulnerabilidade da placa, o que possivelmente contribuiu para a redução de eventos cardiovasculares observada no REDUCE-IT</w:t>
      </w:r>
      <w:r w:rsidR="00460C9E">
        <w:rPr>
          <w:rFonts w:ascii="Times New Roman" w:hAnsi="Times New Roman" w:cs="Times New Roman"/>
          <w:vertAlign w:val="superscript"/>
        </w:rPr>
        <w:t>31</w:t>
      </w:r>
      <w:r w:rsidRPr="002C59AB">
        <w:rPr>
          <w:rFonts w:ascii="Times New Roman" w:hAnsi="Times New Roman" w:cs="Times New Roman"/>
        </w:rPr>
        <w:t>.</w:t>
      </w:r>
    </w:p>
    <w:p w14:paraId="5E21F416" w14:textId="2CE5F54C"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lastRenderedPageBreak/>
        <w:t>Apesar dessas ações fisiológicas promissoras, nem todos os estudos corroboraram benefícios estruturais ou clínicos relevantes</w:t>
      </w:r>
      <w:r w:rsidR="00222BD0">
        <w:rPr>
          <w:rFonts w:ascii="Times New Roman" w:hAnsi="Times New Roman" w:cs="Times New Roman"/>
          <w:vertAlign w:val="superscript"/>
        </w:rPr>
        <w:t>37</w:t>
      </w:r>
      <w:r w:rsidRPr="002C59AB">
        <w:rPr>
          <w:rFonts w:ascii="Times New Roman" w:hAnsi="Times New Roman" w:cs="Times New Roman"/>
        </w:rPr>
        <w:t>, por exemplo, não identificaram impacto significativo na progressão da calcificação coronariana. Da mesma forma, estudos realizados em populações saudáveis ou de menor risco cardiovascular demonstraram predominantemente alterações em biomarcadores, sem redução significativa de eventos clínicos</w:t>
      </w:r>
      <w:r w:rsidR="00826DEA">
        <w:rPr>
          <w:rFonts w:ascii="Times New Roman" w:hAnsi="Times New Roman" w:cs="Times New Roman"/>
          <w:vertAlign w:val="superscript"/>
        </w:rPr>
        <w:t>30</w:t>
      </w:r>
      <w:r w:rsidRPr="002C59AB">
        <w:rPr>
          <w:rFonts w:ascii="Times New Roman" w:hAnsi="Times New Roman" w:cs="Times New Roman"/>
        </w:rPr>
        <w:t>. Esses resultados reforçam a hipótese de que os ômega-3 atuam mais como moduladores de risco em indivíduos com maior comprometimento metabólico ou cardiovascular.</w:t>
      </w:r>
    </w:p>
    <w:p w14:paraId="579DD3B8" w14:textId="51B5A2B0"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Outro ponto importante refere-se à variabilidade dos resultados conforme as características das populações estudadas. Indivíduos com doença cardiovascular estabelecida ou alto risco apresentaram maior benefício com a suplementação, enquanto populações saudáveis ou jovens apresentaram respostas mais discretas e restritas a marcadores intermediários</w:t>
      </w:r>
      <w:r w:rsidR="006C21AD">
        <w:rPr>
          <w:rFonts w:ascii="Times New Roman" w:hAnsi="Times New Roman" w:cs="Times New Roman"/>
          <w:vertAlign w:val="superscript"/>
        </w:rPr>
        <w:t>30,38</w:t>
      </w:r>
      <w:r w:rsidRPr="002C59AB">
        <w:rPr>
          <w:rFonts w:ascii="Times New Roman" w:hAnsi="Times New Roman" w:cs="Times New Roman"/>
        </w:rPr>
        <w:t>.</w:t>
      </w:r>
      <w:r w:rsidR="004C7266" w:rsidRPr="004C7266">
        <w:t xml:space="preserve"> </w:t>
      </w:r>
      <w:r w:rsidR="004C7266" w:rsidRPr="004C7266">
        <w:rPr>
          <w:rFonts w:ascii="Times New Roman" w:hAnsi="Times New Roman" w:cs="Times New Roman"/>
        </w:rPr>
        <w:t>Essas diferenças reforçam que os efeitos cardiometabólicos dos ômega-3 parecem ser mais expressivos em indivíduos com maior comprometimento metabólico e risco cardiovascular elevado</w:t>
      </w:r>
      <w:r w:rsidRPr="002C59AB">
        <w:rPr>
          <w:rFonts w:ascii="Times New Roman" w:hAnsi="Times New Roman" w:cs="Times New Roman"/>
        </w:rPr>
        <w:t>.</w:t>
      </w:r>
    </w:p>
    <w:p w14:paraId="5CD030FA" w14:textId="77777777"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As divergências entre os estudos, particularmente entre ensaios que demonstraram benefícios clínicos e aqueles com resultados neutros, podem ser explicadas por diferenças metodológicas, incluindo tipo de placebo, adesão ao tratamento, perfil metabólico dos participantes e variações na formulação dos suplementos. Além disso, mecanismos relacionados à sensibilidade à insulina, agregação plaquetária e modulação elétrica cardíaca podem variar conforme as características da suplementação e do perfil clínico dos participantes, contribuindo para a heterogeneidade dos resultados encontrados. Essas inconsistências reforçam a complexidade da ação dos ácidos graxos ômega-3 e indicam que seus efeitos não são uniformes em todas as populações e contextos clínicos.</w:t>
      </w:r>
    </w:p>
    <w:p w14:paraId="39F3DFAE" w14:textId="77777777" w:rsidR="002C59AB" w:rsidRPr="002C59AB" w:rsidRDefault="002C59AB" w:rsidP="00E27DDB">
      <w:pPr>
        <w:ind w:firstLine="282"/>
        <w:rPr>
          <w:rFonts w:ascii="Times New Roman" w:hAnsi="Times New Roman" w:cs="Times New Roman"/>
        </w:rPr>
      </w:pPr>
      <w:r w:rsidRPr="002C59AB">
        <w:rPr>
          <w:rFonts w:ascii="Times New Roman" w:hAnsi="Times New Roman" w:cs="Times New Roman"/>
        </w:rPr>
        <w:t xml:space="preserve">Em termos de implicações práticas, os achados desta revisão sugerem que a suplementação com ômega-3, especialmente EPA em doses elevadas, pode ser considerada estratégia adjuvante no manejo nutricional do risco cardiovascular e na prevenção de complicações cardiometabólicas em </w:t>
      </w:r>
      <w:r w:rsidRPr="002C59AB">
        <w:rPr>
          <w:rFonts w:ascii="Times New Roman" w:hAnsi="Times New Roman" w:cs="Times New Roman"/>
        </w:rPr>
        <w:lastRenderedPageBreak/>
        <w:t>populações específicas, como indivíduos com hipertrigliceridemia ou alto risco cardiometabólico. Contudo, os resultados indicam que sua utilização deve ser individualizada, considerando a heterogeneidade das respostas observadas.</w:t>
      </w:r>
    </w:p>
    <w:p w14:paraId="0FEA2262" w14:textId="78E2B6B6" w:rsidR="001C6883" w:rsidRDefault="002C59AB" w:rsidP="00E27DDB">
      <w:pPr>
        <w:ind w:firstLine="282"/>
        <w:rPr>
          <w:rFonts w:ascii="Times New Roman" w:hAnsi="Times New Roman" w:cs="Times New Roman"/>
        </w:rPr>
      </w:pPr>
      <w:r w:rsidRPr="002C59AB">
        <w:rPr>
          <w:rFonts w:ascii="Times New Roman" w:hAnsi="Times New Roman" w:cs="Times New Roman"/>
        </w:rPr>
        <w:t>Por fim, esta revisão apresenta limitações relacionadas à heterogeneidade dos estudos incluídos, diferenças metodológicas e variabilidade nos desfechos avaliados. Além disso, persistem lacunas importantes na literatura, especialmente quanto à definição da dose ideal, à comparação entre EPA e DHA e à identificação precisa das populações que mais se beneficiam da suplementação, indicando a necessidade de novos ensaios clínicos mais padronizados.</w:t>
      </w:r>
    </w:p>
    <w:p w14:paraId="2C8862BF" w14:textId="6668EB4B" w:rsidR="00E27DDB" w:rsidRDefault="00E27DDB" w:rsidP="00E27DDB">
      <w:pPr>
        <w:ind w:firstLine="282"/>
        <w:rPr>
          <w:rFonts w:ascii="Times New Roman" w:hAnsi="Times New Roman" w:cs="Times New Roman"/>
        </w:rPr>
      </w:pPr>
      <w:r w:rsidRPr="006978DC">
        <w:rPr>
          <w:rFonts w:ascii="Times New Roman" w:hAnsi="Times New Roman" w:cs="Times New Roman"/>
        </w:rPr>
        <w:t>A análise dos estudos também evidenciou heterogeneidade metodológica relacionada às doses utilizadas, tempo de suplementação, composição dos suplementos e desfechos avaliados, fatores que podem influenciar diretamente os resultados encontrados.</w:t>
      </w:r>
    </w:p>
    <w:p w14:paraId="618322FD" w14:textId="77777777" w:rsidR="00E27DDB" w:rsidRPr="006978DC" w:rsidRDefault="00E27DDB" w:rsidP="00E27DDB">
      <w:pPr>
        <w:ind w:firstLine="282"/>
        <w:rPr>
          <w:rFonts w:ascii="Times New Roman" w:hAnsi="Times New Roman" w:cs="Times New Roman"/>
        </w:rPr>
      </w:pPr>
      <w:r w:rsidRPr="006978DC">
        <w:rPr>
          <w:rFonts w:ascii="Times New Roman" w:hAnsi="Times New Roman" w:cs="Times New Roman"/>
        </w:rPr>
        <w:t>Do ponto de vista da prática clínica, os resultados reforçam a importância da atuação do nutricionista na prevenção e no manejo das doenças cardiometabólicas, especialmente na orientação alimentar e no acompanhamento de indivíduos com hipertrigliceridemia, obesidade, diabetes mellitus e doença cardiovascular. A avaliação individualizada do perfil clínico, do padrão alimentar e do risco cardiometabólico torna-se fundamental para auxiliar na tomada de decisão quanto ao consumo alimentar de fontes de ômega-3 ou à utilização da suplementação, contribuindo para estratégias nutricionais mais direcionadas e baseadas em evidências científicas.</w:t>
      </w:r>
    </w:p>
    <w:p w14:paraId="7E5A1922" w14:textId="77777777" w:rsidR="00E27DDB" w:rsidRPr="006978DC" w:rsidRDefault="00E27DDB" w:rsidP="00E27DDB">
      <w:pPr>
        <w:ind w:firstLine="282"/>
        <w:rPr>
          <w:rFonts w:ascii="Times New Roman" w:hAnsi="Times New Roman" w:cs="Times New Roman"/>
        </w:rPr>
      </w:pPr>
    </w:p>
    <w:p w14:paraId="263D1B69" w14:textId="77777777" w:rsidR="00097112" w:rsidRPr="006978DC" w:rsidRDefault="00097112" w:rsidP="0069537A">
      <w:pPr>
        <w:rPr>
          <w:rFonts w:ascii="Times New Roman" w:hAnsi="Times New Roman" w:cs="Times New Roman"/>
        </w:rPr>
      </w:pPr>
    </w:p>
    <w:p w14:paraId="4324419D" w14:textId="12689C1B" w:rsidR="002D1879" w:rsidRDefault="002D1879" w:rsidP="002D1879">
      <w:pPr>
        <w:rPr>
          <w:rFonts w:ascii="Times New Roman" w:hAnsi="Times New Roman" w:cs="Times New Roman"/>
        </w:rPr>
      </w:pPr>
      <w:r w:rsidRPr="006978DC">
        <w:rPr>
          <w:rFonts w:ascii="Times New Roman" w:hAnsi="Times New Roman" w:cs="Times New Roman"/>
        </w:rPr>
        <w:t>CO</w:t>
      </w:r>
      <w:r w:rsidR="00A37710">
        <w:rPr>
          <w:rFonts w:ascii="Times New Roman" w:hAnsi="Times New Roman" w:cs="Times New Roman"/>
        </w:rPr>
        <w:t>NSIDERAÇÕES FINAIS</w:t>
      </w:r>
    </w:p>
    <w:p w14:paraId="672C149E" w14:textId="77777777" w:rsidR="00E775A2" w:rsidRPr="006978DC" w:rsidRDefault="00E775A2" w:rsidP="002D1879">
      <w:pPr>
        <w:rPr>
          <w:rFonts w:ascii="Times New Roman" w:hAnsi="Times New Roman" w:cs="Times New Roman"/>
        </w:rPr>
      </w:pPr>
    </w:p>
    <w:p w14:paraId="60F5F58E" w14:textId="77777777" w:rsidR="002D1879" w:rsidRPr="006978DC" w:rsidRDefault="002D1879" w:rsidP="00E27DDB">
      <w:pPr>
        <w:ind w:firstLine="282"/>
        <w:rPr>
          <w:rFonts w:ascii="Times New Roman" w:hAnsi="Times New Roman" w:cs="Times New Roman"/>
        </w:rPr>
      </w:pPr>
      <w:r w:rsidRPr="006978DC">
        <w:rPr>
          <w:rFonts w:ascii="Times New Roman" w:hAnsi="Times New Roman" w:cs="Times New Roman"/>
        </w:rPr>
        <w:t xml:space="preserve">Os resultados desta revisão demonstraram que os ácidos graxos ômega-3 apresentam efeitos cardiometabólicos relevantes, principalmente na redução </w:t>
      </w:r>
      <w:r w:rsidRPr="006978DC">
        <w:rPr>
          <w:rFonts w:ascii="Times New Roman" w:hAnsi="Times New Roman" w:cs="Times New Roman"/>
        </w:rPr>
        <w:lastRenderedPageBreak/>
        <w:t>dos níveis de triglicerídeos, melhora de marcadores inflamatórios e modulação do perfil lipídico. Os benefícios mais consistentes foram observados em indivíduos com maior risco cardiovascular, especialmente em estudos que utilizaram EPA isolado em doses elevadas, os quais evidenciaram redução de eventos cardiovasculares e menor progressão aterosclerótica. Em contrapartida, estudos realizados com populações saudáveis, doses menores ou formulações combinadas de EPA e DHA apresentaram efeitos predominantemente sobre biomarcadores intermediários, sem impacto clínico significativo.</w:t>
      </w:r>
    </w:p>
    <w:p w14:paraId="498F786A" w14:textId="77777777" w:rsidR="00E27DDB" w:rsidRDefault="002D1879" w:rsidP="00E27DDB">
      <w:pPr>
        <w:ind w:firstLine="282"/>
        <w:rPr>
          <w:rFonts w:ascii="Times New Roman" w:hAnsi="Times New Roman" w:cs="Times New Roman"/>
        </w:rPr>
      </w:pPr>
      <w:r w:rsidRPr="006978DC">
        <w:rPr>
          <w:rFonts w:ascii="Times New Roman" w:hAnsi="Times New Roman" w:cs="Times New Roman"/>
        </w:rPr>
        <w:t xml:space="preserve">Os achados também evidenciaram que a eficácia da suplementação depende de fatores como composição do suplemento, dose administrada, tempo de intervenção e perfil clínico da população estudada. Estudos com EPA isolado demonstraram resultados clínicos mais expressivos quando comparados às formulações associadas de EPA e DHA, sugerindo diferenças importantes entre os tipos de ômega-3 utilizados. </w:t>
      </w:r>
    </w:p>
    <w:p w14:paraId="56DA3A67" w14:textId="23CB4E81" w:rsidR="002D1879" w:rsidRPr="006978DC" w:rsidRDefault="002D1879" w:rsidP="00E27DDB">
      <w:pPr>
        <w:ind w:firstLine="282"/>
        <w:rPr>
          <w:rFonts w:ascii="Times New Roman" w:hAnsi="Times New Roman" w:cs="Times New Roman"/>
        </w:rPr>
      </w:pPr>
      <w:r w:rsidRPr="006978DC">
        <w:rPr>
          <w:rFonts w:ascii="Times New Roman" w:hAnsi="Times New Roman" w:cs="Times New Roman"/>
        </w:rPr>
        <w:t>Além disso, os estudos analisados reforçam que os ômega-3 exercem ação cardiometabólica por múltiplos mecanismos, incluindo redução da síntese hepática de triglicerídeos, modulação inflamatória, melhora da função endotelial e possível estabilização de placas ateroscleróticas. Entretanto, os efeitos observados não foram uniformes entre os ensaios clínicos, evidenciando heterogeneidade dos resultados conforme as características metodológicas e populacionais dos estudos.</w:t>
      </w:r>
    </w:p>
    <w:p w14:paraId="4F2CD89D" w14:textId="0E90509E" w:rsidR="002D1879" w:rsidRPr="006978DC" w:rsidRDefault="002D1879" w:rsidP="00E27DDB">
      <w:pPr>
        <w:ind w:firstLine="282"/>
        <w:rPr>
          <w:rFonts w:ascii="Times New Roman" w:hAnsi="Times New Roman" w:cs="Times New Roman"/>
        </w:rPr>
      </w:pPr>
      <w:r w:rsidRPr="006978DC">
        <w:rPr>
          <w:rFonts w:ascii="Times New Roman" w:hAnsi="Times New Roman" w:cs="Times New Roman"/>
        </w:rPr>
        <w:t>Dessa forma, conclui-se que os ácidos graxos ômega-3 apresentam potencial benefício cardiometabólico, especialmente em indivíduos com elevado risco cardiovascular, com resultados mais consistentes associados ao uso de EPA em doses elevadas.</w:t>
      </w:r>
    </w:p>
    <w:p w14:paraId="29514D1C" w14:textId="77777777" w:rsidR="00FD088D" w:rsidRDefault="00FD088D" w:rsidP="002D1879">
      <w:pPr>
        <w:rPr>
          <w:rFonts w:ascii="Times New Roman" w:hAnsi="Times New Roman" w:cs="Times New Roman"/>
        </w:rPr>
      </w:pPr>
    </w:p>
    <w:p w14:paraId="7AF61C9C" w14:textId="77777777" w:rsidR="00627960" w:rsidRDefault="00627960" w:rsidP="002D1879">
      <w:pPr>
        <w:rPr>
          <w:rFonts w:ascii="Times New Roman" w:hAnsi="Times New Roman" w:cs="Times New Roman"/>
        </w:rPr>
      </w:pPr>
    </w:p>
    <w:p w14:paraId="7C8801FB" w14:textId="63855A22" w:rsidR="00627960" w:rsidRDefault="00865A2C" w:rsidP="002D1879">
      <w:pPr>
        <w:rPr>
          <w:rFonts w:ascii="Times New Roman" w:hAnsi="Times New Roman" w:cs="Times New Roman"/>
        </w:rPr>
      </w:pPr>
      <w:r>
        <w:rPr>
          <w:rFonts w:ascii="Times New Roman" w:hAnsi="Times New Roman" w:cs="Times New Roman"/>
        </w:rPr>
        <w:t>REFERÊNCIAS</w:t>
      </w:r>
    </w:p>
    <w:p w14:paraId="2BE06E56" w14:textId="77777777" w:rsidR="00245CE4" w:rsidRPr="00245CE4" w:rsidRDefault="00245CE4" w:rsidP="000F7A0E">
      <w:pPr>
        <w:ind w:left="0"/>
        <w:rPr>
          <w:rFonts w:ascii="Times New Roman" w:hAnsi="Times New Roman" w:cs="Times New Roman"/>
        </w:rPr>
      </w:pPr>
    </w:p>
    <w:p w14:paraId="0EEDB896" w14:textId="62614DB3" w:rsidR="00245CE4" w:rsidRPr="007670A5" w:rsidRDefault="00245CE4" w:rsidP="009107B9">
      <w:pPr>
        <w:rPr>
          <w:rFonts w:ascii="Times New Roman" w:hAnsi="Times New Roman" w:cs="Times New Roman"/>
          <w:lang w:val="en-US"/>
        </w:rPr>
      </w:pPr>
      <w:r w:rsidRPr="00245CE4">
        <w:rPr>
          <w:rFonts w:ascii="Times New Roman" w:hAnsi="Times New Roman" w:cs="Times New Roman"/>
        </w:rPr>
        <w:lastRenderedPageBreak/>
        <w:t xml:space="preserve">1. Chang CL, </w:t>
      </w:r>
      <w:proofErr w:type="spellStart"/>
      <w:r w:rsidRPr="00245CE4">
        <w:rPr>
          <w:rFonts w:ascii="Times New Roman" w:hAnsi="Times New Roman" w:cs="Times New Roman"/>
        </w:rPr>
        <w:t>Deckelbaum</w:t>
      </w:r>
      <w:proofErr w:type="spellEnd"/>
      <w:r w:rsidRPr="00245CE4">
        <w:rPr>
          <w:rFonts w:ascii="Times New Roman" w:hAnsi="Times New Roman" w:cs="Times New Roman"/>
        </w:rPr>
        <w:t xml:space="preserve"> RJ. </w:t>
      </w:r>
      <w:r w:rsidRPr="007670A5">
        <w:rPr>
          <w:rFonts w:ascii="Times New Roman" w:hAnsi="Times New Roman" w:cs="Times New Roman"/>
          <w:lang w:val="en-US"/>
        </w:rPr>
        <w:t>Omega-3 fatty acids: mechanisms underlying beneficial effects on cardiovascular disease. Curr Opin Lipidol. 2013;24(1):33-40.</w:t>
      </w:r>
    </w:p>
    <w:p w14:paraId="5E03A3B7" w14:textId="538FC144"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2. Calder PC. Omega-3 fatty acids and inflammatory processes: from molecules to man. Biochem Soc Trans. 2020;48(1):1-9.</w:t>
      </w:r>
    </w:p>
    <w:p w14:paraId="7F28B2D9" w14:textId="0649E7AA"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3. Li K, Jia Y, Zhu X. Omega-3 polyunsaturated fatty acids and cardiovascular diseases. Int J Mol Sci. 2019;20(5):983.</w:t>
      </w:r>
    </w:p>
    <w:p w14:paraId="4B68D3A5" w14:textId="5299FB25"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4. Kim HK, Della-Fera M, Lin J, Baile CA. Docosahexaenoic acid inhibits adipocyte differentiation and induces apoptosis in 3T3-L1 preadipocytes. J Nutr. 2010;136(12):2965-</w:t>
      </w:r>
    </w:p>
    <w:p w14:paraId="7E75FA19" w14:textId="5AA215B2"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5. Mollace V, Gliozzi M, Tavernese A, Musolino V, Carresi C, Scicchitano M, et al. Omega-3 fatty acids and cardiovascular disease: evidence and mechanisms. Adv Exp Med Biol. 2005;824:103-11.</w:t>
      </w:r>
    </w:p>
    <w:p w14:paraId="378EEE15" w14:textId="14CC506C"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6. Betz JM, Fisher KD, Saldanha LG, Yetley EA, Coates PM. Composition and safety of omega-3 fatty acid supplements. J Food Compos Anal. 2013;32(1):1-8.</w:t>
      </w:r>
    </w:p>
    <w:p w14:paraId="2400547F" w14:textId="14F35A0F"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7. Saini RK, Keum YS. Omega-3 and omega-6 polyunsaturated fatty acids: dietary sources, metabolism, and significance. Life Sci. 2018;203:255-67.</w:t>
      </w:r>
    </w:p>
    <w:p w14:paraId="2DFA1F63" w14:textId="47D8EDC4"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8. Burdge GC, Jones AE, Wootton SA. Eicosapentaenoic and docosapentaenoic acids are the principal products of alpha-linolenic acid metabolism in young men. Br J Nutr. 2003;88(4):355-63.</w:t>
      </w:r>
    </w:p>
    <w:p w14:paraId="68028575" w14:textId="51CB3272"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9. Baker EJ, Miles EA, Burdge GC, Yaqoob P, Calder PC. Metabolism and functional effects of plant-derived omega-3 fatty acids in humans. Prog Lipid Res. 2016;64:30-56.</w:t>
      </w:r>
    </w:p>
    <w:p w14:paraId="7C9DA409" w14:textId="4D2E94A1"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10. Subbaiah PV, Liu M, Wang K, Thannhauser TW. Lipid structure and bioavailability of omega-3 fatty acids. Prog Lipid Res. 2016;61:1-17.</w:t>
      </w:r>
    </w:p>
    <w:p w14:paraId="40E83424" w14:textId="22B30EB7"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11. Valentine CJ, Valentine WM. Omega-3 fatty acids in cellular membranes: implications for cardiovascular health. Clin Lipidol. 2004;2(3):345-58.</w:t>
      </w:r>
    </w:p>
    <w:p w14:paraId="69A878AC" w14:textId="21F36395"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12. Borow KM, Nelson JR, Mason RP. Biologic effects of omega-3 fatty acids on cardiovascular disease. Am J Cardiol. 2015;115(9):123-9.</w:t>
      </w:r>
    </w:p>
    <w:p w14:paraId="17D2337C" w14:textId="4B8D682D"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lastRenderedPageBreak/>
        <w:t>13. Artiach G, Sarajlic P, Bäck M. Inflammation and its resolution in coronary artery disease: focus on specialized pro-resolving mediators. Front Pharmacol. 2021;12:646.</w:t>
      </w:r>
    </w:p>
    <w:p w14:paraId="68A4BDBE" w14:textId="426A6C7B" w:rsidR="00245CE4" w:rsidRPr="00245CE4" w:rsidRDefault="00245CE4" w:rsidP="009107B9">
      <w:pPr>
        <w:rPr>
          <w:rFonts w:ascii="Times New Roman" w:hAnsi="Times New Roman" w:cs="Times New Roman"/>
        </w:rPr>
      </w:pPr>
      <w:r w:rsidRPr="007670A5">
        <w:rPr>
          <w:rFonts w:ascii="Times New Roman" w:hAnsi="Times New Roman" w:cs="Times New Roman"/>
          <w:lang w:val="en-US"/>
        </w:rPr>
        <w:t xml:space="preserve">14. Li Q, Zhang Q, Wang M, Zhao S, Xu G, Li J. Omega-3 polyunsaturated fatty acids prevent oxidative stress-induced endothelial dysfunction. </w:t>
      </w:r>
      <w:r w:rsidRPr="00245CE4">
        <w:rPr>
          <w:rFonts w:ascii="Times New Roman" w:hAnsi="Times New Roman" w:cs="Times New Roman"/>
        </w:rPr>
        <w:t xml:space="preserve">J </w:t>
      </w:r>
      <w:proofErr w:type="spellStart"/>
      <w:r w:rsidRPr="00245CE4">
        <w:rPr>
          <w:rFonts w:ascii="Times New Roman" w:hAnsi="Times New Roman" w:cs="Times New Roman"/>
        </w:rPr>
        <w:t>Nutr</w:t>
      </w:r>
      <w:proofErr w:type="spellEnd"/>
      <w:r w:rsidRPr="00245CE4">
        <w:rPr>
          <w:rFonts w:ascii="Times New Roman" w:hAnsi="Times New Roman" w:cs="Times New Roman"/>
        </w:rPr>
        <w:t xml:space="preserve"> </w:t>
      </w:r>
      <w:proofErr w:type="spellStart"/>
      <w:r w:rsidRPr="00245CE4">
        <w:rPr>
          <w:rFonts w:ascii="Times New Roman" w:hAnsi="Times New Roman" w:cs="Times New Roman"/>
        </w:rPr>
        <w:t>Biochem</w:t>
      </w:r>
      <w:proofErr w:type="spellEnd"/>
      <w:r w:rsidRPr="00245CE4">
        <w:rPr>
          <w:rFonts w:ascii="Times New Roman" w:hAnsi="Times New Roman" w:cs="Times New Roman"/>
        </w:rPr>
        <w:t>. 2007;18(7):481-9.</w:t>
      </w:r>
    </w:p>
    <w:p w14:paraId="433EA612" w14:textId="6CA7C4A3" w:rsidR="00245CE4" w:rsidRPr="007670A5" w:rsidRDefault="00245CE4" w:rsidP="009107B9">
      <w:pPr>
        <w:rPr>
          <w:rFonts w:ascii="Times New Roman" w:hAnsi="Times New Roman" w:cs="Times New Roman"/>
          <w:lang w:val="en-US"/>
        </w:rPr>
      </w:pPr>
      <w:r w:rsidRPr="00245CE4">
        <w:rPr>
          <w:rFonts w:ascii="Times New Roman" w:hAnsi="Times New Roman" w:cs="Times New Roman"/>
        </w:rPr>
        <w:t xml:space="preserve">15. Wu JH, Micha R, Imamura F, Pan A, Biggs ML, </w:t>
      </w:r>
      <w:proofErr w:type="spellStart"/>
      <w:r w:rsidRPr="00245CE4">
        <w:rPr>
          <w:rFonts w:ascii="Times New Roman" w:hAnsi="Times New Roman" w:cs="Times New Roman"/>
        </w:rPr>
        <w:t>Ajaz</w:t>
      </w:r>
      <w:proofErr w:type="spellEnd"/>
      <w:r w:rsidRPr="00245CE4">
        <w:rPr>
          <w:rFonts w:ascii="Times New Roman" w:hAnsi="Times New Roman" w:cs="Times New Roman"/>
        </w:rPr>
        <w:t xml:space="preserve"> O, et al. </w:t>
      </w:r>
      <w:r w:rsidRPr="007670A5">
        <w:rPr>
          <w:rFonts w:ascii="Times New Roman" w:hAnsi="Times New Roman" w:cs="Times New Roman"/>
          <w:lang w:val="en-US"/>
        </w:rPr>
        <w:t>Omega-3 fatty acids and incident cardiovascular disease. Circulation. 2012;125(9):1084-93.</w:t>
      </w:r>
    </w:p>
    <w:p w14:paraId="19A8A959" w14:textId="28B3EABA"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16. Djuricic I, Calder PC. Beneficial outcomes of omega-6 and omega-3 polyunsaturated fatty acids on human health: an update for 2021. Nutrients. 2021;13(7):2421.</w:t>
      </w:r>
    </w:p>
    <w:p w14:paraId="31F93A01" w14:textId="21EF24CD"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17. Harris WS, Connor WE, Illingworth DR, Rothrock DW, Foster DM. Effects of fish oil on VLDL triglyceride kinetics in humans. J Lipid Res. 1997;31(9):1549-58.</w:t>
      </w:r>
    </w:p>
    <w:p w14:paraId="27157E0F" w14:textId="2C1BD835"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18. Pownall HJ, Brauchi D, Kilinc C, Osmundsen K, Pao Q, Payton-Ross C, et al. Correlation of serum triglyceride and its reduction by omega-3 fatty acids. Am J Cardiol. 1999;83(2):254-9.</w:t>
      </w:r>
    </w:p>
    <w:p w14:paraId="593676B7" w14:textId="26FF87A8"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19. Bays HE, Ballantyne CM, Kastelein JJ, Isaacsohn JL, Braeckman RA, Soni PN. Eicosapentaenoic acid ethyl ester: effects on triglycerides and other lipid parameters. J Clin Lipidol. 2011;5(6):483-91.</w:t>
      </w:r>
    </w:p>
    <w:p w14:paraId="6597A7F9" w14:textId="6879039A"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20. Lavie CJ, Milani RV, Mehra MR. Omega-3 polyunsaturated fatty acids and cardiovascular diseases. J Am Coll Cardiol. 2009;54(7):585-94.</w:t>
      </w:r>
    </w:p>
    <w:p w14:paraId="676DEC03" w14:textId="08D458DC"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21. Borén J, Chapman MJ, Krauss RM, Packard CJ, Bentzon JF, Binder CJ, et al. Low-density lipoproteins cause atherosclerotic cardiovascular disease. Eur Heart J. 2022;41(24):2313-30.</w:t>
      </w:r>
    </w:p>
    <w:p w14:paraId="499BE521" w14:textId="4C0A1C98"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22. Saito Y, Yokoyama M, Origasa H, Matsuzaki M, Matsuzawa Y, Ishikawa Y, et al. Effects of EPA on coronary artery disease in hypercholesterolemic patients. Lancet. 2008;369(9567):1090-8.</w:t>
      </w:r>
    </w:p>
    <w:p w14:paraId="3048EAAB" w14:textId="2EBFC4BB" w:rsidR="00245CE4" w:rsidRPr="007670A5" w:rsidRDefault="00245CE4" w:rsidP="009107B9">
      <w:pPr>
        <w:rPr>
          <w:rFonts w:ascii="Times New Roman" w:hAnsi="Times New Roman" w:cs="Times New Roman"/>
          <w:lang w:val="en-US"/>
        </w:rPr>
      </w:pPr>
      <w:r w:rsidRPr="007670A5">
        <w:rPr>
          <w:rFonts w:ascii="Times New Roman" w:hAnsi="Times New Roman" w:cs="Times New Roman"/>
          <w:lang w:val="en-US"/>
        </w:rPr>
        <w:t>23. Zirpoli H, Smid SD, Rogers PJ, Burns J. Dietary omega-3 fatty acids and cardiovascular disease. Nutrients. 2020;12(8):1-18.</w:t>
      </w:r>
    </w:p>
    <w:p w14:paraId="452F8E35" w14:textId="06BB968B" w:rsidR="00245CE4" w:rsidRPr="007670A5" w:rsidRDefault="00245CE4" w:rsidP="0000353E">
      <w:pPr>
        <w:rPr>
          <w:rFonts w:ascii="Times New Roman" w:hAnsi="Times New Roman" w:cs="Times New Roman"/>
          <w:lang w:val="en-US"/>
        </w:rPr>
      </w:pPr>
      <w:r w:rsidRPr="007670A5">
        <w:rPr>
          <w:rFonts w:ascii="Times New Roman" w:hAnsi="Times New Roman" w:cs="Times New Roman"/>
          <w:lang w:val="en-US"/>
        </w:rPr>
        <w:lastRenderedPageBreak/>
        <w:t>24. Rivellese AA, Patti L, Romano G. Effects of omega-3 fatty acids on cardiovascular risk factors. Nutr Metab Cardiovasc Dis. 2019;29(7):681-9.</w:t>
      </w:r>
    </w:p>
    <w:p w14:paraId="7BE79F59" w14:textId="749A448F" w:rsidR="00245CE4" w:rsidRPr="007670A5" w:rsidRDefault="00245CE4" w:rsidP="0000353E">
      <w:pPr>
        <w:rPr>
          <w:rFonts w:ascii="Times New Roman" w:hAnsi="Times New Roman" w:cs="Times New Roman"/>
          <w:lang w:val="en-US"/>
        </w:rPr>
      </w:pPr>
      <w:r w:rsidRPr="007670A5">
        <w:rPr>
          <w:rFonts w:ascii="Times New Roman" w:hAnsi="Times New Roman" w:cs="Times New Roman"/>
          <w:lang w:val="en-US"/>
        </w:rPr>
        <w:t>25.</w:t>
      </w:r>
      <w:r w:rsidR="004C33AA" w:rsidRPr="007670A5">
        <w:rPr>
          <w:rFonts w:ascii="Times New Roman" w:hAnsi="Times New Roman" w:cs="Times New Roman"/>
          <w:lang w:val="en-US"/>
        </w:rPr>
        <w:t xml:space="preserve"> Nicholls SJ, </w:t>
      </w:r>
      <w:r w:rsidR="009107B9" w:rsidRPr="007670A5">
        <w:rPr>
          <w:rFonts w:ascii="Times New Roman" w:hAnsi="Times New Roman" w:cs="Times New Roman"/>
          <w:lang w:val="en-US"/>
        </w:rPr>
        <w:t>Lincho</w:t>
      </w:r>
      <w:r w:rsidR="004C33AA" w:rsidRPr="007670A5">
        <w:rPr>
          <w:rFonts w:ascii="Times New Roman" w:hAnsi="Times New Roman" w:cs="Times New Roman"/>
          <w:lang w:val="en-US"/>
        </w:rPr>
        <w:t xml:space="preserve"> AM, Garcia M, Bash D, Ballantyne CM, Barter PJ, et al. Effect of high-dose omega-3 fatty acids vs corn oil on major adverse cardiovascular events. JAMA. 2020;324(22):2268-80.</w:t>
      </w:r>
    </w:p>
    <w:p w14:paraId="5510AEBC" w14:textId="5E39D4D6" w:rsidR="00A4132D" w:rsidRPr="007670A5" w:rsidRDefault="00245CE4" w:rsidP="0000353E">
      <w:pPr>
        <w:rPr>
          <w:rFonts w:ascii="Times New Roman" w:hAnsi="Times New Roman" w:cs="Times New Roman"/>
          <w:lang w:val="en-US"/>
        </w:rPr>
      </w:pPr>
      <w:r w:rsidRPr="007670A5">
        <w:rPr>
          <w:rFonts w:ascii="Times New Roman" w:hAnsi="Times New Roman" w:cs="Times New Roman"/>
          <w:lang w:val="en-US"/>
        </w:rPr>
        <w:t>26.</w:t>
      </w:r>
      <w:r w:rsidR="00A4132D" w:rsidRPr="007670A5">
        <w:rPr>
          <w:rFonts w:ascii="Times New Roman" w:hAnsi="Times New Roman" w:cs="Times New Roman"/>
          <w:lang w:val="en-US"/>
        </w:rPr>
        <w:t xml:space="preserve"> Yang B, Ren XL, Fu YQ, Gao JL, Li D. Ratio of n-3/n-6 fatty acids and lipid profile in healthy adults. Lipids Health Dis. 2020;19(1):1-10.</w:t>
      </w:r>
    </w:p>
    <w:p w14:paraId="11739B60" w14:textId="29F0704F" w:rsidR="00C07FD3" w:rsidRPr="007670A5" w:rsidRDefault="00C07FD3" w:rsidP="00C07FD3">
      <w:pPr>
        <w:rPr>
          <w:rFonts w:ascii="Times New Roman" w:hAnsi="Times New Roman" w:cs="Times New Roman"/>
          <w:lang w:val="en-US"/>
        </w:rPr>
      </w:pPr>
      <w:r w:rsidRPr="007670A5">
        <w:rPr>
          <w:rFonts w:ascii="Times New Roman" w:hAnsi="Times New Roman" w:cs="Times New Roman"/>
          <w:lang w:val="en-US"/>
        </w:rPr>
        <w:t>27. Zibaeenezhad MJ, Ghavipisheh M, Attar A, Aslani A. Comparison of the effect of omega-3 supplements and fresh fish on lipid profile. Indian Heart J. 2017;69(1):22-5.</w:t>
      </w:r>
    </w:p>
    <w:p w14:paraId="6D3E3830" w14:textId="6F5EBDBB" w:rsidR="00495B23" w:rsidRPr="007670A5" w:rsidRDefault="007C5470" w:rsidP="0000353E">
      <w:pPr>
        <w:rPr>
          <w:rFonts w:ascii="Times New Roman" w:hAnsi="Times New Roman" w:cs="Times New Roman"/>
          <w:lang w:val="en-US"/>
        </w:rPr>
      </w:pPr>
      <w:r w:rsidRPr="007670A5">
        <w:rPr>
          <w:rFonts w:ascii="Times New Roman" w:hAnsi="Times New Roman" w:cs="Times New Roman"/>
          <w:lang w:val="en-US"/>
        </w:rPr>
        <w:t>2</w:t>
      </w:r>
      <w:r w:rsidR="0002625A" w:rsidRPr="007670A5">
        <w:rPr>
          <w:rFonts w:ascii="Times New Roman" w:hAnsi="Times New Roman" w:cs="Times New Roman"/>
          <w:lang w:val="en-US"/>
        </w:rPr>
        <w:t>8</w:t>
      </w:r>
      <w:r w:rsidRPr="007670A5">
        <w:rPr>
          <w:rFonts w:ascii="Times New Roman" w:hAnsi="Times New Roman" w:cs="Times New Roman"/>
          <w:lang w:val="en-US"/>
        </w:rPr>
        <w:t>. Jafari Salim A, Faghih S, Salehi-Abargouei A, Khosravi-Boroujeni H. Omega-3 supplementation and inflammatory markers in coronary artery disease patients. Clin Nutr ESPEN. 2017;20:36-41.</w:t>
      </w:r>
    </w:p>
    <w:p w14:paraId="0A613081" w14:textId="3F88EDDE" w:rsidR="00495B23" w:rsidRPr="007670A5" w:rsidRDefault="00495B23" w:rsidP="0000353E">
      <w:pPr>
        <w:rPr>
          <w:rFonts w:ascii="Times New Roman" w:hAnsi="Times New Roman" w:cs="Times New Roman"/>
          <w:lang w:val="en-US"/>
        </w:rPr>
      </w:pPr>
      <w:r w:rsidRPr="007670A5">
        <w:rPr>
          <w:rFonts w:ascii="Times New Roman" w:hAnsi="Times New Roman" w:cs="Times New Roman"/>
          <w:lang w:val="en-US"/>
        </w:rPr>
        <w:t>29. Santurino C, López-Plaza B, Bermejo LM, Gómez-Candela C. Omega-3 enriched dairy products and cardiovascular biomarkers. Nutr Hosp. 2020;37(5):987-94.</w:t>
      </w:r>
    </w:p>
    <w:p w14:paraId="7859682A" w14:textId="10DA7048" w:rsidR="00D24ABD" w:rsidRPr="007670A5" w:rsidRDefault="00495B23" w:rsidP="0000353E">
      <w:pPr>
        <w:rPr>
          <w:rFonts w:ascii="Times New Roman" w:hAnsi="Times New Roman" w:cs="Times New Roman"/>
          <w:lang w:val="en-US"/>
        </w:rPr>
      </w:pPr>
      <w:r w:rsidRPr="007670A5">
        <w:rPr>
          <w:rFonts w:ascii="Times New Roman" w:hAnsi="Times New Roman" w:cs="Times New Roman"/>
          <w:lang w:val="en-US"/>
        </w:rPr>
        <w:t>30. McMullan P, Rocke J, Graham U, McKinley M. Omega-3 index response to increased fish intake in young adults. Eur J Nutr. 2018;57(7):2647-55.</w:t>
      </w:r>
    </w:p>
    <w:p w14:paraId="306BEBAC" w14:textId="02DE78B4" w:rsidR="00634144" w:rsidRPr="007670A5" w:rsidRDefault="00327C9D" w:rsidP="0000353E">
      <w:pPr>
        <w:rPr>
          <w:rFonts w:ascii="Times New Roman" w:hAnsi="Times New Roman" w:cs="Times New Roman"/>
          <w:lang w:val="en-US"/>
        </w:rPr>
      </w:pPr>
      <w:r w:rsidRPr="007670A5">
        <w:rPr>
          <w:rFonts w:ascii="Times New Roman" w:hAnsi="Times New Roman" w:cs="Times New Roman"/>
          <w:lang w:val="en-US"/>
        </w:rPr>
        <w:t>31. Bhatt DL, Steg PG, Miller M, Brinton EA, Jacobson TA, Ketchum SB, et al. Cardiovascular risk reduction with icosapent ethyl for hypertriglyceridemia. N Engl J Med. 2019;380(1):11-22.</w:t>
      </w:r>
    </w:p>
    <w:p w14:paraId="33084F22" w14:textId="0DA4396A" w:rsidR="00E00FD3" w:rsidRPr="007670A5" w:rsidRDefault="00E70F89" w:rsidP="0000353E">
      <w:pPr>
        <w:rPr>
          <w:rFonts w:ascii="Times New Roman" w:hAnsi="Times New Roman" w:cs="Times New Roman"/>
          <w:lang w:val="en-US"/>
        </w:rPr>
      </w:pPr>
      <w:r w:rsidRPr="007670A5">
        <w:rPr>
          <w:rFonts w:ascii="Times New Roman" w:hAnsi="Times New Roman" w:cs="Times New Roman"/>
          <w:lang w:val="en-US"/>
        </w:rPr>
        <w:t>32.</w:t>
      </w:r>
      <w:r w:rsidR="00245CE4" w:rsidRPr="007670A5">
        <w:rPr>
          <w:rFonts w:ascii="Times New Roman" w:hAnsi="Times New Roman" w:cs="Times New Roman"/>
          <w:lang w:val="en-US"/>
        </w:rPr>
        <w:t xml:space="preserve"> Budoff MJ, Bhatt DL, Kinninger A, Lakshmanan S, Muhlestein JB, Le VT, et al. Effect of icosapent ethyl on progression of coronary atherosclerosis. Eur Heart J. 2020;41(40):3925-32.</w:t>
      </w:r>
    </w:p>
    <w:p w14:paraId="29E2F546" w14:textId="0B531F42" w:rsidR="00245CE4" w:rsidRPr="007670A5" w:rsidRDefault="00F32505" w:rsidP="0000353E">
      <w:pPr>
        <w:rPr>
          <w:rFonts w:ascii="Times New Roman" w:hAnsi="Times New Roman" w:cs="Times New Roman"/>
          <w:lang w:val="en-US"/>
        </w:rPr>
      </w:pPr>
      <w:r w:rsidRPr="007670A5">
        <w:rPr>
          <w:rFonts w:ascii="Times New Roman" w:hAnsi="Times New Roman" w:cs="Times New Roman"/>
          <w:lang w:val="en-US"/>
        </w:rPr>
        <w:t>3</w:t>
      </w:r>
      <w:r w:rsidR="00E00FD3" w:rsidRPr="007670A5">
        <w:rPr>
          <w:rFonts w:ascii="Times New Roman" w:hAnsi="Times New Roman" w:cs="Times New Roman"/>
          <w:lang w:val="en-US"/>
        </w:rPr>
        <w:t>3. Verma S, Bhatt DL, Steg PG, Miller M, Brinton EA, Jacobson TA, et al. Cardiovascular outcomes with icosapent ethyl by coronary revascularization status. Circulation. 2020;141(1):44-53.</w:t>
      </w:r>
    </w:p>
    <w:p w14:paraId="068DD93B" w14:textId="6332E0FF" w:rsidR="00E33E53" w:rsidRPr="007670A5" w:rsidRDefault="00EA4356" w:rsidP="0000353E">
      <w:pPr>
        <w:rPr>
          <w:rFonts w:ascii="Times New Roman" w:hAnsi="Times New Roman" w:cs="Times New Roman"/>
          <w:lang w:val="en-US"/>
        </w:rPr>
      </w:pPr>
      <w:r w:rsidRPr="007670A5">
        <w:rPr>
          <w:rFonts w:ascii="Times New Roman" w:hAnsi="Times New Roman" w:cs="Times New Roman"/>
          <w:lang w:val="en-US"/>
        </w:rPr>
        <w:t>34.Manson JE, Cook NR, Lee IM, Christen W, Bassuk SS, Mora S, et al. Marine n−3 fatty acids and prevention of cardiovascular disease. N Engl J Med. 2019;380(1):23-32.</w:t>
      </w:r>
    </w:p>
    <w:p w14:paraId="258C6C61" w14:textId="4F6E70DE" w:rsidR="00245CE4" w:rsidRPr="007670A5" w:rsidRDefault="0056750B" w:rsidP="0000353E">
      <w:pPr>
        <w:rPr>
          <w:rFonts w:ascii="Times New Roman" w:hAnsi="Times New Roman" w:cs="Times New Roman"/>
          <w:lang w:val="en-US"/>
        </w:rPr>
      </w:pPr>
      <w:r w:rsidRPr="007670A5">
        <w:rPr>
          <w:rFonts w:ascii="Times New Roman" w:hAnsi="Times New Roman" w:cs="Times New Roman"/>
          <w:lang w:val="en-US"/>
        </w:rPr>
        <w:lastRenderedPageBreak/>
        <w:t>35. ASCEND Study Collaborative Group. Effects of omega-3 fatty acid supplements in diabetes mellitus. N Engl J Med. 2018;379(16):1540-50.</w:t>
      </w:r>
    </w:p>
    <w:p w14:paraId="1C279BDA" w14:textId="432843EB" w:rsidR="00E3226F" w:rsidRPr="007670A5" w:rsidRDefault="004B6FC2" w:rsidP="0000353E">
      <w:pPr>
        <w:rPr>
          <w:rFonts w:ascii="Times New Roman" w:hAnsi="Times New Roman" w:cs="Times New Roman"/>
          <w:lang w:val="en-US"/>
        </w:rPr>
      </w:pPr>
      <w:r w:rsidRPr="007670A5">
        <w:rPr>
          <w:rFonts w:ascii="Times New Roman" w:hAnsi="Times New Roman" w:cs="Times New Roman"/>
          <w:lang w:val="en-US"/>
        </w:rPr>
        <w:t>3</w:t>
      </w:r>
      <w:r w:rsidR="00BA1D29" w:rsidRPr="007670A5">
        <w:rPr>
          <w:rFonts w:ascii="Times New Roman" w:hAnsi="Times New Roman" w:cs="Times New Roman"/>
          <w:lang w:val="en-US"/>
        </w:rPr>
        <w:t>6</w:t>
      </w:r>
      <w:r w:rsidRPr="007670A5">
        <w:rPr>
          <w:rFonts w:ascii="Times New Roman" w:hAnsi="Times New Roman" w:cs="Times New Roman"/>
          <w:lang w:val="en-US"/>
        </w:rPr>
        <w:t>. Bakbak B, Murat SN, Öztürk S, Akpek M, Kalkan K. Icosapent ethyl and endothelial progenitor cells in cardiovascular risk patients. Angiology. 2021;72(6):551-8.</w:t>
      </w:r>
    </w:p>
    <w:p w14:paraId="78BEF783" w14:textId="36DA15AF" w:rsidR="00BA1D29" w:rsidRPr="007670A5" w:rsidRDefault="00E3226F" w:rsidP="0000353E">
      <w:pPr>
        <w:rPr>
          <w:rFonts w:ascii="Times New Roman" w:hAnsi="Times New Roman" w:cs="Times New Roman"/>
          <w:lang w:val="en-US"/>
        </w:rPr>
      </w:pPr>
      <w:r w:rsidRPr="007670A5">
        <w:rPr>
          <w:rFonts w:ascii="Times New Roman" w:hAnsi="Times New Roman" w:cs="Times New Roman"/>
          <w:lang w:val="en-US"/>
        </w:rPr>
        <w:t>37. Hariri E, Howard BV, Tuttle KR, Miller ER, Weiss NS, de Boer IH, et al. Effect of omega-3 fatty acids on coronary artery calcium progression. Atherosclerosis. 2023;371:117388.</w:t>
      </w:r>
    </w:p>
    <w:p w14:paraId="2E7D9DBE" w14:textId="77E1DD70" w:rsidR="00057AA9" w:rsidRDefault="00245CE4" w:rsidP="0000353E">
      <w:pPr>
        <w:rPr>
          <w:rFonts w:ascii="Times New Roman" w:hAnsi="Times New Roman" w:cs="Times New Roman"/>
        </w:rPr>
      </w:pPr>
      <w:r w:rsidRPr="007670A5">
        <w:rPr>
          <w:rFonts w:ascii="Times New Roman" w:hAnsi="Times New Roman" w:cs="Times New Roman"/>
          <w:lang w:val="en-US"/>
        </w:rPr>
        <w:t>3</w:t>
      </w:r>
      <w:r w:rsidR="00EF24CA" w:rsidRPr="007670A5">
        <w:rPr>
          <w:rFonts w:ascii="Times New Roman" w:hAnsi="Times New Roman" w:cs="Times New Roman"/>
          <w:lang w:val="en-US"/>
        </w:rPr>
        <w:t>8</w:t>
      </w:r>
      <w:r w:rsidRPr="007670A5">
        <w:rPr>
          <w:rFonts w:ascii="Times New Roman" w:hAnsi="Times New Roman" w:cs="Times New Roman"/>
          <w:lang w:val="en-US"/>
        </w:rPr>
        <w:t xml:space="preserve">. Kalstad AA, Myhre PL, Laake K, Tveit SH, Schmidt EB, Smith P, et al. Effects of n-3 fatty acid supplements in elderly patients after myocardial infarction. </w:t>
      </w:r>
      <w:proofErr w:type="spellStart"/>
      <w:r w:rsidRPr="00245CE4">
        <w:rPr>
          <w:rFonts w:ascii="Times New Roman" w:hAnsi="Times New Roman" w:cs="Times New Roman"/>
        </w:rPr>
        <w:t>Circulation</w:t>
      </w:r>
      <w:proofErr w:type="spellEnd"/>
      <w:r w:rsidRPr="00245CE4">
        <w:rPr>
          <w:rFonts w:ascii="Times New Roman" w:hAnsi="Times New Roman" w:cs="Times New Roman"/>
        </w:rPr>
        <w:t>. 2021;143(6):528-39</w:t>
      </w:r>
      <w:r w:rsidR="0000353E">
        <w:rPr>
          <w:rFonts w:ascii="Times New Roman" w:hAnsi="Times New Roman" w:cs="Times New Roman"/>
        </w:rPr>
        <w:t>.</w:t>
      </w:r>
    </w:p>
    <w:p w14:paraId="12C66808" w14:textId="6091B892" w:rsidR="00505A2B" w:rsidRDefault="00505A2B" w:rsidP="00505A2B">
      <w:pPr>
        <w:ind w:left="0"/>
        <w:rPr>
          <w:rFonts w:ascii="Times New Roman" w:hAnsi="Times New Roman" w:cs="Times New Roman"/>
        </w:rPr>
      </w:pPr>
    </w:p>
    <w:p w14:paraId="5162A5AF" w14:textId="507B12F3" w:rsidR="00505A2B" w:rsidRDefault="00505A2B" w:rsidP="00505A2B">
      <w:pPr>
        <w:ind w:left="0"/>
        <w:rPr>
          <w:rFonts w:ascii="Times New Roman" w:hAnsi="Times New Roman" w:cs="Times New Roman"/>
        </w:rPr>
      </w:pPr>
    </w:p>
    <w:p w14:paraId="1C92CF18" w14:textId="471F84E4" w:rsidR="00505A2B" w:rsidRDefault="00505A2B" w:rsidP="00505A2B">
      <w:pPr>
        <w:ind w:left="0"/>
        <w:rPr>
          <w:rFonts w:ascii="Times New Roman" w:hAnsi="Times New Roman" w:cs="Times New Roman"/>
        </w:rPr>
      </w:pPr>
    </w:p>
    <w:p w14:paraId="1F39E902" w14:textId="0BACC4D3" w:rsidR="00505A2B" w:rsidRDefault="00505A2B" w:rsidP="00505A2B">
      <w:pPr>
        <w:ind w:left="0"/>
        <w:rPr>
          <w:rFonts w:ascii="Times New Roman" w:hAnsi="Times New Roman" w:cs="Times New Roman"/>
        </w:rPr>
      </w:pPr>
    </w:p>
    <w:p w14:paraId="7E0796FC" w14:textId="04383491" w:rsidR="00505A2B" w:rsidRDefault="00505A2B" w:rsidP="00505A2B">
      <w:pPr>
        <w:ind w:left="0"/>
        <w:rPr>
          <w:rFonts w:ascii="Times New Roman" w:hAnsi="Times New Roman" w:cs="Times New Roman"/>
        </w:rPr>
      </w:pPr>
    </w:p>
    <w:sectPr w:rsidR="00505A2B" w:rsidSect="00F66302">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77B0E"/>
    <w:multiLevelType w:val="hybridMultilevel"/>
    <w:tmpl w:val="6CA6B2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7621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EC"/>
    <w:rsid w:val="0000057A"/>
    <w:rsid w:val="0000353E"/>
    <w:rsid w:val="00011FA7"/>
    <w:rsid w:val="00014A3E"/>
    <w:rsid w:val="00022E89"/>
    <w:rsid w:val="0002625A"/>
    <w:rsid w:val="00042297"/>
    <w:rsid w:val="00051851"/>
    <w:rsid w:val="00057AA9"/>
    <w:rsid w:val="00074249"/>
    <w:rsid w:val="00081512"/>
    <w:rsid w:val="000924F5"/>
    <w:rsid w:val="00097112"/>
    <w:rsid w:val="000A70BE"/>
    <w:rsid w:val="000B6BBA"/>
    <w:rsid w:val="000C1EAE"/>
    <w:rsid w:val="000C2A37"/>
    <w:rsid w:val="000D76CB"/>
    <w:rsid w:val="000E4C8F"/>
    <w:rsid w:val="000F2641"/>
    <w:rsid w:val="000F3E9E"/>
    <w:rsid w:val="000F4BB7"/>
    <w:rsid w:val="000F5AAC"/>
    <w:rsid w:val="000F7A0E"/>
    <w:rsid w:val="001147B5"/>
    <w:rsid w:val="00120512"/>
    <w:rsid w:val="001413B0"/>
    <w:rsid w:val="00164EE0"/>
    <w:rsid w:val="00172A45"/>
    <w:rsid w:val="00175F9C"/>
    <w:rsid w:val="00184C23"/>
    <w:rsid w:val="0019092E"/>
    <w:rsid w:val="0019626D"/>
    <w:rsid w:val="001C6883"/>
    <w:rsid w:val="001C7FD6"/>
    <w:rsid w:val="001D16A1"/>
    <w:rsid w:val="00202009"/>
    <w:rsid w:val="0020534D"/>
    <w:rsid w:val="00222BD0"/>
    <w:rsid w:val="00224491"/>
    <w:rsid w:val="0022528E"/>
    <w:rsid w:val="00232008"/>
    <w:rsid w:val="00233B43"/>
    <w:rsid w:val="00245CE4"/>
    <w:rsid w:val="00251CA9"/>
    <w:rsid w:val="0026015B"/>
    <w:rsid w:val="002708AE"/>
    <w:rsid w:val="00273A9A"/>
    <w:rsid w:val="0027732B"/>
    <w:rsid w:val="00293FC9"/>
    <w:rsid w:val="002A0783"/>
    <w:rsid w:val="002A7F91"/>
    <w:rsid w:val="002B7EE5"/>
    <w:rsid w:val="002C0DFF"/>
    <w:rsid w:val="002C11E9"/>
    <w:rsid w:val="002C59AB"/>
    <w:rsid w:val="002D1879"/>
    <w:rsid w:val="002E7167"/>
    <w:rsid w:val="002F00C6"/>
    <w:rsid w:val="002F379B"/>
    <w:rsid w:val="00306F30"/>
    <w:rsid w:val="00327C9D"/>
    <w:rsid w:val="003402F9"/>
    <w:rsid w:val="00343461"/>
    <w:rsid w:val="0035272D"/>
    <w:rsid w:val="00354242"/>
    <w:rsid w:val="0035574F"/>
    <w:rsid w:val="00363C82"/>
    <w:rsid w:val="00371E48"/>
    <w:rsid w:val="00372509"/>
    <w:rsid w:val="00374881"/>
    <w:rsid w:val="00391C1F"/>
    <w:rsid w:val="00395605"/>
    <w:rsid w:val="003961B7"/>
    <w:rsid w:val="003A6C2E"/>
    <w:rsid w:val="003C2AB3"/>
    <w:rsid w:val="003C2EE9"/>
    <w:rsid w:val="003C3BBB"/>
    <w:rsid w:val="003E1BC2"/>
    <w:rsid w:val="003E6F23"/>
    <w:rsid w:val="003F65A9"/>
    <w:rsid w:val="00403ECD"/>
    <w:rsid w:val="0042147E"/>
    <w:rsid w:val="00431988"/>
    <w:rsid w:val="004509FA"/>
    <w:rsid w:val="00460C9E"/>
    <w:rsid w:val="00474191"/>
    <w:rsid w:val="00476D95"/>
    <w:rsid w:val="00482BAF"/>
    <w:rsid w:val="00486EFC"/>
    <w:rsid w:val="004901B2"/>
    <w:rsid w:val="004949FB"/>
    <w:rsid w:val="00495B23"/>
    <w:rsid w:val="004A5FCD"/>
    <w:rsid w:val="004B6FC2"/>
    <w:rsid w:val="004B789C"/>
    <w:rsid w:val="004B79E8"/>
    <w:rsid w:val="004C33AA"/>
    <w:rsid w:val="004C7266"/>
    <w:rsid w:val="004E1FFB"/>
    <w:rsid w:val="004E6E5D"/>
    <w:rsid w:val="004F1CED"/>
    <w:rsid w:val="00505A2B"/>
    <w:rsid w:val="00505A3D"/>
    <w:rsid w:val="00510E80"/>
    <w:rsid w:val="00530526"/>
    <w:rsid w:val="00534413"/>
    <w:rsid w:val="00537F6A"/>
    <w:rsid w:val="0056032B"/>
    <w:rsid w:val="00560E53"/>
    <w:rsid w:val="00561741"/>
    <w:rsid w:val="005630C3"/>
    <w:rsid w:val="0056750B"/>
    <w:rsid w:val="00584F25"/>
    <w:rsid w:val="005943A8"/>
    <w:rsid w:val="00596241"/>
    <w:rsid w:val="005A1063"/>
    <w:rsid w:val="005D1943"/>
    <w:rsid w:val="005D1989"/>
    <w:rsid w:val="005D1D3A"/>
    <w:rsid w:val="00617EFF"/>
    <w:rsid w:val="00627960"/>
    <w:rsid w:val="00630A7D"/>
    <w:rsid w:val="00634144"/>
    <w:rsid w:val="0064461C"/>
    <w:rsid w:val="0064759D"/>
    <w:rsid w:val="00652351"/>
    <w:rsid w:val="0066105C"/>
    <w:rsid w:val="00662D97"/>
    <w:rsid w:val="006657CE"/>
    <w:rsid w:val="006770A6"/>
    <w:rsid w:val="0069335E"/>
    <w:rsid w:val="0069537A"/>
    <w:rsid w:val="006978DC"/>
    <w:rsid w:val="006C21AD"/>
    <w:rsid w:val="006C7C00"/>
    <w:rsid w:val="006F1F9B"/>
    <w:rsid w:val="00711548"/>
    <w:rsid w:val="00712D5F"/>
    <w:rsid w:val="0071606B"/>
    <w:rsid w:val="00723695"/>
    <w:rsid w:val="00736F72"/>
    <w:rsid w:val="0074019A"/>
    <w:rsid w:val="00755EBB"/>
    <w:rsid w:val="007578E8"/>
    <w:rsid w:val="007670A5"/>
    <w:rsid w:val="00786C59"/>
    <w:rsid w:val="007A0178"/>
    <w:rsid w:val="007A7961"/>
    <w:rsid w:val="007C1FB3"/>
    <w:rsid w:val="007C5470"/>
    <w:rsid w:val="007D1D7C"/>
    <w:rsid w:val="007F6158"/>
    <w:rsid w:val="00802FA4"/>
    <w:rsid w:val="00805498"/>
    <w:rsid w:val="0082450A"/>
    <w:rsid w:val="00826DEA"/>
    <w:rsid w:val="008367C7"/>
    <w:rsid w:val="00842682"/>
    <w:rsid w:val="00843EA9"/>
    <w:rsid w:val="00844312"/>
    <w:rsid w:val="0085286F"/>
    <w:rsid w:val="00865A2C"/>
    <w:rsid w:val="008739FF"/>
    <w:rsid w:val="008805DD"/>
    <w:rsid w:val="00881462"/>
    <w:rsid w:val="00894A5F"/>
    <w:rsid w:val="008A273C"/>
    <w:rsid w:val="009107B9"/>
    <w:rsid w:val="00913D70"/>
    <w:rsid w:val="00914045"/>
    <w:rsid w:val="0091649A"/>
    <w:rsid w:val="0092359A"/>
    <w:rsid w:val="00931153"/>
    <w:rsid w:val="00932E31"/>
    <w:rsid w:val="00940BCB"/>
    <w:rsid w:val="009453DD"/>
    <w:rsid w:val="009568F6"/>
    <w:rsid w:val="009630AD"/>
    <w:rsid w:val="00984076"/>
    <w:rsid w:val="009847A4"/>
    <w:rsid w:val="009926B3"/>
    <w:rsid w:val="009948AC"/>
    <w:rsid w:val="009972FE"/>
    <w:rsid w:val="009A1C22"/>
    <w:rsid w:val="009A7270"/>
    <w:rsid w:val="009B72D5"/>
    <w:rsid w:val="009C6855"/>
    <w:rsid w:val="009D447E"/>
    <w:rsid w:val="009E68AC"/>
    <w:rsid w:val="009F28D0"/>
    <w:rsid w:val="009F4EAB"/>
    <w:rsid w:val="00A027CF"/>
    <w:rsid w:val="00A05271"/>
    <w:rsid w:val="00A062C8"/>
    <w:rsid w:val="00A14323"/>
    <w:rsid w:val="00A14F1B"/>
    <w:rsid w:val="00A275F4"/>
    <w:rsid w:val="00A313B9"/>
    <w:rsid w:val="00A37710"/>
    <w:rsid w:val="00A4132D"/>
    <w:rsid w:val="00A41798"/>
    <w:rsid w:val="00A42EB2"/>
    <w:rsid w:val="00A43A54"/>
    <w:rsid w:val="00A52D45"/>
    <w:rsid w:val="00A5621C"/>
    <w:rsid w:val="00A667AC"/>
    <w:rsid w:val="00A66DFD"/>
    <w:rsid w:val="00A67F89"/>
    <w:rsid w:val="00A850A9"/>
    <w:rsid w:val="00A9123E"/>
    <w:rsid w:val="00AA72AA"/>
    <w:rsid w:val="00AB39CE"/>
    <w:rsid w:val="00AC4504"/>
    <w:rsid w:val="00AD0DC6"/>
    <w:rsid w:val="00AE56F1"/>
    <w:rsid w:val="00AF3CAF"/>
    <w:rsid w:val="00B05976"/>
    <w:rsid w:val="00B14695"/>
    <w:rsid w:val="00B146BA"/>
    <w:rsid w:val="00B46D51"/>
    <w:rsid w:val="00B60C91"/>
    <w:rsid w:val="00B63064"/>
    <w:rsid w:val="00B66CF7"/>
    <w:rsid w:val="00B74110"/>
    <w:rsid w:val="00B84AA6"/>
    <w:rsid w:val="00B96310"/>
    <w:rsid w:val="00BA1D29"/>
    <w:rsid w:val="00BB1F66"/>
    <w:rsid w:val="00BB6401"/>
    <w:rsid w:val="00BC3DF7"/>
    <w:rsid w:val="00BD600A"/>
    <w:rsid w:val="00BF305C"/>
    <w:rsid w:val="00C07FD3"/>
    <w:rsid w:val="00C15196"/>
    <w:rsid w:val="00C21D5F"/>
    <w:rsid w:val="00C2648E"/>
    <w:rsid w:val="00C27156"/>
    <w:rsid w:val="00C4101C"/>
    <w:rsid w:val="00C51414"/>
    <w:rsid w:val="00C53664"/>
    <w:rsid w:val="00C55141"/>
    <w:rsid w:val="00C81CEE"/>
    <w:rsid w:val="00C83A1B"/>
    <w:rsid w:val="00CA13B9"/>
    <w:rsid w:val="00CB3C27"/>
    <w:rsid w:val="00CC0B62"/>
    <w:rsid w:val="00CC4E0B"/>
    <w:rsid w:val="00CD3A75"/>
    <w:rsid w:val="00CD68EC"/>
    <w:rsid w:val="00CE5A72"/>
    <w:rsid w:val="00CF3018"/>
    <w:rsid w:val="00D0395C"/>
    <w:rsid w:val="00D153B2"/>
    <w:rsid w:val="00D24ABD"/>
    <w:rsid w:val="00D262E7"/>
    <w:rsid w:val="00D26F11"/>
    <w:rsid w:val="00D3702E"/>
    <w:rsid w:val="00D37A02"/>
    <w:rsid w:val="00D4456F"/>
    <w:rsid w:val="00D62841"/>
    <w:rsid w:val="00D67A39"/>
    <w:rsid w:val="00D839C9"/>
    <w:rsid w:val="00D875AC"/>
    <w:rsid w:val="00DA6B75"/>
    <w:rsid w:val="00DB07B2"/>
    <w:rsid w:val="00DD36A5"/>
    <w:rsid w:val="00DD56DF"/>
    <w:rsid w:val="00DE1D95"/>
    <w:rsid w:val="00DE4C21"/>
    <w:rsid w:val="00E00FD3"/>
    <w:rsid w:val="00E013AF"/>
    <w:rsid w:val="00E03DEC"/>
    <w:rsid w:val="00E06CF8"/>
    <w:rsid w:val="00E106D8"/>
    <w:rsid w:val="00E17249"/>
    <w:rsid w:val="00E201AB"/>
    <w:rsid w:val="00E27DDB"/>
    <w:rsid w:val="00E3226F"/>
    <w:rsid w:val="00E32AEC"/>
    <w:rsid w:val="00E33E53"/>
    <w:rsid w:val="00E354E6"/>
    <w:rsid w:val="00E506D6"/>
    <w:rsid w:val="00E53433"/>
    <w:rsid w:val="00E70F89"/>
    <w:rsid w:val="00E775A2"/>
    <w:rsid w:val="00E803DA"/>
    <w:rsid w:val="00E80B6A"/>
    <w:rsid w:val="00E81D07"/>
    <w:rsid w:val="00E87ECD"/>
    <w:rsid w:val="00E97023"/>
    <w:rsid w:val="00E9743E"/>
    <w:rsid w:val="00EA4356"/>
    <w:rsid w:val="00EB08A9"/>
    <w:rsid w:val="00EB0F7C"/>
    <w:rsid w:val="00EB24AF"/>
    <w:rsid w:val="00EB4097"/>
    <w:rsid w:val="00EC5396"/>
    <w:rsid w:val="00ED5AA8"/>
    <w:rsid w:val="00EE67CE"/>
    <w:rsid w:val="00EF24CA"/>
    <w:rsid w:val="00EF78E4"/>
    <w:rsid w:val="00F24331"/>
    <w:rsid w:val="00F27895"/>
    <w:rsid w:val="00F32505"/>
    <w:rsid w:val="00F441A3"/>
    <w:rsid w:val="00F51D2E"/>
    <w:rsid w:val="00F626BF"/>
    <w:rsid w:val="00F66302"/>
    <w:rsid w:val="00F67243"/>
    <w:rsid w:val="00F776F7"/>
    <w:rsid w:val="00F804FF"/>
    <w:rsid w:val="00F956FE"/>
    <w:rsid w:val="00F95EEE"/>
    <w:rsid w:val="00FA103B"/>
    <w:rsid w:val="00FA478B"/>
    <w:rsid w:val="00FA60C2"/>
    <w:rsid w:val="00FC24F2"/>
    <w:rsid w:val="00FC2583"/>
    <w:rsid w:val="00FC288E"/>
    <w:rsid w:val="00FD088D"/>
    <w:rsid w:val="00FF0F26"/>
    <w:rsid w:val="00FF327F"/>
    <w:rsid w:val="686CAB0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C6FD"/>
  <w15:chartTrackingRefBased/>
  <w15:docId w15:val="{56DD4B8A-4E24-4026-BCEA-E4881F12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before="60" w:after="60" w:line="360" w:lineRule="auto"/>
        <w:ind w:left="1134" w:right="113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8DC"/>
  </w:style>
  <w:style w:type="paragraph" w:styleId="Ttulo1">
    <w:name w:val="heading 1"/>
    <w:basedOn w:val="Normal"/>
    <w:next w:val="Normal"/>
    <w:uiPriority w:val="9"/>
    <w:qFormat/>
    <w:rsid w:val="00E03D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E03D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E03D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E03D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E03D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E03D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E03D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E03D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E03DE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PargrafodaLista">
    <w:name w:val="List Paragraph"/>
    <w:basedOn w:val="Normal"/>
    <w:uiPriority w:val="34"/>
    <w:qFormat/>
    <w:rsid w:val="00E03DEC"/>
    <w:pPr>
      <w:ind w:left="720"/>
      <w:contextualSpacing/>
    </w:pPr>
  </w:style>
  <w:style w:type="character" w:styleId="nfaseIntensa">
    <w:name w:val="Intense Emphasis"/>
    <w:basedOn w:val="Fontepargpadro"/>
    <w:uiPriority w:val="21"/>
    <w:qFormat/>
    <w:rsid w:val="00E03DEC"/>
    <w:rPr>
      <w:i/>
      <w:iCs/>
      <w:color w:val="0F4761" w:themeColor="accent1" w:themeShade="BF"/>
    </w:rPr>
  </w:style>
  <w:style w:type="character" w:styleId="RefernciaIntensa">
    <w:name w:val="Intense Reference"/>
    <w:basedOn w:val="Fontepargpadro"/>
    <w:uiPriority w:val="32"/>
    <w:qFormat/>
    <w:rsid w:val="00E03DEC"/>
    <w:rPr>
      <w:b/>
      <w:bCs/>
      <w:smallCaps/>
      <w:color w:val="0F4761" w:themeColor="accent1" w:themeShade="BF"/>
      <w:spacing w:val="5"/>
    </w:rPr>
  </w:style>
  <w:style w:type="table" w:customStyle="1" w:styleId="TableGrid">
    <w:name w:val="TableGrid"/>
    <w:rsid w:val="00894A5F"/>
    <w:pPr>
      <w:spacing w:after="0" w:line="240" w:lineRule="auto"/>
    </w:pPr>
    <w:rPr>
      <w:rFonts w:eastAsiaTheme="minorEastAsia"/>
      <w:lang w:eastAsia="pt-BR"/>
    </w:rPr>
    <w:tblPr>
      <w:tblCellMar>
        <w:top w:w="0" w:type="dxa"/>
        <w:left w:w="0" w:type="dxa"/>
        <w:bottom w:w="0" w:type="dxa"/>
        <w:right w:w="0" w:type="dxa"/>
      </w:tblCellMar>
    </w:tblPr>
  </w:style>
  <w:style w:type="character" w:customStyle="1" w:styleId="Ttulo1Char">
    <w:name w:val="Título 1 Char"/>
    <w:basedOn w:val="Fontepargpadro"/>
    <w:uiPriority w:val="9"/>
    <w:rsid w:val="004B789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4B789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4B789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4B789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4B789C"/>
    <w:rPr>
      <w:rFonts w:eastAsiaTheme="majorEastAsia" w:cstheme="majorBidi"/>
      <w:color w:val="0F4761" w:themeColor="accent1" w:themeShade="BF"/>
    </w:rPr>
  </w:style>
  <w:style w:type="character" w:customStyle="1" w:styleId="Ttulo6Char">
    <w:name w:val="Título 6 Char"/>
    <w:basedOn w:val="Fontepargpadro"/>
    <w:uiPriority w:val="9"/>
    <w:semiHidden/>
    <w:rsid w:val="004B789C"/>
    <w:rPr>
      <w:rFonts w:eastAsiaTheme="majorEastAsia" w:cstheme="majorBidi"/>
      <w:i/>
      <w:iCs/>
      <w:color w:val="595959" w:themeColor="text1" w:themeTint="A6"/>
    </w:rPr>
  </w:style>
  <w:style w:type="character" w:customStyle="1" w:styleId="Ttulo7Char">
    <w:name w:val="Título 7 Char"/>
    <w:basedOn w:val="Fontepargpadro"/>
    <w:uiPriority w:val="9"/>
    <w:semiHidden/>
    <w:rsid w:val="004B789C"/>
    <w:rPr>
      <w:rFonts w:eastAsiaTheme="majorEastAsia" w:cstheme="majorBidi"/>
      <w:color w:val="595959" w:themeColor="text1" w:themeTint="A6"/>
    </w:rPr>
  </w:style>
  <w:style w:type="character" w:customStyle="1" w:styleId="Ttulo8Char">
    <w:name w:val="Título 8 Char"/>
    <w:basedOn w:val="Fontepargpadro"/>
    <w:uiPriority w:val="9"/>
    <w:semiHidden/>
    <w:rsid w:val="004B789C"/>
    <w:rPr>
      <w:rFonts w:eastAsiaTheme="majorEastAsia" w:cstheme="majorBidi"/>
      <w:i/>
      <w:iCs/>
      <w:color w:val="272727" w:themeColor="text1" w:themeTint="D8"/>
    </w:rPr>
  </w:style>
  <w:style w:type="character" w:customStyle="1" w:styleId="Ttulo9Char">
    <w:name w:val="Título 9 Char"/>
    <w:basedOn w:val="Fontepargpadro"/>
    <w:uiPriority w:val="9"/>
    <w:semiHidden/>
    <w:rsid w:val="004B789C"/>
    <w:rPr>
      <w:rFonts w:eastAsiaTheme="majorEastAsia" w:cstheme="majorBidi"/>
      <w:color w:val="272727" w:themeColor="text1" w:themeTint="D8"/>
    </w:rPr>
  </w:style>
  <w:style w:type="character" w:customStyle="1" w:styleId="TtuloChar">
    <w:name w:val="Título Char"/>
    <w:basedOn w:val="Fontepargpadro"/>
    <w:uiPriority w:val="10"/>
    <w:rsid w:val="004B789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4B789C"/>
    <w:rPr>
      <w:rFonts w:eastAsiaTheme="majorEastAsia" w:cstheme="majorBidi"/>
      <w:color w:val="595959" w:themeColor="text1" w:themeTint="A6"/>
      <w:spacing w:val="15"/>
      <w:sz w:val="28"/>
      <w:szCs w:val="28"/>
    </w:rPr>
  </w:style>
  <w:style w:type="character" w:customStyle="1" w:styleId="CitaoChar">
    <w:name w:val="Citação Char"/>
    <w:basedOn w:val="Fontepargpadro"/>
    <w:uiPriority w:val="29"/>
    <w:rsid w:val="004B789C"/>
    <w:rPr>
      <w:i/>
      <w:iCs/>
      <w:color w:val="404040" w:themeColor="text1" w:themeTint="BF"/>
    </w:rPr>
  </w:style>
  <w:style w:type="character" w:customStyle="1" w:styleId="CitaoIntensaChar">
    <w:name w:val="Citação Intensa Char"/>
    <w:basedOn w:val="Fontepargpadro"/>
    <w:uiPriority w:val="30"/>
    <w:rsid w:val="004B789C"/>
    <w:rPr>
      <w:i/>
      <w:iCs/>
      <w:color w:val="0F4761" w:themeColor="accent1" w:themeShade="BF"/>
    </w:rPr>
  </w:style>
  <w:style w:type="table" w:styleId="Tabelacomgrade">
    <w:name w:val="Table Grid"/>
    <w:basedOn w:val="Tabelanormal"/>
    <w:uiPriority w:val="39"/>
    <w:rsid w:val="00505A2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17</Pages>
  <Words>4404</Words>
  <Characters>23784</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KALYNNY GOMES DA SILVA</dc:creator>
  <cp:keywords/>
  <dc:description/>
  <cp:lastModifiedBy>KALYNNY GOMES DA SILVA</cp:lastModifiedBy>
  <cp:revision>19</cp:revision>
  <dcterms:created xsi:type="dcterms:W3CDTF">2026-06-17T16:21:00Z</dcterms:created>
  <dcterms:modified xsi:type="dcterms:W3CDTF">2026-06-17T16:59:00Z</dcterms:modified>
</cp:coreProperties>
</file>