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0F686" w14:textId="2096BEB2" w:rsidR="00B037D6" w:rsidRDefault="3E7EC45B" w:rsidP="00BB703B">
      <w:pPr>
        <w:spacing w:line="480" w:lineRule="auto"/>
        <w:ind w:right="8"/>
        <w:rPr>
          <w:rFonts w:ascii="Arial" w:hAnsi="Arial" w:cs="Arial"/>
          <w:b/>
          <w:bCs/>
          <w:sz w:val="24"/>
        </w:rPr>
      </w:pPr>
      <w:r w:rsidRPr="00BB703B">
        <w:rPr>
          <w:rFonts w:ascii="Arial" w:hAnsi="Arial" w:cs="Arial"/>
          <w:b/>
          <w:bCs/>
          <w:sz w:val="24"/>
        </w:rPr>
        <w:t>Vitamina D e dismenorreia: uma revisão da literatura</w:t>
      </w:r>
    </w:p>
    <w:p w14:paraId="4B815D22" w14:textId="3276BF34" w:rsidR="00BB703B" w:rsidRPr="00BB703B" w:rsidRDefault="00BB703B" w:rsidP="00BB703B">
      <w:pPr>
        <w:spacing w:line="480" w:lineRule="auto"/>
        <w:ind w:right="8"/>
        <w:rPr>
          <w:rFonts w:ascii="Arial" w:hAnsi="Arial" w:cs="Arial"/>
          <w:sz w:val="24"/>
          <w:lang w:val="en-US"/>
        </w:rPr>
      </w:pPr>
      <w:r w:rsidRPr="00BB703B">
        <w:rPr>
          <w:rFonts w:ascii="Arial" w:hAnsi="Arial" w:cs="Arial"/>
          <w:sz w:val="24"/>
          <w:lang w:val="en-US"/>
        </w:rPr>
        <w:t xml:space="preserve">Vitamin D and dysmenorrhea: a literature </w:t>
      </w:r>
      <w:r w:rsidR="00805036" w:rsidRPr="00BB703B">
        <w:rPr>
          <w:rFonts w:ascii="Arial" w:hAnsi="Arial" w:cs="Arial"/>
          <w:sz w:val="24"/>
          <w:lang w:val="en-US"/>
        </w:rPr>
        <w:t>review</w:t>
      </w:r>
    </w:p>
    <w:p w14:paraId="3ABF510B" w14:textId="77777777" w:rsidR="00EE2A67" w:rsidRPr="00BB703B" w:rsidRDefault="00EE2A67" w:rsidP="00BB703B">
      <w:pPr>
        <w:spacing w:line="480" w:lineRule="auto"/>
        <w:ind w:right="8"/>
        <w:rPr>
          <w:rFonts w:ascii="Arial" w:hAnsi="Arial" w:cs="Arial"/>
          <w:b/>
          <w:bCs/>
          <w:sz w:val="24"/>
          <w:lang w:val="en-US"/>
        </w:rPr>
      </w:pPr>
    </w:p>
    <w:p w14:paraId="35DB020F" w14:textId="2EE8F9AE" w:rsidR="00D56554" w:rsidRPr="00BB703B" w:rsidRDefault="00D56554" w:rsidP="00BB703B">
      <w:pPr>
        <w:spacing w:line="480" w:lineRule="auto"/>
        <w:ind w:right="8"/>
        <w:rPr>
          <w:rFonts w:ascii="Arial" w:hAnsi="Arial" w:cs="Arial"/>
          <w:b/>
          <w:bCs/>
          <w:sz w:val="24"/>
        </w:rPr>
      </w:pPr>
      <w:r w:rsidRPr="00BB703B">
        <w:rPr>
          <w:rFonts w:ascii="Arial" w:hAnsi="Arial" w:cs="Arial"/>
          <w:b/>
          <w:bCs/>
          <w:sz w:val="24"/>
        </w:rPr>
        <w:t xml:space="preserve">Resumo: </w:t>
      </w:r>
    </w:p>
    <w:p w14:paraId="56B7A1B7" w14:textId="0EB7DAA7" w:rsidR="00D52AFB" w:rsidRPr="00BB703B" w:rsidRDefault="484795A1" w:rsidP="00AE1DED">
      <w:pPr>
        <w:pStyle w:val="p1"/>
        <w:spacing w:line="480" w:lineRule="auto"/>
        <w:ind w:right="8"/>
        <w:jc w:val="both"/>
        <w:rPr>
          <w:rFonts w:ascii="Arial" w:hAnsi="Arial" w:cs="Arial"/>
        </w:rPr>
      </w:pPr>
      <w:r w:rsidRPr="00AE1DED">
        <w:rPr>
          <w:rFonts w:ascii="Arial" w:hAnsi="Arial" w:cs="Arial"/>
          <w:b/>
          <w:bCs/>
        </w:rPr>
        <w:t xml:space="preserve">Introdução: </w:t>
      </w:r>
      <w:r w:rsidRPr="00AE1DED">
        <w:rPr>
          <w:rFonts w:ascii="Arial" w:hAnsi="Arial" w:cs="Arial"/>
        </w:rPr>
        <w:t>A dismenorreia</w:t>
      </w:r>
      <w:r w:rsidRPr="00BB703B">
        <w:rPr>
          <w:rFonts w:ascii="Arial" w:hAnsi="Arial" w:cs="Arial"/>
        </w:rPr>
        <w:t xml:space="preserve"> é uma condição ginecológica caracterizada por dor pélvica durante o período menstrual,</w:t>
      </w:r>
      <w:r w:rsidR="00767A86">
        <w:rPr>
          <w:rFonts w:ascii="Arial" w:hAnsi="Arial" w:cs="Arial"/>
        </w:rPr>
        <w:t xml:space="preserve"> e</w:t>
      </w:r>
      <w:r w:rsidR="00767A86" w:rsidRPr="00767A86">
        <w:rPr>
          <w:rFonts w:ascii="Arial" w:hAnsi="Arial" w:cs="Arial"/>
        </w:rPr>
        <w:t>ntre os fatores estudados para o manejo da dismenorreia, destaca-se a vitamina D, devido ao seu possível papel na regulação de processos inflamatórios</w:t>
      </w:r>
      <w:r w:rsidRPr="00BB703B">
        <w:rPr>
          <w:rFonts w:ascii="Arial" w:hAnsi="Arial" w:cs="Arial"/>
        </w:rPr>
        <w:t xml:space="preserve">. </w:t>
      </w:r>
      <w:r w:rsidRPr="00BB703B">
        <w:rPr>
          <w:rFonts w:ascii="Arial" w:hAnsi="Arial" w:cs="Arial"/>
          <w:b/>
          <w:bCs/>
        </w:rPr>
        <w:t>Objetivo:</w:t>
      </w:r>
      <w:r w:rsidRPr="00BB703B">
        <w:rPr>
          <w:rFonts w:ascii="Arial" w:hAnsi="Arial" w:cs="Arial"/>
        </w:rPr>
        <w:t xml:space="preserve"> investigar os efeitos da deficiência e da suplementação (isolada ou combinada) da vitamina D nos sintomas da dismenorreia, incluindo dor e perda de sangue menstrual. </w:t>
      </w:r>
      <w:r w:rsidRPr="00BB703B">
        <w:rPr>
          <w:rFonts w:ascii="Arial" w:hAnsi="Arial" w:cs="Arial"/>
          <w:b/>
          <w:bCs/>
        </w:rPr>
        <w:t>Métodos</w:t>
      </w:r>
      <w:r w:rsidRPr="00BB703B">
        <w:rPr>
          <w:rFonts w:ascii="Arial" w:hAnsi="Arial" w:cs="Arial"/>
        </w:rPr>
        <w:t>: Trata-se de uma revisão de literatura do tipo narrativa, que analisou estudos publicados entre 2015 e 2025, que avaliaram a relação entre deficiência e suplementação de vitamina D em mulheres com dismenorreia. As bases de dados foram</w:t>
      </w:r>
      <w:r w:rsidRPr="00BB703B">
        <w:rPr>
          <w:rFonts w:ascii="Arial" w:hAnsi="Arial" w:cs="Arial"/>
          <w:color w:val="FF0000"/>
        </w:rPr>
        <w:t xml:space="preserve"> </w:t>
      </w:r>
      <w:r w:rsidRPr="00BB703B">
        <w:rPr>
          <w:rFonts w:ascii="Arial" w:hAnsi="Arial" w:cs="Arial"/>
          <w:i/>
          <w:iCs/>
        </w:rPr>
        <w:t xml:space="preserve">PubMed, SciElo e LILACS, </w:t>
      </w:r>
      <w:r w:rsidRPr="00BB703B">
        <w:rPr>
          <w:rFonts w:ascii="Arial" w:hAnsi="Arial" w:cs="Arial"/>
        </w:rPr>
        <w:t>utilizando os descritores</w:t>
      </w:r>
      <w:r w:rsidRPr="00BB703B">
        <w:rPr>
          <w:rFonts w:ascii="Arial" w:hAnsi="Arial" w:cs="Arial"/>
          <w:i/>
          <w:iCs/>
        </w:rPr>
        <w:t xml:space="preserve"> Dysmenorrhea; Vitamin D; Nutritional Supplements; Women's health, menstrual cycle, bleeding, and pain management.</w:t>
      </w:r>
      <w:r w:rsidRPr="00BB703B">
        <w:rPr>
          <w:rFonts w:ascii="Arial" w:hAnsi="Arial" w:cs="Arial"/>
        </w:rPr>
        <w:t xml:space="preserve"> </w:t>
      </w:r>
      <w:r w:rsidRPr="00BB703B">
        <w:rPr>
          <w:rFonts w:ascii="Arial" w:hAnsi="Arial" w:cs="Arial"/>
          <w:b/>
          <w:bCs/>
        </w:rPr>
        <w:t>Resultados:</w:t>
      </w:r>
      <w:r w:rsidRPr="00BB703B">
        <w:rPr>
          <w:rFonts w:ascii="Arial" w:hAnsi="Arial" w:cs="Arial"/>
        </w:rPr>
        <w:t xml:space="preserve"> A suplementação de vitamina D, especialmente em casos de deficiência, esteve associada à redução da intensidade da dor, diminuição do número de dias com sintomas e menor uso de analgésicos. </w:t>
      </w:r>
      <w:r w:rsidRPr="002A5ADE">
        <w:rPr>
          <w:rFonts w:ascii="Arial" w:hAnsi="Arial" w:cs="Arial"/>
        </w:rPr>
        <w:t>Também foram observadas melhorias em sintomas da síndrome pré-menstrual, como fadiga, cefaleia e alterações emocionais.</w:t>
      </w:r>
      <w:r w:rsidRPr="00BB703B">
        <w:rPr>
          <w:rFonts w:ascii="Arial" w:hAnsi="Arial" w:cs="Arial"/>
        </w:rPr>
        <w:t xml:space="preserve"> Houve divergência entre os estudos quanto à dose e tempo de suplementação. A avaliação individual dos níveis séricos de vitamina D se mostrou importante na prática clínica. </w:t>
      </w:r>
      <w:r w:rsidRPr="006C7A52">
        <w:rPr>
          <w:rFonts w:ascii="Arial" w:hAnsi="Arial" w:cs="Arial"/>
          <w:b/>
          <w:bCs/>
        </w:rPr>
        <w:t>Conclusões:</w:t>
      </w:r>
      <w:r w:rsidRPr="00BB703B">
        <w:rPr>
          <w:rFonts w:ascii="Arial" w:hAnsi="Arial" w:cs="Arial"/>
        </w:rPr>
        <w:t xml:space="preserve"> A vitamina D pode ser uma estratégia complementar no manejo da dismenorreia, mas ainda são necessárias mais pesquisas, especialmente no contexto brasileiro.</w:t>
      </w:r>
      <w:r w:rsidR="00FD5191" w:rsidRPr="00FD5191">
        <w:t xml:space="preserve"> </w:t>
      </w:r>
      <w:r w:rsidR="00FD5191">
        <w:rPr>
          <w:rFonts w:ascii="Arial" w:hAnsi="Arial" w:cs="Arial"/>
        </w:rPr>
        <w:t>A suplementação estudada mostra que mulheres com dismenorreia primária e deficiência de vitamina D são as principais beneficiadas, principalmente quando há confirmação laboratorial de baixos níveis séricos de 25(OH)D</w:t>
      </w:r>
      <w:r w:rsidR="00875F4A">
        <w:rPr>
          <w:rFonts w:ascii="Arial" w:hAnsi="Arial" w:cs="Arial"/>
        </w:rPr>
        <w:t xml:space="preserve">. Assim manejando a  suplementação oral de colecalciferol (vitamina D3), nas doses estudadas que variam de 5.000 UI/ dia a 50.000 UI/ semana. </w:t>
      </w:r>
    </w:p>
    <w:p w14:paraId="5284AE5F" w14:textId="525AA26F" w:rsidR="00AE1DED" w:rsidRPr="006C7A52" w:rsidRDefault="3E7EC45B" w:rsidP="00BB703B">
      <w:pPr>
        <w:pStyle w:val="p1"/>
        <w:spacing w:line="480" w:lineRule="auto"/>
        <w:ind w:right="8"/>
        <w:rPr>
          <w:rFonts w:ascii="Arial" w:eastAsia="Times New Roman" w:hAnsi="Arial" w:cs="Arial"/>
          <w:color w:val="212529"/>
        </w:rPr>
      </w:pPr>
      <w:r w:rsidRPr="00BB703B">
        <w:rPr>
          <w:rFonts w:ascii="Arial" w:hAnsi="Arial" w:cs="Arial"/>
          <w:b/>
          <w:bCs/>
        </w:rPr>
        <w:t xml:space="preserve">Palavras-chave: </w:t>
      </w:r>
      <w:r w:rsidRPr="00BB703B">
        <w:rPr>
          <w:rFonts w:ascii="Arial" w:hAnsi="Arial" w:cs="Arial"/>
        </w:rPr>
        <w:t xml:space="preserve">Dismenorreia; Vitamina D; Suplementos Nutricionais; Saúde da mulher; Ciclo menstrual; </w:t>
      </w:r>
      <w:r w:rsidRPr="00BB703B">
        <w:rPr>
          <w:rFonts w:ascii="Arial" w:eastAsia="Times New Roman" w:hAnsi="Arial" w:cs="Arial"/>
          <w:color w:val="212529"/>
        </w:rPr>
        <w:t xml:space="preserve">Manejo da Dor. </w:t>
      </w:r>
    </w:p>
    <w:p w14:paraId="03A1FB89" w14:textId="0B23209B" w:rsidR="00D56554" w:rsidRPr="00BB703B" w:rsidRDefault="00BB703B" w:rsidP="00BB703B">
      <w:pPr>
        <w:spacing w:line="480" w:lineRule="auto"/>
        <w:ind w:left="0" w:right="8" w:firstLine="0"/>
        <w:rPr>
          <w:rFonts w:ascii="Arial" w:hAnsi="Arial" w:cs="Arial"/>
          <w:b/>
          <w:bCs/>
          <w:sz w:val="24"/>
        </w:rPr>
      </w:pPr>
      <w:r w:rsidRPr="00BB703B">
        <w:rPr>
          <w:rFonts w:ascii="Arial" w:hAnsi="Arial" w:cs="Arial"/>
          <w:b/>
          <w:bCs/>
          <w:sz w:val="24"/>
        </w:rPr>
        <w:t>INTRODUÇÃO</w:t>
      </w:r>
    </w:p>
    <w:p w14:paraId="3287C8BC" w14:textId="27987A0F" w:rsidR="00B037D6" w:rsidRPr="00BB703B" w:rsidRDefault="484795A1" w:rsidP="008939E5">
      <w:pPr>
        <w:spacing w:line="480" w:lineRule="auto"/>
        <w:ind w:left="0" w:right="8" w:firstLine="708"/>
        <w:rPr>
          <w:rFonts w:ascii="Arial" w:hAnsi="Arial" w:cs="Arial"/>
          <w:sz w:val="24"/>
          <w:vertAlign w:val="superscript"/>
        </w:rPr>
      </w:pPr>
      <w:r w:rsidRPr="00BB703B">
        <w:rPr>
          <w:rFonts w:ascii="Arial" w:hAnsi="Arial" w:cs="Arial"/>
          <w:sz w:val="24"/>
        </w:rPr>
        <w:t>A dismenorreia é uma das queixas ginecológicas mais prevalentes entre mulheres em idade reprodutiva, caracterizado por dor pélvica intensa associada ao período menstrual, podendo vir acompanhada de sintomas como náuseas, fadiga, cefaleia, irritabilidade e em casos mais</w:t>
      </w:r>
      <w:r w:rsidR="00DC60D0">
        <w:rPr>
          <w:rFonts w:ascii="Arial" w:hAnsi="Arial" w:cs="Arial"/>
          <w:sz w:val="24"/>
        </w:rPr>
        <w:t xml:space="preserve"> graves</w:t>
      </w:r>
      <w:r w:rsidRPr="00DC60D0">
        <w:rPr>
          <w:rFonts w:ascii="Arial" w:hAnsi="Arial" w:cs="Arial"/>
          <w:sz w:val="24"/>
        </w:rPr>
        <w:t xml:space="preserve"> </w:t>
      </w:r>
      <w:r w:rsidRPr="00BB703B">
        <w:rPr>
          <w:rFonts w:ascii="Arial" w:hAnsi="Arial" w:cs="Arial"/>
          <w:sz w:val="24"/>
        </w:rPr>
        <w:t>limitações do dia a dia. Essa condição é classificada em dismenorreia primária, quando não há patologia pélvica associada, e</w:t>
      </w:r>
      <w:r w:rsidR="002A5ADE">
        <w:rPr>
          <w:rFonts w:ascii="Arial" w:hAnsi="Arial" w:cs="Arial"/>
          <w:sz w:val="24"/>
        </w:rPr>
        <w:t xml:space="preserve"> dismenorreia secund</w:t>
      </w:r>
      <w:r w:rsidR="00DC60D0">
        <w:rPr>
          <w:rFonts w:ascii="Arial" w:hAnsi="Arial" w:cs="Arial"/>
          <w:sz w:val="24"/>
        </w:rPr>
        <w:t>a</w:t>
      </w:r>
      <w:r w:rsidRPr="00BB703B">
        <w:rPr>
          <w:rFonts w:ascii="Arial" w:hAnsi="Arial" w:cs="Arial"/>
          <w:sz w:val="24"/>
        </w:rPr>
        <w:t>ria, quando está relacionada a condições como endometriose, adenomiose ou miomas uterinos</w:t>
      </w:r>
      <w:r w:rsidRPr="008939E5">
        <w:rPr>
          <w:rFonts w:ascii="Arial" w:hAnsi="Arial" w:cs="Arial"/>
          <w:sz w:val="24"/>
        </w:rPr>
        <w:t>.</w:t>
      </w:r>
      <w:r w:rsidRPr="00BB703B">
        <w:rPr>
          <w:rFonts w:ascii="Arial" w:hAnsi="Arial" w:cs="Arial"/>
          <w:sz w:val="24"/>
          <w:vertAlign w:val="superscript"/>
        </w:rPr>
        <w:t>1</w:t>
      </w:r>
    </w:p>
    <w:p w14:paraId="1E2CB422" w14:textId="325FB499" w:rsidR="00B037D6" w:rsidRPr="00BB703B" w:rsidRDefault="484795A1" w:rsidP="008939E5">
      <w:pPr>
        <w:spacing w:line="480" w:lineRule="auto"/>
        <w:ind w:left="0" w:right="8" w:firstLine="708"/>
        <w:rPr>
          <w:rFonts w:ascii="Arial" w:hAnsi="Arial" w:cs="Arial"/>
          <w:sz w:val="24"/>
        </w:rPr>
      </w:pPr>
      <w:r w:rsidRPr="00BB703B">
        <w:rPr>
          <w:rFonts w:ascii="Arial" w:hAnsi="Arial" w:cs="Arial"/>
          <w:sz w:val="24"/>
        </w:rPr>
        <w:t xml:space="preserve">A fisiopatologia da dismenorreia inclui principalmente, a produção excessiva de prostaglandinas, que induzem </w:t>
      </w:r>
      <w:r w:rsidR="00925751">
        <w:rPr>
          <w:rFonts w:ascii="Arial" w:hAnsi="Arial" w:cs="Arial"/>
          <w:sz w:val="24"/>
        </w:rPr>
        <w:t xml:space="preserve">a </w:t>
      </w:r>
      <w:r w:rsidRPr="00BB703B">
        <w:rPr>
          <w:rFonts w:ascii="Arial" w:hAnsi="Arial" w:cs="Arial"/>
          <w:sz w:val="24"/>
        </w:rPr>
        <w:t>contrações uterinas exacerbadas, isquemia local e sensibilização das terminações nervosas, resultando em dor intensa</w:t>
      </w:r>
      <w:r w:rsidRPr="00B85AD3">
        <w:rPr>
          <w:rFonts w:ascii="Arial" w:hAnsi="Arial" w:cs="Arial"/>
          <w:sz w:val="24"/>
        </w:rPr>
        <w:t>.</w:t>
      </w:r>
      <w:r w:rsidRPr="00BB703B">
        <w:rPr>
          <w:rFonts w:ascii="Arial" w:hAnsi="Arial" w:cs="Arial"/>
          <w:sz w:val="24"/>
          <w:vertAlign w:val="superscript"/>
        </w:rPr>
        <w:t>2</w:t>
      </w:r>
      <w:r w:rsidRPr="00BB703B">
        <w:rPr>
          <w:rFonts w:ascii="Arial" w:hAnsi="Arial" w:cs="Arial"/>
          <w:sz w:val="24"/>
        </w:rPr>
        <w:t xml:space="preserve"> Diante disso, o manejo terapêutico tradicional inclui o uso de antiinflamatórios não esteroides e anticoncepcionais hormonais; entretanto tais métodos podem apresentar efeitos colaterais</w:t>
      </w:r>
      <w:r w:rsidRPr="008939E5">
        <w:rPr>
          <w:rFonts w:ascii="Arial" w:hAnsi="Arial" w:cs="Arial"/>
          <w:sz w:val="24"/>
        </w:rPr>
        <w:t>.</w:t>
      </w:r>
      <w:r w:rsidRPr="00BB703B">
        <w:rPr>
          <w:rFonts w:ascii="Arial" w:hAnsi="Arial" w:cs="Arial"/>
          <w:sz w:val="24"/>
          <w:vertAlign w:val="superscript"/>
        </w:rPr>
        <w:t xml:space="preserve">3 </w:t>
      </w:r>
      <w:r w:rsidRPr="00BB703B">
        <w:rPr>
          <w:rFonts w:ascii="Arial" w:hAnsi="Arial" w:cs="Arial"/>
          <w:sz w:val="24"/>
        </w:rPr>
        <w:t xml:space="preserve"> </w:t>
      </w:r>
    </w:p>
    <w:p w14:paraId="34073C0B" w14:textId="7D8262B6" w:rsidR="00B037D6" w:rsidRPr="00BB703B" w:rsidRDefault="484795A1" w:rsidP="00B85AD3">
      <w:pPr>
        <w:spacing w:line="480" w:lineRule="auto"/>
        <w:ind w:left="0" w:right="8" w:firstLine="708"/>
        <w:rPr>
          <w:rFonts w:ascii="Arial" w:hAnsi="Arial" w:cs="Arial"/>
          <w:sz w:val="24"/>
          <w:vertAlign w:val="superscript"/>
        </w:rPr>
      </w:pPr>
      <w:r w:rsidRPr="00BB703B">
        <w:rPr>
          <w:rFonts w:ascii="Arial" w:hAnsi="Arial" w:cs="Arial"/>
          <w:sz w:val="24"/>
        </w:rPr>
        <w:t>Nos últimos anos, a vitamina D tem despertado crescente interesse na área de saúde da mulher por suas funções imunomoduladoras e anti</w:t>
      </w:r>
      <w:r w:rsidRPr="00E1609A">
        <w:rPr>
          <w:rFonts w:ascii="Arial" w:hAnsi="Arial" w:cs="Arial"/>
          <w:sz w:val="24"/>
        </w:rPr>
        <w:t>-</w:t>
      </w:r>
      <w:r w:rsidRPr="00BB703B">
        <w:rPr>
          <w:rFonts w:ascii="Arial" w:hAnsi="Arial" w:cs="Arial"/>
          <w:sz w:val="24"/>
        </w:rPr>
        <w:t xml:space="preserve">inflamatórias. Além de sua atuação clássica na homeostase do cálcio e na manutenção do metabolismo ósseo, a vitamina D interfere na expressão de genes relacionados à produção de citocinas e prostaglandinas, sugerindo um possível papel na modulação da dor menstrual. A vitamina D é produzida no próprio organismo a partir de substâncias presentes na pele, quando esta é exposta à luz solar, especialmente aos raios ultravioletas B. </w:t>
      </w:r>
      <w:r w:rsidR="00C93419">
        <w:rPr>
          <w:rFonts w:ascii="Arial" w:hAnsi="Arial" w:cs="Arial"/>
          <w:sz w:val="24"/>
        </w:rPr>
        <w:t>A</w:t>
      </w:r>
      <w:r w:rsidRPr="00BB703B">
        <w:rPr>
          <w:rFonts w:ascii="Arial" w:hAnsi="Arial" w:cs="Arial"/>
          <w:sz w:val="24"/>
        </w:rPr>
        <w:t xml:space="preserve">limentação contribui em menor proporção para os níveis dessa vitamina. Metabolicamente, ela passa por transformações, incialmente no fígado, onde se converte em 25-hidroxivitamina D, e depois nos rins, tornando-se 1,25dihidroxivitamina D, também chamada de calcitriol — uma forma ativa que atua como hormônio esteroide. Seus receptores, conhecidos como receptores de vitamina D (VDR), estão presentes em quase todos os tecidos humanos, o que permite que a vitamina D exerça funções reguladoras amplas, com efeitos endócrinos, </w:t>
      </w:r>
      <w:r w:rsidRPr="00925751">
        <w:rPr>
          <w:rFonts w:ascii="Arial" w:hAnsi="Arial" w:cs="Arial"/>
          <w:sz w:val="24"/>
        </w:rPr>
        <w:t>paracrínicos e autocrínicos</w:t>
      </w:r>
      <w:r w:rsidRPr="00BB703B">
        <w:rPr>
          <w:rFonts w:ascii="Arial" w:hAnsi="Arial" w:cs="Arial"/>
          <w:sz w:val="24"/>
        </w:rPr>
        <w:t xml:space="preserve"> em diversos processos do organismo.</w:t>
      </w:r>
      <w:r w:rsidRPr="00BB703B">
        <w:rPr>
          <w:rFonts w:ascii="Arial" w:hAnsi="Arial" w:cs="Arial"/>
          <w:sz w:val="24"/>
          <w:vertAlign w:val="superscript"/>
        </w:rPr>
        <w:t>4</w:t>
      </w:r>
    </w:p>
    <w:p w14:paraId="1497349C" w14:textId="48B71402" w:rsidR="00B037D6" w:rsidRPr="00BB703B" w:rsidRDefault="484795A1" w:rsidP="00B85AD3">
      <w:pPr>
        <w:spacing w:line="480" w:lineRule="auto"/>
        <w:ind w:left="0" w:right="8" w:firstLine="708"/>
        <w:rPr>
          <w:rFonts w:ascii="Arial" w:hAnsi="Arial" w:cs="Arial"/>
          <w:sz w:val="24"/>
        </w:rPr>
      </w:pPr>
      <w:r w:rsidRPr="00BB703B">
        <w:rPr>
          <w:rFonts w:ascii="Arial" w:hAnsi="Arial" w:cs="Arial"/>
          <w:sz w:val="24"/>
        </w:rPr>
        <w:t>Estudos demostram que a deficiência de vitamina D pode estar associada a dor e</w:t>
      </w:r>
      <w:r w:rsidR="00925751">
        <w:rPr>
          <w:rFonts w:ascii="Arial" w:hAnsi="Arial" w:cs="Arial"/>
          <w:sz w:val="24"/>
        </w:rPr>
        <w:t xml:space="preserve"> </w:t>
      </w:r>
      <w:r w:rsidRPr="00BB703B">
        <w:rPr>
          <w:rFonts w:ascii="Arial" w:hAnsi="Arial" w:cs="Arial"/>
          <w:sz w:val="24"/>
        </w:rPr>
        <w:t>piora dos sintomas menstruais, incluindo o aumento do fluxo e da duração do sangramento.</w:t>
      </w:r>
      <w:r w:rsidRPr="00BB703B">
        <w:rPr>
          <w:rFonts w:ascii="Arial" w:hAnsi="Arial" w:cs="Arial"/>
          <w:sz w:val="24"/>
          <w:vertAlign w:val="superscript"/>
        </w:rPr>
        <w:t>5</w:t>
      </w:r>
      <w:r w:rsidRPr="00BB703B">
        <w:rPr>
          <w:rFonts w:ascii="Arial" w:hAnsi="Arial" w:cs="Arial"/>
          <w:sz w:val="24"/>
        </w:rPr>
        <w:t xml:space="preserve"> Por outro lado, a suplementação de vitamina D, de forma isolada ou combinada com outros micronutrientes, tem mostrado resultados promissores, contribuindo para a redução da dor, da intensidade e da necessidade de uso de analgésicos em pacientes com dismenorreia.</w:t>
      </w:r>
      <w:r w:rsidRPr="00BB703B">
        <w:rPr>
          <w:rFonts w:ascii="Arial" w:hAnsi="Arial" w:cs="Arial"/>
          <w:sz w:val="24"/>
          <w:vertAlign w:val="superscript"/>
        </w:rPr>
        <w:t xml:space="preserve"> 6,1</w:t>
      </w:r>
    </w:p>
    <w:p w14:paraId="07CA0A82" w14:textId="59FB9AE2" w:rsidR="00B037D6" w:rsidRPr="00BB703B" w:rsidRDefault="484795A1" w:rsidP="00B85AD3">
      <w:pPr>
        <w:spacing w:line="480" w:lineRule="auto"/>
        <w:ind w:left="0" w:right="8" w:firstLine="708"/>
        <w:rPr>
          <w:rFonts w:ascii="Arial" w:hAnsi="Arial" w:cs="Arial"/>
          <w:sz w:val="24"/>
        </w:rPr>
      </w:pPr>
      <w:r w:rsidRPr="006C7A52">
        <w:rPr>
          <w:rFonts w:ascii="Arial" w:hAnsi="Arial" w:cs="Arial"/>
          <w:sz w:val="24"/>
        </w:rPr>
        <w:t xml:space="preserve">Estudo randomizado e controlado por placebo no </w:t>
      </w:r>
      <w:r w:rsidR="00DC60D0" w:rsidRPr="006C7A52">
        <w:rPr>
          <w:rFonts w:ascii="Arial" w:hAnsi="Arial" w:cs="Arial"/>
          <w:sz w:val="24"/>
        </w:rPr>
        <w:t>Irã mostrou que a suplementação semanal de 50.000 UI de vitamina D3 por oito semanas promoveu redução da dor, do uso de analgésicos e dos sintomas associados à dismenorreia primária em mulheres com deficiência de vitamina D</w:t>
      </w:r>
      <w:r w:rsidRPr="006C7A52">
        <w:rPr>
          <w:rFonts w:ascii="Arial" w:hAnsi="Arial" w:cs="Arial"/>
          <w:sz w:val="24"/>
        </w:rPr>
        <w:t>.</w:t>
      </w:r>
      <w:r w:rsidRPr="006C7A52">
        <w:rPr>
          <w:rFonts w:ascii="Arial" w:hAnsi="Arial" w:cs="Arial"/>
          <w:sz w:val="24"/>
          <w:vertAlign w:val="superscript"/>
        </w:rPr>
        <w:t>5</w:t>
      </w:r>
      <w:r w:rsidRPr="00BB703B">
        <w:rPr>
          <w:rFonts w:ascii="Arial" w:hAnsi="Arial" w:cs="Arial"/>
          <w:sz w:val="24"/>
        </w:rPr>
        <w:t xml:space="preserve"> </w:t>
      </w:r>
    </w:p>
    <w:p w14:paraId="6D01DBCA" w14:textId="107A2E28" w:rsidR="00B037D6" w:rsidRPr="00BB703B" w:rsidRDefault="00DB5B66" w:rsidP="00B85AD3">
      <w:pPr>
        <w:spacing w:line="480" w:lineRule="auto"/>
        <w:ind w:left="0" w:right="8" w:firstLine="708"/>
        <w:rPr>
          <w:rFonts w:ascii="Arial" w:hAnsi="Arial" w:cs="Arial"/>
          <w:sz w:val="24"/>
        </w:rPr>
      </w:pPr>
      <w:r w:rsidRPr="00BB703B">
        <w:rPr>
          <w:rFonts w:ascii="Arial" w:hAnsi="Arial" w:cs="Arial"/>
          <w:sz w:val="24"/>
        </w:rPr>
        <w:t xml:space="preserve">Apesar desses achados, ainda há divergências entre os resultados dos estudos, especialmente quanto às doses utilizadas, duração do tratamento e condições basais de vitamina D das participantes. Nesse contexto torna-se fundamental reunir e analisar criticamente as evidências disponíveis sobre o tema. Dessa forma, o presente trabalho </w:t>
      </w:r>
      <w:r w:rsidRPr="00DC60D0">
        <w:rPr>
          <w:rFonts w:ascii="Arial" w:hAnsi="Arial" w:cs="Arial"/>
          <w:sz w:val="24"/>
        </w:rPr>
        <w:t>te</w:t>
      </w:r>
      <w:r w:rsidR="00DC60D0">
        <w:rPr>
          <w:rFonts w:ascii="Arial" w:hAnsi="Arial" w:cs="Arial"/>
          <w:sz w:val="24"/>
        </w:rPr>
        <w:t>ve</w:t>
      </w:r>
      <w:r w:rsidRPr="00BB703B">
        <w:rPr>
          <w:rFonts w:ascii="Arial" w:hAnsi="Arial" w:cs="Arial"/>
          <w:sz w:val="24"/>
        </w:rPr>
        <w:t xml:space="preserve"> como objetivo investigar, por meio de uma revisão da literatura, </w:t>
      </w:r>
      <w:r w:rsidR="00925751">
        <w:rPr>
          <w:rFonts w:ascii="Arial" w:hAnsi="Arial" w:cs="Arial"/>
          <w:sz w:val="24"/>
        </w:rPr>
        <w:t xml:space="preserve">se a deficiência ou a </w:t>
      </w:r>
      <w:r w:rsidRPr="00BB703B">
        <w:rPr>
          <w:rFonts w:ascii="Arial" w:hAnsi="Arial" w:cs="Arial"/>
          <w:sz w:val="24"/>
        </w:rPr>
        <w:t>suplementação (isolada ou combinada) da vitamina D</w:t>
      </w:r>
      <w:r w:rsidR="00925751">
        <w:rPr>
          <w:rFonts w:ascii="Arial" w:hAnsi="Arial" w:cs="Arial"/>
          <w:sz w:val="24"/>
        </w:rPr>
        <w:t xml:space="preserve"> tem </w:t>
      </w:r>
      <w:r w:rsidRPr="00BB703B">
        <w:rPr>
          <w:rFonts w:ascii="Arial" w:hAnsi="Arial" w:cs="Arial"/>
          <w:sz w:val="24"/>
        </w:rPr>
        <w:t>nos sintomas da dismenorreia, incluindo dor e perda de sangue menstrual.</w:t>
      </w:r>
    </w:p>
    <w:p w14:paraId="0C338F36" w14:textId="77777777" w:rsidR="00AE1DED" w:rsidRDefault="00AE1DED" w:rsidP="00BB703B">
      <w:pPr>
        <w:spacing w:line="480" w:lineRule="auto"/>
        <w:ind w:left="0" w:right="8" w:firstLine="0"/>
        <w:rPr>
          <w:rFonts w:ascii="Arial" w:hAnsi="Arial" w:cs="Arial"/>
          <w:b/>
          <w:bCs/>
          <w:sz w:val="24"/>
        </w:rPr>
      </w:pPr>
    </w:p>
    <w:p w14:paraId="7B59C7EB" w14:textId="47225C16" w:rsidR="00B037D6" w:rsidRPr="00BB703B" w:rsidRDefault="00BB703B" w:rsidP="00BB703B">
      <w:pPr>
        <w:spacing w:line="480" w:lineRule="auto"/>
        <w:ind w:left="0" w:right="8" w:firstLine="0"/>
        <w:rPr>
          <w:rFonts w:ascii="Arial" w:hAnsi="Arial" w:cs="Arial"/>
          <w:b/>
          <w:bCs/>
          <w:sz w:val="24"/>
        </w:rPr>
      </w:pPr>
      <w:r w:rsidRPr="00BB703B">
        <w:rPr>
          <w:rFonts w:ascii="Arial" w:hAnsi="Arial" w:cs="Arial"/>
          <w:b/>
          <w:bCs/>
          <w:sz w:val="24"/>
        </w:rPr>
        <w:t>M</w:t>
      </w:r>
      <w:r w:rsidR="00AE1DED">
        <w:rPr>
          <w:rFonts w:ascii="Arial" w:hAnsi="Arial" w:cs="Arial"/>
          <w:b/>
          <w:bCs/>
          <w:sz w:val="24"/>
        </w:rPr>
        <w:t>É</w:t>
      </w:r>
      <w:r w:rsidRPr="00BB703B">
        <w:rPr>
          <w:rFonts w:ascii="Arial" w:hAnsi="Arial" w:cs="Arial"/>
          <w:b/>
          <w:bCs/>
          <w:sz w:val="24"/>
        </w:rPr>
        <w:t>TODO</w:t>
      </w:r>
      <w:r w:rsidR="00AE1DED">
        <w:rPr>
          <w:rFonts w:ascii="Arial" w:hAnsi="Arial" w:cs="Arial"/>
          <w:b/>
          <w:bCs/>
          <w:sz w:val="24"/>
        </w:rPr>
        <w:t>S</w:t>
      </w:r>
      <w:r w:rsidR="00DB5B66" w:rsidRPr="00BB703B">
        <w:rPr>
          <w:rFonts w:ascii="Arial" w:hAnsi="Arial" w:cs="Arial"/>
          <w:b/>
          <w:bCs/>
          <w:sz w:val="24"/>
        </w:rPr>
        <w:t xml:space="preserve"> </w:t>
      </w:r>
    </w:p>
    <w:p w14:paraId="1E908E2B" w14:textId="1F4B4128" w:rsidR="00AA23F1" w:rsidRDefault="00DB5B66" w:rsidP="00AA23F1">
      <w:pPr>
        <w:spacing w:line="480" w:lineRule="auto"/>
        <w:ind w:left="0" w:right="8" w:firstLine="708"/>
        <w:rPr>
          <w:rFonts w:ascii="Arial" w:hAnsi="Arial" w:cs="Arial"/>
          <w:sz w:val="24"/>
        </w:rPr>
      </w:pPr>
      <w:r w:rsidRPr="00925751">
        <w:rPr>
          <w:rFonts w:ascii="Arial" w:hAnsi="Arial" w:cs="Arial"/>
          <w:color w:val="auto"/>
          <w:sz w:val="24"/>
        </w:rPr>
        <w:t xml:space="preserve">Trata-se </w:t>
      </w:r>
      <w:r w:rsidRPr="00BB703B">
        <w:rPr>
          <w:rFonts w:ascii="Arial" w:hAnsi="Arial" w:cs="Arial"/>
          <w:sz w:val="24"/>
        </w:rPr>
        <w:t xml:space="preserve">de uma revisão narrativa de literatura, utilizando as bases de dados </w:t>
      </w:r>
      <w:r w:rsidRPr="00BB703B">
        <w:rPr>
          <w:rFonts w:ascii="Arial" w:hAnsi="Arial" w:cs="Arial"/>
          <w:i/>
          <w:sz w:val="24"/>
        </w:rPr>
        <w:t>PubMed</w:t>
      </w:r>
      <w:r w:rsidR="00FD3293" w:rsidRPr="00BB703B">
        <w:rPr>
          <w:rFonts w:ascii="Arial" w:hAnsi="Arial" w:cs="Arial"/>
          <w:i/>
          <w:sz w:val="24"/>
        </w:rPr>
        <w:t>, SciElo</w:t>
      </w:r>
      <w:r w:rsidRPr="00BB703B">
        <w:rPr>
          <w:rFonts w:ascii="Arial" w:hAnsi="Arial" w:cs="Arial"/>
          <w:i/>
          <w:sz w:val="24"/>
        </w:rPr>
        <w:t xml:space="preserve"> e </w:t>
      </w:r>
      <w:r w:rsidR="00FD3293" w:rsidRPr="00BB703B">
        <w:rPr>
          <w:rFonts w:ascii="Arial" w:hAnsi="Arial" w:cs="Arial"/>
          <w:i/>
          <w:sz w:val="24"/>
        </w:rPr>
        <w:t>LILACS</w:t>
      </w:r>
      <w:r w:rsidRPr="00BB703B">
        <w:rPr>
          <w:rFonts w:ascii="Arial" w:hAnsi="Arial" w:cs="Arial"/>
          <w:sz w:val="24"/>
        </w:rPr>
        <w:t xml:space="preserve">, utilizando os descritores </w:t>
      </w:r>
      <w:r w:rsidRPr="00BB703B">
        <w:rPr>
          <w:rFonts w:ascii="Arial" w:hAnsi="Arial" w:cs="Arial"/>
          <w:i/>
          <w:sz w:val="24"/>
        </w:rPr>
        <w:t>dysmenorrhea</w:t>
      </w:r>
      <w:r w:rsidRPr="00BB703B">
        <w:rPr>
          <w:rFonts w:ascii="Arial" w:hAnsi="Arial" w:cs="Arial"/>
          <w:sz w:val="24"/>
        </w:rPr>
        <w:t>, vit</w:t>
      </w:r>
      <w:r w:rsidRPr="00BB703B">
        <w:rPr>
          <w:rFonts w:ascii="Arial" w:hAnsi="Arial" w:cs="Arial"/>
          <w:i/>
          <w:sz w:val="24"/>
        </w:rPr>
        <w:t>amin D</w:t>
      </w:r>
      <w:r w:rsidRPr="00BB703B">
        <w:rPr>
          <w:rFonts w:ascii="Arial" w:hAnsi="Arial" w:cs="Arial"/>
          <w:sz w:val="24"/>
        </w:rPr>
        <w:t xml:space="preserve">, </w:t>
      </w:r>
      <w:r w:rsidRPr="00BB703B">
        <w:rPr>
          <w:rFonts w:ascii="Arial" w:hAnsi="Arial" w:cs="Arial"/>
          <w:i/>
          <w:sz w:val="24"/>
        </w:rPr>
        <w:t>me</w:t>
      </w:r>
      <w:r w:rsidR="00925751">
        <w:rPr>
          <w:rFonts w:ascii="Arial" w:hAnsi="Arial" w:cs="Arial"/>
          <w:i/>
          <w:sz w:val="24"/>
        </w:rPr>
        <w:t>n</w:t>
      </w:r>
      <w:r w:rsidRPr="00BB703B">
        <w:rPr>
          <w:rFonts w:ascii="Arial" w:hAnsi="Arial" w:cs="Arial"/>
          <w:i/>
          <w:sz w:val="24"/>
        </w:rPr>
        <w:t>strual cramps</w:t>
      </w:r>
      <w:r w:rsidRPr="00BB703B">
        <w:rPr>
          <w:rFonts w:ascii="Arial" w:hAnsi="Arial" w:cs="Arial"/>
          <w:sz w:val="24"/>
        </w:rPr>
        <w:t xml:space="preserve">, </w:t>
      </w:r>
      <w:r w:rsidRPr="00BB703B">
        <w:rPr>
          <w:rFonts w:ascii="Arial" w:hAnsi="Arial" w:cs="Arial"/>
          <w:i/>
          <w:sz w:val="24"/>
        </w:rPr>
        <w:t>cholecalciferol</w:t>
      </w:r>
      <w:r w:rsidRPr="00BB703B">
        <w:rPr>
          <w:rFonts w:ascii="Arial" w:hAnsi="Arial" w:cs="Arial"/>
          <w:sz w:val="24"/>
        </w:rPr>
        <w:t xml:space="preserve">, </w:t>
      </w:r>
      <w:r w:rsidRPr="00BB703B">
        <w:rPr>
          <w:rFonts w:ascii="Arial" w:hAnsi="Arial" w:cs="Arial"/>
          <w:i/>
          <w:sz w:val="24"/>
        </w:rPr>
        <w:t>25-hydroxyvitamin.</w:t>
      </w:r>
      <w:r w:rsidRPr="00BB703B">
        <w:rPr>
          <w:rFonts w:ascii="Arial" w:hAnsi="Arial" w:cs="Arial"/>
          <w:sz w:val="24"/>
        </w:rPr>
        <w:t xml:space="preserve">  Os critérios de inclusão foram artigos originais</w:t>
      </w:r>
      <w:r w:rsidR="00FD3293" w:rsidRPr="00BB703B">
        <w:rPr>
          <w:rFonts w:ascii="Arial" w:hAnsi="Arial" w:cs="Arial"/>
          <w:sz w:val="24"/>
        </w:rPr>
        <w:t>, do tipo ensaios clínicos</w:t>
      </w:r>
      <w:r w:rsidRPr="00BB703B">
        <w:rPr>
          <w:rFonts w:ascii="Arial" w:hAnsi="Arial" w:cs="Arial"/>
          <w:sz w:val="24"/>
        </w:rPr>
        <w:t>, nos idiomas inglês, português ou espanhol, publicados nos últimos 10 anos (2015</w:t>
      </w:r>
      <w:r w:rsidR="00FD3293" w:rsidRPr="00BB703B">
        <w:rPr>
          <w:rFonts w:ascii="Arial" w:hAnsi="Arial" w:cs="Arial"/>
          <w:sz w:val="24"/>
        </w:rPr>
        <w:t>-</w:t>
      </w:r>
      <w:r w:rsidRPr="00BB703B">
        <w:rPr>
          <w:rFonts w:ascii="Arial" w:hAnsi="Arial" w:cs="Arial"/>
          <w:sz w:val="24"/>
        </w:rPr>
        <w:t xml:space="preserve">2025), que relataram os efeitos da deficiência ou suplementação de vitamina D oferecida às pacientes com dismenorreia.  </w:t>
      </w:r>
    </w:p>
    <w:p w14:paraId="3E57862C" w14:textId="7EA86DFD" w:rsidR="00B037D6" w:rsidRPr="00BB703B" w:rsidRDefault="00DB5B66" w:rsidP="00AA23F1">
      <w:pPr>
        <w:spacing w:line="480" w:lineRule="auto"/>
        <w:ind w:left="0" w:right="8" w:firstLine="708"/>
        <w:rPr>
          <w:rFonts w:ascii="Arial" w:hAnsi="Arial" w:cs="Arial"/>
          <w:sz w:val="24"/>
        </w:rPr>
      </w:pPr>
      <w:r w:rsidRPr="00BB703B">
        <w:rPr>
          <w:rFonts w:ascii="Arial" w:hAnsi="Arial" w:cs="Arial"/>
          <w:sz w:val="24"/>
        </w:rPr>
        <w:t xml:space="preserve">A população do estudo foi mulheres em idade reprodutiva. Os critérios de exclusão foram pesquisa com animais, crianças, estudos de caso, revisão de literatura, trabalhos de conclusão de curso, monografias, tese de doutorado e livros. Além disso, foram excluídos outros temas de artigos que abordaram a vitamina D, mas sem relação com </w:t>
      </w:r>
      <w:r w:rsidR="00FD3293" w:rsidRPr="00BB703B">
        <w:rPr>
          <w:rFonts w:ascii="Arial" w:hAnsi="Arial" w:cs="Arial"/>
          <w:sz w:val="24"/>
        </w:rPr>
        <w:t>o objetivo</w:t>
      </w:r>
      <w:r w:rsidRPr="00BB703B">
        <w:rPr>
          <w:rFonts w:ascii="Arial" w:hAnsi="Arial" w:cs="Arial"/>
          <w:sz w:val="24"/>
        </w:rPr>
        <w:t xml:space="preserve">, </w:t>
      </w:r>
      <w:r w:rsidRPr="006C7A52">
        <w:rPr>
          <w:rFonts w:ascii="Arial" w:hAnsi="Arial" w:cs="Arial"/>
          <w:sz w:val="24"/>
        </w:rPr>
        <w:t xml:space="preserve">tais como: suplementação de vitamina D em meninas com endometriose, efeitos da suplementação de curcumina nos níveis de vitamina D, efeitos do cálcio-vitamina D e cálcio isolado em mulheres com dismenorreia primária e concentrações séricas de vitamina D </w:t>
      </w:r>
      <w:r w:rsidR="00FD3293" w:rsidRPr="006C7A52">
        <w:rPr>
          <w:rFonts w:ascii="Arial" w:hAnsi="Arial" w:cs="Arial"/>
          <w:sz w:val="24"/>
        </w:rPr>
        <w:t>sem diagnóstico de</w:t>
      </w:r>
      <w:r w:rsidRPr="006C7A52">
        <w:rPr>
          <w:rFonts w:ascii="Arial" w:hAnsi="Arial" w:cs="Arial"/>
          <w:sz w:val="24"/>
        </w:rPr>
        <w:t xml:space="preserve"> dismenorreia primária</w:t>
      </w:r>
      <w:r w:rsidRPr="00BB703B">
        <w:rPr>
          <w:rFonts w:ascii="Arial" w:hAnsi="Arial" w:cs="Arial"/>
          <w:sz w:val="24"/>
        </w:rPr>
        <w:t xml:space="preserve">. Os artigos foram selecionados </w:t>
      </w:r>
      <w:r w:rsidR="00FD3293" w:rsidRPr="00BB703B">
        <w:rPr>
          <w:rFonts w:ascii="Arial" w:hAnsi="Arial" w:cs="Arial"/>
          <w:sz w:val="24"/>
        </w:rPr>
        <w:t xml:space="preserve">no período </w:t>
      </w:r>
      <w:r w:rsidRPr="00BB703B">
        <w:rPr>
          <w:rFonts w:ascii="Arial" w:hAnsi="Arial" w:cs="Arial"/>
          <w:sz w:val="24"/>
        </w:rPr>
        <w:t>de setembro de 2025 a maio de 2026, a partir da leitura do título e</w:t>
      </w:r>
      <w:r w:rsidR="00FD3293" w:rsidRPr="00BB703B">
        <w:rPr>
          <w:rFonts w:ascii="Arial" w:hAnsi="Arial" w:cs="Arial"/>
          <w:sz w:val="24"/>
        </w:rPr>
        <w:t xml:space="preserve"> resumo</w:t>
      </w:r>
      <w:r w:rsidRPr="00BB703B">
        <w:rPr>
          <w:rFonts w:ascii="Arial" w:hAnsi="Arial" w:cs="Arial"/>
          <w:sz w:val="24"/>
        </w:rPr>
        <w:t xml:space="preserve">, se pertinente </w:t>
      </w:r>
      <w:r w:rsidR="00FD3293" w:rsidRPr="00BB703B">
        <w:rPr>
          <w:rFonts w:ascii="Arial" w:hAnsi="Arial" w:cs="Arial"/>
          <w:sz w:val="24"/>
        </w:rPr>
        <w:t>foi realizada a leitura completa do manuscrito</w:t>
      </w:r>
      <w:r w:rsidRPr="00BB703B">
        <w:rPr>
          <w:rFonts w:ascii="Arial" w:hAnsi="Arial" w:cs="Arial"/>
          <w:sz w:val="24"/>
        </w:rPr>
        <w:t xml:space="preserve">. </w:t>
      </w:r>
    </w:p>
    <w:p w14:paraId="6046D3F0" w14:textId="77777777" w:rsidR="00AE1DED" w:rsidRDefault="00AE1DED" w:rsidP="00BB703B">
      <w:pPr>
        <w:spacing w:line="480" w:lineRule="auto"/>
        <w:ind w:left="0" w:right="8" w:firstLine="0"/>
        <w:rPr>
          <w:rFonts w:ascii="Arial" w:hAnsi="Arial" w:cs="Arial"/>
          <w:b/>
          <w:bCs/>
          <w:sz w:val="24"/>
        </w:rPr>
      </w:pPr>
    </w:p>
    <w:p w14:paraId="5BD453EA" w14:textId="3109CE94" w:rsidR="00B037D6" w:rsidRPr="00BB703B" w:rsidRDefault="00BB703B" w:rsidP="00BB703B">
      <w:pPr>
        <w:spacing w:line="480" w:lineRule="auto"/>
        <w:ind w:left="0" w:right="8" w:firstLine="0"/>
        <w:rPr>
          <w:rFonts w:ascii="Arial" w:hAnsi="Arial" w:cs="Arial"/>
          <w:b/>
          <w:bCs/>
          <w:sz w:val="24"/>
        </w:rPr>
      </w:pPr>
      <w:r w:rsidRPr="00BB703B">
        <w:rPr>
          <w:rFonts w:ascii="Arial" w:hAnsi="Arial" w:cs="Arial"/>
          <w:b/>
          <w:bCs/>
          <w:sz w:val="24"/>
        </w:rPr>
        <w:t xml:space="preserve">RESULTADOS  </w:t>
      </w:r>
    </w:p>
    <w:p w14:paraId="7BA41417" w14:textId="3B3FA53E" w:rsidR="00B037D6" w:rsidRPr="00BB703B" w:rsidRDefault="00BB703B" w:rsidP="00AA23F1">
      <w:pPr>
        <w:spacing w:line="480" w:lineRule="auto"/>
        <w:ind w:left="0" w:right="8" w:firstLine="708"/>
        <w:rPr>
          <w:rFonts w:ascii="Arial" w:hAnsi="Arial" w:cs="Arial"/>
          <w:sz w:val="24"/>
        </w:rPr>
      </w:pPr>
      <w:r w:rsidRPr="00BB703B">
        <w:rPr>
          <w:rFonts w:ascii="Arial" w:hAnsi="Arial" w:cs="Arial"/>
          <w:sz w:val="24"/>
        </w:rPr>
        <w:t xml:space="preserve">Foram selecionados 10 estudos, conforme Figura 1. </w:t>
      </w:r>
      <w:r w:rsidR="00DB5B66" w:rsidRPr="00BB703B">
        <w:rPr>
          <w:rFonts w:ascii="Arial" w:hAnsi="Arial" w:cs="Arial"/>
          <w:sz w:val="24"/>
        </w:rPr>
        <w:t xml:space="preserve">Os estudos incluídos nesta revisão de literatura foram realizados nos </w:t>
      </w:r>
      <w:r w:rsidR="00DB5B66" w:rsidRPr="00E03288">
        <w:rPr>
          <w:rFonts w:ascii="Arial" w:hAnsi="Arial" w:cs="Arial"/>
          <w:sz w:val="24"/>
        </w:rPr>
        <w:t>Estados Unidos</w:t>
      </w:r>
      <w:r w:rsidR="00DC60D0" w:rsidRPr="00E03288">
        <w:rPr>
          <w:rFonts w:ascii="Arial" w:hAnsi="Arial" w:cs="Arial"/>
          <w:sz w:val="24"/>
        </w:rPr>
        <w:t xml:space="preserve"> 1</w:t>
      </w:r>
      <w:r w:rsidR="00DB5B66" w:rsidRPr="00E03288">
        <w:rPr>
          <w:rFonts w:ascii="Arial" w:hAnsi="Arial" w:cs="Arial"/>
          <w:sz w:val="24"/>
        </w:rPr>
        <w:t>, Irã</w:t>
      </w:r>
      <w:r w:rsidR="002F089B" w:rsidRPr="00E03288">
        <w:rPr>
          <w:rFonts w:ascii="Arial" w:hAnsi="Arial" w:cs="Arial"/>
          <w:sz w:val="24"/>
        </w:rPr>
        <w:t xml:space="preserve"> 6</w:t>
      </w:r>
      <w:r w:rsidR="00DB5B66" w:rsidRPr="00E03288">
        <w:rPr>
          <w:rFonts w:ascii="Arial" w:hAnsi="Arial" w:cs="Arial"/>
          <w:sz w:val="24"/>
        </w:rPr>
        <w:t>, Turquia</w:t>
      </w:r>
      <w:r w:rsidR="002F089B" w:rsidRPr="00E03288">
        <w:rPr>
          <w:rFonts w:ascii="Arial" w:hAnsi="Arial" w:cs="Arial"/>
          <w:sz w:val="24"/>
        </w:rPr>
        <w:t xml:space="preserve"> 2</w:t>
      </w:r>
      <w:r w:rsidR="00DB5B66" w:rsidRPr="00E03288">
        <w:rPr>
          <w:rFonts w:ascii="Arial" w:hAnsi="Arial" w:cs="Arial"/>
          <w:sz w:val="24"/>
        </w:rPr>
        <w:t>, Iraque</w:t>
      </w:r>
      <w:r w:rsidR="002F089B" w:rsidRPr="00E03288">
        <w:rPr>
          <w:rFonts w:ascii="Arial" w:hAnsi="Arial" w:cs="Arial"/>
          <w:sz w:val="24"/>
        </w:rPr>
        <w:t xml:space="preserve"> 1</w:t>
      </w:r>
      <w:r w:rsidR="00DB5B66" w:rsidRPr="00E03288">
        <w:rPr>
          <w:rFonts w:ascii="Arial" w:hAnsi="Arial" w:cs="Arial"/>
          <w:sz w:val="24"/>
        </w:rPr>
        <w:t xml:space="preserve"> e Arabia Saudita</w:t>
      </w:r>
      <w:r w:rsidR="002F089B" w:rsidRPr="00E03288">
        <w:rPr>
          <w:rFonts w:ascii="Arial" w:hAnsi="Arial" w:cs="Arial"/>
          <w:sz w:val="24"/>
        </w:rPr>
        <w:t>1</w:t>
      </w:r>
      <w:r w:rsidR="00DB5B66" w:rsidRPr="00E03288">
        <w:rPr>
          <w:rFonts w:ascii="Arial" w:hAnsi="Arial" w:cs="Arial"/>
          <w:sz w:val="24"/>
        </w:rPr>
        <w:t>.</w:t>
      </w:r>
      <w:r w:rsidR="00DB5B66" w:rsidRPr="00BB703B">
        <w:rPr>
          <w:rFonts w:ascii="Arial" w:hAnsi="Arial" w:cs="Arial"/>
          <w:sz w:val="24"/>
        </w:rPr>
        <w:t xml:space="preserve"> A idade da população variou de 12 a 37 anos, totalizando 2002 mulheres em fase reprodutiva</w:t>
      </w:r>
      <w:r w:rsidRPr="00BB703B">
        <w:rPr>
          <w:rFonts w:ascii="Arial" w:hAnsi="Arial" w:cs="Arial"/>
          <w:sz w:val="24"/>
        </w:rPr>
        <w:t xml:space="preserve">, conforme </w:t>
      </w:r>
      <w:r w:rsidR="00B055E3">
        <w:rPr>
          <w:rFonts w:ascii="Arial" w:hAnsi="Arial" w:cs="Arial"/>
          <w:sz w:val="24"/>
        </w:rPr>
        <w:t>Quadro</w:t>
      </w:r>
      <w:r w:rsidRPr="00BB703B">
        <w:rPr>
          <w:rFonts w:ascii="Arial" w:hAnsi="Arial" w:cs="Arial"/>
          <w:sz w:val="24"/>
        </w:rPr>
        <w:t xml:space="preserve"> 1</w:t>
      </w:r>
      <w:r w:rsidR="00DB5B66" w:rsidRPr="00BB703B">
        <w:rPr>
          <w:rFonts w:ascii="Arial" w:hAnsi="Arial" w:cs="Arial"/>
          <w:sz w:val="24"/>
        </w:rPr>
        <w:t>.</w:t>
      </w:r>
      <w:r w:rsidR="002F089B" w:rsidRPr="002F089B">
        <w:t xml:space="preserve"> </w:t>
      </w:r>
      <w:r w:rsidR="002F089B" w:rsidRPr="006C7A52">
        <w:rPr>
          <w:rFonts w:ascii="Arial" w:hAnsi="Arial" w:cs="Arial"/>
          <w:sz w:val="24"/>
        </w:rPr>
        <w:t>Os estudos incluídos avaliaram os efeitos da suplementação e da deficiência de vitamina D por meio da dosagem sérica de 25(OH)D, investigando sua relação com a intensidade da dor menstrual, o número de dias com dor, os sintomas da síndrome pré-menstrual (cefaleia, irritabilidade, náuseas e fadiga), o fluxo de sangramento e o uso de analgésicos. A intensidade da dor foi mensurada principalmente por meio da Escala Visual Analógica (EVA) e da Escala Numérica de Avaliação da Dor (NPRS). Estudos como os de Rahnemaei et al. (2021), Moini et al. (2016), Dawod et al. (2020), Amzajerdi et al. (2023) e Hosseini et al. (2025) demonstraram redução significativa dos escores de dor após a suplementação de vitamina D, reforçando seu potencial como estratégia complementar no manejo da dismenorreia.</w:t>
      </w:r>
      <w:r w:rsidR="00DB5B66" w:rsidRPr="00BB703B">
        <w:rPr>
          <w:rFonts w:ascii="Arial" w:hAnsi="Arial" w:cs="Arial"/>
          <w:sz w:val="24"/>
        </w:rPr>
        <w:t xml:space="preserve">  </w:t>
      </w:r>
    </w:p>
    <w:p w14:paraId="420EE5D2" w14:textId="7B518E50" w:rsidR="002F089B" w:rsidRDefault="00713A79" w:rsidP="2D4B9076">
      <w:pPr>
        <w:spacing w:line="480" w:lineRule="auto"/>
        <w:ind w:left="0" w:right="8" w:firstLine="708"/>
        <w:rPr>
          <w:rFonts w:ascii="Arial" w:hAnsi="Arial" w:cs="Arial"/>
          <w:sz w:val="24"/>
        </w:rPr>
      </w:pPr>
      <w:r w:rsidRPr="006C7A52">
        <w:rPr>
          <w:rFonts w:ascii="Arial" w:hAnsi="Arial" w:cs="Arial"/>
          <w:sz w:val="24"/>
        </w:rPr>
        <w:t>A suplementação utilizada nos estudos foi predominantemente a vitamina D3, embora alguns trabalhos a tenham associado a outras intervenções. Hosseini et al. (2025) utilizaram vitamina D associada à vitamina E, Nodler et al. (2020) associaram vitamina D ao ômega-3 e Lama et al. (2019) combinaram vitamina D com analgésicos. As doses variaram entre 667 UI/dia e 300.000 UI, com duração de 8 semanas a 6 meses. A presença dessas intervenções concomitantes deve ser considerada na interpretação dos resultados, pois pode ter contribuído para os efeitos observados sobre a dor menstrual, dificultando a atribuição exclusiva dos benefícios à vitamina D. Entretanto, a maioria dos estudos avaliou a vitamina D isoladamente e também demonstrou melhora significativa da dor, fortalecendo a hipótese de seu efeito benéfico na dismenorreia.</w:t>
      </w:r>
    </w:p>
    <w:p w14:paraId="4736EDDB" w14:textId="77777777" w:rsidR="002F089B" w:rsidRDefault="002F089B" w:rsidP="2D4B9076">
      <w:pPr>
        <w:spacing w:line="480" w:lineRule="auto"/>
        <w:ind w:left="0" w:right="8" w:firstLine="708"/>
        <w:rPr>
          <w:rFonts w:ascii="Arial" w:hAnsi="Arial" w:cs="Arial"/>
          <w:sz w:val="24"/>
        </w:rPr>
      </w:pPr>
    </w:p>
    <w:p w14:paraId="5AEE6CED" w14:textId="00322A59" w:rsidR="00B037D6" w:rsidRPr="00AA23F1" w:rsidRDefault="2D4B9076" w:rsidP="2D4B9076">
      <w:pPr>
        <w:spacing w:line="480" w:lineRule="auto"/>
        <w:ind w:left="0" w:right="8" w:firstLine="708"/>
        <w:rPr>
          <w:rFonts w:ascii="Arial" w:hAnsi="Arial" w:cs="Arial"/>
          <w:sz w:val="24"/>
          <w:vertAlign w:val="superscript"/>
        </w:rPr>
      </w:pPr>
      <w:r w:rsidRPr="2D4B9076">
        <w:rPr>
          <w:rFonts w:ascii="Arial" w:hAnsi="Arial" w:cs="Arial"/>
          <w:sz w:val="24"/>
        </w:rPr>
        <w:t xml:space="preserve">Os principais resultados encontrados foram melhora significativa da dor. </w:t>
      </w:r>
      <w:r w:rsidRPr="2D4B9076">
        <w:rPr>
          <w:rFonts w:ascii="Arial" w:hAnsi="Arial" w:cs="Arial"/>
          <w:sz w:val="24"/>
          <w:vertAlign w:val="superscript"/>
        </w:rPr>
        <w:t>5,7,8,9,10,11,</w:t>
      </w:r>
      <w:r w:rsidR="0006046E" w:rsidRPr="2D4B9076">
        <w:rPr>
          <w:rFonts w:ascii="Arial" w:hAnsi="Arial" w:cs="Arial"/>
          <w:sz w:val="24"/>
          <w:vertAlign w:val="superscript"/>
        </w:rPr>
        <w:t>12</w:t>
      </w:r>
      <w:r w:rsidR="0006046E" w:rsidRPr="2D4B9076">
        <w:rPr>
          <w:rFonts w:ascii="Arial" w:hAnsi="Arial" w:cs="Arial"/>
          <w:sz w:val="24"/>
        </w:rPr>
        <w:t xml:space="preserve"> </w:t>
      </w:r>
      <w:r w:rsidR="0006046E" w:rsidRPr="0006046E">
        <w:rPr>
          <w:rFonts w:ascii="Arial" w:hAnsi="Arial" w:cs="Arial"/>
          <w:sz w:val="24"/>
        </w:rPr>
        <w:t>Observou</w:t>
      </w:r>
      <w:r w:rsidRPr="2D4B9076">
        <w:rPr>
          <w:rFonts w:ascii="Arial" w:hAnsi="Arial" w:cs="Arial"/>
          <w:sz w:val="24"/>
        </w:rPr>
        <w:t xml:space="preserve">-se redução do uso de medicamentos </w:t>
      </w:r>
      <w:r w:rsidR="00A94FC7">
        <w:rPr>
          <w:rFonts w:ascii="Arial" w:hAnsi="Arial" w:cs="Arial"/>
          <w:sz w:val="24"/>
        </w:rPr>
        <w:t>analgésicos em diversos estudos</w:t>
      </w:r>
      <w:r w:rsidRPr="2D4B9076">
        <w:rPr>
          <w:rFonts w:ascii="Arial" w:hAnsi="Arial" w:cs="Arial"/>
          <w:sz w:val="24"/>
        </w:rPr>
        <w:t xml:space="preserve"> </w:t>
      </w:r>
      <w:r w:rsidRPr="2D4B9076">
        <w:rPr>
          <w:rFonts w:ascii="Arial" w:hAnsi="Arial" w:cs="Arial"/>
          <w:sz w:val="24"/>
          <w:vertAlign w:val="superscript"/>
        </w:rPr>
        <w:t>5,9</w:t>
      </w:r>
      <w:r w:rsidRPr="2D4B9076">
        <w:rPr>
          <w:rFonts w:ascii="Arial" w:hAnsi="Arial" w:cs="Arial"/>
          <w:sz w:val="24"/>
        </w:rPr>
        <w:t>, bem como menor uso de anti</w:t>
      </w:r>
      <w:r w:rsidRPr="00E1609A">
        <w:rPr>
          <w:rFonts w:ascii="Arial" w:hAnsi="Arial" w:cs="Arial"/>
          <w:sz w:val="24"/>
        </w:rPr>
        <w:t>-</w:t>
      </w:r>
      <w:r w:rsidRPr="2D4B9076">
        <w:rPr>
          <w:rFonts w:ascii="Arial" w:hAnsi="Arial" w:cs="Arial"/>
          <w:sz w:val="24"/>
        </w:rPr>
        <w:t xml:space="preserve">inflamatórios não esteroides – AINEs. </w:t>
      </w:r>
      <w:r w:rsidRPr="2D4B9076">
        <w:rPr>
          <w:rFonts w:ascii="Arial" w:hAnsi="Arial" w:cs="Arial"/>
          <w:sz w:val="24"/>
          <w:vertAlign w:val="superscript"/>
        </w:rPr>
        <w:t xml:space="preserve">10,12 </w:t>
      </w:r>
    </w:p>
    <w:p w14:paraId="4AEE4760" w14:textId="5EF1BD0B" w:rsidR="00AA23F1" w:rsidRPr="00775829" w:rsidRDefault="2D4B9076" w:rsidP="00775829">
      <w:pPr>
        <w:spacing w:line="480" w:lineRule="auto"/>
        <w:ind w:left="0" w:right="8" w:firstLine="708"/>
        <w:rPr>
          <w:rFonts w:ascii="Arial" w:hAnsi="Arial" w:cs="Arial"/>
          <w:sz w:val="24"/>
        </w:rPr>
      </w:pPr>
      <w:r w:rsidRPr="1C7991C7">
        <w:rPr>
          <w:rFonts w:ascii="Arial" w:hAnsi="Arial" w:cs="Arial"/>
          <w:sz w:val="24"/>
        </w:rPr>
        <w:t>Foi demonstrada uma melhora nos sintomas da síndrome pré-menstrual, com a suplementação de Vitamina D, em três estudos.</w:t>
      </w:r>
      <w:r w:rsidRPr="1C7991C7">
        <w:rPr>
          <w:rFonts w:ascii="Arial" w:hAnsi="Arial" w:cs="Arial"/>
          <w:sz w:val="24"/>
          <w:vertAlign w:val="superscript"/>
        </w:rPr>
        <w:t>5,7,8</w:t>
      </w:r>
      <w:r w:rsidRPr="1C7991C7">
        <w:rPr>
          <w:rFonts w:ascii="Arial" w:hAnsi="Arial" w:cs="Arial"/>
          <w:sz w:val="24"/>
        </w:rPr>
        <w:t xml:space="preserve"> Também houve redução significativa na prevalência de </w:t>
      </w:r>
      <w:r w:rsidR="00713A79">
        <w:rPr>
          <w:rFonts w:ascii="Arial" w:hAnsi="Arial" w:cs="Arial"/>
          <w:sz w:val="24"/>
        </w:rPr>
        <w:t xml:space="preserve">Tensão pré-menstrual </w:t>
      </w:r>
      <w:r w:rsidRPr="0006046E">
        <w:rPr>
          <w:rFonts w:ascii="Arial" w:hAnsi="Arial" w:cs="Arial"/>
          <w:sz w:val="24"/>
        </w:rPr>
        <w:t>TPM</w:t>
      </w:r>
      <w:r w:rsidRPr="1C7991C7">
        <w:rPr>
          <w:rFonts w:ascii="Arial" w:hAnsi="Arial" w:cs="Arial"/>
          <w:sz w:val="24"/>
        </w:rPr>
        <w:t xml:space="preserve"> e melhora nos sintomas físicos e psicológicos da TPM, tais como dor nas costas e tendência a chorar facilmente.</w:t>
      </w:r>
      <w:r w:rsidRPr="1C7991C7">
        <w:rPr>
          <w:rFonts w:ascii="Arial" w:hAnsi="Arial" w:cs="Arial"/>
          <w:sz w:val="24"/>
          <w:vertAlign w:val="superscript"/>
        </w:rPr>
        <w:t>7</w:t>
      </w:r>
      <w:r w:rsidRPr="1C7991C7">
        <w:rPr>
          <w:rFonts w:ascii="Arial" w:hAnsi="Arial" w:cs="Arial"/>
          <w:sz w:val="24"/>
        </w:rPr>
        <w:t xml:space="preserve"> </w:t>
      </w:r>
      <w:r w:rsidRPr="00E1609A">
        <w:rPr>
          <w:rFonts w:ascii="Arial" w:hAnsi="Arial" w:cs="Arial"/>
          <w:sz w:val="24"/>
        </w:rPr>
        <w:t>O estudo de Karacin</w:t>
      </w:r>
      <w:r w:rsidR="6716CB05" w:rsidRPr="00E1609A">
        <w:rPr>
          <w:rFonts w:ascii="Arial" w:hAnsi="Arial" w:cs="Arial"/>
          <w:sz w:val="24"/>
        </w:rPr>
        <w:t xml:space="preserve"> </w:t>
      </w:r>
      <w:r w:rsidRPr="00E1609A">
        <w:rPr>
          <w:rFonts w:ascii="Arial" w:hAnsi="Arial" w:cs="Arial"/>
          <w:sz w:val="24"/>
        </w:rPr>
        <w:t>et al (2018)</w:t>
      </w:r>
      <w:r w:rsidR="00A94FC7" w:rsidRPr="0006046E">
        <w:rPr>
          <w:rFonts w:ascii="Arial" w:hAnsi="Arial" w:cs="Arial"/>
          <w:sz w:val="24"/>
          <w:vertAlign w:val="superscript"/>
        </w:rPr>
        <w:t>1</w:t>
      </w:r>
      <w:r w:rsidR="00713A79" w:rsidRPr="0006046E">
        <w:rPr>
          <w:rFonts w:ascii="Arial" w:hAnsi="Arial" w:cs="Arial"/>
          <w:sz w:val="24"/>
          <w:vertAlign w:val="superscript"/>
        </w:rPr>
        <w:t>3</w:t>
      </w:r>
      <w:r w:rsidRPr="00E1609A">
        <w:rPr>
          <w:rFonts w:ascii="Arial" w:hAnsi="Arial" w:cs="Arial"/>
          <w:sz w:val="24"/>
        </w:rPr>
        <w:t xml:space="preserve"> não ofereceu suplementação, foi realizada a dosagem sérica da vitamina, mostrando uma correlação negativa entre os níveis séricos de vitamina D/cálcio e os escores de dor.</w:t>
      </w:r>
      <w:r w:rsidRPr="1C7991C7">
        <w:rPr>
          <w:rFonts w:ascii="Arial" w:hAnsi="Arial" w:cs="Arial"/>
          <w:sz w:val="24"/>
        </w:rPr>
        <w:t xml:space="preserve">  </w:t>
      </w:r>
    </w:p>
    <w:p w14:paraId="759D03D4" w14:textId="633A341E" w:rsidR="00B037D6" w:rsidRPr="00BB703B" w:rsidRDefault="00BB703B" w:rsidP="00BB703B">
      <w:pPr>
        <w:spacing w:line="480" w:lineRule="auto"/>
        <w:ind w:left="0" w:right="8" w:firstLine="0"/>
        <w:rPr>
          <w:rFonts w:ascii="Arial" w:hAnsi="Arial" w:cs="Arial"/>
          <w:b/>
          <w:bCs/>
          <w:sz w:val="24"/>
        </w:rPr>
      </w:pPr>
      <w:r w:rsidRPr="00BB703B">
        <w:rPr>
          <w:rFonts w:ascii="Arial" w:hAnsi="Arial" w:cs="Arial"/>
          <w:b/>
          <w:bCs/>
          <w:sz w:val="24"/>
        </w:rPr>
        <w:t xml:space="preserve">DISCUSSÃO </w:t>
      </w:r>
    </w:p>
    <w:p w14:paraId="437959EC" w14:textId="3C717F2E" w:rsidR="00775829" w:rsidRPr="006C7A52" w:rsidRDefault="00775829" w:rsidP="00775829">
      <w:pPr>
        <w:spacing w:line="480" w:lineRule="auto"/>
        <w:ind w:left="0" w:right="8" w:firstLine="708"/>
        <w:rPr>
          <w:rFonts w:ascii="Arial" w:hAnsi="Arial" w:cs="Arial"/>
          <w:sz w:val="24"/>
        </w:rPr>
      </w:pPr>
      <w:r w:rsidRPr="006C7A52">
        <w:rPr>
          <w:rFonts w:ascii="Arial" w:hAnsi="Arial" w:cs="Arial"/>
          <w:sz w:val="24"/>
        </w:rPr>
        <w:t>Os estudos incluídos nesta revisão sugerem que a vitamina D pode exercer efeito benéfico na redução dos sintomas da dismenorreia primária, especialmente na intensidade da dor menstrual. A maioria das pesquisas analisadas demonstrou melhora significativa da dor, redução do número de dias com sintomas, menor necessidade de analgésicos e anti-inflamatórios e melhora de sintomas associados à síndrome pré-menstrual, como fadiga, cefaleia e alterações emocionais. Esses resultados reforçam o potencial da vitamina D como estratégia complementar no manejo da dismenorreia, sobretudo em mulheres com deficiência desse micronutriente.</w:t>
      </w:r>
    </w:p>
    <w:p w14:paraId="7765D90F" w14:textId="70B09012" w:rsidR="00775829" w:rsidRDefault="00775829" w:rsidP="00775829">
      <w:pPr>
        <w:spacing w:line="480" w:lineRule="auto"/>
        <w:ind w:left="0" w:right="8" w:firstLine="708"/>
        <w:rPr>
          <w:rFonts w:ascii="Arial" w:hAnsi="Arial" w:cs="Arial"/>
          <w:sz w:val="24"/>
        </w:rPr>
      </w:pPr>
      <w:r w:rsidRPr="006C7A52">
        <w:rPr>
          <w:rFonts w:ascii="Arial" w:hAnsi="Arial" w:cs="Arial"/>
          <w:sz w:val="24"/>
        </w:rPr>
        <w:t>Os mecanismos que podem explicar esses achados estão relacionados à capacidade da vitamina D de modular processos inflamatórios e reduzir a produção de prostaglandinas, substâncias diretamente envolvidas nas contrações uterinas e na gênese da dor menstrual. Além disso, a vitamina D atua na regulação da contração muscular e da resposta imunológica, fatores que também podem contribuir para a diminuição dos sintomas. Entretanto, observou-se considerável heterogeneidade entre os estudos quanto às doses utilizadas, que variaram de 667 UI a 300.000 UI, bem como em relação ao tempo de suplementação e às características das participantes, dificultando a definição de um protocolo padronizado. Dessa forma, embora os resultados sejam promissores, ainda não existe consenso sobre a dose ideal e a duração mais adequada do tratamento.</w:t>
      </w:r>
    </w:p>
    <w:p w14:paraId="69AD8156" w14:textId="4C48979B" w:rsidR="001D3981" w:rsidRPr="00AE1DED" w:rsidRDefault="00775829" w:rsidP="00775829">
      <w:pPr>
        <w:spacing w:line="480" w:lineRule="auto"/>
        <w:ind w:left="0" w:right="8" w:firstLine="0"/>
        <w:rPr>
          <w:rFonts w:ascii="Arial" w:hAnsi="Arial" w:cs="Arial"/>
          <w:sz w:val="24"/>
        </w:rPr>
      </w:pPr>
      <w:r>
        <w:rPr>
          <w:rFonts w:ascii="Arial" w:hAnsi="Arial" w:cs="Arial"/>
          <w:sz w:val="24"/>
        </w:rPr>
        <w:t xml:space="preserve">          </w:t>
      </w:r>
      <w:r w:rsidR="2D4B9076" w:rsidRPr="2D4B9076">
        <w:rPr>
          <w:rFonts w:ascii="Arial" w:hAnsi="Arial" w:cs="Arial"/>
          <w:sz w:val="24"/>
        </w:rPr>
        <w:t>A vitamina D é um micronutriente lipossolúvel que atua como pró-hormônio e necessita passar por etapas metabólicas até se tornar biologicamente ativa. A vitamina D</w:t>
      </w:r>
      <w:r w:rsidR="2D4B9076" w:rsidRPr="2D4B9076">
        <w:rPr>
          <w:rFonts w:ascii="Cambria Math" w:hAnsi="Cambria Math" w:cs="Cambria Math"/>
          <w:sz w:val="24"/>
        </w:rPr>
        <w:t>₃</w:t>
      </w:r>
      <w:r w:rsidR="2D4B9076" w:rsidRPr="2D4B9076">
        <w:rPr>
          <w:rFonts w:ascii="Arial" w:hAnsi="Arial" w:cs="Arial"/>
          <w:sz w:val="24"/>
        </w:rPr>
        <w:t xml:space="preserve"> (colecalciferol) é sintetizada na pele a partir da exposição à radiação ultravioleta B ou obtida por meio da alimentação. Após entrar na circulação sanguínea, ligada à proteína transportadora da vitamina D (DBP), ocorre a primeira hidroxilação no fígado, formando a 25-hidroxivitamina D [25(OH)D], considerada o principal marcador do estado nutricional dessa vitamina. Em seguida, nos rins, essa molécula sofre nova hidroxilação pela enzima 1α-hidroxilase, originando a 1,25diidroxivitamina D [1,25(OH)</w:t>
      </w:r>
      <w:r w:rsidR="2D4B9076" w:rsidRPr="2D4B9076">
        <w:rPr>
          <w:rFonts w:ascii="Cambria Math" w:hAnsi="Cambria Math" w:cs="Cambria Math"/>
          <w:sz w:val="24"/>
        </w:rPr>
        <w:t>₂</w:t>
      </w:r>
      <w:r w:rsidR="2D4B9076" w:rsidRPr="2D4B9076">
        <w:rPr>
          <w:rFonts w:ascii="Arial" w:hAnsi="Arial" w:cs="Arial"/>
          <w:sz w:val="24"/>
        </w:rPr>
        <w:t>D], conhecida como calcitriol, sua forma ativa. O calcitriol atua por meio da ligação aos receptores de vitamina D (VDR), presentes em diversos tecidos do organismo, regulando a expressão de genes relacionados ao metabolismo do cálcio e fósforo, além de exercer papel importante na modulação da resposta imune e dos processos inflamatórios.</w:t>
      </w:r>
      <w:r w:rsidR="2D4B9076" w:rsidRPr="2D4B9076">
        <w:rPr>
          <w:rFonts w:ascii="Arial" w:hAnsi="Arial" w:cs="Arial"/>
          <w:sz w:val="24"/>
          <w:vertAlign w:val="superscript"/>
        </w:rPr>
        <w:t>15,16</w:t>
      </w:r>
      <w:r w:rsidR="2D4B9076" w:rsidRPr="2D4B9076">
        <w:rPr>
          <w:rFonts w:ascii="Arial" w:hAnsi="Arial" w:cs="Arial"/>
          <w:sz w:val="24"/>
        </w:rPr>
        <w:t xml:space="preserve"> </w:t>
      </w:r>
    </w:p>
    <w:p w14:paraId="102F428F" w14:textId="46BC2A40" w:rsidR="001D3981" w:rsidRPr="00AE1DED" w:rsidRDefault="484795A1" w:rsidP="00AA23F1">
      <w:pPr>
        <w:spacing w:line="480" w:lineRule="auto"/>
        <w:ind w:left="0" w:right="8" w:firstLine="708"/>
        <w:rPr>
          <w:rFonts w:ascii="Arial" w:hAnsi="Arial" w:cs="Arial"/>
          <w:sz w:val="24"/>
        </w:rPr>
      </w:pPr>
      <w:r w:rsidRPr="00AE1DED">
        <w:rPr>
          <w:rFonts w:ascii="Arial" w:hAnsi="Arial" w:cs="Arial"/>
          <w:sz w:val="24"/>
        </w:rPr>
        <w:t>Considerando essa atuação sistêmica, é possível relacionar a vitamina D a condições inflamatórias e dolorosas, como a dismenorreia primária. A fisiopatologia da dismenorreia está associada principalmente ao aumento da produção de prostaglandinas no endométrio, especialmente a prostaglandina F2α (PGF2α), que promove contrações uterinas intensas, redução do fluxo sanguíneo local e estímulo das terminações nervosas, resultando em dor pélvica significativa.</w:t>
      </w:r>
      <w:r w:rsidRPr="00AE1DED">
        <w:rPr>
          <w:rFonts w:ascii="Arial" w:hAnsi="Arial" w:cs="Arial"/>
          <w:sz w:val="24"/>
          <w:vertAlign w:val="superscript"/>
        </w:rPr>
        <w:t>2</w:t>
      </w:r>
      <w:r w:rsidRPr="00AE1DED">
        <w:rPr>
          <w:rFonts w:ascii="Arial" w:hAnsi="Arial" w:cs="Arial"/>
          <w:sz w:val="24"/>
        </w:rPr>
        <w:t xml:space="preserve"> Estudos apontam que a vitamina D pode influenciar a expressão de enzimas envolvidas na síntese de prostaglandinas e citocinas pró-inflamatórias, contribuindo para a modulação da resposta inflamatória.</w:t>
      </w:r>
      <w:r w:rsidRPr="00AE1DED">
        <w:rPr>
          <w:rFonts w:ascii="Arial" w:hAnsi="Arial" w:cs="Arial"/>
          <w:sz w:val="24"/>
          <w:vertAlign w:val="superscript"/>
        </w:rPr>
        <w:t>15</w:t>
      </w:r>
      <w:r w:rsidRPr="00AE1DED">
        <w:rPr>
          <w:rFonts w:ascii="Arial" w:hAnsi="Arial" w:cs="Arial"/>
          <w:sz w:val="24"/>
        </w:rPr>
        <w:t xml:space="preserve"> Dessa forma, níveis insuficientes de vitamina D podem estar associados à maior intensidade das contrações uterinas e à piora da dor menstrual, enquanto concentrações adequadas podem exercer efeito regulador sobre esses mecanismos fisiopatológicos. </w:t>
      </w:r>
    </w:p>
    <w:p w14:paraId="62CCC8B9" w14:textId="7892F670" w:rsidR="00DC2093" w:rsidRPr="00AE1DED" w:rsidRDefault="484795A1" w:rsidP="00AA23F1">
      <w:pPr>
        <w:spacing w:line="480" w:lineRule="auto"/>
        <w:ind w:left="0" w:right="8" w:firstLine="708"/>
        <w:rPr>
          <w:rFonts w:ascii="Arial" w:hAnsi="Arial" w:cs="Arial"/>
          <w:sz w:val="24"/>
        </w:rPr>
      </w:pPr>
      <w:r w:rsidRPr="00AE1DED">
        <w:rPr>
          <w:rFonts w:ascii="Arial" w:hAnsi="Arial" w:cs="Arial"/>
          <w:sz w:val="24"/>
        </w:rPr>
        <w:t xml:space="preserve">Uma das principais hipóteses que </w:t>
      </w:r>
      <w:r w:rsidR="00F327BE" w:rsidRPr="00AE1DED">
        <w:rPr>
          <w:rFonts w:ascii="Arial" w:hAnsi="Arial" w:cs="Arial"/>
          <w:sz w:val="24"/>
        </w:rPr>
        <w:t>norteiam estudos</w:t>
      </w:r>
      <w:r w:rsidRPr="00AE1DED">
        <w:rPr>
          <w:rFonts w:ascii="Arial" w:hAnsi="Arial" w:cs="Arial"/>
          <w:sz w:val="24"/>
        </w:rPr>
        <w:t xml:space="preserve"> que relacionam </w:t>
      </w:r>
      <w:r w:rsidR="00EB3CD9">
        <w:rPr>
          <w:rFonts w:ascii="Arial" w:hAnsi="Arial" w:cs="Arial"/>
          <w:sz w:val="24"/>
        </w:rPr>
        <w:t xml:space="preserve">a </w:t>
      </w:r>
      <w:r w:rsidRPr="00AE1DED">
        <w:rPr>
          <w:rFonts w:ascii="Arial" w:hAnsi="Arial" w:cs="Arial"/>
          <w:sz w:val="24"/>
        </w:rPr>
        <w:t>vitamina</w:t>
      </w:r>
      <w:r w:rsidR="00EB3CD9">
        <w:rPr>
          <w:rFonts w:ascii="Arial" w:hAnsi="Arial" w:cs="Arial"/>
          <w:sz w:val="24"/>
        </w:rPr>
        <w:t xml:space="preserve"> D</w:t>
      </w:r>
      <w:r w:rsidRPr="00AE1DED">
        <w:rPr>
          <w:rFonts w:ascii="Arial" w:hAnsi="Arial" w:cs="Arial"/>
          <w:sz w:val="24"/>
        </w:rPr>
        <w:t xml:space="preserve"> com problemas menstruais é que sua deficiência pode exacerbar a liberação de prostaglandinas, substâncias que induzem contrações uterinas mais intensas e respostas inflamatórias exacerbadas, contribuindo para maior intensidade de dor durante o ciclo menstrual. Além disso, níveis inadequados de vitamina D podem prejudicar o relaxamento muscular, comprometendo a função adequada do músculo liso uterino.</w:t>
      </w:r>
      <w:r w:rsidRPr="00AE1DED">
        <w:rPr>
          <w:rFonts w:ascii="Arial" w:hAnsi="Arial" w:cs="Arial"/>
          <w:sz w:val="24"/>
          <w:vertAlign w:val="superscript"/>
        </w:rPr>
        <w:t>15</w:t>
      </w:r>
      <w:r w:rsidRPr="00AE1DED">
        <w:rPr>
          <w:rFonts w:ascii="Arial" w:hAnsi="Arial" w:cs="Arial"/>
          <w:sz w:val="24"/>
        </w:rPr>
        <w:t xml:space="preserve"> Essa justificativa fisiológica fundamenta pesquisas como a de Rahnemaei et al. (2021)</w:t>
      </w:r>
      <w:r w:rsidR="00713A79">
        <w:rPr>
          <w:rFonts w:ascii="Arial" w:hAnsi="Arial" w:cs="Arial"/>
          <w:sz w:val="24"/>
          <w:vertAlign w:val="superscript"/>
        </w:rPr>
        <w:t>5</w:t>
      </w:r>
      <w:r w:rsidRPr="00AE1DED">
        <w:rPr>
          <w:rFonts w:ascii="Arial" w:hAnsi="Arial" w:cs="Arial"/>
          <w:sz w:val="24"/>
        </w:rPr>
        <w:t xml:space="preserve">, que exploram o potencial da vitamina D para modular tanto a dor menstrual quanto sintomas sistêmicos frequentemente associados à dismenorreia, como fadiga, irritabilidade e desconfortos gastrointestinais. </w:t>
      </w:r>
    </w:p>
    <w:p w14:paraId="1A4376A4" w14:textId="7E0A71A4" w:rsidR="001D3981" w:rsidRPr="00AE1DED" w:rsidRDefault="484795A1" w:rsidP="00AA23F1">
      <w:pPr>
        <w:spacing w:line="480" w:lineRule="auto"/>
        <w:ind w:left="0" w:right="8" w:firstLine="708"/>
        <w:rPr>
          <w:rFonts w:ascii="Arial" w:hAnsi="Arial" w:cs="Arial"/>
          <w:sz w:val="24"/>
        </w:rPr>
      </w:pPr>
      <w:r w:rsidRPr="00AE1DED">
        <w:rPr>
          <w:rFonts w:ascii="Arial" w:hAnsi="Arial" w:cs="Arial"/>
          <w:sz w:val="24"/>
        </w:rPr>
        <w:t>A partir de uma perspectiva terapêutica, ensaios clínicos como os de Moini et al. (2016)</w:t>
      </w:r>
      <w:r w:rsidR="00713A79">
        <w:rPr>
          <w:rFonts w:ascii="Arial" w:hAnsi="Arial" w:cs="Arial"/>
          <w:sz w:val="24"/>
          <w:vertAlign w:val="superscript"/>
        </w:rPr>
        <w:t>9</w:t>
      </w:r>
      <w:r w:rsidRPr="00AE1DED">
        <w:rPr>
          <w:rFonts w:ascii="Arial" w:hAnsi="Arial" w:cs="Arial"/>
          <w:sz w:val="24"/>
        </w:rPr>
        <w:t xml:space="preserve"> e Dawod et al. (2020)</w:t>
      </w:r>
      <w:r w:rsidR="0006046E">
        <w:rPr>
          <w:rFonts w:ascii="Arial" w:hAnsi="Arial" w:cs="Arial"/>
          <w:sz w:val="24"/>
          <w:vertAlign w:val="superscript"/>
        </w:rPr>
        <w:t>10</w:t>
      </w:r>
      <w:r w:rsidRPr="00AE1DED">
        <w:rPr>
          <w:rFonts w:ascii="Arial" w:hAnsi="Arial" w:cs="Arial"/>
          <w:sz w:val="24"/>
        </w:rPr>
        <w:t xml:space="preserve"> utilizam a suplementação da vitamina D como estratégia primária para corrigir a deficiência e analisar eventuais implicações na dor menstrual. Esses estudos são fundamentados no princípio de que a normalização dos níveis séricos de vitamina D poderia melhorar a função muscular uterina, reduzir a hiperprodução de prostaglandinas e modular a atividade inflamatória. </w:t>
      </w:r>
    </w:p>
    <w:p w14:paraId="327A6451" w14:textId="45FB1E28" w:rsidR="00DC2093" w:rsidRPr="00AE1DED" w:rsidRDefault="0006046E" w:rsidP="00AA23F1">
      <w:pPr>
        <w:spacing w:before="30" w:after="30" w:line="480" w:lineRule="auto"/>
        <w:ind w:left="0" w:right="8" w:firstLine="708"/>
        <w:rPr>
          <w:rFonts w:ascii="Arial" w:hAnsi="Arial" w:cs="Arial"/>
          <w:sz w:val="24"/>
        </w:rPr>
      </w:pPr>
      <w:r>
        <w:rPr>
          <w:rFonts w:ascii="Arial" w:hAnsi="Arial" w:cs="Arial"/>
          <w:sz w:val="24"/>
        </w:rPr>
        <w:t xml:space="preserve">O </w:t>
      </w:r>
      <w:r w:rsidR="00DB5B66" w:rsidRPr="00AE1DED">
        <w:rPr>
          <w:rFonts w:ascii="Arial" w:hAnsi="Arial" w:cs="Arial"/>
          <w:sz w:val="24"/>
        </w:rPr>
        <w:t>estudo como os de Amzajerdi et al. (2023)</w:t>
      </w:r>
      <w:r>
        <w:rPr>
          <w:rFonts w:ascii="Arial" w:hAnsi="Arial" w:cs="Arial"/>
          <w:sz w:val="24"/>
          <w:vertAlign w:val="superscript"/>
        </w:rPr>
        <w:t>1</w:t>
      </w:r>
      <w:r w:rsidR="00DB5B66" w:rsidRPr="00AE1DED">
        <w:rPr>
          <w:rFonts w:ascii="Arial" w:hAnsi="Arial" w:cs="Arial"/>
          <w:sz w:val="24"/>
        </w:rPr>
        <w:t xml:space="preserve"> ampliam o foco investigativo ao analisar não apenas a dor, mas também aspectos fisiológicos como o </w:t>
      </w:r>
      <w:r w:rsidR="00DB5B66" w:rsidRPr="00A86A3D">
        <w:rPr>
          <w:rFonts w:ascii="Arial" w:hAnsi="Arial" w:cs="Arial"/>
          <w:sz w:val="24"/>
        </w:rPr>
        <w:t>volume de sangramento menstrual.</w:t>
      </w:r>
      <w:r w:rsidR="00DB5B66" w:rsidRPr="00AE1DED">
        <w:rPr>
          <w:rFonts w:ascii="Arial" w:hAnsi="Arial" w:cs="Arial"/>
          <w:sz w:val="24"/>
        </w:rPr>
        <w:t xml:space="preserve"> Tal abordagem reforça a importância de compreender a interação da vitamina D com o tecido endometrial, reconhecendo sua atuação na diferenciação celular e no equilíbrio funcional do endométrio, fatores que podem influenciar o padrão de sangramento. </w:t>
      </w:r>
    </w:p>
    <w:p w14:paraId="1A92883C" w14:textId="39137269" w:rsidR="001D3981" w:rsidRPr="00AE1DED" w:rsidRDefault="45FF6E99" w:rsidP="00AA23F1">
      <w:pPr>
        <w:spacing w:line="480" w:lineRule="auto"/>
        <w:ind w:left="0" w:right="8" w:firstLine="708"/>
        <w:rPr>
          <w:rFonts w:ascii="Arial" w:hAnsi="Arial" w:cs="Arial"/>
          <w:sz w:val="24"/>
        </w:rPr>
      </w:pPr>
      <w:r w:rsidRPr="00AE1DED">
        <w:rPr>
          <w:rFonts w:ascii="Arial" w:hAnsi="Arial" w:cs="Arial"/>
          <w:sz w:val="24"/>
        </w:rPr>
        <w:t>A população adolescente também tem recebido atenção, como demonstrado no estudo de Bahram</w:t>
      </w:r>
      <w:r w:rsidR="0006046E">
        <w:rPr>
          <w:rFonts w:ascii="Arial" w:hAnsi="Arial" w:cs="Arial"/>
          <w:sz w:val="24"/>
        </w:rPr>
        <w:t>i</w:t>
      </w:r>
      <w:r w:rsidRPr="00AE1DED">
        <w:rPr>
          <w:rFonts w:ascii="Arial" w:hAnsi="Arial" w:cs="Arial"/>
          <w:sz w:val="24"/>
        </w:rPr>
        <w:t xml:space="preserve"> et al. (2018)</w:t>
      </w:r>
      <w:r w:rsidR="0006046E" w:rsidRPr="0006046E">
        <w:rPr>
          <w:rFonts w:ascii="Arial" w:hAnsi="Arial" w:cs="Arial"/>
          <w:sz w:val="24"/>
          <w:vertAlign w:val="superscript"/>
        </w:rPr>
        <w:t>7,</w:t>
      </w:r>
      <w:r w:rsidRPr="00AE1DED">
        <w:rPr>
          <w:rFonts w:ascii="Arial" w:hAnsi="Arial" w:cs="Arial"/>
          <w:sz w:val="24"/>
        </w:rPr>
        <w:t xml:space="preserve"> que investigou a relação entre vitamina D, dismenorreia e síndrome pré-menstrual (TPM). Essa faixa etária se caracteriza por maior instabilidade hormonal e maior prevalência de sintomas cíclicos intensos. A associação entre vitamina D e E na regulação emocional, mediada por neurotransmissores e hormônios sexuais, sustenta a hipótese de que a reposição desse micronutriente poderia contribuir para a estabilização de sintomas físicos e emocionais durante o ciclo menstrual.</w:t>
      </w:r>
    </w:p>
    <w:p w14:paraId="13CBC1DC" w14:textId="557EAF46" w:rsidR="001D3981" w:rsidRPr="00AE1DED" w:rsidRDefault="45FF6E99" w:rsidP="1C7991C7">
      <w:pPr>
        <w:spacing w:line="480" w:lineRule="auto"/>
        <w:ind w:left="0" w:right="8" w:firstLine="708"/>
        <w:rPr>
          <w:rFonts w:ascii="Arial" w:hAnsi="Arial" w:cs="Arial"/>
          <w:sz w:val="24"/>
        </w:rPr>
      </w:pPr>
      <w:r w:rsidRPr="1C7991C7">
        <w:rPr>
          <w:rFonts w:ascii="Arial" w:hAnsi="Arial" w:cs="Arial"/>
          <w:sz w:val="24"/>
        </w:rPr>
        <w:t>Além disso, pesquisas como a de Hossein</w:t>
      </w:r>
      <w:r w:rsidR="40FB5B3E" w:rsidRPr="1C7991C7">
        <w:rPr>
          <w:rFonts w:ascii="Arial" w:hAnsi="Arial" w:cs="Arial"/>
          <w:sz w:val="24"/>
        </w:rPr>
        <w:t>i</w:t>
      </w:r>
      <w:r w:rsidRPr="1C7991C7">
        <w:rPr>
          <w:rFonts w:ascii="Arial" w:hAnsi="Arial" w:cs="Arial"/>
          <w:sz w:val="24"/>
        </w:rPr>
        <w:t xml:space="preserve"> et al. (2025)</w:t>
      </w:r>
      <w:r w:rsidR="0006046E" w:rsidRPr="0006046E">
        <w:rPr>
          <w:rFonts w:ascii="Arial" w:hAnsi="Arial" w:cs="Arial"/>
          <w:sz w:val="24"/>
          <w:vertAlign w:val="superscript"/>
        </w:rPr>
        <w:t>8</w:t>
      </w:r>
      <w:r w:rsidRPr="1C7991C7">
        <w:rPr>
          <w:rFonts w:ascii="Arial" w:hAnsi="Arial" w:cs="Arial"/>
          <w:sz w:val="24"/>
        </w:rPr>
        <w:t xml:space="preserve"> exploram intervenções combinadas, sugerindo que a interação entre vitamina D e vitamina E pode oferecer benefícios complementares, uma vez que a vitamina D atua predominantemente em vias inflamatórias e musculares, enquanto a vitamina E exerce forte ação antioxidante. Esse tipo de abordagem integrada destaca a transdisciplinaridade crescente na compreensão da dor ginecológica, sugerindo que diferentes micronutrientes podem atuar de forma sinérgica sobre mecanismos fisiopatológicos complexos. </w:t>
      </w:r>
    </w:p>
    <w:p w14:paraId="5AB2DD95" w14:textId="795E78C4" w:rsidR="00046E60" w:rsidRPr="00AE1DED" w:rsidRDefault="484795A1" w:rsidP="0006046E">
      <w:pPr>
        <w:spacing w:after="303" w:line="480" w:lineRule="auto"/>
        <w:ind w:left="0" w:right="8" w:firstLine="708"/>
        <w:rPr>
          <w:rFonts w:ascii="Arial" w:hAnsi="Arial" w:cs="Arial"/>
          <w:sz w:val="24"/>
        </w:rPr>
      </w:pPr>
      <w:r w:rsidRPr="00AE1DED">
        <w:rPr>
          <w:rFonts w:ascii="Arial" w:hAnsi="Arial" w:cs="Arial"/>
          <w:sz w:val="24"/>
        </w:rPr>
        <w:t>Investigações comparativas, como a de Ozel et al. (2019)</w:t>
      </w:r>
      <w:r w:rsidR="0006046E" w:rsidRPr="00E03288">
        <w:rPr>
          <w:rFonts w:ascii="Arial" w:hAnsi="Arial" w:cs="Arial"/>
          <w:sz w:val="24"/>
          <w:vertAlign w:val="superscript"/>
        </w:rPr>
        <w:t>12</w:t>
      </w:r>
      <w:r w:rsidRPr="00AE1DED">
        <w:rPr>
          <w:rFonts w:ascii="Arial" w:hAnsi="Arial" w:cs="Arial"/>
          <w:sz w:val="24"/>
        </w:rPr>
        <w:t>, destacam a importância de analisar diferentes abordagens terapêuticas para o manejo da dismenorreia, ao comparar tratamentos farmacológicos tradicionais, como o ibuprofeno, com estratégias nutricionais envolvendo vitamina D e vitamina E. Os anti</w:t>
      </w:r>
      <w:r w:rsidRPr="00E1609A">
        <w:rPr>
          <w:rFonts w:ascii="Arial" w:hAnsi="Arial" w:cs="Arial"/>
          <w:sz w:val="24"/>
        </w:rPr>
        <w:t>-</w:t>
      </w:r>
      <w:r w:rsidRPr="00AE1DED">
        <w:rPr>
          <w:rFonts w:ascii="Arial" w:hAnsi="Arial" w:cs="Arial"/>
          <w:sz w:val="24"/>
        </w:rPr>
        <w:t>inflamatórios não esteroides (AINEs) são considerados tratamento de primeira linha para dismenorreia primária, pois atuam na inibição da enzima ciclooxigenase (COX), reduzindo a síntese de prostaglandinas responsáveis pelas contrações uterinas intensas e pela dor.</w:t>
      </w:r>
      <w:r w:rsidRPr="00AE1DED">
        <w:rPr>
          <w:rFonts w:ascii="Arial" w:hAnsi="Arial" w:cs="Arial"/>
          <w:sz w:val="24"/>
          <w:vertAlign w:val="superscript"/>
        </w:rPr>
        <w:t xml:space="preserve"> 2</w:t>
      </w:r>
      <w:r w:rsidRPr="00AE1DED">
        <w:rPr>
          <w:rFonts w:ascii="Arial" w:hAnsi="Arial" w:cs="Arial"/>
          <w:sz w:val="24"/>
        </w:rPr>
        <w:t xml:space="preserve"> No entanto, embora eficazes, esses medicamentos podem causar efeitos adversos gastrointestinais, como dor epigástrica, náuseas e irritação da mucosa gástrica, especialmente quando utilizados de forma frequente. </w:t>
      </w:r>
    </w:p>
    <w:p w14:paraId="57DDE8A1" w14:textId="4A9520BB" w:rsidR="45FF6E99" w:rsidRPr="00AE1DED" w:rsidRDefault="484795A1" w:rsidP="1C7991C7">
      <w:pPr>
        <w:pStyle w:val="PargrafodaLista"/>
        <w:spacing w:after="280" w:line="480" w:lineRule="auto"/>
        <w:ind w:left="0" w:right="8" w:firstLine="708"/>
        <w:rPr>
          <w:rFonts w:ascii="Arial" w:eastAsia="Times New Roman" w:hAnsi="Arial" w:cs="Arial"/>
          <w:sz w:val="24"/>
        </w:rPr>
      </w:pPr>
      <w:r w:rsidRPr="1C7991C7">
        <w:rPr>
          <w:rFonts w:ascii="Arial" w:eastAsia="Times New Roman" w:hAnsi="Arial" w:cs="Arial"/>
          <w:sz w:val="24"/>
        </w:rPr>
        <w:t>Estudos como o de Karacin</w:t>
      </w:r>
      <w:r w:rsidR="52764ED9" w:rsidRPr="1C7991C7">
        <w:rPr>
          <w:rFonts w:ascii="Arial" w:eastAsia="Times New Roman" w:hAnsi="Arial" w:cs="Arial"/>
          <w:sz w:val="24"/>
        </w:rPr>
        <w:t xml:space="preserve"> O </w:t>
      </w:r>
      <w:r w:rsidRPr="1C7991C7">
        <w:rPr>
          <w:rFonts w:ascii="Arial" w:eastAsia="Times New Roman" w:hAnsi="Arial" w:cs="Arial"/>
          <w:sz w:val="24"/>
        </w:rPr>
        <w:t>et al. (2018)</w:t>
      </w:r>
      <w:r w:rsidR="0006046E" w:rsidRPr="00E03288">
        <w:rPr>
          <w:rFonts w:ascii="Arial" w:hAnsi="Arial" w:cs="Arial"/>
          <w:sz w:val="24"/>
          <w:vertAlign w:val="superscript"/>
        </w:rPr>
        <w:t>13</w:t>
      </w:r>
      <w:r w:rsidRPr="1C7991C7">
        <w:rPr>
          <w:rFonts w:ascii="Arial" w:eastAsia="Times New Roman" w:hAnsi="Arial" w:cs="Arial"/>
          <w:sz w:val="24"/>
        </w:rPr>
        <w:t xml:space="preserve"> sugerem que a deficiência nutricional pode atuar como fator associado à dismenorreia, uma vez que mulheres com dor menstrual frequentemente apresentam padrões alimentares inadequados e níveis reduzidos de vitamina D e cálcio. Alterações bioquímicas, como elevação do hormônio paratireoideano (PTH), também indicam possível participação de desequilíbrios nutricionais na fisiopatologia dessa condição, mesmo na ausência de doenças pélvicas estruturais. </w:t>
      </w:r>
      <w:r w:rsidRPr="1C7991C7">
        <w:rPr>
          <w:rFonts w:ascii="Arial" w:eastAsia="Times New Roman" w:hAnsi="Arial" w:cs="Arial"/>
          <w:sz w:val="24"/>
          <w:vertAlign w:val="superscript"/>
        </w:rPr>
        <w:t>14,15</w:t>
      </w:r>
    </w:p>
    <w:p w14:paraId="6F2C10A3" w14:textId="77777777" w:rsidR="00AE1DED" w:rsidRDefault="00AE1DED" w:rsidP="00BB703B">
      <w:pPr>
        <w:spacing w:after="280" w:line="480" w:lineRule="auto"/>
        <w:ind w:left="0" w:right="8" w:firstLine="0"/>
        <w:rPr>
          <w:rFonts w:ascii="Arial" w:eastAsia="Times New Roman" w:hAnsi="Arial" w:cs="Arial"/>
          <w:b/>
          <w:bCs/>
          <w:sz w:val="24"/>
        </w:rPr>
      </w:pPr>
    </w:p>
    <w:p w14:paraId="14858191" w14:textId="77777777" w:rsidR="0006046E" w:rsidRDefault="0006046E" w:rsidP="00BB703B">
      <w:pPr>
        <w:spacing w:after="280" w:line="480" w:lineRule="auto"/>
        <w:ind w:left="0" w:right="8" w:firstLine="0"/>
        <w:rPr>
          <w:rFonts w:ascii="Arial" w:eastAsia="Times New Roman" w:hAnsi="Arial" w:cs="Arial"/>
          <w:b/>
          <w:bCs/>
          <w:sz w:val="24"/>
        </w:rPr>
      </w:pPr>
    </w:p>
    <w:p w14:paraId="0B9A493D" w14:textId="55FD3D78" w:rsidR="001A042B" w:rsidRPr="00BB703B" w:rsidRDefault="00BB703B" w:rsidP="00BB703B">
      <w:pPr>
        <w:spacing w:after="280" w:line="480" w:lineRule="auto"/>
        <w:ind w:left="0" w:right="8" w:firstLine="0"/>
        <w:rPr>
          <w:rFonts w:ascii="Arial" w:eastAsia="Times New Roman" w:hAnsi="Arial" w:cs="Arial"/>
          <w:b/>
          <w:bCs/>
          <w:sz w:val="24"/>
        </w:rPr>
      </w:pPr>
      <w:r w:rsidRPr="00BB703B">
        <w:rPr>
          <w:rFonts w:ascii="Arial" w:eastAsia="Times New Roman" w:hAnsi="Arial" w:cs="Arial"/>
          <w:b/>
          <w:bCs/>
          <w:sz w:val="24"/>
        </w:rPr>
        <w:t>CONCLUSÃO</w:t>
      </w:r>
    </w:p>
    <w:p w14:paraId="3C349D5C" w14:textId="1E4216F5" w:rsidR="001A042B" w:rsidRPr="00BB703B" w:rsidRDefault="001A042B" w:rsidP="00AA23F1">
      <w:pPr>
        <w:spacing w:after="280" w:line="480" w:lineRule="auto"/>
        <w:ind w:left="0" w:right="8" w:firstLine="708"/>
        <w:rPr>
          <w:rFonts w:ascii="Arial" w:eastAsia="Times New Roman" w:hAnsi="Arial" w:cs="Arial"/>
          <w:sz w:val="24"/>
        </w:rPr>
      </w:pPr>
      <w:r w:rsidRPr="00BB703B">
        <w:rPr>
          <w:rFonts w:ascii="Arial" w:eastAsia="Times New Roman" w:hAnsi="Arial" w:cs="Arial"/>
          <w:sz w:val="24"/>
        </w:rPr>
        <w:t>Os estudos analisados nesta revisão indica</w:t>
      </w:r>
      <w:r w:rsidR="0002607A" w:rsidRPr="00BB703B">
        <w:rPr>
          <w:rFonts w:ascii="Arial" w:eastAsia="Times New Roman" w:hAnsi="Arial" w:cs="Arial"/>
          <w:sz w:val="24"/>
        </w:rPr>
        <w:t>ra</w:t>
      </w:r>
      <w:r w:rsidRPr="00BB703B">
        <w:rPr>
          <w:rFonts w:ascii="Arial" w:eastAsia="Times New Roman" w:hAnsi="Arial" w:cs="Arial"/>
          <w:sz w:val="24"/>
        </w:rPr>
        <w:t>m que a vitamina D pode exercer influência nos sintomas da dismenorreia. A maioria das pesquisas demonstrou melhora significativa na intensidade da dor menstrual, redução do número de dias com dor, menor uso de analgésicos e anti</w:t>
      </w:r>
      <w:r w:rsidRPr="00E1609A">
        <w:rPr>
          <w:rFonts w:ascii="Arial" w:eastAsia="Times New Roman" w:hAnsi="Arial" w:cs="Arial"/>
          <w:sz w:val="24"/>
        </w:rPr>
        <w:t>-</w:t>
      </w:r>
      <w:r w:rsidRPr="00BB703B">
        <w:rPr>
          <w:rFonts w:ascii="Arial" w:eastAsia="Times New Roman" w:hAnsi="Arial" w:cs="Arial"/>
          <w:sz w:val="24"/>
        </w:rPr>
        <w:t xml:space="preserve">inflamatórios, além </w:t>
      </w:r>
      <w:r w:rsidR="0002607A" w:rsidRPr="00BB703B">
        <w:rPr>
          <w:rFonts w:ascii="Arial" w:eastAsia="Times New Roman" w:hAnsi="Arial" w:cs="Arial"/>
          <w:sz w:val="24"/>
        </w:rPr>
        <w:t>de diminuição dos</w:t>
      </w:r>
      <w:r w:rsidRPr="00BB703B">
        <w:rPr>
          <w:rFonts w:ascii="Arial" w:eastAsia="Times New Roman" w:hAnsi="Arial" w:cs="Arial"/>
          <w:sz w:val="24"/>
        </w:rPr>
        <w:t xml:space="preserve"> sintomas da síndrome pré-menstrual, como fadiga, cefaleia, náuseas e alterações emocionais. Entretanto, alguns resultados não apresentaram </w:t>
      </w:r>
      <w:r w:rsidR="0002607A" w:rsidRPr="00BB703B">
        <w:rPr>
          <w:rFonts w:ascii="Arial" w:eastAsia="Times New Roman" w:hAnsi="Arial" w:cs="Arial"/>
          <w:sz w:val="24"/>
        </w:rPr>
        <w:t>benefícios</w:t>
      </w:r>
      <w:r w:rsidRPr="00BB703B">
        <w:rPr>
          <w:rFonts w:ascii="Arial" w:eastAsia="Times New Roman" w:hAnsi="Arial" w:cs="Arial"/>
          <w:sz w:val="24"/>
        </w:rPr>
        <w:t xml:space="preserve"> consistente</w:t>
      </w:r>
      <w:r w:rsidR="0002607A" w:rsidRPr="00BB703B">
        <w:rPr>
          <w:rFonts w:ascii="Arial" w:eastAsia="Times New Roman" w:hAnsi="Arial" w:cs="Arial"/>
          <w:sz w:val="24"/>
        </w:rPr>
        <w:t>s</w:t>
      </w:r>
      <w:r w:rsidRPr="00BB703B">
        <w:rPr>
          <w:rFonts w:ascii="Arial" w:eastAsia="Times New Roman" w:hAnsi="Arial" w:cs="Arial"/>
          <w:sz w:val="24"/>
        </w:rPr>
        <w:t xml:space="preserve">, </w:t>
      </w:r>
      <w:r w:rsidR="0002607A" w:rsidRPr="00BB703B">
        <w:rPr>
          <w:rFonts w:ascii="Arial" w:eastAsia="Times New Roman" w:hAnsi="Arial" w:cs="Arial"/>
          <w:sz w:val="24"/>
        </w:rPr>
        <w:t>com relação ao</w:t>
      </w:r>
      <w:r w:rsidRPr="00BB703B">
        <w:rPr>
          <w:rFonts w:ascii="Arial" w:eastAsia="Times New Roman" w:hAnsi="Arial" w:cs="Arial"/>
          <w:sz w:val="24"/>
        </w:rPr>
        <w:t xml:space="preserve"> volume de sangramento menstrual.  </w:t>
      </w:r>
    </w:p>
    <w:p w14:paraId="24FB1CDF" w14:textId="68B7FB45" w:rsidR="001A042B" w:rsidRPr="00AE1DED" w:rsidRDefault="001A042B" w:rsidP="00AA23F1">
      <w:pPr>
        <w:spacing w:after="280" w:line="480" w:lineRule="auto"/>
        <w:ind w:left="0" w:right="8" w:firstLine="708"/>
        <w:rPr>
          <w:rFonts w:ascii="Arial" w:eastAsia="Times New Roman" w:hAnsi="Arial" w:cs="Arial"/>
          <w:sz w:val="24"/>
        </w:rPr>
      </w:pPr>
      <w:r w:rsidRPr="00BB703B">
        <w:rPr>
          <w:rFonts w:ascii="Arial" w:eastAsia="Times New Roman" w:hAnsi="Arial" w:cs="Arial"/>
          <w:sz w:val="24"/>
        </w:rPr>
        <w:t xml:space="preserve">Na prática clínica, esses achados podem auxiliar o nutricionista na abordagem da saúde da mulher. A avaliação dos níveis séricos de vitamina D pode contribuir para identificar possíveis deficiências e, quando associadas a queixas de dor menstrual, o profissional pode orientar estratégias como alimentação adequada, exposição solar e </w:t>
      </w:r>
      <w:r w:rsidRPr="00AE1DED">
        <w:rPr>
          <w:rFonts w:ascii="Arial" w:eastAsia="Times New Roman" w:hAnsi="Arial" w:cs="Arial"/>
          <w:sz w:val="24"/>
        </w:rPr>
        <w:t xml:space="preserve">suplementação </w:t>
      </w:r>
      <w:r w:rsidR="0002607A" w:rsidRPr="00AE1DED">
        <w:rPr>
          <w:rFonts w:ascii="Arial" w:eastAsia="Times New Roman" w:hAnsi="Arial" w:cs="Arial"/>
          <w:sz w:val="24"/>
        </w:rPr>
        <w:t>considerando as</w:t>
      </w:r>
      <w:r w:rsidRPr="00AE1DED">
        <w:rPr>
          <w:rFonts w:ascii="Arial" w:eastAsia="Times New Roman" w:hAnsi="Arial" w:cs="Arial"/>
          <w:sz w:val="24"/>
        </w:rPr>
        <w:t xml:space="preserve"> doses </w:t>
      </w:r>
      <w:r w:rsidR="0002607A" w:rsidRPr="00AE1DED">
        <w:rPr>
          <w:rFonts w:ascii="Arial" w:eastAsia="Times New Roman" w:hAnsi="Arial" w:cs="Arial"/>
          <w:sz w:val="24"/>
        </w:rPr>
        <w:t xml:space="preserve">de prescrição </w:t>
      </w:r>
      <w:r w:rsidRPr="00AE1DED">
        <w:rPr>
          <w:rFonts w:ascii="Arial" w:eastAsia="Times New Roman" w:hAnsi="Arial" w:cs="Arial"/>
          <w:sz w:val="24"/>
        </w:rPr>
        <w:t xml:space="preserve">permitidas, como </w:t>
      </w:r>
      <w:r w:rsidR="0002607A" w:rsidRPr="00AE1DED">
        <w:rPr>
          <w:rFonts w:ascii="Arial" w:eastAsia="Times New Roman" w:hAnsi="Arial" w:cs="Arial"/>
          <w:sz w:val="24"/>
        </w:rPr>
        <w:t>tratamento</w:t>
      </w:r>
      <w:r w:rsidRPr="00AE1DED">
        <w:rPr>
          <w:rFonts w:ascii="Arial" w:eastAsia="Times New Roman" w:hAnsi="Arial" w:cs="Arial"/>
          <w:sz w:val="24"/>
        </w:rPr>
        <w:t xml:space="preserve"> complementar </w:t>
      </w:r>
      <w:r w:rsidR="0002607A" w:rsidRPr="00AE1DED">
        <w:rPr>
          <w:rFonts w:ascii="Arial" w:eastAsia="Times New Roman" w:hAnsi="Arial" w:cs="Arial"/>
          <w:sz w:val="24"/>
        </w:rPr>
        <w:t>e</w:t>
      </w:r>
      <w:r w:rsidRPr="00AE1DED">
        <w:rPr>
          <w:rFonts w:ascii="Arial" w:eastAsia="Times New Roman" w:hAnsi="Arial" w:cs="Arial"/>
          <w:sz w:val="24"/>
        </w:rPr>
        <w:t xml:space="preserve"> manejo dos sintomas.</w:t>
      </w:r>
    </w:p>
    <w:p w14:paraId="6B812EDD" w14:textId="08873A93" w:rsidR="001A042B" w:rsidRDefault="2D4B9076" w:rsidP="00AA23F1">
      <w:pPr>
        <w:spacing w:after="280" w:line="480" w:lineRule="auto"/>
        <w:ind w:left="0" w:right="8" w:firstLine="708"/>
        <w:rPr>
          <w:rFonts w:ascii="Arial" w:eastAsia="Times New Roman" w:hAnsi="Arial" w:cs="Arial"/>
          <w:sz w:val="24"/>
        </w:rPr>
      </w:pPr>
      <w:r w:rsidRPr="2D4B9076">
        <w:rPr>
          <w:rFonts w:ascii="Arial" w:eastAsia="Times New Roman" w:hAnsi="Arial" w:cs="Arial"/>
          <w:sz w:val="24"/>
        </w:rPr>
        <w:t>Por fim, destaca-se a importância de novas pesquisas no Brasil, especialmente comparando mulheres das regiões Norte e Sul, uma vez que as diferenças na incidência de radiação solar podem influenciar a síntese de vitamina D e contribuir para melhor compreensão da relação entre essa vitamina e a dismenorreia na população brasileira.</w:t>
      </w:r>
    </w:p>
    <w:p w14:paraId="78133965" w14:textId="3AA81E56" w:rsidR="2D4B9076" w:rsidRDefault="2D4B9076" w:rsidP="2D4B9076">
      <w:pPr>
        <w:spacing w:after="280" w:line="480" w:lineRule="auto"/>
        <w:ind w:left="0" w:right="8" w:firstLine="708"/>
        <w:rPr>
          <w:rFonts w:ascii="Arial" w:eastAsia="Times New Roman" w:hAnsi="Arial" w:cs="Arial"/>
          <w:sz w:val="24"/>
        </w:rPr>
      </w:pPr>
    </w:p>
    <w:p w14:paraId="69CF02A9" w14:textId="2FC31E16" w:rsidR="00B037D6" w:rsidRPr="00805036" w:rsidRDefault="2D4B9076" w:rsidP="2D4B9076">
      <w:pPr>
        <w:spacing w:after="280" w:line="480" w:lineRule="auto"/>
        <w:ind w:left="0" w:right="8" w:firstLine="0"/>
        <w:rPr>
          <w:rFonts w:ascii="Arial" w:eastAsia="Times New Roman" w:hAnsi="Arial" w:cs="Arial"/>
          <w:sz w:val="24"/>
          <w:lang w:val="en-US"/>
        </w:rPr>
      </w:pPr>
      <w:r w:rsidRPr="00805036">
        <w:rPr>
          <w:rFonts w:ascii="Arial" w:eastAsia="Times New Roman" w:hAnsi="Arial" w:cs="Arial"/>
          <w:sz w:val="24"/>
          <w:lang w:val="en-US"/>
        </w:rPr>
        <w:t>REFERÊNCIAS</w:t>
      </w:r>
      <w:r w:rsidR="00AE1DED" w:rsidRPr="00805036">
        <w:rPr>
          <w:lang w:val="en-US"/>
        </w:rPr>
        <w:tab/>
      </w:r>
    </w:p>
    <w:p w14:paraId="0944CB11" w14:textId="2DEE5D67" w:rsidR="00471658" w:rsidRPr="00805036"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1. Amzajerdi A, Keshavarz M, Ghorbali E, Pezaro S, Sarvi F. The effect of vitamin D on the severity of dysmenorrhea and menstrual blood loss: a randomized clinical trial. BMC Womens Health. 2023;23(1):138.</w:t>
      </w:r>
    </w:p>
    <w:p w14:paraId="2F2F0565" w14:textId="711CA132" w:rsidR="00471658" w:rsidRPr="00BB703B"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 xml:space="preserve">2. </w:t>
      </w:r>
      <w:r w:rsidR="3AD59486" w:rsidRPr="0006046E">
        <w:rPr>
          <w:rFonts w:ascii="Arial" w:eastAsia="Times New Roman" w:hAnsi="Arial" w:cs="Arial"/>
          <w:sz w:val="24"/>
          <w:lang w:val="en-US"/>
        </w:rPr>
        <w:t>GUIMARÃES</w:t>
      </w:r>
      <w:r w:rsidR="0006046E" w:rsidRPr="0006046E">
        <w:rPr>
          <w:rFonts w:ascii="Arial" w:eastAsia="Times New Roman" w:hAnsi="Arial" w:cs="Arial"/>
          <w:sz w:val="24"/>
          <w:lang w:val="en-US"/>
        </w:rPr>
        <w:t xml:space="preserve">, I.; PÓVOA, </w:t>
      </w:r>
      <w:r w:rsidR="3AD59486" w:rsidRPr="0006046E">
        <w:rPr>
          <w:rFonts w:ascii="Arial" w:eastAsia="Times New Roman" w:hAnsi="Arial" w:cs="Arial"/>
          <w:sz w:val="24"/>
          <w:lang w:val="en-US"/>
        </w:rPr>
        <w:t>A</w:t>
      </w:r>
      <w:r w:rsidR="0006046E" w:rsidRPr="0006046E">
        <w:rPr>
          <w:rFonts w:ascii="Arial" w:eastAsia="Times New Roman" w:hAnsi="Arial" w:cs="Arial"/>
          <w:sz w:val="24"/>
          <w:lang w:val="en-US"/>
        </w:rPr>
        <w:t>.</w:t>
      </w:r>
      <w:r w:rsidR="3AD59486" w:rsidRPr="0006046E">
        <w:rPr>
          <w:rFonts w:ascii="Arial" w:eastAsia="Times New Roman" w:hAnsi="Arial" w:cs="Arial"/>
          <w:sz w:val="24"/>
          <w:lang w:val="en-US"/>
        </w:rPr>
        <w:t>M.</w:t>
      </w:r>
      <w:r w:rsidR="3AD59486" w:rsidRPr="1C7991C7">
        <w:rPr>
          <w:rFonts w:ascii="Arial" w:eastAsia="Times New Roman" w:hAnsi="Arial" w:cs="Arial"/>
          <w:sz w:val="24"/>
          <w:lang w:val="en-US"/>
        </w:rPr>
        <w:t xml:space="preserve"> Primary dysmenorrhea: assessment and treatment. Rev Bras Ginecol Obstet. 2020;42(8):501-507. </w:t>
      </w:r>
    </w:p>
    <w:p w14:paraId="39EED2B4" w14:textId="3C773E7A" w:rsidR="00471658" w:rsidRPr="00805036" w:rsidRDefault="2D4B9076" w:rsidP="2D4B9076">
      <w:pPr>
        <w:pStyle w:val="PargrafodaLista"/>
        <w:spacing w:after="280" w:line="480" w:lineRule="auto"/>
        <w:ind w:left="0" w:right="8" w:firstLine="0"/>
        <w:rPr>
          <w:rFonts w:ascii="Arial" w:eastAsia="Times New Roman" w:hAnsi="Arial" w:cs="Arial"/>
          <w:sz w:val="24"/>
        </w:rPr>
      </w:pPr>
      <w:r w:rsidRPr="00805036">
        <w:rPr>
          <w:rFonts w:ascii="Arial" w:eastAsia="Times New Roman" w:hAnsi="Arial" w:cs="Arial"/>
          <w:sz w:val="24"/>
          <w:lang w:val="en-US"/>
        </w:rPr>
        <w:t xml:space="preserve">3. Lin KC, Huang KJ, Lin MN, Wang CY e Tsai TY. </w:t>
      </w:r>
      <w:r w:rsidRPr="1C7991C7">
        <w:rPr>
          <w:rFonts w:ascii="Arial" w:eastAsia="Times New Roman" w:hAnsi="Arial" w:cs="Arial"/>
          <w:sz w:val="24"/>
        </w:rPr>
        <w:t xml:space="preserve">Suplementação de Vitamina D para Pacientes com Dismenorreia: Uma Meta-Análise com Análise Sequencial de Ensaios de Ensaios Clínicos Randomizados. Nutrientes. 2024 Abr 8;16(7):1089. </w:t>
      </w:r>
    </w:p>
    <w:p w14:paraId="1F0FBF72" w14:textId="17AB7D3F" w:rsidR="2D4B9076" w:rsidRDefault="2D4B9076" w:rsidP="1C7991C7">
      <w:pPr>
        <w:pStyle w:val="PargrafodaLista"/>
        <w:spacing w:after="280" w:line="480" w:lineRule="auto"/>
        <w:ind w:left="0" w:right="8" w:firstLine="0"/>
      </w:pPr>
      <w:r w:rsidRPr="1C7991C7">
        <w:rPr>
          <w:rFonts w:ascii="Arial" w:eastAsia="Times New Roman" w:hAnsi="Arial" w:cs="Arial"/>
          <w:sz w:val="24"/>
        </w:rPr>
        <w:t xml:space="preserve">4. </w:t>
      </w:r>
      <w:r w:rsidR="1C9BF4C3" w:rsidRPr="1C7991C7">
        <w:rPr>
          <w:rFonts w:ascii="Arial" w:eastAsia="Arial" w:hAnsi="Arial" w:cs="Arial"/>
          <w:color w:val="222222"/>
          <w:sz w:val="24"/>
        </w:rPr>
        <w:t>Wimalawansa SJ. Base fisiológica para o uso da vitamina D para melhorar a saúde.</w:t>
      </w:r>
      <w:r w:rsidR="1C9BF4C3" w:rsidRPr="1C7991C7">
        <w:rPr>
          <w:rFonts w:ascii="Arial" w:eastAsia="Arial" w:hAnsi="Arial" w:cs="Arial"/>
          <w:i/>
          <w:iCs/>
          <w:color w:val="222222"/>
          <w:sz w:val="24"/>
        </w:rPr>
        <w:t>Biomedicinas</w:t>
      </w:r>
      <w:r w:rsidR="1C9BF4C3" w:rsidRPr="1C7991C7">
        <w:rPr>
          <w:rFonts w:ascii="Arial" w:eastAsia="Arial" w:hAnsi="Arial" w:cs="Arial"/>
          <w:color w:val="222222"/>
          <w:sz w:val="24"/>
        </w:rPr>
        <w:t xml:space="preserve">.2023;11(6):1542. </w:t>
      </w:r>
    </w:p>
    <w:p w14:paraId="2C11D34D" w14:textId="42B1BFFC" w:rsidR="2D4B9076" w:rsidRPr="00805036"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5. Rahnemaei FA, Gholamrezaei A, Afrakhteh M, Zayeri F. Vitamin D supplementation for primary dysmenorrhea: a double-blind, randomized, placebo-controlled trial. Obstet Gynecol Sci. 2021;64(4):353-363.</w:t>
      </w:r>
    </w:p>
    <w:p w14:paraId="33131D40" w14:textId="26CD680B" w:rsidR="00471658" w:rsidRPr="00805036" w:rsidRDefault="2D4B9076" w:rsidP="2D4B9076">
      <w:pPr>
        <w:pStyle w:val="PargrafodaLista"/>
        <w:spacing w:after="280" w:line="480" w:lineRule="auto"/>
        <w:ind w:left="0" w:right="8" w:firstLine="0"/>
        <w:rPr>
          <w:rFonts w:ascii="Arial" w:eastAsia="Arial" w:hAnsi="Arial" w:cs="Arial"/>
          <w:sz w:val="24"/>
        </w:rPr>
      </w:pPr>
      <w:r w:rsidRPr="1C7991C7">
        <w:rPr>
          <w:rFonts w:ascii="Arial" w:eastAsia="Times New Roman" w:hAnsi="Arial" w:cs="Arial"/>
          <w:sz w:val="24"/>
          <w:lang w:val="en-US"/>
        </w:rPr>
        <w:t xml:space="preserve">6. </w:t>
      </w:r>
      <w:r w:rsidRPr="1C7991C7">
        <w:rPr>
          <w:rFonts w:ascii="Arial" w:eastAsia="Arial" w:hAnsi="Arial" w:cs="Arial"/>
          <w:color w:val="212121"/>
          <w:sz w:val="24"/>
          <w:lang w:val="en-US"/>
        </w:rPr>
        <w:t xml:space="preserve">Pakniat H, Chegini V, Ranjkesh F, Hosseini MA. Comparison of the effect of vitamin E, vitamin D and ginger on the severity of primary dysmenorrhea: a single-blind clinical trial. </w:t>
      </w:r>
      <w:r w:rsidRPr="00805036">
        <w:rPr>
          <w:rFonts w:ascii="Arial" w:eastAsia="Arial" w:hAnsi="Arial" w:cs="Arial"/>
          <w:color w:val="212121"/>
          <w:sz w:val="24"/>
        </w:rPr>
        <w:t>Obstet Gynecol Sci. 2019;62(6):462-468.</w:t>
      </w:r>
    </w:p>
    <w:p w14:paraId="7F55DF30" w14:textId="3CAD5713" w:rsidR="00471658" w:rsidRPr="00805036"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rPr>
        <w:t xml:space="preserve">7. Bahrami A, Avan A, Sadeghnia HR, Esmaeili H, Tayefi M, Ghasemi F, Nejati Salehkhani F, Arabpour-Dahoue M, Rastgar-Moghadam A, Ferns GA, Bahrami-Taghanaki H, Ghayour-Mobarhan M. A suplementação de altas doses de vitamina D pode melhorar os problemas menstruais, a dismenorréia e a síndrome pré-menstrual em adolescentes. </w:t>
      </w:r>
      <w:r w:rsidRPr="00805036">
        <w:rPr>
          <w:rFonts w:ascii="Arial" w:eastAsia="Times New Roman" w:hAnsi="Arial" w:cs="Arial"/>
          <w:sz w:val="24"/>
          <w:lang w:val="en-US"/>
        </w:rPr>
        <w:t>Endocrinol ginecológico. 2018;34(8):659-663.</w:t>
      </w:r>
    </w:p>
    <w:p w14:paraId="1C602475" w14:textId="16E96A00" w:rsidR="00471658" w:rsidRPr="00BB703B"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8. Hosseini MS, Talayeh M, Haghbin Toutounchi A, Hosseini A, Moradi N, Iranshahi S, Abdollahi Aliabadi F. Effect of vitamin D and E supplementation on pain relief and premenstrual symptoms in primary dysmenorrhea: a randomized controlled trial. BMC Womens Health. 2025;29;25(1):455.  Erratum in: BMC Womens Health. 2025;25(1):516.</w:t>
      </w:r>
    </w:p>
    <w:p w14:paraId="2F636543" w14:textId="4B244CCE" w:rsidR="00471658" w:rsidRPr="00BB703B"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9. Moini A, Ebrahimi T, Shirzad N, Hosseini R, Radfar M, Bandarian F, Jafari-Adli S, Qorbani M, Hemmatabadi M. The effect of vitamin D on primary dysmenorrhea with vitamin D deficiency: a randomized double-blind controlled clinical trial. Gynecol Endocrinol. 2016;32(6):502-5.</w:t>
      </w:r>
    </w:p>
    <w:p w14:paraId="13307D21" w14:textId="37CFBA7D" w:rsidR="00471658" w:rsidRPr="00805036" w:rsidRDefault="2D4B9076" w:rsidP="2D4B9076">
      <w:pPr>
        <w:pStyle w:val="PargrafodaLista"/>
        <w:spacing w:after="280" w:line="480" w:lineRule="auto"/>
        <w:ind w:left="0" w:right="8" w:firstLine="0"/>
        <w:rPr>
          <w:rFonts w:ascii="Arial" w:eastAsia="Times New Roman" w:hAnsi="Arial" w:cs="Arial"/>
          <w:sz w:val="24"/>
        </w:rPr>
      </w:pPr>
      <w:r w:rsidRPr="1C7991C7">
        <w:rPr>
          <w:rFonts w:ascii="Arial" w:eastAsia="Times New Roman" w:hAnsi="Arial" w:cs="Arial"/>
          <w:sz w:val="24"/>
          <w:lang w:val="en-US"/>
        </w:rPr>
        <w:t xml:space="preserve">10. Dawod LH, Mohmmed SJ, Seddiq WT. The Effect of Vitamin D on Dysmenorrheic Vitamin D Deficient Females (Single Centre Experiment). </w:t>
      </w:r>
      <w:r w:rsidRPr="00805036">
        <w:rPr>
          <w:rFonts w:ascii="Arial" w:eastAsia="Times New Roman" w:hAnsi="Arial" w:cs="Arial"/>
          <w:sz w:val="24"/>
        </w:rPr>
        <w:t>Austin J Obstet Gynecol. 2020;7(2):1159.</w:t>
      </w:r>
    </w:p>
    <w:p w14:paraId="463D20E5" w14:textId="11943DAF" w:rsidR="00471658" w:rsidRPr="00BB703B" w:rsidRDefault="2D4B9076" w:rsidP="2D4B9076">
      <w:pPr>
        <w:pStyle w:val="PargrafodaLista"/>
        <w:spacing w:after="280" w:line="480" w:lineRule="auto"/>
        <w:ind w:left="0" w:right="8" w:firstLine="0"/>
        <w:rPr>
          <w:rFonts w:ascii="Arial" w:eastAsia="Times New Roman" w:hAnsi="Arial" w:cs="Arial"/>
          <w:sz w:val="24"/>
          <w:lang w:val="en-US"/>
        </w:rPr>
      </w:pPr>
      <w:r w:rsidRPr="00805036">
        <w:rPr>
          <w:rFonts w:ascii="Arial" w:eastAsia="Times New Roman" w:hAnsi="Arial" w:cs="Arial"/>
          <w:sz w:val="24"/>
        </w:rPr>
        <w:t xml:space="preserve">11. Lama A, Najla A, Azzah A, Areej A, Alaa E, Salem A, et al. </w:t>
      </w:r>
      <w:r w:rsidRPr="1C7991C7">
        <w:rPr>
          <w:rFonts w:ascii="Arial" w:eastAsia="Times New Roman" w:hAnsi="Arial" w:cs="Arial"/>
          <w:sz w:val="24"/>
          <w:lang w:val="en-US"/>
        </w:rPr>
        <w:t>Vitamin D Supplements as Adjunctive Therapy with Analgesics for Primary Dysmenorrhea: A Randomized Clinical Trial. Int J Reprod Med Gynecol. 2019;5(1):004-014.</w:t>
      </w:r>
    </w:p>
    <w:p w14:paraId="3223DD17" w14:textId="1B89830A" w:rsidR="00471658" w:rsidRPr="00BB703B" w:rsidRDefault="2D4B9076" w:rsidP="2D4B9076">
      <w:pPr>
        <w:pStyle w:val="PargrafodaLista"/>
        <w:spacing w:after="280" w:line="480" w:lineRule="auto"/>
        <w:ind w:left="0" w:right="8" w:firstLine="0"/>
        <w:rPr>
          <w:rFonts w:ascii="Arial" w:eastAsia="Times New Roman" w:hAnsi="Arial" w:cs="Arial"/>
          <w:sz w:val="24"/>
          <w:lang w:val="en-US"/>
        </w:rPr>
      </w:pPr>
      <w:r w:rsidRPr="1C7991C7">
        <w:rPr>
          <w:rFonts w:ascii="Arial" w:eastAsia="Times New Roman" w:hAnsi="Arial" w:cs="Arial"/>
          <w:sz w:val="24"/>
          <w:lang w:val="en-US"/>
        </w:rPr>
        <w:t>12. Özel A, Ateş S, Şevket O, Özdemir M, İlhan G, Davutoğlu E. A Randomized Controlled Study of Vitamin D in the Treatment of Primary Dysmenorrhea. Duzce Med J.2019;21:32–36.</w:t>
      </w:r>
    </w:p>
    <w:p w14:paraId="14158DCF" w14:textId="0DF963B9" w:rsidR="00471658" w:rsidRPr="00805036" w:rsidRDefault="2D4B9076" w:rsidP="2D4B9076">
      <w:pPr>
        <w:pStyle w:val="PargrafodaLista"/>
        <w:spacing w:after="280" w:line="480" w:lineRule="auto"/>
        <w:ind w:left="0" w:right="8" w:firstLine="0"/>
        <w:rPr>
          <w:rFonts w:ascii="Arial" w:eastAsia="Times New Roman" w:hAnsi="Arial" w:cs="Arial"/>
          <w:sz w:val="24"/>
        </w:rPr>
      </w:pPr>
      <w:r w:rsidRPr="1C7991C7">
        <w:rPr>
          <w:rFonts w:ascii="Arial" w:eastAsia="Times New Roman" w:hAnsi="Arial" w:cs="Arial"/>
          <w:sz w:val="24"/>
        </w:rPr>
        <w:t>1</w:t>
      </w:r>
      <w:r w:rsidR="00713A79">
        <w:rPr>
          <w:rFonts w:ascii="Arial" w:eastAsia="Times New Roman" w:hAnsi="Arial" w:cs="Arial"/>
          <w:sz w:val="24"/>
        </w:rPr>
        <w:t>3</w:t>
      </w:r>
      <w:r w:rsidRPr="1C7991C7">
        <w:rPr>
          <w:rFonts w:ascii="Arial" w:eastAsia="Times New Roman" w:hAnsi="Arial" w:cs="Arial"/>
          <w:sz w:val="24"/>
        </w:rPr>
        <w:t>. Karacin O, Mutlu I, Kose M, Celik F, Kanat-Pektas M, Yilmazer M. Concentrações séricas de vitamina D em jovens mulheres turcas com dismenorreia primária: Um estudo controlado randomizado. Taiwan J Obstet Gynecol. 2018;57(1):58-63.</w:t>
      </w:r>
    </w:p>
    <w:p w14:paraId="19EDF3A0" w14:textId="70059CBD" w:rsidR="00471658" w:rsidRPr="00BB703B" w:rsidRDefault="2D4B9076" w:rsidP="2D4B9076">
      <w:pPr>
        <w:pStyle w:val="PargrafodaLista"/>
        <w:spacing w:after="280" w:line="480" w:lineRule="auto"/>
        <w:ind w:left="0" w:right="8" w:firstLine="0"/>
        <w:rPr>
          <w:rFonts w:ascii="Arial" w:eastAsia="Times New Roman" w:hAnsi="Arial" w:cs="Arial"/>
          <w:sz w:val="24"/>
        </w:rPr>
      </w:pPr>
      <w:r w:rsidRPr="1C7991C7">
        <w:rPr>
          <w:rFonts w:ascii="Arial" w:eastAsia="Times New Roman" w:hAnsi="Arial" w:cs="Arial"/>
          <w:sz w:val="24"/>
        </w:rPr>
        <w:t>1</w:t>
      </w:r>
      <w:r w:rsidR="00713A79">
        <w:rPr>
          <w:rFonts w:ascii="Arial" w:eastAsia="Times New Roman" w:hAnsi="Arial" w:cs="Arial"/>
          <w:sz w:val="24"/>
        </w:rPr>
        <w:t>4</w:t>
      </w:r>
      <w:r w:rsidRPr="1C7991C7">
        <w:rPr>
          <w:rFonts w:ascii="Arial" w:eastAsia="Times New Roman" w:hAnsi="Arial" w:cs="Arial"/>
          <w:sz w:val="24"/>
        </w:rPr>
        <w:t>. Christakos S, Dhawan P, Verstuyf A, Verlinden L, Carmeliet G. Vitamina D: Metabolismo, Mecanismo Molecular de Ação e Efeitos Pleiotrópicos. Physiol Rev. 2016;96(1):365-408.</w:t>
      </w:r>
    </w:p>
    <w:p w14:paraId="58A80828" w14:textId="16FEC0E6" w:rsidR="00471658" w:rsidRPr="00BB703B" w:rsidRDefault="2D4B9076" w:rsidP="2D4B9076">
      <w:pPr>
        <w:pStyle w:val="PargrafodaLista"/>
        <w:spacing w:after="280" w:line="480" w:lineRule="auto"/>
        <w:ind w:left="0" w:right="8" w:firstLine="0"/>
      </w:pPr>
      <w:r w:rsidRPr="1C7991C7">
        <w:rPr>
          <w:rFonts w:ascii="Arial" w:eastAsia="Times New Roman" w:hAnsi="Arial" w:cs="Arial"/>
          <w:sz w:val="24"/>
        </w:rPr>
        <w:t>1</w:t>
      </w:r>
      <w:r w:rsidR="00713A79">
        <w:rPr>
          <w:rFonts w:ascii="Arial" w:eastAsia="Times New Roman" w:hAnsi="Arial" w:cs="Arial"/>
          <w:sz w:val="24"/>
        </w:rPr>
        <w:t>5</w:t>
      </w:r>
      <w:r w:rsidRPr="1C7991C7">
        <w:rPr>
          <w:rFonts w:ascii="Arial" w:eastAsia="Times New Roman" w:hAnsi="Arial" w:cs="Arial"/>
          <w:sz w:val="24"/>
        </w:rPr>
        <w:t xml:space="preserve">. </w:t>
      </w:r>
      <w:r w:rsidRPr="1C7991C7">
        <w:rPr>
          <w:rFonts w:ascii="Arial" w:eastAsia="Arial" w:hAnsi="Arial" w:cs="Arial"/>
          <w:color w:val="222222"/>
          <w:sz w:val="24"/>
        </w:rPr>
        <w:t xml:space="preserve">Dominguez LJ, Farruggia M, Veronese N, Barbagallo M. Fontes de vitamina D, metabolismo e deficiência: compostos disponíveis e diretrizes para seu tratamento.Metabólitos.2021;11(4):255. </w:t>
      </w:r>
    </w:p>
    <w:p w14:paraId="2FE6C86B" w14:textId="5E73F6C6" w:rsidR="2D4B9076" w:rsidRDefault="2D4B9076" w:rsidP="2D4B9076">
      <w:pPr>
        <w:pStyle w:val="PargrafodaLista"/>
        <w:spacing w:after="280" w:line="480" w:lineRule="auto"/>
        <w:ind w:left="0" w:right="8" w:firstLine="0"/>
        <w:rPr>
          <w:rFonts w:ascii="Arial" w:eastAsia="Times New Roman" w:hAnsi="Arial" w:cs="Arial"/>
          <w:sz w:val="24"/>
        </w:rPr>
      </w:pPr>
      <w:r w:rsidRPr="1C7991C7">
        <w:rPr>
          <w:rFonts w:ascii="Arial" w:eastAsia="Times New Roman" w:hAnsi="Arial" w:cs="Arial"/>
          <w:sz w:val="24"/>
        </w:rPr>
        <w:t>1</w:t>
      </w:r>
      <w:r w:rsidR="00713A79">
        <w:rPr>
          <w:rFonts w:ascii="Arial" w:eastAsia="Times New Roman" w:hAnsi="Arial" w:cs="Arial"/>
          <w:sz w:val="24"/>
        </w:rPr>
        <w:t>6</w:t>
      </w:r>
      <w:r w:rsidRPr="1C7991C7">
        <w:rPr>
          <w:rFonts w:ascii="Arial" w:eastAsia="Times New Roman" w:hAnsi="Arial" w:cs="Arial"/>
          <w:sz w:val="24"/>
        </w:rPr>
        <w:t xml:space="preserve">. Cashman KD, van den Heuvel EG, Schoemaker RJ, Prévéraud DP, Macdonald HM, Arcot J. 25-Hidroxivitamina D como um Biomarcador do Estado da Vitamina D e Sua Modelagem para Informar Estratégias de Prevenção da Deficiência de Vitamina D dentro da População. Adv Nutr. 2017 Nov 15;8(6):947-957. </w:t>
      </w:r>
    </w:p>
    <w:p w14:paraId="525CEBC3" w14:textId="42987A61" w:rsidR="00EE2A67" w:rsidRPr="00BB703B" w:rsidRDefault="00EE2A67" w:rsidP="2D4B9076">
      <w:pPr>
        <w:pStyle w:val="PargrafodaLista"/>
        <w:spacing w:after="280" w:line="480" w:lineRule="auto"/>
        <w:ind w:left="0" w:right="8" w:firstLine="0"/>
        <w:rPr>
          <w:rFonts w:ascii="Arial" w:eastAsia="Times New Roman" w:hAnsi="Arial" w:cs="Arial"/>
          <w:sz w:val="24"/>
        </w:rPr>
      </w:pPr>
    </w:p>
    <w:p w14:paraId="633AB7E6" w14:textId="148C16C6" w:rsidR="00AA23F1" w:rsidRPr="00BB703B" w:rsidRDefault="00AA23F1" w:rsidP="2D4B9076">
      <w:pPr>
        <w:pStyle w:val="PargrafodaLista"/>
        <w:spacing w:after="280" w:line="480" w:lineRule="auto"/>
        <w:ind w:left="0" w:right="8" w:firstLine="0"/>
        <w:rPr>
          <w:rFonts w:ascii="Arial" w:eastAsia="Times New Roman" w:hAnsi="Arial" w:cs="Arial"/>
          <w:sz w:val="24"/>
        </w:rPr>
      </w:pPr>
    </w:p>
    <w:p w14:paraId="1AA9CB51" w14:textId="5BB695F2" w:rsidR="00AA23F1" w:rsidRPr="00BB703B" w:rsidRDefault="00AA23F1" w:rsidP="2D4B9076">
      <w:pPr>
        <w:pStyle w:val="PargrafodaLista"/>
        <w:spacing w:after="280" w:line="480" w:lineRule="auto"/>
        <w:ind w:left="0" w:right="8" w:firstLine="0"/>
        <w:rPr>
          <w:rFonts w:ascii="Arial" w:eastAsia="Times New Roman" w:hAnsi="Arial" w:cs="Arial"/>
          <w:sz w:val="24"/>
        </w:rPr>
      </w:pPr>
    </w:p>
    <w:p w14:paraId="3ACB82BE" w14:textId="341E3BE5" w:rsidR="00AA23F1" w:rsidRPr="00BB703B" w:rsidRDefault="00AA23F1" w:rsidP="2D4B9076">
      <w:pPr>
        <w:pStyle w:val="PargrafodaLista"/>
        <w:spacing w:after="280" w:line="480" w:lineRule="auto"/>
        <w:ind w:left="0" w:right="8" w:firstLine="0"/>
        <w:rPr>
          <w:rFonts w:ascii="Arial" w:eastAsia="Times New Roman" w:hAnsi="Arial" w:cs="Arial"/>
          <w:sz w:val="24"/>
        </w:rPr>
      </w:pPr>
      <w:r>
        <w:rPr>
          <w:noProof/>
        </w:rPr>
        <w:drawing>
          <wp:inline distT="0" distB="0" distL="0" distR="0" wp14:anchorId="4E3EE852" wp14:editId="4A9771EE">
            <wp:extent cx="5762625" cy="4321969"/>
            <wp:effectExtent l="0" t="0" r="0" b="0"/>
            <wp:docPr id="11117077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07726" name="Picture 1111707726"/>
                    <pic:cNvPicPr/>
                  </pic:nvPicPr>
                  <pic:blipFill>
                    <a:blip r:embed="rId11">
                      <a:extLst>
                        <a:ext uri="{28A0092B-C50C-407E-A947-70E740481C1C}">
                          <a14:useLocalDpi xmlns:a14="http://schemas.microsoft.com/office/drawing/2010/main"/>
                        </a:ext>
                      </a:extLst>
                    </a:blip>
                    <a:stretch>
                      <a:fillRect/>
                    </a:stretch>
                  </pic:blipFill>
                  <pic:spPr>
                    <a:xfrm>
                      <a:off x="0" y="0"/>
                      <a:ext cx="5762625" cy="4321969"/>
                    </a:xfrm>
                    <a:prstGeom prst="rect">
                      <a:avLst/>
                    </a:prstGeom>
                  </pic:spPr>
                </pic:pic>
              </a:graphicData>
            </a:graphic>
          </wp:inline>
        </w:drawing>
      </w:r>
      <w:r w:rsidR="2D4B9076" w:rsidRPr="2D4B9076">
        <w:rPr>
          <w:rFonts w:ascii="Arial" w:eastAsia="Times New Roman" w:hAnsi="Arial" w:cs="Arial"/>
          <w:b/>
          <w:bCs/>
          <w:sz w:val="24"/>
        </w:rPr>
        <w:t>Figura 1.</w:t>
      </w:r>
      <w:r w:rsidR="2D4B9076" w:rsidRPr="2D4B9076">
        <w:rPr>
          <w:rFonts w:ascii="Arial" w:eastAsia="Times New Roman" w:hAnsi="Arial" w:cs="Arial"/>
          <w:sz w:val="24"/>
        </w:rPr>
        <w:t xml:space="preserve"> Identificação de estudos por meio de bases de dados e registros. </w:t>
      </w:r>
    </w:p>
    <w:p w14:paraId="22382B48" w14:textId="00E80926" w:rsidR="00EE2A67" w:rsidRPr="00BB703B" w:rsidRDefault="00EE2A67" w:rsidP="2D4B9076">
      <w:pPr>
        <w:pStyle w:val="PargrafodaLista"/>
        <w:spacing w:after="280" w:line="480" w:lineRule="auto"/>
        <w:ind w:left="0" w:right="8" w:firstLine="0"/>
        <w:rPr>
          <w:rFonts w:ascii="Arial" w:eastAsia="Times New Roman" w:hAnsi="Arial" w:cs="Arial"/>
          <w:sz w:val="24"/>
        </w:rPr>
        <w:sectPr w:rsidR="00EE2A67" w:rsidRPr="00BB703B">
          <w:headerReference w:type="default" r:id="rId12"/>
          <w:footerReference w:type="default" r:id="rId13"/>
          <w:pgSz w:w="11905" w:h="16840"/>
          <w:pgMar w:top="1419" w:right="1691" w:bottom="1484" w:left="1701" w:header="720" w:footer="720" w:gutter="0"/>
          <w:cols w:space="720"/>
        </w:sectPr>
      </w:pPr>
    </w:p>
    <w:p w14:paraId="18CD5EF4" w14:textId="77777777" w:rsidR="00AA23F1" w:rsidRDefault="00AA23F1" w:rsidP="69637EA3">
      <w:pPr>
        <w:spacing w:after="0" w:line="480" w:lineRule="auto"/>
        <w:rPr>
          <w:rFonts w:ascii="Times New Roman" w:eastAsia="Times New Roman" w:hAnsi="Times New Roman" w:cs="Times New Roman"/>
          <w:color w:val="000000" w:themeColor="text1"/>
          <w:szCs w:val="22"/>
          <w:highlight w:val="yellow"/>
        </w:rPr>
      </w:pPr>
    </w:p>
    <w:p w14:paraId="52155A0C" w14:textId="76A4271A" w:rsidR="00B037D6" w:rsidRPr="00BB703B" w:rsidRDefault="00D72E11" w:rsidP="005438D0">
      <w:pPr>
        <w:spacing w:after="0" w:line="480" w:lineRule="auto"/>
        <w:rPr>
          <w:rFonts w:ascii="Times New Roman" w:eastAsia="Times New Roman" w:hAnsi="Times New Roman" w:cs="Times New Roman"/>
          <w:color w:val="000000" w:themeColor="text1"/>
          <w:szCs w:val="22"/>
        </w:rPr>
      </w:pPr>
      <w:r>
        <w:rPr>
          <w:rFonts w:ascii="Times New Roman" w:eastAsia="Times New Roman" w:hAnsi="Times New Roman" w:cs="Times New Roman"/>
          <w:b/>
          <w:bCs/>
          <w:color w:val="000000" w:themeColor="text1"/>
          <w:szCs w:val="22"/>
        </w:rPr>
        <w:t xml:space="preserve">Quadro </w:t>
      </w:r>
      <w:r w:rsidR="00AA23F1" w:rsidRPr="005438D0">
        <w:rPr>
          <w:rFonts w:ascii="Times New Roman" w:eastAsia="Times New Roman" w:hAnsi="Times New Roman" w:cs="Times New Roman"/>
          <w:b/>
          <w:bCs/>
          <w:color w:val="000000" w:themeColor="text1"/>
          <w:szCs w:val="22"/>
        </w:rPr>
        <w:t>1</w:t>
      </w:r>
      <w:r w:rsidR="69637EA3" w:rsidRPr="005438D0">
        <w:rPr>
          <w:rFonts w:ascii="Times New Roman" w:eastAsia="Times New Roman" w:hAnsi="Times New Roman" w:cs="Times New Roman"/>
          <w:b/>
          <w:bCs/>
          <w:color w:val="000000" w:themeColor="text1"/>
          <w:szCs w:val="22"/>
        </w:rPr>
        <w:t>.</w:t>
      </w:r>
      <w:r w:rsidR="69637EA3" w:rsidRPr="00AA23F1">
        <w:rPr>
          <w:rFonts w:ascii="Times New Roman" w:eastAsia="Times New Roman" w:hAnsi="Times New Roman" w:cs="Times New Roman"/>
          <w:color w:val="000000" w:themeColor="text1"/>
          <w:szCs w:val="22"/>
        </w:rPr>
        <w:t xml:space="preserve"> Principais características dos estudos selecionados sobre</w:t>
      </w:r>
      <w:r w:rsidR="00AA23F1" w:rsidRPr="00AA23F1">
        <w:rPr>
          <w:rFonts w:ascii="Times New Roman" w:eastAsia="Times New Roman" w:hAnsi="Times New Roman" w:cs="Times New Roman"/>
          <w:color w:val="000000" w:themeColor="text1"/>
          <w:szCs w:val="22"/>
        </w:rPr>
        <w:t xml:space="preserve"> a relação entre vitamina D e dismenorreia.</w:t>
      </w:r>
    </w:p>
    <w:tbl>
      <w:tblPr>
        <w:tblStyle w:val="Tabelacomgrade"/>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02"/>
        <w:gridCol w:w="778"/>
        <w:gridCol w:w="567"/>
        <w:gridCol w:w="706"/>
        <w:gridCol w:w="2268"/>
        <w:gridCol w:w="1417"/>
        <w:gridCol w:w="1417"/>
        <w:gridCol w:w="992"/>
        <w:gridCol w:w="4550"/>
      </w:tblGrid>
      <w:tr w:rsidR="00F130F9" w14:paraId="31622B8E" w14:textId="77777777" w:rsidTr="00F130F9">
        <w:trPr>
          <w:trHeight w:val="300"/>
        </w:trPr>
        <w:tc>
          <w:tcPr>
            <w:tcW w:w="432" w:type="pct"/>
            <w:vMerge w:val="restart"/>
            <w:tcMar>
              <w:left w:w="105" w:type="dxa"/>
              <w:right w:w="105" w:type="dxa"/>
            </w:tcMar>
          </w:tcPr>
          <w:p w14:paraId="3363FA67" w14:textId="0E65EA28"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Autor/ano</w:t>
            </w:r>
          </w:p>
          <w:p w14:paraId="7A5C6A83" w14:textId="79FB6F92" w:rsidR="005438D0" w:rsidRDefault="005438D0" w:rsidP="005438D0">
            <w:pPr>
              <w:spacing w:after="0" w:line="240" w:lineRule="auto"/>
              <w:rPr>
                <w:rFonts w:ascii="Times New Roman" w:eastAsia="Times New Roman" w:hAnsi="Times New Roman" w:cs="Times New Roman"/>
                <w:szCs w:val="22"/>
              </w:rPr>
            </w:pPr>
          </w:p>
        </w:tc>
        <w:tc>
          <w:tcPr>
            <w:tcW w:w="280" w:type="pct"/>
            <w:tcMar>
              <w:left w:w="105" w:type="dxa"/>
              <w:right w:w="105" w:type="dxa"/>
            </w:tcMar>
          </w:tcPr>
          <w:p w14:paraId="329A8A60" w14:textId="4E518C28"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Local</w:t>
            </w:r>
          </w:p>
        </w:tc>
        <w:tc>
          <w:tcPr>
            <w:tcW w:w="458" w:type="pct"/>
            <w:gridSpan w:val="2"/>
            <w:tcMar>
              <w:left w:w="105" w:type="dxa"/>
              <w:right w:w="105" w:type="dxa"/>
            </w:tcMar>
          </w:tcPr>
          <w:p w14:paraId="3A9919CF" w14:textId="3695CC89"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 xml:space="preserve">População do estudo </w:t>
            </w:r>
          </w:p>
        </w:tc>
        <w:tc>
          <w:tcPr>
            <w:tcW w:w="816" w:type="pct"/>
            <w:vMerge w:val="restart"/>
            <w:tcMar>
              <w:left w:w="105" w:type="dxa"/>
              <w:right w:w="105" w:type="dxa"/>
            </w:tcMar>
          </w:tcPr>
          <w:p w14:paraId="45099C11" w14:textId="4584EDBC"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Objetivo</w:t>
            </w:r>
          </w:p>
        </w:tc>
        <w:tc>
          <w:tcPr>
            <w:tcW w:w="1377" w:type="pct"/>
            <w:gridSpan w:val="3"/>
            <w:tcMar>
              <w:left w:w="105" w:type="dxa"/>
              <w:right w:w="105" w:type="dxa"/>
            </w:tcMar>
          </w:tcPr>
          <w:p w14:paraId="6D8F3A08" w14:textId="1A80FF11"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 xml:space="preserve">Suplementação </w:t>
            </w:r>
          </w:p>
        </w:tc>
        <w:tc>
          <w:tcPr>
            <w:tcW w:w="1637" w:type="pct"/>
            <w:vMerge w:val="restart"/>
            <w:tcMar>
              <w:left w:w="105" w:type="dxa"/>
              <w:right w:w="105" w:type="dxa"/>
            </w:tcMar>
          </w:tcPr>
          <w:p w14:paraId="77F099EB" w14:textId="4E0BC4BE"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b/>
                <w:bCs/>
                <w:szCs w:val="22"/>
              </w:rPr>
              <w:t>Principais resultados</w:t>
            </w:r>
          </w:p>
        </w:tc>
      </w:tr>
      <w:tr w:rsidR="00F130F9" w14:paraId="0352DC79" w14:textId="77777777" w:rsidTr="00F130F9">
        <w:trPr>
          <w:trHeight w:val="210"/>
        </w:trPr>
        <w:tc>
          <w:tcPr>
            <w:tcW w:w="432" w:type="pct"/>
            <w:vMerge/>
            <w:vAlign w:val="center"/>
          </w:tcPr>
          <w:p w14:paraId="5FA612C4" w14:textId="77777777" w:rsidR="005438D0" w:rsidRDefault="005438D0" w:rsidP="005438D0">
            <w:pPr>
              <w:spacing w:after="0" w:line="240" w:lineRule="auto"/>
            </w:pPr>
          </w:p>
        </w:tc>
        <w:tc>
          <w:tcPr>
            <w:tcW w:w="280" w:type="pct"/>
            <w:vAlign w:val="center"/>
          </w:tcPr>
          <w:p w14:paraId="0E34DFDB" w14:textId="77777777" w:rsidR="005438D0" w:rsidRDefault="005438D0" w:rsidP="005438D0">
            <w:pPr>
              <w:spacing w:after="0" w:line="240" w:lineRule="auto"/>
            </w:pPr>
          </w:p>
        </w:tc>
        <w:tc>
          <w:tcPr>
            <w:tcW w:w="204" w:type="pct"/>
            <w:tcMar>
              <w:left w:w="105" w:type="dxa"/>
              <w:right w:w="105" w:type="dxa"/>
            </w:tcMar>
          </w:tcPr>
          <w:p w14:paraId="6757C04B" w14:textId="66D152E2"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szCs w:val="22"/>
              </w:rPr>
              <w:t>n</w:t>
            </w:r>
          </w:p>
        </w:tc>
        <w:tc>
          <w:tcPr>
            <w:tcW w:w="254" w:type="pct"/>
            <w:tcMar>
              <w:left w:w="105" w:type="dxa"/>
              <w:right w:w="105" w:type="dxa"/>
            </w:tcMar>
          </w:tcPr>
          <w:p w14:paraId="7165F19E" w14:textId="1FAC3E48"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szCs w:val="22"/>
              </w:rPr>
              <w:t>idade</w:t>
            </w:r>
          </w:p>
        </w:tc>
        <w:tc>
          <w:tcPr>
            <w:tcW w:w="816" w:type="pct"/>
            <w:vMerge/>
            <w:vAlign w:val="center"/>
          </w:tcPr>
          <w:p w14:paraId="6AB35683" w14:textId="77777777" w:rsidR="005438D0" w:rsidRDefault="005438D0" w:rsidP="005438D0">
            <w:pPr>
              <w:spacing w:after="0" w:line="240" w:lineRule="auto"/>
            </w:pPr>
          </w:p>
        </w:tc>
        <w:tc>
          <w:tcPr>
            <w:tcW w:w="510" w:type="pct"/>
            <w:tcMar>
              <w:left w:w="105" w:type="dxa"/>
              <w:right w:w="105" w:type="dxa"/>
            </w:tcMar>
          </w:tcPr>
          <w:p w14:paraId="3B224A07" w14:textId="300BEC27"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szCs w:val="22"/>
              </w:rPr>
              <w:t>Vit D</w:t>
            </w:r>
          </w:p>
        </w:tc>
        <w:tc>
          <w:tcPr>
            <w:tcW w:w="510" w:type="pct"/>
            <w:tcMar>
              <w:left w:w="105" w:type="dxa"/>
              <w:right w:w="105" w:type="dxa"/>
            </w:tcMar>
          </w:tcPr>
          <w:p w14:paraId="71995FC2" w14:textId="71DE7A30" w:rsidR="005438D0" w:rsidRDefault="005438D0" w:rsidP="005438D0">
            <w:pPr>
              <w:spacing w:after="0" w:line="240" w:lineRule="auto"/>
              <w:jc w:val="center"/>
              <w:rPr>
                <w:rFonts w:ascii="Times New Roman" w:eastAsia="Times New Roman" w:hAnsi="Times New Roman" w:cs="Times New Roman"/>
                <w:szCs w:val="22"/>
              </w:rPr>
            </w:pPr>
            <w:r w:rsidRPr="69637EA3">
              <w:rPr>
                <w:rFonts w:ascii="Times New Roman" w:eastAsia="Times New Roman" w:hAnsi="Times New Roman" w:cs="Times New Roman"/>
                <w:szCs w:val="22"/>
              </w:rPr>
              <w:t>Dose</w:t>
            </w:r>
          </w:p>
        </w:tc>
        <w:tc>
          <w:tcPr>
            <w:tcW w:w="357" w:type="pct"/>
            <w:tcMar>
              <w:left w:w="105" w:type="dxa"/>
              <w:right w:w="105" w:type="dxa"/>
            </w:tcMar>
          </w:tcPr>
          <w:p w14:paraId="618F16A6" w14:textId="7409B5E2"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Duração</w:t>
            </w:r>
          </w:p>
        </w:tc>
        <w:tc>
          <w:tcPr>
            <w:tcW w:w="1637" w:type="pct"/>
            <w:vMerge/>
            <w:vAlign w:val="center"/>
          </w:tcPr>
          <w:p w14:paraId="475358CC" w14:textId="77777777" w:rsidR="005438D0" w:rsidRDefault="005438D0" w:rsidP="005438D0">
            <w:pPr>
              <w:spacing w:after="0" w:line="240" w:lineRule="auto"/>
            </w:pPr>
          </w:p>
        </w:tc>
      </w:tr>
      <w:tr w:rsidR="00F130F9" w14:paraId="6279B875" w14:textId="77777777" w:rsidTr="00F130F9">
        <w:trPr>
          <w:trHeight w:val="300"/>
        </w:trPr>
        <w:tc>
          <w:tcPr>
            <w:tcW w:w="432" w:type="pct"/>
            <w:tcMar>
              <w:left w:w="105" w:type="dxa"/>
              <w:right w:w="105" w:type="dxa"/>
            </w:tcMar>
          </w:tcPr>
          <w:p w14:paraId="32583257" w14:textId="5295468A" w:rsidR="005438D0" w:rsidRPr="008939E5" w:rsidRDefault="00D72E11" w:rsidP="0006046E">
            <w:pPr>
              <w:spacing w:after="0" w:line="240" w:lineRule="auto"/>
              <w:ind w:left="0" w:firstLine="0"/>
              <w:rPr>
                <w:rFonts w:ascii="Times New Roman" w:eastAsia="Times New Roman" w:hAnsi="Times New Roman" w:cs="Times New Roman"/>
                <w:szCs w:val="22"/>
                <w:lang w:val="en-US"/>
              </w:rPr>
            </w:pPr>
            <w:r w:rsidRPr="00D72E11">
              <w:rPr>
                <w:rFonts w:ascii="Times New Roman" w:eastAsia="Times New Roman" w:hAnsi="Times New Roman" w:cs="Times New Roman"/>
                <w:szCs w:val="22"/>
                <w:vertAlign w:val="superscript"/>
                <w:lang w:val="en-US"/>
              </w:rPr>
              <w:t>5</w:t>
            </w:r>
            <w:r w:rsidR="005438D0" w:rsidRPr="69637EA3">
              <w:rPr>
                <w:rFonts w:ascii="Times New Roman" w:eastAsia="Times New Roman" w:hAnsi="Times New Roman" w:cs="Times New Roman"/>
                <w:szCs w:val="22"/>
                <w:lang w:val="en-US"/>
              </w:rPr>
              <w:t>Rahnemaei et.al., 2021</w:t>
            </w:r>
          </w:p>
          <w:p w14:paraId="64415A5A" w14:textId="1DB40B98"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4F01E244" w14:textId="1E7AD42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Irã </w:t>
            </w:r>
          </w:p>
        </w:tc>
        <w:tc>
          <w:tcPr>
            <w:tcW w:w="204" w:type="pct"/>
            <w:tcMar>
              <w:left w:w="105" w:type="dxa"/>
              <w:right w:w="105" w:type="dxa"/>
            </w:tcMar>
          </w:tcPr>
          <w:p w14:paraId="176C1CAA" w14:textId="2D7F73D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116</w:t>
            </w:r>
          </w:p>
        </w:tc>
        <w:tc>
          <w:tcPr>
            <w:tcW w:w="254" w:type="pct"/>
            <w:tcMar>
              <w:left w:w="105" w:type="dxa"/>
              <w:right w:w="105" w:type="dxa"/>
            </w:tcMar>
          </w:tcPr>
          <w:p w14:paraId="58197622" w14:textId="75755E5B"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18-32</w:t>
            </w:r>
          </w:p>
        </w:tc>
        <w:tc>
          <w:tcPr>
            <w:tcW w:w="816" w:type="pct"/>
            <w:tcMar>
              <w:left w:w="105" w:type="dxa"/>
              <w:right w:w="105" w:type="dxa"/>
            </w:tcMar>
          </w:tcPr>
          <w:p w14:paraId="00D9EF3E" w14:textId="7B4112D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Investigar o efeito da suplementação de vitamina D na dor e nos sintomas sistêmicos em pacientes com dismenorreia primária</w:t>
            </w:r>
          </w:p>
        </w:tc>
        <w:tc>
          <w:tcPr>
            <w:tcW w:w="510" w:type="pct"/>
            <w:tcMar>
              <w:left w:w="105" w:type="dxa"/>
              <w:right w:w="105" w:type="dxa"/>
            </w:tcMar>
          </w:tcPr>
          <w:p w14:paraId="258514AF" w14:textId="2D378EB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Vit d3 (colecalciferol)</w:t>
            </w:r>
          </w:p>
        </w:tc>
        <w:tc>
          <w:tcPr>
            <w:tcW w:w="510" w:type="pct"/>
            <w:tcMar>
              <w:left w:w="105" w:type="dxa"/>
              <w:right w:w="105" w:type="dxa"/>
            </w:tcMar>
          </w:tcPr>
          <w:p w14:paraId="08B8C7FD" w14:textId="63473A5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50 000 UI/ semana ou placebo</w:t>
            </w:r>
          </w:p>
        </w:tc>
        <w:tc>
          <w:tcPr>
            <w:tcW w:w="357" w:type="pct"/>
            <w:tcMar>
              <w:left w:w="105" w:type="dxa"/>
              <w:right w:w="105" w:type="dxa"/>
            </w:tcMar>
          </w:tcPr>
          <w:p w14:paraId="352C3DC0" w14:textId="1192AE56"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8 </w:t>
            </w:r>
            <w:r w:rsidRPr="006A04E6">
              <w:rPr>
                <w:rFonts w:ascii="Times New Roman" w:eastAsia="Times New Roman" w:hAnsi="Times New Roman" w:cs="Times New Roman"/>
                <w:szCs w:val="22"/>
              </w:rPr>
              <w:t>sem</w:t>
            </w:r>
            <w:r w:rsidR="00E03288">
              <w:rPr>
                <w:rFonts w:ascii="Times New Roman" w:eastAsia="Times New Roman" w:hAnsi="Times New Roman" w:cs="Times New Roman"/>
                <w:szCs w:val="22"/>
              </w:rPr>
              <w:t>a</w:t>
            </w:r>
            <w:r w:rsidRPr="006A04E6">
              <w:rPr>
                <w:rFonts w:ascii="Times New Roman" w:eastAsia="Times New Roman" w:hAnsi="Times New Roman" w:cs="Times New Roman"/>
                <w:szCs w:val="22"/>
              </w:rPr>
              <w:t>nas</w:t>
            </w:r>
          </w:p>
        </w:tc>
        <w:tc>
          <w:tcPr>
            <w:tcW w:w="1637" w:type="pct"/>
            <w:tcMar>
              <w:left w:w="105" w:type="dxa"/>
              <w:right w:w="105" w:type="dxa"/>
            </w:tcMar>
          </w:tcPr>
          <w:p w14:paraId="5D84050B" w14:textId="40DE0FC9"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No grupo de suplementação houve redução estatisticamente significativas da intensidade da dor, (-1,0 ponto na semana 4; -1,5 na semana8; p&lt;0,001), do número de dias com dor (-1 dia na semana 4 e na semana 8; p&lt;0,001), do número de medicamentos analgésicos consumidos (-1,0 nas semanas 4 e 8, p &lt; 0,001) e da gravidade dos sintomas sistêmicos (-1 ponto no score; p&lt;0,001). Não houve melhoria significativa no grupo placebo.</w:t>
            </w:r>
          </w:p>
        </w:tc>
      </w:tr>
      <w:tr w:rsidR="00F130F9" w14:paraId="647F4C9C" w14:textId="77777777" w:rsidTr="00F130F9">
        <w:trPr>
          <w:trHeight w:val="300"/>
        </w:trPr>
        <w:tc>
          <w:tcPr>
            <w:tcW w:w="432" w:type="pct"/>
            <w:tcMar>
              <w:left w:w="105" w:type="dxa"/>
              <w:right w:w="105" w:type="dxa"/>
            </w:tcMar>
          </w:tcPr>
          <w:p w14:paraId="7E1CA539" w14:textId="7E8B1120" w:rsidR="005438D0" w:rsidRPr="008939E5" w:rsidRDefault="00E03288" w:rsidP="00B50053">
            <w:pPr>
              <w:spacing w:after="0" w:line="240" w:lineRule="auto"/>
              <w:rPr>
                <w:rFonts w:ascii="Times New Roman" w:eastAsia="Times New Roman" w:hAnsi="Times New Roman" w:cs="Times New Roman"/>
                <w:szCs w:val="22"/>
                <w:lang w:val="en-US"/>
              </w:rPr>
            </w:pPr>
            <w:r w:rsidRPr="00B50053">
              <w:rPr>
                <w:rFonts w:ascii="Times New Roman" w:eastAsia="Times New Roman" w:hAnsi="Times New Roman" w:cs="Times New Roman"/>
                <w:szCs w:val="22"/>
                <w:vertAlign w:val="superscript"/>
                <w:lang w:val="en-US"/>
              </w:rPr>
              <w:t>1</w:t>
            </w:r>
            <w:r w:rsidR="005438D0" w:rsidRPr="69637EA3">
              <w:rPr>
                <w:rFonts w:ascii="Times New Roman" w:eastAsia="Times New Roman" w:hAnsi="Times New Roman" w:cs="Times New Roman"/>
                <w:szCs w:val="22"/>
                <w:lang w:val="en-US"/>
              </w:rPr>
              <w:t>Amzajerdi  et.al., 2023</w:t>
            </w:r>
          </w:p>
          <w:p w14:paraId="5E1260DA" w14:textId="1E651321" w:rsidR="005438D0" w:rsidRPr="008939E5" w:rsidRDefault="005438D0" w:rsidP="00F130F9">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3D030115" w14:textId="0C7EC0C1"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Irã </w:t>
            </w:r>
          </w:p>
        </w:tc>
        <w:tc>
          <w:tcPr>
            <w:tcW w:w="204" w:type="pct"/>
            <w:tcMar>
              <w:left w:w="105" w:type="dxa"/>
              <w:right w:w="105" w:type="dxa"/>
            </w:tcMar>
          </w:tcPr>
          <w:p w14:paraId="0897E8AA" w14:textId="06CA28A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84</w:t>
            </w:r>
          </w:p>
        </w:tc>
        <w:tc>
          <w:tcPr>
            <w:tcW w:w="254" w:type="pct"/>
            <w:tcMar>
              <w:left w:w="105" w:type="dxa"/>
              <w:right w:w="105" w:type="dxa"/>
            </w:tcMar>
          </w:tcPr>
          <w:p w14:paraId="2815E87B" w14:textId="1097B5D9"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18-25</w:t>
            </w:r>
          </w:p>
        </w:tc>
        <w:tc>
          <w:tcPr>
            <w:tcW w:w="816" w:type="pct"/>
            <w:tcMar>
              <w:left w:w="105" w:type="dxa"/>
              <w:right w:w="105" w:type="dxa"/>
            </w:tcMar>
          </w:tcPr>
          <w:p w14:paraId="7E76F203" w14:textId="64D0D60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Avaliar o efeito da suplementação de vit D na </w:t>
            </w:r>
            <w:r w:rsidR="0006046E">
              <w:rPr>
                <w:rFonts w:ascii="Times New Roman" w:eastAsia="Times New Roman" w:hAnsi="Times New Roman" w:cs="Times New Roman"/>
                <w:szCs w:val="22"/>
              </w:rPr>
              <w:t xml:space="preserve">gravidade </w:t>
            </w:r>
            <w:r w:rsidRPr="69637EA3">
              <w:rPr>
                <w:rFonts w:ascii="Times New Roman" w:eastAsia="Times New Roman" w:hAnsi="Times New Roman" w:cs="Times New Roman"/>
                <w:szCs w:val="22"/>
              </w:rPr>
              <w:t xml:space="preserve">da dismenorreia primaria e no sangramento menstrual em duas menstruações subsequentes </w:t>
            </w:r>
          </w:p>
        </w:tc>
        <w:tc>
          <w:tcPr>
            <w:tcW w:w="510" w:type="pct"/>
            <w:tcMar>
              <w:left w:w="105" w:type="dxa"/>
              <w:right w:w="105" w:type="dxa"/>
            </w:tcMar>
          </w:tcPr>
          <w:p w14:paraId="3C146EB4" w14:textId="3729FD72"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Vitamina D3 colecalciferol</w:t>
            </w:r>
          </w:p>
        </w:tc>
        <w:tc>
          <w:tcPr>
            <w:tcW w:w="510" w:type="pct"/>
            <w:tcMar>
              <w:left w:w="105" w:type="dxa"/>
              <w:right w:w="105" w:type="dxa"/>
            </w:tcMar>
          </w:tcPr>
          <w:p w14:paraId="0CCEBEB3" w14:textId="618D64A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300 000 UI/semana (50.000 UI, dois comprimidos a cada 8 horas), 5 dias antes do início previsto do próximo ciclo menstrual ou placebo</w:t>
            </w:r>
          </w:p>
        </w:tc>
        <w:tc>
          <w:tcPr>
            <w:tcW w:w="357" w:type="pct"/>
            <w:tcMar>
              <w:left w:w="105" w:type="dxa"/>
              <w:right w:w="105" w:type="dxa"/>
            </w:tcMar>
          </w:tcPr>
          <w:p w14:paraId="7EF447A8" w14:textId="511B1F9F"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Avaliada antes da intervenção e durante duas menstruações subsequentes</w:t>
            </w:r>
          </w:p>
        </w:tc>
        <w:tc>
          <w:tcPr>
            <w:tcW w:w="1637" w:type="pct"/>
            <w:tcMar>
              <w:left w:w="105" w:type="dxa"/>
              <w:right w:w="105" w:type="dxa"/>
            </w:tcMar>
          </w:tcPr>
          <w:p w14:paraId="3EC7CA31" w14:textId="65FC09FE"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Houve redução significativa nas escalas de dor (EVA) no 1 e 2 ciclos menstruais após suplementação (p&lt;0,001) comparado ao placebo. O consumo de ácido mefenâmico (analgésico) também foi menor no grupo vit D (p=0,009 no 1 ciclo; p&lt;0,001 no 2). </w:t>
            </w:r>
            <w:r w:rsidRPr="00A86A3D">
              <w:rPr>
                <w:rFonts w:ascii="Times New Roman" w:eastAsia="Times New Roman" w:hAnsi="Times New Roman" w:cs="Times New Roman"/>
                <w:szCs w:val="22"/>
              </w:rPr>
              <w:t>Não houve efeito estatisticamente significativo sobre o volume de sangramento menstrual (</w:t>
            </w:r>
            <w:r w:rsidRPr="69637EA3">
              <w:rPr>
                <w:rFonts w:ascii="Times New Roman" w:eastAsia="Times New Roman" w:hAnsi="Times New Roman" w:cs="Times New Roman"/>
                <w:szCs w:val="22"/>
              </w:rPr>
              <w:t xml:space="preserve">PBLAC) no grupo de intervenção </w:t>
            </w:r>
          </w:p>
        </w:tc>
      </w:tr>
      <w:tr w:rsidR="00F130F9" w14:paraId="7AE7C810" w14:textId="77777777" w:rsidTr="00F130F9">
        <w:trPr>
          <w:trHeight w:val="300"/>
        </w:trPr>
        <w:tc>
          <w:tcPr>
            <w:tcW w:w="432" w:type="pct"/>
            <w:tcMar>
              <w:left w:w="105" w:type="dxa"/>
              <w:right w:w="105" w:type="dxa"/>
            </w:tcMar>
          </w:tcPr>
          <w:p w14:paraId="0A5C779C" w14:textId="6D6EDAC1"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7</w:t>
            </w:r>
            <w:r w:rsidR="005438D0" w:rsidRPr="69637EA3">
              <w:rPr>
                <w:rFonts w:ascii="Times New Roman" w:eastAsia="Times New Roman" w:hAnsi="Times New Roman" w:cs="Times New Roman"/>
                <w:szCs w:val="22"/>
                <w:lang w:val="en-US"/>
              </w:rPr>
              <w:t>Bahram</w:t>
            </w:r>
            <w:r>
              <w:rPr>
                <w:rFonts w:ascii="Times New Roman" w:eastAsia="Times New Roman" w:hAnsi="Times New Roman" w:cs="Times New Roman"/>
                <w:szCs w:val="22"/>
                <w:lang w:val="en-US"/>
              </w:rPr>
              <w:t xml:space="preserve">i </w:t>
            </w:r>
            <w:r w:rsidR="005438D0" w:rsidRPr="69637EA3">
              <w:rPr>
                <w:rFonts w:ascii="Times New Roman" w:eastAsia="Times New Roman" w:hAnsi="Times New Roman" w:cs="Times New Roman"/>
                <w:szCs w:val="22"/>
                <w:lang w:val="en-US"/>
              </w:rPr>
              <w:t>et.al., 2018</w:t>
            </w:r>
          </w:p>
          <w:p w14:paraId="73B41028" w14:textId="1F2D9186"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42CE70DE" w14:textId="674EC25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Irã (Mashhad)</w:t>
            </w:r>
          </w:p>
        </w:tc>
        <w:tc>
          <w:tcPr>
            <w:tcW w:w="204" w:type="pct"/>
            <w:tcMar>
              <w:left w:w="105" w:type="dxa"/>
              <w:right w:w="105" w:type="dxa"/>
            </w:tcMar>
          </w:tcPr>
          <w:p w14:paraId="2AE5979F" w14:textId="122CE17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897</w:t>
            </w:r>
          </w:p>
        </w:tc>
        <w:tc>
          <w:tcPr>
            <w:tcW w:w="254" w:type="pct"/>
            <w:tcMar>
              <w:left w:w="105" w:type="dxa"/>
              <w:right w:w="105" w:type="dxa"/>
            </w:tcMar>
          </w:tcPr>
          <w:p w14:paraId="525C1612" w14:textId="181AEAA9"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Não informado</w:t>
            </w:r>
          </w:p>
        </w:tc>
        <w:tc>
          <w:tcPr>
            <w:tcW w:w="816" w:type="pct"/>
            <w:tcMar>
              <w:left w:w="105" w:type="dxa"/>
              <w:right w:w="105" w:type="dxa"/>
            </w:tcMar>
          </w:tcPr>
          <w:p w14:paraId="4612BFA0" w14:textId="4336C6E0"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Avaliar o efeito da suplementação com alta dose de vit D na prevalência de síndrome pré-menstrual (spm) e de dismenorreia primaria em </w:t>
            </w:r>
            <w:r w:rsidRPr="00615178">
              <w:rPr>
                <w:rFonts w:ascii="Times New Roman" w:eastAsia="Times New Roman" w:hAnsi="Times New Roman" w:cs="Times New Roman"/>
                <w:szCs w:val="22"/>
              </w:rPr>
              <w:t>adolecentes</w:t>
            </w:r>
          </w:p>
        </w:tc>
        <w:tc>
          <w:tcPr>
            <w:tcW w:w="510" w:type="pct"/>
            <w:tcMar>
              <w:left w:w="105" w:type="dxa"/>
              <w:right w:w="105" w:type="dxa"/>
            </w:tcMar>
          </w:tcPr>
          <w:p w14:paraId="065E415A" w14:textId="513E189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colecalciferol</w:t>
            </w:r>
          </w:p>
        </w:tc>
        <w:tc>
          <w:tcPr>
            <w:tcW w:w="510" w:type="pct"/>
            <w:tcMar>
              <w:left w:w="105" w:type="dxa"/>
              <w:right w:w="105" w:type="dxa"/>
            </w:tcMar>
          </w:tcPr>
          <w:p w14:paraId="6F2E9D00" w14:textId="2BD3650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50 000 U por semana (9 semanas)</w:t>
            </w:r>
          </w:p>
        </w:tc>
        <w:tc>
          <w:tcPr>
            <w:tcW w:w="357" w:type="pct"/>
            <w:tcMar>
              <w:left w:w="105" w:type="dxa"/>
              <w:right w:w="105" w:type="dxa"/>
            </w:tcMar>
          </w:tcPr>
          <w:p w14:paraId="2156417E" w14:textId="2AC81CE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9 semanas</w:t>
            </w:r>
          </w:p>
        </w:tc>
        <w:tc>
          <w:tcPr>
            <w:tcW w:w="1637" w:type="pct"/>
            <w:tcMar>
              <w:left w:w="105" w:type="dxa"/>
              <w:right w:w="105" w:type="dxa"/>
            </w:tcMar>
          </w:tcPr>
          <w:p w14:paraId="6CE2577D" w14:textId="65FB189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Houve redução significativa na prevalência de TPM (de 14,9% para 4,8%; p&lt;0,001), na prevalência de dismenorreia (de 35,9% para 32,4%; p&lt;0,05); na prevalência de TPM e dismenorreia (redução de 32,7% para 25,7%), e nos sintomas físicos e psicológicos da TPM (dor nas costas e tendência a chorar facilmente) além de diminuição da intensidade da dor da dismenorreia (p&lt;0,05)</w:t>
            </w:r>
          </w:p>
        </w:tc>
      </w:tr>
      <w:tr w:rsidR="00F130F9" w14:paraId="40C5E0D5" w14:textId="77777777" w:rsidTr="00F130F9">
        <w:trPr>
          <w:trHeight w:val="300"/>
        </w:trPr>
        <w:tc>
          <w:tcPr>
            <w:tcW w:w="432" w:type="pct"/>
            <w:tcMar>
              <w:left w:w="105" w:type="dxa"/>
              <w:right w:w="105" w:type="dxa"/>
            </w:tcMar>
          </w:tcPr>
          <w:p w14:paraId="55FE50B1" w14:textId="292392F8" w:rsidR="005438D0" w:rsidRPr="008939E5" w:rsidRDefault="00E03288" w:rsidP="00B50053">
            <w:pPr>
              <w:spacing w:after="0" w:line="240" w:lineRule="auto"/>
              <w:rPr>
                <w:rFonts w:ascii="Times New Roman" w:eastAsia="Times New Roman" w:hAnsi="Times New Roman" w:cs="Times New Roman"/>
                <w:szCs w:val="22"/>
                <w:lang w:val="en-US"/>
              </w:rPr>
            </w:pPr>
            <w:r w:rsidRPr="00B50053">
              <w:rPr>
                <w:rFonts w:ascii="Times New Roman" w:eastAsia="Times New Roman" w:hAnsi="Times New Roman" w:cs="Times New Roman"/>
                <w:szCs w:val="22"/>
                <w:vertAlign w:val="superscript"/>
                <w:lang w:val="en-US"/>
              </w:rPr>
              <w:t>8</w:t>
            </w:r>
            <w:r w:rsidR="005438D0" w:rsidRPr="69637EA3">
              <w:rPr>
                <w:rFonts w:ascii="Times New Roman" w:eastAsia="Times New Roman" w:hAnsi="Times New Roman" w:cs="Times New Roman"/>
                <w:szCs w:val="22"/>
                <w:lang w:val="en-US"/>
              </w:rPr>
              <w:t>Hossein et.al.,2025</w:t>
            </w:r>
          </w:p>
          <w:p w14:paraId="69EE3F79" w14:textId="323495B7"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15E92865" w14:textId="5E95F45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Irã</w:t>
            </w:r>
          </w:p>
        </w:tc>
        <w:tc>
          <w:tcPr>
            <w:tcW w:w="204" w:type="pct"/>
            <w:tcMar>
              <w:left w:w="105" w:type="dxa"/>
              <w:right w:w="105" w:type="dxa"/>
            </w:tcMar>
          </w:tcPr>
          <w:p w14:paraId="3D29639D" w14:textId="4E7BAB92"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106</w:t>
            </w:r>
          </w:p>
        </w:tc>
        <w:tc>
          <w:tcPr>
            <w:tcW w:w="254" w:type="pct"/>
            <w:tcMar>
              <w:left w:w="105" w:type="dxa"/>
              <w:right w:w="105" w:type="dxa"/>
            </w:tcMar>
          </w:tcPr>
          <w:p w14:paraId="30A0F1D8" w14:textId="4A7F21E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15-35</w:t>
            </w:r>
          </w:p>
          <w:p w14:paraId="1166F820" w14:textId="2AD75065" w:rsidR="005438D0" w:rsidRDefault="005438D0" w:rsidP="005438D0">
            <w:pPr>
              <w:spacing w:after="0" w:line="240" w:lineRule="auto"/>
              <w:rPr>
                <w:rFonts w:ascii="Times New Roman" w:eastAsia="Times New Roman" w:hAnsi="Times New Roman" w:cs="Times New Roman"/>
                <w:szCs w:val="22"/>
              </w:rPr>
            </w:pPr>
          </w:p>
        </w:tc>
        <w:tc>
          <w:tcPr>
            <w:tcW w:w="816" w:type="pct"/>
            <w:tcMar>
              <w:left w:w="105" w:type="dxa"/>
              <w:right w:w="105" w:type="dxa"/>
            </w:tcMar>
          </w:tcPr>
          <w:p w14:paraId="38719589" w14:textId="09B7AD39"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Investigar os efeitos da suplementação combinada de vitaminas D e E na intensidade da dor e nos sintomas pré-menstruais em pacientes com dismenorreia primária.</w:t>
            </w:r>
          </w:p>
        </w:tc>
        <w:tc>
          <w:tcPr>
            <w:tcW w:w="510" w:type="pct"/>
            <w:tcMar>
              <w:left w:w="105" w:type="dxa"/>
              <w:right w:w="105" w:type="dxa"/>
            </w:tcMar>
          </w:tcPr>
          <w:p w14:paraId="426F6E81" w14:textId="658A0CB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Vit D + vit E</w:t>
            </w:r>
          </w:p>
        </w:tc>
        <w:tc>
          <w:tcPr>
            <w:tcW w:w="510" w:type="pct"/>
            <w:tcMar>
              <w:left w:w="105" w:type="dxa"/>
              <w:right w:w="105" w:type="dxa"/>
            </w:tcMar>
          </w:tcPr>
          <w:p w14:paraId="4FF04791" w14:textId="1D5F69B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vitamina E 400 UI diariamente e vitamina D 50.000 UI semanalmente por 8 semanas. Após: vitamina D mensalmente por dois meses</w:t>
            </w:r>
          </w:p>
        </w:tc>
        <w:tc>
          <w:tcPr>
            <w:tcW w:w="357" w:type="pct"/>
            <w:tcMar>
              <w:left w:w="105" w:type="dxa"/>
              <w:right w:w="105" w:type="dxa"/>
            </w:tcMar>
          </w:tcPr>
          <w:p w14:paraId="19A8980E" w14:textId="48B9D05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8 semanas</w:t>
            </w:r>
          </w:p>
        </w:tc>
        <w:tc>
          <w:tcPr>
            <w:tcW w:w="1637" w:type="pct"/>
            <w:tcMar>
              <w:left w:w="105" w:type="dxa"/>
              <w:right w:w="105" w:type="dxa"/>
            </w:tcMar>
          </w:tcPr>
          <w:p w14:paraId="310873CF" w14:textId="698D0116"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Grupo intervenção apresentou redução significativa na intensidade da dor (NPRS: de ~7,85 para ~3,75; p&lt;0,001) e nos sintomas pré-menstruais (escore TPM: de ~32,42 para ~9,02; p &lt; 0,001) comparado ao controle. Correlações inversas observadas entre vitamina D basal e dor (r=-0,768, p = 0,001).</w:t>
            </w:r>
          </w:p>
        </w:tc>
      </w:tr>
      <w:tr w:rsidR="00F130F9" w14:paraId="1738885F" w14:textId="77777777" w:rsidTr="00F130F9">
        <w:trPr>
          <w:trHeight w:val="300"/>
        </w:trPr>
        <w:tc>
          <w:tcPr>
            <w:tcW w:w="432" w:type="pct"/>
            <w:tcMar>
              <w:left w:w="105" w:type="dxa"/>
              <w:right w:w="105" w:type="dxa"/>
            </w:tcMar>
          </w:tcPr>
          <w:p w14:paraId="68A5DF2B" w14:textId="5653CD9E"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13</w:t>
            </w:r>
            <w:r w:rsidR="005438D0" w:rsidRPr="69637EA3">
              <w:rPr>
                <w:rFonts w:ascii="Times New Roman" w:eastAsia="Times New Roman" w:hAnsi="Times New Roman" w:cs="Times New Roman"/>
                <w:szCs w:val="22"/>
                <w:lang w:val="en-US"/>
              </w:rPr>
              <w:t>Karacin, 2018</w:t>
            </w:r>
          </w:p>
          <w:p w14:paraId="543D960E" w14:textId="26604903"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7F33F654" w14:textId="2570D310"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Turquia </w:t>
            </w:r>
          </w:p>
        </w:tc>
        <w:tc>
          <w:tcPr>
            <w:tcW w:w="204" w:type="pct"/>
            <w:tcMar>
              <w:left w:w="105" w:type="dxa"/>
              <w:right w:w="105" w:type="dxa"/>
            </w:tcMar>
          </w:tcPr>
          <w:p w14:paraId="2BF0E878" w14:textId="75287D00"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368</w:t>
            </w:r>
          </w:p>
        </w:tc>
        <w:tc>
          <w:tcPr>
            <w:tcW w:w="254" w:type="pct"/>
            <w:tcMar>
              <w:left w:w="105" w:type="dxa"/>
              <w:right w:w="105" w:type="dxa"/>
            </w:tcMar>
          </w:tcPr>
          <w:p w14:paraId="47FF08F4" w14:textId="638F812F"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18-25</w:t>
            </w:r>
          </w:p>
        </w:tc>
        <w:tc>
          <w:tcPr>
            <w:tcW w:w="816" w:type="pct"/>
            <w:tcMar>
              <w:left w:w="105" w:type="dxa"/>
              <w:right w:w="105" w:type="dxa"/>
            </w:tcMar>
          </w:tcPr>
          <w:p w14:paraId="0EAB1A9C" w14:textId="2EE8D5C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Investigar o possível papel da deficiência de vitamina D na dismenorreia primária, avaliando os níveis séricos de 25-hidroxivitamina D3 em uma coorte que inclui mulheres jovens turcas com dismenorreia primária e controles saudáveis</w:t>
            </w:r>
          </w:p>
        </w:tc>
        <w:tc>
          <w:tcPr>
            <w:tcW w:w="1377" w:type="pct"/>
            <w:gridSpan w:val="3"/>
            <w:tcMar>
              <w:left w:w="105" w:type="dxa"/>
              <w:right w:w="105" w:type="dxa"/>
            </w:tcMar>
          </w:tcPr>
          <w:p w14:paraId="1EBDBF9D" w14:textId="43BF4AD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Não houve suplementação. Estudo avaliou níveis séricos de 25(OH)D, cálcio e PTH</w:t>
            </w:r>
          </w:p>
        </w:tc>
        <w:tc>
          <w:tcPr>
            <w:tcW w:w="1637" w:type="pct"/>
            <w:tcMar>
              <w:left w:w="105" w:type="dxa"/>
              <w:right w:w="105" w:type="dxa"/>
            </w:tcMar>
          </w:tcPr>
          <w:p w14:paraId="3ECC983F" w14:textId="31D02EC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Mulheres com dismenorreia apresentaram consumo significativamente menor de laticínios (p = 0,001), níveis mais baixos de vitamina D e cálcio (p = 0,001) e maior intensidade de dor. Houve correlação negativa entre vitamina D e escores </w:t>
            </w:r>
            <w:r w:rsidR="0006046E">
              <w:rPr>
                <w:rFonts w:ascii="Times New Roman" w:eastAsia="Times New Roman" w:hAnsi="Times New Roman" w:cs="Times New Roman"/>
                <w:szCs w:val="22"/>
              </w:rPr>
              <w:t xml:space="preserve">na EVA </w:t>
            </w:r>
            <w:r w:rsidRPr="69637EA3">
              <w:rPr>
                <w:rFonts w:ascii="Times New Roman" w:eastAsia="Times New Roman" w:hAnsi="Times New Roman" w:cs="Times New Roman"/>
                <w:szCs w:val="22"/>
              </w:rPr>
              <w:t xml:space="preserve"> (r = −0,713; p = 0,001) e correlação positiva entre níveis séricos de hormônio da paratireoide - PTH e escores na VAS (r = 0,666; p = 0,001). </w:t>
            </w:r>
          </w:p>
          <w:p w14:paraId="7FEE2BC3" w14:textId="445E468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 deficiência de vitamina D foi mais frequente no grupo com dismenorreia (p = 0,001)</w:t>
            </w:r>
          </w:p>
          <w:p w14:paraId="52995014" w14:textId="4C8A3094" w:rsidR="005438D0" w:rsidRDefault="005438D0" w:rsidP="005438D0">
            <w:pPr>
              <w:spacing w:after="0" w:line="240" w:lineRule="auto"/>
              <w:rPr>
                <w:rFonts w:ascii="Times New Roman" w:eastAsia="Times New Roman" w:hAnsi="Times New Roman" w:cs="Times New Roman"/>
                <w:szCs w:val="22"/>
              </w:rPr>
            </w:pPr>
          </w:p>
        </w:tc>
      </w:tr>
      <w:tr w:rsidR="00F130F9" w14:paraId="7A3494C5" w14:textId="77777777" w:rsidTr="00F130F9">
        <w:trPr>
          <w:trHeight w:val="2047"/>
        </w:trPr>
        <w:tc>
          <w:tcPr>
            <w:tcW w:w="432" w:type="pct"/>
            <w:tcMar>
              <w:left w:w="105" w:type="dxa"/>
              <w:right w:w="105" w:type="dxa"/>
            </w:tcMar>
          </w:tcPr>
          <w:p w14:paraId="64E21DA9" w14:textId="1219C234"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9</w:t>
            </w:r>
            <w:r w:rsidR="005438D0" w:rsidRPr="69637EA3">
              <w:rPr>
                <w:rFonts w:ascii="Times New Roman" w:eastAsia="Times New Roman" w:hAnsi="Times New Roman" w:cs="Times New Roman"/>
                <w:szCs w:val="22"/>
                <w:lang w:val="en-US"/>
              </w:rPr>
              <w:t xml:space="preserve">Moini et., 2016 </w:t>
            </w:r>
          </w:p>
          <w:p w14:paraId="173C01EE" w14:textId="56DDCAC6"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311D3F25" w14:textId="5C6B1774"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Irã</w:t>
            </w:r>
          </w:p>
        </w:tc>
        <w:tc>
          <w:tcPr>
            <w:tcW w:w="204" w:type="pct"/>
            <w:tcMar>
              <w:left w:w="105" w:type="dxa"/>
              <w:right w:w="105" w:type="dxa"/>
            </w:tcMar>
          </w:tcPr>
          <w:p w14:paraId="4B12DC74" w14:textId="7845F60F"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60 </w:t>
            </w:r>
          </w:p>
        </w:tc>
        <w:tc>
          <w:tcPr>
            <w:tcW w:w="254" w:type="pct"/>
            <w:tcMar>
              <w:left w:w="105" w:type="dxa"/>
              <w:right w:w="105" w:type="dxa"/>
            </w:tcMar>
          </w:tcPr>
          <w:p w14:paraId="407128BF" w14:textId="15CCF56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18-25</w:t>
            </w:r>
          </w:p>
        </w:tc>
        <w:tc>
          <w:tcPr>
            <w:tcW w:w="816" w:type="pct"/>
            <w:tcMar>
              <w:left w:w="105" w:type="dxa"/>
              <w:right w:w="105" w:type="dxa"/>
            </w:tcMar>
          </w:tcPr>
          <w:p w14:paraId="5BE8DAE2" w14:textId="272085B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Investigar o efeito da suplementação de vitamina D (vit D) no tratamento da dismenorreia primária associada à deficiência de vit D</w:t>
            </w:r>
          </w:p>
        </w:tc>
        <w:tc>
          <w:tcPr>
            <w:tcW w:w="510" w:type="pct"/>
            <w:tcMar>
              <w:left w:w="105" w:type="dxa"/>
              <w:right w:w="105" w:type="dxa"/>
            </w:tcMar>
          </w:tcPr>
          <w:p w14:paraId="3CCFBBFF" w14:textId="61F40CC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Vitamina D oral</w:t>
            </w:r>
          </w:p>
        </w:tc>
        <w:tc>
          <w:tcPr>
            <w:tcW w:w="510" w:type="pct"/>
            <w:tcMar>
              <w:left w:w="105" w:type="dxa"/>
              <w:right w:w="105" w:type="dxa"/>
            </w:tcMar>
          </w:tcPr>
          <w:p w14:paraId="70803DA6" w14:textId="025318A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50.000 UI/ semana </w:t>
            </w:r>
          </w:p>
        </w:tc>
        <w:tc>
          <w:tcPr>
            <w:tcW w:w="357" w:type="pct"/>
            <w:tcMar>
              <w:left w:w="105" w:type="dxa"/>
              <w:right w:w="105" w:type="dxa"/>
            </w:tcMar>
          </w:tcPr>
          <w:p w14:paraId="28D39949" w14:textId="6A660EB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8 semanas</w:t>
            </w:r>
          </w:p>
        </w:tc>
        <w:tc>
          <w:tcPr>
            <w:tcW w:w="1637" w:type="pct"/>
            <w:tcMar>
              <w:left w:w="105" w:type="dxa"/>
              <w:right w:w="105" w:type="dxa"/>
            </w:tcMar>
          </w:tcPr>
          <w:p w14:paraId="22CA5D76" w14:textId="07247A1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 suplementação reduziu significativamente a intensidade da dor menstrual após oito semanas de tratamento e um mês após o término do tratamento (p &lt; 0,001) e o uso de analgésicos em comparação ao placebo. Conclusão: a vitamina D mostrou efeito benéfico na redução da dismenorreia primária em mulheres com níveis baixos de 25(OH)D.</w:t>
            </w:r>
          </w:p>
          <w:p w14:paraId="569621F1" w14:textId="6870E582" w:rsidR="005438D0" w:rsidRDefault="005438D0" w:rsidP="00F130F9">
            <w:pPr>
              <w:spacing w:after="0" w:line="240" w:lineRule="auto"/>
              <w:ind w:left="0" w:firstLine="0"/>
              <w:rPr>
                <w:rFonts w:ascii="Times New Roman" w:eastAsia="Times New Roman" w:hAnsi="Times New Roman" w:cs="Times New Roman"/>
                <w:szCs w:val="22"/>
              </w:rPr>
            </w:pPr>
          </w:p>
        </w:tc>
      </w:tr>
      <w:tr w:rsidR="00F130F9" w14:paraId="0B75054F" w14:textId="77777777" w:rsidTr="00F130F9">
        <w:trPr>
          <w:trHeight w:val="300"/>
        </w:trPr>
        <w:tc>
          <w:tcPr>
            <w:tcW w:w="432" w:type="pct"/>
            <w:tcMar>
              <w:left w:w="105" w:type="dxa"/>
              <w:right w:w="105" w:type="dxa"/>
            </w:tcMar>
          </w:tcPr>
          <w:p w14:paraId="7697F620" w14:textId="125535C2"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10</w:t>
            </w:r>
            <w:r w:rsidR="005438D0" w:rsidRPr="69637EA3">
              <w:rPr>
                <w:rFonts w:ascii="Times New Roman" w:eastAsia="Times New Roman" w:hAnsi="Times New Roman" w:cs="Times New Roman"/>
                <w:szCs w:val="22"/>
                <w:lang w:val="en-US"/>
              </w:rPr>
              <w:t xml:space="preserve">Dawod et al., 2020 </w:t>
            </w:r>
            <w:r w:rsidR="005438D0" w:rsidRPr="008939E5">
              <w:rPr>
                <w:sz w:val="24"/>
                <w:u w:val="single"/>
                <w:lang w:val="en-US"/>
              </w:rPr>
              <w:t xml:space="preserve"> </w:t>
            </w:r>
          </w:p>
        </w:tc>
        <w:tc>
          <w:tcPr>
            <w:tcW w:w="280" w:type="pct"/>
            <w:tcMar>
              <w:left w:w="105" w:type="dxa"/>
              <w:right w:w="105" w:type="dxa"/>
            </w:tcMar>
          </w:tcPr>
          <w:p w14:paraId="6D198138" w14:textId="1A780229"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Iraque</w:t>
            </w:r>
          </w:p>
        </w:tc>
        <w:tc>
          <w:tcPr>
            <w:tcW w:w="204" w:type="pct"/>
            <w:tcMar>
              <w:left w:w="105" w:type="dxa"/>
              <w:right w:w="105" w:type="dxa"/>
            </w:tcMar>
          </w:tcPr>
          <w:p w14:paraId="38DC5277" w14:textId="6B15D25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40</w:t>
            </w:r>
          </w:p>
        </w:tc>
        <w:tc>
          <w:tcPr>
            <w:tcW w:w="254" w:type="pct"/>
            <w:tcMar>
              <w:left w:w="105" w:type="dxa"/>
              <w:right w:w="105" w:type="dxa"/>
            </w:tcMar>
          </w:tcPr>
          <w:p w14:paraId="3EA2A950" w14:textId="0E91F73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19-37</w:t>
            </w:r>
          </w:p>
        </w:tc>
        <w:tc>
          <w:tcPr>
            <w:tcW w:w="816" w:type="pct"/>
            <w:tcMar>
              <w:left w:w="105" w:type="dxa"/>
              <w:right w:w="105" w:type="dxa"/>
            </w:tcMar>
          </w:tcPr>
          <w:p w14:paraId="307DCB73" w14:textId="272E8D3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Avaliar o efeito da suplementação diária de vitamina D na intensidade da dor menstrual em mulheres com dismenorreia primária e deficiência de vitamina D.</w:t>
            </w:r>
          </w:p>
        </w:tc>
        <w:tc>
          <w:tcPr>
            <w:tcW w:w="510" w:type="pct"/>
            <w:tcMar>
              <w:left w:w="105" w:type="dxa"/>
              <w:right w:w="105" w:type="dxa"/>
            </w:tcMar>
          </w:tcPr>
          <w:p w14:paraId="7571CB33" w14:textId="05EFC481"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Vitamina D3 </w:t>
            </w:r>
          </w:p>
        </w:tc>
        <w:tc>
          <w:tcPr>
            <w:tcW w:w="510" w:type="pct"/>
            <w:tcMar>
              <w:left w:w="105" w:type="dxa"/>
              <w:right w:w="105" w:type="dxa"/>
            </w:tcMar>
          </w:tcPr>
          <w:p w14:paraId="6309C93A" w14:textId="5B87C465"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5.000 UI/ dia</w:t>
            </w:r>
          </w:p>
        </w:tc>
        <w:tc>
          <w:tcPr>
            <w:tcW w:w="357" w:type="pct"/>
            <w:tcMar>
              <w:left w:w="105" w:type="dxa"/>
              <w:right w:w="105" w:type="dxa"/>
            </w:tcMar>
          </w:tcPr>
          <w:p w14:paraId="44F62B03" w14:textId="2B51265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iniciando</w:t>
            </w:r>
          </w:p>
          <w:p w14:paraId="48114446" w14:textId="55130641"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ao final do ciclo menstrual e continuando durante os dois meses do estudo</w:t>
            </w:r>
          </w:p>
        </w:tc>
        <w:tc>
          <w:tcPr>
            <w:tcW w:w="1637" w:type="pct"/>
            <w:tcMar>
              <w:left w:w="105" w:type="dxa"/>
              <w:right w:w="105" w:type="dxa"/>
            </w:tcMar>
          </w:tcPr>
          <w:p w14:paraId="3C0F52AD" w14:textId="42B2AFEF"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O grupo que recebeu vitamina D apresentou redução significativa na intensidade da dor (VAS: 7,8 → 2,3; p&lt;0,001) e menor uso de anti-inflamatórios não esteroides AINEs (4 vs 19 participantes) em comparação ao grupo controle. Conclui-se que a vitamina D diminui a intensidade da dor menstrual em mulheres com deficiência dessa vitamina.</w:t>
            </w:r>
          </w:p>
        </w:tc>
      </w:tr>
      <w:tr w:rsidR="00F130F9" w14:paraId="1C449A0E" w14:textId="77777777" w:rsidTr="00F130F9">
        <w:trPr>
          <w:trHeight w:val="285"/>
        </w:trPr>
        <w:tc>
          <w:tcPr>
            <w:tcW w:w="432" w:type="pct"/>
            <w:tcMar>
              <w:left w:w="105" w:type="dxa"/>
              <w:right w:w="105" w:type="dxa"/>
            </w:tcMar>
          </w:tcPr>
          <w:p w14:paraId="29C748D5" w14:textId="2D0113C6"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11</w:t>
            </w:r>
            <w:r w:rsidR="005438D0" w:rsidRPr="69637EA3">
              <w:rPr>
                <w:rFonts w:ascii="Times New Roman" w:eastAsia="Times New Roman" w:hAnsi="Times New Roman" w:cs="Times New Roman"/>
                <w:szCs w:val="22"/>
                <w:lang w:val="en-US"/>
              </w:rPr>
              <w:t xml:space="preserve">Lama A et al., 2019 </w:t>
            </w:r>
          </w:p>
          <w:p w14:paraId="0FB0C5B3" w14:textId="71489638" w:rsidR="005438D0" w:rsidRPr="008939E5" w:rsidRDefault="005438D0" w:rsidP="005438D0">
            <w:pPr>
              <w:spacing w:after="0" w:line="240" w:lineRule="auto"/>
              <w:rPr>
                <w:rFonts w:ascii="Times New Roman" w:eastAsia="Times New Roman" w:hAnsi="Times New Roman" w:cs="Times New Roman"/>
                <w:szCs w:val="22"/>
                <w:lang w:val="en-US"/>
              </w:rPr>
            </w:pPr>
          </w:p>
        </w:tc>
        <w:tc>
          <w:tcPr>
            <w:tcW w:w="280" w:type="pct"/>
            <w:tcMar>
              <w:left w:w="105" w:type="dxa"/>
              <w:right w:w="105" w:type="dxa"/>
            </w:tcMar>
          </w:tcPr>
          <w:p w14:paraId="01D38CE9" w14:textId="15020CF1"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Arabia Saudita </w:t>
            </w:r>
          </w:p>
        </w:tc>
        <w:tc>
          <w:tcPr>
            <w:tcW w:w="204" w:type="pct"/>
            <w:tcMar>
              <w:left w:w="105" w:type="dxa"/>
              <w:right w:w="105" w:type="dxa"/>
            </w:tcMar>
          </w:tcPr>
          <w:p w14:paraId="2AC7B151" w14:textId="19ECD5B3"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120</w:t>
            </w:r>
          </w:p>
        </w:tc>
        <w:tc>
          <w:tcPr>
            <w:tcW w:w="254" w:type="pct"/>
            <w:tcMar>
              <w:left w:w="105" w:type="dxa"/>
              <w:right w:w="105" w:type="dxa"/>
            </w:tcMar>
          </w:tcPr>
          <w:p w14:paraId="638161C2" w14:textId="4DCFC497"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18-25</w:t>
            </w:r>
          </w:p>
        </w:tc>
        <w:tc>
          <w:tcPr>
            <w:tcW w:w="816" w:type="pct"/>
            <w:tcMar>
              <w:left w:w="105" w:type="dxa"/>
              <w:right w:w="105" w:type="dxa"/>
            </w:tcMar>
          </w:tcPr>
          <w:p w14:paraId="4F0BA152" w14:textId="08E4658B"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Avaliar a eficácia da vitamina D combinada com analgésicos versus analgésicos isoladamente no tratamento da dismenorreia primária. E avaliar o efeito da suplementação de vitamina D na duração da dor durante a menstruação</w:t>
            </w:r>
          </w:p>
        </w:tc>
        <w:tc>
          <w:tcPr>
            <w:tcW w:w="510" w:type="pct"/>
            <w:tcMar>
              <w:left w:w="105" w:type="dxa"/>
              <w:right w:w="105" w:type="dxa"/>
            </w:tcMar>
          </w:tcPr>
          <w:p w14:paraId="47C294DC" w14:textId="33CD12F4"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Vitamina D3+ analgésicos </w:t>
            </w:r>
          </w:p>
        </w:tc>
        <w:tc>
          <w:tcPr>
            <w:tcW w:w="510" w:type="pct"/>
            <w:tcMar>
              <w:left w:w="105" w:type="dxa"/>
              <w:right w:w="105" w:type="dxa"/>
            </w:tcMar>
          </w:tcPr>
          <w:p w14:paraId="355762BC" w14:textId="79C3F54C"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50.000 UI/ semana</w:t>
            </w:r>
          </w:p>
        </w:tc>
        <w:tc>
          <w:tcPr>
            <w:tcW w:w="357" w:type="pct"/>
            <w:tcMar>
              <w:left w:w="105" w:type="dxa"/>
              <w:right w:w="105" w:type="dxa"/>
            </w:tcMar>
          </w:tcPr>
          <w:p w14:paraId="3EA960D6" w14:textId="679A4AA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8 semanas</w:t>
            </w:r>
          </w:p>
        </w:tc>
        <w:tc>
          <w:tcPr>
            <w:tcW w:w="1637" w:type="pct"/>
            <w:tcMar>
              <w:left w:w="105" w:type="dxa"/>
              <w:right w:w="105" w:type="dxa"/>
            </w:tcMar>
          </w:tcPr>
          <w:p w14:paraId="2ED65152" w14:textId="7C77A16E"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O grupo que recebeu vitamina D apresentou redução significativa na intensidade da dor (p &lt; 0,05) e menor uso de analgésicos comparado ao grupo controle; melhora também na qualidade de vida relacionada ao ciclo menstrual.</w:t>
            </w:r>
          </w:p>
          <w:p w14:paraId="536343DC" w14:textId="4471D20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- 82% das participantes do grupo de tratamento relataram uma diminuição significativa na duração da dor em comparação com o grupo controle</w:t>
            </w:r>
          </w:p>
          <w:p w14:paraId="0C257CEE" w14:textId="6CF3367E"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várias mulheres do grupo controle relataram ter interrompido o uso de analgésicos ao final do estudo</w:t>
            </w:r>
          </w:p>
        </w:tc>
      </w:tr>
      <w:tr w:rsidR="00F130F9" w14:paraId="1B95A90E" w14:textId="77777777" w:rsidTr="001E03E8">
        <w:trPr>
          <w:trHeight w:val="3430"/>
        </w:trPr>
        <w:tc>
          <w:tcPr>
            <w:tcW w:w="432" w:type="pct"/>
            <w:tcMar>
              <w:left w:w="105" w:type="dxa"/>
              <w:right w:w="105" w:type="dxa"/>
            </w:tcMar>
          </w:tcPr>
          <w:p w14:paraId="7645CAEF" w14:textId="40195A11" w:rsidR="005438D0" w:rsidRPr="00B50053" w:rsidRDefault="00E03288" w:rsidP="00B50053">
            <w:pPr>
              <w:spacing w:after="0" w:line="240" w:lineRule="auto"/>
              <w:rPr>
                <w:rFonts w:ascii="Times New Roman" w:eastAsia="Times New Roman" w:hAnsi="Times New Roman" w:cs="Times New Roman"/>
                <w:szCs w:val="22"/>
                <w:vertAlign w:val="superscript"/>
                <w:lang w:val="en-US"/>
              </w:rPr>
            </w:pPr>
            <w:r w:rsidRPr="00B50053">
              <w:rPr>
                <w:rFonts w:ascii="Times New Roman" w:eastAsia="Times New Roman" w:hAnsi="Times New Roman" w:cs="Times New Roman"/>
                <w:szCs w:val="22"/>
                <w:vertAlign w:val="superscript"/>
                <w:lang w:val="en-US"/>
              </w:rPr>
              <w:t>12</w:t>
            </w:r>
            <w:r w:rsidR="005438D0" w:rsidRPr="69637EA3">
              <w:rPr>
                <w:rFonts w:ascii="Times New Roman" w:eastAsia="Times New Roman" w:hAnsi="Times New Roman" w:cs="Times New Roman"/>
                <w:szCs w:val="22"/>
                <w:lang w:val="en-US"/>
              </w:rPr>
              <w:t>Ozel A et al.,</w:t>
            </w:r>
            <w:r w:rsidR="00F130F9">
              <w:rPr>
                <w:rFonts w:ascii="Times New Roman" w:eastAsia="Times New Roman" w:hAnsi="Times New Roman" w:cs="Times New Roman"/>
                <w:szCs w:val="22"/>
                <w:lang w:val="en-US"/>
              </w:rPr>
              <w:t xml:space="preserve"> </w:t>
            </w:r>
            <w:r w:rsidR="005438D0" w:rsidRPr="69637EA3">
              <w:rPr>
                <w:rFonts w:ascii="Times New Roman" w:eastAsia="Times New Roman" w:hAnsi="Times New Roman" w:cs="Times New Roman"/>
                <w:szCs w:val="22"/>
                <w:lang w:val="en-US"/>
              </w:rPr>
              <w:t>2019</w:t>
            </w:r>
          </w:p>
        </w:tc>
        <w:tc>
          <w:tcPr>
            <w:tcW w:w="280" w:type="pct"/>
            <w:tcMar>
              <w:left w:w="105" w:type="dxa"/>
              <w:right w:w="105" w:type="dxa"/>
            </w:tcMar>
          </w:tcPr>
          <w:p w14:paraId="64731D5D" w14:textId="57CA0702"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Turquia</w:t>
            </w:r>
          </w:p>
        </w:tc>
        <w:tc>
          <w:tcPr>
            <w:tcW w:w="204" w:type="pct"/>
            <w:tcMar>
              <w:left w:w="105" w:type="dxa"/>
              <w:right w:w="105" w:type="dxa"/>
            </w:tcMar>
          </w:tcPr>
          <w:p w14:paraId="22B993CE" w14:textId="7CA7A9C2"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142</w:t>
            </w:r>
          </w:p>
        </w:tc>
        <w:tc>
          <w:tcPr>
            <w:tcW w:w="254" w:type="pct"/>
            <w:tcMar>
              <w:left w:w="105" w:type="dxa"/>
              <w:right w:w="105" w:type="dxa"/>
            </w:tcMar>
          </w:tcPr>
          <w:p w14:paraId="55D7DEB7" w14:textId="67444EF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16-35</w:t>
            </w:r>
          </w:p>
        </w:tc>
        <w:tc>
          <w:tcPr>
            <w:tcW w:w="816" w:type="pct"/>
            <w:tcMar>
              <w:left w:w="105" w:type="dxa"/>
              <w:right w:w="105" w:type="dxa"/>
            </w:tcMar>
          </w:tcPr>
          <w:p w14:paraId="3C6B2883" w14:textId="17BB045B"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Avaliar a eficácia da vitamina D no tratamento de dismenorreia primaria </w:t>
            </w:r>
          </w:p>
        </w:tc>
        <w:tc>
          <w:tcPr>
            <w:tcW w:w="510" w:type="pct"/>
            <w:tcMar>
              <w:left w:w="105" w:type="dxa"/>
              <w:right w:w="105" w:type="dxa"/>
            </w:tcMar>
          </w:tcPr>
          <w:p w14:paraId="6D426BBF" w14:textId="1C69845D"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xml:space="preserve"> Vitamina D</w:t>
            </w:r>
          </w:p>
        </w:tc>
        <w:tc>
          <w:tcPr>
            <w:tcW w:w="510" w:type="pct"/>
            <w:tcMar>
              <w:left w:w="105" w:type="dxa"/>
              <w:right w:w="105" w:type="dxa"/>
            </w:tcMar>
          </w:tcPr>
          <w:p w14:paraId="1F6A6FED" w14:textId="63F925CE"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Grupo Vit D: 667 UI/dia; Grupo vit E: 200 UI/dia; Grupo ibuprofeno: 400 mg duas vezes/dia.</w:t>
            </w:r>
          </w:p>
        </w:tc>
        <w:tc>
          <w:tcPr>
            <w:tcW w:w="357" w:type="pct"/>
            <w:tcMar>
              <w:left w:w="105" w:type="dxa"/>
              <w:right w:w="105" w:type="dxa"/>
            </w:tcMar>
          </w:tcPr>
          <w:p w14:paraId="1E862CF8" w14:textId="3DA7CFB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durante os 3 primeiros dias do ciclo menstrual, por 2 ciclos consecutivos</w:t>
            </w:r>
          </w:p>
        </w:tc>
        <w:tc>
          <w:tcPr>
            <w:tcW w:w="1637" w:type="pct"/>
            <w:tcMar>
              <w:left w:w="105" w:type="dxa"/>
              <w:right w:w="105" w:type="dxa"/>
            </w:tcMar>
          </w:tcPr>
          <w:p w14:paraId="49B84EDD" w14:textId="4814F7A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Após intervenção, o escore mediano de dor (VAS) no grupo Vit D foi 5 (1-10), no grupo E foi 7 (1-10) e no grupo ibuprofeno foi 7 (2-10) (p&lt;0,001). O uso de AINEs necessário foi menor no grupo Vit D (27,3%) vs grupo E (65,9%) (p&lt;0,001). Sem efeitos adversos observados</w:t>
            </w:r>
          </w:p>
          <w:p w14:paraId="4F23BBED" w14:textId="64D0FFD8"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A intensidade da dor no grupo da vitamina D após o tratamento foi tão baixa quanto no grupo do ibuprofeno</w:t>
            </w:r>
          </w:p>
          <w:p w14:paraId="1B46AC27" w14:textId="1AB12DFA" w:rsidR="005438D0" w:rsidRDefault="005438D0" w:rsidP="005438D0">
            <w:pPr>
              <w:spacing w:after="0" w:line="240" w:lineRule="auto"/>
              <w:rPr>
                <w:rFonts w:ascii="Times New Roman" w:eastAsia="Times New Roman" w:hAnsi="Times New Roman" w:cs="Times New Roman"/>
                <w:szCs w:val="22"/>
              </w:rPr>
            </w:pPr>
            <w:r w:rsidRPr="69637EA3">
              <w:rPr>
                <w:rFonts w:ascii="Times New Roman" w:eastAsia="Times New Roman" w:hAnsi="Times New Roman" w:cs="Times New Roman"/>
                <w:szCs w:val="22"/>
              </w:rPr>
              <w:t>- Tanto a vitamina D quanto a vitamina E são eficazes no alívio da dor da dismenorreia primária, porém o efeito da vitamina D é mais evidente</w:t>
            </w:r>
          </w:p>
        </w:tc>
      </w:tr>
    </w:tbl>
    <w:p w14:paraId="7E8BB6F8" w14:textId="1A9EFBDC" w:rsidR="00B037D6" w:rsidRPr="00BB703B" w:rsidRDefault="2D4B9076" w:rsidP="2D4B9076">
      <w:pPr>
        <w:spacing w:after="0" w:line="240" w:lineRule="auto"/>
        <w:ind w:left="0" w:firstLine="0"/>
        <w:rPr>
          <w:rFonts w:ascii="Times New Roman" w:eastAsia="Times New Roman" w:hAnsi="Times New Roman" w:cs="Times New Roman"/>
          <w:color w:val="000000" w:themeColor="text1"/>
        </w:rPr>
      </w:pPr>
      <w:r w:rsidRPr="2D4B9076">
        <w:rPr>
          <w:rFonts w:ascii="Times New Roman" w:eastAsia="Times New Roman" w:hAnsi="Times New Roman" w:cs="Times New Roman"/>
          <w:color w:val="000000" w:themeColor="text1"/>
        </w:rPr>
        <w:t>Siglas e abreviaturas: AINEs (anti-inflamatórios não esteroides), EUA (Estados Unidos da América), EVA (Escala Visual Analógica), NPRS (Escala Numérica de Avaliação da Dor), PBLAC (volume de sangramento menstrual), PTH (hormônio da paratireoide), TPM (síndrome pré-menstrual), vit D (vitamina D)</w:t>
      </w:r>
      <w:r w:rsidR="0006046E">
        <w:rPr>
          <w:rFonts w:ascii="Times New Roman" w:eastAsia="Times New Roman" w:hAnsi="Times New Roman" w:cs="Times New Roman"/>
          <w:color w:val="000000" w:themeColor="text1"/>
        </w:rPr>
        <w:t>.</w:t>
      </w:r>
    </w:p>
    <w:p w14:paraId="0A2BA8E2" w14:textId="3064295F" w:rsidR="00B037D6" w:rsidRPr="00BB703B" w:rsidRDefault="00B037D6" w:rsidP="69637EA3">
      <w:pPr>
        <w:spacing w:after="0" w:line="480" w:lineRule="auto"/>
        <w:ind w:left="1418" w:right="8" w:firstLine="709"/>
        <w:rPr>
          <w:rFonts w:ascii="Arial" w:hAnsi="Arial" w:cs="Arial"/>
          <w:sz w:val="24"/>
        </w:rPr>
      </w:pPr>
    </w:p>
    <w:sectPr w:rsidR="00B037D6" w:rsidRPr="00BB703B" w:rsidSect="00EE2A67">
      <w:headerReference w:type="default" r:id="rId14"/>
      <w:footerReference w:type="default" r:id="rId15"/>
      <w:pgSz w:w="16817" w:h="11901" w:orient="landscape"/>
      <w:pgMar w:top="1690" w:right="1486"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E18C9" w14:textId="77777777" w:rsidR="00BA701B" w:rsidRDefault="00BA701B">
      <w:pPr>
        <w:spacing w:after="0" w:line="240" w:lineRule="auto"/>
      </w:pPr>
      <w:r>
        <w:separator/>
      </w:r>
    </w:p>
  </w:endnote>
  <w:endnote w:type="continuationSeparator" w:id="0">
    <w:p w14:paraId="7A43CD4E" w14:textId="77777777" w:rsidR="00BA701B" w:rsidRDefault="00BA7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5"/>
      <w:gridCol w:w="2835"/>
      <w:gridCol w:w="2835"/>
    </w:tblGrid>
    <w:tr w:rsidR="69637EA3" w14:paraId="311D9DE4" w14:textId="77777777" w:rsidTr="69637EA3">
      <w:trPr>
        <w:trHeight w:val="300"/>
      </w:trPr>
      <w:tc>
        <w:tcPr>
          <w:tcW w:w="2835" w:type="dxa"/>
        </w:tcPr>
        <w:p w14:paraId="0F21E181" w14:textId="7E945AB9" w:rsidR="69637EA3" w:rsidRDefault="69637EA3" w:rsidP="69637EA3">
          <w:pPr>
            <w:pStyle w:val="Cabealho"/>
            <w:ind w:left="-115"/>
            <w:jc w:val="left"/>
          </w:pPr>
        </w:p>
      </w:tc>
      <w:tc>
        <w:tcPr>
          <w:tcW w:w="2835" w:type="dxa"/>
        </w:tcPr>
        <w:p w14:paraId="0B013D1A" w14:textId="309439F6" w:rsidR="69637EA3" w:rsidRDefault="69637EA3" w:rsidP="69637EA3">
          <w:pPr>
            <w:pStyle w:val="Cabealho"/>
            <w:jc w:val="center"/>
          </w:pPr>
        </w:p>
      </w:tc>
      <w:tc>
        <w:tcPr>
          <w:tcW w:w="2835" w:type="dxa"/>
        </w:tcPr>
        <w:p w14:paraId="70F05C4D" w14:textId="28D98C5D" w:rsidR="69637EA3" w:rsidRDefault="69637EA3" w:rsidP="69637EA3">
          <w:pPr>
            <w:pStyle w:val="Cabealho"/>
            <w:ind w:right="-115"/>
            <w:jc w:val="right"/>
          </w:pPr>
        </w:p>
      </w:tc>
    </w:tr>
  </w:tbl>
  <w:p w14:paraId="3DF1574E" w14:textId="3DEB74F8" w:rsidR="69637EA3" w:rsidRDefault="69637EA3" w:rsidP="69637EA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35"/>
      <w:gridCol w:w="4635"/>
      <w:gridCol w:w="4635"/>
    </w:tblGrid>
    <w:tr w:rsidR="69637EA3" w14:paraId="79731C37" w14:textId="77777777" w:rsidTr="69637EA3">
      <w:trPr>
        <w:trHeight w:val="300"/>
      </w:trPr>
      <w:tc>
        <w:tcPr>
          <w:tcW w:w="4635" w:type="dxa"/>
        </w:tcPr>
        <w:p w14:paraId="1057FBCD" w14:textId="28F0371C" w:rsidR="69637EA3" w:rsidRDefault="69637EA3" w:rsidP="69637EA3">
          <w:pPr>
            <w:pStyle w:val="Cabealho"/>
            <w:ind w:left="-115"/>
            <w:jc w:val="left"/>
          </w:pPr>
        </w:p>
      </w:tc>
      <w:tc>
        <w:tcPr>
          <w:tcW w:w="4635" w:type="dxa"/>
        </w:tcPr>
        <w:p w14:paraId="17A06EE5" w14:textId="4514946D" w:rsidR="69637EA3" w:rsidRDefault="69637EA3" w:rsidP="69637EA3">
          <w:pPr>
            <w:pStyle w:val="Cabealho"/>
            <w:jc w:val="center"/>
          </w:pPr>
        </w:p>
      </w:tc>
      <w:tc>
        <w:tcPr>
          <w:tcW w:w="4635" w:type="dxa"/>
        </w:tcPr>
        <w:p w14:paraId="29BE09FB" w14:textId="4A403308" w:rsidR="69637EA3" w:rsidRDefault="69637EA3" w:rsidP="69637EA3">
          <w:pPr>
            <w:pStyle w:val="Cabealho"/>
            <w:ind w:right="-115"/>
            <w:jc w:val="right"/>
          </w:pPr>
        </w:p>
      </w:tc>
    </w:tr>
  </w:tbl>
  <w:p w14:paraId="0D2D8E20" w14:textId="77B5CA98" w:rsidR="69637EA3" w:rsidRDefault="69637EA3" w:rsidP="69637EA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0749C" w14:textId="77777777" w:rsidR="00BA701B" w:rsidRDefault="00BA701B">
      <w:pPr>
        <w:spacing w:after="0" w:line="240" w:lineRule="auto"/>
      </w:pPr>
      <w:r>
        <w:separator/>
      </w:r>
    </w:p>
  </w:footnote>
  <w:footnote w:type="continuationSeparator" w:id="0">
    <w:p w14:paraId="72E01297" w14:textId="77777777" w:rsidR="00BA701B" w:rsidRDefault="00BA7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5"/>
      <w:gridCol w:w="2835"/>
      <w:gridCol w:w="2835"/>
    </w:tblGrid>
    <w:tr w:rsidR="69637EA3" w14:paraId="3E52C677" w14:textId="77777777" w:rsidTr="69637EA3">
      <w:trPr>
        <w:trHeight w:val="300"/>
      </w:trPr>
      <w:tc>
        <w:tcPr>
          <w:tcW w:w="2835" w:type="dxa"/>
        </w:tcPr>
        <w:p w14:paraId="14918C64" w14:textId="13F58A95" w:rsidR="69637EA3" w:rsidRDefault="69637EA3" w:rsidP="69637EA3">
          <w:pPr>
            <w:pStyle w:val="Cabealho"/>
            <w:ind w:left="-115"/>
            <w:jc w:val="left"/>
          </w:pPr>
        </w:p>
      </w:tc>
      <w:tc>
        <w:tcPr>
          <w:tcW w:w="2835" w:type="dxa"/>
        </w:tcPr>
        <w:p w14:paraId="326956C1" w14:textId="030BAAF0" w:rsidR="69637EA3" w:rsidRDefault="69637EA3" w:rsidP="69637EA3">
          <w:pPr>
            <w:pStyle w:val="Cabealho"/>
            <w:jc w:val="center"/>
          </w:pPr>
        </w:p>
      </w:tc>
      <w:tc>
        <w:tcPr>
          <w:tcW w:w="2835" w:type="dxa"/>
        </w:tcPr>
        <w:p w14:paraId="321BCEA0" w14:textId="1D23BDCC" w:rsidR="69637EA3" w:rsidRDefault="69637EA3" w:rsidP="69637EA3">
          <w:pPr>
            <w:pStyle w:val="Cabealho"/>
            <w:ind w:right="-115"/>
            <w:jc w:val="right"/>
          </w:pPr>
        </w:p>
      </w:tc>
    </w:tr>
  </w:tbl>
  <w:p w14:paraId="74A7724F" w14:textId="4339B211" w:rsidR="69637EA3" w:rsidRDefault="69637EA3" w:rsidP="69637EA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35"/>
      <w:gridCol w:w="4635"/>
      <w:gridCol w:w="4635"/>
    </w:tblGrid>
    <w:tr w:rsidR="69637EA3" w14:paraId="669F9679" w14:textId="77777777" w:rsidTr="69637EA3">
      <w:trPr>
        <w:trHeight w:val="300"/>
      </w:trPr>
      <w:tc>
        <w:tcPr>
          <w:tcW w:w="4635" w:type="dxa"/>
        </w:tcPr>
        <w:p w14:paraId="749C509F" w14:textId="2DD0E940" w:rsidR="69637EA3" w:rsidRDefault="69637EA3" w:rsidP="69637EA3">
          <w:pPr>
            <w:pStyle w:val="Cabealho"/>
            <w:ind w:left="-115"/>
            <w:jc w:val="left"/>
          </w:pPr>
        </w:p>
      </w:tc>
      <w:tc>
        <w:tcPr>
          <w:tcW w:w="4635" w:type="dxa"/>
        </w:tcPr>
        <w:p w14:paraId="6CAC956A" w14:textId="026A7CC2" w:rsidR="69637EA3" w:rsidRDefault="69637EA3" w:rsidP="69637EA3">
          <w:pPr>
            <w:pStyle w:val="Cabealho"/>
            <w:jc w:val="center"/>
          </w:pPr>
        </w:p>
      </w:tc>
      <w:tc>
        <w:tcPr>
          <w:tcW w:w="4635" w:type="dxa"/>
        </w:tcPr>
        <w:p w14:paraId="544F8B83" w14:textId="66C5AB4E" w:rsidR="69637EA3" w:rsidRDefault="69637EA3" w:rsidP="69637EA3">
          <w:pPr>
            <w:pStyle w:val="Cabealho"/>
            <w:ind w:right="-115"/>
            <w:jc w:val="right"/>
          </w:pPr>
        </w:p>
      </w:tc>
    </w:tr>
  </w:tbl>
  <w:p w14:paraId="11178A23" w14:textId="3A0F1B5F" w:rsidR="69637EA3" w:rsidRDefault="69637EA3" w:rsidP="69637E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42214"/>
    <w:multiLevelType w:val="hybridMultilevel"/>
    <w:tmpl w:val="1728E1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69570CE2"/>
    <w:multiLevelType w:val="hybridMultilevel"/>
    <w:tmpl w:val="F0E40C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378510552">
    <w:abstractNumId w:val="1"/>
  </w:num>
  <w:num w:numId="2" w16cid:durableId="1812868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7D6"/>
    <w:rsid w:val="0002607A"/>
    <w:rsid w:val="00036762"/>
    <w:rsid w:val="00046E60"/>
    <w:rsid w:val="0006046E"/>
    <w:rsid w:val="000638EF"/>
    <w:rsid w:val="00075A77"/>
    <w:rsid w:val="000E6B16"/>
    <w:rsid w:val="00101150"/>
    <w:rsid w:val="001A042B"/>
    <w:rsid w:val="001D3981"/>
    <w:rsid w:val="001D789A"/>
    <w:rsid w:val="001E03E8"/>
    <w:rsid w:val="00265C74"/>
    <w:rsid w:val="002672E3"/>
    <w:rsid w:val="002A06CF"/>
    <w:rsid w:val="002A2D42"/>
    <w:rsid w:val="002A5ADE"/>
    <w:rsid w:val="002E6863"/>
    <w:rsid w:val="002F089B"/>
    <w:rsid w:val="0034648E"/>
    <w:rsid w:val="003523A0"/>
    <w:rsid w:val="00364795"/>
    <w:rsid w:val="00375438"/>
    <w:rsid w:val="003E72E5"/>
    <w:rsid w:val="00421AB7"/>
    <w:rsid w:val="00471658"/>
    <w:rsid w:val="00514BDB"/>
    <w:rsid w:val="005438D0"/>
    <w:rsid w:val="00562C99"/>
    <w:rsid w:val="00576415"/>
    <w:rsid w:val="005B17D2"/>
    <w:rsid w:val="005B27B5"/>
    <w:rsid w:val="005B4814"/>
    <w:rsid w:val="005D1E7F"/>
    <w:rsid w:val="005E4592"/>
    <w:rsid w:val="00611517"/>
    <w:rsid w:val="00611B8E"/>
    <w:rsid w:val="00615178"/>
    <w:rsid w:val="00620ED5"/>
    <w:rsid w:val="006A04E6"/>
    <w:rsid w:val="006C7A52"/>
    <w:rsid w:val="006F387E"/>
    <w:rsid w:val="00713A79"/>
    <w:rsid w:val="00740E35"/>
    <w:rsid w:val="00767A86"/>
    <w:rsid w:val="00775829"/>
    <w:rsid w:val="007F704B"/>
    <w:rsid w:val="00805036"/>
    <w:rsid w:val="00855195"/>
    <w:rsid w:val="008659AB"/>
    <w:rsid w:val="00875F4A"/>
    <w:rsid w:val="00880B8D"/>
    <w:rsid w:val="00885483"/>
    <w:rsid w:val="008939E5"/>
    <w:rsid w:val="008B22D5"/>
    <w:rsid w:val="008C3732"/>
    <w:rsid w:val="008D4291"/>
    <w:rsid w:val="009151DE"/>
    <w:rsid w:val="00925751"/>
    <w:rsid w:val="00956B8A"/>
    <w:rsid w:val="009A5FA0"/>
    <w:rsid w:val="00A35CA5"/>
    <w:rsid w:val="00A45395"/>
    <w:rsid w:val="00A86A3D"/>
    <w:rsid w:val="00A878F3"/>
    <w:rsid w:val="00A94FC7"/>
    <w:rsid w:val="00AA23F1"/>
    <w:rsid w:val="00AE1DED"/>
    <w:rsid w:val="00B037D6"/>
    <w:rsid w:val="00B055E3"/>
    <w:rsid w:val="00B50053"/>
    <w:rsid w:val="00B85AD3"/>
    <w:rsid w:val="00BA1D6E"/>
    <w:rsid w:val="00BA701B"/>
    <w:rsid w:val="00BB703B"/>
    <w:rsid w:val="00BD6043"/>
    <w:rsid w:val="00C0313D"/>
    <w:rsid w:val="00C471FF"/>
    <w:rsid w:val="00C47225"/>
    <w:rsid w:val="00C601D0"/>
    <w:rsid w:val="00C93419"/>
    <w:rsid w:val="00D52AFB"/>
    <w:rsid w:val="00D54C85"/>
    <w:rsid w:val="00D56554"/>
    <w:rsid w:val="00D72E11"/>
    <w:rsid w:val="00D95EC0"/>
    <w:rsid w:val="00DB5B66"/>
    <w:rsid w:val="00DC2093"/>
    <w:rsid w:val="00DC60D0"/>
    <w:rsid w:val="00E03288"/>
    <w:rsid w:val="00E076F8"/>
    <w:rsid w:val="00E1609A"/>
    <w:rsid w:val="00E43D6C"/>
    <w:rsid w:val="00E52F18"/>
    <w:rsid w:val="00E95F77"/>
    <w:rsid w:val="00EB3CD9"/>
    <w:rsid w:val="00EC0C8C"/>
    <w:rsid w:val="00EE2A67"/>
    <w:rsid w:val="00F130F9"/>
    <w:rsid w:val="00F327BE"/>
    <w:rsid w:val="00FB5A03"/>
    <w:rsid w:val="00FD3293"/>
    <w:rsid w:val="00FD5191"/>
    <w:rsid w:val="04CA9CC8"/>
    <w:rsid w:val="050E05D5"/>
    <w:rsid w:val="14A63474"/>
    <w:rsid w:val="1C7991C7"/>
    <w:rsid w:val="1C7D8129"/>
    <w:rsid w:val="1C9BF4C3"/>
    <w:rsid w:val="22914DFB"/>
    <w:rsid w:val="29986CD8"/>
    <w:rsid w:val="2D4B9076"/>
    <w:rsid w:val="3AD59486"/>
    <w:rsid w:val="3E7EC45B"/>
    <w:rsid w:val="40FB5B3E"/>
    <w:rsid w:val="4363585F"/>
    <w:rsid w:val="45FF6E99"/>
    <w:rsid w:val="484795A1"/>
    <w:rsid w:val="52764ED9"/>
    <w:rsid w:val="608A12A7"/>
    <w:rsid w:val="6716CB05"/>
    <w:rsid w:val="678662F9"/>
    <w:rsid w:val="69637E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EA2E8"/>
  <w15:docId w15:val="{B0F13229-E4FC-44CE-B10D-B189BB22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8" w:line="268" w:lineRule="auto"/>
      <w:ind w:left="10" w:hanging="10"/>
      <w:jc w:val="both"/>
    </w:pPr>
    <w:rPr>
      <w:rFonts w:ascii="Calibri" w:eastAsia="Calibri" w:hAnsi="Calibri" w:cs="Calibri"/>
      <w:color w:val="00000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880B8D"/>
    <w:pPr>
      <w:ind w:left="720"/>
      <w:contextualSpacing/>
    </w:pPr>
  </w:style>
  <w:style w:type="paragraph" w:customStyle="1" w:styleId="p1">
    <w:name w:val="p1"/>
    <w:basedOn w:val="Normal"/>
    <w:rsid w:val="00C601D0"/>
    <w:pPr>
      <w:spacing w:before="100" w:beforeAutospacing="1" w:after="100" w:afterAutospacing="1" w:line="240" w:lineRule="auto"/>
      <w:ind w:left="0" w:firstLine="0"/>
      <w:jc w:val="left"/>
    </w:pPr>
    <w:rPr>
      <w:rFonts w:ascii="Times New Roman" w:eastAsiaTheme="minorEastAsia" w:hAnsi="Times New Roman" w:cs="Times New Roman"/>
      <w:color w:val="auto"/>
      <w:kern w:val="0"/>
      <w:sz w:val="24"/>
      <w14:ligatures w14:val="none"/>
    </w:rPr>
  </w:style>
  <w:style w:type="paragraph" w:customStyle="1" w:styleId="p2">
    <w:name w:val="p2"/>
    <w:basedOn w:val="Normal"/>
    <w:rsid w:val="00C601D0"/>
    <w:pPr>
      <w:spacing w:before="100" w:beforeAutospacing="1" w:after="100" w:afterAutospacing="1" w:line="240" w:lineRule="auto"/>
      <w:ind w:left="0" w:firstLine="0"/>
      <w:jc w:val="left"/>
    </w:pPr>
    <w:rPr>
      <w:rFonts w:ascii="Times New Roman" w:eastAsiaTheme="minorEastAsia" w:hAnsi="Times New Roman" w:cs="Times New Roman"/>
      <w:color w:val="auto"/>
      <w:kern w:val="0"/>
      <w:sz w:val="24"/>
      <w14:ligatures w14:val="none"/>
    </w:rPr>
  </w:style>
  <w:style w:type="character" w:styleId="Hyperlink">
    <w:name w:val="Hyperlink"/>
    <w:uiPriority w:val="99"/>
    <w:unhideWhenUsed/>
    <w:rsid w:val="69637EA3"/>
    <w:rPr>
      <w:color w:val="467886"/>
      <w:u w:val="single"/>
    </w:rPr>
  </w:style>
  <w:style w:type="paragraph" w:styleId="Cabealho">
    <w:name w:val="header"/>
    <w:basedOn w:val="Normal"/>
    <w:uiPriority w:val="99"/>
    <w:unhideWhenUsed/>
    <w:rsid w:val="69637EA3"/>
    <w:pPr>
      <w:tabs>
        <w:tab w:val="center" w:pos="4680"/>
        <w:tab w:val="right" w:pos="9360"/>
      </w:tabs>
      <w:spacing w:after="0"/>
    </w:pPr>
  </w:style>
  <w:style w:type="paragraph" w:styleId="Rodap">
    <w:name w:val="footer"/>
    <w:basedOn w:val="Normal"/>
    <w:uiPriority w:val="99"/>
    <w:unhideWhenUsed/>
    <w:rsid w:val="69637EA3"/>
    <w:pPr>
      <w:tabs>
        <w:tab w:val="center" w:pos="4680"/>
        <w:tab w:val="right" w:pos="9360"/>
      </w:tabs>
      <w:spacing w:after="0"/>
    </w:p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rio">
    <w:name w:val="annotation reference"/>
    <w:basedOn w:val="Fontepargpadro"/>
    <w:uiPriority w:val="99"/>
    <w:semiHidden/>
    <w:unhideWhenUsed/>
    <w:rsid w:val="00885483"/>
    <w:rPr>
      <w:sz w:val="16"/>
      <w:szCs w:val="16"/>
    </w:rPr>
  </w:style>
  <w:style w:type="paragraph" w:styleId="Textodecomentrio">
    <w:name w:val="annotation text"/>
    <w:basedOn w:val="Normal"/>
    <w:link w:val="TextodecomentrioChar"/>
    <w:uiPriority w:val="99"/>
    <w:unhideWhenUsed/>
    <w:rsid w:val="00885483"/>
    <w:pPr>
      <w:spacing w:line="240" w:lineRule="auto"/>
    </w:pPr>
    <w:rPr>
      <w:sz w:val="20"/>
      <w:szCs w:val="20"/>
    </w:rPr>
  </w:style>
  <w:style w:type="character" w:customStyle="1" w:styleId="TextodecomentrioChar">
    <w:name w:val="Texto de comentário Char"/>
    <w:basedOn w:val="Fontepargpadro"/>
    <w:link w:val="Textodecomentrio"/>
    <w:uiPriority w:val="99"/>
    <w:rsid w:val="00885483"/>
    <w:rPr>
      <w:rFonts w:ascii="Calibri" w:eastAsia="Calibri" w:hAnsi="Calibri" w:cs="Calibri"/>
      <w:color w:val="000000"/>
      <w:sz w:val="20"/>
      <w:szCs w:val="20"/>
    </w:rPr>
  </w:style>
  <w:style w:type="paragraph" w:styleId="Assuntodocomentrio">
    <w:name w:val="annotation subject"/>
    <w:basedOn w:val="Textodecomentrio"/>
    <w:next w:val="Textodecomentrio"/>
    <w:link w:val="AssuntodocomentrioChar"/>
    <w:uiPriority w:val="99"/>
    <w:semiHidden/>
    <w:unhideWhenUsed/>
    <w:rsid w:val="00885483"/>
    <w:rPr>
      <w:b/>
      <w:bCs/>
    </w:rPr>
  </w:style>
  <w:style w:type="character" w:customStyle="1" w:styleId="AssuntodocomentrioChar">
    <w:name w:val="Assunto do comentário Char"/>
    <w:basedOn w:val="TextodecomentrioChar"/>
    <w:link w:val="Assuntodocomentrio"/>
    <w:uiPriority w:val="99"/>
    <w:semiHidden/>
    <w:rsid w:val="00885483"/>
    <w:rPr>
      <w:rFonts w:ascii="Calibri" w:eastAsia="Calibri" w:hAnsi="Calibri" w:cs="Calibri"/>
      <w:b/>
      <w:bCs/>
      <w:color w:val="000000"/>
      <w:sz w:val="20"/>
      <w:szCs w:val="20"/>
    </w:rPr>
  </w:style>
  <w:style w:type="paragraph" w:styleId="Textodebalo">
    <w:name w:val="Balloon Text"/>
    <w:basedOn w:val="Normal"/>
    <w:link w:val="TextodebaloChar"/>
    <w:uiPriority w:val="99"/>
    <w:semiHidden/>
    <w:unhideWhenUsed/>
    <w:rsid w:val="0088548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85483"/>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bde5724-bfea-4326-9f44-324d7b476d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B447C4E40CBF74DBA9B8816061643F5" ma:contentTypeVersion="11" ma:contentTypeDescription="Crie um novo documento." ma:contentTypeScope="" ma:versionID="5658f744ac7840ec406a577f18b6bd58">
  <xsd:schema xmlns:xsd="http://www.w3.org/2001/XMLSchema" xmlns:xs="http://www.w3.org/2001/XMLSchema" xmlns:p="http://schemas.microsoft.com/office/2006/metadata/properties" xmlns:ns3="1cc5e1fc-82c9-441a-b9fc-187e55dc177c" xmlns:ns4="4bde5724-bfea-4326-9f44-324d7b476df9" targetNamespace="http://schemas.microsoft.com/office/2006/metadata/properties" ma:root="true" ma:fieldsID="33823e9ee02832830ca4bbca8a3ec911" ns3:_="" ns4:_="">
    <xsd:import namespace="1cc5e1fc-82c9-441a-b9fc-187e55dc177c"/>
    <xsd:import namespace="4bde5724-bfea-4326-9f44-324d7b476df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c5e1fc-82c9-441a-b9fc-187e55dc177c"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de5724-bfea-4326-9f44-324d7b476df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C880E-914A-4C1B-A3DE-3E50CD08660B}">
  <ds:schemaRefs>
    <ds:schemaRef ds:uri="http://schemas.microsoft.com/office/2006/metadata/properties"/>
    <ds:schemaRef ds:uri="http://www.w3.org/2000/xmlns/"/>
    <ds:schemaRef ds:uri="4bde5724-bfea-4326-9f44-324d7b476df9"/>
    <ds:schemaRef ds:uri="http://www.w3.org/2001/XMLSchema-instance"/>
  </ds:schemaRefs>
</ds:datastoreItem>
</file>

<file path=customXml/itemProps2.xml><?xml version="1.0" encoding="utf-8"?>
<ds:datastoreItem xmlns:ds="http://schemas.openxmlformats.org/officeDocument/2006/customXml" ds:itemID="{91ACA63C-C1F7-463D-B528-0970F68EA6B7}">
  <ds:schemaRefs>
    <ds:schemaRef ds:uri="http://schemas.microsoft.com/sharepoint/v3/contenttype/forms"/>
  </ds:schemaRefs>
</ds:datastoreItem>
</file>

<file path=customXml/itemProps3.xml><?xml version="1.0" encoding="utf-8"?>
<ds:datastoreItem xmlns:ds="http://schemas.openxmlformats.org/officeDocument/2006/customXml" ds:itemID="{82817D4D-CF84-4E4D-B064-F0430C5879B8}">
  <ds:schemaRefs>
    <ds:schemaRef ds:uri="http://schemas.microsoft.com/office/2006/metadata/contentType"/>
    <ds:schemaRef ds:uri="http://schemas.microsoft.com/office/2006/metadata/properties/metaAttributes"/>
    <ds:schemaRef ds:uri="http://www.w3.org/2000/xmlns/"/>
    <ds:schemaRef ds:uri="http://www.w3.org/2001/XMLSchema"/>
    <ds:schemaRef ds:uri="1cc5e1fc-82c9-441a-b9fc-187e55dc177c"/>
    <ds:schemaRef ds:uri="4bde5724-bfea-4326-9f44-324d7b476df9"/>
  </ds:schemaRefs>
</ds:datastoreItem>
</file>

<file path=customXml/itemProps4.xml><?xml version="1.0" encoding="utf-8"?>
<ds:datastoreItem xmlns:ds="http://schemas.openxmlformats.org/officeDocument/2006/customXml" ds:itemID="{10EF2CF0-68C6-4B47-BB1E-BA008597185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4498</Words>
  <Characters>24295</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IARA THOMAE RODRIGUES</dc:creator>
  <cp:keywords/>
  <dc:description/>
  <cp:lastModifiedBy>IARA THOMAE RODRIGUES</cp:lastModifiedBy>
  <cp:revision>2</cp:revision>
  <cp:lastPrinted>2026-06-11T21:08:00Z</cp:lastPrinted>
  <dcterms:created xsi:type="dcterms:W3CDTF">2026-06-11T21:10:00Z</dcterms:created>
  <dcterms:modified xsi:type="dcterms:W3CDTF">2026-06-11T21:10:00Z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0x0101003B447C4E40CBF74DBA9B8816061643F5</vt:lpwstr>
  </property>
</Properties>
</file>