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DFDB96" w14:textId="77777777" w:rsidR="00237493" w:rsidRDefault="00237493">
      <w:pPr>
        <w:widowControl w:val="0"/>
        <w:spacing w:before="1" w:line="240" w:lineRule="auto"/>
        <w:ind w:right="2202"/>
        <w:rPr>
          <w:rFonts w:ascii="Times New Roman" w:eastAsia="Times New Roman" w:hAnsi="Times New Roman" w:cs="Times New Roman"/>
          <w:b/>
          <w:bCs/>
          <w:sz w:val="24"/>
          <w:szCs w:val="24"/>
        </w:rPr>
        <w:sectPr w:rsidR="00237493">
          <w:footerReference w:type="even" r:id="rId7"/>
          <w:footerReference w:type="default" r:id="rId8"/>
          <w:footerReference w:type="first" r:id="rId9"/>
          <w:pgSz w:w="11906" w:h="16838"/>
          <w:pgMar w:top="1440" w:right="1440" w:bottom="1440" w:left="1440" w:header="0" w:footer="720" w:gutter="0"/>
          <w:pgNumType w:start="1"/>
          <w:cols w:space="720"/>
        </w:sectPr>
      </w:pPr>
    </w:p>
    <w:p w14:paraId="16F7C5D0" w14:textId="77777777" w:rsidR="00237493" w:rsidRDefault="00000000">
      <w:pPr>
        <w:widowControl w:val="0"/>
        <w:spacing w:line="240" w:lineRule="auto"/>
        <w:ind w:left="3986"/>
        <w:rPr>
          <w:rFonts w:ascii="Times New Roman" w:eastAsia="Times New Roman" w:hAnsi="Times New Roman" w:cs="Times New Roman"/>
          <w:sz w:val="24"/>
          <w:szCs w:val="24"/>
        </w:rPr>
      </w:pPr>
      <w:r>
        <w:rPr>
          <w:noProof/>
        </w:rPr>
        <w:lastRenderedPageBreak/>
        <w:drawing>
          <wp:inline distT="0" distB="0" distL="0" distR="0" wp14:anchorId="11A98847" wp14:editId="2FDDB7ED">
            <wp:extent cx="1767205" cy="1033145"/>
            <wp:effectExtent l="0" t="0" r="0" b="0"/>
            <wp:docPr id="3" name="image1.png" descr="Imagem 3"/>
            <wp:cNvGraphicFramePr/>
            <a:graphic xmlns:a="http://schemas.openxmlformats.org/drawingml/2006/main">
              <a:graphicData uri="http://schemas.openxmlformats.org/drawingml/2006/picture">
                <pic:pic xmlns:pic="http://schemas.openxmlformats.org/drawingml/2006/picture">
                  <pic:nvPicPr>
                    <pic:cNvPr id="0" name="image1.png" descr="Imagem 3"/>
                    <pic:cNvPicPr preferRelativeResize="0"/>
                  </pic:nvPicPr>
                  <pic:blipFill>
                    <a:blip r:embed="rId10"/>
                    <a:srcRect/>
                    <a:stretch>
                      <a:fillRect/>
                    </a:stretch>
                  </pic:blipFill>
                  <pic:spPr>
                    <a:xfrm>
                      <a:off x="0" y="0"/>
                      <a:ext cx="1767205" cy="1033145"/>
                    </a:xfrm>
                    <a:prstGeom prst="rect">
                      <a:avLst/>
                    </a:prstGeom>
                    <a:ln/>
                  </pic:spPr>
                </pic:pic>
              </a:graphicData>
            </a:graphic>
          </wp:inline>
        </w:drawing>
      </w:r>
    </w:p>
    <w:p w14:paraId="3A6C7881" w14:textId="77777777" w:rsidR="00237493" w:rsidRDefault="00237493">
      <w:pPr>
        <w:widowControl w:val="0"/>
        <w:spacing w:before="9" w:line="240" w:lineRule="auto"/>
        <w:rPr>
          <w:rFonts w:ascii="Times New Roman" w:eastAsia="Times New Roman" w:hAnsi="Times New Roman" w:cs="Times New Roman"/>
          <w:b/>
          <w:bCs/>
          <w:sz w:val="24"/>
          <w:szCs w:val="24"/>
        </w:rPr>
      </w:pPr>
    </w:p>
    <w:p w14:paraId="6E57D2B0" w14:textId="77777777" w:rsidR="00237493" w:rsidRDefault="00000000">
      <w:pPr>
        <w:widowControl w:val="0"/>
        <w:spacing w:line="480" w:lineRule="auto"/>
        <w:ind w:left="2508" w:right="2509"/>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PONTIFÍCIA UNIVERSIDADE CATÓLICA DE GOIÁS ESCOLA DE DIREITO, NEGÓCIOS E COMUNICAÇÃO NÚCLEO DE PRÁTICA JURÍDICA</w:t>
      </w:r>
    </w:p>
    <w:p w14:paraId="3A3AA45F" w14:textId="77777777" w:rsidR="00237493" w:rsidRDefault="00000000">
      <w:pPr>
        <w:widowControl w:val="0"/>
        <w:spacing w:line="480" w:lineRule="auto"/>
        <w:ind w:left="2202" w:right="2203"/>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COORDENAÇÃO ADJUNTA DE TRABALHO DE CONCLUSÃO DE CURSO</w:t>
      </w:r>
    </w:p>
    <w:p w14:paraId="76C0A2DB" w14:textId="77777777" w:rsidR="00237493" w:rsidRDefault="00000000">
      <w:pPr>
        <w:widowControl w:val="0"/>
        <w:spacing w:line="480" w:lineRule="auto"/>
        <w:ind w:left="2202" w:right="2204"/>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ARTIGO CIENTÍFICO</w:t>
      </w:r>
    </w:p>
    <w:p w14:paraId="57349D4C" w14:textId="77777777" w:rsidR="00237493" w:rsidRDefault="00237493">
      <w:pPr>
        <w:widowControl w:val="0"/>
        <w:spacing w:line="480" w:lineRule="auto"/>
        <w:rPr>
          <w:rFonts w:ascii="Times New Roman" w:eastAsia="Times New Roman" w:hAnsi="Times New Roman" w:cs="Times New Roman"/>
          <w:sz w:val="24"/>
          <w:szCs w:val="24"/>
        </w:rPr>
      </w:pPr>
    </w:p>
    <w:p w14:paraId="188362A0" w14:textId="77777777" w:rsidR="00237493" w:rsidRDefault="00237493">
      <w:pPr>
        <w:widowControl w:val="0"/>
        <w:spacing w:line="240" w:lineRule="auto"/>
        <w:rPr>
          <w:rFonts w:ascii="Times New Roman" w:eastAsia="Times New Roman" w:hAnsi="Times New Roman" w:cs="Times New Roman"/>
          <w:sz w:val="24"/>
          <w:szCs w:val="24"/>
        </w:rPr>
      </w:pPr>
    </w:p>
    <w:p w14:paraId="036B4AD4" w14:textId="77777777" w:rsidR="00237493" w:rsidRDefault="00237493">
      <w:pPr>
        <w:widowControl w:val="0"/>
        <w:spacing w:line="240" w:lineRule="auto"/>
        <w:rPr>
          <w:rFonts w:ascii="Times New Roman" w:eastAsia="Times New Roman" w:hAnsi="Times New Roman" w:cs="Times New Roman"/>
          <w:sz w:val="24"/>
          <w:szCs w:val="24"/>
        </w:rPr>
      </w:pPr>
    </w:p>
    <w:p w14:paraId="46224B0E" w14:textId="77777777" w:rsidR="00237493" w:rsidRDefault="00237493">
      <w:pPr>
        <w:widowControl w:val="0"/>
        <w:spacing w:line="240" w:lineRule="auto"/>
        <w:rPr>
          <w:rFonts w:ascii="Times New Roman" w:eastAsia="Times New Roman" w:hAnsi="Times New Roman" w:cs="Times New Roman"/>
          <w:sz w:val="24"/>
          <w:szCs w:val="24"/>
        </w:rPr>
      </w:pPr>
    </w:p>
    <w:p w14:paraId="2CA64017" w14:textId="77777777" w:rsidR="00237493" w:rsidRDefault="00237493">
      <w:pPr>
        <w:widowControl w:val="0"/>
        <w:spacing w:line="240" w:lineRule="auto"/>
        <w:rPr>
          <w:rFonts w:ascii="Times New Roman" w:eastAsia="Times New Roman" w:hAnsi="Times New Roman" w:cs="Times New Roman"/>
          <w:sz w:val="24"/>
          <w:szCs w:val="24"/>
        </w:rPr>
      </w:pPr>
    </w:p>
    <w:p w14:paraId="00F56A55" w14:textId="77777777" w:rsidR="00237493" w:rsidRDefault="00237493">
      <w:pPr>
        <w:widowControl w:val="0"/>
        <w:spacing w:line="240" w:lineRule="auto"/>
        <w:rPr>
          <w:rFonts w:ascii="Times New Roman" w:eastAsia="Times New Roman" w:hAnsi="Times New Roman" w:cs="Times New Roman"/>
          <w:sz w:val="24"/>
          <w:szCs w:val="24"/>
        </w:rPr>
      </w:pPr>
    </w:p>
    <w:p w14:paraId="61FCE64A" w14:textId="77777777" w:rsidR="00237493" w:rsidRDefault="00000000">
      <w:pPr>
        <w:widowControl w:val="0"/>
        <w:spacing w:line="240" w:lineRule="auto"/>
        <w:ind w:left="1133" w:right="565"/>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 RESPONSABILIDADE DOS BANCOS EM GOLPES VIA PIX:</w:t>
      </w:r>
    </w:p>
    <w:p w14:paraId="3E1B938E" w14:textId="77777777" w:rsidR="00237493" w:rsidRDefault="00000000">
      <w:pPr>
        <w:spacing w:before="52" w:line="360" w:lineRule="auto"/>
        <w:ind w:left="1133" w:right="565"/>
        <w:jc w:val="center"/>
        <w:rPr>
          <w:rFonts w:ascii="Times New Roman" w:eastAsia="Times New Roman" w:hAnsi="Times New Roman" w:cs="Times New Roman"/>
          <w:b/>
          <w:bCs/>
          <w:sz w:val="24"/>
          <w:szCs w:val="24"/>
        </w:rPr>
      </w:pPr>
      <w:r>
        <w:rPr>
          <w:rFonts w:ascii="Times New Roman" w:eastAsia="Times New Roman" w:hAnsi="Times New Roman" w:cs="Times New Roman"/>
          <w:sz w:val="24"/>
          <w:szCs w:val="24"/>
        </w:rPr>
        <w:t>PROTEÇÃO DO CONSUMIDOR E INOVAÇÃO TECNOLÓGICA DO SISTEMA BANCÁRIO</w:t>
      </w:r>
    </w:p>
    <w:p w14:paraId="42F87864" w14:textId="77777777" w:rsidR="00237493" w:rsidRDefault="00237493">
      <w:pPr>
        <w:widowControl w:val="0"/>
        <w:spacing w:line="480" w:lineRule="auto"/>
        <w:ind w:left="1133" w:right="565"/>
        <w:rPr>
          <w:rFonts w:ascii="Times New Roman" w:eastAsia="Times New Roman" w:hAnsi="Times New Roman" w:cs="Times New Roman"/>
          <w:sz w:val="24"/>
          <w:szCs w:val="24"/>
        </w:rPr>
      </w:pPr>
    </w:p>
    <w:p w14:paraId="512F6AF2" w14:textId="77777777" w:rsidR="00237493" w:rsidRDefault="00237493">
      <w:pPr>
        <w:widowControl w:val="0"/>
        <w:spacing w:line="240" w:lineRule="auto"/>
        <w:ind w:left="1133" w:right="565"/>
        <w:rPr>
          <w:rFonts w:ascii="Times New Roman" w:eastAsia="Times New Roman" w:hAnsi="Times New Roman" w:cs="Times New Roman"/>
          <w:sz w:val="24"/>
          <w:szCs w:val="24"/>
        </w:rPr>
      </w:pPr>
    </w:p>
    <w:p w14:paraId="23269EDB" w14:textId="77777777" w:rsidR="00237493" w:rsidRDefault="00237493">
      <w:pPr>
        <w:widowControl w:val="0"/>
        <w:spacing w:line="240" w:lineRule="auto"/>
        <w:ind w:left="1133" w:right="565"/>
        <w:rPr>
          <w:rFonts w:ascii="Times New Roman" w:eastAsia="Times New Roman" w:hAnsi="Times New Roman" w:cs="Times New Roman"/>
          <w:sz w:val="24"/>
          <w:szCs w:val="24"/>
        </w:rPr>
      </w:pPr>
    </w:p>
    <w:p w14:paraId="1BA90257" w14:textId="77777777" w:rsidR="00237493" w:rsidRDefault="00237493">
      <w:pPr>
        <w:widowControl w:val="0"/>
        <w:spacing w:line="240" w:lineRule="auto"/>
        <w:ind w:left="1133" w:right="565"/>
        <w:rPr>
          <w:rFonts w:ascii="Times New Roman" w:eastAsia="Times New Roman" w:hAnsi="Times New Roman" w:cs="Times New Roman"/>
          <w:sz w:val="24"/>
          <w:szCs w:val="24"/>
        </w:rPr>
      </w:pPr>
    </w:p>
    <w:p w14:paraId="3DCB81B9" w14:textId="77777777" w:rsidR="00237493" w:rsidRDefault="00237493">
      <w:pPr>
        <w:widowControl w:val="0"/>
        <w:spacing w:line="240" w:lineRule="auto"/>
        <w:ind w:left="1133" w:right="565"/>
        <w:rPr>
          <w:rFonts w:ascii="Times New Roman" w:eastAsia="Times New Roman" w:hAnsi="Times New Roman" w:cs="Times New Roman"/>
          <w:sz w:val="24"/>
          <w:szCs w:val="24"/>
        </w:rPr>
      </w:pPr>
    </w:p>
    <w:p w14:paraId="433C5FF0" w14:textId="77777777" w:rsidR="00237493" w:rsidRDefault="00237493">
      <w:pPr>
        <w:widowControl w:val="0"/>
        <w:spacing w:line="240" w:lineRule="auto"/>
        <w:ind w:left="1133" w:right="565"/>
        <w:rPr>
          <w:rFonts w:ascii="Times New Roman" w:eastAsia="Times New Roman" w:hAnsi="Times New Roman" w:cs="Times New Roman"/>
          <w:sz w:val="24"/>
          <w:szCs w:val="24"/>
        </w:rPr>
      </w:pPr>
    </w:p>
    <w:p w14:paraId="7E3949D5" w14:textId="77777777" w:rsidR="00237493" w:rsidRDefault="00237493">
      <w:pPr>
        <w:widowControl w:val="0"/>
        <w:spacing w:line="240" w:lineRule="auto"/>
        <w:ind w:left="1133" w:right="565"/>
        <w:rPr>
          <w:rFonts w:ascii="Times New Roman" w:eastAsia="Times New Roman" w:hAnsi="Times New Roman" w:cs="Times New Roman"/>
          <w:sz w:val="24"/>
          <w:szCs w:val="24"/>
        </w:rPr>
      </w:pPr>
    </w:p>
    <w:p w14:paraId="76D273CD" w14:textId="77777777" w:rsidR="00237493" w:rsidRDefault="00000000">
      <w:pPr>
        <w:widowControl w:val="0"/>
        <w:spacing w:line="480" w:lineRule="auto"/>
        <w:ind w:left="1133" w:right="565"/>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ORIENTANDO: PEDRO FALCÃO DOS REIS</w:t>
      </w:r>
    </w:p>
    <w:p w14:paraId="02B17065" w14:textId="77777777" w:rsidR="00237493" w:rsidRDefault="00000000">
      <w:pPr>
        <w:widowControl w:val="0"/>
        <w:spacing w:line="480" w:lineRule="auto"/>
        <w:ind w:left="1133" w:right="565"/>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ORIENTADORA: PROF.A: DRA.  FÁTIMA DE PAULA FERREIRA</w:t>
      </w:r>
    </w:p>
    <w:p w14:paraId="6C317BF9" w14:textId="77777777" w:rsidR="00237493" w:rsidRDefault="00237493">
      <w:pPr>
        <w:widowControl w:val="0"/>
        <w:spacing w:line="240" w:lineRule="auto"/>
        <w:rPr>
          <w:rFonts w:ascii="Times New Roman" w:eastAsia="Times New Roman" w:hAnsi="Times New Roman" w:cs="Times New Roman"/>
          <w:sz w:val="24"/>
          <w:szCs w:val="24"/>
        </w:rPr>
      </w:pPr>
    </w:p>
    <w:p w14:paraId="416E02E2" w14:textId="77777777" w:rsidR="00237493" w:rsidRDefault="00237493">
      <w:pPr>
        <w:widowControl w:val="0"/>
        <w:spacing w:line="240" w:lineRule="auto"/>
        <w:rPr>
          <w:rFonts w:ascii="Times New Roman" w:eastAsia="Times New Roman" w:hAnsi="Times New Roman" w:cs="Times New Roman"/>
          <w:sz w:val="24"/>
          <w:szCs w:val="24"/>
        </w:rPr>
      </w:pPr>
    </w:p>
    <w:p w14:paraId="34717996" w14:textId="77777777" w:rsidR="00237493" w:rsidRDefault="00237493">
      <w:pPr>
        <w:widowControl w:val="0"/>
        <w:spacing w:line="240" w:lineRule="auto"/>
        <w:rPr>
          <w:rFonts w:ascii="Times New Roman" w:eastAsia="Times New Roman" w:hAnsi="Times New Roman" w:cs="Times New Roman"/>
          <w:sz w:val="24"/>
          <w:szCs w:val="24"/>
        </w:rPr>
      </w:pPr>
    </w:p>
    <w:p w14:paraId="00522F09" w14:textId="77777777" w:rsidR="00237493" w:rsidRDefault="00237493">
      <w:pPr>
        <w:widowControl w:val="0"/>
        <w:spacing w:line="240" w:lineRule="auto"/>
        <w:rPr>
          <w:rFonts w:ascii="Times New Roman" w:eastAsia="Times New Roman" w:hAnsi="Times New Roman" w:cs="Times New Roman"/>
          <w:sz w:val="24"/>
          <w:szCs w:val="24"/>
        </w:rPr>
      </w:pPr>
    </w:p>
    <w:p w14:paraId="6BE320F1" w14:textId="77777777" w:rsidR="00237493" w:rsidRDefault="00237493">
      <w:pPr>
        <w:widowControl w:val="0"/>
        <w:spacing w:before="1" w:line="240" w:lineRule="auto"/>
        <w:rPr>
          <w:rFonts w:ascii="Times New Roman" w:eastAsia="Times New Roman" w:hAnsi="Times New Roman" w:cs="Times New Roman"/>
          <w:sz w:val="24"/>
          <w:szCs w:val="24"/>
        </w:rPr>
      </w:pPr>
    </w:p>
    <w:p w14:paraId="0373B1FF" w14:textId="77777777" w:rsidR="00237493" w:rsidRDefault="00237493">
      <w:pPr>
        <w:widowControl w:val="0"/>
        <w:spacing w:line="240" w:lineRule="auto"/>
        <w:ind w:left="4433" w:right="4433"/>
        <w:jc w:val="center"/>
        <w:rPr>
          <w:rFonts w:ascii="Times New Roman" w:eastAsia="Times New Roman" w:hAnsi="Times New Roman" w:cs="Times New Roman"/>
          <w:sz w:val="24"/>
          <w:szCs w:val="24"/>
        </w:rPr>
      </w:pPr>
    </w:p>
    <w:p w14:paraId="0880297B" w14:textId="77777777" w:rsidR="00237493" w:rsidRDefault="00237493">
      <w:pPr>
        <w:widowControl w:val="0"/>
        <w:spacing w:line="240" w:lineRule="auto"/>
        <w:ind w:left="4433" w:right="4433"/>
        <w:jc w:val="center"/>
        <w:rPr>
          <w:rFonts w:ascii="Times New Roman" w:eastAsia="Times New Roman" w:hAnsi="Times New Roman" w:cs="Times New Roman"/>
          <w:sz w:val="24"/>
          <w:szCs w:val="24"/>
        </w:rPr>
      </w:pPr>
    </w:p>
    <w:p w14:paraId="37C3FCBF" w14:textId="77777777" w:rsidR="00237493" w:rsidRDefault="00237493">
      <w:pPr>
        <w:widowControl w:val="0"/>
        <w:spacing w:line="240" w:lineRule="auto"/>
        <w:ind w:left="4433" w:right="4433"/>
        <w:jc w:val="center"/>
        <w:rPr>
          <w:rFonts w:ascii="Times New Roman" w:eastAsia="Times New Roman" w:hAnsi="Times New Roman" w:cs="Times New Roman"/>
          <w:sz w:val="24"/>
          <w:szCs w:val="24"/>
        </w:rPr>
      </w:pPr>
    </w:p>
    <w:p w14:paraId="74C3F38A" w14:textId="77777777" w:rsidR="00237493" w:rsidRDefault="00000000">
      <w:pPr>
        <w:widowControl w:val="0"/>
        <w:spacing w:line="240" w:lineRule="auto"/>
        <w:ind w:left="4433" w:right="4433"/>
        <w:jc w:val="center"/>
        <w:rPr>
          <w:rFonts w:ascii="Times New Roman" w:eastAsia="Times New Roman" w:hAnsi="Times New Roman" w:cs="Times New Roman"/>
          <w:sz w:val="24"/>
          <w:szCs w:val="24"/>
        </w:rPr>
        <w:sectPr w:rsidR="00237493">
          <w:footerReference w:type="default" r:id="rId11"/>
          <w:footerReference w:type="first" r:id="rId12"/>
          <w:pgSz w:w="11906" w:h="16838"/>
          <w:pgMar w:top="980" w:right="566" w:bottom="777" w:left="566" w:header="0" w:footer="720" w:gutter="0"/>
          <w:cols w:space="720"/>
        </w:sectPr>
      </w:pPr>
      <w:r>
        <w:rPr>
          <w:rFonts w:ascii="Times New Roman" w:eastAsia="Times New Roman" w:hAnsi="Times New Roman" w:cs="Times New Roman"/>
          <w:sz w:val="24"/>
          <w:szCs w:val="24"/>
        </w:rPr>
        <w:t>GOIÂNIA-GO 2026</w:t>
      </w:r>
    </w:p>
    <w:p w14:paraId="1C62F244" w14:textId="77777777" w:rsidR="00237493" w:rsidRDefault="00000000">
      <w:pPr>
        <w:widowControl w:val="0"/>
        <w:spacing w:before="62" w:line="240" w:lineRule="auto"/>
        <w:ind w:left="2202" w:right="2203"/>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PEDRO FALCÃO DOS REIS</w:t>
      </w:r>
    </w:p>
    <w:p w14:paraId="1AF4DB5E" w14:textId="77777777" w:rsidR="00237493" w:rsidRDefault="00237493">
      <w:pPr>
        <w:widowControl w:val="0"/>
        <w:spacing w:line="480" w:lineRule="auto"/>
        <w:ind w:left="2508" w:right="2509"/>
        <w:jc w:val="center"/>
        <w:rPr>
          <w:rFonts w:ascii="Times New Roman" w:eastAsia="Times New Roman" w:hAnsi="Times New Roman" w:cs="Times New Roman"/>
          <w:sz w:val="24"/>
          <w:szCs w:val="24"/>
        </w:rPr>
      </w:pPr>
    </w:p>
    <w:p w14:paraId="3E90759F" w14:textId="77777777" w:rsidR="00237493" w:rsidRDefault="00237493">
      <w:pPr>
        <w:widowControl w:val="0"/>
        <w:spacing w:line="480" w:lineRule="auto"/>
        <w:ind w:left="2508" w:right="2509"/>
        <w:jc w:val="center"/>
        <w:rPr>
          <w:rFonts w:ascii="Times New Roman" w:eastAsia="Times New Roman" w:hAnsi="Times New Roman" w:cs="Times New Roman"/>
          <w:sz w:val="24"/>
          <w:szCs w:val="24"/>
        </w:rPr>
      </w:pPr>
    </w:p>
    <w:p w14:paraId="46FD31BF" w14:textId="77777777" w:rsidR="00237493" w:rsidRDefault="00237493">
      <w:pPr>
        <w:widowControl w:val="0"/>
        <w:spacing w:line="480" w:lineRule="auto"/>
        <w:ind w:left="2202" w:right="2203"/>
        <w:jc w:val="center"/>
        <w:rPr>
          <w:rFonts w:ascii="Times New Roman" w:eastAsia="Times New Roman" w:hAnsi="Times New Roman" w:cs="Times New Roman"/>
          <w:sz w:val="24"/>
          <w:szCs w:val="24"/>
        </w:rPr>
      </w:pPr>
    </w:p>
    <w:p w14:paraId="7A6A562F" w14:textId="77777777" w:rsidR="00237493" w:rsidRDefault="00237493">
      <w:pPr>
        <w:widowControl w:val="0"/>
        <w:spacing w:line="480" w:lineRule="auto"/>
        <w:ind w:left="2202" w:right="2204"/>
        <w:jc w:val="center"/>
        <w:rPr>
          <w:rFonts w:ascii="Times New Roman" w:eastAsia="Times New Roman" w:hAnsi="Times New Roman" w:cs="Times New Roman"/>
          <w:sz w:val="24"/>
          <w:szCs w:val="24"/>
        </w:rPr>
      </w:pPr>
    </w:p>
    <w:p w14:paraId="5C793532" w14:textId="77777777" w:rsidR="00237493" w:rsidRDefault="00237493">
      <w:pPr>
        <w:widowControl w:val="0"/>
        <w:spacing w:line="480" w:lineRule="auto"/>
        <w:rPr>
          <w:rFonts w:ascii="Times New Roman" w:eastAsia="Times New Roman" w:hAnsi="Times New Roman" w:cs="Times New Roman"/>
          <w:sz w:val="24"/>
          <w:szCs w:val="24"/>
        </w:rPr>
      </w:pPr>
    </w:p>
    <w:p w14:paraId="30FA9D33" w14:textId="77777777" w:rsidR="00237493" w:rsidRDefault="00237493">
      <w:pPr>
        <w:widowControl w:val="0"/>
        <w:spacing w:line="240" w:lineRule="auto"/>
        <w:rPr>
          <w:rFonts w:ascii="Times New Roman" w:eastAsia="Times New Roman" w:hAnsi="Times New Roman" w:cs="Times New Roman"/>
          <w:sz w:val="24"/>
          <w:szCs w:val="24"/>
        </w:rPr>
      </w:pPr>
    </w:p>
    <w:p w14:paraId="196D85CC" w14:textId="77777777" w:rsidR="00237493" w:rsidRDefault="00237493">
      <w:pPr>
        <w:widowControl w:val="0"/>
        <w:spacing w:line="240" w:lineRule="auto"/>
        <w:rPr>
          <w:rFonts w:ascii="Times New Roman" w:eastAsia="Times New Roman" w:hAnsi="Times New Roman" w:cs="Times New Roman"/>
          <w:sz w:val="24"/>
          <w:szCs w:val="24"/>
        </w:rPr>
      </w:pPr>
    </w:p>
    <w:p w14:paraId="19B2958A" w14:textId="77777777" w:rsidR="00237493" w:rsidRDefault="00237493">
      <w:pPr>
        <w:widowControl w:val="0"/>
        <w:spacing w:line="240" w:lineRule="auto"/>
        <w:rPr>
          <w:rFonts w:ascii="Times New Roman" w:eastAsia="Times New Roman" w:hAnsi="Times New Roman" w:cs="Times New Roman"/>
          <w:sz w:val="24"/>
          <w:szCs w:val="24"/>
        </w:rPr>
      </w:pPr>
    </w:p>
    <w:p w14:paraId="731F8BF9" w14:textId="77777777" w:rsidR="00237493" w:rsidRDefault="00237493">
      <w:pPr>
        <w:widowControl w:val="0"/>
        <w:spacing w:line="240" w:lineRule="auto"/>
        <w:rPr>
          <w:rFonts w:ascii="Times New Roman" w:eastAsia="Times New Roman" w:hAnsi="Times New Roman" w:cs="Times New Roman"/>
          <w:sz w:val="24"/>
          <w:szCs w:val="24"/>
        </w:rPr>
      </w:pPr>
    </w:p>
    <w:p w14:paraId="1C49BC2E" w14:textId="77777777" w:rsidR="00237493" w:rsidRDefault="00237493">
      <w:pPr>
        <w:widowControl w:val="0"/>
        <w:spacing w:line="240" w:lineRule="auto"/>
        <w:rPr>
          <w:rFonts w:ascii="Times New Roman" w:eastAsia="Times New Roman" w:hAnsi="Times New Roman" w:cs="Times New Roman"/>
          <w:sz w:val="24"/>
          <w:szCs w:val="24"/>
        </w:rPr>
      </w:pPr>
    </w:p>
    <w:p w14:paraId="53C4F9C4" w14:textId="77777777" w:rsidR="00237493" w:rsidRDefault="00237493">
      <w:pPr>
        <w:widowControl w:val="0"/>
        <w:spacing w:line="240" w:lineRule="auto"/>
        <w:rPr>
          <w:rFonts w:ascii="Times New Roman" w:eastAsia="Times New Roman" w:hAnsi="Times New Roman" w:cs="Times New Roman"/>
          <w:sz w:val="24"/>
          <w:szCs w:val="24"/>
        </w:rPr>
      </w:pPr>
    </w:p>
    <w:p w14:paraId="46AEB1DD" w14:textId="77777777" w:rsidR="00237493" w:rsidRDefault="00237493">
      <w:pPr>
        <w:widowControl w:val="0"/>
        <w:spacing w:line="240" w:lineRule="auto"/>
        <w:rPr>
          <w:rFonts w:ascii="Times New Roman" w:eastAsia="Times New Roman" w:hAnsi="Times New Roman" w:cs="Times New Roman"/>
          <w:sz w:val="24"/>
          <w:szCs w:val="24"/>
        </w:rPr>
      </w:pPr>
    </w:p>
    <w:p w14:paraId="36EA4713" w14:textId="77777777" w:rsidR="00237493" w:rsidRDefault="00237493">
      <w:pPr>
        <w:widowControl w:val="0"/>
        <w:spacing w:line="240" w:lineRule="auto"/>
        <w:rPr>
          <w:rFonts w:ascii="Times New Roman" w:eastAsia="Times New Roman" w:hAnsi="Times New Roman" w:cs="Times New Roman"/>
          <w:sz w:val="24"/>
          <w:szCs w:val="24"/>
        </w:rPr>
      </w:pPr>
    </w:p>
    <w:p w14:paraId="54B56AEF" w14:textId="77777777" w:rsidR="00237493" w:rsidRDefault="00237493">
      <w:pPr>
        <w:widowControl w:val="0"/>
        <w:spacing w:line="240" w:lineRule="auto"/>
        <w:rPr>
          <w:rFonts w:ascii="Times New Roman" w:eastAsia="Times New Roman" w:hAnsi="Times New Roman" w:cs="Times New Roman"/>
          <w:sz w:val="24"/>
          <w:szCs w:val="24"/>
        </w:rPr>
      </w:pPr>
    </w:p>
    <w:p w14:paraId="4ED43428" w14:textId="77777777" w:rsidR="00237493" w:rsidRDefault="00237493">
      <w:pPr>
        <w:widowControl w:val="0"/>
        <w:spacing w:line="240" w:lineRule="auto"/>
        <w:rPr>
          <w:rFonts w:ascii="Times New Roman" w:eastAsia="Times New Roman" w:hAnsi="Times New Roman" w:cs="Times New Roman"/>
          <w:sz w:val="24"/>
          <w:szCs w:val="24"/>
        </w:rPr>
      </w:pPr>
    </w:p>
    <w:p w14:paraId="3DE1BA7F" w14:textId="77777777" w:rsidR="00237493" w:rsidRDefault="00237493">
      <w:pPr>
        <w:widowControl w:val="0"/>
        <w:spacing w:line="240" w:lineRule="auto"/>
        <w:rPr>
          <w:rFonts w:ascii="Times New Roman" w:eastAsia="Times New Roman" w:hAnsi="Times New Roman" w:cs="Times New Roman"/>
          <w:sz w:val="24"/>
          <w:szCs w:val="24"/>
        </w:rPr>
      </w:pPr>
    </w:p>
    <w:p w14:paraId="17BC7D6B" w14:textId="77777777" w:rsidR="00237493" w:rsidRDefault="00237493">
      <w:pPr>
        <w:widowControl w:val="0"/>
        <w:spacing w:line="240" w:lineRule="auto"/>
        <w:rPr>
          <w:rFonts w:ascii="Times New Roman" w:eastAsia="Times New Roman" w:hAnsi="Times New Roman" w:cs="Times New Roman"/>
          <w:sz w:val="24"/>
          <w:szCs w:val="24"/>
        </w:rPr>
      </w:pPr>
    </w:p>
    <w:p w14:paraId="35243F33" w14:textId="77777777" w:rsidR="00237493" w:rsidRDefault="00237493">
      <w:pPr>
        <w:widowControl w:val="0"/>
        <w:spacing w:line="240" w:lineRule="auto"/>
        <w:rPr>
          <w:rFonts w:ascii="Times New Roman" w:eastAsia="Times New Roman" w:hAnsi="Times New Roman" w:cs="Times New Roman"/>
          <w:sz w:val="24"/>
          <w:szCs w:val="24"/>
        </w:rPr>
      </w:pPr>
    </w:p>
    <w:p w14:paraId="4A994C63" w14:textId="77777777" w:rsidR="00237493" w:rsidRDefault="00237493">
      <w:pPr>
        <w:widowControl w:val="0"/>
        <w:spacing w:before="244" w:line="240" w:lineRule="auto"/>
        <w:ind w:left="1133" w:right="565"/>
        <w:rPr>
          <w:rFonts w:ascii="Times New Roman" w:eastAsia="Times New Roman" w:hAnsi="Times New Roman" w:cs="Times New Roman"/>
          <w:sz w:val="24"/>
          <w:szCs w:val="24"/>
        </w:rPr>
      </w:pPr>
    </w:p>
    <w:p w14:paraId="76144907" w14:textId="77777777" w:rsidR="00237493" w:rsidRDefault="00000000">
      <w:pPr>
        <w:widowControl w:val="0"/>
        <w:spacing w:line="240" w:lineRule="auto"/>
        <w:ind w:left="1133" w:right="565"/>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 RESPONSABILIDADE DOS BANCOS EM GOLPES VIA PIX:</w:t>
      </w:r>
    </w:p>
    <w:p w14:paraId="0342944C" w14:textId="77777777" w:rsidR="00237493" w:rsidRDefault="00000000">
      <w:pPr>
        <w:spacing w:before="52" w:line="360" w:lineRule="auto"/>
        <w:ind w:left="1133" w:right="565"/>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PROTEÇÃO DO CONSUMIDOR E INOVAÇÃO TECNOLÓGICA DO SISTEMA BANCÁRIO</w:t>
      </w:r>
    </w:p>
    <w:p w14:paraId="2C3FD9BD" w14:textId="77777777" w:rsidR="00237493" w:rsidRDefault="00237493">
      <w:pPr>
        <w:widowControl w:val="0"/>
        <w:spacing w:line="480" w:lineRule="auto"/>
        <w:rPr>
          <w:rFonts w:ascii="Times New Roman" w:eastAsia="Times New Roman" w:hAnsi="Times New Roman" w:cs="Times New Roman"/>
          <w:sz w:val="24"/>
          <w:szCs w:val="24"/>
        </w:rPr>
      </w:pPr>
    </w:p>
    <w:p w14:paraId="2890EEFF" w14:textId="77777777" w:rsidR="00237493" w:rsidRDefault="00237493">
      <w:pPr>
        <w:widowControl w:val="0"/>
        <w:spacing w:line="240" w:lineRule="auto"/>
        <w:rPr>
          <w:rFonts w:ascii="Times New Roman" w:eastAsia="Times New Roman" w:hAnsi="Times New Roman" w:cs="Times New Roman"/>
          <w:sz w:val="24"/>
          <w:szCs w:val="24"/>
        </w:rPr>
      </w:pPr>
    </w:p>
    <w:p w14:paraId="5B2D741E" w14:textId="77777777" w:rsidR="00237493" w:rsidRDefault="00237493">
      <w:pPr>
        <w:widowControl w:val="0"/>
        <w:spacing w:line="240" w:lineRule="auto"/>
        <w:rPr>
          <w:rFonts w:ascii="Times New Roman" w:eastAsia="Times New Roman" w:hAnsi="Times New Roman" w:cs="Times New Roman"/>
          <w:sz w:val="24"/>
          <w:szCs w:val="24"/>
        </w:rPr>
      </w:pPr>
    </w:p>
    <w:p w14:paraId="79CC87AC" w14:textId="77777777" w:rsidR="00237493" w:rsidRDefault="00237493">
      <w:pPr>
        <w:widowControl w:val="0"/>
        <w:spacing w:line="240" w:lineRule="auto"/>
        <w:rPr>
          <w:rFonts w:ascii="Times New Roman" w:eastAsia="Times New Roman" w:hAnsi="Times New Roman" w:cs="Times New Roman"/>
          <w:sz w:val="24"/>
          <w:szCs w:val="24"/>
        </w:rPr>
      </w:pPr>
    </w:p>
    <w:p w14:paraId="367DDD74" w14:textId="77777777" w:rsidR="00237493" w:rsidRDefault="00237493">
      <w:pPr>
        <w:widowControl w:val="0"/>
        <w:spacing w:line="240" w:lineRule="auto"/>
        <w:rPr>
          <w:rFonts w:ascii="Times New Roman" w:eastAsia="Times New Roman" w:hAnsi="Times New Roman" w:cs="Times New Roman"/>
          <w:sz w:val="24"/>
          <w:szCs w:val="24"/>
        </w:rPr>
      </w:pPr>
    </w:p>
    <w:p w14:paraId="15A56A4F" w14:textId="77777777" w:rsidR="00237493" w:rsidRDefault="00237493">
      <w:pPr>
        <w:widowControl w:val="0"/>
        <w:spacing w:line="240" w:lineRule="auto"/>
        <w:rPr>
          <w:rFonts w:ascii="Times New Roman" w:eastAsia="Times New Roman" w:hAnsi="Times New Roman" w:cs="Times New Roman"/>
          <w:sz w:val="24"/>
          <w:szCs w:val="24"/>
        </w:rPr>
      </w:pPr>
    </w:p>
    <w:p w14:paraId="05EC10E6" w14:textId="77777777" w:rsidR="00237493" w:rsidRDefault="00000000">
      <w:pPr>
        <w:widowControl w:val="0"/>
        <w:spacing w:line="240" w:lineRule="auto"/>
        <w:ind w:left="5103" w:right="56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Artigo Científico apresentado à disciplina Trabalho de Curso II, da Escola de Direito, Negócios e Comunicação da Pontifícia Universidade Católica de Goiás Prof.a Orientadora: </w:t>
      </w:r>
      <w:proofErr w:type="spellStart"/>
      <w:r>
        <w:rPr>
          <w:rFonts w:ascii="Times New Roman" w:eastAsia="Times New Roman" w:hAnsi="Times New Roman" w:cs="Times New Roman"/>
          <w:sz w:val="24"/>
          <w:szCs w:val="24"/>
        </w:rPr>
        <w:t>Dra.Fátima</w:t>
      </w:r>
      <w:proofErr w:type="spellEnd"/>
      <w:r>
        <w:rPr>
          <w:rFonts w:ascii="Times New Roman" w:eastAsia="Times New Roman" w:hAnsi="Times New Roman" w:cs="Times New Roman"/>
          <w:sz w:val="24"/>
          <w:szCs w:val="24"/>
        </w:rPr>
        <w:t xml:space="preserve"> de Paula </w:t>
      </w:r>
      <w:proofErr w:type="gramStart"/>
      <w:r>
        <w:rPr>
          <w:rFonts w:ascii="Times New Roman" w:eastAsia="Times New Roman" w:hAnsi="Times New Roman" w:cs="Times New Roman"/>
          <w:sz w:val="24"/>
          <w:szCs w:val="24"/>
        </w:rPr>
        <w:t>Ferreira .</w:t>
      </w:r>
      <w:proofErr w:type="gramEnd"/>
    </w:p>
    <w:p w14:paraId="4C5103DF" w14:textId="77777777" w:rsidR="00237493" w:rsidRDefault="00237493">
      <w:pPr>
        <w:widowControl w:val="0"/>
        <w:spacing w:before="1" w:line="240" w:lineRule="auto"/>
        <w:ind w:left="2202" w:right="2202"/>
        <w:jc w:val="center"/>
        <w:rPr>
          <w:rFonts w:ascii="Times New Roman" w:eastAsia="Times New Roman" w:hAnsi="Times New Roman" w:cs="Times New Roman"/>
          <w:sz w:val="24"/>
          <w:szCs w:val="24"/>
        </w:rPr>
      </w:pPr>
    </w:p>
    <w:p w14:paraId="5B0E6451" w14:textId="77777777" w:rsidR="00237493" w:rsidRDefault="00237493">
      <w:pPr>
        <w:widowControl w:val="0"/>
        <w:spacing w:before="1" w:line="240" w:lineRule="auto"/>
        <w:ind w:left="2202" w:right="2202"/>
        <w:jc w:val="center"/>
        <w:rPr>
          <w:rFonts w:ascii="Times New Roman" w:eastAsia="Times New Roman" w:hAnsi="Times New Roman" w:cs="Times New Roman"/>
          <w:sz w:val="24"/>
          <w:szCs w:val="24"/>
        </w:rPr>
      </w:pPr>
    </w:p>
    <w:p w14:paraId="522B5D41" w14:textId="77777777" w:rsidR="00237493" w:rsidRDefault="00237493">
      <w:pPr>
        <w:widowControl w:val="0"/>
        <w:spacing w:before="1" w:line="240" w:lineRule="auto"/>
        <w:ind w:left="2202" w:right="2202"/>
        <w:jc w:val="center"/>
        <w:rPr>
          <w:rFonts w:ascii="Times New Roman" w:eastAsia="Times New Roman" w:hAnsi="Times New Roman" w:cs="Times New Roman"/>
          <w:sz w:val="24"/>
          <w:szCs w:val="24"/>
        </w:rPr>
      </w:pPr>
    </w:p>
    <w:p w14:paraId="64A55AAE" w14:textId="77777777" w:rsidR="00237493" w:rsidRDefault="00237493">
      <w:pPr>
        <w:widowControl w:val="0"/>
        <w:spacing w:before="1" w:line="240" w:lineRule="auto"/>
        <w:ind w:left="2202" w:right="2202"/>
        <w:jc w:val="center"/>
        <w:rPr>
          <w:rFonts w:ascii="Times New Roman" w:eastAsia="Times New Roman" w:hAnsi="Times New Roman" w:cs="Times New Roman"/>
          <w:sz w:val="24"/>
          <w:szCs w:val="24"/>
        </w:rPr>
      </w:pPr>
    </w:p>
    <w:p w14:paraId="3694BDC5" w14:textId="77777777" w:rsidR="00237493" w:rsidRDefault="00237493">
      <w:pPr>
        <w:widowControl w:val="0"/>
        <w:spacing w:before="1" w:line="240" w:lineRule="auto"/>
        <w:ind w:left="2202" w:right="2202"/>
        <w:jc w:val="center"/>
        <w:rPr>
          <w:rFonts w:ascii="Times New Roman" w:eastAsia="Times New Roman" w:hAnsi="Times New Roman" w:cs="Times New Roman"/>
          <w:sz w:val="24"/>
          <w:szCs w:val="24"/>
        </w:rPr>
      </w:pPr>
    </w:p>
    <w:p w14:paraId="03411260" w14:textId="77777777" w:rsidR="00237493" w:rsidRDefault="00237493">
      <w:pPr>
        <w:widowControl w:val="0"/>
        <w:spacing w:before="1" w:line="240" w:lineRule="auto"/>
        <w:ind w:left="2202" w:right="2202"/>
        <w:jc w:val="center"/>
        <w:rPr>
          <w:rFonts w:ascii="Times New Roman" w:eastAsia="Times New Roman" w:hAnsi="Times New Roman" w:cs="Times New Roman"/>
          <w:sz w:val="24"/>
          <w:szCs w:val="24"/>
        </w:rPr>
      </w:pPr>
    </w:p>
    <w:p w14:paraId="726A9E40" w14:textId="77777777" w:rsidR="00237493" w:rsidRDefault="00237493">
      <w:pPr>
        <w:widowControl w:val="0"/>
        <w:spacing w:before="1" w:line="240" w:lineRule="auto"/>
        <w:ind w:left="2202" w:right="2202"/>
        <w:jc w:val="center"/>
        <w:rPr>
          <w:rFonts w:ascii="Times New Roman" w:eastAsia="Times New Roman" w:hAnsi="Times New Roman" w:cs="Times New Roman"/>
          <w:sz w:val="24"/>
          <w:szCs w:val="24"/>
        </w:rPr>
      </w:pPr>
    </w:p>
    <w:p w14:paraId="7F45F1FD" w14:textId="77777777" w:rsidR="00237493" w:rsidRDefault="00237493">
      <w:pPr>
        <w:widowControl w:val="0"/>
        <w:spacing w:before="1" w:line="240" w:lineRule="auto"/>
        <w:ind w:left="2202" w:right="2202"/>
        <w:jc w:val="center"/>
        <w:rPr>
          <w:rFonts w:ascii="Times New Roman" w:eastAsia="Times New Roman" w:hAnsi="Times New Roman" w:cs="Times New Roman"/>
          <w:sz w:val="24"/>
          <w:szCs w:val="24"/>
        </w:rPr>
      </w:pPr>
    </w:p>
    <w:p w14:paraId="396167AE" w14:textId="77777777" w:rsidR="00237493" w:rsidRDefault="00237493">
      <w:pPr>
        <w:widowControl w:val="0"/>
        <w:spacing w:before="1" w:line="240" w:lineRule="auto"/>
        <w:ind w:right="2202"/>
        <w:rPr>
          <w:rFonts w:ascii="Times New Roman" w:eastAsia="Times New Roman" w:hAnsi="Times New Roman" w:cs="Times New Roman"/>
          <w:sz w:val="24"/>
          <w:szCs w:val="24"/>
        </w:rPr>
      </w:pPr>
    </w:p>
    <w:p w14:paraId="68D33FEC" w14:textId="77777777" w:rsidR="00237493" w:rsidRDefault="00000000">
      <w:pPr>
        <w:widowControl w:val="0"/>
        <w:spacing w:before="1" w:line="240" w:lineRule="auto"/>
        <w:ind w:left="1140" w:right="57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GOIÂNIA-GO</w:t>
      </w:r>
    </w:p>
    <w:p w14:paraId="0B48260A" w14:textId="77777777" w:rsidR="00237493" w:rsidRDefault="00000000">
      <w:pPr>
        <w:widowControl w:val="0"/>
        <w:spacing w:line="240" w:lineRule="auto"/>
        <w:ind w:left="1140" w:right="57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2026</w:t>
      </w:r>
    </w:p>
    <w:p w14:paraId="69E81749" w14:textId="77777777" w:rsidR="00237493" w:rsidRDefault="00000000">
      <w:pPr>
        <w:widowControl w:val="0"/>
        <w:spacing w:line="240" w:lineRule="auto"/>
        <w:ind w:left="1133" w:right="565"/>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SUMÁRIO</w:t>
      </w:r>
    </w:p>
    <w:p w14:paraId="07D23A91" w14:textId="77777777" w:rsidR="00237493" w:rsidRDefault="00237493">
      <w:pPr>
        <w:widowControl w:val="0"/>
        <w:spacing w:line="240" w:lineRule="auto"/>
        <w:ind w:left="1133" w:right="565"/>
        <w:jc w:val="center"/>
        <w:rPr>
          <w:rFonts w:ascii="Times New Roman" w:eastAsia="Times New Roman" w:hAnsi="Times New Roman" w:cs="Times New Roman"/>
          <w:b/>
          <w:bCs/>
          <w:sz w:val="24"/>
          <w:szCs w:val="24"/>
        </w:rPr>
      </w:pPr>
    </w:p>
    <w:p w14:paraId="271D877F" w14:textId="77777777" w:rsidR="00237493" w:rsidRDefault="00237493">
      <w:pPr>
        <w:widowControl w:val="0"/>
        <w:spacing w:line="240" w:lineRule="auto"/>
        <w:ind w:left="1133" w:right="565"/>
        <w:jc w:val="both"/>
        <w:rPr>
          <w:rFonts w:ascii="Times New Roman" w:eastAsia="Times New Roman" w:hAnsi="Times New Roman" w:cs="Times New Roman"/>
          <w:b/>
          <w:bCs/>
          <w:sz w:val="24"/>
          <w:szCs w:val="24"/>
        </w:rPr>
      </w:pPr>
    </w:p>
    <w:p w14:paraId="32E3DD2B" w14:textId="77777777" w:rsidR="00237493" w:rsidRDefault="00000000">
      <w:pPr>
        <w:ind w:left="1133" w:right="565"/>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RESUMO.……………………………………………………………………………………6</w:t>
      </w:r>
    </w:p>
    <w:p w14:paraId="6AA87FC7" w14:textId="77777777" w:rsidR="00237493" w:rsidRDefault="00000000">
      <w:pPr>
        <w:ind w:left="1133" w:right="565"/>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INTRODUÇÃO……………………………………………………………………………...8</w:t>
      </w:r>
    </w:p>
    <w:p w14:paraId="5D3AE83B" w14:textId="77777777" w:rsidR="00237493" w:rsidRDefault="00000000">
      <w:pPr>
        <w:ind w:left="1133" w:right="565"/>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 FUNDAMENTOS TEÓRICOS DA RESPONSABILIDADE CIVIL BANCÁRIA E DOS GOLPES VIA PIX……………………………………………………………….........9</w:t>
      </w:r>
    </w:p>
    <w:p w14:paraId="37EC11B3" w14:textId="77777777" w:rsidR="00237493" w:rsidRDefault="00000000">
      <w:pPr>
        <w:ind w:left="1133" w:right="565"/>
        <w:rPr>
          <w:rFonts w:ascii="Times New Roman" w:eastAsia="Times New Roman" w:hAnsi="Times New Roman" w:cs="Times New Roman"/>
          <w:b/>
          <w:bCs/>
          <w:sz w:val="24"/>
          <w:szCs w:val="24"/>
        </w:rPr>
      </w:pPr>
      <w:r>
        <w:rPr>
          <w:rFonts w:ascii="Times New Roman" w:eastAsia="Times New Roman" w:hAnsi="Times New Roman" w:cs="Times New Roman"/>
          <w:sz w:val="24"/>
          <w:szCs w:val="24"/>
        </w:rPr>
        <w:t>1.1. EVOLUÇÃO DA RESPONSABILIDADE CIVIL DOS BANCOS NO BRASIL</w:t>
      </w:r>
      <w:r>
        <w:rPr>
          <w:rFonts w:ascii="Times New Roman" w:eastAsia="Times New Roman" w:hAnsi="Times New Roman" w:cs="Times New Roman"/>
          <w:b/>
          <w:bCs/>
          <w:sz w:val="24"/>
          <w:szCs w:val="24"/>
        </w:rPr>
        <w:t>.….….9</w:t>
      </w:r>
    </w:p>
    <w:p w14:paraId="766FD9F0" w14:textId="77777777" w:rsidR="00237493" w:rsidRDefault="00000000">
      <w:pPr>
        <w:ind w:left="1133" w:right="565"/>
        <w:rPr>
          <w:rFonts w:ascii="Times New Roman" w:eastAsia="Times New Roman" w:hAnsi="Times New Roman" w:cs="Times New Roman"/>
          <w:b/>
          <w:bCs/>
          <w:sz w:val="24"/>
          <w:szCs w:val="24"/>
        </w:rPr>
      </w:pPr>
      <w:r>
        <w:rPr>
          <w:rFonts w:ascii="Times New Roman" w:eastAsia="Times New Roman" w:hAnsi="Times New Roman" w:cs="Times New Roman"/>
          <w:sz w:val="24"/>
          <w:szCs w:val="24"/>
        </w:rPr>
        <w:t>1.2. O PIX E A TRANSFORMAÇÃO DOS MEIOS DE PAGAMENTO</w:t>
      </w:r>
      <w:r>
        <w:rPr>
          <w:rFonts w:ascii="Times New Roman" w:eastAsia="Times New Roman" w:hAnsi="Times New Roman" w:cs="Times New Roman"/>
          <w:b/>
          <w:bCs/>
          <w:sz w:val="24"/>
          <w:szCs w:val="24"/>
        </w:rPr>
        <w:t>………………….…………………………………………………….……...10</w:t>
      </w:r>
    </w:p>
    <w:p w14:paraId="3C08CB31" w14:textId="77777777" w:rsidR="00237493" w:rsidRDefault="00000000">
      <w:pPr>
        <w:ind w:left="1133" w:right="565"/>
        <w:rPr>
          <w:rFonts w:ascii="Times New Roman" w:eastAsia="Times New Roman" w:hAnsi="Times New Roman" w:cs="Times New Roman"/>
          <w:b/>
          <w:bCs/>
          <w:sz w:val="24"/>
          <w:szCs w:val="24"/>
        </w:rPr>
      </w:pPr>
      <w:r>
        <w:rPr>
          <w:rFonts w:ascii="Times New Roman" w:eastAsia="Times New Roman" w:hAnsi="Times New Roman" w:cs="Times New Roman"/>
          <w:sz w:val="24"/>
          <w:szCs w:val="24"/>
        </w:rPr>
        <w:t>1.3. GOLPES DIGITAIS E ENGENHARIA SOCIAL: ASPECTOS JURÍDICOS E TECNOLÓGICOS</w:t>
      </w:r>
      <w:r>
        <w:rPr>
          <w:rFonts w:ascii="Times New Roman" w:eastAsia="Times New Roman" w:hAnsi="Times New Roman" w:cs="Times New Roman"/>
          <w:b/>
          <w:bCs/>
          <w:sz w:val="24"/>
          <w:szCs w:val="24"/>
        </w:rPr>
        <w:t>………………………………………………………………….……</w:t>
      </w:r>
      <w:proofErr w:type="gramStart"/>
      <w:r>
        <w:rPr>
          <w:rFonts w:ascii="Times New Roman" w:eastAsia="Times New Roman" w:hAnsi="Times New Roman" w:cs="Times New Roman"/>
          <w:b/>
          <w:bCs/>
          <w:sz w:val="24"/>
          <w:szCs w:val="24"/>
        </w:rPr>
        <w:t>…..</w:t>
      </w:r>
      <w:proofErr w:type="gramEnd"/>
      <w:r>
        <w:rPr>
          <w:rFonts w:ascii="Times New Roman" w:eastAsia="Times New Roman" w:hAnsi="Times New Roman" w:cs="Times New Roman"/>
          <w:b/>
          <w:bCs/>
          <w:sz w:val="24"/>
          <w:szCs w:val="24"/>
        </w:rPr>
        <w:t>10</w:t>
      </w:r>
    </w:p>
    <w:p w14:paraId="3867EC25" w14:textId="77777777" w:rsidR="00237493" w:rsidRDefault="00000000">
      <w:pPr>
        <w:ind w:left="1133" w:right="565"/>
        <w:rPr>
          <w:rFonts w:ascii="Times New Roman" w:eastAsia="Times New Roman" w:hAnsi="Times New Roman" w:cs="Times New Roman"/>
          <w:sz w:val="24"/>
          <w:szCs w:val="24"/>
        </w:rPr>
      </w:pPr>
      <w:r>
        <w:rPr>
          <w:rFonts w:ascii="Times New Roman" w:eastAsia="Times New Roman" w:hAnsi="Times New Roman" w:cs="Times New Roman"/>
          <w:sz w:val="24"/>
          <w:szCs w:val="24"/>
        </w:rPr>
        <w:t>1.4. O DEVER DE SEGURANÇA COMO ELEMENTO ESTRUTURAL DA ATIVIDADE BANCÁRIA</w:t>
      </w:r>
      <w:r>
        <w:rPr>
          <w:rFonts w:ascii="Times New Roman" w:eastAsia="Times New Roman" w:hAnsi="Times New Roman" w:cs="Times New Roman"/>
          <w:b/>
          <w:bCs/>
          <w:sz w:val="24"/>
          <w:szCs w:val="24"/>
        </w:rPr>
        <w:t>…………………………………………………………………</w:t>
      </w:r>
      <w:proofErr w:type="gramStart"/>
      <w:r>
        <w:rPr>
          <w:rFonts w:ascii="Times New Roman" w:eastAsia="Times New Roman" w:hAnsi="Times New Roman" w:cs="Times New Roman"/>
          <w:b/>
          <w:bCs/>
          <w:sz w:val="24"/>
          <w:szCs w:val="24"/>
        </w:rPr>
        <w:t>…..</w:t>
      </w:r>
      <w:proofErr w:type="gramEnd"/>
      <w:r>
        <w:rPr>
          <w:rFonts w:ascii="Times New Roman" w:eastAsia="Times New Roman" w:hAnsi="Times New Roman" w:cs="Times New Roman"/>
          <w:b/>
          <w:bCs/>
          <w:sz w:val="24"/>
          <w:szCs w:val="24"/>
        </w:rPr>
        <w:t>…………...11</w:t>
      </w:r>
    </w:p>
    <w:p w14:paraId="05DB1D03" w14:textId="77777777" w:rsidR="00237493" w:rsidRDefault="00000000">
      <w:pPr>
        <w:ind w:left="1133" w:right="565"/>
        <w:rPr>
          <w:rFonts w:ascii="Times New Roman" w:eastAsia="Times New Roman" w:hAnsi="Times New Roman" w:cs="Times New Roman"/>
          <w:sz w:val="24"/>
          <w:szCs w:val="24"/>
        </w:rPr>
      </w:pPr>
      <w:r>
        <w:rPr>
          <w:rFonts w:ascii="Times New Roman" w:eastAsia="Times New Roman" w:hAnsi="Times New Roman" w:cs="Times New Roman"/>
          <w:sz w:val="24"/>
          <w:szCs w:val="24"/>
        </w:rPr>
        <w:t>1.5. A RELEVÂNCIA DA JURISPRUDÊNCIA ATUAL DO STJ E DOS TRIBUNAIS ESTADUAIS.</w:t>
      </w:r>
      <w:r>
        <w:rPr>
          <w:rFonts w:ascii="Times New Roman" w:eastAsia="Times New Roman" w:hAnsi="Times New Roman" w:cs="Times New Roman"/>
          <w:b/>
          <w:bCs/>
          <w:sz w:val="24"/>
          <w:szCs w:val="24"/>
        </w:rPr>
        <w:t>……………………………………………………………………………...…12</w:t>
      </w:r>
    </w:p>
    <w:p w14:paraId="41F4C033" w14:textId="77777777" w:rsidR="00237493" w:rsidRDefault="00000000">
      <w:pPr>
        <w:ind w:left="1133" w:right="565"/>
        <w:rPr>
          <w:rFonts w:ascii="Times New Roman" w:eastAsia="Times New Roman" w:hAnsi="Times New Roman" w:cs="Times New Roman"/>
          <w:sz w:val="24"/>
          <w:szCs w:val="24"/>
        </w:rPr>
      </w:pPr>
      <w:r>
        <w:rPr>
          <w:rFonts w:ascii="Times New Roman" w:eastAsia="Times New Roman" w:hAnsi="Times New Roman" w:cs="Times New Roman"/>
          <w:sz w:val="24"/>
          <w:szCs w:val="24"/>
        </w:rPr>
        <w:t>1.6. CONSIDERAÇÕES CONCLUSIVAS DA SEÇÃO</w:t>
      </w:r>
      <w:r>
        <w:rPr>
          <w:rFonts w:ascii="Times New Roman" w:eastAsia="Times New Roman" w:hAnsi="Times New Roman" w:cs="Times New Roman"/>
          <w:b/>
          <w:bCs/>
          <w:sz w:val="24"/>
          <w:szCs w:val="24"/>
        </w:rPr>
        <w:t>…………………….………………12</w:t>
      </w:r>
    </w:p>
    <w:p w14:paraId="657E42A3" w14:textId="77777777" w:rsidR="00237493" w:rsidRDefault="00000000">
      <w:pPr>
        <w:ind w:left="1133" w:right="565"/>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 A DINÂMICA DOS GOLPES VIA PIX E A CONFIGURAÇÃO DA FALHA NA PRESTAÇÃO DO SERVIÇO……………………………………………………...….……13</w:t>
      </w:r>
    </w:p>
    <w:p w14:paraId="37CF4673" w14:textId="77777777" w:rsidR="00237493" w:rsidRDefault="00000000">
      <w:pPr>
        <w:tabs>
          <w:tab w:val="left" w:pos="559"/>
        </w:tabs>
        <w:ind w:left="1133" w:right="565"/>
        <w:rPr>
          <w:rFonts w:ascii="Times New Roman" w:eastAsia="Times New Roman" w:hAnsi="Times New Roman" w:cs="Times New Roman"/>
          <w:sz w:val="24"/>
          <w:szCs w:val="24"/>
        </w:rPr>
      </w:pPr>
      <w:r>
        <w:rPr>
          <w:rFonts w:ascii="Times New Roman" w:eastAsia="Times New Roman" w:hAnsi="Times New Roman" w:cs="Times New Roman"/>
          <w:sz w:val="24"/>
          <w:szCs w:val="24"/>
        </w:rPr>
        <w:t>2.1. MODALIDADES CONTEMPORÂNEAS DE GOLPES VIA PIX E SUAS CARACTERÍSTICAS JURÍDICAS</w:t>
      </w:r>
      <w:r>
        <w:rPr>
          <w:rFonts w:ascii="Times New Roman" w:eastAsia="Times New Roman" w:hAnsi="Times New Roman" w:cs="Times New Roman"/>
          <w:b/>
          <w:bCs/>
          <w:sz w:val="24"/>
          <w:szCs w:val="24"/>
        </w:rPr>
        <w:t>…………………………………………………………13</w:t>
      </w:r>
    </w:p>
    <w:p w14:paraId="25CE7E73" w14:textId="77777777" w:rsidR="00237493" w:rsidRDefault="00000000">
      <w:pPr>
        <w:tabs>
          <w:tab w:val="left" w:pos="559"/>
        </w:tabs>
        <w:ind w:left="1133" w:right="565"/>
        <w:rPr>
          <w:rFonts w:ascii="Times New Roman" w:eastAsia="Times New Roman" w:hAnsi="Times New Roman" w:cs="Times New Roman"/>
          <w:sz w:val="24"/>
          <w:szCs w:val="24"/>
        </w:rPr>
      </w:pPr>
      <w:r>
        <w:rPr>
          <w:rFonts w:ascii="Times New Roman" w:eastAsia="Times New Roman" w:hAnsi="Times New Roman" w:cs="Times New Roman"/>
          <w:sz w:val="24"/>
          <w:szCs w:val="24"/>
        </w:rPr>
        <w:t>2.2. A FALHA NA PRESTAÇÃO DO SERVIÇO BANCÁRIO E OS CRITÉRIOS DE IMPUTAÇÃO DA RESPONSABILIDADE</w:t>
      </w:r>
      <w:r>
        <w:rPr>
          <w:rFonts w:ascii="Times New Roman" w:eastAsia="Times New Roman" w:hAnsi="Times New Roman" w:cs="Times New Roman"/>
          <w:b/>
          <w:bCs/>
          <w:sz w:val="24"/>
          <w:szCs w:val="24"/>
        </w:rPr>
        <w:t>………………………………………....……...14</w:t>
      </w:r>
    </w:p>
    <w:p w14:paraId="7DD5BEFE" w14:textId="77777777" w:rsidR="00237493" w:rsidRDefault="00000000">
      <w:pPr>
        <w:tabs>
          <w:tab w:val="left" w:pos="559"/>
        </w:tabs>
        <w:ind w:left="1133" w:right="565"/>
        <w:rPr>
          <w:rFonts w:ascii="Times New Roman" w:eastAsia="Times New Roman" w:hAnsi="Times New Roman" w:cs="Times New Roman"/>
          <w:sz w:val="24"/>
          <w:szCs w:val="24"/>
        </w:rPr>
      </w:pPr>
      <w:r>
        <w:rPr>
          <w:rFonts w:ascii="Times New Roman" w:eastAsia="Times New Roman" w:hAnsi="Times New Roman" w:cs="Times New Roman"/>
          <w:sz w:val="24"/>
          <w:szCs w:val="24"/>
        </w:rPr>
        <w:t>2.3. O DEVER DE PREVENÇÃO, E OS LIMITES DA RESPONSABILIDADE</w:t>
      </w:r>
      <w:r>
        <w:rPr>
          <w:rFonts w:ascii="Times New Roman" w:eastAsia="Times New Roman" w:hAnsi="Times New Roman" w:cs="Times New Roman"/>
          <w:b/>
          <w:bCs/>
          <w:sz w:val="24"/>
          <w:szCs w:val="24"/>
        </w:rPr>
        <w:t>…….…...15</w:t>
      </w:r>
    </w:p>
    <w:p w14:paraId="0C0CFF7A" w14:textId="77777777" w:rsidR="00237493" w:rsidRDefault="00000000">
      <w:pPr>
        <w:tabs>
          <w:tab w:val="left" w:pos="1107"/>
        </w:tabs>
        <w:ind w:left="1133" w:right="565"/>
        <w:rPr>
          <w:rFonts w:ascii="Times New Roman" w:eastAsia="Times New Roman" w:hAnsi="Times New Roman" w:cs="Times New Roman"/>
          <w:sz w:val="24"/>
          <w:szCs w:val="24"/>
        </w:rPr>
      </w:pPr>
      <w:r>
        <w:rPr>
          <w:rFonts w:ascii="Times New Roman" w:eastAsia="Times New Roman" w:hAnsi="Times New Roman" w:cs="Times New Roman"/>
          <w:sz w:val="24"/>
          <w:szCs w:val="24"/>
        </w:rPr>
        <w:t>2.4. O MECANISMO ESPECIAL DE DEVOLUÇÃO (MED) E OS DEMAIS AVANÇOS INSTITUCIONAIS NA MITIGAÇÃO DE FRAUDES VIA PIX</w:t>
      </w:r>
      <w:r>
        <w:rPr>
          <w:rFonts w:ascii="Times New Roman" w:eastAsia="Times New Roman" w:hAnsi="Times New Roman" w:cs="Times New Roman"/>
          <w:b/>
          <w:bCs/>
          <w:sz w:val="24"/>
          <w:szCs w:val="24"/>
        </w:rPr>
        <w:t>……………………...…...16</w:t>
      </w:r>
    </w:p>
    <w:p w14:paraId="69B19FB1" w14:textId="77777777" w:rsidR="00237493" w:rsidRDefault="00000000">
      <w:pPr>
        <w:ind w:left="1133" w:right="565"/>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3. A JURISPRUDÊNCIA BRASILEIRA SOBRE A RESPONSABILIDADE CIVIL DAS INSTITUIÇÕES FINANCEIRAS EM CASOS DE FRAUDES VIA PIX…...……17</w:t>
      </w:r>
    </w:p>
    <w:p w14:paraId="5E48483A" w14:textId="77777777" w:rsidR="00237493" w:rsidRDefault="00000000">
      <w:pPr>
        <w:ind w:left="1133" w:right="565"/>
        <w:rPr>
          <w:rFonts w:ascii="Times New Roman" w:eastAsia="Times New Roman" w:hAnsi="Times New Roman" w:cs="Times New Roman"/>
          <w:sz w:val="24"/>
          <w:szCs w:val="24"/>
        </w:rPr>
      </w:pPr>
      <w:r>
        <w:rPr>
          <w:rFonts w:ascii="Times New Roman" w:eastAsia="Times New Roman" w:hAnsi="Times New Roman" w:cs="Times New Roman"/>
          <w:sz w:val="24"/>
          <w:szCs w:val="24"/>
        </w:rPr>
        <w:t>3.1. A APLICAÇÃO DA SÚMULA 479 DO STJ</w:t>
      </w:r>
      <w:r>
        <w:rPr>
          <w:rFonts w:ascii="Times New Roman" w:eastAsia="Times New Roman" w:hAnsi="Times New Roman" w:cs="Times New Roman"/>
          <w:b/>
          <w:bCs/>
          <w:sz w:val="24"/>
          <w:szCs w:val="24"/>
        </w:rPr>
        <w:t>…………………………………</w:t>
      </w:r>
      <w:proofErr w:type="gramStart"/>
      <w:r>
        <w:rPr>
          <w:rFonts w:ascii="Times New Roman" w:eastAsia="Times New Roman" w:hAnsi="Times New Roman" w:cs="Times New Roman"/>
          <w:b/>
          <w:bCs/>
          <w:sz w:val="24"/>
          <w:szCs w:val="24"/>
        </w:rPr>
        <w:t>…..</w:t>
      </w:r>
      <w:proofErr w:type="gramEnd"/>
      <w:r>
        <w:rPr>
          <w:rFonts w:ascii="Times New Roman" w:eastAsia="Times New Roman" w:hAnsi="Times New Roman" w:cs="Times New Roman"/>
          <w:b/>
          <w:bCs/>
          <w:sz w:val="24"/>
          <w:szCs w:val="24"/>
        </w:rPr>
        <w:t>…….18</w:t>
      </w:r>
    </w:p>
    <w:p w14:paraId="1607CDBD" w14:textId="77777777" w:rsidR="00237493" w:rsidRDefault="00000000">
      <w:pPr>
        <w:ind w:left="1133" w:right="565"/>
        <w:rPr>
          <w:rFonts w:ascii="Times New Roman" w:eastAsia="Times New Roman" w:hAnsi="Times New Roman" w:cs="Times New Roman"/>
          <w:sz w:val="24"/>
          <w:szCs w:val="24"/>
        </w:rPr>
      </w:pPr>
      <w:r>
        <w:rPr>
          <w:rFonts w:ascii="Times New Roman" w:eastAsia="Times New Roman" w:hAnsi="Times New Roman" w:cs="Times New Roman"/>
          <w:sz w:val="24"/>
          <w:szCs w:val="24"/>
        </w:rPr>
        <w:t>3.2. ENTENDIMENTO DO STJ SOBRE AS FRAUDES ELETRÔNICAS</w:t>
      </w:r>
      <w:r>
        <w:rPr>
          <w:rFonts w:ascii="Times New Roman" w:eastAsia="Times New Roman" w:hAnsi="Times New Roman" w:cs="Times New Roman"/>
          <w:b/>
          <w:bCs/>
          <w:sz w:val="24"/>
          <w:szCs w:val="24"/>
        </w:rPr>
        <w:t>……</w:t>
      </w:r>
      <w:proofErr w:type="gramStart"/>
      <w:r>
        <w:rPr>
          <w:rFonts w:ascii="Times New Roman" w:eastAsia="Times New Roman" w:hAnsi="Times New Roman" w:cs="Times New Roman"/>
          <w:b/>
          <w:bCs/>
          <w:sz w:val="24"/>
          <w:szCs w:val="24"/>
        </w:rPr>
        <w:t>…..</w:t>
      </w:r>
      <w:proofErr w:type="gramEnd"/>
      <w:r>
        <w:rPr>
          <w:rFonts w:ascii="Times New Roman" w:eastAsia="Times New Roman" w:hAnsi="Times New Roman" w:cs="Times New Roman"/>
          <w:b/>
          <w:bCs/>
          <w:sz w:val="24"/>
          <w:szCs w:val="24"/>
        </w:rPr>
        <w:t>………19</w:t>
      </w:r>
    </w:p>
    <w:p w14:paraId="446C7805" w14:textId="77777777" w:rsidR="00237493" w:rsidRDefault="00000000">
      <w:pPr>
        <w:ind w:left="1133" w:right="565"/>
        <w:rPr>
          <w:rFonts w:ascii="Times New Roman" w:eastAsia="Times New Roman" w:hAnsi="Times New Roman" w:cs="Times New Roman"/>
          <w:sz w:val="24"/>
          <w:szCs w:val="24"/>
        </w:rPr>
      </w:pPr>
      <w:r>
        <w:rPr>
          <w:rFonts w:ascii="Times New Roman" w:eastAsia="Times New Roman" w:hAnsi="Times New Roman" w:cs="Times New Roman"/>
          <w:sz w:val="24"/>
          <w:szCs w:val="24"/>
        </w:rPr>
        <w:t>3.3. A RELATIVIZAÇÃO DA CULPA EXCLUSIVA DO CONSUMIDO</w:t>
      </w:r>
      <w:r>
        <w:rPr>
          <w:rFonts w:ascii="Times New Roman" w:eastAsia="Times New Roman" w:hAnsi="Times New Roman" w:cs="Times New Roman"/>
          <w:b/>
          <w:bCs/>
          <w:sz w:val="24"/>
          <w:szCs w:val="24"/>
        </w:rPr>
        <w:t>………...……….19</w:t>
      </w:r>
    </w:p>
    <w:p w14:paraId="10451FAD" w14:textId="77777777" w:rsidR="00237493" w:rsidRDefault="00000000">
      <w:pPr>
        <w:ind w:left="1133" w:right="565"/>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CONCLUSÃO……………………………………………………………………...……</w:t>
      </w:r>
      <w:proofErr w:type="gramStart"/>
      <w:r>
        <w:rPr>
          <w:rFonts w:ascii="Times New Roman" w:eastAsia="Times New Roman" w:hAnsi="Times New Roman" w:cs="Times New Roman"/>
          <w:b/>
          <w:bCs/>
          <w:sz w:val="24"/>
          <w:szCs w:val="24"/>
        </w:rPr>
        <w:t>…..</w:t>
      </w:r>
      <w:proofErr w:type="gramEnd"/>
      <w:r>
        <w:rPr>
          <w:rFonts w:ascii="Times New Roman" w:eastAsia="Times New Roman" w:hAnsi="Times New Roman" w:cs="Times New Roman"/>
          <w:b/>
          <w:bCs/>
          <w:sz w:val="24"/>
          <w:szCs w:val="24"/>
        </w:rPr>
        <w:t>20</w:t>
      </w:r>
    </w:p>
    <w:p w14:paraId="46DCEABE" w14:textId="77777777" w:rsidR="00237493" w:rsidRDefault="00000000">
      <w:pPr>
        <w:ind w:left="1133" w:right="565"/>
        <w:rPr>
          <w:rFonts w:ascii="Times New Roman" w:eastAsia="Times New Roman" w:hAnsi="Times New Roman" w:cs="Times New Roman"/>
          <w:b/>
          <w:bCs/>
          <w:sz w:val="24"/>
          <w:szCs w:val="24"/>
        </w:rPr>
        <w:sectPr w:rsidR="00237493">
          <w:footerReference w:type="default" r:id="rId13"/>
          <w:footerReference w:type="first" r:id="rId14"/>
          <w:pgSz w:w="11906" w:h="16838"/>
          <w:pgMar w:top="920" w:right="566" w:bottom="777" w:left="566" w:header="0" w:footer="720" w:gutter="0"/>
          <w:cols w:space="720"/>
        </w:sectPr>
      </w:pPr>
      <w:r>
        <w:rPr>
          <w:rFonts w:ascii="Times New Roman" w:eastAsia="Times New Roman" w:hAnsi="Times New Roman" w:cs="Times New Roman"/>
          <w:b/>
          <w:bCs/>
          <w:sz w:val="24"/>
          <w:szCs w:val="24"/>
        </w:rPr>
        <w:t>REFERÊNCIAS…………………………………………………………………</w:t>
      </w:r>
      <w:proofErr w:type="gramStart"/>
      <w:r>
        <w:rPr>
          <w:rFonts w:ascii="Times New Roman" w:eastAsia="Times New Roman" w:hAnsi="Times New Roman" w:cs="Times New Roman"/>
          <w:b/>
          <w:bCs/>
          <w:sz w:val="24"/>
          <w:szCs w:val="24"/>
        </w:rPr>
        <w:t>…..</w:t>
      </w:r>
      <w:proofErr w:type="gramEnd"/>
      <w:r>
        <w:rPr>
          <w:rFonts w:ascii="Times New Roman" w:eastAsia="Times New Roman" w:hAnsi="Times New Roman" w:cs="Times New Roman"/>
          <w:b/>
          <w:bCs/>
          <w:sz w:val="24"/>
          <w:szCs w:val="24"/>
        </w:rPr>
        <w:t>………22</w:t>
      </w:r>
    </w:p>
    <w:p w14:paraId="24264C06" w14:textId="77777777" w:rsidR="00237493" w:rsidRDefault="00000000">
      <w:pPr>
        <w:widowControl w:val="0"/>
        <w:spacing w:before="62" w:line="240" w:lineRule="auto"/>
        <w:ind w:left="2202" w:right="2203"/>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PEDRO FALCÃO DOS REIS</w:t>
      </w:r>
    </w:p>
    <w:p w14:paraId="6C3F4337" w14:textId="77777777" w:rsidR="00237493" w:rsidRDefault="00237493">
      <w:pPr>
        <w:widowControl w:val="0"/>
        <w:spacing w:line="240" w:lineRule="auto"/>
        <w:rPr>
          <w:rFonts w:ascii="Times New Roman" w:eastAsia="Times New Roman" w:hAnsi="Times New Roman" w:cs="Times New Roman"/>
          <w:sz w:val="24"/>
          <w:szCs w:val="24"/>
        </w:rPr>
      </w:pPr>
    </w:p>
    <w:p w14:paraId="5202884B" w14:textId="77777777" w:rsidR="00237493" w:rsidRDefault="00237493">
      <w:pPr>
        <w:widowControl w:val="0"/>
        <w:spacing w:line="240" w:lineRule="auto"/>
        <w:rPr>
          <w:rFonts w:ascii="Times New Roman" w:eastAsia="Times New Roman" w:hAnsi="Times New Roman" w:cs="Times New Roman"/>
          <w:sz w:val="24"/>
          <w:szCs w:val="24"/>
        </w:rPr>
      </w:pPr>
    </w:p>
    <w:p w14:paraId="46339411" w14:textId="77777777" w:rsidR="00237493" w:rsidRDefault="00237493">
      <w:pPr>
        <w:widowControl w:val="0"/>
        <w:spacing w:line="240" w:lineRule="auto"/>
        <w:rPr>
          <w:rFonts w:ascii="Times New Roman" w:eastAsia="Times New Roman" w:hAnsi="Times New Roman" w:cs="Times New Roman"/>
          <w:sz w:val="24"/>
          <w:szCs w:val="24"/>
        </w:rPr>
      </w:pPr>
    </w:p>
    <w:p w14:paraId="43C41C74" w14:textId="77777777" w:rsidR="00237493" w:rsidRDefault="00237493">
      <w:pPr>
        <w:widowControl w:val="0"/>
        <w:spacing w:line="240" w:lineRule="auto"/>
        <w:rPr>
          <w:rFonts w:ascii="Times New Roman" w:eastAsia="Times New Roman" w:hAnsi="Times New Roman" w:cs="Times New Roman"/>
          <w:sz w:val="24"/>
          <w:szCs w:val="24"/>
        </w:rPr>
      </w:pPr>
    </w:p>
    <w:p w14:paraId="55846488" w14:textId="77777777" w:rsidR="00237493" w:rsidRDefault="00237493">
      <w:pPr>
        <w:widowControl w:val="0"/>
        <w:spacing w:line="240" w:lineRule="auto"/>
        <w:rPr>
          <w:rFonts w:ascii="Times New Roman" w:eastAsia="Times New Roman" w:hAnsi="Times New Roman" w:cs="Times New Roman"/>
          <w:sz w:val="24"/>
          <w:szCs w:val="24"/>
        </w:rPr>
      </w:pPr>
    </w:p>
    <w:p w14:paraId="53119FCE" w14:textId="77777777" w:rsidR="00237493" w:rsidRDefault="00237493">
      <w:pPr>
        <w:widowControl w:val="0"/>
        <w:spacing w:line="240" w:lineRule="auto"/>
        <w:rPr>
          <w:rFonts w:ascii="Times New Roman" w:eastAsia="Times New Roman" w:hAnsi="Times New Roman" w:cs="Times New Roman"/>
          <w:sz w:val="24"/>
          <w:szCs w:val="24"/>
        </w:rPr>
      </w:pPr>
    </w:p>
    <w:p w14:paraId="662C78FA" w14:textId="77777777" w:rsidR="00237493" w:rsidRDefault="00237493">
      <w:pPr>
        <w:widowControl w:val="0"/>
        <w:spacing w:line="240" w:lineRule="auto"/>
        <w:rPr>
          <w:rFonts w:ascii="Times New Roman" w:eastAsia="Times New Roman" w:hAnsi="Times New Roman" w:cs="Times New Roman"/>
          <w:sz w:val="24"/>
          <w:szCs w:val="24"/>
        </w:rPr>
      </w:pPr>
    </w:p>
    <w:p w14:paraId="5329F22D" w14:textId="77777777" w:rsidR="00237493" w:rsidRDefault="00237493">
      <w:pPr>
        <w:widowControl w:val="0"/>
        <w:spacing w:line="240" w:lineRule="auto"/>
        <w:rPr>
          <w:rFonts w:ascii="Times New Roman" w:eastAsia="Times New Roman" w:hAnsi="Times New Roman" w:cs="Times New Roman"/>
          <w:sz w:val="24"/>
          <w:szCs w:val="24"/>
        </w:rPr>
      </w:pPr>
    </w:p>
    <w:p w14:paraId="0B3C7CA5" w14:textId="77777777" w:rsidR="00237493" w:rsidRDefault="00237493">
      <w:pPr>
        <w:widowControl w:val="0"/>
        <w:spacing w:before="243" w:line="240" w:lineRule="auto"/>
        <w:rPr>
          <w:rFonts w:ascii="Times New Roman" w:eastAsia="Times New Roman" w:hAnsi="Times New Roman" w:cs="Times New Roman"/>
          <w:sz w:val="24"/>
          <w:szCs w:val="24"/>
        </w:rPr>
      </w:pPr>
    </w:p>
    <w:p w14:paraId="2A8686AE" w14:textId="77777777" w:rsidR="00237493" w:rsidRDefault="00000000">
      <w:pPr>
        <w:widowControl w:val="0"/>
        <w:spacing w:line="240" w:lineRule="auto"/>
        <w:ind w:left="1140" w:right="565"/>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 RESPONSABILIDADE DOS BANCOS EM GOLPES VIA PIX:</w:t>
      </w:r>
    </w:p>
    <w:p w14:paraId="05E998A8" w14:textId="77777777" w:rsidR="00237493" w:rsidRDefault="00000000">
      <w:pPr>
        <w:spacing w:before="52" w:line="360" w:lineRule="auto"/>
        <w:ind w:left="1140" w:right="565"/>
        <w:jc w:val="center"/>
        <w:rPr>
          <w:rFonts w:ascii="Times New Roman" w:eastAsia="Times New Roman" w:hAnsi="Times New Roman" w:cs="Times New Roman"/>
          <w:b/>
          <w:bCs/>
          <w:sz w:val="24"/>
          <w:szCs w:val="24"/>
        </w:rPr>
      </w:pPr>
      <w:r>
        <w:rPr>
          <w:rFonts w:ascii="Times New Roman" w:eastAsia="Times New Roman" w:hAnsi="Times New Roman" w:cs="Times New Roman"/>
          <w:sz w:val="24"/>
          <w:szCs w:val="24"/>
        </w:rPr>
        <w:t>PROTEÇÃO DO CONSUMIDOR E INOVAÇÃO TECNOLÓGICA DO SISTEMA BANCÁRIO</w:t>
      </w:r>
    </w:p>
    <w:p w14:paraId="6D921788" w14:textId="77777777" w:rsidR="00237493" w:rsidRDefault="00237493">
      <w:pPr>
        <w:widowControl w:val="0"/>
        <w:spacing w:line="240" w:lineRule="auto"/>
        <w:ind w:left="1140" w:right="565"/>
        <w:rPr>
          <w:rFonts w:ascii="Times New Roman" w:eastAsia="Times New Roman" w:hAnsi="Times New Roman" w:cs="Times New Roman"/>
          <w:sz w:val="24"/>
          <w:szCs w:val="24"/>
        </w:rPr>
      </w:pPr>
    </w:p>
    <w:p w14:paraId="189DA695" w14:textId="77777777" w:rsidR="00237493" w:rsidRDefault="00237493">
      <w:pPr>
        <w:widowControl w:val="0"/>
        <w:spacing w:line="240" w:lineRule="auto"/>
        <w:ind w:left="1140" w:right="565"/>
        <w:rPr>
          <w:rFonts w:ascii="Times New Roman" w:eastAsia="Times New Roman" w:hAnsi="Times New Roman" w:cs="Times New Roman"/>
          <w:sz w:val="24"/>
          <w:szCs w:val="24"/>
        </w:rPr>
      </w:pPr>
    </w:p>
    <w:p w14:paraId="730C6470" w14:textId="77777777" w:rsidR="00237493" w:rsidRDefault="00237493">
      <w:pPr>
        <w:widowControl w:val="0"/>
        <w:spacing w:line="240" w:lineRule="auto"/>
        <w:ind w:left="1140" w:right="565"/>
        <w:rPr>
          <w:rFonts w:ascii="Times New Roman" w:eastAsia="Times New Roman" w:hAnsi="Times New Roman" w:cs="Times New Roman"/>
          <w:sz w:val="24"/>
          <w:szCs w:val="24"/>
        </w:rPr>
      </w:pPr>
    </w:p>
    <w:p w14:paraId="3D761360" w14:textId="77777777" w:rsidR="00237493" w:rsidRDefault="00237493">
      <w:pPr>
        <w:widowControl w:val="0"/>
        <w:spacing w:line="240" w:lineRule="auto"/>
        <w:ind w:left="1140" w:right="565"/>
        <w:rPr>
          <w:rFonts w:ascii="Times New Roman" w:eastAsia="Times New Roman" w:hAnsi="Times New Roman" w:cs="Times New Roman"/>
          <w:sz w:val="24"/>
          <w:szCs w:val="24"/>
        </w:rPr>
      </w:pPr>
    </w:p>
    <w:p w14:paraId="75D218EC" w14:textId="77777777" w:rsidR="00237493" w:rsidRDefault="00237493">
      <w:pPr>
        <w:widowControl w:val="0"/>
        <w:spacing w:line="240" w:lineRule="auto"/>
        <w:ind w:left="1140" w:right="565"/>
        <w:rPr>
          <w:rFonts w:ascii="Times New Roman" w:eastAsia="Times New Roman" w:hAnsi="Times New Roman" w:cs="Times New Roman"/>
          <w:sz w:val="24"/>
          <w:szCs w:val="24"/>
        </w:rPr>
      </w:pPr>
    </w:p>
    <w:p w14:paraId="181307C7" w14:textId="77777777" w:rsidR="00237493" w:rsidRDefault="00237493">
      <w:pPr>
        <w:widowControl w:val="0"/>
        <w:spacing w:before="1" w:line="240" w:lineRule="auto"/>
        <w:ind w:left="1140" w:right="565"/>
        <w:rPr>
          <w:rFonts w:ascii="Times New Roman" w:eastAsia="Times New Roman" w:hAnsi="Times New Roman" w:cs="Times New Roman"/>
          <w:sz w:val="24"/>
          <w:szCs w:val="24"/>
        </w:rPr>
      </w:pPr>
    </w:p>
    <w:p w14:paraId="2D1E2274" w14:textId="77777777" w:rsidR="00237493" w:rsidRDefault="00000000">
      <w:pPr>
        <w:widowControl w:val="0"/>
        <w:tabs>
          <w:tab w:val="left" w:pos="2178"/>
          <w:tab w:val="left" w:pos="3727"/>
          <w:tab w:val="left" w:pos="4912"/>
        </w:tabs>
        <w:spacing w:line="240" w:lineRule="auto"/>
        <w:ind w:left="1140" w:right="565"/>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Data da Defesa: 25 de maio de 2026</w:t>
      </w:r>
    </w:p>
    <w:p w14:paraId="781C88B7" w14:textId="77777777" w:rsidR="00237493" w:rsidRDefault="00237493">
      <w:pPr>
        <w:widowControl w:val="0"/>
        <w:spacing w:line="240" w:lineRule="auto"/>
        <w:ind w:left="1140" w:right="565"/>
        <w:rPr>
          <w:rFonts w:ascii="Times New Roman" w:eastAsia="Times New Roman" w:hAnsi="Times New Roman" w:cs="Times New Roman"/>
          <w:sz w:val="24"/>
          <w:szCs w:val="24"/>
        </w:rPr>
      </w:pPr>
    </w:p>
    <w:p w14:paraId="79B5C6BE" w14:textId="77777777" w:rsidR="00237493" w:rsidRDefault="00237493">
      <w:pPr>
        <w:widowControl w:val="0"/>
        <w:spacing w:line="240" w:lineRule="auto"/>
        <w:ind w:left="1140" w:right="565"/>
        <w:rPr>
          <w:rFonts w:ascii="Times New Roman" w:eastAsia="Times New Roman" w:hAnsi="Times New Roman" w:cs="Times New Roman"/>
          <w:sz w:val="24"/>
          <w:szCs w:val="24"/>
        </w:rPr>
      </w:pPr>
    </w:p>
    <w:p w14:paraId="4D966760" w14:textId="77777777" w:rsidR="00237493" w:rsidRDefault="00237493">
      <w:pPr>
        <w:widowControl w:val="0"/>
        <w:spacing w:line="240" w:lineRule="auto"/>
        <w:ind w:left="1140" w:right="565"/>
        <w:rPr>
          <w:rFonts w:ascii="Times New Roman" w:eastAsia="Times New Roman" w:hAnsi="Times New Roman" w:cs="Times New Roman"/>
          <w:sz w:val="24"/>
          <w:szCs w:val="24"/>
        </w:rPr>
      </w:pPr>
    </w:p>
    <w:p w14:paraId="1E08AD90" w14:textId="77777777" w:rsidR="00237493" w:rsidRDefault="00237493">
      <w:pPr>
        <w:widowControl w:val="0"/>
        <w:spacing w:line="240" w:lineRule="auto"/>
        <w:ind w:left="1140" w:right="565"/>
        <w:rPr>
          <w:rFonts w:ascii="Times New Roman" w:eastAsia="Times New Roman" w:hAnsi="Times New Roman" w:cs="Times New Roman"/>
          <w:sz w:val="24"/>
          <w:szCs w:val="24"/>
        </w:rPr>
      </w:pPr>
    </w:p>
    <w:p w14:paraId="4DF71F10" w14:textId="77777777" w:rsidR="00237493" w:rsidRDefault="00237493">
      <w:pPr>
        <w:widowControl w:val="0"/>
        <w:spacing w:line="240" w:lineRule="auto"/>
        <w:ind w:left="1140" w:right="565"/>
        <w:rPr>
          <w:rFonts w:ascii="Times New Roman" w:eastAsia="Times New Roman" w:hAnsi="Times New Roman" w:cs="Times New Roman"/>
          <w:sz w:val="24"/>
          <w:szCs w:val="24"/>
        </w:rPr>
      </w:pPr>
    </w:p>
    <w:p w14:paraId="1C6F9A08" w14:textId="77777777" w:rsidR="00237493" w:rsidRDefault="00000000">
      <w:pPr>
        <w:widowControl w:val="0"/>
        <w:spacing w:line="240" w:lineRule="auto"/>
        <w:ind w:left="1140" w:right="565"/>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BANCA EXAMINADORA</w:t>
      </w:r>
    </w:p>
    <w:p w14:paraId="0074E9FF" w14:textId="77777777" w:rsidR="00237493" w:rsidRDefault="00237493">
      <w:pPr>
        <w:widowControl w:val="0"/>
        <w:spacing w:line="240" w:lineRule="auto"/>
        <w:ind w:left="1140" w:right="565"/>
        <w:rPr>
          <w:rFonts w:ascii="Times New Roman" w:eastAsia="Times New Roman" w:hAnsi="Times New Roman" w:cs="Times New Roman"/>
          <w:sz w:val="24"/>
          <w:szCs w:val="24"/>
        </w:rPr>
      </w:pPr>
    </w:p>
    <w:p w14:paraId="20417AE2" w14:textId="77777777" w:rsidR="00237493" w:rsidRDefault="00237493">
      <w:pPr>
        <w:widowControl w:val="0"/>
        <w:spacing w:line="240" w:lineRule="auto"/>
        <w:ind w:left="1140" w:right="565"/>
        <w:rPr>
          <w:rFonts w:ascii="Times New Roman" w:eastAsia="Times New Roman" w:hAnsi="Times New Roman" w:cs="Times New Roman"/>
          <w:sz w:val="24"/>
          <w:szCs w:val="24"/>
        </w:rPr>
      </w:pPr>
    </w:p>
    <w:p w14:paraId="0B140021" w14:textId="77777777" w:rsidR="00237493" w:rsidRDefault="00237493">
      <w:pPr>
        <w:widowControl w:val="0"/>
        <w:spacing w:line="240" w:lineRule="auto"/>
        <w:ind w:left="1140" w:right="565"/>
        <w:rPr>
          <w:rFonts w:ascii="Times New Roman" w:eastAsia="Times New Roman" w:hAnsi="Times New Roman" w:cs="Times New Roman"/>
          <w:sz w:val="24"/>
          <w:szCs w:val="24"/>
        </w:rPr>
      </w:pPr>
    </w:p>
    <w:p w14:paraId="1955B0AB" w14:textId="77777777" w:rsidR="00237493" w:rsidRDefault="00237493">
      <w:pPr>
        <w:widowControl w:val="0"/>
        <w:spacing w:line="240" w:lineRule="auto"/>
        <w:ind w:left="1140" w:right="565"/>
        <w:rPr>
          <w:rFonts w:ascii="Times New Roman" w:eastAsia="Times New Roman" w:hAnsi="Times New Roman" w:cs="Times New Roman"/>
          <w:sz w:val="24"/>
          <w:szCs w:val="24"/>
        </w:rPr>
      </w:pPr>
    </w:p>
    <w:p w14:paraId="07675492" w14:textId="77777777" w:rsidR="00237493" w:rsidRDefault="00237493">
      <w:pPr>
        <w:widowControl w:val="0"/>
        <w:spacing w:line="240" w:lineRule="auto"/>
        <w:ind w:left="1140" w:right="565"/>
        <w:rPr>
          <w:rFonts w:ascii="Times New Roman" w:eastAsia="Times New Roman" w:hAnsi="Times New Roman" w:cs="Times New Roman"/>
          <w:sz w:val="24"/>
          <w:szCs w:val="24"/>
        </w:rPr>
      </w:pPr>
    </w:p>
    <w:p w14:paraId="222428F7" w14:textId="77777777" w:rsidR="00237493" w:rsidRDefault="00237493">
      <w:pPr>
        <w:widowControl w:val="0"/>
        <w:spacing w:line="240" w:lineRule="auto"/>
        <w:ind w:left="1140" w:right="565"/>
        <w:rPr>
          <w:rFonts w:ascii="Times New Roman" w:eastAsia="Times New Roman" w:hAnsi="Times New Roman" w:cs="Times New Roman"/>
          <w:sz w:val="24"/>
          <w:szCs w:val="24"/>
        </w:rPr>
      </w:pPr>
    </w:p>
    <w:p w14:paraId="6044453C" w14:textId="77777777" w:rsidR="00237493" w:rsidRDefault="00000000">
      <w:pPr>
        <w:widowControl w:val="0"/>
        <w:spacing w:before="17" w:line="240" w:lineRule="auto"/>
        <w:ind w:left="1140" w:right="565"/>
        <w:rPr>
          <w:rFonts w:ascii="Times New Roman" w:eastAsia="Times New Roman" w:hAnsi="Times New Roman" w:cs="Times New Roman"/>
          <w:sz w:val="24"/>
          <w:szCs w:val="24"/>
        </w:rPr>
      </w:pPr>
      <w:r>
        <w:rPr>
          <w:noProof/>
        </w:rPr>
        <mc:AlternateContent>
          <mc:Choice Requires="wpg">
            <w:drawing>
              <wp:anchor distT="0" distB="0" distL="0" distR="0" simplePos="0" relativeHeight="251658240" behindDoc="0" locked="0" layoutInCell="1" hidden="0" allowOverlap="1" wp14:anchorId="67E5D869" wp14:editId="77AC21C3">
                <wp:simplePos x="0" y="0"/>
                <wp:positionH relativeFrom="column">
                  <wp:posOffset>1345566</wp:posOffset>
                </wp:positionH>
                <wp:positionV relativeFrom="paragraph">
                  <wp:posOffset>152401</wp:posOffset>
                </wp:positionV>
                <wp:extent cx="4143375" cy="41275"/>
                <wp:effectExtent l="0" t="0" r="0" b="0"/>
                <wp:wrapTopAndBottom distT="0" distB="0"/>
                <wp:docPr id="2" name="Forma Livre: Forma 2"/>
                <wp:cNvGraphicFramePr/>
                <a:graphic xmlns:a="http://schemas.openxmlformats.org/drawingml/2006/main">
                  <a:graphicData uri="http://schemas.microsoft.com/office/word/2010/wordprocessingShape">
                    <wps:wsp>
                      <wps:cNvSpPr/>
                      <wps:spPr>
                        <a:xfrm>
                          <a:off x="3283920" y="3768840"/>
                          <a:ext cx="4124160" cy="22320"/>
                        </a:xfrm>
                        <a:custGeom>
                          <a:avLst/>
                          <a:gdLst/>
                          <a:ahLst/>
                          <a:cxnLst/>
                          <a:rect l="l" t="t" r="r" b="b"/>
                          <a:pathLst>
                            <a:path w="4114800" h="120000" extrusionOk="0">
                              <a:moveTo>
                                <a:pt x="0" y="0"/>
                              </a:moveTo>
                              <a:lnTo>
                                <a:pt x="4114800" y="0"/>
                              </a:lnTo>
                            </a:path>
                          </a:pathLst>
                        </a:custGeom>
                        <a:noFill/>
                        <a:ln w="9525"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0" distR="0" hidden="0" layoutInCell="1" locked="0" relativeHeight="0" simplePos="0">
                <wp:simplePos x="0" y="0"/>
                <wp:positionH relativeFrom="column">
                  <wp:posOffset>1345566</wp:posOffset>
                </wp:positionH>
                <wp:positionV relativeFrom="paragraph">
                  <wp:posOffset>152401</wp:posOffset>
                </wp:positionV>
                <wp:extent cx="4143375" cy="41275"/>
                <wp:effectExtent b="0" l="0" r="0" t="0"/>
                <wp:wrapTopAndBottom distB="0" distT="0"/>
                <wp:docPr id="2" name="image3.png"/>
                <a:graphic>
                  <a:graphicData uri="http://schemas.openxmlformats.org/drawingml/2006/picture">
                    <pic:pic>
                      <pic:nvPicPr>
                        <pic:cNvPr id="0" name="image3.png"/>
                        <pic:cNvPicPr preferRelativeResize="0"/>
                      </pic:nvPicPr>
                      <pic:blipFill>
                        <a:blip r:embed="rId15"/>
                        <a:srcRect/>
                        <a:stretch>
                          <a:fillRect/>
                        </a:stretch>
                      </pic:blipFill>
                      <pic:spPr>
                        <a:xfrm>
                          <a:off x="0" y="0"/>
                          <a:ext cx="4143375" cy="41275"/>
                        </a:xfrm>
                        <a:prstGeom prst="rect"/>
                        <a:ln/>
                      </pic:spPr>
                    </pic:pic>
                  </a:graphicData>
                </a:graphic>
              </wp:anchor>
            </w:drawing>
          </mc:Fallback>
        </mc:AlternateContent>
      </w:r>
    </w:p>
    <w:p w14:paraId="36210B84" w14:textId="77777777" w:rsidR="00237493" w:rsidRDefault="00000000">
      <w:pPr>
        <w:widowControl w:val="0"/>
        <w:tabs>
          <w:tab w:val="left" w:pos="7128"/>
        </w:tabs>
        <w:spacing w:line="240" w:lineRule="auto"/>
        <w:ind w:left="1140" w:right="565"/>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Orientadora: Prof.a: </w:t>
      </w:r>
      <w:proofErr w:type="spellStart"/>
      <w:r>
        <w:rPr>
          <w:rFonts w:ascii="Times New Roman" w:eastAsia="Times New Roman" w:hAnsi="Times New Roman" w:cs="Times New Roman"/>
          <w:sz w:val="24"/>
          <w:szCs w:val="24"/>
        </w:rPr>
        <w:t>Dra</w:t>
      </w:r>
      <w:proofErr w:type="spellEnd"/>
      <w:r>
        <w:rPr>
          <w:rFonts w:ascii="Times New Roman" w:eastAsia="Times New Roman" w:hAnsi="Times New Roman" w:cs="Times New Roman"/>
          <w:sz w:val="24"/>
          <w:szCs w:val="24"/>
        </w:rPr>
        <w:t xml:space="preserve"> Fátima de Paula Ferreira</w:t>
      </w:r>
      <w:r>
        <w:rPr>
          <w:rFonts w:ascii="Times New Roman" w:eastAsia="Times New Roman" w:hAnsi="Times New Roman" w:cs="Times New Roman"/>
          <w:sz w:val="24"/>
          <w:szCs w:val="24"/>
        </w:rPr>
        <w:tab/>
        <w:t>Nota</w:t>
      </w:r>
    </w:p>
    <w:p w14:paraId="2CC39AB9" w14:textId="77777777" w:rsidR="00237493" w:rsidRDefault="00237493">
      <w:pPr>
        <w:widowControl w:val="0"/>
        <w:spacing w:line="240" w:lineRule="auto"/>
        <w:ind w:left="1140" w:right="565"/>
        <w:rPr>
          <w:rFonts w:ascii="Times New Roman" w:eastAsia="Times New Roman" w:hAnsi="Times New Roman" w:cs="Times New Roman"/>
          <w:sz w:val="24"/>
          <w:szCs w:val="24"/>
        </w:rPr>
      </w:pPr>
    </w:p>
    <w:p w14:paraId="671387E4" w14:textId="77777777" w:rsidR="00237493" w:rsidRDefault="00237493">
      <w:pPr>
        <w:widowControl w:val="0"/>
        <w:spacing w:line="240" w:lineRule="auto"/>
        <w:ind w:left="1140" w:right="565"/>
        <w:rPr>
          <w:rFonts w:ascii="Times New Roman" w:eastAsia="Times New Roman" w:hAnsi="Times New Roman" w:cs="Times New Roman"/>
          <w:sz w:val="24"/>
          <w:szCs w:val="24"/>
        </w:rPr>
      </w:pPr>
    </w:p>
    <w:p w14:paraId="73512A1D" w14:textId="77777777" w:rsidR="00237493" w:rsidRDefault="00237493">
      <w:pPr>
        <w:widowControl w:val="0"/>
        <w:spacing w:line="240" w:lineRule="auto"/>
        <w:ind w:left="1140" w:right="565"/>
        <w:rPr>
          <w:rFonts w:ascii="Times New Roman" w:eastAsia="Times New Roman" w:hAnsi="Times New Roman" w:cs="Times New Roman"/>
          <w:sz w:val="24"/>
          <w:szCs w:val="24"/>
        </w:rPr>
      </w:pPr>
    </w:p>
    <w:p w14:paraId="0BC99725" w14:textId="77777777" w:rsidR="00237493" w:rsidRDefault="00237493">
      <w:pPr>
        <w:widowControl w:val="0"/>
        <w:spacing w:line="240" w:lineRule="auto"/>
        <w:ind w:left="1140" w:right="565"/>
        <w:rPr>
          <w:rFonts w:ascii="Times New Roman" w:eastAsia="Times New Roman" w:hAnsi="Times New Roman" w:cs="Times New Roman"/>
          <w:sz w:val="24"/>
          <w:szCs w:val="24"/>
        </w:rPr>
      </w:pPr>
    </w:p>
    <w:p w14:paraId="4FB81C9D" w14:textId="77777777" w:rsidR="00237493" w:rsidRDefault="00237493">
      <w:pPr>
        <w:widowControl w:val="0"/>
        <w:spacing w:line="240" w:lineRule="auto"/>
        <w:ind w:left="1140" w:right="565"/>
        <w:rPr>
          <w:rFonts w:ascii="Times New Roman" w:eastAsia="Times New Roman" w:hAnsi="Times New Roman" w:cs="Times New Roman"/>
          <w:sz w:val="24"/>
          <w:szCs w:val="24"/>
        </w:rPr>
      </w:pPr>
    </w:p>
    <w:p w14:paraId="652E9963" w14:textId="77777777" w:rsidR="00237493" w:rsidRDefault="00237493">
      <w:pPr>
        <w:widowControl w:val="0"/>
        <w:spacing w:line="240" w:lineRule="auto"/>
        <w:ind w:left="1140" w:right="565"/>
        <w:rPr>
          <w:rFonts w:ascii="Times New Roman" w:eastAsia="Times New Roman" w:hAnsi="Times New Roman" w:cs="Times New Roman"/>
          <w:sz w:val="24"/>
          <w:szCs w:val="24"/>
        </w:rPr>
      </w:pPr>
    </w:p>
    <w:p w14:paraId="47BF4973" w14:textId="77777777" w:rsidR="00237493" w:rsidRDefault="00000000">
      <w:pPr>
        <w:widowControl w:val="0"/>
        <w:spacing w:before="17" w:line="240" w:lineRule="auto"/>
        <w:ind w:left="1140" w:right="565"/>
        <w:rPr>
          <w:rFonts w:ascii="Times New Roman" w:eastAsia="Times New Roman" w:hAnsi="Times New Roman" w:cs="Times New Roman"/>
          <w:sz w:val="24"/>
          <w:szCs w:val="24"/>
        </w:rPr>
      </w:pPr>
      <w:r>
        <w:rPr>
          <w:noProof/>
        </w:rPr>
        <mc:AlternateContent>
          <mc:Choice Requires="wpg">
            <w:drawing>
              <wp:anchor distT="0" distB="0" distL="0" distR="0" simplePos="0" relativeHeight="251659264" behindDoc="0" locked="0" layoutInCell="1" hidden="0" allowOverlap="1" wp14:anchorId="21982C14" wp14:editId="65DFC704">
                <wp:simplePos x="0" y="0"/>
                <wp:positionH relativeFrom="column">
                  <wp:posOffset>1345566</wp:posOffset>
                </wp:positionH>
                <wp:positionV relativeFrom="paragraph">
                  <wp:posOffset>152401</wp:posOffset>
                </wp:positionV>
                <wp:extent cx="4143375" cy="41275"/>
                <wp:effectExtent l="0" t="0" r="0" b="0"/>
                <wp:wrapTopAndBottom distT="0" distB="0"/>
                <wp:docPr id="1" name="Forma Livre: Forma 1"/>
                <wp:cNvGraphicFramePr/>
                <a:graphic xmlns:a="http://schemas.openxmlformats.org/drawingml/2006/main">
                  <a:graphicData uri="http://schemas.microsoft.com/office/word/2010/wordprocessingShape">
                    <wps:wsp>
                      <wps:cNvSpPr/>
                      <wps:spPr>
                        <a:xfrm>
                          <a:off x="3283920" y="3768840"/>
                          <a:ext cx="4124160" cy="22320"/>
                        </a:xfrm>
                        <a:custGeom>
                          <a:avLst/>
                          <a:gdLst/>
                          <a:ahLst/>
                          <a:cxnLst/>
                          <a:rect l="l" t="t" r="r" b="b"/>
                          <a:pathLst>
                            <a:path w="4114800" h="120000" extrusionOk="0">
                              <a:moveTo>
                                <a:pt x="0" y="0"/>
                              </a:moveTo>
                              <a:lnTo>
                                <a:pt x="4114800" y="0"/>
                              </a:lnTo>
                            </a:path>
                          </a:pathLst>
                        </a:custGeom>
                        <a:noFill/>
                        <a:ln w="9525"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0" distR="0" hidden="0" layoutInCell="1" locked="0" relativeHeight="0" simplePos="0">
                <wp:simplePos x="0" y="0"/>
                <wp:positionH relativeFrom="column">
                  <wp:posOffset>1345566</wp:posOffset>
                </wp:positionH>
                <wp:positionV relativeFrom="paragraph">
                  <wp:posOffset>152401</wp:posOffset>
                </wp:positionV>
                <wp:extent cx="4143375" cy="41275"/>
                <wp:effectExtent b="0" l="0" r="0" t="0"/>
                <wp:wrapTopAndBottom distB="0" distT="0"/>
                <wp:docPr id="1" name="image2.png"/>
                <a:graphic>
                  <a:graphicData uri="http://schemas.openxmlformats.org/drawingml/2006/picture">
                    <pic:pic>
                      <pic:nvPicPr>
                        <pic:cNvPr id="0" name="image2.png"/>
                        <pic:cNvPicPr preferRelativeResize="0"/>
                      </pic:nvPicPr>
                      <pic:blipFill>
                        <a:blip r:embed="rId15"/>
                        <a:srcRect/>
                        <a:stretch>
                          <a:fillRect/>
                        </a:stretch>
                      </pic:blipFill>
                      <pic:spPr>
                        <a:xfrm>
                          <a:off x="0" y="0"/>
                          <a:ext cx="4143375" cy="41275"/>
                        </a:xfrm>
                        <a:prstGeom prst="rect"/>
                        <a:ln/>
                      </pic:spPr>
                    </pic:pic>
                  </a:graphicData>
                </a:graphic>
              </wp:anchor>
            </w:drawing>
          </mc:Fallback>
        </mc:AlternateContent>
      </w:r>
    </w:p>
    <w:p w14:paraId="10719C7E" w14:textId="77777777" w:rsidR="00237493" w:rsidRDefault="00000000">
      <w:pPr>
        <w:widowControl w:val="0"/>
        <w:tabs>
          <w:tab w:val="left" w:pos="7084"/>
        </w:tabs>
        <w:spacing w:line="240" w:lineRule="auto"/>
        <w:ind w:left="1140" w:right="565"/>
        <w:jc w:val="center"/>
        <w:rPr>
          <w:rFonts w:ascii="Times New Roman" w:eastAsia="Times New Roman" w:hAnsi="Times New Roman" w:cs="Times New Roman"/>
          <w:sz w:val="24"/>
          <w:szCs w:val="24"/>
        </w:rPr>
        <w:sectPr w:rsidR="00237493">
          <w:footerReference w:type="default" r:id="rId16"/>
          <w:footerReference w:type="first" r:id="rId17"/>
          <w:pgSz w:w="11906" w:h="16838"/>
          <w:pgMar w:top="920" w:right="566" w:bottom="777" w:left="566" w:header="0" w:footer="720" w:gutter="0"/>
          <w:cols w:space="720"/>
        </w:sectPr>
      </w:pPr>
      <w:r>
        <w:rPr>
          <w:rFonts w:ascii="Times New Roman" w:eastAsia="Times New Roman" w:hAnsi="Times New Roman" w:cs="Times New Roman"/>
          <w:sz w:val="24"/>
          <w:szCs w:val="24"/>
        </w:rPr>
        <w:t xml:space="preserve">Examinadora Convidada: Prof.a: </w:t>
      </w:r>
      <w:proofErr w:type="spellStart"/>
      <w:r>
        <w:rPr>
          <w:rFonts w:ascii="Times New Roman" w:eastAsia="Times New Roman" w:hAnsi="Times New Roman" w:cs="Times New Roman"/>
          <w:sz w:val="24"/>
          <w:szCs w:val="24"/>
        </w:rPr>
        <w:t>M.a</w:t>
      </w:r>
      <w:proofErr w:type="spellEnd"/>
      <w:r>
        <w:rPr>
          <w:rFonts w:ascii="Times New Roman" w:eastAsia="Times New Roman" w:hAnsi="Times New Roman" w:cs="Times New Roman"/>
          <w:sz w:val="24"/>
          <w:szCs w:val="24"/>
        </w:rPr>
        <w:t xml:space="preserve"> Ludmila </w:t>
      </w:r>
      <w:proofErr w:type="spellStart"/>
      <w:r>
        <w:rPr>
          <w:rFonts w:ascii="Times New Roman" w:eastAsia="Times New Roman" w:hAnsi="Times New Roman" w:cs="Times New Roman"/>
          <w:sz w:val="24"/>
          <w:szCs w:val="24"/>
        </w:rPr>
        <w:t>Feilenberger</w:t>
      </w:r>
      <w:proofErr w:type="spellEnd"/>
      <w:r>
        <w:rPr>
          <w:rFonts w:ascii="Times New Roman" w:eastAsia="Times New Roman" w:hAnsi="Times New Roman" w:cs="Times New Roman"/>
          <w:sz w:val="24"/>
          <w:szCs w:val="24"/>
        </w:rPr>
        <w:t xml:space="preserve"> de Oliveira Nota</w:t>
      </w:r>
    </w:p>
    <w:p w14:paraId="718D4DD6" w14:textId="77777777" w:rsidR="00237493" w:rsidRDefault="00000000">
      <w:pPr>
        <w:widowControl w:val="0"/>
        <w:spacing w:before="62" w:line="240" w:lineRule="auto"/>
        <w:ind w:left="1140" w:right="565"/>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A RESPONSABILIDADE DOS BANCOS EM GOLPES VIA PIX:</w:t>
      </w:r>
    </w:p>
    <w:p w14:paraId="54EFF032" w14:textId="77777777" w:rsidR="00237493" w:rsidRDefault="00000000">
      <w:pPr>
        <w:widowControl w:val="0"/>
        <w:spacing w:before="243" w:line="240" w:lineRule="auto"/>
        <w:ind w:left="1140" w:right="565"/>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PROTEÇÃO DO CONSUMIDOR E INOVAÇÃO TECNOLÓGICA DO SISTEMA BANCÁRIO</w:t>
      </w:r>
    </w:p>
    <w:p w14:paraId="13DE85E8" w14:textId="77777777" w:rsidR="00237493" w:rsidRDefault="00237493">
      <w:pPr>
        <w:widowControl w:val="0"/>
        <w:spacing w:line="240" w:lineRule="auto"/>
        <w:ind w:left="1140" w:right="565"/>
        <w:rPr>
          <w:rFonts w:ascii="Times New Roman" w:eastAsia="Times New Roman" w:hAnsi="Times New Roman" w:cs="Times New Roman"/>
          <w:sz w:val="24"/>
          <w:szCs w:val="24"/>
        </w:rPr>
      </w:pPr>
    </w:p>
    <w:p w14:paraId="5AC3E3A8" w14:textId="77777777" w:rsidR="00237493" w:rsidRDefault="00237493">
      <w:pPr>
        <w:widowControl w:val="0"/>
        <w:spacing w:line="240" w:lineRule="auto"/>
        <w:ind w:left="1140" w:right="565"/>
        <w:rPr>
          <w:rFonts w:ascii="Times New Roman" w:eastAsia="Times New Roman" w:hAnsi="Times New Roman" w:cs="Times New Roman"/>
          <w:sz w:val="24"/>
          <w:szCs w:val="24"/>
        </w:rPr>
      </w:pPr>
    </w:p>
    <w:p w14:paraId="28017DB9" w14:textId="77777777" w:rsidR="00237493" w:rsidRDefault="00237493">
      <w:pPr>
        <w:widowControl w:val="0"/>
        <w:spacing w:line="240" w:lineRule="auto"/>
        <w:ind w:left="1140" w:right="565"/>
        <w:rPr>
          <w:rFonts w:ascii="Times New Roman" w:eastAsia="Times New Roman" w:hAnsi="Times New Roman" w:cs="Times New Roman"/>
          <w:sz w:val="24"/>
          <w:szCs w:val="24"/>
        </w:rPr>
      </w:pPr>
    </w:p>
    <w:p w14:paraId="5C40E5F1" w14:textId="77777777" w:rsidR="00237493" w:rsidRDefault="00000000">
      <w:pPr>
        <w:widowControl w:val="0"/>
        <w:spacing w:line="240" w:lineRule="auto"/>
        <w:ind w:left="1140" w:right="565"/>
        <w:rPr>
          <w:rFonts w:ascii="Times New Roman" w:eastAsia="Times New Roman" w:hAnsi="Times New Roman" w:cs="Times New Roman"/>
          <w:sz w:val="24"/>
          <w:szCs w:val="24"/>
        </w:rPr>
      </w:pPr>
      <w:r>
        <w:rPr>
          <w:rFonts w:ascii="Times New Roman" w:eastAsia="Times New Roman" w:hAnsi="Times New Roman" w:cs="Times New Roman"/>
          <w:sz w:val="24"/>
          <w:szCs w:val="24"/>
        </w:rPr>
        <w:t>Pedro Falcão dos Reis</w:t>
      </w:r>
      <w:hyperlink w:anchor="_heading=h.de7mcikcckqd">
        <w:r>
          <w:rPr>
            <w:rFonts w:ascii="Times New Roman" w:eastAsia="Times New Roman" w:hAnsi="Times New Roman" w:cs="Times New Roman"/>
            <w:sz w:val="24"/>
            <w:szCs w:val="24"/>
            <w:vertAlign w:val="superscript"/>
          </w:rPr>
          <w:t>1</w:t>
        </w:r>
      </w:hyperlink>
    </w:p>
    <w:p w14:paraId="40C2302F" w14:textId="77777777" w:rsidR="00237493" w:rsidRDefault="00237493">
      <w:pPr>
        <w:widowControl w:val="0"/>
        <w:spacing w:line="240" w:lineRule="auto"/>
        <w:ind w:left="1140" w:right="565"/>
        <w:rPr>
          <w:rFonts w:ascii="Times New Roman" w:eastAsia="Times New Roman" w:hAnsi="Times New Roman" w:cs="Times New Roman"/>
          <w:sz w:val="24"/>
          <w:szCs w:val="24"/>
        </w:rPr>
      </w:pPr>
    </w:p>
    <w:p w14:paraId="74BF488C" w14:textId="77777777" w:rsidR="00237493" w:rsidRDefault="00237493">
      <w:pPr>
        <w:widowControl w:val="0"/>
        <w:spacing w:line="240" w:lineRule="auto"/>
        <w:ind w:left="1140" w:right="565"/>
        <w:jc w:val="both"/>
        <w:rPr>
          <w:rFonts w:ascii="Times New Roman" w:eastAsia="Times New Roman" w:hAnsi="Times New Roman" w:cs="Times New Roman"/>
          <w:sz w:val="24"/>
          <w:szCs w:val="24"/>
        </w:rPr>
      </w:pPr>
    </w:p>
    <w:p w14:paraId="694F1C04" w14:textId="77777777" w:rsidR="00237493" w:rsidRDefault="00000000">
      <w:pPr>
        <w:widowControl w:val="0"/>
        <w:spacing w:before="240" w:after="240" w:line="240" w:lineRule="auto"/>
        <w:ind w:left="1140" w:right="56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responsabilidade civil dos bancos em casos de golpes financeiros via PIX no Brasil constituiu tema de crescente relevância jurídica diante da expansão dos meios digitais de pagamento. O estudo analisou os aspectos legais e jurisprudenciais desta modalidade de responsabilização, especialmente após a consolidação do Código de Defesa do Consumidor e a implementação do sistema PIX pelo Banco Central do Brasil, que ampliou a eficiência das transações sem eliminar os riscos de fraudes digitais. Utilizou-se revisão bibliográfica e análise jurisprudencial para examinar a compatibilidade da responsabilidade objetiva das instituições financeiras com os princípios do risco do empreendimento e da proteção do consumidor. Verificou-se que a jurisprudência consolidou o entendimento de que fraudes inseridas no âmbito da atividade bancária configuraram fortuito interno, não sendo afastada a responsabilidade pelo simples fato de a transferência ter sido formalmente autorizada pelo consumidor. Observou-se que os tribunais passaram a adotar critérios relacionados à previsibilidade do risco e à falha na prestação do serviço para fundamentar suas decisões. Concluiu-se que a responsabilização dos bancos permaneceu instrumento legítimo de proteção ao consumidor, devendo sua aplicação observar os princípios da proporcionalidade e da razoabilidade, evitando tanto a banalização do dever de indenizar quanto a transferência integral do risco ao usuário do sistema financeiro.</w:t>
      </w:r>
    </w:p>
    <w:p w14:paraId="1AF2BAB8" w14:textId="77777777" w:rsidR="00237493" w:rsidRDefault="00237493">
      <w:pPr>
        <w:widowControl w:val="0"/>
        <w:spacing w:line="240" w:lineRule="auto"/>
        <w:ind w:left="1140" w:right="565"/>
        <w:jc w:val="both"/>
        <w:rPr>
          <w:rFonts w:ascii="Times New Roman" w:eastAsia="Times New Roman" w:hAnsi="Times New Roman" w:cs="Times New Roman"/>
          <w:sz w:val="24"/>
          <w:szCs w:val="24"/>
        </w:rPr>
      </w:pPr>
    </w:p>
    <w:p w14:paraId="6CF1E295" w14:textId="77777777" w:rsidR="00237493" w:rsidRDefault="00237493">
      <w:pPr>
        <w:widowControl w:val="0"/>
        <w:spacing w:before="1" w:line="240" w:lineRule="auto"/>
        <w:ind w:left="1140" w:right="565"/>
        <w:rPr>
          <w:rFonts w:ascii="Times New Roman" w:eastAsia="Times New Roman" w:hAnsi="Times New Roman" w:cs="Times New Roman"/>
          <w:sz w:val="24"/>
          <w:szCs w:val="24"/>
        </w:rPr>
      </w:pPr>
    </w:p>
    <w:p w14:paraId="168E61BF" w14:textId="77777777" w:rsidR="00237493" w:rsidRDefault="00000000">
      <w:pPr>
        <w:widowControl w:val="0"/>
        <w:spacing w:line="240" w:lineRule="auto"/>
        <w:ind w:left="1140" w:right="565"/>
        <w:rPr>
          <w:rFonts w:ascii="Times New Roman" w:eastAsia="Times New Roman" w:hAnsi="Times New Roman" w:cs="Times New Roman"/>
          <w:sz w:val="24"/>
          <w:szCs w:val="24"/>
        </w:rPr>
      </w:pPr>
      <w:r>
        <w:rPr>
          <w:rFonts w:ascii="Times New Roman" w:eastAsia="Times New Roman" w:hAnsi="Times New Roman" w:cs="Times New Roman"/>
          <w:b/>
          <w:bCs/>
          <w:sz w:val="24"/>
          <w:szCs w:val="24"/>
        </w:rPr>
        <w:t>Palavras-chave</w:t>
      </w:r>
      <w:r>
        <w:rPr>
          <w:rFonts w:ascii="Times New Roman" w:eastAsia="Times New Roman" w:hAnsi="Times New Roman" w:cs="Times New Roman"/>
          <w:sz w:val="24"/>
          <w:szCs w:val="24"/>
        </w:rPr>
        <w:t>: Responsabilidade civil; Golpes via PIX; Instituições financeiras; Fortuito interno; Direito do consumidor.</w:t>
      </w:r>
    </w:p>
    <w:p w14:paraId="6F489A5A" w14:textId="77777777" w:rsidR="00237493" w:rsidRDefault="00237493">
      <w:pPr>
        <w:widowControl w:val="0"/>
        <w:spacing w:line="240" w:lineRule="auto"/>
        <w:ind w:left="1140" w:right="565"/>
        <w:rPr>
          <w:rFonts w:ascii="Times New Roman" w:eastAsia="Times New Roman" w:hAnsi="Times New Roman" w:cs="Times New Roman"/>
          <w:sz w:val="24"/>
          <w:szCs w:val="24"/>
        </w:rPr>
      </w:pPr>
    </w:p>
    <w:p w14:paraId="4F5650DA" w14:textId="77777777" w:rsidR="00237493" w:rsidRDefault="00237493">
      <w:pPr>
        <w:widowControl w:val="0"/>
        <w:spacing w:line="240" w:lineRule="auto"/>
        <w:ind w:left="1140" w:right="565"/>
        <w:rPr>
          <w:rFonts w:ascii="Times New Roman" w:eastAsia="Times New Roman" w:hAnsi="Times New Roman" w:cs="Times New Roman"/>
          <w:sz w:val="24"/>
          <w:szCs w:val="24"/>
        </w:rPr>
      </w:pPr>
    </w:p>
    <w:p w14:paraId="3D68933D" w14:textId="77777777" w:rsidR="00237493" w:rsidRDefault="00237493">
      <w:pPr>
        <w:widowControl w:val="0"/>
        <w:spacing w:line="240" w:lineRule="auto"/>
        <w:ind w:left="1140" w:right="565"/>
        <w:rPr>
          <w:rFonts w:ascii="Times New Roman" w:eastAsia="Times New Roman" w:hAnsi="Times New Roman" w:cs="Times New Roman"/>
          <w:sz w:val="24"/>
          <w:szCs w:val="24"/>
        </w:rPr>
      </w:pPr>
    </w:p>
    <w:p w14:paraId="6FE54F0B" w14:textId="77777777" w:rsidR="00237493" w:rsidRDefault="00237493">
      <w:pPr>
        <w:widowControl w:val="0"/>
        <w:spacing w:line="240" w:lineRule="auto"/>
        <w:ind w:left="1140" w:right="565"/>
        <w:rPr>
          <w:rFonts w:ascii="Times New Roman" w:eastAsia="Times New Roman" w:hAnsi="Times New Roman" w:cs="Times New Roman"/>
          <w:sz w:val="24"/>
          <w:szCs w:val="24"/>
        </w:rPr>
      </w:pPr>
    </w:p>
    <w:p w14:paraId="4B164890" w14:textId="77777777" w:rsidR="00237493" w:rsidRDefault="00237493">
      <w:pPr>
        <w:widowControl w:val="0"/>
        <w:spacing w:line="240" w:lineRule="auto"/>
        <w:ind w:left="1140" w:right="565"/>
        <w:rPr>
          <w:rFonts w:ascii="Times New Roman" w:eastAsia="Times New Roman" w:hAnsi="Times New Roman" w:cs="Times New Roman"/>
          <w:sz w:val="24"/>
          <w:szCs w:val="24"/>
        </w:rPr>
      </w:pPr>
    </w:p>
    <w:p w14:paraId="30EAA7FC" w14:textId="77777777" w:rsidR="00237493" w:rsidRDefault="00237493">
      <w:pPr>
        <w:widowControl w:val="0"/>
        <w:spacing w:line="240" w:lineRule="auto"/>
        <w:ind w:left="1140" w:right="565"/>
        <w:rPr>
          <w:rFonts w:ascii="Times New Roman" w:eastAsia="Times New Roman" w:hAnsi="Times New Roman" w:cs="Times New Roman"/>
          <w:sz w:val="24"/>
          <w:szCs w:val="24"/>
        </w:rPr>
      </w:pPr>
    </w:p>
    <w:p w14:paraId="353B4910" w14:textId="77777777" w:rsidR="00237493" w:rsidRDefault="00237493">
      <w:pPr>
        <w:widowControl w:val="0"/>
        <w:spacing w:line="240" w:lineRule="auto"/>
        <w:ind w:left="1140" w:right="565"/>
        <w:rPr>
          <w:rFonts w:ascii="Times New Roman" w:eastAsia="Times New Roman" w:hAnsi="Times New Roman" w:cs="Times New Roman"/>
          <w:sz w:val="24"/>
          <w:szCs w:val="24"/>
        </w:rPr>
      </w:pPr>
    </w:p>
    <w:p w14:paraId="3E6EAE79" w14:textId="77777777" w:rsidR="00237493" w:rsidRDefault="00237493">
      <w:pPr>
        <w:widowControl w:val="0"/>
        <w:spacing w:line="240" w:lineRule="auto"/>
        <w:ind w:left="1140" w:right="565"/>
        <w:rPr>
          <w:rFonts w:ascii="Times New Roman" w:eastAsia="Times New Roman" w:hAnsi="Times New Roman" w:cs="Times New Roman"/>
          <w:sz w:val="24"/>
          <w:szCs w:val="24"/>
        </w:rPr>
      </w:pPr>
    </w:p>
    <w:p w14:paraId="3728329F" w14:textId="77777777" w:rsidR="00237493" w:rsidRDefault="00237493">
      <w:pPr>
        <w:widowControl w:val="0"/>
        <w:spacing w:line="240" w:lineRule="auto"/>
        <w:ind w:left="1140" w:right="565"/>
        <w:rPr>
          <w:rFonts w:ascii="Times New Roman" w:eastAsia="Times New Roman" w:hAnsi="Times New Roman" w:cs="Times New Roman"/>
          <w:sz w:val="24"/>
          <w:szCs w:val="24"/>
        </w:rPr>
      </w:pPr>
    </w:p>
    <w:p w14:paraId="1C2ACF5C" w14:textId="77777777" w:rsidR="00237493" w:rsidRDefault="00237493">
      <w:pPr>
        <w:widowControl w:val="0"/>
        <w:spacing w:line="240" w:lineRule="auto"/>
        <w:ind w:left="1140" w:right="565"/>
        <w:rPr>
          <w:rFonts w:ascii="Times New Roman" w:eastAsia="Times New Roman" w:hAnsi="Times New Roman" w:cs="Times New Roman"/>
          <w:sz w:val="24"/>
          <w:szCs w:val="24"/>
        </w:rPr>
      </w:pPr>
    </w:p>
    <w:p w14:paraId="3161CED8" w14:textId="77777777" w:rsidR="00237493" w:rsidRDefault="00237493">
      <w:pPr>
        <w:widowControl w:val="0"/>
        <w:spacing w:line="240" w:lineRule="auto"/>
        <w:ind w:left="1140" w:right="565"/>
        <w:rPr>
          <w:rFonts w:ascii="Times New Roman" w:eastAsia="Times New Roman" w:hAnsi="Times New Roman" w:cs="Times New Roman"/>
          <w:sz w:val="24"/>
          <w:szCs w:val="24"/>
        </w:rPr>
      </w:pPr>
    </w:p>
    <w:p w14:paraId="104906D1" w14:textId="77777777" w:rsidR="00237493" w:rsidRDefault="00237493">
      <w:pPr>
        <w:widowControl w:val="0"/>
        <w:spacing w:line="240" w:lineRule="auto"/>
        <w:ind w:left="1140" w:right="565"/>
        <w:rPr>
          <w:rFonts w:ascii="Times New Roman" w:eastAsia="Times New Roman" w:hAnsi="Times New Roman" w:cs="Times New Roman"/>
          <w:sz w:val="24"/>
          <w:szCs w:val="24"/>
        </w:rPr>
      </w:pPr>
    </w:p>
    <w:p w14:paraId="5C974B4D" w14:textId="77777777" w:rsidR="00237493" w:rsidRDefault="00237493">
      <w:pPr>
        <w:widowControl w:val="0"/>
        <w:spacing w:line="240" w:lineRule="auto"/>
        <w:ind w:left="1140" w:right="565"/>
        <w:rPr>
          <w:rFonts w:ascii="Times New Roman" w:eastAsia="Times New Roman" w:hAnsi="Times New Roman" w:cs="Times New Roman"/>
          <w:sz w:val="24"/>
          <w:szCs w:val="24"/>
        </w:rPr>
      </w:pPr>
    </w:p>
    <w:p w14:paraId="3330BED6" w14:textId="77777777" w:rsidR="00237493" w:rsidRDefault="00237493">
      <w:pPr>
        <w:widowControl w:val="0"/>
        <w:spacing w:line="240" w:lineRule="auto"/>
        <w:ind w:left="1140" w:right="565"/>
        <w:rPr>
          <w:rFonts w:ascii="Times New Roman" w:eastAsia="Times New Roman" w:hAnsi="Times New Roman" w:cs="Times New Roman"/>
          <w:sz w:val="24"/>
          <w:szCs w:val="24"/>
        </w:rPr>
      </w:pPr>
    </w:p>
    <w:p w14:paraId="7015E6DD" w14:textId="77777777" w:rsidR="00237493" w:rsidRDefault="00237493">
      <w:pPr>
        <w:widowControl w:val="0"/>
        <w:spacing w:line="240" w:lineRule="auto"/>
        <w:ind w:left="1140" w:right="565"/>
        <w:rPr>
          <w:rFonts w:ascii="Times New Roman" w:eastAsia="Times New Roman" w:hAnsi="Times New Roman" w:cs="Times New Roman"/>
          <w:sz w:val="24"/>
          <w:szCs w:val="24"/>
        </w:rPr>
      </w:pPr>
    </w:p>
    <w:p w14:paraId="1346A54C" w14:textId="77777777" w:rsidR="00237493" w:rsidRDefault="00237493">
      <w:pPr>
        <w:widowControl w:val="0"/>
        <w:spacing w:line="240" w:lineRule="auto"/>
        <w:ind w:left="1140" w:right="565"/>
        <w:rPr>
          <w:rFonts w:ascii="Times New Roman" w:eastAsia="Times New Roman" w:hAnsi="Times New Roman" w:cs="Times New Roman"/>
          <w:sz w:val="24"/>
          <w:szCs w:val="24"/>
        </w:rPr>
      </w:pPr>
    </w:p>
    <w:p w14:paraId="18401593" w14:textId="77777777" w:rsidR="00237493" w:rsidRDefault="00237493">
      <w:pPr>
        <w:widowControl w:val="0"/>
        <w:spacing w:line="240" w:lineRule="auto"/>
        <w:ind w:left="1140" w:right="565"/>
        <w:rPr>
          <w:rFonts w:ascii="Times New Roman" w:eastAsia="Times New Roman" w:hAnsi="Times New Roman" w:cs="Times New Roman"/>
          <w:sz w:val="24"/>
          <w:szCs w:val="24"/>
        </w:rPr>
      </w:pPr>
    </w:p>
    <w:p w14:paraId="6D886E62" w14:textId="77777777" w:rsidR="00237493" w:rsidRDefault="00237493">
      <w:pPr>
        <w:widowControl w:val="0"/>
        <w:spacing w:line="240" w:lineRule="auto"/>
        <w:ind w:right="565"/>
        <w:rPr>
          <w:rFonts w:ascii="Times New Roman" w:eastAsia="Times New Roman" w:hAnsi="Times New Roman" w:cs="Times New Roman"/>
          <w:sz w:val="24"/>
          <w:szCs w:val="24"/>
        </w:rPr>
      </w:pPr>
    </w:p>
    <w:p w14:paraId="25FF9878" w14:textId="77777777" w:rsidR="00237493" w:rsidRDefault="00237493">
      <w:pPr>
        <w:widowControl w:val="0"/>
        <w:spacing w:line="240" w:lineRule="auto"/>
        <w:ind w:left="1140" w:right="565"/>
        <w:rPr>
          <w:rFonts w:ascii="Times New Roman" w:eastAsia="Times New Roman" w:hAnsi="Times New Roman" w:cs="Times New Roman"/>
          <w:sz w:val="24"/>
          <w:szCs w:val="24"/>
        </w:rPr>
      </w:pPr>
    </w:p>
    <w:p w14:paraId="5988F89A" w14:textId="77777777" w:rsidR="00237493" w:rsidRDefault="00237493">
      <w:pPr>
        <w:widowControl w:val="0"/>
        <w:spacing w:line="240" w:lineRule="auto"/>
        <w:ind w:left="1140" w:right="565"/>
        <w:rPr>
          <w:rFonts w:ascii="Times New Roman" w:eastAsia="Times New Roman" w:hAnsi="Times New Roman" w:cs="Times New Roman"/>
          <w:sz w:val="24"/>
          <w:szCs w:val="24"/>
        </w:rPr>
      </w:pPr>
    </w:p>
    <w:p w14:paraId="76B610F2" w14:textId="77777777" w:rsidR="00237493" w:rsidRDefault="00237493">
      <w:pPr>
        <w:widowControl w:val="0"/>
        <w:spacing w:line="240" w:lineRule="auto"/>
        <w:ind w:left="1140" w:right="565"/>
        <w:rPr>
          <w:rFonts w:ascii="Times New Roman" w:eastAsia="Times New Roman" w:hAnsi="Times New Roman" w:cs="Times New Roman"/>
          <w:sz w:val="24"/>
          <w:szCs w:val="24"/>
        </w:rPr>
      </w:pPr>
    </w:p>
    <w:p w14:paraId="41B50E6C" w14:textId="77777777" w:rsidR="00237493" w:rsidRDefault="00000000">
      <w:pPr>
        <w:widowControl w:val="0"/>
        <w:spacing w:line="240" w:lineRule="auto"/>
        <w:ind w:left="1140" w:right="565"/>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THE RESPONSIBILITY OF BANKS IN PIX FRAUDS:</w:t>
      </w:r>
    </w:p>
    <w:p w14:paraId="59F71E79" w14:textId="77777777" w:rsidR="00237493" w:rsidRDefault="00000000">
      <w:pPr>
        <w:widowControl w:val="0"/>
        <w:spacing w:line="240" w:lineRule="auto"/>
        <w:ind w:left="1140" w:right="565"/>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lastRenderedPageBreak/>
        <w:t xml:space="preserve"> </w:t>
      </w:r>
      <w:r>
        <w:rPr>
          <w:rFonts w:ascii="Times New Roman" w:eastAsia="Times New Roman" w:hAnsi="Times New Roman" w:cs="Times New Roman"/>
          <w:sz w:val="24"/>
          <w:szCs w:val="24"/>
        </w:rPr>
        <w:t>CONSUMER PROTECTION AND TECHNOLOGICAL INNOVATION IN THE BANKING SYSTEM</w:t>
      </w:r>
    </w:p>
    <w:p w14:paraId="7858EE9B" w14:textId="77777777" w:rsidR="00237493" w:rsidRDefault="00237493">
      <w:pPr>
        <w:widowControl w:val="0"/>
        <w:spacing w:line="240" w:lineRule="auto"/>
        <w:ind w:left="1140" w:right="565"/>
        <w:jc w:val="center"/>
        <w:rPr>
          <w:rFonts w:ascii="Times New Roman" w:eastAsia="Times New Roman" w:hAnsi="Times New Roman" w:cs="Times New Roman"/>
          <w:b/>
          <w:bCs/>
          <w:sz w:val="24"/>
          <w:szCs w:val="24"/>
        </w:rPr>
      </w:pPr>
    </w:p>
    <w:p w14:paraId="06C6AAAC" w14:textId="77777777" w:rsidR="00237493" w:rsidRDefault="00237493">
      <w:pPr>
        <w:widowControl w:val="0"/>
        <w:spacing w:line="240" w:lineRule="auto"/>
        <w:ind w:left="1140" w:right="565"/>
        <w:jc w:val="center"/>
        <w:rPr>
          <w:rFonts w:ascii="Times New Roman" w:eastAsia="Times New Roman" w:hAnsi="Times New Roman" w:cs="Times New Roman"/>
          <w:b/>
          <w:bCs/>
          <w:sz w:val="24"/>
          <w:szCs w:val="24"/>
        </w:rPr>
      </w:pPr>
    </w:p>
    <w:p w14:paraId="0E8E2D6D" w14:textId="77777777" w:rsidR="00237493" w:rsidRDefault="00000000">
      <w:pPr>
        <w:widowControl w:val="0"/>
        <w:spacing w:before="1" w:line="240" w:lineRule="auto"/>
        <w:ind w:left="1140" w:right="565" w:firstLine="3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Civil </w:t>
      </w:r>
      <w:proofErr w:type="spellStart"/>
      <w:r>
        <w:rPr>
          <w:rFonts w:ascii="Times New Roman" w:eastAsia="Times New Roman" w:hAnsi="Times New Roman" w:cs="Times New Roman"/>
          <w:sz w:val="24"/>
          <w:szCs w:val="24"/>
        </w:rPr>
        <w:t>liability</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of</w:t>
      </w:r>
      <w:proofErr w:type="spellEnd"/>
      <w:r>
        <w:rPr>
          <w:rFonts w:ascii="Times New Roman" w:eastAsia="Times New Roman" w:hAnsi="Times New Roman" w:cs="Times New Roman"/>
          <w:sz w:val="24"/>
          <w:szCs w:val="24"/>
        </w:rPr>
        <w:t xml:space="preserve"> banks in cases </w:t>
      </w:r>
      <w:proofErr w:type="spellStart"/>
      <w:r>
        <w:rPr>
          <w:rFonts w:ascii="Times New Roman" w:eastAsia="Times New Roman" w:hAnsi="Times New Roman" w:cs="Times New Roman"/>
          <w:sz w:val="24"/>
          <w:szCs w:val="24"/>
        </w:rPr>
        <w:t>of</w:t>
      </w:r>
      <w:proofErr w:type="spellEnd"/>
      <w:r>
        <w:rPr>
          <w:rFonts w:ascii="Times New Roman" w:eastAsia="Times New Roman" w:hAnsi="Times New Roman" w:cs="Times New Roman"/>
          <w:sz w:val="24"/>
          <w:szCs w:val="24"/>
        </w:rPr>
        <w:t xml:space="preserve"> financial </w:t>
      </w:r>
      <w:proofErr w:type="spellStart"/>
      <w:r>
        <w:rPr>
          <w:rFonts w:ascii="Times New Roman" w:eastAsia="Times New Roman" w:hAnsi="Times New Roman" w:cs="Times New Roman"/>
          <w:sz w:val="24"/>
          <w:szCs w:val="24"/>
        </w:rPr>
        <w:t>fraud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committed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through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the</w:t>
      </w:r>
      <w:proofErr w:type="spellEnd"/>
      <w:r>
        <w:rPr>
          <w:rFonts w:ascii="Times New Roman" w:eastAsia="Times New Roman" w:hAnsi="Times New Roman" w:cs="Times New Roman"/>
          <w:sz w:val="24"/>
          <w:szCs w:val="24"/>
        </w:rPr>
        <w:t xml:space="preserve"> PIX system in </w:t>
      </w:r>
      <w:proofErr w:type="spellStart"/>
      <w:r>
        <w:rPr>
          <w:rFonts w:ascii="Times New Roman" w:eastAsia="Times New Roman" w:hAnsi="Times New Roman" w:cs="Times New Roman"/>
          <w:sz w:val="24"/>
          <w:szCs w:val="24"/>
        </w:rPr>
        <w:t>Brazil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constituted</w:t>
      </w:r>
      <w:proofErr w:type="spellEnd"/>
      <w:r>
        <w:rPr>
          <w:rFonts w:ascii="Times New Roman" w:eastAsia="Times New Roman" w:hAnsi="Times New Roman" w:cs="Times New Roman"/>
          <w:sz w:val="24"/>
          <w:szCs w:val="24"/>
        </w:rPr>
        <w:t xml:space="preserve"> a </w:t>
      </w:r>
      <w:proofErr w:type="spellStart"/>
      <w:r>
        <w:rPr>
          <w:rFonts w:ascii="Times New Roman" w:eastAsia="Times New Roman" w:hAnsi="Times New Roman" w:cs="Times New Roman"/>
          <w:sz w:val="24"/>
          <w:szCs w:val="24"/>
        </w:rPr>
        <w:t>subject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of</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increasing</w:t>
      </w:r>
      <w:proofErr w:type="spellEnd"/>
      <w:r>
        <w:rPr>
          <w:rFonts w:ascii="Times New Roman" w:eastAsia="Times New Roman" w:hAnsi="Times New Roman" w:cs="Times New Roman"/>
          <w:sz w:val="24"/>
          <w:szCs w:val="24"/>
        </w:rPr>
        <w:t xml:space="preserve"> legal </w:t>
      </w:r>
      <w:proofErr w:type="spellStart"/>
      <w:r>
        <w:rPr>
          <w:rFonts w:ascii="Times New Roman" w:eastAsia="Times New Roman" w:hAnsi="Times New Roman" w:cs="Times New Roman"/>
          <w:sz w:val="24"/>
          <w:szCs w:val="24"/>
        </w:rPr>
        <w:t>relevance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due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to</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the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expansion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of</w:t>
      </w:r>
      <w:proofErr w:type="spellEnd"/>
      <w:r>
        <w:rPr>
          <w:rFonts w:ascii="Times New Roman" w:eastAsia="Times New Roman" w:hAnsi="Times New Roman" w:cs="Times New Roman"/>
          <w:sz w:val="24"/>
          <w:szCs w:val="24"/>
        </w:rPr>
        <w:t xml:space="preserve"> digital </w:t>
      </w:r>
      <w:proofErr w:type="spellStart"/>
      <w:r>
        <w:rPr>
          <w:rFonts w:ascii="Times New Roman" w:eastAsia="Times New Roman" w:hAnsi="Times New Roman" w:cs="Times New Roman"/>
          <w:sz w:val="24"/>
          <w:szCs w:val="24"/>
        </w:rPr>
        <w:t>payment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methods</w:t>
      </w:r>
      <w:proofErr w:type="spellEnd"/>
      <w:r>
        <w:rPr>
          <w:rFonts w:ascii="Times New Roman" w:eastAsia="Times New Roman" w:hAnsi="Times New Roman" w:cs="Times New Roman"/>
          <w:sz w:val="24"/>
          <w:szCs w:val="24"/>
        </w:rPr>
        <w:t xml:space="preserve">. The </w:t>
      </w:r>
      <w:proofErr w:type="spellStart"/>
      <w:r>
        <w:rPr>
          <w:rFonts w:ascii="Times New Roman" w:eastAsia="Times New Roman" w:hAnsi="Times New Roman" w:cs="Times New Roman"/>
          <w:sz w:val="24"/>
          <w:szCs w:val="24"/>
        </w:rPr>
        <w:t>study</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analyzed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the</w:t>
      </w:r>
      <w:proofErr w:type="spellEnd"/>
      <w:r>
        <w:rPr>
          <w:rFonts w:ascii="Times New Roman" w:eastAsia="Times New Roman" w:hAnsi="Times New Roman" w:cs="Times New Roman"/>
          <w:sz w:val="24"/>
          <w:szCs w:val="24"/>
        </w:rPr>
        <w:t xml:space="preserve"> legal </w:t>
      </w:r>
      <w:proofErr w:type="spellStart"/>
      <w:r>
        <w:rPr>
          <w:rFonts w:ascii="Times New Roman" w:eastAsia="Times New Roman" w:hAnsi="Times New Roman" w:cs="Times New Roman"/>
          <w:sz w:val="24"/>
          <w:szCs w:val="24"/>
        </w:rPr>
        <w:t>and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jurisprudential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aspects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of</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this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form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of</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liability</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especially</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after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the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consolidation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of</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the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Consumer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Protection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Code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and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the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implementation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of</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the</w:t>
      </w:r>
      <w:proofErr w:type="spellEnd"/>
      <w:r>
        <w:rPr>
          <w:rFonts w:ascii="Times New Roman" w:eastAsia="Times New Roman" w:hAnsi="Times New Roman" w:cs="Times New Roman"/>
          <w:sz w:val="24"/>
          <w:szCs w:val="24"/>
        </w:rPr>
        <w:t xml:space="preserve"> PIX system </w:t>
      </w:r>
      <w:proofErr w:type="spellStart"/>
      <w:r>
        <w:rPr>
          <w:rFonts w:ascii="Times New Roman" w:eastAsia="Times New Roman" w:hAnsi="Times New Roman" w:cs="Times New Roman"/>
          <w:sz w:val="24"/>
          <w:szCs w:val="24"/>
        </w:rPr>
        <w:t>by</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the</w:t>
      </w:r>
      <w:proofErr w:type="spellEnd"/>
      <w:r>
        <w:rPr>
          <w:rFonts w:ascii="Times New Roman" w:eastAsia="Times New Roman" w:hAnsi="Times New Roman" w:cs="Times New Roman"/>
          <w:sz w:val="24"/>
          <w:szCs w:val="24"/>
        </w:rPr>
        <w:t xml:space="preserve"> Central Bank </w:t>
      </w:r>
      <w:proofErr w:type="spellStart"/>
      <w:r>
        <w:rPr>
          <w:rFonts w:ascii="Times New Roman" w:eastAsia="Times New Roman" w:hAnsi="Times New Roman" w:cs="Times New Roman"/>
          <w:sz w:val="24"/>
          <w:szCs w:val="24"/>
        </w:rPr>
        <w:t>of</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Brazil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which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enhanced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transactional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efficiency</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without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eliminating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the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risks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of</w:t>
      </w:r>
      <w:proofErr w:type="spellEnd"/>
      <w:r>
        <w:rPr>
          <w:rFonts w:ascii="Times New Roman" w:eastAsia="Times New Roman" w:hAnsi="Times New Roman" w:cs="Times New Roman"/>
          <w:sz w:val="24"/>
          <w:szCs w:val="24"/>
        </w:rPr>
        <w:t xml:space="preserve"> digital </w:t>
      </w:r>
      <w:proofErr w:type="spellStart"/>
      <w:r>
        <w:rPr>
          <w:rFonts w:ascii="Times New Roman" w:eastAsia="Times New Roman" w:hAnsi="Times New Roman" w:cs="Times New Roman"/>
          <w:sz w:val="24"/>
          <w:szCs w:val="24"/>
        </w:rPr>
        <w:t>fraud</w:t>
      </w:r>
      <w:proofErr w:type="spellEnd"/>
      <w:r>
        <w:rPr>
          <w:rFonts w:ascii="Times New Roman" w:eastAsia="Times New Roman" w:hAnsi="Times New Roman" w:cs="Times New Roman"/>
          <w:sz w:val="24"/>
          <w:szCs w:val="24"/>
        </w:rPr>
        <w:t xml:space="preserve">. A </w:t>
      </w:r>
      <w:proofErr w:type="spellStart"/>
      <w:r>
        <w:rPr>
          <w:rFonts w:ascii="Times New Roman" w:eastAsia="Times New Roman" w:hAnsi="Times New Roman" w:cs="Times New Roman"/>
          <w:sz w:val="24"/>
          <w:szCs w:val="24"/>
        </w:rPr>
        <w:t>bibliographical</w:t>
      </w:r>
      <w:proofErr w:type="spellEnd"/>
      <w:r>
        <w:rPr>
          <w:rFonts w:ascii="Times New Roman" w:eastAsia="Times New Roman" w:hAnsi="Times New Roman" w:cs="Times New Roman"/>
          <w:sz w:val="24"/>
          <w:szCs w:val="24"/>
        </w:rPr>
        <w:t xml:space="preserve"> review </w:t>
      </w:r>
      <w:proofErr w:type="spellStart"/>
      <w:r>
        <w:rPr>
          <w:rFonts w:ascii="Times New Roman" w:eastAsia="Times New Roman" w:hAnsi="Times New Roman" w:cs="Times New Roman"/>
          <w:sz w:val="24"/>
          <w:szCs w:val="24"/>
        </w:rPr>
        <w:t>and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jurisprudential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analysis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were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employed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to</w:t>
      </w:r>
      <w:proofErr w:type="spellEnd"/>
      <w:r>
        <w:rPr>
          <w:rFonts w:ascii="Times New Roman" w:eastAsia="Times New Roman" w:hAnsi="Times New Roman" w:cs="Times New Roman"/>
          <w:sz w:val="24"/>
          <w:szCs w:val="24"/>
        </w:rPr>
        <w:t xml:space="preserve"> examine </w:t>
      </w:r>
      <w:proofErr w:type="spellStart"/>
      <w:r>
        <w:rPr>
          <w:rFonts w:ascii="Times New Roman" w:eastAsia="Times New Roman" w:hAnsi="Times New Roman" w:cs="Times New Roman"/>
          <w:sz w:val="24"/>
          <w:szCs w:val="24"/>
        </w:rPr>
        <w:t>the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compatibility</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of</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the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objective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liability</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of</w:t>
      </w:r>
      <w:proofErr w:type="spellEnd"/>
      <w:r>
        <w:rPr>
          <w:rFonts w:ascii="Times New Roman" w:eastAsia="Times New Roman" w:hAnsi="Times New Roman" w:cs="Times New Roman"/>
          <w:sz w:val="24"/>
          <w:szCs w:val="24"/>
        </w:rPr>
        <w:t xml:space="preserve"> financial </w:t>
      </w:r>
      <w:proofErr w:type="spellStart"/>
      <w:r>
        <w:rPr>
          <w:rFonts w:ascii="Times New Roman" w:eastAsia="Times New Roman" w:hAnsi="Times New Roman" w:cs="Times New Roman"/>
          <w:sz w:val="24"/>
          <w:szCs w:val="24"/>
        </w:rPr>
        <w:t>institutions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with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the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principles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of</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enterprise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risk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and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consumer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protection</w:t>
      </w:r>
      <w:proofErr w:type="spellEnd"/>
      <w:r>
        <w:rPr>
          <w:rFonts w:ascii="Times New Roman" w:eastAsia="Times New Roman" w:hAnsi="Times New Roman" w:cs="Times New Roman"/>
          <w:sz w:val="24"/>
          <w:szCs w:val="24"/>
        </w:rPr>
        <w:t xml:space="preserve">. The </w:t>
      </w:r>
      <w:proofErr w:type="spellStart"/>
      <w:r>
        <w:rPr>
          <w:rFonts w:ascii="Times New Roman" w:eastAsia="Times New Roman" w:hAnsi="Times New Roman" w:cs="Times New Roman"/>
          <w:sz w:val="24"/>
          <w:szCs w:val="24"/>
        </w:rPr>
        <w:t>findings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indicated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that</w:t>
      </w:r>
      <w:proofErr w:type="spellEnd"/>
      <w:r>
        <w:rPr>
          <w:rFonts w:ascii="Times New Roman" w:eastAsia="Times New Roman" w:hAnsi="Times New Roman" w:cs="Times New Roman"/>
          <w:sz w:val="24"/>
          <w:szCs w:val="24"/>
        </w:rPr>
        <w:t xml:space="preserve"> case </w:t>
      </w:r>
      <w:proofErr w:type="spellStart"/>
      <w:r>
        <w:rPr>
          <w:rFonts w:ascii="Times New Roman" w:eastAsia="Times New Roman" w:hAnsi="Times New Roman" w:cs="Times New Roman"/>
          <w:sz w:val="24"/>
          <w:szCs w:val="24"/>
        </w:rPr>
        <w:t>law</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consolidated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the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understanding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that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fraud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occurring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within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the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scope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of</w:t>
      </w:r>
      <w:proofErr w:type="spellEnd"/>
      <w:r>
        <w:rPr>
          <w:rFonts w:ascii="Times New Roman" w:eastAsia="Times New Roman" w:hAnsi="Times New Roman" w:cs="Times New Roman"/>
          <w:sz w:val="24"/>
          <w:szCs w:val="24"/>
        </w:rPr>
        <w:t xml:space="preserve"> banking </w:t>
      </w:r>
      <w:proofErr w:type="spellStart"/>
      <w:r>
        <w:rPr>
          <w:rFonts w:ascii="Times New Roman" w:eastAsia="Times New Roman" w:hAnsi="Times New Roman" w:cs="Times New Roman"/>
          <w:sz w:val="24"/>
          <w:szCs w:val="24"/>
        </w:rPr>
        <w:t>activity</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constituted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internal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fortuity</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and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liability</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was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not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excluded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merely</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because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the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transfer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was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formally</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authorized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by</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the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consumer</w:t>
      </w:r>
      <w:proofErr w:type="spellEnd"/>
      <w:r>
        <w:rPr>
          <w:rFonts w:ascii="Times New Roman" w:eastAsia="Times New Roman" w:hAnsi="Times New Roman" w:cs="Times New Roman"/>
          <w:sz w:val="24"/>
          <w:szCs w:val="24"/>
        </w:rPr>
        <w:t xml:space="preserve">. The </w:t>
      </w:r>
      <w:proofErr w:type="spellStart"/>
      <w:r>
        <w:rPr>
          <w:rFonts w:ascii="Times New Roman" w:eastAsia="Times New Roman" w:hAnsi="Times New Roman" w:cs="Times New Roman"/>
          <w:sz w:val="24"/>
          <w:szCs w:val="24"/>
        </w:rPr>
        <w:t>courts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adopted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criteria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related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to</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risk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foreseeability</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and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defect</w:t>
      </w:r>
      <w:proofErr w:type="spellEnd"/>
      <w:r>
        <w:rPr>
          <w:rFonts w:ascii="Times New Roman" w:eastAsia="Times New Roman" w:hAnsi="Times New Roman" w:cs="Times New Roman"/>
          <w:sz w:val="24"/>
          <w:szCs w:val="24"/>
        </w:rPr>
        <w:t xml:space="preserve"> in </w:t>
      </w:r>
      <w:proofErr w:type="spellStart"/>
      <w:r>
        <w:rPr>
          <w:rFonts w:ascii="Times New Roman" w:eastAsia="Times New Roman" w:hAnsi="Times New Roman" w:cs="Times New Roman"/>
          <w:sz w:val="24"/>
          <w:szCs w:val="24"/>
        </w:rPr>
        <w:t>service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provision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to</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support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their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decisions</w:t>
      </w:r>
      <w:proofErr w:type="spellEnd"/>
      <w:r>
        <w:rPr>
          <w:rFonts w:ascii="Times New Roman" w:eastAsia="Times New Roman" w:hAnsi="Times New Roman" w:cs="Times New Roman"/>
          <w:sz w:val="24"/>
          <w:szCs w:val="24"/>
        </w:rPr>
        <w:t xml:space="preserve">. The </w:t>
      </w:r>
      <w:proofErr w:type="spellStart"/>
      <w:r>
        <w:rPr>
          <w:rFonts w:ascii="Times New Roman" w:eastAsia="Times New Roman" w:hAnsi="Times New Roman" w:cs="Times New Roman"/>
          <w:sz w:val="24"/>
          <w:szCs w:val="24"/>
        </w:rPr>
        <w:t>study</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concluded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that</w:t>
      </w:r>
      <w:proofErr w:type="spellEnd"/>
      <w:r>
        <w:rPr>
          <w:rFonts w:ascii="Times New Roman" w:eastAsia="Times New Roman" w:hAnsi="Times New Roman" w:cs="Times New Roman"/>
          <w:sz w:val="24"/>
          <w:szCs w:val="24"/>
        </w:rPr>
        <w:t xml:space="preserve"> bank </w:t>
      </w:r>
      <w:proofErr w:type="spellStart"/>
      <w:r>
        <w:rPr>
          <w:rFonts w:ascii="Times New Roman" w:eastAsia="Times New Roman" w:hAnsi="Times New Roman" w:cs="Times New Roman"/>
          <w:sz w:val="24"/>
          <w:szCs w:val="24"/>
        </w:rPr>
        <w:t>liability</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remained</w:t>
      </w:r>
      <w:proofErr w:type="spellEnd"/>
      <w:r>
        <w:rPr>
          <w:rFonts w:ascii="Times New Roman" w:eastAsia="Times New Roman" w:hAnsi="Times New Roman" w:cs="Times New Roman"/>
          <w:sz w:val="24"/>
          <w:szCs w:val="24"/>
        </w:rPr>
        <w:t xml:space="preserve"> a </w:t>
      </w:r>
      <w:proofErr w:type="spellStart"/>
      <w:r>
        <w:rPr>
          <w:rFonts w:ascii="Times New Roman" w:eastAsia="Times New Roman" w:hAnsi="Times New Roman" w:cs="Times New Roman"/>
          <w:sz w:val="24"/>
          <w:szCs w:val="24"/>
        </w:rPr>
        <w:t>legitimate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instrument</w:t>
      </w:r>
      <w:proofErr w:type="spellEnd"/>
      <w:r>
        <w:rPr>
          <w:rFonts w:ascii="Times New Roman" w:eastAsia="Times New Roman" w:hAnsi="Times New Roman" w:cs="Times New Roman"/>
          <w:sz w:val="24"/>
          <w:szCs w:val="24"/>
        </w:rPr>
        <w:t xml:space="preserve"> for </w:t>
      </w:r>
      <w:proofErr w:type="spellStart"/>
      <w:r>
        <w:rPr>
          <w:rFonts w:ascii="Times New Roman" w:eastAsia="Times New Roman" w:hAnsi="Times New Roman" w:cs="Times New Roman"/>
          <w:sz w:val="24"/>
          <w:szCs w:val="24"/>
        </w:rPr>
        <w:t>consumer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protection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and</w:t>
      </w:r>
      <w:proofErr w:type="spellEnd"/>
      <w:r>
        <w:rPr>
          <w:rFonts w:ascii="Times New Roman" w:eastAsia="Times New Roman" w:hAnsi="Times New Roman" w:cs="Times New Roman"/>
          <w:sz w:val="24"/>
          <w:szCs w:val="24"/>
        </w:rPr>
        <w:t xml:space="preserve"> its </w:t>
      </w:r>
      <w:proofErr w:type="spellStart"/>
      <w:r>
        <w:rPr>
          <w:rFonts w:ascii="Times New Roman" w:eastAsia="Times New Roman" w:hAnsi="Times New Roman" w:cs="Times New Roman"/>
          <w:sz w:val="24"/>
          <w:szCs w:val="24"/>
        </w:rPr>
        <w:t>application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should</w:t>
      </w:r>
      <w:proofErr w:type="spellEnd"/>
      <w:r>
        <w:rPr>
          <w:rFonts w:ascii="Times New Roman" w:eastAsia="Times New Roman" w:hAnsi="Times New Roman" w:cs="Times New Roman"/>
          <w:sz w:val="24"/>
          <w:szCs w:val="24"/>
        </w:rPr>
        <w:t xml:space="preserve"> observe </w:t>
      </w:r>
      <w:proofErr w:type="spellStart"/>
      <w:r>
        <w:rPr>
          <w:rFonts w:ascii="Times New Roman" w:eastAsia="Times New Roman" w:hAnsi="Times New Roman" w:cs="Times New Roman"/>
          <w:sz w:val="24"/>
          <w:szCs w:val="24"/>
        </w:rPr>
        <w:t>the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principles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of</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proportionality</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and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reasonableness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avoiding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both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the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trivialization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of</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indemnification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and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the</w:t>
      </w:r>
      <w:proofErr w:type="spellEnd"/>
      <w:r>
        <w:rPr>
          <w:rFonts w:ascii="Times New Roman" w:eastAsia="Times New Roman" w:hAnsi="Times New Roman" w:cs="Times New Roman"/>
          <w:sz w:val="24"/>
          <w:szCs w:val="24"/>
        </w:rPr>
        <w:t xml:space="preserve"> full </w:t>
      </w:r>
      <w:proofErr w:type="spellStart"/>
      <w:r>
        <w:rPr>
          <w:rFonts w:ascii="Times New Roman" w:eastAsia="Times New Roman" w:hAnsi="Times New Roman" w:cs="Times New Roman"/>
          <w:sz w:val="24"/>
          <w:szCs w:val="24"/>
        </w:rPr>
        <w:t>transfer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of</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risk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to</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the</w:t>
      </w:r>
      <w:proofErr w:type="spellEnd"/>
      <w:r>
        <w:rPr>
          <w:rFonts w:ascii="Times New Roman" w:eastAsia="Times New Roman" w:hAnsi="Times New Roman" w:cs="Times New Roman"/>
          <w:sz w:val="24"/>
          <w:szCs w:val="24"/>
        </w:rPr>
        <w:t xml:space="preserve"> financial system </w:t>
      </w:r>
      <w:proofErr w:type="spellStart"/>
      <w:r>
        <w:rPr>
          <w:rFonts w:ascii="Times New Roman" w:eastAsia="Times New Roman" w:hAnsi="Times New Roman" w:cs="Times New Roman"/>
          <w:sz w:val="24"/>
          <w:szCs w:val="24"/>
        </w:rPr>
        <w:t>user</w:t>
      </w:r>
      <w:proofErr w:type="spellEnd"/>
      <w:r>
        <w:rPr>
          <w:rFonts w:ascii="Times New Roman" w:eastAsia="Times New Roman" w:hAnsi="Times New Roman" w:cs="Times New Roman"/>
          <w:sz w:val="24"/>
          <w:szCs w:val="24"/>
        </w:rPr>
        <w:t>.</w:t>
      </w:r>
    </w:p>
    <w:p w14:paraId="7F717720" w14:textId="77777777" w:rsidR="00237493" w:rsidRDefault="00237493">
      <w:pPr>
        <w:widowControl w:val="0"/>
        <w:spacing w:line="240" w:lineRule="auto"/>
        <w:ind w:left="1140" w:right="565"/>
        <w:rPr>
          <w:rFonts w:ascii="Times New Roman" w:eastAsia="Times New Roman" w:hAnsi="Times New Roman" w:cs="Times New Roman"/>
          <w:b/>
          <w:bCs/>
          <w:sz w:val="24"/>
          <w:szCs w:val="24"/>
        </w:rPr>
      </w:pPr>
    </w:p>
    <w:p w14:paraId="3EF4003C" w14:textId="77777777" w:rsidR="00237493" w:rsidRDefault="00000000">
      <w:pPr>
        <w:widowControl w:val="0"/>
        <w:spacing w:line="240" w:lineRule="auto"/>
        <w:ind w:left="1140" w:right="565"/>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Keywords: </w:t>
      </w:r>
      <w:r>
        <w:rPr>
          <w:rFonts w:ascii="Times New Roman" w:eastAsia="Times New Roman" w:hAnsi="Times New Roman" w:cs="Times New Roman"/>
          <w:sz w:val="24"/>
          <w:szCs w:val="24"/>
        </w:rPr>
        <w:t xml:space="preserve">Civil </w:t>
      </w:r>
      <w:proofErr w:type="spellStart"/>
      <w:r>
        <w:rPr>
          <w:rFonts w:ascii="Times New Roman" w:eastAsia="Times New Roman" w:hAnsi="Times New Roman" w:cs="Times New Roman"/>
          <w:sz w:val="24"/>
          <w:szCs w:val="24"/>
        </w:rPr>
        <w:t>liability</w:t>
      </w:r>
      <w:proofErr w:type="spellEnd"/>
      <w:r>
        <w:rPr>
          <w:rFonts w:ascii="Times New Roman" w:eastAsia="Times New Roman" w:hAnsi="Times New Roman" w:cs="Times New Roman"/>
          <w:sz w:val="24"/>
          <w:szCs w:val="24"/>
        </w:rPr>
        <w:t xml:space="preserve">; PIX </w:t>
      </w:r>
      <w:proofErr w:type="spellStart"/>
      <w:r>
        <w:rPr>
          <w:rFonts w:ascii="Times New Roman" w:eastAsia="Times New Roman" w:hAnsi="Times New Roman" w:cs="Times New Roman"/>
          <w:sz w:val="24"/>
          <w:szCs w:val="24"/>
        </w:rPr>
        <w:t>frauds</w:t>
      </w:r>
      <w:proofErr w:type="spell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Financial</w:t>
      </w:r>
      <w:proofErr w:type="gram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institutions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Internal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fortuity</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Consumer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protection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law</w:t>
      </w:r>
      <w:proofErr w:type="spellEnd"/>
      <w:r>
        <w:rPr>
          <w:rFonts w:ascii="Times New Roman" w:eastAsia="Times New Roman" w:hAnsi="Times New Roman" w:cs="Times New Roman"/>
          <w:sz w:val="24"/>
          <w:szCs w:val="24"/>
        </w:rPr>
        <w:t>.</w:t>
      </w:r>
    </w:p>
    <w:p w14:paraId="31B9D025" w14:textId="77777777" w:rsidR="00237493" w:rsidRDefault="00237493">
      <w:pPr>
        <w:widowControl w:val="0"/>
        <w:spacing w:line="240" w:lineRule="auto"/>
        <w:rPr>
          <w:rFonts w:ascii="Times New Roman" w:eastAsia="Times New Roman" w:hAnsi="Times New Roman" w:cs="Times New Roman"/>
          <w:b/>
          <w:bCs/>
          <w:sz w:val="24"/>
          <w:szCs w:val="24"/>
        </w:rPr>
      </w:pPr>
    </w:p>
    <w:p w14:paraId="4072E6D2" w14:textId="77777777" w:rsidR="00237493" w:rsidRDefault="00237493">
      <w:pPr>
        <w:widowControl w:val="0"/>
        <w:spacing w:line="240" w:lineRule="auto"/>
        <w:rPr>
          <w:rFonts w:ascii="Times New Roman" w:eastAsia="Times New Roman" w:hAnsi="Times New Roman" w:cs="Times New Roman"/>
          <w:b/>
          <w:bCs/>
          <w:sz w:val="24"/>
          <w:szCs w:val="24"/>
        </w:rPr>
      </w:pPr>
    </w:p>
    <w:p w14:paraId="130DD5CB" w14:textId="77777777" w:rsidR="00237493" w:rsidRDefault="00237493">
      <w:pPr>
        <w:widowControl w:val="0"/>
        <w:spacing w:line="240" w:lineRule="auto"/>
        <w:rPr>
          <w:rFonts w:ascii="Times New Roman" w:eastAsia="Times New Roman" w:hAnsi="Times New Roman" w:cs="Times New Roman"/>
          <w:b/>
          <w:bCs/>
          <w:sz w:val="24"/>
          <w:szCs w:val="24"/>
        </w:rPr>
      </w:pPr>
    </w:p>
    <w:p w14:paraId="14CF7583" w14:textId="77777777" w:rsidR="00237493" w:rsidRDefault="00237493">
      <w:pPr>
        <w:widowControl w:val="0"/>
        <w:spacing w:line="240" w:lineRule="auto"/>
        <w:rPr>
          <w:rFonts w:ascii="Times New Roman" w:eastAsia="Times New Roman" w:hAnsi="Times New Roman" w:cs="Times New Roman"/>
          <w:b/>
          <w:bCs/>
          <w:sz w:val="24"/>
          <w:szCs w:val="24"/>
        </w:rPr>
      </w:pPr>
    </w:p>
    <w:p w14:paraId="75DBCEDF" w14:textId="77777777" w:rsidR="00237493" w:rsidRDefault="00237493">
      <w:pPr>
        <w:widowControl w:val="0"/>
        <w:spacing w:line="240" w:lineRule="auto"/>
        <w:rPr>
          <w:rFonts w:ascii="Times New Roman" w:eastAsia="Times New Roman" w:hAnsi="Times New Roman" w:cs="Times New Roman"/>
          <w:b/>
          <w:bCs/>
          <w:sz w:val="24"/>
          <w:szCs w:val="24"/>
        </w:rPr>
      </w:pPr>
    </w:p>
    <w:p w14:paraId="0C9C2844" w14:textId="77777777" w:rsidR="00237493" w:rsidRDefault="00237493">
      <w:pPr>
        <w:widowControl w:val="0"/>
        <w:spacing w:line="240" w:lineRule="auto"/>
        <w:rPr>
          <w:rFonts w:ascii="Times New Roman" w:eastAsia="Times New Roman" w:hAnsi="Times New Roman" w:cs="Times New Roman"/>
          <w:b/>
          <w:bCs/>
          <w:sz w:val="24"/>
          <w:szCs w:val="24"/>
        </w:rPr>
      </w:pPr>
    </w:p>
    <w:p w14:paraId="5DC177DE" w14:textId="77777777" w:rsidR="00237493" w:rsidRDefault="00237493">
      <w:pPr>
        <w:widowControl w:val="0"/>
        <w:spacing w:line="240" w:lineRule="auto"/>
        <w:rPr>
          <w:rFonts w:ascii="Times New Roman" w:eastAsia="Times New Roman" w:hAnsi="Times New Roman" w:cs="Times New Roman"/>
          <w:b/>
          <w:bCs/>
          <w:sz w:val="24"/>
          <w:szCs w:val="24"/>
        </w:rPr>
      </w:pPr>
    </w:p>
    <w:p w14:paraId="62205E35" w14:textId="77777777" w:rsidR="00237493" w:rsidRDefault="00237493">
      <w:pPr>
        <w:widowControl w:val="0"/>
        <w:spacing w:line="240" w:lineRule="auto"/>
        <w:rPr>
          <w:rFonts w:ascii="Times New Roman" w:eastAsia="Times New Roman" w:hAnsi="Times New Roman" w:cs="Times New Roman"/>
          <w:b/>
          <w:bCs/>
          <w:sz w:val="24"/>
          <w:szCs w:val="24"/>
        </w:rPr>
      </w:pPr>
    </w:p>
    <w:p w14:paraId="0ECAF9F0" w14:textId="77777777" w:rsidR="00237493" w:rsidRDefault="00237493">
      <w:pPr>
        <w:widowControl w:val="0"/>
        <w:spacing w:line="240" w:lineRule="auto"/>
        <w:rPr>
          <w:rFonts w:ascii="Times New Roman" w:eastAsia="Times New Roman" w:hAnsi="Times New Roman" w:cs="Times New Roman"/>
          <w:b/>
          <w:bCs/>
          <w:sz w:val="24"/>
          <w:szCs w:val="24"/>
        </w:rPr>
      </w:pPr>
    </w:p>
    <w:p w14:paraId="1BE32822" w14:textId="77777777" w:rsidR="00237493" w:rsidRDefault="00237493">
      <w:pPr>
        <w:widowControl w:val="0"/>
        <w:spacing w:line="240" w:lineRule="auto"/>
        <w:rPr>
          <w:rFonts w:ascii="Times New Roman" w:eastAsia="Times New Roman" w:hAnsi="Times New Roman" w:cs="Times New Roman"/>
          <w:b/>
          <w:bCs/>
          <w:sz w:val="24"/>
          <w:szCs w:val="24"/>
        </w:rPr>
      </w:pPr>
    </w:p>
    <w:p w14:paraId="74875FD0" w14:textId="77777777" w:rsidR="00237493" w:rsidRDefault="00237493">
      <w:pPr>
        <w:widowControl w:val="0"/>
        <w:spacing w:line="240" w:lineRule="auto"/>
        <w:rPr>
          <w:rFonts w:ascii="Times New Roman" w:eastAsia="Times New Roman" w:hAnsi="Times New Roman" w:cs="Times New Roman"/>
          <w:b/>
          <w:bCs/>
          <w:sz w:val="24"/>
          <w:szCs w:val="24"/>
        </w:rPr>
      </w:pPr>
    </w:p>
    <w:p w14:paraId="0873A900" w14:textId="77777777" w:rsidR="00237493" w:rsidRDefault="00237493">
      <w:pPr>
        <w:widowControl w:val="0"/>
        <w:spacing w:line="240" w:lineRule="auto"/>
        <w:rPr>
          <w:rFonts w:ascii="Times New Roman" w:eastAsia="Times New Roman" w:hAnsi="Times New Roman" w:cs="Times New Roman"/>
          <w:b/>
          <w:bCs/>
          <w:sz w:val="24"/>
          <w:szCs w:val="24"/>
        </w:rPr>
      </w:pPr>
    </w:p>
    <w:p w14:paraId="582710FB" w14:textId="77777777" w:rsidR="00237493" w:rsidRDefault="00237493">
      <w:pPr>
        <w:widowControl w:val="0"/>
        <w:spacing w:line="240" w:lineRule="auto"/>
        <w:rPr>
          <w:rFonts w:ascii="Times New Roman" w:eastAsia="Times New Roman" w:hAnsi="Times New Roman" w:cs="Times New Roman"/>
          <w:b/>
          <w:bCs/>
          <w:sz w:val="24"/>
          <w:szCs w:val="24"/>
        </w:rPr>
      </w:pPr>
    </w:p>
    <w:p w14:paraId="6DC35EEC" w14:textId="77777777" w:rsidR="00237493" w:rsidRDefault="00237493">
      <w:pPr>
        <w:widowControl w:val="0"/>
        <w:spacing w:line="240" w:lineRule="auto"/>
        <w:rPr>
          <w:rFonts w:ascii="Times New Roman" w:eastAsia="Times New Roman" w:hAnsi="Times New Roman" w:cs="Times New Roman"/>
          <w:b/>
          <w:bCs/>
          <w:sz w:val="24"/>
          <w:szCs w:val="24"/>
        </w:rPr>
      </w:pPr>
    </w:p>
    <w:p w14:paraId="7B1D7998" w14:textId="77777777" w:rsidR="00237493" w:rsidRDefault="00237493">
      <w:pPr>
        <w:widowControl w:val="0"/>
        <w:spacing w:line="240" w:lineRule="auto"/>
        <w:rPr>
          <w:rFonts w:ascii="Times New Roman" w:eastAsia="Times New Roman" w:hAnsi="Times New Roman" w:cs="Times New Roman"/>
          <w:b/>
          <w:bCs/>
          <w:sz w:val="24"/>
          <w:szCs w:val="24"/>
        </w:rPr>
      </w:pPr>
    </w:p>
    <w:p w14:paraId="34CEB1C8" w14:textId="77777777" w:rsidR="00237493" w:rsidRDefault="00237493">
      <w:pPr>
        <w:widowControl w:val="0"/>
        <w:spacing w:line="240" w:lineRule="auto"/>
        <w:rPr>
          <w:rFonts w:ascii="Times New Roman" w:eastAsia="Times New Roman" w:hAnsi="Times New Roman" w:cs="Times New Roman"/>
          <w:b/>
          <w:bCs/>
          <w:sz w:val="24"/>
          <w:szCs w:val="24"/>
        </w:rPr>
      </w:pPr>
    </w:p>
    <w:p w14:paraId="78871F58" w14:textId="77777777" w:rsidR="00237493" w:rsidRDefault="00237493">
      <w:pPr>
        <w:widowControl w:val="0"/>
        <w:spacing w:line="240" w:lineRule="auto"/>
        <w:ind w:left="1140" w:right="565"/>
        <w:rPr>
          <w:rFonts w:ascii="Times New Roman" w:eastAsia="Times New Roman" w:hAnsi="Times New Roman" w:cs="Times New Roman"/>
          <w:b/>
          <w:bCs/>
          <w:sz w:val="24"/>
          <w:szCs w:val="24"/>
        </w:rPr>
      </w:pPr>
    </w:p>
    <w:p w14:paraId="72CA5D10" w14:textId="77777777" w:rsidR="00237493" w:rsidRDefault="00237493">
      <w:pPr>
        <w:widowControl w:val="0"/>
        <w:spacing w:line="240" w:lineRule="auto"/>
        <w:ind w:left="1140" w:right="565"/>
        <w:rPr>
          <w:rFonts w:ascii="Times New Roman" w:eastAsia="Times New Roman" w:hAnsi="Times New Roman" w:cs="Times New Roman"/>
          <w:b/>
          <w:bCs/>
          <w:sz w:val="24"/>
          <w:szCs w:val="24"/>
        </w:rPr>
      </w:pPr>
    </w:p>
    <w:p w14:paraId="586136CE" w14:textId="77777777" w:rsidR="00237493" w:rsidRDefault="00237493">
      <w:pPr>
        <w:widowControl w:val="0"/>
        <w:spacing w:line="240" w:lineRule="auto"/>
        <w:ind w:left="1140" w:right="565"/>
        <w:rPr>
          <w:rFonts w:ascii="Times New Roman" w:eastAsia="Times New Roman" w:hAnsi="Times New Roman" w:cs="Times New Roman"/>
          <w:b/>
          <w:bCs/>
          <w:sz w:val="24"/>
          <w:szCs w:val="24"/>
        </w:rPr>
      </w:pPr>
    </w:p>
    <w:p w14:paraId="248070C1" w14:textId="77777777" w:rsidR="00237493" w:rsidRDefault="00000000">
      <w:pPr>
        <w:widowControl w:val="0"/>
        <w:spacing w:line="240" w:lineRule="auto"/>
        <w:ind w:left="1140" w:right="565"/>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___________________________</w:t>
      </w:r>
    </w:p>
    <w:p w14:paraId="6E724F83" w14:textId="77777777" w:rsidR="00237493" w:rsidRDefault="00000000">
      <w:pPr>
        <w:widowControl w:val="0"/>
        <w:spacing w:before="87" w:line="240" w:lineRule="auto"/>
        <w:ind w:left="1140" w:right="565"/>
        <w:rPr>
          <w:rFonts w:ascii="Times New Roman" w:eastAsia="Times New Roman" w:hAnsi="Times New Roman" w:cs="Times New Roman"/>
          <w:sz w:val="24"/>
          <w:szCs w:val="24"/>
        </w:rPr>
        <w:sectPr w:rsidR="00237493">
          <w:footerReference w:type="default" r:id="rId18"/>
          <w:footerReference w:type="first" r:id="rId19"/>
          <w:pgSz w:w="11906" w:h="16838"/>
          <w:pgMar w:top="920" w:right="566" w:bottom="777" w:left="566" w:header="0" w:footer="720" w:gutter="0"/>
          <w:cols w:space="720"/>
        </w:sectPr>
      </w:pPr>
      <w:bookmarkStart w:id="0" w:name="_heading=h.de7mcikcckqd" w:colFirst="0" w:colLast="0"/>
      <w:bookmarkEnd w:id="0"/>
      <w:r>
        <w:rPr>
          <w:rFonts w:ascii="Times New Roman" w:eastAsia="Times New Roman" w:hAnsi="Times New Roman" w:cs="Times New Roman"/>
          <w:sz w:val="24"/>
          <w:szCs w:val="24"/>
          <w:vertAlign w:val="superscript"/>
        </w:rPr>
        <w:t xml:space="preserve">1 </w:t>
      </w:r>
      <w:r>
        <w:rPr>
          <w:rFonts w:ascii="Times New Roman" w:eastAsia="Times New Roman" w:hAnsi="Times New Roman" w:cs="Times New Roman"/>
          <w:sz w:val="24"/>
          <w:szCs w:val="24"/>
        </w:rPr>
        <w:t>Discente do curso da Escola de Direito, Negócios e Comunicação da Pontifícia Universidade Católica de Goiás, 9º período. Email: pedrofalcao25@gmail.com</w:t>
      </w:r>
    </w:p>
    <w:p w14:paraId="326145A8" w14:textId="77777777" w:rsidR="00237493" w:rsidRDefault="00000000">
      <w:pPr>
        <w:widowControl w:val="0"/>
        <w:spacing w:before="78" w:line="240" w:lineRule="auto"/>
        <w:ind w:left="2202" w:right="2202"/>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INTRODUÇÃO</w:t>
      </w:r>
    </w:p>
    <w:p w14:paraId="58BA1B9E" w14:textId="77777777" w:rsidR="00237493" w:rsidRDefault="00237493">
      <w:pPr>
        <w:widowControl w:val="0"/>
        <w:spacing w:before="78" w:line="240" w:lineRule="auto"/>
        <w:ind w:left="1133" w:right="570" w:firstLine="1133"/>
        <w:jc w:val="center"/>
        <w:rPr>
          <w:rFonts w:ascii="Times New Roman" w:eastAsia="Times New Roman" w:hAnsi="Times New Roman" w:cs="Times New Roman"/>
          <w:b/>
          <w:bCs/>
          <w:sz w:val="24"/>
          <w:szCs w:val="24"/>
        </w:rPr>
      </w:pPr>
    </w:p>
    <w:p w14:paraId="76C25137" w14:textId="77777777" w:rsidR="00237493" w:rsidRDefault="00000000">
      <w:pPr>
        <w:widowControl w:val="0"/>
        <w:spacing w:before="240" w:after="240" w:line="240" w:lineRule="auto"/>
        <w:ind w:left="1133" w:right="570" w:firstLine="113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implementação do sistema PIX pelo Banco Central do Brasil, por meio da Resolução BCB n. 1/2020, trouxe inegáveis benefícios aos consumidores, como a instantaneidade das transferências, a disponibilidade ininterrupta do serviço e a simplificação das operações bancárias, promovendo maior inclusão financeira e eficiência econômica. Contudo, esse cenário também propiciou o crescimento expressivo de fraudes digitais, notadamente aquelas praticadas mediante técnicas de engenharia social, que exploram vulnerabilidades informacionais e comportamentais dos consumidores, gerando discussões jurídicas acerca do dever de reparação das instituições financeiras. O presente artigo tem como tema a responsabilidade civil dos bancos diante dos golpes perpetrados via PIX, analisada sob a ótica do Código de Defesa do Consumidor e da teoria do risco do empreendimento.</w:t>
      </w:r>
    </w:p>
    <w:p w14:paraId="17B29C80" w14:textId="77777777" w:rsidR="00237493" w:rsidRDefault="00000000">
      <w:pPr>
        <w:widowControl w:val="0"/>
        <w:spacing w:before="240" w:after="240" w:line="240" w:lineRule="auto"/>
        <w:ind w:left="1133" w:right="570" w:firstLine="113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 problema de pesquisa centra-se em definir os limites dessa responsabilidade: em que medida a instituição financeira deve responder civilmente quando o consumidor, embora execute materialmente a transferência via PIX, o faz em decorrência de fraude, coação ou manipulação psicológica promovida por terceiros? A questão revela tensão relevante entre dois vetores fundamentais do ordenamento jurídico: de um lado, a proteção do consumidor, reconhecidamente vulnerável nas relações de consumo; de outro, a necessidade de delimitar a extensão da responsabilidade objetiva do fornecedor, evitando sua transformação em garantidor universal contra todo e qualquer evento danoso. A relevância do presente estudo justifica-se pela necessidade de ponderação entre esses dois vetores, de modo a evitar tanto a desproteção do consumidor quanto a responsabilização ilimitada das instituições financeiras.</w:t>
      </w:r>
    </w:p>
    <w:p w14:paraId="3A2A952B" w14:textId="77777777" w:rsidR="00237493" w:rsidRDefault="00000000">
      <w:pPr>
        <w:widowControl w:val="0"/>
        <w:spacing w:before="240" w:after="240" w:line="240" w:lineRule="auto"/>
        <w:ind w:left="1133" w:right="570" w:firstLine="113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relevância do tema se justifica, ainda, pelo aumento expressivo de demandas judiciais envolvendo golpes via PIX, pela diversidade de entendimentos verificada nos tribunais e pela constante evolução das modalidades fraudulentas. A discussão insere-se em cenário mais amplo de transformação digital do sistema financeiro, no qual a rapidez das transações e a automatização dos processos ampliam tanto a eficiência quanto o potencial de risco. A investigação proposta não se limita à análise casuística de fraudes específicas, mas busca contribuir para a compreensão sistemática da responsabilidade civil bancária em ambiente tecnológico avançado, oferecendo reflexão crítica acerca dos desafios impostos pela digitalização das relações financeiras e pela crescente sofisticação das fraudes eletrônicas.</w:t>
      </w:r>
    </w:p>
    <w:p w14:paraId="0EA97515" w14:textId="77777777" w:rsidR="00237493" w:rsidRDefault="00000000">
      <w:pPr>
        <w:widowControl w:val="0"/>
        <w:spacing w:before="240" w:after="240" w:line="240" w:lineRule="auto"/>
        <w:ind w:left="1133" w:right="570" w:firstLine="113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 objetivo geral deste trabalho é analisar o alcance e os limites do dever de indenizar das instituições financeiras nos casos de fraudes perpetradas por meio do PIX, diferenciando as hipóteses de fortuito interno e externo e identificando os critérios adotados pelo Poder Judiciário para a caracterização da falha na prestação do serviço. Busca-se, ainda, examinar o dever de segurança inerente à atividade bancária em ambiente digital, compreender a natureza jurídica das operações realizadas via PIX e analisar como a jurisprudência tem delimitado o alcance da responsabilidade bancária nos casos em que o consumidor executa voluntariamente a transferência em decorrência de manipulação fraudulenta.</w:t>
      </w:r>
    </w:p>
    <w:p w14:paraId="15FD4DAB" w14:textId="77777777" w:rsidR="00237493" w:rsidRDefault="00000000">
      <w:pPr>
        <w:widowControl w:val="0"/>
        <w:spacing w:before="240" w:after="240" w:line="240" w:lineRule="auto"/>
        <w:ind w:left="1133" w:right="570" w:firstLine="113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No que se refere aos procedimentos metodológicos, a pesquisa adota abordagem qualitativa, com predominância do método dedutivo. Inicialmente, realiza-se revisão bibliográfica de obras doutrinárias clássicas e contemporâneas sobre responsabilidade civil, direito do consumidor e direito bancário, a fim de estabelecer o arcabouço teórico necessário à análise. Em seguida, procede-se à análise normativa das disposições do Código de Defesa do Consumidor, do Código Civil e das regulamentações expedidas pelo Banco Central do Brasil relativas ao funcionamento do PIX e aos mecanismos de segurança do sistema. Por fim, desenvolve-se exame jurisprudencial de decisões recentes do Superior Tribunal de Justiça e de tribunais estaduais, buscando identificar padrões argumentativos, fundamentos predominantes e eventuais divergências interpretativas.</w:t>
      </w:r>
    </w:p>
    <w:p w14:paraId="319964F3" w14:textId="77777777" w:rsidR="00237493" w:rsidRDefault="00000000">
      <w:pPr>
        <w:widowControl w:val="0"/>
        <w:spacing w:before="240" w:after="240" w:line="240" w:lineRule="auto"/>
        <w:ind w:left="1133" w:right="570" w:firstLine="113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O artigo está estruturado em três seções principais. Inicialmente, abordam-se os fundamentos teóricos da responsabilidade civil bancária, com destaque para a evolução do regime jurídico aplicável, a consolidação da responsabilidade objetiva e o dever de segurança em ambiente digital. Em seguida, analisa-se a dinâmica dos golpes via PIX e a configuração da falha na prestação do serviço, examinando as principais modalidades de fraude e seus critérios de imputação. Por fim, discute-se a jurisprudência brasileira sobre o tema, com enfoque na aplicação da Súmula 479 do STJ, no entendimento consolidado sobre fraudes eletrônicas e na relativização da culpa exclusiva do consumidor como excludente de responsabilidade, buscando oferecer contribuição teórica e prática ao debate jurídico contemporâneo sobre responsabilidade civil em contexto de inovação tecnológica.</w:t>
      </w:r>
    </w:p>
    <w:p w14:paraId="64C29139" w14:textId="77777777" w:rsidR="00237493" w:rsidRDefault="00237493">
      <w:pPr>
        <w:widowControl w:val="0"/>
        <w:spacing w:line="360" w:lineRule="auto"/>
        <w:jc w:val="both"/>
        <w:rPr>
          <w:rFonts w:ascii="Times New Roman" w:eastAsia="Times New Roman" w:hAnsi="Times New Roman" w:cs="Times New Roman"/>
          <w:sz w:val="24"/>
          <w:szCs w:val="24"/>
        </w:rPr>
      </w:pPr>
    </w:p>
    <w:p w14:paraId="174A1479" w14:textId="77777777" w:rsidR="00237493" w:rsidRDefault="00000000">
      <w:pPr>
        <w:spacing w:after="160" w:line="360" w:lineRule="auto"/>
        <w:ind w:left="1133" w:right="565"/>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 FUNDAMENTOS TEÓRICOS DA RESPONSABILIDADE CIVIL BANCÁRIA E DOS GOLPES VIA PIX</w:t>
      </w:r>
    </w:p>
    <w:p w14:paraId="1000147E" w14:textId="77777777" w:rsidR="00237493" w:rsidRDefault="00237493">
      <w:pPr>
        <w:spacing w:after="160" w:line="360" w:lineRule="auto"/>
        <w:ind w:right="565"/>
        <w:jc w:val="both"/>
        <w:rPr>
          <w:rFonts w:ascii="Times New Roman" w:eastAsia="Times New Roman" w:hAnsi="Times New Roman" w:cs="Times New Roman"/>
          <w:b/>
          <w:bCs/>
          <w:sz w:val="24"/>
          <w:szCs w:val="24"/>
        </w:rPr>
      </w:pPr>
    </w:p>
    <w:p w14:paraId="6E1ED187" w14:textId="77777777" w:rsidR="00237493" w:rsidRDefault="00000000">
      <w:pPr>
        <w:spacing w:after="160" w:line="360" w:lineRule="auto"/>
        <w:ind w:left="1133" w:right="56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 EVOLUÇÃO DA RESPONSABILIDADE CIVIL DOS BANCOS NO BRASIL</w:t>
      </w:r>
    </w:p>
    <w:p w14:paraId="2F592B3E" w14:textId="77777777" w:rsidR="00237493" w:rsidRDefault="00000000">
      <w:pPr>
        <w:spacing w:before="240" w:after="240" w:line="360" w:lineRule="auto"/>
        <w:ind w:left="1133" w:right="565" w:firstLine="113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 estudo da responsabilidade civil bancária exige uma análise histórica do papel desempenhado pelas instituições financeiras no ordenamento jurídico brasileiro. Durante décadas, predominou o entendimento de que a relação entre cliente e banco possuía natureza exclusivamente contratual, fundamentada nas regras do Código Civil de 1916 e, posteriormente, do Código Civil de 2002. Assim, a responsabilidade era tratada essencialmente sob a ótica subjetiva, exigindo prova de culpa, para quem a responsabilidade contratual se assentava na violação de dever jurídico preexistente.</w:t>
      </w:r>
    </w:p>
    <w:p w14:paraId="0ADCC577" w14:textId="77777777" w:rsidR="00237493" w:rsidRDefault="00000000">
      <w:pPr>
        <w:spacing w:before="240" w:after="240" w:line="360" w:lineRule="auto"/>
        <w:ind w:left="1133" w:right="565" w:firstLine="113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partir de 1990, com a consolidação do Código de Defesa do Consumidor (Lei n. 8.078/1990) e a caracterização dos bancos como fornecedores de serviços (art. 3º, §2º), operou-se uma profunda mudança de paradigma. A doutrina conjunta, dos autores Flávio Tartuce e Daniel Amorim Assumpção Neves (2021), o Manual do Direito do Consumidor, passou a enfatizar o risco inerente à atividade bancária e a adoção da responsabilidade objetiva nas relações entre bancos e consumidores. Cavalieri Filho (2022) sistematiza o conceito ao afirmar que, quando a atividade econômica expõe o consumidor a riscos, a responsabilidade deve ser objetiva, baseada no risco do empreendimento.</w:t>
      </w:r>
    </w:p>
    <w:p w14:paraId="529014D6" w14:textId="77777777" w:rsidR="00237493" w:rsidRDefault="00000000">
      <w:pPr>
        <w:spacing w:before="240" w:after="240" w:line="360" w:lineRule="auto"/>
        <w:ind w:left="1133" w:right="565" w:firstLine="113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Nesse contexto, o sistema jurídico migra de uma lógica centrada na comprovação de culpa para um modelo que privilegia a proteção do consumidor </w:t>
      </w:r>
      <w:proofErr w:type="spellStart"/>
      <w:r>
        <w:rPr>
          <w:rFonts w:ascii="Times New Roman" w:eastAsia="Times New Roman" w:hAnsi="Times New Roman" w:cs="Times New Roman"/>
          <w:sz w:val="24"/>
          <w:szCs w:val="24"/>
        </w:rPr>
        <w:t>hipervulnerável</w:t>
      </w:r>
      <w:proofErr w:type="spellEnd"/>
      <w:r>
        <w:rPr>
          <w:rFonts w:ascii="Times New Roman" w:eastAsia="Times New Roman" w:hAnsi="Times New Roman" w:cs="Times New Roman"/>
          <w:sz w:val="24"/>
          <w:szCs w:val="24"/>
        </w:rPr>
        <w:t xml:space="preserve"> e impõe ao banco o dever de oferecer segurança adequada. A jurisprudência do Superior Tribunal de Justiça consolida essa virada interpretativa com a Súmula 479, segundo a qual as instituições financeiras respondem objetivamente por danos gerados por fraudes ou delitos praticados por terceiros, pois tais ocorrências configuram fortuito interno.</w:t>
      </w:r>
    </w:p>
    <w:p w14:paraId="7C7C2ED4" w14:textId="77777777" w:rsidR="00237493" w:rsidRDefault="00000000">
      <w:pPr>
        <w:spacing w:before="240" w:after="240" w:line="360" w:lineRule="auto"/>
        <w:ind w:left="1133" w:right="565" w:firstLine="113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Essa evolução doutrinária e jurisprudencial é essencial para compreender o fenômeno contemporâneo dos golpes via PIX, que, embora novos em sua roupagem tecnológica, se inserem na mesma matriz teórica de proteção do consumidor frente ao risco da atividade bancária.</w:t>
      </w:r>
    </w:p>
    <w:p w14:paraId="431D7A18" w14:textId="77777777" w:rsidR="00237493" w:rsidRDefault="00237493">
      <w:pPr>
        <w:spacing w:before="240" w:after="240" w:line="360" w:lineRule="auto"/>
        <w:ind w:left="1133" w:right="565" w:firstLine="1133"/>
        <w:jc w:val="both"/>
        <w:rPr>
          <w:rFonts w:ascii="Times New Roman" w:eastAsia="Times New Roman" w:hAnsi="Times New Roman" w:cs="Times New Roman"/>
          <w:sz w:val="24"/>
          <w:szCs w:val="24"/>
        </w:rPr>
      </w:pPr>
    </w:p>
    <w:p w14:paraId="5CE1C6F4" w14:textId="77777777" w:rsidR="00237493" w:rsidRDefault="00000000">
      <w:pPr>
        <w:spacing w:after="160" w:line="360" w:lineRule="auto"/>
        <w:ind w:left="1133" w:right="56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1.2. O PIX E A TRANSFORMAÇÃO DOS MEIOS DE PAGAMENTO</w:t>
      </w:r>
    </w:p>
    <w:p w14:paraId="5C9A6F7B" w14:textId="77777777" w:rsidR="00237493" w:rsidRDefault="00237493">
      <w:pPr>
        <w:spacing w:after="160" w:line="360" w:lineRule="auto"/>
        <w:ind w:left="1133" w:right="565"/>
        <w:jc w:val="both"/>
        <w:rPr>
          <w:rFonts w:ascii="Times New Roman" w:eastAsia="Times New Roman" w:hAnsi="Times New Roman" w:cs="Times New Roman"/>
          <w:sz w:val="24"/>
          <w:szCs w:val="24"/>
        </w:rPr>
      </w:pPr>
    </w:p>
    <w:p w14:paraId="2BB3B0A7" w14:textId="77777777" w:rsidR="00237493" w:rsidRDefault="00000000">
      <w:pPr>
        <w:spacing w:before="240" w:after="240" w:line="360" w:lineRule="auto"/>
        <w:ind w:left="1133" w:right="565" w:firstLine="113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criação do PIX pelo Banco Central do Brasil, instituída pela Resolução BCB n. 1/2020, representa um marco na modernização do sistema financeiro nacional. O PIX se fundamenta em três pilares: instantaneidade, simplicidade e disponibilidade permanente, atributos que fortalecem a eficiência </w:t>
      </w:r>
      <w:proofErr w:type="gramStart"/>
      <w:r>
        <w:rPr>
          <w:rFonts w:ascii="Times New Roman" w:eastAsia="Times New Roman" w:hAnsi="Times New Roman" w:cs="Times New Roman"/>
          <w:sz w:val="24"/>
          <w:szCs w:val="24"/>
        </w:rPr>
        <w:t>econômica</w:t>
      </w:r>
      <w:proofErr w:type="gramEnd"/>
      <w:r>
        <w:rPr>
          <w:rFonts w:ascii="Times New Roman" w:eastAsia="Times New Roman" w:hAnsi="Times New Roman" w:cs="Times New Roman"/>
          <w:sz w:val="24"/>
          <w:szCs w:val="24"/>
        </w:rPr>
        <w:t xml:space="preserve"> mas aumentam o potencial de exploração criminosa.</w:t>
      </w:r>
    </w:p>
    <w:p w14:paraId="278CD0E2" w14:textId="77777777" w:rsidR="00237493" w:rsidRDefault="00000000">
      <w:pPr>
        <w:spacing w:before="240" w:after="240" w:line="360" w:lineRule="auto"/>
        <w:ind w:left="1133" w:right="565" w:firstLine="113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Nesse sentido, a velocidade das transações amplia a necessidade de mecanismos sofisticados de segurança e aumenta o risco ao consumidor, que se vê em ambiente de vulnerabilidade tecnológica. Sendo assim, o Banco Central reconhece tais riscos e estabelece exigências de segurança para as instituições financeiras, como autenticação forte, análise de comportamento transacional e limites </w:t>
      </w:r>
      <w:proofErr w:type="spellStart"/>
      <w:proofErr w:type="gramStart"/>
      <w:r>
        <w:rPr>
          <w:rFonts w:ascii="Times New Roman" w:eastAsia="Times New Roman" w:hAnsi="Times New Roman" w:cs="Times New Roman"/>
          <w:sz w:val="24"/>
          <w:szCs w:val="24"/>
        </w:rPr>
        <w:t>noturnos,previsto</w:t>
      </w:r>
      <w:proofErr w:type="spellEnd"/>
      <w:proofErr w:type="gramEnd"/>
      <w:r>
        <w:rPr>
          <w:rFonts w:ascii="Times New Roman" w:eastAsia="Times New Roman" w:hAnsi="Times New Roman" w:cs="Times New Roman"/>
          <w:sz w:val="24"/>
          <w:szCs w:val="24"/>
        </w:rPr>
        <w:t xml:space="preserve"> na Resolução BCB n. 103/2021. Ainda assim, a estrutura tecnológica não elimina a possibilidade de fraudes, principalmente as praticadas mediante engenharia social, modalidade que explora aspectos psicológicos e comportamentais das vítimas.</w:t>
      </w:r>
    </w:p>
    <w:p w14:paraId="60363C40" w14:textId="77777777" w:rsidR="00237493" w:rsidRDefault="00237493">
      <w:pPr>
        <w:spacing w:before="240" w:after="240" w:line="360" w:lineRule="auto"/>
        <w:ind w:left="1133" w:right="565"/>
        <w:jc w:val="both"/>
        <w:rPr>
          <w:rFonts w:ascii="Times New Roman" w:eastAsia="Times New Roman" w:hAnsi="Times New Roman" w:cs="Times New Roman"/>
          <w:sz w:val="24"/>
          <w:szCs w:val="24"/>
        </w:rPr>
      </w:pPr>
    </w:p>
    <w:p w14:paraId="1BB24E66" w14:textId="77777777" w:rsidR="00237493" w:rsidRDefault="00000000">
      <w:pPr>
        <w:spacing w:after="160" w:line="360" w:lineRule="auto"/>
        <w:ind w:left="1133" w:right="56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1.3. GOLPES DIGITAIS E ENGENHARIA SOCIAL: ASPECTOS JURÍDICOS E TECNOLÓGICOS</w:t>
      </w:r>
    </w:p>
    <w:p w14:paraId="22766F28" w14:textId="77777777" w:rsidR="00237493" w:rsidRDefault="00237493">
      <w:pPr>
        <w:spacing w:after="160" w:line="360" w:lineRule="auto"/>
        <w:ind w:left="1133" w:right="565"/>
        <w:jc w:val="both"/>
        <w:rPr>
          <w:rFonts w:ascii="Times New Roman" w:eastAsia="Times New Roman" w:hAnsi="Times New Roman" w:cs="Times New Roman"/>
          <w:sz w:val="24"/>
          <w:szCs w:val="24"/>
        </w:rPr>
      </w:pPr>
    </w:p>
    <w:p w14:paraId="34930BAD" w14:textId="77777777" w:rsidR="00237493" w:rsidRDefault="00000000">
      <w:pPr>
        <w:spacing w:after="160" w:line="360" w:lineRule="auto"/>
        <w:ind w:left="1133" w:right="565" w:firstLine="113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expressão “engenharia social”, originalmente desenvolvida por analistas de segurança da informação, refere-se ao conjunto de técnicas que manipulam usuários para obter informações ou acesso indevido. No contexto bancário, tais golpes incluem o “golpe do falso funcionário”, o “golpe do WhatsApp”, </w:t>
      </w:r>
      <w:proofErr w:type="spellStart"/>
      <w:r>
        <w:rPr>
          <w:rFonts w:ascii="Times New Roman" w:eastAsia="Times New Roman" w:hAnsi="Times New Roman" w:cs="Times New Roman"/>
          <w:sz w:val="24"/>
          <w:szCs w:val="24"/>
        </w:rPr>
        <w:t>phishing</w:t>
      </w:r>
      <w:proofErr w:type="spellEnd"/>
      <w:r>
        <w:rPr>
          <w:rFonts w:ascii="Times New Roman" w:eastAsia="Times New Roman" w:hAnsi="Times New Roman" w:cs="Times New Roman"/>
          <w:sz w:val="24"/>
          <w:szCs w:val="24"/>
        </w:rPr>
        <w:t>, sequestro-relâmpago com transferências via PIX, dentre outros.</w:t>
      </w:r>
    </w:p>
    <w:p w14:paraId="0833C3E4" w14:textId="77777777" w:rsidR="00237493" w:rsidRDefault="00000000">
      <w:pPr>
        <w:spacing w:before="240" w:after="240" w:line="360" w:lineRule="auto"/>
        <w:ind w:left="1140" w:right="570" w:firstLine="112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literatura brasileira sobre crimes cibernéticos destaca que a sofisticação dos golpes atuais desafia os modelos tradicionais de prevenção. Sendo assim, o dever de segurança </w:t>
      </w:r>
      <w:r>
        <w:rPr>
          <w:rFonts w:ascii="Times New Roman" w:eastAsia="Times New Roman" w:hAnsi="Times New Roman" w:cs="Times New Roman"/>
          <w:sz w:val="24"/>
          <w:szCs w:val="24"/>
        </w:rPr>
        <w:lastRenderedPageBreak/>
        <w:t>é diretamente proporcional ao risco do empreendimento, já que o fornecedor, por conhecer dos riscos da atividade, é responsável pela segurança dos consumidores.</w:t>
      </w:r>
    </w:p>
    <w:p w14:paraId="44EEC5B7" w14:textId="77777777" w:rsidR="00237493" w:rsidRDefault="00000000">
      <w:pPr>
        <w:spacing w:before="240" w:after="240" w:line="360" w:lineRule="auto"/>
        <w:ind w:left="1133" w:right="565" w:firstLine="113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Do ponto de vista jurídico, a engenharia social coloca um dilema prático: embora a vítima execute “voluntariamente” a transferência, essa conduta ocorre sob erro induzido, configurando vício de consentimento. Segundo Maria Helena Diniz (2021, p. 511), a declaração da vontade é elemento essencial do negócio jurídico, sendo assim, o vício de consentimento pode comprometer a validade da manifestação de vontade, especialmente quando o agente é induzido a erro, destacando-se que atos jurídicos realizados sob coação, dolo ou erro substancial são inválidos, o que reforça a tese de responsabilidade bancária quando a instituição poderia ter detectado a transação como atípica e o possível golpe.</w:t>
      </w:r>
    </w:p>
    <w:p w14:paraId="1723C6B0" w14:textId="77777777" w:rsidR="00237493" w:rsidRDefault="00000000">
      <w:pPr>
        <w:spacing w:before="240" w:after="240" w:line="360" w:lineRule="auto"/>
        <w:ind w:left="1133" w:right="565" w:firstLine="113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Assim, golpes via PIX não podem ser compreendidos como simples culpa exclusiva da vítima; eles exigem análise criteriosa dos mecanismos de mitigação de risco adotados pelas instituições financeiras.</w:t>
      </w:r>
    </w:p>
    <w:p w14:paraId="528A132C" w14:textId="77777777" w:rsidR="00237493" w:rsidRDefault="00237493">
      <w:pPr>
        <w:spacing w:before="240" w:after="240" w:line="360" w:lineRule="auto"/>
        <w:ind w:left="1133" w:right="565"/>
        <w:jc w:val="both"/>
        <w:rPr>
          <w:rFonts w:ascii="Times New Roman" w:eastAsia="Times New Roman" w:hAnsi="Times New Roman" w:cs="Times New Roman"/>
          <w:b/>
          <w:bCs/>
          <w:sz w:val="24"/>
          <w:szCs w:val="24"/>
        </w:rPr>
      </w:pPr>
    </w:p>
    <w:p w14:paraId="160E5288" w14:textId="77777777" w:rsidR="00237493" w:rsidRDefault="00000000">
      <w:pPr>
        <w:spacing w:after="160" w:line="360" w:lineRule="auto"/>
        <w:ind w:left="1133" w:right="56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1.4. O DEVER DE SEGURANÇA COMO ELEMENTO ESTRUTURAL DA ATIVIDADE BANCÁRIA</w:t>
      </w:r>
    </w:p>
    <w:p w14:paraId="3E80F330" w14:textId="77777777" w:rsidR="00237493" w:rsidRDefault="00237493">
      <w:pPr>
        <w:spacing w:after="160" w:line="360" w:lineRule="auto"/>
        <w:ind w:left="1133" w:right="565"/>
        <w:jc w:val="both"/>
        <w:rPr>
          <w:rFonts w:ascii="Times New Roman" w:eastAsia="Times New Roman" w:hAnsi="Times New Roman" w:cs="Times New Roman"/>
          <w:sz w:val="24"/>
          <w:szCs w:val="24"/>
        </w:rPr>
      </w:pPr>
    </w:p>
    <w:p w14:paraId="73FE52B9" w14:textId="77777777" w:rsidR="00237493" w:rsidRDefault="00000000">
      <w:pPr>
        <w:spacing w:after="160" w:line="360" w:lineRule="auto"/>
        <w:ind w:left="1133" w:right="565" w:firstLine="113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 dever de segurança — extensão natural do dever de prestar serviço adequado (art. 22 do CDC) — é central no debate sobre responsabilidade civil bancária. Esse dever envolve não apenas proteção física de agências, mas, sobretudo, segurança digital e operacional, incluindo: detecção de transações atípicas, análise de comportamento do usuário, mecanismos de bloqueio emergencial e autenticação multifatorial.</w:t>
      </w:r>
    </w:p>
    <w:p w14:paraId="7EB87EAF" w14:textId="77777777" w:rsidR="00237493" w:rsidRDefault="00000000">
      <w:pPr>
        <w:spacing w:before="240" w:after="240" w:line="360" w:lineRule="auto"/>
        <w:ind w:left="1133" w:right="565" w:firstLine="113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Doutrinadores modernos sustentam que a atividade bancária exige atuação preventiva e contínua para evitar danos. Sendo assim, o banco, por explorar atividade de risco, assume o dever jurídico de mitigar ameaças previsíveis decorrentes da digitalização.</w:t>
      </w:r>
    </w:p>
    <w:p w14:paraId="06E10CF8" w14:textId="77777777" w:rsidR="00237493" w:rsidRDefault="00000000">
      <w:pPr>
        <w:spacing w:before="240" w:after="240" w:line="360" w:lineRule="auto"/>
        <w:ind w:left="1133" w:right="565" w:firstLine="113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No mesmo sentido, conforme ensina Cavalieri Filho (2022), aquele que exerce atividade que gera riscos deve arcar com os prejuízos dela decorrentes, reforçando a ideia de que as instituições financeiras são responsáveis pelos prejuízos acarretados por falhas em seus sistemas de segurança. No que toca a esse assunto, Cavalieri (2021, p.505) ainda afirma: ‘'a responsabilidade objetiva da instituição financeira decorre de uma violação ao dever contratualmente assumido de gerir com segurança as movimentações bancárias de seus </w:t>
      </w:r>
      <w:proofErr w:type="gramStart"/>
      <w:r>
        <w:rPr>
          <w:rFonts w:ascii="Times New Roman" w:eastAsia="Times New Roman" w:hAnsi="Times New Roman" w:cs="Times New Roman"/>
          <w:sz w:val="24"/>
          <w:szCs w:val="24"/>
        </w:rPr>
        <w:t>clientes‘</w:t>
      </w:r>
      <w:proofErr w:type="gramEnd"/>
      <w:r>
        <w:rPr>
          <w:rFonts w:ascii="Times New Roman" w:eastAsia="Times New Roman" w:hAnsi="Times New Roman" w:cs="Times New Roman"/>
          <w:sz w:val="24"/>
          <w:szCs w:val="24"/>
        </w:rPr>
        <w:t>'.</w:t>
      </w:r>
    </w:p>
    <w:p w14:paraId="02BB3048" w14:textId="77777777" w:rsidR="00237493" w:rsidRDefault="00000000">
      <w:pPr>
        <w:spacing w:before="240" w:after="240" w:line="360" w:lineRule="auto"/>
        <w:ind w:left="1133" w:right="565" w:firstLine="113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Assim, à luz da teoria do risco do empreendimento aplicada às instituições financeiras, golpes via PIX — sobretudo quando ocorrem mediante padrões incomuns ou discrepantes do comportamento do cliente — podem evidenciar falha do serviço, atraindo a responsabilidade objetiva do banco.</w:t>
      </w:r>
    </w:p>
    <w:p w14:paraId="6237F7BF" w14:textId="77777777" w:rsidR="00237493" w:rsidRDefault="00237493">
      <w:pPr>
        <w:spacing w:before="240" w:after="240" w:line="360" w:lineRule="auto"/>
        <w:ind w:left="1133" w:right="565"/>
        <w:jc w:val="both"/>
        <w:rPr>
          <w:rFonts w:ascii="Times New Roman" w:eastAsia="Times New Roman" w:hAnsi="Times New Roman" w:cs="Times New Roman"/>
          <w:sz w:val="24"/>
          <w:szCs w:val="24"/>
        </w:rPr>
      </w:pPr>
    </w:p>
    <w:p w14:paraId="18284012" w14:textId="77777777" w:rsidR="00237493" w:rsidRDefault="00000000">
      <w:pPr>
        <w:spacing w:after="160" w:line="360" w:lineRule="auto"/>
        <w:ind w:left="1133" w:right="56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1.5. A RELEVÂNCIA DA JURISPRUDÊNCIA ATUAL DO STJ E DOS TRIBUNAIS ESTADUAIS</w:t>
      </w:r>
    </w:p>
    <w:p w14:paraId="5B2EA94F" w14:textId="77777777" w:rsidR="00237493" w:rsidRDefault="00237493">
      <w:pPr>
        <w:spacing w:after="160" w:line="360" w:lineRule="auto"/>
        <w:ind w:left="1133" w:right="565"/>
        <w:jc w:val="both"/>
        <w:rPr>
          <w:rFonts w:ascii="Times New Roman" w:eastAsia="Times New Roman" w:hAnsi="Times New Roman" w:cs="Times New Roman"/>
          <w:sz w:val="24"/>
          <w:szCs w:val="24"/>
        </w:rPr>
      </w:pPr>
    </w:p>
    <w:p w14:paraId="28223370" w14:textId="77777777" w:rsidR="00237493" w:rsidRDefault="00000000">
      <w:pPr>
        <w:spacing w:after="160" w:line="360" w:lineRule="auto"/>
        <w:ind w:left="1133" w:right="565" w:firstLine="113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construção jurisprudencial é elemento-chave para compreender o panorama atual da responsabilidade bancária. A partir de 2021, o STJ julgou centenas de casos envolvendo fraudes via PIX, consolidando três linhas principais: a responsabilidade objetiva plena, quando há falha dos sistemas do banco ou ausência de mecanismos mínimos de segurança, a responsabilidade mitigada, quando o banco demonstra que empregou todos os meios disponíveis para evitar o dano e a rara exclusão de responsabilidade, apenas quando restar comprovada culpa exclusiva da vítima, hipótese excepcional.</w:t>
      </w:r>
    </w:p>
    <w:p w14:paraId="431C0D34" w14:textId="77777777" w:rsidR="00237493" w:rsidRDefault="00000000">
      <w:pPr>
        <w:spacing w:before="240" w:after="240" w:line="360" w:lineRule="auto"/>
        <w:ind w:left="1133" w:right="565" w:firstLine="113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Assim, a doutrina processual reforça que a prova da culpa exclusiva da vítima compete ao fornecedor, conforme art. 14, §3º, do CDC. No entanto, conforme já citado, são raros os casos em que a culpa seja exclusiva do consumidor, já que logicamente, em regra não há a intenção de alguém tentar contra si mesmo. </w:t>
      </w:r>
    </w:p>
    <w:p w14:paraId="2633629A" w14:textId="77777777" w:rsidR="00237493" w:rsidRDefault="00237493">
      <w:pPr>
        <w:spacing w:before="240" w:after="240" w:line="360" w:lineRule="auto"/>
        <w:ind w:left="1133" w:right="565" w:firstLine="1133"/>
        <w:jc w:val="both"/>
        <w:rPr>
          <w:rFonts w:ascii="Times New Roman" w:eastAsia="Times New Roman" w:hAnsi="Times New Roman" w:cs="Times New Roman"/>
          <w:sz w:val="24"/>
          <w:szCs w:val="24"/>
        </w:rPr>
      </w:pPr>
    </w:p>
    <w:p w14:paraId="1C5A7834" w14:textId="77777777" w:rsidR="00237493" w:rsidRDefault="00000000">
      <w:pPr>
        <w:spacing w:after="160" w:line="360" w:lineRule="auto"/>
        <w:ind w:left="1133" w:right="56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1.6 CONSIDERAÇÕES CONCLUSIVAS DA SEÇÃO</w:t>
      </w:r>
    </w:p>
    <w:p w14:paraId="55C21697" w14:textId="77777777" w:rsidR="00237493" w:rsidRDefault="00237493">
      <w:pPr>
        <w:spacing w:after="160" w:line="360" w:lineRule="auto"/>
        <w:ind w:left="1133" w:right="565"/>
        <w:jc w:val="both"/>
        <w:rPr>
          <w:rFonts w:ascii="Times New Roman" w:eastAsia="Times New Roman" w:hAnsi="Times New Roman" w:cs="Times New Roman"/>
          <w:sz w:val="24"/>
          <w:szCs w:val="24"/>
        </w:rPr>
      </w:pPr>
    </w:p>
    <w:p w14:paraId="11E9856F" w14:textId="77777777" w:rsidR="00237493" w:rsidRDefault="00000000">
      <w:pPr>
        <w:spacing w:before="240" w:after="240" w:line="360" w:lineRule="auto"/>
        <w:ind w:left="1133" w:right="565" w:firstLine="113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análise teórica apresentada nesta primeira seção evidencia que a responsabilidade civil das instituições financeiras diante dos golpes praticados via PIX não pode ser compreendida de forma simplista ou linear. Pelo contrário, trata-se de um fenômeno que envolve elementos jurídicos, tecnológicos, econômicos e comportamentais. A evolução legislativa, a ampliação da proteção consumerista, a consolidação jurisprudencial e o surgimento de novos mecanismos digitais de pagamento revelam um cenário no qual o risco da atividade bancária assume contornos cada vez mais complexos.</w:t>
      </w:r>
    </w:p>
    <w:p w14:paraId="46B0C05A" w14:textId="77777777" w:rsidR="00237493" w:rsidRDefault="00000000">
      <w:pPr>
        <w:spacing w:before="240" w:after="240" w:line="360" w:lineRule="auto"/>
        <w:ind w:left="1133" w:right="565" w:firstLine="113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revisão doutrinária demonstra que o dever de segurança das instituições financeiras se expande na medida em que os meios eletrônicos se tornam mais dinâmicos e </w:t>
      </w:r>
      <w:r>
        <w:rPr>
          <w:rFonts w:ascii="Times New Roman" w:eastAsia="Times New Roman" w:hAnsi="Times New Roman" w:cs="Times New Roman"/>
          <w:sz w:val="24"/>
          <w:szCs w:val="24"/>
        </w:rPr>
        <w:lastRenderedPageBreak/>
        <w:t>vulneráveis, exigindo que bancos adotem mecanismos eficazes de monitoramento e prevenção de fraudes. Por outro lado, os golpes baseados em engenharia social desafiam as estruturas tradicionais da responsabilidade civil, especialmente nos casos em que a vontade do consumidor é manipulada de forma sofisticada, o que provoca debates sobre o limite entre a vulnerabilidade informacional e a autonomia privada.</w:t>
      </w:r>
    </w:p>
    <w:p w14:paraId="05D00C0C" w14:textId="77777777" w:rsidR="00237493" w:rsidRDefault="00000000">
      <w:pPr>
        <w:spacing w:before="240" w:after="240" w:line="360" w:lineRule="auto"/>
        <w:ind w:left="1133" w:right="565" w:firstLine="113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Portanto, apesar dos avanços normativos e tecnológicos, persiste a necessidade de aprofundar a compreensão sobre qual deve ser o exato alcance da responsabilidade das instituições financeiras nos casos em que o consumidor, mesmo sendo vítima de manipulação, executa voluntariamente a transação. As tensões entre a teoria do risco do empreendimento, a culpa exclusiva da vítima e o dever de segurança ainda suscitam divergências relevantes na doutrina e na jurisprudência, indicando que o tema permanece aberto e em constante construção.</w:t>
      </w:r>
    </w:p>
    <w:p w14:paraId="196AE98D" w14:textId="77777777" w:rsidR="00237493" w:rsidRDefault="00237493">
      <w:pPr>
        <w:widowControl w:val="0"/>
        <w:spacing w:line="360" w:lineRule="auto"/>
        <w:ind w:right="565"/>
        <w:jc w:val="both"/>
        <w:rPr>
          <w:rFonts w:ascii="Times New Roman" w:eastAsia="Times New Roman" w:hAnsi="Times New Roman" w:cs="Times New Roman"/>
          <w:sz w:val="24"/>
          <w:szCs w:val="24"/>
        </w:rPr>
      </w:pPr>
    </w:p>
    <w:p w14:paraId="358E7AC0" w14:textId="77777777" w:rsidR="00237493" w:rsidRDefault="00000000">
      <w:pPr>
        <w:widowControl w:val="0"/>
        <w:spacing w:line="360" w:lineRule="auto"/>
        <w:ind w:left="1133" w:right="565"/>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 A DINÂMICA DOS GOLPES VIA PIX E A CONFIGURAÇÃO DA FALHA NA PRESTAÇÃO DO SERVIÇO</w:t>
      </w:r>
    </w:p>
    <w:p w14:paraId="3607D7E4" w14:textId="77777777" w:rsidR="00237493" w:rsidRDefault="00237493">
      <w:pPr>
        <w:widowControl w:val="0"/>
        <w:spacing w:line="360" w:lineRule="auto"/>
        <w:ind w:left="1133" w:right="565"/>
        <w:jc w:val="both"/>
        <w:rPr>
          <w:rFonts w:ascii="Times New Roman" w:eastAsia="Times New Roman" w:hAnsi="Times New Roman" w:cs="Times New Roman"/>
          <w:b/>
          <w:bCs/>
          <w:sz w:val="24"/>
          <w:szCs w:val="24"/>
        </w:rPr>
      </w:pPr>
    </w:p>
    <w:p w14:paraId="65F20BE2" w14:textId="77777777" w:rsidR="00237493" w:rsidRDefault="00237493">
      <w:pPr>
        <w:widowControl w:val="0"/>
        <w:spacing w:line="360" w:lineRule="auto"/>
        <w:ind w:left="1133" w:right="565" w:firstLine="1133"/>
        <w:jc w:val="both"/>
        <w:rPr>
          <w:rFonts w:ascii="Times New Roman" w:eastAsia="Times New Roman" w:hAnsi="Times New Roman" w:cs="Times New Roman"/>
          <w:b/>
          <w:bCs/>
          <w:sz w:val="24"/>
          <w:szCs w:val="24"/>
        </w:rPr>
      </w:pPr>
    </w:p>
    <w:p w14:paraId="11BED6F0" w14:textId="77777777" w:rsidR="00237493" w:rsidRDefault="00000000">
      <w:pPr>
        <w:widowControl w:val="0"/>
        <w:tabs>
          <w:tab w:val="left" w:pos="559"/>
        </w:tabs>
        <w:spacing w:after="80" w:line="360" w:lineRule="auto"/>
        <w:ind w:left="1133" w:right="56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2.1. MODALIDADES CONTEMPORÂNEAS DE GOLPES VIA PIX E SUAS CARACTERÍSTICAS JURÍDICAS</w:t>
      </w:r>
    </w:p>
    <w:p w14:paraId="61487600" w14:textId="77777777" w:rsidR="00237493" w:rsidRDefault="00237493">
      <w:pPr>
        <w:widowControl w:val="0"/>
        <w:tabs>
          <w:tab w:val="left" w:pos="559"/>
        </w:tabs>
        <w:spacing w:after="80" w:line="360" w:lineRule="auto"/>
        <w:ind w:left="1133" w:right="565"/>
        <w:jc w:val="both"/>
        <w:rPr>
          <w:rFonts w:ascii="Times New Roman" w:eastAsia="Times New Roman" w:hAnsi="Times New Roman" w:cs="Times New Roman"/>
          <w:sz w:val="24"/>
          <w:szCs w:val="24"/>
        </w:rPr>
      </w:pPr>
    </w:p>
    <w:p w14:paraId="33E3BC69" w14:textId="77777777" w:rsidR="00237493" w:rsidRDefault="00000000">
      <w:pPr>
        <w:widowControl w:val="0"/>
        <w:tabs>
          <w:tab w:val="left" w:pos="1107"/>
        </w:tabs>
        <w:spacing w:before="240" w:after="240" w:line="360" w:lineRule="auto"/>
        <w:ind w:left="1133" w:right="565" w:firstLine="113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consolidação do sistema PIX como principal meio de transferência instantânea no Brasil desencadeia, paralelamente, a proliferação de novas modalidades de fraude digital. Diferentemente dos modelos tradicionais de estelionato bancário, as fraudes via PIX caracterizam-se pela rapidez da consumação, pela dificuldade de reversão da operação e pelo uso intensivo de técnicas de manipulação psicológica.</w:t>
      </w:r>
    </w:p>
    <w:p w14:paraId="42BFDCE3" w14:textId="77777777" w:rsidR="00237493" w:rsidRDefault="00000000">
      <w:pPr>
        <w:widowControl w:val="0"/>
        <w:tabs>
          <w:tab w:val="left" w:pos="1107"/>
        </w:tabs>
        <w:spacing w:before="240" w:after="240" w:line="360" w:lineRule="auto"/>
        <w:ind w:left="1133" w:right="565" w:firstLine="113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Entre as modalidades mais recorrentes destacam-se o golpe do falso funcionário bancário, o golpe do WhatsApp clonado, o </w:t>
      </w:r>
      <w:proofErr w:type="spellStart"/>
      <w:r>
        <w:rPr>
          <w:rFonts w:ascii="Times New Roman" w:eastAsia="Times New Roman" w:hAnsi="Times New Roman" w:cs="Times New Roman"/>
          <w:sz w:val="24"/>
          <w:szCs w:val="24"/>
        </w:rPr>
        <w:t>phishing</w:t>
      </w:r>
      <w:proofErr w:type="spellEnd"/>
      <w:r>
        <w:rPr>
          <w:rFonts w:ascii="Times New Roman" w:eastAsia="Times New Roman" w:hAnsi="Times New Roman" w:cs="Times New Roman"/>
          <w:sz w:val="24"/>
          <w:szCs w:val="24"/>
        </w:rPr>
        <w:t xml:space="preserve"> bancário, o falso suporte técnico, o sequestro-relâmpago com transferências instantâneas e as fraudes mediante invasão de dispositivos eletrônicos. Tais práticas apresentam um elemento chave em comum: a indução da vítima a realizar voluntariamente a transferência, acreditando agir em situação legítima, dessa forma, a própria vítima realiza a transferência, sem a necessidade </w:t>
      </w:r>
      <w:proofErr w:type="gramStart"/>
      <w:r>
        <w:rPr>
          <w:rFonts w:ascii="Times New Roman" w:eastAsia="Times New Roman" w:hAnsi="Times New Roman" w:cs="Times New Roman"/>
          <w:sz w:val="24"/>
          <w:szCs w:val="24"/>
        </w:rPr>
        <w:t>dos</w:t>
      </w:r>
      <w:proofErr w:type="gramEnd"/>
      <w:r>
        <w:rPr>
          <w:rFonts w:ascii="Times New Roman" w:eastAsia="Times New Roman" w:hAnsi="Times New Roman" w:cs="Times New Roman"/>
          <w:sz w:val="24"/>
          <w:szCs w:val="24"/>
        </w:rPr>
        <w:t xml:space="preserve"> golpistas invadirem a conta da vítima, livrando-os de possíveis rastros.</w:t>
      </w:r>
    </w:p>
    <w:p w14:paraId="5589DB03" w14:textId="77777777" w:rsidR="00237493" w:rsidRDefault="00000000">
      <w:pPr>
        <w:widowControl w:val="0"/>
        <w:tabs>
          <w:tab w:val="left" w:pos="1107"/>
        </w:tabs>
        <w:spacing w:before="240" w:after="240" w:line="360" w:lineRule="auto"/>
        <w:ind w:left="1133" w:right="565" w:firstLine="113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Do ponto de vista jurídico, essas fraudes suscitam relevante debate acerca da validade do consentimento manifestado pelo consumidor. Ainda que a transação seja </w:t>
      </w:r>
      <w:r>
        <w:rPr>
          <w:rFonts w:ascii="Times New Roman" w:eastAsia="Times New Roman" w:hAnsi="Times New Roman" w:cs="Times New Roman"/>
          <w:sz w:val="24"/>
          <w:szCs w:val="24"/>
        </w:rPr>
        <w:lastRenderedPageBreak/>
        <w:t>formalmente autorizada pelo titular da conta, a vontade pode estar viciada por erro, dolo ou coação. O ato jurídico pressupõe manifestação livre e consciente; quando a decisão é fruto de manipulação fraudulenta, questiona-se a efetiva autonomia da vontade.</w:t>
      </w:r>
    </w:p>
    <w:p w14:paraId="24A3E72C" w14:textId="77777777" w:rsidR="00237493" w:rsidRDefault="00000000">
      <w:pPr>
        <w:widowControl w:val="0"/>
        <w:tabs>
          <w:tab w:val="left" w:pos="1107"/>
        </w:tabs>
        <w:spacing w:before="240" w:after="240" w:line="360" w:lineRule="auto"/>
        <w:ind w:left="1133" w:right="565" w:firstLine="113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Além disso, a instantaneidade do PIX reduz o tempo de reação para bloqueios preventivos, o que amplia a relevância dos sistemas automatizados de detecção de comportamento atípico. Assim, as características técnicas do sistema tornam-se juridicamente relevantes, pois ampliam o risco inerente à atividade bancária e exigem padrões mais rigorosos de segurança.</w:t>
      </w:r>
    </w:p>
    <w:p w14:paraId="3EE837BC" w14:textId="77777777" w:rsidR="00237493" w:rsidRDefault="00000000">
      <w:pPr>
        <w:widowControl w:val="0"/>
        <w:tabs>
          <w:tab w:val="left" w:pos="1107"/>
        </w:tabs>
        <w:spacing w:before="240" w:after="240" w:line="360" w:lineRule="auto"/>
        <w:ind w:left="1133" w:right="565" w:firstLine="113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compreensão das modalidades de golpes, portanto, constitui etapa indispensável para a análise das eventuais falhas na prestação do serviço bancário.</w:t>
      </w:r>
    </w:p>
    <w:p w14:paraId="6DAEFC57" w14:textId="77777777" w:rsidR="00237493" w:rsidRDefault="00237493">
      <w:pPr>
        <w:widowControl w:val="0"/>
        <w:tabs>
          <w:tab w:val="left" w:pos="1107"/>
        </w:tabs>
        <w:spacing w:before="240" w:after="240" w:line="360" w:lineRule="auto"/>
        <w:ind w:left="1133" w:right="565" w:firstLine="1133"/>
        <w:jc w:val="both"/>
        <w:rPr>
          <w:rFonts w:ascii="Times New Roman" w:eastAsia="Times New Roman" w:hAnsi="Times New Roman" w:cs="Times New Roman"/>
          <w:sz w:val="24"/>
          <w:szCs w:val="24"/>
        </w:rPr>
      </w:pPr>
    </w:p>
    <w:p w14:paraId="6D1375A9" w14:textId="77777777" w:rsidR="00237493" w:rsidRDefault="00000000">
      <w:pPr>
        <w:widowControl w:val="0"/>
        <w:tabs>
          <w:tab w:val="left" w:pos="559"/>
        </w:tabs>
        <w:spacing w:after="80" w:line="360" w:lineRule="auto"/>
        <w:ind w:left="1133" w:right="56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2.2. A FALHA NA PRESTAÇÃO DO SERVIÇO BANCÁRIO E OS CRITÉRIOS DE IMPUTAÇÃO DA RESPONSABILIDADE</w:t>
      </w:r>
    </w:p>
    <w:p w14:paraId="1E95CF81" w14:textId="77777777" w:rsidR="00237493" w:rsidRDefault="00237493">
      <w:pPr>
        <w:widowControl w:val="0"/>
        <w:tabs>
          <w:tab w:val="left" w:pos="559"/>
        </w:tabs>
        <w:spacing w:after="80" w:line="360" w:lineRule="auto"/>
        <w:ind w:left="1133" w:right="565"/>
        <w:jc w:val="both"/>
        <w:rPr>
          <w:rFonts w:ascii="Times New Roman" w:eastAsia="Times New Roman" w:hAnsi="Times New Roman" w:cs="Times New Roman"/>
          <w:sz w:val="24"/>
          <w:szCs w:val="24"/>
        </w:rPr>
      </w:pPr>
    </w:p>
    <w:p w14:paraId="74464C1F" w14:textId="77777777" w:rsidR="00237493" w:rsidRDefault="00000000">
      <w:pPr>
        <w:widowControl w:val="0"/>
        <w:tabs>
          <w:tab w:val="left" w:pos="1107"/>
        </w:tabs>
        <w:spacing w:before="240" w:after="240" w:line="360" w:lineRule="auto"/>
        <w:ind w:left="1133" w:right="565" w:firstLine="113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Nos termos do art. 14 do Código de Defesa do Consumidor, o fornecedor responde, independentemente de culpa, pelos danos causados por defeitos relativos à prestação dos serviços. No âmbito bancário, a falha pode decorrer tanto de vulnerabilidade estrutural do sistema quanto da insuficiência de mecanismos preventivos contra fraudes.</w:t>
      </w:r>
    </w:p>
    <w:p w14:paraId="47E32D4F" w14:textId="77777777" w:rsidR="00237493" w:rsidRDefault="00000000">
      <w:pPr>
        <w:widowControl w:val="0"/>
        <w:tabs>
          <w:tab w:val="left" w:pos="1107"/>
        </w:tabs>
        <w:spacing w:before="240" w:after="240" w:line="360" w:lineRule="auto"/>
        <w:ind w:left="1133" w:right="565" w:firstLine="113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caracterização da falha exige exame das circunstâncias concretas do caso, especialmente quanto à previsibilidade do evento danoso. A atividade bancária contemporânea envolve riscos tecnológicos conhecidos e recorrentes. Operações completamente destoantes do perfil do consumidor, movimentações em valores elevados e sucessivos, criação repentina de chaves PIX ou alterações abruptas de padrão comportamental são situações que, em tese, podem ser detectadas por sistemas antifraude eficientes.</w:t>
      </w:r>
    </w:p>
    <w:p w14:paraId="714E06D7" w14:textId="77777777" w:rsidR="00237493" w:rsidRDefault="00000000">
      <w:pPr>
        <w:widowControl w:val="0"/>
        <w:tabs>
          <w:tab w:val="left" w:pos="1107"/>
        </w:tabs>
        <w:spacing w:before="240" w:after="240" w:line="360" w:lineRule="auto"/>
        <w:ind w:left="1133" w:right="565" w:firstLine="113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Nessa perspectiva, o dever de segurança assume dimensão ativa. Assim, não se exige do banco a eliminação absoluta de todo risco — o que seria inviável —, mas a adoção de medidas proporcionais ao estágio tecnológico disponível e à previsibilidade das fraudes. A ausência de monitoramento eficaz pode configurar defeito do serviço, atraindo a responsabilidade objetiva.</w:t>
      </w:r>
    </w:p>
    <w:p w14:paraId="59694976" w14:textId="77777777" w:rsidR="00237493" w:rsidRDefault="00000000">
      <w:pPr>
        <w:widowControl w:val="0"/>
        <w:tabs>
          <w:tab w:val="left" w:pos="1107"/>
        </w:tabs>
        <w:spacing w:before="240" w:after="240" w:line="360" w:lineRule="auto"/>
        <w:ind w:left="1133" w:right="565" w:firstLine="113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Por outro lado, a exclusão da responsabilidade somente se admite quando comprovada culpa exclusiva da vítima, conforme art. 14, §3º, II, do CDC. Todavia, a simples </w:t>
      </w:r>
      <w:r>
        <w:rPr>
          <w:rFonts w:ascii="Times New Roman" w:eastAsia="Times New Roman" w:hAnsi="Times New Roman" w:cs="Times New Roman"/>
          <w:sz w:val="24"/>
          <w:szCs w:val="24"/>
        </w:rPr>
        <w:lastRenderedPageBreak/>
        <w:t>autorização formal da transferência não caracteriza, automaticamente, culpa exclusiva, sendo necessário demonstrar que o evento foi imprevisível e inevitável mesmo diante da adoção de todas as cautelas exigíveis da instituição financeira.</w:t>
      </w:r>
    </w:p>
    <w:p w14:paraId="37340850" w14:textId="77777777" w:rsidR="00237493" w:rsidRDefault="00000000">
      <w:pPr>
        <w:widowControl w:val="0"/>
        <w:tabs>
          <w:tab w:val="left" w:pos="1107"/>
        </w:tabs>
        <w:spacing w:before="240" w:after="240" w:line="360" w:lineRule="auto"/>
        <w:ind w:left="1133" w:right="565" w:firstLine="113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Assim, a imputação da responsabilidade exige ponderação entre o dever de segurança do banco e o comportamento do consumidor, observando-se os princípios da boa-fé objetiva e da proteção da parte vulnerável.</w:t>
      </w:r>
    </w:p>
    <w:p w14:paraId="622FB3BC" w14:textId="77777777" w:rsidR="00237493" w:rsidRDefault="00237493">
      <w:pPr>
        <w:widowControl w:val="0"/>
        <w:tabs>
          <w:tab w:val="left" w:pos="1107"/>
        </w:tabs>
        <w:spacing w:before="136" w:line="360" w:lineRule="auto"/>
        <w:ind w:left="1133" w:right="565" w:firstLine="1133"/>
        <w:jc w:val="both"/>
        <w:rPr>
          <w:rFonts w:ascii="Times New Roman" w:eastAsia="Times New Roman" w:hAnsi="Times New Roman" w:cs="Times New Roman"/>
          <w:sz w:val="24"/>
          <w:szCs w:val="24"/>
        </w:rPr>
      </w:pPr>
    </w:p>
    <w:p w14:paraId="5B0F28DC" w14:textId="77777777" w:rsidR="00237493" w:rsidRDefault="00000000">
      <w:pPr>
        <w:widowControl w:val="0"/>
        <w:tabs>
          <w:tab w:val="left" w:pos="559"/>
        </w:tabs>
        <w:spacing w:after="80" w:line="360" w:lineRule="auto"/>
        <w:ind w:left="1133" w:right="56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2.3. O DEVER DE PREVENÇÃO, E OS LIMITES DA RESPONSABILIDADE</w:t>
      </w:r>
    </w:p>
    <w:p w14:paraId="6F9F5989" w14:textId="77777777" w:rsidR="00237493" w:rsidRDefault="00237493">
      <w:pPr>
        <w:widowControl w:val="0"/>
        <w:tabs>
          <w:tab w:val="left" w:pos="559"/>
        </w:tabs>
        <w:spacing w:after="80" w:line="360" w:lineRule="auto"/>
        <w:ind w:left="1133" w:right="565"/>
        <w:jc w:val="both"/>
        <w:rPr>
          <w:rFonts w:ascii="Times New Roman" w:eastAsia="Times New Roman" w:hAnsi="Times New Roman" w:cs="Times New Roman"/>
          <w:sz w:val="24"/>
          <w:szCs w:val="24"/>
        </w:rPr>
      </w:pPr>
    </w:p>
    <w:p w14:paraId="4F3ABFE6" w14:textId="77777777" w:rsidR="00237493" w:rsidRDefault="00000000">
      <w:pPr>
        <w:widowControl w:val="0"/>
        <w:tabs>
          <w:tab w:val="left" w:pos="1129"/>
        </w:tabs>
        <w:spacing w:after="80" w:line="360" w:lineRule="auto"/>
        <w:ind w:left="1133" w:right="565" w:firstLine="113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análise da responsabilidade civil das instituições financeiras no contexto do PIX deve considerar também o papel regulatório do Banco Central do Brasil. Como autoridade supervisora do Sistema Financeiro Nacional, o órgão estabelece diretrizes de segurança destinadas à mitigação de riscos, como os limites noturnos de transferência, autenticação reforçada e o recentemente lançado, mecanismo de devolução de valores em casos de fraude.</w:t>
      </w:r>
    </w:p>
    <w:p w14:paraId="1BE0C062" w14:textId="77777777" w:rsidR="00237493" w:rsidRDefault="00000000">
      <w:pPr>
        <w:widowControl w:val="0"/>
        <w:tabs>
          <w:tab w:val="left" w:pos="1129"/>
        </w:tabs>
        <w:spacing w:before="240" w:after="240" w:line="360" w:lineRule="auto"/>
        <w:ind w:left="1133" w:right="565" w:firstLine="113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regulamentação demonstra reconhecimento institucional de que o sistema, embora eficiente, envolve riscos relevantes. Entretanto, o cumprimento formal das normas administrativas não esgota o dever de segurança das instituições financeiras. A atividade bancária exige constante atualização tecnológica e adaptação às novas modalidades criminosas.</w:t>
      </w:r>
    </w:p>
    <w:p w14:paraId="184143AD" w14:textId="77777777" w:rsidR="00237493" w:rsidRDefault="00000000">
      <w:pPr>
        <w:widowControl w:val="0"/>
        <w:tabs>
          <w:tab w:val="left" w:pos="1107"/>
        </w:tabs>
        <w:spacing w:before="240" w:after="240" w:line="360" w:lineRule="auto"/>
        <w:ind w:left="1133" w:right="565" w:firstLine="113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Nesse contexto, a responsabilidade civil desempenha função não apenas reparatória, mas também preventiva e pedagógica. Ao impor o dever de indenizar quando constatada falha na prestação do serviço, o ordenamento jurídico incentiva o aperfeiçoamento dos mecanismos de proteção e contribui para a estabilidade do sistema financeiro.</w:t>
      </w:r>
    </w:p>
    <w:p w14:paraId="1ACDEFAF" w14:textId="77777777" w:rsidR="00237493" w:rsidRDefault="00000000">
      <w:pPr>
        <w:widowControl w:val="0"/>
        <w:tabs>
          <w:tab w:val="left" w:pos="1107"/>
        </w:tabs>
        <w:spacing w:before="240" w:after="240" w:line="360" w:lineRule="auto"/>
        <w:ind w:left="1133" w:right="565" w:firstLine="113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Contudo, a delimitação da responsabilidade deve evitar tanto a banalização do dever de indenizar quanto a transferência integral do risco ao consumidor. Assim, o equilíbrio entre inovação tecnológica e proteção jurídica constitui desafio central do Direito contemporâneo, exigindo interpretação sistemática das normas consumeristas, cíveis e regulatórias.</w:t>
      </w:r>
    </w:p>
    <w:p w14:paraId="6970CA03" w14:textId="77777777" w:rsidR="00237493" w:rsidRDefault="00000000">
      <w:pPr>
        <w:widowControl w:val="0"/>
        <w:tabs>
          <w:tab w:val="left" w:pos="1107"/>
        </w:tabs>
        <w:spacing w:before="240" w:after="240" w:line="360" w:lineRule="auto"/>
        <w:ind w:left="1133" w:right="565" w:firstLine="113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Dessa forma, se reforça que a responsabilidade civil dos bancos em casos de golpes via PIX não se resolve por fórmulas automáticas, mas na realidade depende de avaliação concreta da falha do serviço, da previsibilidade do risco e do grau de diligência exigível da instituição financeira.</w:t>
      </w:r>
    </w:p>
    <w:p w14:paraId="2702D332" w14:textId="77777777" w:rsidR="00237493" w:rsidRDefault="00237493">
      <w:pPr>
        <w:widowControl w:val="0"/>
        <w:tabs>
          <w:tab w:val="left" w:pos="1107"/>
        </w:tabs>
        <w:spacing w:before="136" w:line="360" w:lineRule="auto"/>
        <w:ind w:left="1133" w:right="565" w:firstLine="1133"/>
        <w:rPr>
          <w:rFonts w:ascii="Times New Roman" w:eastAsia="Times New Roman" w:hAnsi="Times New Roman" w:cs="Times New Roman"/>
          <w:sz w:val="24"/>
          <w:szCs w:val="24"/>
        </w:rPr>
      </w:pPr>
    </w:p>
    <w:p w14:paraId="326CF38A" w14:textId="77777777" w:rsidR="00237493" w:rsidRDefault="00000000">
      <w:pPr>
        <w:widowControl w:val="0"/>
        <w:tabs>
          <w:tab w:val="left" w:pos="1107"/>
        </w:tabs>
        <w:spacing w:after="80" w:line="360" w:lineRule="auto"/>
        <w:ind w:left="1133" w:right="56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2.4. O MECANISMO ESPECIAL DE DEVOLUÇÃO (MED) E OS DEMAIS AVANÇOS INSTITUCIONAIS NA MITIGAÇÃO DE FRAUDES VIA PIX</w:t>
      </w:r>
    </w:p>
    <w:p w14:paraId="18C7CED3" w14:textId="77777777" w:rsidR="00237493" w:rsidRDefault="00237493">
      <w:pPr>
        <w:widowControl w:val="0"/>
        <w:tabs>
          <w:tab w:val="left" w:pos="1107"/>
        </w:tabs>
        <w:spacing w:after="80" w:line="360" w:lineRule="auto"/>
        <w:ind w:left="1133" w:right="565"/>
        <w:jc w:val="both"/>
        <w:rPr>
          <w:rFonts w:ascii="Times New Roman" w:eastAsia="Times New Roman" w:hAnsi="Times New Roman" w:cs="Times New Roman"/>
          <w:sz w:val="24"/>
          <w:szCs w:val="24"/>
        </w:rPr>
      </w:pPr>
    </w:p>
    <w:p w14:paraId="44563863" w14:textId="77777777" w:rsidR="00237493" w:rsidRDefault="00000000">
      <w:pPr>
        <w:widowControl w:val="0"/>
        <w:tabs>
          <w:tab w:val="left" w:pos="1107"/>
        </w:tabs>
        <w:spacing w:after="80" w:line="360" w:lineRule="auto"/>
        <w:ind w:left="1133" w:right="565" w:firstLine="113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 crescimento expressivo de golpes financeiros praticados por meio do sistema PIX impulsionou a adoção de medidas regulatórias voltadas à mitigação de danos e à tentativa de recuperação de valores transferidos indevidamente. Nesse contexto, destaca-se o atual Mecanismo Especial de Devolução (MED), instrumento instituído pelo Banco Central do Brasil com o objetivo de viabilizar a devolução de recursos nos casos de fraude, falha operacional ou crime.</w:t>
      </w:r>
    </w:p>
    <w:p w14:paraId="3ABE0F99" w14:textId="77777777" w:rsidR="00237493" w:rsidRDefault="00000000">
      <w:pPr>
        <w:widowControl w:val="0"/>
        <w:tabs>
          <w:tab w:val="left" w:pos="1107"/>
        </w:tabs>
        <w:spacing w:before="240" w:after="240" w:line="360" w:lineRule="auto"/>
        <w:ind w:left="1133" w:right="565" w:firstLine="113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 MED passou a ser obrigatório em 2 (dois) de fevereiro de 2026 como procedimento padronizado entre as instituições participantes do arranjo PIX, permitindo que o banco da vítima solicite ao banco recebedor o bloqueio cautelar dos valores ainda disponíveis na conta de destino, possibilitando posterior restituição. Trata-se de mecanismo relevante, pois reconhece oficialmente a existência de fraudes estruturais no sistema e busca criar fluxo operacional mais célere para resposta aos golpes digitais.</w:t>
      </w:r>
    </w:p>
    <w:p w14:paraId="28692E0F" w14:textId="77777777" w:rsidR="00237493" w:rsidRDefault="00000000">
      <w:pPr>
        <w:widowControl w:val="0"/>
        <w:tabs>
          <w:tab w:val="left" w:pos="1107"/>
        </w:tabs>
        <w:spacing w:before="240" w:after="240" w:line="360" w:lineRule="auto"/>
        <w:ind w:left="1133" w:right="565" w:firstLine="113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operacionalização do MED pressupõe comunicação imediata do cliente à instituição financeira, análise preliminar da ocorrência e envio de solicitação formal ao banco destinatário dos recursos. Caso haja saldo disponível, o valor pode ser bloqueado e devolvido ao consumidor após apuração interna. A medida representa avanço significativo quando comparada ao cenário anterior, em que a recuperação de valores dependia exclusivamente de ordem judicial ou cooperação informal entre as instituições.</w:t>
      </w:r>
    </w:p>
    <w:p w14:paraId="6618C83E" w14:textId="77777777" w:rsidR="00237493" w:rsidRDefault="00000000">
      <w:pPr>
        <w:widowControl w:val="0"/>
        <w:tabs>
          <w:tab w:val="left" w:pos="1107"/>
        </w:tabs>
        <w:spacing w:before="240" w:after="240" w:line="360" w:lineRule="auto"/>
        <w:ind w:left="1133" w:right="565" w:firstLine="113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Entretanto, embora o MED constitua instrumento importante de mitigação de prejuízos, sua eficácia encontra limitações práticas relevantes. A principal delas reside na rapidez com que os valores são pulverizados entre múltiplas contas ou convertidos em outros ativos, o que frequentemente inviabiliza o bloqueio integral do montante transferido. Ademais, o mecanismo depende da atuação diligente das instituições financeiras e da pronta comunicação da vítima, o que nem sempre ocorre em tempo hábil.</w:t>
      </w:r>
    </w:p>
    <w:p w14:paraId="5FC6E7B6" w14:textId="77777777" w:rsidR="00237493" w:rsidRDefault="00000000">
      <w:pPr>
        <w:widowControl w:val="0"/>
        <w:tabs>
          <w:tab w:val="left" w:pos="1107"/>
        </w:tabs>
        <w:spacing w:before="240" w:after="240" w:line="360" w:lineRule="auto"/>
        <w:ind w:left="1133" w:right="565" w:firstLine="113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Outro ponto de debate refere-se ao caráter não automático da devolução. O MED não garante restituição integral dos valores, mas apenas viabiliza tentativa de bloqueio do saldo remanescente. Assim, quando os recursos já foram sacados ou transferidos para outras contas, a frustração da recuperação é comum, o que mantém o consumidor em posição de vulnerabilidade.</w:t>
      </w:r>
    </w:p>
    <w:p w14:paraId="6CB40E40" w14:textId="77777777" w:rsidR="00237493" w:rsidRDefault="00000000">
      <w:pPr>
        <w:widowControl w:val="0"/>
        <w:tabs>
          <w:tab w:val="left" w:pos="1107"/>
        </w:tabs>
        <w:spacing w:before="240" w:after="240" w:line="360" w:lineRule="auto"/>
        <w:ind w:left="1133" w:right="565" w:firstLine="113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Sob perspectiva jurídica, a existência do MED não afasta, por si só, a </w:t>
      </w:r>
      <w:r>
        <w:rPr>
          <w:rFonts w:ascii="Times New Roman" w:eastAsia="Times New Roman" w:hAnsi="Times New Roman" w:cs="Times New Roman"/>
          <w:sz w:val="24"/>
          <w:szCs w:val="24"/>
        </w:rPr>
        <w:lastRenderedPageBreak/>
        <w:t>responsabilidade civil da instituição financeira. Ademais, o mecanismo tem sido alvo de uso indevido por agentes fraudulentos, que se valem do instrumento para solicitar estornos de transações legítimas, causando prejuízos a comerciantes e lojistas (ESTADÃO, 2026). Tal circunstância evidencia que o MED, embora relevante, ainda carece de aprimoramentos para evitar sua utilização como veículo de novas modalidades de fraude.</w:t>
      </w:r>
    </w:p>
    <w:p w14:paraId="5293A4FC" w14:textId="77777777" w:rsidR="00237493" w:rsidRDefault="00000000">
      <w:pPr>
        <w:widowControl w:val="0"/>
        <w:tabs>
          <w:tab w:val="left" w:pos="1107"/>
        </w:tabs>
        <w:spacing w:before="240" w:after="240" w:line="360" w:lineRule="auto"/>
        <w:ind w:left="1133" w:right="565" w:firstLine="1133"/>
        <w:jc w:val="both"/>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Nota-se portanto</w:t>
      </w:r>
      <w:proofErr w:type="gramEnd"/>
      <w:r>
        <w:rPr>
          <w:rFonts w:ascii="Times New Roman" w:eastAsia="Times New Roman" w:hAnsi="Times New Roman" w:cs="Times New Roman"/>
          <w:sz w:val="24"/>
          <w:szCs w:val="24"/>
        </w:rPr>
        <w:t xml:space="preserve"> que o mecanismo instituído pelo Banco Central do Brasil, apenas constitui ferramenta de mitigação de danos, não devendo substituir o dever de segurança inerente à atividade bancária.</w:t>
      </w:r>
    </w:p>
    <w:p w14:paraId="052D3B94" w14:textId="77777777" w:rsidR="00237493" w:rsidRDefault="00000000">
      <w:pPr>
        <w:widowControl w:val="0"/>
        <w:tabs>
          <w:tab w:val="left" w:pos="1107"/>
        </w:tabs>
        <w:spacing w:before="240" w:after="240" w:line="360" w:lineRule="auto"/>
        <w:ind w:left="1140" w:right="565" w:firstLine="112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Desse modo, ainda que o MED represente avanço institucional relevante na tentativa de resolução dos problemas decorrentes de golpes digitais, verifica-se que sua atuação permanece limitada diante da sofisticação das organizações criminosas e da velocidade das transações eletrônicas. Sendo assim, a proteção efetiva do consumidor exige não apenas mecanismos reativos de devolução, mas investimentos contínuos em prevenção, monitoramento comportamental, inteligência artificial antifraude e educação digital.</w:t>
      </w:r>
    </w:p>
    <w:p w14:paraId="3353630D" w14:textId="77777777" w:rsidR="00237493" w:rsidRDefault="00000000">
      <w:pPr>
        <w:widowControl w:val="0"/>
        <w:tabs>
          <w:tab w:val="left" w:pos="1107"/>
        </w:tabs>
        <w:spacing w:before="240" w:after="240" w:line="360" w:lineRule="auto"/>
        <w:ind w:left="1140" w:right="565" w:firstLine="112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Conclui-se que o Mecanismo Especial de Devolução constitui passo importante na construção de um ambiente mais seguro para as transações via PIX, mas não encerra o debate sobre a segurança do sistema financeiro. Ainda persistem desafios estruturais que demandam aprimoramento regulatório, tecnológico e jurisprudencial, indicando que a tutela do consumidor diante das fraudes digitais ainda percorre processo de consolidação no ordenamento jurídico brasileiro.</w:t>
      </w:r>
    </w:p>
    <w:p w14:paraId="210BABBD" w14:textId="77777777" w:rsidR="00237493" w:rsidRDefault="00237493">
      <w:pPr>
        <w:widowControl w:val="0"/>
        <w:tabs>
          <w:tab w:val="left" w:pos="1107"/>
        </w:tabs>
        <w:spacing w:before="240" w:after="240" w:line="360" w:lineRule="auto"/>
        <w:ind w:left="1140" w:right="565"/>
        <w:jc w:val="both"/>
        <w:rPr>
          <w:rFonts w:ascii="Times New Roman" w:eastAsia="Times New Roman" w:hAnsi="Times New Roman" w:cs="Times New Roman"/>
          <w:sz w:val="24"/>
          <w:szCs w:val="24"/>
        </w:rPr>
      </w:pPr>
    </w:p>
    <w:p w14:paraId="57C8261C" w14:textId="77777777" w:rsidR="00237493" w:rsidRDefault="00000000">
      <w:pPr>
        <w:widowControl w:val="0"/>
        <w:spacing w:before="480" w:line="360" w:lineRule="auto"/>
        <w:ind w:left="1140" w:right="565" w:hanging="5"/>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3. A JURISPRUDÊNCIA BRASILEIRA SOBRE A RESPONSABILIDADE CIVIL DAS INSTITUIÇÕES FINANCEIRAS EM CASOS DE FRAUDES VIA PIX</w:t>
      </w:r>
    </w:p>
    <w:p w14:paraId="346ADFB5" w14:textId="77777777" w:rsidR="00237493" w:rsidRDefault="00237493">
      <w:pPr>
        <w:widowControl w:val="0"/>
        <w:spacing w:before="480" w:line="360" w:lineRule="auto"/>
        <w:ind w:left="1140" w:right="565" w:hanging="5"/>
        <w:jc w:val="both"/>
        <w:rPr>
          <w:rFonts w:ascii="Times New Roman" w:eastAsia="Times New Roman" w:hAnsi="Times New Roman" w:cs="Times New Roman"/>
          <w:b/>
          <w:bCs/>
          <w:sz w:val="24"/>
          <w:szCs w:val="24"/>
        </w:rPr>
      </w:pPr>
    </w:p>
    <w:p w14:paraId="0314ECF0" w14:textId="77777777" w:rsidR="00237493" w:rsidRDefault="00000000">
      <w:pPr>
        <w:widowControl w:val="0"/>
        <w:spacing w:before="240" w:after="240" w:line="360" w:lineRule="auto"/>
        <w:ind w:left="1140" w:right="565" w:firstLine="112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análise jurisprudencial revela que a responsabilidade civil das instituições financeiras em casos de fraudes digitais, inclusive aquelas realizadas por meio do sistema PIX, tem sido construída com base em entendimentos já consolidados no ordenamento jurídico brasileiro. Ainda que o PIX seja relativamente recente, os tribunais, especialmente o Superior Tribunal de Justiça, têm aplicado fundamentos já estabelecidos para fraudes bancárias em geral, adaptando-os à nova realidade tecnológica.</w:t>
      </w:r>
    </w:p>
    <w:p w14:paraId="54D25FEB" w14:textId="77777777" w:rsidR="00237493" w:rsidRDefault="00000000">
      <w:pPr>
        <w:widowControl w:val="0"/>
        <w:spacing w:before="240" w:after="240" w:line="360" w:lineRule="auto"/>
        <w:ind w:left="1140" w:right="565" w:firstLine="112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Nesse contexto, a jurisprudência assume papel fundamental na delimitação dos critérios de responsabilização, contribuindo para a uniformização da interpretação jurídica e para a proteção do consumidor diante dos riscos inerentes às transações digitais.</w:t>
      </w:r>
    </w:p>
    <w:p w14:paraId="25B6A513" w14:textId="77777777" w:rsidR="00237493" w:rsidRDefault="00237493">
      <w:pPr>
        <w:widowControl w:val="0"/>
        <w:spacing w:before="240" w:after="240" w:line="360" w:lineRule="auto"/>
        <w:ind w:left="1140" w:right="565" w:firstLine="1125"/>
        <w:jc w:val="both"/>
        <w:rPr>
          <w:rFonts w:ascii="Times New Roman" w:eastAsia="Times New Roman" w:hAnsi="Times New Roman" w:cs="Times New Roman"/>
          <w:sz w:val="24"/>
          <w:szCs w:val="24"/>
        </w:rPr>
      </w:pPr>
    </w:p>
    <w:p w14:paraId="6AE78731" w14:textId="77777777" w:rsidR="00237493" w:rsidRDefault="00000000">
      <w:pPr>
        <w:widowControl w:val="0"/>
        <w:spacing w:after="80" w:line="360" w:lineRule="auto"/>
        <w:ind w:left="1140" w:right="56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3.1 A APLICAÇÃO DA SÚMULA 479 DO STJ</w:t>
      </w:r>
    </w:p>
    <w:p w14:paraId="4F3A52F8" w14:textId="77777777" w:rsidR="00237493" w:rsidRDefault="00237493">
      <w:pPr>
        <w:widowControl w:val="0"/>
        <w:spacing w:after="80" w:line="360" w:lineRule="auto"/>
        <w:ind w:left="1140" w:right="565"/>
        <w:jc w:val="both"/>
        <w:rPr>
          <w:rFonts w:ascii="Times New Roman" w:eastAsia="Times New Roman" w:hAnsi="Times New Roman" w:cs="Times New Roman"/>
          <w:sz w:val="24"/>
          <w:szCs w:val="24"/>
        </w:rPr>
      </w:pPr>
    </w:p>
    <w:p w14:paraId="0B8DCACA" w14:textId="77777777" w:rsidR="00237493" w:rsidRDefault="00000000">
      <w:pPr>
        <w:widowControl w:val="0"/>
        <w:spacing w:before="240" w:after="240" w:line="360" w:lineRule="auto"/>
        <w:ind w:left="1140" w:right="565" w:firstLine="112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 principal fundamento jurisprudencial para a responsabilização das instituições financeiras em casos de fraude encontra-se consolidado na Súmula 479 do Superior Tribunal de Justiça, segundo a qual: “As instituições financeiras respondem objetivamente pelos danos gerados por fortuito interno relativo a fraudes e delitos praticados por terceiros no âmbito de operações bancárias.”</w:t>
      </w:r>
    </w:p>
    <w:p w14:paraId="59A960ED" w14:textId="77777777" w:rsidR="00237493" w:rsidRDefault="00000000">
      <w:pPr>
        <w:widowControl w:val="0"/>
        <w:spacing w:before="240" w:after="240" w:line="360" w:lineRule="auto"/>
        <w:ind w:left="1140" w:right="565" w:firstLine="112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Tal entendimento estabelece que fraudes e golpes praticados por terceiros não configuram, em regra, evento externo capaz de afastar a responsabilidade do banco. Ao contrário, são considerados fortuito interno, ou seja, riscos inerentes à própria atividade bancária.</w:t>
      </w:r>
    </w:p>
    <w:p w14:paraId="51F8511E" w14:textId="77777777" w:rsidR="00237493" w:rsidRDefault="00000000">
      <w:pPr>
        <w:widowControl w:val="0"/>
        <w:spacing w:before="240" w:after="240" w:line="360" w:lineRule="auto"/>
        <w:ind w:left="1140" w:right="565" w:firstLine="112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Esse posicionamento foi reafirmado em diversos julgados, como no Recurso Especial nº 1.197.929/PR, no qual o STJ reconheceu que fraudes bancárias se inserem no risco do empreendimento, devendo a instituição financeira responder pelos danos causados ao consumidor, nos casos de golpes </w:t>
      </w:r>
      <w:proofErr w:type="gramStart"/>
      <w:r>
        <w:rPr>
          <w:rFonts w:ascii="Times New Roman" w:eastAsia="Times New Roman" w:hAnsi="Times New Roman" w:cs="Times New Roman"/>
          <w:sz w:val="24"/>
          <w:szCs w:val="24"/>
        </w:rPr>
        <w:t>financeiros  em</w:t>
      </w:r>
      <w:proofErr w:type="gramEnd"/>
      <w:r>
        <w:rPr>
          <w:rFonts w:ascii="Times New Roman" w:eastAsia="Times New Roman" w:hAnsi="Times New Roman" w:cs="Times New Roman"/>
          <w:sz w:val="24"/>
          <w:szCs w:val="24"/>
        </w:rPr>
        <w:t xml:space="preserve"> geral.</w:t>
      </w:r>
    </w:p>
    <w:p w14:paraId="3E4CD0C1" w14:textId="77777777" w:rsidR="00237493" w:rsidRDefault="00000000">
      <w:pPr>
        <w:widowControl w:val="0"/>
        <w:spacing w:before="240" w:after="240" w:line="360" w:lineRule="auto"/>
        <w:ind w:left="1140" w:right="565" w:firstLine="112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Com a popularização do PIX, esse entendimento passou a ser aplicado também às transferências instantâneas, uma vez que tais operações integram o conjunto de serviços oferecidos pelas instituições financeiras. Assim, mesmo quando a fraude é praticada por terceiros, a responsabilidade do banco pode ser reconhecida caso haja falha na segurança ou na prestação do serviço.</w:t>
      </w:r>
    </w:p>
    <w:p w14:paraId="23F14253" w14:textId="77777777" w:rsidR="00237493" w:rsidRDefault="00237493">
      <w:pPr>
        <w:widowControl w:val="0"/>
        <w:spacing w:before="240" w:after="240" w:line="360" w:lineRule="auto"/>
        <w:ind w:left="1140" w:right="565" w:firstLine="1125"/>
        <w:jc w:val="both"/>
        <w:rPr>
          <w:rFonts w:ascii="Times New Roman" w:eastAsia="Times New Roman" w:hAnsi="Times New Roman" w:cs="Times New Roman"/>
          <w:sz w:val="24"/>
          <w:szCs w:val="24"/>
        </w:rPr>
      </w:pPr>
    </w:p>
    <w:p w14:paraId="798A2531" w14:textId="77777777" w:rsidR="00237493" w:rsidRDefault="00000000">
      <w:pPr>
        <w:widowControl w:val="0"/>
        <w:spacing w:after="80" w:line="360" w:lineRule="auto"/>
        <w:ind w:left="1133" w:right="56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3.2 ENTENDIMENTO DO STJ SOBRE AS FRAUDES ELETRÔNICAS</w:t>
      </w:r>
    </w:p>
    <w:p w14:paraId="43C1CE19" w14:textId="77777777" w:rsidR="00237493" w:rsidRDefault="00237493">
      <w:pPr>
        <w:widowControl w:val="0"/>
        <w:spacing w:after="80" w:line="360" w:lineRule="auto"/>
        <w:ind w:left="1133" w:right="565"/>
        <w:jc w:val="both"/>
        <w:rPr>
          <w:rFonts w:ascii="Times New Roman" w:eastAsia="Times New Roman" w:hAnsi="Times New Roman" w:cs="Times New Roman"/>
          <w:sz w:val="24"/>
          <w:szCs w:val="24"/>
        </w:rPr>
      </w:pPr>
    </w:p>
    <w:p w14:paraId="7D0C7450" w14:textId="77777777" w:rsidR="00237493" w:rsidRDefault="00000000">
      <w:pPr>
        <w:widowControl w:val="0"/>
        <w:spacing w:before="240" w:after="240" w:line="360" w:lineRule="auto"/>
        <w:ind w:left="1133" w:right="565" w:firstLine="112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jurisprudência do STJ tem enfatizado o dever de segurança das instituições financeiras, especialmente no que se refere à prevenção de fraudes eletrônicas. Em diversos julgados, o Tribunal destacou que os bancos devem adotar mecanismos eficazes de </w:t>
      </w:r>
      <w:r>
        <w:rPr>
          <w:rFonts w:ascii="Times New Roman" w:eastAsia="Times New Roman" w:hAnsi="Times New Roman" w:cs="Times New Roman"/>
          <w:sz w:val="24"/>
          <w:szCs w:val="24"/>
        </w:rPr>
        <w:lastRenderedPageBreak/>
        <w:t>monitoramento e proteção das operações realizadas por seus clientes.</w:t>
      </w:r>
    </w:p>
    <w:p w14:paraId="61D71C18" w14:textId="77777777" w:rsidR="00237493" w:rsidRDefault="00000000">
      <w:pPr>
        <w:widowControl w:val="0"/>
        <w:spacing w:before="240" w:after="240" w:line="360" w:lineRule="auto"/>
        <w:ind w:left="1133" w:right="565" w:firstLine="112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Nesse sentido, destacam-se a Súmula 479 e o Tema Repetitivo 466, além do Recurso Especial nº 1.197.929/PR (2010/0111325-0), de relatoria do Ministro </w:t>
      </w:r>
      <w:proofErr w:type="spellStart"/>
      <w:r>
        <w:rPr>
          <w:rFonts w:ascii="Times New Roman" w:eastAsia="Times New Roman" w:hAnsi="Times New Roman" w:cs="Times New Roman"/>
          <w:sz w:val="24"/>
          <w:szCs w:val="24"/>
        </w:rPr>
        <w:t>Luis</w:t>
      </w:r>
      <w:proofErr w:type="spellEnd"/>
      <w:r>
        <w:rPr>
          <w:rFonts w:ascii="Times New Roman" w:eastAsia="Times New Roman" w:hAnsi="Times New Roman" w:cs="Times New Roman"/>
          <w:sz w:val="24"/>
          <w:szCs w:val="24"/>
        </w:rPr>
        <w:t xml:space="preserve"> Felipe Salomão (2011), no qual o STJ reconheceu que fraudes bancárias se inserem no risco do empreendimento, devendo a instituição financeira responder pelos danos causados ao consumidor. Tal entendimento firmou a regra geral de que o fortuito interno — assim compreendido o risco inerente à própria atividade bancária — não afasta a responsabilidade objetiva da instituição, ainda que a fraude tenha sido praticada por terceiros.</w:t>
      </w:r>
    </w:p>
    <w:p w14:paraId="145DA874" w14:textId="77777777" w:rsidR="00237493" w:rsidRDefault="00000000">
      <w:pPr>
        <w:widowControl w:val="0"/>
        <w:spacing w:before="240" w:after="240" w:line="360" w:lineRule="auto"/>
        <w:ind w:left="1133" w:right="565" w:firstLine="112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Dessa forma, a orientação predominante do STJ é no sentido de que as instituições financeiras não podem se eximir do dever de indenizar sob o simples argumento de que a operação fraudulenta foi executada por agente externo, cabendo ao banco demonstrar que adotou todas as medidas de segurança proporcionais ao risco da atividade.</w:t>
      </w:r>
    </w:p>
    <w:p w14:paraId="6814148C" w14:textId="77777777" w:rsidR="00237493" w:rsidRDefault="00237493">
      <w:pPr>
        <w:widowControl w:val="0"/>
        <w:spacing w:before="240" w:after="240" w:line="360" w:lineRule="auto"/>
        <w:ind w:left="1133" w:right="565" w:firstLine="1125"/>
        <w:jc w:val="both"/>
        <w:rPr>
          <w:rFonts w:ascii="Times New Roman" w:eastAsia="Times New Roman" w:hAnsi="Times New Roman" w:cs="Times New Roman"/>
          <w:sz w:val="24"/>
          <w:szCs w:val="24"/>
        </w:rPr>
      </w:pPr>
    </w:p>
    <w:p w14:paraId="656537B7" w14:textId="77777777" w:rsidR="00237493" w:rsidRDefault="00000000">
      <w:pPr>
        <w:widowControl w:val="0"/>
        <w:spacing w:after="80" w:line="360" w:lineRule="auto"/>
        <w:ind w:left="1133" w:right="56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3.3 A RELATIVIZAÇÃO DA CULPA EXCLUSIVA DO CONSUMIDOR</w:t>
      </w:r>
    </w:p>
    <w:p w14:paraId="77176728" w14:textId="77777777" w:rsidR="00237493" w:rsidRDefault="00237493">
      <w:pPr>
        <w:widowControl w:val="0"/>
        <w:spacing w:after="80" w:line="360" w:lineRule="auto"/>
        <w:ind w:left="1133" w:right="565"/>
        <w:jc w:val="both"/>
        <w:rPr>
          <w:rFonts w:ascii="Times New Roman" w:eastAsia="Times New Roman" w:hAnsi="Times New Roman" w:cs="Times New Roman"/>
          <w:sz w:val="24"/>
          <w:szCs w:val="24"/>
        </w:rPr>
      </w:pPr>
    </w:p>
    <w:p w14:paraId="57DD5726" w14:textId="77777777" w:rsidR="00237493" w:rsidRDefault="00000000">
      <w:pPr>
        <w:widowControl w:val="0"/>
        <w:spacing w:before="240" w:after="240" w:line="360" w:lineRule="auto"/>
        <w:ind w:left="1133" w:right="565" w:firstLine="113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Embora a responsabilidade objetiva das instituições financeiras seja a regra consolidada, o STJ reconhece, de forma excepcional e restritiva, hipóteses em que a culpa exclusiva do consumidor pode afastar o dever de indenizar. É o que se observa no julgamento do Recurso Especial nº 1.633.785/SP (2016/0278977-3), de relatoria do Ministro Ricardo Villas Bôas </w:t>
      </w:r>
      <w:proofErr w:type="spellStart"/>
      <w:r>
        <w:rPr>
          <w:rFonts w:ascii="Times New Roman" w:eastAsia="Times New Roman" w:hAnsi="Times New Roman" w:cs="Times New Roman"/>
          <w:sz w:val="24"/>
          <w:szCs w:val="24"/>
        </w:rPr>
        <w:t>Cueva</w:t>
      </w:r>
      <w:proofErr w:type="spellEnd"/>
      <w:r>
        <w:rPr>
          <w:rFonts w:ascii="Times New Roman" w:eastAsia="Times New Roman" w:hAnsi="Times New Roman" w:cs="Times New Roman"/>
          <w:sz w:val="24"/>
          <w:szCs w:val="24"/>
        </w:rPr>
        <w:t>, julgado em 24 de outubro de 2017, no qual o Tribunal decidiu que a fraude realizada mediante o uso do cartão e da senha do próprio correntista afasta a responsabilidade da instituição financeira, servindo como caso de analogia para o futuro do pix. Segundo o entendimento adotado, o uso desses meios implica presunção de que foi o próprio titular ou alguém de sua confiança quem realizou a operação, configurando culpa exclusiva da vítima.</w:t>
      </w:r>
    </w:p>
    <w:p w14:paraId="6165431D" w14:textId="77777777" w:rsidR="00237493" w:rsidRDefault="00000000">
      <w:pPr>
        <w:widowControl w:val="0"/>
        <w:spacing w:before="240" w:after="240" w:line="360" w:lineRule="auto"/>
        <w:ind w:left="1133" w:right="565" w:firstLine="113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Contudo, trata-se de hipótese tratada com cautela pelo Judiciário. </w:t>
      </w:r>
      <w:proofErr w:type="gramStart"/>
      <w:r>
        <w:rPr>
          <w:rFonts w:ascii="Times New Roman" w:eastAsia="Times New Roman" w:hAnsi="Times New Roman" w:cs="Times New Roman"/>
          <w:sz w:val="24"/>
          <w:szCs w:val="24"/>
        </w:rPr>
        <w:t>A jurisprudência dos tribunais estaduais brasileiros têm</w:t>
      </w:r>
      <w:proofErr w:type="gramEnd"/>
      <w:r>
        <w:rPr>
          <w:rFonts w:ascii="Times New Roman" w:eastAsia="Times New Roman" w:hAnsi="Times New Roman" w:cs="Times New Roman"/>
          <w:sz w:val="24"/>
          <w:szCs w:val="24"/>
        </w:rPr>
        <w:t xml:space="preserve"> acompanhado a orientação do STJ no sentido de relativizar a aplicação da culpa exclusiva do consumidor, reconhecendo que a complexidade das fraudes digitais exige análise aprofundada das circunstâncias do caso concreto, e não apenas da aparente autorização formal da operação. Dessa forma, observa-se que o Judiciário tem evitado a aplicação automática dessa excludente, exigindo que a instituição financeira demonstre, de forma concreta, que o evento foi imprevisível e inevitável mesmo diante da adoção de todas as cautelas exigíveis.</w:t>
      </w:r>
    </w:p>
    <w:p w14:paraId="04CCA879" w14:textId="77777777" w:rsidR="00237493" w:rsidRDefault="00000000">
      <w:pPr>
        <w:widowControl w:val="0"/>
        <w:spacing w:before="240" w:after="240" w:line="360" w:lineRule="auto"/>
        <w:ind w:left="1133" w:right="565" w:firstLine="113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Assim, a jurisprudência reforça a necessidade de análise casuística dos casos de fraude via PIX, já que as condições em que cada golpe foi realizado definem como será o provável julgamento do juízo, de forma a equilibrar a proteção do consumidor com os limites da responsabilidade civil, evitando tanto a transformação das instituições financeiras em garantidoras universais de todo prejuízo decorrente de golpes digitais quanto a transferência integral do risco ao consumidor final.</w:t>
      </w:r>
    </w:p>
    <w:p w14:paraId="3A67E3E1" w14:textId="77777777" w:rsidR="00237493" w:rsidRDefault="00237493">
      <w:pPr>
        <w:widowControl w:val="0"/>
        <w:spacing w:before="240" w:after="240" w:line="360" w:lineRule="auto"/>
        <w:ind w:left="1133" w:right="565" w:firstLine="1133"/>
        <w:jc w:val="both"/>
        <w:rPr>
          <w:rFonts w:ascii="Times New Roman" w:eastAsia="Times New Roman" w:hAnsi="Times New Roman" w:cs="Times New Roman"/>
          <w:sz w:val="24"/>
          <w:szCs w:val="24"/>
        </w:rPr>
      </w:pPr>
    </w:p>
    <w:p w14:paraId="3E9DF1E0" w14:textId="77777777" w:rsidR="00237493" w:rsidRDefault="00000000">
      <w:pPr>
        <w:widowControl w:val="0"/>
        <w:spacing w:before="240" w:after="240" w:line="360" w:lineRule="auto"/>
        <w:ind w:left="1133" w:right="565"/>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CONCLUSÃO</w:t>
      </w:r>
    </w:p>
    <w:p w14:paraId="4C54EE9F" w14:textId="77777777" w:rsidR="00237493" w:rsidRDefault="00237493">
      <w:pPr>
        <w:widowControl w:val="0"/>
        <w:spacing w:line="360" w:lineRule="auto"/>
        <w:ind w:left="1133" w:right="565" w:firstLine="1133"/>
        <w:rPr>
          <w:rFonts w:ascii="Times New Roman" w:eastAsia="Times New Roman" w:hAnsi="Times New Roman" w:cs="Times New Roman"/>
          <w:b/>
          <w:bCs/>
          <w:sz w:val="24"/>
          <w:szCs w:val="24"/>
        </w:rPr>
      </w:pPr>
    </w:p>
    <w:p w14:paraId="71533834" w14:textId="77777777" w:rsidR="00237493" w:rsidRDefault="00000000">
      <w:pPr>
        <w:spacing w:before="240" w:after="240" w:line="360" w:lineRule="auto"/>
        <w:ind w:left="1133" w:right="565" w:firstLine="113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 presente estudo demonstrou que a responsabilidade civil das instituições financeiras nos casos de golpes praticados por meio do PIX deve ser analisada à luz da teoria do risco da atividade, da responsabilidade objetiva prevista no Código de Defesa do Consumidor e do dever de segurança inerente à atividade bancária contemporânea. A evolução tecnológica do sistema financeiro ampliou significativamente a eficiência, a rapidez e a acessibilidade das transações bancárias, mas também potencializou a ocorrência de fraudes eletrônicas sofisticadas, especialmente aquelas baseadas em engenharia social, impondo novos desafios à proteção jurídica do consumidor.</w:t>
      </w:r>
    </w:p>
    <w:p w14:paraId="20A0190E" w14:textId="77777777" w:rsidR="00237493" w:rsidRDefault="00000000">
      <w:pPr>
        <w:spacing w:before="240" w:after="240" w:line="360" w:lineRule="auto"/>
        <w:ind w:left="1133" w:right="565" w:firstLine="113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Verificou-se que, no atual cenário jurisprudencial brasileiro, a responsabilidade civil dos bancos é, como regra geral, objetiva, nos termos do art. 14 do Código de Defesa do Consumidor e da Súmula 479 do Superior Tribunal de Justiça. Assim, fraudes praticadas por terceiros no âmbito das operações bancárias são compreendidas como fortuito interno, uma vez que decorrem dos próprios riscos inerentes à atividade econômica explorada pelas instituições financeiras. Dessa forma, a simples alegação de que a transação foi formalmente autorizada pelo consumidor não é suficiente para afastar automaticamente o dever de indenizar, sobretudo quando houver falha nos mecanismos de prevenção, monitoramento e detecção de operações atípicas.</w:t>
      </w:r>
    </w:p>
    <w:p w14:paraId="38EDF2CC" w14:textId="77777777" w:rsidR="00237493" w:rsidRDefault="00000000">
      <w:pPr>
        <w:spacing w:before="240" w:after="240" w:line="360" w:lineRule="auto"/>
        <w:ind w:left="1133" w:right="565" w:firstLine="113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análise da jurisprudência do Superior Tribunal de Justiça e dos tribunais estaduais evidenciou que o Poder Judiciário vem adotando entendimento predominantemente protetivo ao consumidor, especialmente nos casos em que as instituições financeiras deixam de implementar mecanismos eficazes de segurança compatíveis com os riscos tecnológicos atualmente conhecidos. A aplicação da Súmula 479 do STJ consolidou a compreensão de que os bancos possuem dever permanente de vigilância e prevenção contra fraudes eletrônicas, </w:t>
      </w:r>
      <w:r>
        <w:rPr>
          <w:rFonts w:ascii="Times New Roman" w:eastAsia="Times New Roman" w:hAnsi="Times New Roman" w:cs="Times New Roman"/>
          <w:sz w:val="24"/>
          <w:szCs w:val="24"/>
        </w:rPr>
        <w:lastRenderedPageBreak/>
        <w:t>cabendo-lhes a adoção de medidas suficientes para impedir operações manifestamente suspeitas ou incompatíveis com o perfil do correntista.</w:t>
      </w:r>
    </w:p>
    <w:p w14:paraId="1B88453E" w14:textId="77777777" w:rsidR="00237493" w:rsidRDefault="00000000">
      <w:pPr>
        <w:spacing w:before="240" w:after="240" w:line="360" w:lineRule="auto"/>
        <w:ind w:left="1133" w:right="565" w:firstLine="113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Entretanto, o estudo também demonstrou que a responsabilidade bancária não possui caráter absoluto. A jurisprudência tem reconhecido, de forma excepcional e restritiva, hipóteses de afastamento do dever de indenizar quando comprovada culpa exclusiva da vítima, especialmente nos casos em que o consumidor fornece voluntariamente credenciais pessoais, senhas ou realiza operações conscientes sem qualquer indício de falha sistêmica detectável pela instituição financeira. Nesses casos, entende-se que ocorre ruptura do nexo causal, afastando-se a responsabilidade objetiva do banco. Ainda assim, observou-se que os tribunais têm relativizado a aplicação automática dessa excludente, exigindo análise concreta das circunstâncias do caso e da efetiva previsibilidade do evento danoso.</w:t>
      </w:r>
    </w:p>
    <w:p w14:paraId="55D519CA" w14:textId="77777777" w:rsidR="00237493" w:rsidRDefault="00000000">
      <w:pPr>
        <w:spacing w:before="240" w:after="240" w:line="360" w:lineRule="auto"/>
        <w:ind w:left="1133" w:right="565" w:firstLine="113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Além disso, constatou-se que os principais desafios para a efetiva proteção do consumidor em ambiente digital decorrem da crescente </w:t>
      </w:r>
      <w:proofErr w:type="spellStart"/>
      <w:r>
        <w:rPr>
          <w:rFonts w:ascii="Times New Roman" w:eastAsia="Times New Roman" w:hAnsi="Times New Roman" w:cs="Times New Roman"/>
          <w:sz w:val="24"/>
          <w:szCs w:val="24"/>
        </w:rPr>
        <w:t>hipervulnerabilidade</w:t>
      </w:r>
      <w:proofErr w:type="spellEnd"/>
      <w:r>
        <w:rPr>
          <w:rFonts w:ascii="Times New Roman" w:eastAsia="Times New Roman" w:hAnsi="Times New Roman" w:cs="Times New Roman"/>
          <w:sz w:val="24"/>
          <w:szCs w:val="24"/>
        </w:rPr>
        <w:t xml:space="preserve"> dos usuários diante da sofisticação das fraudes eletrônicas e da velocidade das inovações tecnológicas no sistema bancário. A instantaneidade das operações via PIX, associada à utilização de técnicas avançadas de manipulação psicológica, reduz significativamente a capacidade de reação do consumidor e amplia a necessidade de mecanismos preventivos mais eficientes por parte das instituições financeiras.</w:t>
      </w:r>
    </w:p>
    <w:p w14:paraId="6B4B320C" w14:textId="77777777" w:rsidR="00237493" w:rsidRDefault="00000000">
      <w:pPr>
        <w:spacing w:before="240" w:after="240" w:line="360" w:lineRule="auto"/>
        <w:ind w:left="1133" w:right="565" w:firstLine="113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Nesse contexto, mecanismos regulatórios recentes, como o Mecanismo Especial de Devolução (MED), representam avanços relevantes na tentativa de mitigar os prejuízos decorrentes das fraudes digitais. Contudo, verificou-se que tais instrumentos ainda apresentam limitações práticas e operacionais, especialmente diante da rapidez com que os valores são pulverizados pelos agentes criminosos e da própria utilização indevida do sistema para novas modalidades fraudulentas. Assim, a proteção efetiva do consumidor não pode depender exclusivamente de instrumentos reparatórios posteriores ao dano, exigindo investimentos contínuos em inteligência artificial antifraude, monitoramento comportamental, autenticação reforçada e educação digital da população.</w:t>
      </w:r>
    </w:p>
    <w:p w14:paraId="3ECBE421" w14:textId="77777777" w:rsidR="00237493" w:rsidRDefault="00000000">
      <w:pPr>
        <w:spacing w:before="240" w:after="240" w:line="360" w:lineRule="auto"/>
        <w:ind w:left="1133" w:right="565" w:firstLine="113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Conclui-se, portanto, que a adequada compatibilização entre inovação tecnológica, eficiência econômica e segurança jurídica exige interpretação equilibrada do ordenamento jurídico, de modo a evitar tanto a banalização do dever de indenizar quanto a transferência integral dos riscos da atividade bancária ao consumidor. A responsabilidade civil das instituições financeiras permanece instrumento essencial de proteção do usuário do sistema financeiro, devendo sua aplicação observar os princípios da proporcionalidade, da </w:t>
      </w:r>
      <w:r>
        <w:rPr>
          <w:rFonts w:ascii="Times New Roman" w:eastAsia="Times New Roman" w:hAnsi="Times New Roman" w:cs="Times New Roman"/>
          <w:sz w:val="24"/>
          <w:szCs w:val="24"/>
        </w:rPr>
        <w:lastRenderedPageBreak/>
        <w:t>razoabilidade, da boa-fé objetiva e da confiança legítima, assegurando equilíbrio nas relações de consumo em ambiente digital cada vez mais complexo e dinâmico.</w:t>
      </w:r>
    </w:p>
    <w:p w14:paraId="2EFBA3E0" w14:textId="77777777" w:rsidR="00237493" w:rsidRDefault="00237493">
      <w:pPr>
        <w:spacing w:before="240" w:after="240" w:line="360" w:lineRule="auto"/>
        <w:ind w:left="1133" w:right="565" w:firstLine="1133"/>
        <w:jc w:val="both"/>
        <w:rPr>
          <w:rFonts w:ascii="Times New Roman" w:eastAsia="Times New Roman" w:hAnsi="Times New Roman" w:cs="Times New Roman"/>
          <w:sz w:val="24"/>
          <w:szCs w:val="24"/>
        </w:rPr>
      </w:pPr>
    </w:p>
    <w:p w14:paraId="06CA92B5" w14:textId="77777777" w:rsidR="00237493" w:rsidRDefault="00237493">
      <w:pPr>
        <w:spacing w:before="240" w:after="240" w:line="360" w:lineRule="auto"/>
        <w:ind w:left="1133" w:right="565" w:firstLine="1133"/>
        <w:jc w:val="both"/>
        <w:rPr>
          <w:rFonts w:ascii="Times New Roman" w:eastAsia="Times New Roman" w:hAnsi="Times New Roman" w:cs="Times New Roman"/>
          <w:sz w:val="24"/>
          <w:szCs w:val="24"/>
        </w:rPr>
      </w:pPr>
    </w:p>
    <w:p w14:paraId="246AE46D" w14:textId="77777777" w:rsidR="00237493" w:rsidRDefault="00237493">
      <w:pPr>
        <w:spacing w:before="240" w:after="240" w:line="360" w:lineRule="auto"/>
        <w:ind w:left="1133" w:right="565" w:firstLine="1133"/>
        <w:jc w:val="both"/>
        <w:rPr>
          <w:rFonts w:ascii="Times New Roman" w:eastAsia="Times New Roman" w:hAnsi="Times New Roman" w:cs="Times New Roman"/>
          <w:sz w:val="24"/>
          <w:szCs w:val="24"/>
        </w:rPr>
      </w:pPr>
    </w:p>
    <w:p w14:paraId="33C9E5B1" w14:textId="77777777" w:rsidR="00237493" w:rsidRDefault="00237493">
      <w:pPr>
        <w:spacing w:before="240" w:after="240" w:line="360" w:lineRule="auto"/>
        <w:ind w:right="565"/>
        <w:jc w:val="both"/>
        <w:rPr>
          <w:rFonts w:ascii="Times New Roman" w:eastAsia="Times New Roman" w:hAnsi="Times New Roman" w:cs="Times New Roman"/>
          <w:sz w:val="24"/>
          <w:szCs w:val="24"/>
        </w:rPr>
      </w:pPr>
    </w:p>
    <w:p w14:paraId="637D84B3" w14:textId="77777777" w:rsidR="00237493" w:rsidRDefault="00000000">
      <w:pPr>
        <w:spacing w:before="240" w:after="240" w:line="360" w:lineRule="auto"/>
        <w:ind w:left="1133" w:right="565"/>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REFERÊNCIAS</w:t>
      </w:r>
    </w:p>
    <w:p w14:paraId="6158B937" w14:textId="77777777" w:rsidR="00237493" w:rsidRDefault="00237493">
      <w:pPr>
        <w:spacing w:before="240" w:after="240" w:line="360" w:lineRule="auto"/>
        <w:ind w:left="1133" w:right="565"/>
        <w:rPr>
          <w:rFonts w:ascii="Times New Roman" w:eastAsia="Times New Roman" w:hAnsi="Times New Roman" w:cs="Times New Roman"/>
          <w:b/>
          <w:bCs/>
          <w:sz w:val="24"/>
          <w:szCs w:val="24"/>
        </w:rPr>
      </w:pPr>
    </w:p>
    <w:p w14:paraId="23C66C4B" w14:textId="77777777" w:rsidR="00237493" w:rsidRDefault="00000000">
      <w:pPr>
        <w:spacing w:line="240" w:lineRule="auto"/>
        <w:ind w:left="1133" w:right="565"/>
        <w:rPr>
          <w:rFonts w:ascii="Times New Roman" w:eastAsia="Times New Roman" w:hAnsi="Times New Roman" w:cs="Times New Roman"/>
          <w:sz w:val="24"/>
          <w:szCs w:val="24"/>
        </w:rPr>
      </w:pPr>
      <w:r>
        <w:rPr>
          <w:rFonts w:ascii="Times New Roman" w:eastAsia="Times New Roman" w:hAnsi="Times New Roman" w:cs="Times New Roman"/>
          <w:sz w:val="24"/>
          <w:szCs w:val="24"/>
        </w:rPr>
        <w:t>ACRE. Tribunal de Justiça do Acre.</w:t>
      </w:r>
      <w:r>
        <w:rPr>
          <w:rFonts w:ascii="Times New Roman" w:eastAsia="Times New Roman" w:hAnsi="Times New Roman" w:cs="Times New Roman"/>
          <w:sz w:val="24"/>
          <w:szCs w:val="24"/>
        </w:rPr>
        <w:br/>
        <w:t>2ª Turma Recursal mantém sentença que negou ressarcimento por PIX enviado mediante fraude. Disponível em: https://www.tjac.jus.br/2024/10/2a-turma-recursal-mantem-sentenca-que-negou-a-consumidor-ressarcimento-por-pix-enviado-mediante-fraude/. Acesso em: 21 mar.2026</w:t>
      </w:r>
    </w:p>
    <w:p w14:paraId="0E352FA6" w14:textId="77777777" w:rsidR="00237493" w:rsidRDefault="00237493">
      <w:pPr>
        <w:spacing w:line="240" w:lineRule="auto"/>
        <w:ind w:left="1133" w:right="565"/>
        <w:rPr>
          <w:rFonts w:ascii="Times New Roman" w:eastAsia="Times New Roman" w:hAnsi="Times New Roman" w:cs="Times New Roman"/>
          <w:sz w:val="24"/>
          <w:szCs w:val="24"/>
        </w:rPr>
      </w:pPr>
    </w:p>
    <w:p w14:paraId="2971A1D6" w14:textId="77777777" w:rsidR="00237493" w:rsidRDefault="00000000">
      <w:pPr>
        <w:spacing w:line="240" w:lineRule="auto"/>
        <w:ind w:left="1133" w:right="565"/>
        <w:rPr>
          <w:rFonts w:ascii="Times New Roman" w:eastAsia="Times New Roman" w:hAnsi="Times New Roman" w:cs="Times New Roman"/>
          <w:sz w:val="24"/>
          <w:szCs w:val="24"/>
        </w:rPr>
      </w:pPr>
      <w:r>
        <w:rPr>
          <w:rFonts w:ascii="Times New Roman" w:eastAsia="Times New Roman" w:hAnsi="Times New Roman" w:cs="Times New Roman"/>
          <w:sz w:val="24"/>
          <w:szCs w:val="24"/>
        </w:rPr>
        <w:t>BANCO CENTRAL DO BRASIL. Manual de Segurança do Pix. Versão 3.7. Brasília, 05 jun. 2025. Disponível em: https://www.bcb.gov.br/content/estabilidadefinanceira/cedsfn/Manual_de_Seguranca_PIX.pdfAcesso em: 25 set. 2025.</w:t>
      </w:r>
    </w:p>
    <w:p w14:paraId="075A60DE" w14:textId="77777777" w:rsidR="00237493" w:rsidRDefault="00237493">
      <w:pPr>
        <w:spacing w:line="240" w:lineRule="auto"/>
        <w:ind w:left="1133" w:right="565"/>
        <w:rPr>
          <w:rFonts w:ascii="Times New Roman" w:eastAsia="Times New Roman" w:hAnsi="Times New Roman" w:cs="Times New Roman"/>
          <w:sz w:val="24"/>
          <w:szCs w:val="24"/>
        </w:rPr>
      </w:pPr>
    </w:p>
    <w:p w14:paraId="3142DB1F" w14:textId="77777777" w:rsidR="00237493" w:rsidRDefault="00000000">
      <w:pPr>
        <w:spacing w:line="240" w:lineRule="auto"/>
        <w:ind w:left="1133" w:right="565"/>
        <w:rPr>
          <w:rFonts w:ascii="Times New Roman" w:eastAsia="Times New Roman" w:hAnsi="Times New Roman" w:cs="Times New Roman"/>
          <w:sz w:val="24"/>
          <w:szCs w:val="24"/>
        </w:rPr>
      </w:pPr>
      <w:r>
        <w:rPr>
          <w:rFonts w:ascii="Times New Roman" w:eastAsia="Times New Roman" w:hAnsi="Times New Roman" w:cs="Times New Roman"/>
          <w:sz w:val="24"/>
          <w:szCs w:val="24"/>
        </w:rPr>
        <w:t>BANCO CENTRAL DO BRASIL. BCB nº 32.927, 2018.</w:t>
      </w:r>
    </w:p>
    <w:p w14:paraId="6CDD101F" w14:textId="77777777" w:rsidR="00237493" w:rsidRDefault="00000000">
      <w:pPr>
        <w:spacing w:line="240" w:lineRule="auto"/>
        <w:ind w:left="1133" w:right="565"/>
        <w:rPr>
          <w:rFonts w:ascii="Times New Roman" w:eastAsia="Times New Roman" w:hAnsi="Times New Roman" w:cs="Times New Roman"/>
          <w:sz w:val="24"/>
          <w:szCs w:val="24"/>
        </w:rPr>
      </w:pPr>
      <w:r>
        <w:rPr>
          <w:rFonts w:ascii="Times New Roman" w:eastAsia="Times New Roman" w:hAnsi="Times New Roman" w:cs="Times New Roman"/>
          <w:sz w:val="24"/>
          <w:szCs w:val="24"/>
        </w:rPr>
        <w:t>Instituiu o grupo de trabalho para desenvolver uma ferramenta interbancária</w:t>
      </w:r>
    </w:p>
    <w:p w14:paraId="77C0699F" w14:textId="77777777" w:rsidR="00237493" w:rsidRDefault="00000000">
      <w:pPr>
        <w:spacing w:line="240" w:lineRule="auto"/>
        <w:ind w:left="1133" w:right="565"/>
        <w:rPr>
          <w:rFonts w:ascii="Times New Roman" w:eastAsia="Times New Roman" w:hAnsi="Times New Roman" w:cs="Times New Roman"/>
          <w:sz w:val="24"/>
          <w:szCs w:val="24"/>
        </w:rPr>
      </w:pPr>
      <w:r>
        <w:rPr>
          <w:rFonts w:ascii="Times New Roman" w:eastAsia="Times New Roman" w:hAnsi="Times New Roman" w:cs="Times New Roman"/>
          <w:sz w:val="24"/>
          <w:szCs w:val="24"/>
        </w:rPr>
        <w:t>de pagamento instantâneo. Brasil, 21 dezembro 2018. https://www.bcb.gov.br/content/estabilidadefinanceira/especialnor/comunicado32927.pdf. Acesso em: 27 set.2025.</w:t>
      </w:r>
    </w:p>
    <w:p w14:paraId="2BA0FC6A" w14:textId="77777777" w:rsidR="00237493" w:rsidRDefault="00237493">
      <w:pPr>
        <w:spacing w:line="240" w:lineRule="auto"/>
        <w:ind w:left="1133" w:right="565"/>
        <w:rPr>
          <w:rFonts w:ascii="Times New Roman" w:eastAsia="Times New Roman" w:hAnsi="Times New Roman" w:cs="Times New Roman"/>
          <w:sz w:val="24"/>
          <w:szCs w:val="24"/>
        </w:rPr>
      </w:pPr>
    </w:p>
    <w:p w14:paraId="5A002787" w14:textId="77777777" w:rsidR="00237493" w:rsidRDefault="00000000">
      <w:pPr>
        <w:spacing w:line="240" w:lineRule="auto"/>
        <w:ind w:left="1133" w:right="565"/>
        <w:rPr>
          <w:rFonts w:ascii="Times New Roman" w:eastAsia="Times New Roman" w:hAnsi="Times New Roman" w:cs="Times New Roman"/>
          <w:sz w:val="24"/>
          <w:szCs w:val="24"/>
        </w:rPr>
      </w:pPr>
      <w:r>
        <w:rPr>
          <w:rFonts w:ascii="Times New Roman" w:eastAsia="Times New Roman" w:hAnsi="Times New Roman" w:cs="Times New Roman"/>
          <w:sz w:val="24"/>
          <w:szCs w:val="24"/>
        </w:rPr>
        <w:t>BANCO CENTRAL DO BRASIL. Relatório de Gestão do Pix. 2023. Concepção e</w:t>
      </w:r>
    </w:p>
    <w:p w14:paraId="52F948A6" w14:textId="77777777" w:rsidR="00237493" w:rsidRDefault="00000000">
      <w:pPr>
        <w:spacing w:line="240" w:lineRule="auto"/>
        <w:ind w:left="1133" w:right="565"/>
        <w:rPr>
          <w:rFonts w:ascii="Times New Roman" w:eastAsia="Times New Roman" w:hAnsi="Times New Roman" w:cs="Times New Roman"/>
          <w:sz w:val="24"/>
          <w:szCs w:val="24"/>
        </w:rPr>
      </w:pPr>
      <w:r>
        <w:rPr>
          <w:rFonts w:ascii="Times New Roman" w:eastAsia="Times New Roman" w:hAnsi="Times New Roman" w:cs="Times New Roman"/>
          <w:sz w:val="24"/>
          <w:szCs w:val="24"/>
        </w:rPr>
        <w:t>primeiros anos de funcionamento 2020-2022, 2023. 30 p. Relatório. Disponível</w:t>
      </w:r>
    </w:p>
    <w:p w14:paraId="4064E3A4" w14:textId="77777777" w:rsidR="00237493" w:rsidRDefault="00000000">
      <w:pPr>
        <w:spacing w:line="240" w:lineRule="auto"/>
        <w:ind w:left="1133" w:right="565"/>
        <w:rPr>
          <w:rFonts w:ascii="Times New Roman" w:eastAsia="Times New Roman" w:hAnsi="Times New Roman" w:cs="Times New Roman"/>
          <w:sz w:val="24"/>
          <w:szCs w:val="24"/>
        </w:rPr>
      </w:pPr>
      <w:r>
        <w:rPr>
          <w:rFonts w:ascii="Times New Roman" w:eastAsia="Times New Roman" w:hAnsi="Times New Roman" w:cs="Times New Roman"/>
          <w:sz w:val="24"/>
          <w:szCs w:val="24"/>
        </w:rPr>
        <w:t>em:https://www.bcb.gov.br/content/estabilidadefinanceira/pix/relatorio_de_gestao_pi</w:t>
      </w:r>
    </w:p>
    <w:p w14:paraId="797DF486" w14:textId="77777777" w:rsidR="00237493" w:rsidRDefault="00000000">
      <w:pPr>
        <w:spacing w:line="240" w:lineRule="auto"/>
        <w:ind w:left="1133" w:right="565"/>
        <w:rPr>
          <w:rFonts w:ascii="Times New Roman" w:eastAsia="Times New Roman" w:hAnsi="Times New Roman" w:cs="Times New Roman"/>
          <w:sz w:val="24"/>
          <w:szCs w:val="24"/>
        </w:rPr>
      </w:pPr>
      <w:r>
        <w:rPr>
          <w:rFonts w:ascii="Times New Roman" w:eastAsia="Times New Roman" w:hAnsi="Times New Roman" w:cs="Times New Roman"/>
          <w:sz w:val="24"/>
          <w:szCs w:val="24"/>
        </w:rPr>
        <w:t>x/relatorio_gestao_pix_2023.pdf. Acesso em: 26 out.2025.</w:t>
      </w:r>
    </w:p>
    <w:p w14:paraId="701AB2BC" w14:textId="77777777" w:rsidR="00237493" w:rsidRDefault="00237493">
      <w:pPr>
        <w:spacing w:line="240" w:lineRule="auto"/>
        <w:ind w:left="1133" w:right="565"/>
        <w:rPr>
          <w:rFonts w:ascii="Times New Roman" w:eastAsia="Times New Roman" w:hAnsi="Times New Roman" w:cs="Times New Roman"/>
          <w:sz w:val="24"/>
          <w:szCs w:val="24"/>
        </w:rPr>
      </w:pPr>
    </w:p>
    <w:p w14:paraId="4B47D274" w14:textId="77777777" w:rsidR="00237493" w:rsidRDefault="00000000">
      <w:pPr>
        <w:spacing w:line="240" w:lineRule="auto"/>
        <w:ind w:left="1133"/>
        <w:rPr>
          <w:rFonts w:ascii="Times New Roman" w:eastAsia="Times New Roman" w:hAnsi="Times New Roman" w:cs="Times New Roman"/>
          <w:sz w:val="24"/>
          <w:szCs w:val="24"/>
        </w:rPr>
      </w:pPr>
      <w:r>
        <w:rPr>
          <w:rFonts w:ascii="Times New Roman" w:eastAsia="Times New Roman" w:hAnsi="Times New Roman" w:cs="Times New Roman"/>
          <w:sz w:val="24"/>
          <w:szCs w:val="24"/>
        </w:rPr>
        <w:t>BANCO DO BRASIL. Mecanismo Especial de Devolução (MED). Disponível em: https://www.bb.com.br/site/pra-voce/pix/mecanismo-especial-de-devolucao/. Acesso em: 28 fev.2026.</w:t>
      </w:r>
    </w:p>
    <w:p w14:paraId="1D61853C" w14:textId="77777777" w:rsidR="00237493" w:rsidRDefault="00000000">
      <w:pPr>
        <w:spacing w:before="240" w:after="240" w:line="360" w:lineRule="auto"/>
        <w:ind w:left="1133" w:right="56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BANCO CENTRAL DO BRASIL. Resolução BCB n. 103/2021. Relatório. Disponível em:https://www.bcb.gov.br/estabilidadefinanceira/exibenormativo?tipo=Resolu%C3%A7%C3%A3o%20BCB&amp;numero=103. Acesso em: 25 set.2025.</w:t>
      </w:r>
    </w:p>
    <w:p w14:paraId="41410126" w14:textId="77777777" w:rsidR="00237493" w:rsidRDefault="00000000">
      <w:pPr>
        <w:spacing w:line="240" w:lineRule="auto"/>
        <w:ind w:left="1133" w:right="56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BANCOS condenados por golpe via PIX. </w:t>
      </w:r>
      <w:r>
        <w:rPr>
          <w:rFonts w:ascii="Times New Roman" w:eastAsia="Times New Roman" w:hAnsi="Times New Roman" w:cs="Times New Roman"/>
          <w:i/>
          <w:iCs/>
          <w:sz w:val="24"/>
          <w:szCs w:val="24"/>
        </w:rPr>
        <w:t>O Goiano</w:t>
      </w:r>
      <w:r>
        <w:rPr>
          <w:rFonts w:ascii="Times New Roman" w:eastAsia="Times New Roman" w:hAnsi="Times New Roman" w:cs="Times New Roman"/>
          <w:sz w:val="24"/>
          <w:szCs w:val="24"/>
        </w:rPr>
        <w:t>, 12 dez. 2025. Disponível em: https://ogoiano.com.br/noticia/jurisprudencia-bancos-devolvam-valores-golpe-pix. Acesso em: 21 mar. 2026</w:t>
      </w:r>
    </w:p>
    <w:p w14:paraId="75D5EB0A" w14:textId="77777777" w:rsidR="00237493" w:rsidRDefault="00237493">
      <w:pPr>
        <w:spacing w:line="240" w:lineRule="auto"/>
        <w:ind w:right="565"/>
        <w:rPr>
          <w:rFonts w:ascii="Times New Roman" w:eastAsia="Times New Roman" w:hAnsi="Times New Roman" w:cs="Times New Roman"/>
          <w:sz w:val="24"/>
          <w:szCs w:val="24"/>
        </w:rPr>
      </w:pPr>
    </w:p>
    <w:p w14:paraId="2AA6CF7A" w14:textId="77777777" w:rsidR="00237493" w:rsidRDefault="00000000">
      <w:pPr>
        <w:spacing w:line="240" w:lineRule="auto"/>
        <w:ind w:left="1133" w:right="565"/>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BRASIL. Código de Defesa do Consumidor. Lei nº 8.078, de 11 de setembro de 1990. https://www.planalto.gov.br/ccivil_03/leis/l8078compilado.htm. Acesso em: 02 mar.2026</w:t>
      </w:r>
    </w:p>
    <w:p w14:paraId="5C724413" w14:textId="77777777" w:rsidR="00237493" w:rsidRDefault="00237493">
      <w:pPr>
        <w:spacing w:line="240" w:lineRule="auto"/>
        <w:ind w:left="1133" w:right="565"/>
        <w:rPr>
          <w:rFonts w:ascii="Times New Roman" w:eastAsia="Times New Roman" w:hAnsi="Times New Roman" w:cs="Times New Roman"/>
          <w:sz w:val="24"/>
          <w:szCs w:val="24"/>
        </w:rPr>
      </w:pPr>
    </w:p>
    <w:p w14:paraId="26AA750E" w14:textId="77777777" w:rsidR="00237493" w:rsidRDefault="00000000">
      <w:pPr>
        <w:spacing w:line="240" w:lineRule="auto"/>
        <w:ind w:left="1133" w:right="565"/>
        <w:rPr>
          <w:rFonts w:ascii="Times New Roman" w:eastAsia="Times New Roman" w:hAnsi="Times New Roman" w:cs="Times New Roman"/>
          <w:sz w:val="24"/>
          <w:szCs w:val="24"/>
        </w:rPr>
      </w:pPr>
      <w:r>
        <w:rPr>
          <w:rFonts w:ascii="Times New Roman" w:eastAsia="Times New Roman" w:hAnsi="Times New Roman" w:cs="Times New Roman"/>
          <w:sz w:val="24"/>
          <w:szCs w:val="24"/>
        </w:rPr>
        <w:t>BRASIL. Banco Central do Brasil. Regulamentação do Sistema de Pagamentos Instantâneos – PIX. Disponível em: https://www.bcb.gov.br/. Acesso em: 02 mar.2026</w:t>
      </w:r>
    </w:p>
    <w:p w14:paraId="74595FFE" w14:textId="77777777" w:rsidR="00237493" w:rsidRDefault="00237493">
      <w:pPr>
        <w:spacing w:line="240" w:lineRule="auto"/>
        <w:ind w:right="565"/>
        <w:rPr>
          <w:rFonts w:ascii="Times New Roman" w:eastAsia="Times New Roman" w:hAnsi="Times New Roman" w:cs="Times New Roman"/>
          <w:sz w:val="24"/>
          <w:szCs w:val="24"/>
        </w:rPr>
      </w:pPr>
    </w:p>
    <w:p w14:paraId="23C47F2C" w14:textId="77777777" w:rsidR="00237493" w:rsidRDefault="00000000">
      <w:pPr>
        <w:spacing w:line="240" w:lineRule="auto"/>
        <w:ind w:left="1133" w:right="565"/>
        <w:rPr>
          <w:rFonts w:ascii="Times New Roman" w:eastAsia="Times New Roman" w:hAnsi="Times New Roman" w:cs="Times New Roman"/>
          <w:sz w:val="24"/>
          <w:szCs w:val="24"/>
        </w:rPr>
      </w:pPr>
      <w:r>
        <w:rPr>
          <w:rFonts w:ascii="Times New Roman" w:eastAsia="Times New Roman" w:hAnsi="Times New Roman" w:cs="Times New Roman"/>
          <w:sz w:val="24"/>
          <w:szCs w:val="24"/>
        </w:rPr>
        <w:t>BRASIL. Superior Tribunal de Justiça (STJ).</w:t>
      </w:r>
      <w:r>
        <w:rPr>
          <w:rFonts w:ascii="Times New Roman" w:eastAsia="Times New Roman" w:hAnsi="Times New Roman" w:cs="Times New Roman"/>
          <w:sz w:val="24"/>
          <w:szCs w:val="24"/>
        </w:rPr>
        <w:br/>
        <w:t xml:space="preserve">Recurso Especial nº 1.197.929/PR. Relator: Min. </w:t>
      </w:r>
      <w:proofErr w:type="spellStart"/>
      <w:r>
        <w:rPr>
          <w:rFonts w:ascii="Times New Roman" w:eastAsia="Times New Roman" w:hAnsi="Times New Roman" w:cs="Times New Roman"/>
          <w:sz w:val="24"/>
          <w:szCs w:val="24"/>
        </w:rPr>
        <w:t>Luis</w:t>
      </w:r>
      <w:proofErr w:type="spellEnd"/>
      <w:r>
        <w:rPr>
          <w:rFonts w:ascii="Times New Roman" w:eastAsia="Times New Roman" w:hAnsi="Times New Roman" w:cs="Times New Roman"/>
          <w:sz w:val="24"/>
          <w:szCs w:val="24"/>
        </w:rPr>
        <w:t xml:space="preserve"> Felipe Salomão. Brasília, DF. Data de Julgamento: 24/08/2011, S2 - SEGUNDA SEÇÃO, Data de Publicação: </w:t>
      </w:r>
      <w:proofErr w:type="spellStart"/>
      <w:r>
        <w:rPr>
          <w:rFonts w:ascii="Times New Roman" w:eastAsia="Times New Roman" w:hAnsi="Times New Roman" w:cs="Times New Roman"/>
          <w:sz w:val="24"/>
          <w:szCs w:val="24"/>
        </w:rPr>
        <w:t>DJe</w:t>
      </w:r>
      <w:proofErr w:type="spellEnd"/>
      <w:r>
        <w:rPr>
          <w:rFonts w:ascii="Times New Roman" w:eastAsia="Times New Roman" w:hAnsi="Times New Roman" w:cs="Times New Roman"/>
          <w:sz w:val="24"/>
          <w:szCs w:val="24"/>
        </w:rPr>
        <w:t xml:space="preserve"> 12/09/201 https://www.jusbrasil.com.br/jurisprudencia/stj/2106309277. Acesso em: 21 mar.2026</w:t>
      </w:r>
    </w:p>
    <w:p w14:paraId="444F840A" w14:textId="77777777" w:rsidR="00237493" w:rsidRDefault="00237493">
      <w:pPr>
        <w:spacing w:line="240" w:lineRule="auto"/>
        <w:ind w:left="1133" w:right="565"/>
        <w:rPr>
          <w:rFonts w:ascii="Times New Roman" w:eastAsia="Times New Roman" w:hAnsi="Times New Roman" w:cs="Times New Roman"/>
          <w:sz w:val="24"/>
          <w:szCs w:val="24"/>
        </w:rPr>
      </w:pPr>
    </w:p>
    <w:p w14:paraId="3989514B" w14:textId="77777777" w:rsidR="00237493" w:rsidRDefault="00000000">
      <w:pPr>
        <w:spacing w:line="240" w:lineRule="auto"/>
        <w:ind w:left="1133" w:right="565"/>
        <w:rPr>
          <w:rFonts w:ascii="Times New Roman" w:eastAsia="Times New Roman" w:hAnsi="Times New Roman" w:cs="Times New Roman"/>
          <w:sz w:val="24"/>
          <w:szCs w:val="24"/>
        </w:rPr>
      </w:pPr>
      <w:r>
        <w:rPr>
          <w:rFonts w:ascii="Times New Roman" w:eastAsia="Times New Roman" w:hAnsi="Times New Roman" w:cs="Times New Roman"/>
          <w:sz w:val="24"/>
          <w:szCs w:val="24"/>
        </w:rPr>
        <w:t>BRASIL. Superior Tribunal de Justiça.</w:t>
      </w:r>
      <w:r>
        <w:rPr>
          <w:rFonts w:ascii="Times New Roman" w:eastAsia="Times New Roman" w:hAnsi="Times New Roman" w:cs="Times New Roman"/>
          <w:sz w:val="24"/>
          <w:szCs w:val="24"/>
        </w:rPr>
        <w:br/>
        <w:t xml:space="preserve">Recurso Especial nº 1.633.785/SP. Relator: Min. Ricardo Villas Bôas </w:t>
      </w:r>
      <w:proofErr w:type="spellStart"/>
      <w:r>
        <w:rPr>
          <w:rFonts w:ascii="Times New Roman" w:eastAsia="Times New Roman" w:hAnsi="Times New Roman" w:cs="Times New Roman"/>
          <w:sz w:val="24"/>
          <w:szCs w:val="24"/>
        </w:rPr>
        <w:t>Cueva</w:t>
      </w:r>
      <w:proofErr w:type="spellEnd"/>
      <w:r>
        <w:rPr>
          <w:rFonts w:ascii="Times New Roman" w:eastAsia="Times New Roman" w:hAnsi="Times New Roman" w:cs="Times New Roman"/>
          <w:sz w:val="24"/>
          <w:szCs w:val="24"/>
        </w:rPr>
        <w:t>. Brasília, DF. https://www.stj.jus.br/websecstj/cgi/revista/REJ.cgi/ATC?seq=77313006&amp;tipo=5&amp;nreg=201602789773&amp;SeqCgrmaSessao=&amp;CodOrgaoJgdr=&amp;dt=20171030&amp;formato=PDF&amp;salvar=false. Acesso em: 10 mar.2026</w:t>
      </w:r>
    </w:p>
    <w:p w14:paraId="64008608" w14:textId="77777777" w:rsidR="00237493" w:rsidRDefault="00237493">
      <w:pPr>
        <w:spacing w:line="240" w:lineRule="auto"/>
        <w:ind w:left="1133" w:right="565"/>
        <w:rPr>
          <w:rFonts w:ascii="Times New Roman" w:eastAsia="Times New Roman" w:hAnsi="Times New Roman" w:cs="Times New Roman"/>
          <w:sz w:val="24"/>
          <w:szCs w:val="24"/>
        </w:rPr>
      </w:pPr>
    </w:p>
    <w:p w14:paraId="0322CE4E" w14:textId="77777777" w:rsidR="00237493" w:rsidRDefault="00000000">
      <w:pPr>
        <w:spacing w:line="240" w:lineRule="auto"/>
        <w:ind w:left="1133" w:right="565"/>
        <w:rPr>
          <w:rFonts w:ascii="Times New Roman" w:eastAsia="Times New Roman" w:hAnsi="Times New Roman" w:cs="Times New Roman"/>
          <w:sz w:val="24"/>
          <w:szCs w:val="24"/>
        </w:rPr>
      </w:pPr>
      <w:r>
        <w:rPr>
          <w:rFonts w:ascii="Times New Roman" w:eastAsia="Times New Roman" w:hAnsi="Times New Roman" w:cs="Times New Roman"/>
          <w:sz w:val="24"/>
          <w:szCs w:val="24"/>
        </w:rPr>
        <w:t>BRASIL. Superior Tribunal de Justiça. Súmula nº 479.</w:t>
      </w:r>
      <w:r>
        <w:rPr>
          <w:rFonts w:ascii="Times New Roman" w:eastAsia="Times New Roman" w:hAnsi="Times New Roman" w:cs="Times New Roman"/>
          <w:sz w:val="24"/>
          <w:szCs w:val="24"/>
        </w:rPr>
        <w:br/>
        <w:t>As instituições financeiras respondem objetivamente pelos danos gerados por fortuito interno relativo a fraudes e delitos praticados por terceiros no âmbito de operações bancárias. https://processo.stj.jus.br/SCON/sumstj/toc.jsp?sumula=479.num.Brasília, DF. Acesso em: 10 mar.2026</w:t>
      </w:r>
    </w:p>
    <w:p w14:paraId="6951414D" w14:textId="77777777" w:rsidR="00237493" w:rsidRDefault="00237493">
      <w:pPr>
        <w:spacing w:line="240" w:lineRule="auto"/>
        <w:ind w:right="565"/>
        <w:rPr>
          <w:rFonts w:ascii="Times New Roman" w:eastAsia="Times New Roman" w:hAnsi="Times New Roman" w:cs="Times New Roman"/>
          <w:sz w:val="24"/>
          <w:szCs w:val="24"/>
        </w:rPr>
      </w:pPr>
    </w:p>
    <w:p w14:paraId="6D43254D" w14:textId="77777777" w:rsidR="00237493" w:rsidRDefault="00000000">
      <w:pPr>
        <w:spacing w:line="240" w:lineRule="auto"/>
        <w:ind w:left="1133" w:right="565"/>
        <w:rPr>
          <w:rFonts w:ascii="Times New Roman" w:eastAsia="Times New Roman" w:hAnsi="Times New Roman" w:cs="Times New Roman"/>
          <w:sz w:val="24"/>
          <w:szCs w:val="24"/>
        </w:rPr>
      </w:pPr>
      <w:r>
        <w:rPr>
          <w:rFonts w:ascii="Times New Roman" w:eastAsia="Times New Roman" w:hAnsi="Times New Roman" w:cs="Times New Roman"/>
          <w:sz w:val="24"/>
          <w:szCs w:val="24"/>
        </w:rPr>
        <w:t>BRASIL. Superior Tribunal de Justiça. Tema Repetitivo nº 466. Responsabilidade objetiva das instituições financeiras por fraudes praticadas por terceiros. Disponível em:</w:t>
      </w:r>
    </w:p>
    <w:p w14:paraId="43FAF541" w14:textId="77777777" w:rsidR="00237493" w:rsidRDefault="00000000">
      <w:pPr>
        <w:spacing w:line="240" w:lineRule="auto"/>
        <w:ind w:left="1133" w:right="565"/>
        <w:rPr>
          <w:rFonts w:ascii="Times New Roman" w:eastAsia="Times New Roman" w:hAnsi="Times New Roman" w:cs="Times New Roman"/>
          <w:sz w:val="24"/>
          <w:szCs w:val="24"/>
        </w:rPr>
      </w:pPr>
      <w:r>
        <w:rPr>
          <w:rFonts w:ascii="Times New Roman" w:eastAsia="Times New Roman" w:hAnsi="Times New Roman" w:cs="Times New Roman"/>
          <w:sz w:val="24"/>
          <w:szCs w:val="24"/>
        </w:rPr>
        <w:t>https://processo.stj.jus.br/repetitivos/temas_repetitivos/pesquisa.jsp?novaConsulta=true&amp;pesquisarPlurais=on&amp;pesquisarSinonimos=on&amp;tipo_pesquisa=T&amp;tipo_pesquisa=C&amp;tipo_pesquisa=I&amp;tipo_pesquisa=S&amp;pesquisa_livre=466. Acesso em: 30 mar. 2026.</w:t>
      </w:r>
    </w:p>
    <w:p w14:paraId="0D9FA93D" w14:textId="77777777" w:rsidR="00237493" w:rsidRDefault="00237493">
      <w:pPr>
        <w:spacing w:line="240" w:lineRule="auto"/>
        <w:ind w:left="1133" w:right="565"/>
        <w:rPr>
          <w:rFonts w:ascii="Times New Roman" w:eastAsia="Times New Roman" w:hAnsi="Times New Roman" w:cs="Times New Roman"/>
          <w:sz w:val="24"/>
          <w:szCs w:val="24"/>
        </w:rPr>
      </w:pPr>
    </w:p>
    <w:p w14:paraId="412C4ED8" w14:textId="77777777" w:rsidR="00237493" w:rsidRDefault="00000000">
      <w:pPr>
        <w:spacing w:line="240" w:lineRule="auto"/>
        <w:ind w:left="1133" w:right="565"/>
        <w:rPr>
          <w:rFonts w:ascii="Times New Roman" w:eastAsia="Times New Roman" w:hAnsi="Times New Roman" w:cs="Times New Roman"/>
          <w:sz w:val="24"/>
          <w:szCs w:val="24"/>
        </w:rPr>
      </w:pPr>
      <w:r>
        <w:rPr>
          <w:rFonts w:ascii="Times New Roman" w:eastAsia="Times New Roman" w:hAnsi="Times New Roman" w:cs="Times New Roman"/>
          <w:sz w:val="24"/>
          <w:szCs w:val="24"/>
        </w:rPr>
        <w:t>BRASIL. Superior Tribunal de Justiça. Para evitar fraudes, banco tem o dever de identificar e impedir transações que destoam do perfil do cliente. Brasília, 30 out. 2023. Disponível em: https://www.stj.jus.br/sites/portalp/Paginas/Comunicacao/Noticias/2023/30102023-Para-evitar-fraudes--banco-tem-o-dever-de-identificar-e-impedir-transacoes-que-destoam-do-perfil-do-cliente.aspx. Acesso em: 30 mar. 2026.</w:t>
      </w:r>
    </w:p>
    <w:p w14:paraId="5BD98B76" w14:textId="77777777" w:rsidR="00237493" w:rsidRDefault="00237493">
      <w:pPr>
        <w:spacing w:line="240" w:lineRule="auto"/>
        <w:ind w:right="565"/>
        <w:rPr>
          <w:rFonts w:ascii="Times New Roman" w:eastAsia="Times New Roman" w:hAnsi="Times New Roman" w:cs="Times New Roman"/>
          <w:sz w:val="24"/>
          <w:szCs w:val="24"/>
        </w:rPr>
      </w:pPr>
    </w:p>
    <w:p w14:paraId="43C80349" w14:textId="77777777" w:rsidR="00237493" w:rsidRDefault="00000000">
      <w:pPr>
        <w:ind w:left="1140"/>
        <w:rPr>
          <w:rFonts w:ascii="Times New Roman" w:eastAsia="Times New Roman" w:hAnsi="Times New Roman" w:cs="Times New Roman"/>
          <w:sz w:val="24"/>
          <w:szCs w:val="24"/>
        </w:rPr>
      </w:pPr>
      <w:r>
        <w:rPr>
          <w:rFonts w:ascii="Times New Roman" w:eastAsia="Times New Roman" w:hAnsi="Times New Roman" w:cs="Times New Roman"/>
          <w:sz w:val="24"/>
          <w:szCs w:val="24"/>
        </w:rPr>
        <w:t>CAVALIERI FILHO, Sérgio. Programa de responsabilidade civil. 15. ed. Barueri:</w:t>
      </w:r>
    </w:p>
    <w:p w14:paraId="6B32E40E" w14:textId="77777777" w:rsidR="00237493" w:rsidRDefault="00000000">
      <w:pPr>
        <w:ind w:left="11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Atlas, 2021. </w:t>
      </w:r>
      <w:r>
        <w:rPr>
          <w:rFonts w:ascii="Times New Roman" w:eastAsia="Times New Roman" w:hAnsi="Times New Roman" w:cs="Times New Roman"/>
          <w:i/>
          <w:iCs/>
          <w:sz w:val="24"/>
          <w:szCs w:val="24"/>
        </w:rPr>
        <w:t>E-book.</w:t>
      </w:r>
      <w:r>
        <w:rPr>
          <w:rFonts w:ascii="Times New Roman" w:eastAsia="Times New Roman" w:hAnsi="Times New Roman" w:cs="Times New Roman"/>
          <w:sz w:val="24"/>
          <w:szCs w:val="24"/>
        </w:rPr>
        <w:t xml:space="preserve"> Plataforma Minha Biblioteca.</w:t>
      </w:r>
    </w:p>
    <w:p w14:paraId="1A63D371" w14:textId="77777777" w:rsidR="00237493" w:rsidRDefault="00237493">
      <w:pPr>
        <w:spacing w:line="240" w:lineRule="auto"/>
        <w:ind w:right="565"/>
        <w:rPr>
          <w:rFonts w:ascii="Times New Roman" w:eastAsia="Times New Roman" w:hAnsi="Times New Roman" w:cs="Times New Roman"/>
          <w:sz w:val="24"/>
          <w:szCs w:val="24"/>
        </w:rPr>
      </w:pPr>
    </w:p>
    <w:p w14:paraId="02B34E53" w14:textId="77777777" w:rsidR="00237493" w:rsidRDefault="00000000">
      <w:pPr>
        <w:spacing w:line="240" w:lineRule="auto"/>
        <w:ind w:left="1133" w:right="565"/>
        <w:rPr>
          <w:rFonts w:ascii="Times New Roman" w:eastAsia="Times New Roman" w:hAnsi="Times New Roman" w:cs="Times New Roman"/>
          <w:sz w:val="24"/>
          <w:szCs w:val="24"/>
        </w:rPr>
      </w:pPr>
      <w:r>
        <w:rPr>
          <w:rFonts w:ascii="Times New Roman" w:eastAsia="Times New Roman" w:hAnsi="Times New Roman" w:cs="Times New Roman"/>
          <w:sz w:val="24"/>
          <w:szCs w:val="24"/>
        </w:rPr>
        <w:t>CAVALIERI FILHO, Sérgio. Programa de Direito do Consumidor. 6.</w:t>
      </w:r>
      <w:proofErr w:type="gramStart"/>
      <w:r>
        <w:rPr>
          <w:rFonts w:ascii="Times New Roman" w:eastAsia="Times New Roman" w:hAnsi="Times New Roman" w:cs="Times New Roman"/>
          <w:sz w:val="24"/>
          <w:szCs w:val="24"/>
        </w:rPr>
        <w:t>ed.Barueri</w:t>
      </w:r>
      <w:proofErr w:type="gramEnd"/>
    </w:p>
    <w:p w14:paraId="33D08970" w14:textId="77777777" w:rsidR="00237493" w:rsidRDefault="00000000">
      <w:pPr>
        <w:spacing w:line="240" w:lineRule="auto"/>
        <w:ind w:left="1133" w:right="565"/>
        <w:rPr>
          <w:rFonts w:ascii="Times New Roman" w:eastAsia="Times New Roman" w:hAnsi="Times New Roman" w:cs="Times New Roman"/>
          <w:sz w:val="24"/>
          <w:szCs w:val="24"/>
        </w:rPr>
      </w:pPr>
      <w:r>
        <w:rPr>
          <w:rFonts w:ascii="Times New Roman" w:eastAsia="Times New Roman" w:hAnsi="Times New Roman" w:cs="Times New Roman"/>
          <w:sz w:val="24"/>
          <w:szCs w:val="24"/>
        </w:rPr>
        <w:t>Atlas, 2022. E-book. Plataforma minha Biblioteca,</w:t>
      </w:r>
    </w:p>
    <w:p w14:paraId="62356BDF" w14:textId="77777777" w:rsidR="00237493" w:rsidRDefault="00237493">
      <w:pPr>
        <w:spacing w:line="240" w:lineRule="auto"/>
        <w:ind w:right="565"/>
        <w:rPr>
          <w:rFonts w:ascii="Times New Roman" w:eastAsia="Times New Roman" w:hAnsi="Times New Roman" w:cs="Times New Roman"/>
          <w:sz w:val="24"/>
          <w:szCs w:val="24"/>
        </w:rPr>
      </w:pPr>
    </w:p>
    <w:p w14:paraId="36784738" w14:textId="77777777" w:rsidR="00237493" w:rsidRDefault="00237493">
      <w:pPr>
        <w:spacing w:line="240" w:lineRule="auto"/>
        <w:ind w:left="1133" w:right="565"/>
        <w:rPr>
          <w:rFonts w:ascii="Times New Roman" w:eastAsia="Times New Roman" w:hAnsi="Times New Roman" w:cs="Times New Roman"/>
          <w:sz w:val="24"/>
          <w:szCs w:val="24"/>
        </w:rPr>
      </w:pPr>
    </w:p>
    <w:p w14:paraId="3F50F6D3" w14:textId="77777777" w:rsidR="00237493" w:rsidRDefault="00000000">
      <w:pPr>
        <w:spacing w:line="240" w:lineRule="auto"/>
        <w:ind w:left="1133" w:right="56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DINIZ, Maria Helena. Curso de Direito Civil Brasileiro - Teoria Geral do Direito Civil – volume 1, 38ª. Saraiva </w:t>
      </w:r>
      <w:proofErr w:type="spellStart"/>
      <w:r>
        <w:rPr>
          <w:rFonts w:ascii="Times New Roman" w:eastAsia="Times New Roman" w:hAnsi="Times New Roman" w:cs="Times New Roman"/>
          <w:sz w:val="24"/>
          <w:szCs w:val="24"/>
        </w:rPr>
        <w:t>Jur</w:t>
      </w:r>
      <w:proofErr w:type="spellEnd"/>
      <w:r>
        <w:rPr>
          <w:rFonts w:ascii="Times New Roman" w:eastAsia="Times New Roman" w:hAnsi="Times New Roman" w:cs="Times New Roman"/>
          <w:sz w:val="24"/>
          <w:szCs w:val="24"/>
        </w:rPr>
        <w:t>, 2021</w:t>
      </w:r>
    </w:p>
    <w:p w14:paraId="2019E16F" w14:textId="77777777" w:rsidR="00237493" w:rsidRDefault="00237493">
      <w:pPr>
        <w:spacing w:line="240" w:lineRule="auto"/>
        <w:ind w:left="1133" w:right="565"/>
        <w:rPr>
          <w:rFonts w:ascii="Times New Roman" w:eastAsia="Times New Roman" w:hAnsi="Times New Roman" w:cs="Times New Roman"/>
          <w:sz w:val="24"/>
          <w:szCs w:val="24"/>
        </w:rPr>
      </w:pPr>
    </w:p>
    <w:p w14:paraId="1BEA1E91" w14:textId="77777777" w:rsidR="00237493" w:rsidRDefault="00000000">
      <w:pPr>
        <w:spacing w:line="240" w:lineRule="auto"/>
        <w:ind w:left="1133" w:right="56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GOLPISTAS usam mecanismo de devolução do Pix e causam prejuízo a lojistas da 25 de março. </w:t>
      </w:r>
      <w:r>
        <w:rPr>
          <w:rFonts w:ascii="Times New Roman" w:eastAsia="Times New Roman" w:hAnsi="Times New Roman" w:cs="Times New Roman"/>
          <w:i/>
          <w:iCs/>
          <w:sz w:val="24"/>
          <w:szCs w:val="24"/>
        </w:rPr>
        <w:t>Estadão</w:t>
      </w:r>
      <w:r>
        <w:rPr>
          <w:rFonts w:ascii="Times New Roman" w:eastAsia="Times New Roman" w:hAnsi="Times New Roman" w:cs="Times New Roman"/>
          <w:sz w:val="24"/>
          <w:szCs w:val="24"/>
        </w:rPr>
        <w:t>, São Paulo, 2026. De 25/12/2015. Disponível em: https://www.estadao.com.br/economia/golpistas-usam-mecanismo-de-devolucao-do-pix-e-causam-prejuizo-a-lojistas-da-25-de-marco/?srsltid=AfmBOoolRHIufMGgNKHe-kjUfzX-dIUZOVYMnZIUwqsl6OBsiJQzImNQ Acesso em: 29 mar. 2026.</w:t>
      </w:r>
    </w:p>
    <w:p w14:paraId="7FA35FD6" w14:textId="77777777" w:rsidR="00237493" w:rsidRDefault="00237493">
      <w:pPr>
        <w:spacing w:line="240" w:lineRule="auto"/>
        <w:ind w:left="1133" w:right="565"/>
        <w:rPr>
          <w:rFonts w:ascii="Times New Roman" w:eastAsia="Times New Roman" w:hAnsi="Times New Roman" w:cs="Times New Roman"/>
          <w:sz w:val="24"/>
          <w:szCs w:val="24"/>
        </w:rPr>
      </w:pPr>
    </w:p>
    <w:p w14:paraId="39A099AA" w14:textId="77777777" w:rsidR="00237493" w:rsidRDefault="00000000">
      <w:pPr>
        <w:spacing w:line="240" w:lineRule="auto"/>
        <w:ind w:left="1133" w:right="56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STJ - Revista Eletrônica de Jurisprudência do STJ - RECURSO ESPECIAL Nº 1.197.929 - PR (2010⁄0111325-0). Disponível em: </w:t>
      </w:r>
      <w:r>
        <w:rPr>
          <w:rFonts w:ascii="Times New Roman" w:eastAsia="Times New Roman" w:hAnsi="Times New Roman" w:cs="Times New Roman"/>
          <w:sz w:val="24"/>
          <w:szCs w:val="24"/>
        </w:rPr>
        <w:lastRenderedPageBreak/>
        <w:t>https://www.stj.jus.br/websecstj/cgi/revista/REJ.cgi/ITA?seq=1084397&amp;tipo=0&amp;nreg=201001113250&amp;SeqCgrmaSessao=&amp;CodOrgaoJgdr=&amp;dt=20110912&amp;formato=HTML&amp;salvar=false. Acesso em 30 mar.2026.</w:t>
      </w:r>
    </w:p>
    <w:p w14:paraId="6133F196" w14:textId="77777777" w:rsidR="00237493" w:rsidRDefault="00237493">
      <w:pPr>
        <w:spacing w:line="240" w:lineRule="auto"/>
        <w:ind w:left="1133" w:right="565"/>
        <w:rPr>
          <w:rFonts w:ascii="Times New Roman" w:eastAsia="Times New Roman" w:hAnsi="Times New Roman" w:cs="Times New Roman"/>
          <w:sz w:val="24"/>
          <w:szCs w:val="24"/>
        </w:rPr>
      </w:pPr>
    </w:p>
    <w:p w14:paraId="20C7F7BD" w14:textId="77777777" w:rsidR="00237493" w:rsidRDefault="00000000">
      <w:pPr>
        <w:spacing w:line="240" w:lineRule="auto"/>
        <w:ind w:left="1133" w:right="565"/>
        <w:rPr>
          <w:rFonts w:ascii="Times New Roman" w:eastAsia="Times New Roman" w:hAnsi="Times New Roman" w:cs="Times New Roman"/>
          <w:sz w:val="24"/>
          <w:szCs w:val="24"/>
        </w:rPr>
      </w:pPr>
      <w:r>
        <w:rPr>
          <w:rFonts w:ascii="Times New Roman" w:eastAsia="Times New Roman" w:hAnsi="Times New Roman" w:cs="Times New Roman"/>
          <w:sz w:val="24"/>
          <w:szCs w:val="24"/>
        </w:rPr>
        <w:t>TARTUCE, Flávio; NEVES, Daniel Amorim Assumpção. Manual de Direito do</w:t>
      </w:r>
    </w:p>
    <w:p w14:paraId="3277C4E2" w14:textId="77777777" w:rsidR="00237493" w:rsidRDefault="00000000">
      <w:pPr>
        <w:spacing w:line="240" w:lineRule="auto"/>
        <w:ind w:left="1133" w:right="565"/>
        <w:rPr>
          <w:rFonts w:ascii="Times New Roman" w:eastAsia="Times New Roman" w:hAnsi="Times New Roman" w:cs="Times New Roman"/>
          <w:sz w:val="24"/>
          <w:szCs w:val="24"/>
        </w:rPr>
      </w:pPr>
      <w:r>
        <w:rPr>
          <w:rFonts w:ascii="Times New Roman" w:eastAsia="Times New Roman" w:hAnsi="Times New Roman" w:cs="Times New Roman"/>
          <w:sz w:val="24"/>
          <w:szCs w:val="24"/>
        </w:rPr>
        <w:t>Consumidor: Direito Material e Processual. 10. ed. São Paulo. Rede Virtual das</w:t>
      </w:r>
    </w:p>
    <w:p w14:paraId="37C8E6EC" w14:textId="77777777" w:rsidR="00237493" w:rsidRDefault="00000000">
      <w:pPr>
        <w:spacing w:line="240" w:lineRule="auto"/>
        <w:ind w:left="1133" w:right="565"/>
        <w:rPr>
          <w:rFonts w:ascii="Times New Roman" w:eastAsia="Times New Roman" w:hAnsi="Times New Roman" w:cs="Times New Roman"/>
          <w:sz w:val="24"/>
          <w:szCs w:val="24"/>
        </w:rPr>
      </w:pPr>
      <w:r>
        <w:rPr>
          <w:rFonts w:ascii="Times New Roman" w:eastAsia="Times New Roman" w:hAnsi="Times New Roman" w:cs="Times New Roman"/>
          <w:sz w:val="24"/>
          <w:szCs w:val="24"/>
        </w:rPr>
        <w:t>Bibliotecas, 2021.</w:t>
      </w:r>
    </w:p>
    <w:p w14:paraId="314FB6E4" w14:textId="77777777" w:rsidR="00237493" w:rsidRDefault="00237493">
      <w:pPr>
        <w:spacing w:line="240" w:lineRule="auto"/>
        <w:ind w:left="1133" w:right="565"/>
        <w:rPr>
          <w:rFonts w:ascii="Times New Roman" w:eastAsia="Times New Roman" w:hAnsi="Times New Roman" w:cs="Times New Roman"/>
          <w:sz w:val="24"/>
          <w:szCs w:val="24"/>
        </w:rPr>
      </w:pPr>
    </w:p>
    <w:p w14:paraId="5A28036C" w14:textId="77777777" w:rsidR="00237493" w:rsidRDefault="00000000">
      <w:pPr>
        <w:spacing w:line="240" w:lineRule="auto"/>
        <w:ind w:left="1133"/>
        <w:rPr>
          <w:rFonts w:ascii="Times New Roman" w:eastAsia="Times New Roman" w:hAnsi="Times New Roman" w:cs="Times New Roman"/>
          <w:sz w:val="24"/>
          <w:szCs w:val="24"/>
        </w:rPr>
      </w:pPr>
      <w:r>
        <w:rPr>
          <w:rFonts w:ascii="Times New Roman" w:eastAsia="Times New Roman" w:hAnsi="Times New Roman" w:cs="Times New Roman"/>
          <w:sz w:val="24"/>
          <w:szCs w:val="24"/>
        </w:rPr>
        <w:t>TARTUCE, Flávio. Responsabilidade Civil. 4. ed. São Paulo: Forense, 2022.</w:t>
      </w:r>
    </w:p>
    <w:p w14:paraId="4C1821B9" w14:textId="77777777" w:rsidR="00237493" w:rsidRDefault="00237493">
      <w:pPr>
        <w:spacing w:line="240" w:lineRule="auto"/>
        <w:ind w:right="565"/>
        <w:rPr>
          <w:rFonts w:ascii="Times New Roman" w:eastAsia="Times New Roman" w:hAnsi="Times New Roman" w:cs="Times New Roman"/>
          <w:sz w:val="24"/>
          <w:szCs w:val="24"/>
        </w:rPr>
      </w:pPr>
    </w:p>
    <w:p w14:paraId="54D287BA" w14:textId="77777777" w:rsidR="00237493" w:rsidRDefault="00000000">
      <w:pPr>
        <w:spacing w:before="240" w:after="240" w:line="360" w:lineRule="auto"/>
        <w:ind w:left="1133" w:right="56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VÍCIO DE CONSENTIMENTO - Análise geral sobre o erro no negócio jurídico. Disponível em:https://www.migalhas.com.br/depeso/367953/vicio-de-consentimento--analise-sobre-o-erro-no-negocio-juridico. Acesso em 8 abr.2026.</w:t>
      </w:r>
    </w:p>
    <w:p w14:paraId="2BADDC63" w14:textId="77777777" w:rsidR="00237493" w:rsidRDefault="00237493">
      <w:pPr>
        <w:spacing w:before="240" w:after="240" w:line="360" w:lineRule="auto"/>
        <w:ind w:left="1133" w:right="565"/>
        <w:jc w:val="both"/>
        <w:rPr>
          <w:rFonts w:ascii="Times New Roman" w:eastAsia="Times New Roman" w:hAnsi="Times New Roman" w:cs="Times New Roman"/>
          <w:sz w:val="24"/>
          <w:szCs w:val="24"/>
        </w:rPr>
      </w:pPr>
    </w:p>
    <w:p w14:paraId="47EC986F" w14:textId="77777777" w:rsidR="00237493" w:rsidRDefault="00237493">
      <w:pPr>
        <w:spacing w:before="240" w:after="240" w:line="360" w:lineRule="auto"/>
        <w:ind w:left="1133" w:right="565"/>
        <w:jc w:val="both"/>
        <w:rPr>
          <w:rFonts w:ascii="Times New Roman" w:eastAsia="Times New Roman" w:hAnsi="Times New Roman" w:cs="Times New Roman"/>
          <w:sz w:val="24"/>
          <w:szCs w:val="24"/>
        </w:rPr>
      </w:pPr>
    </w:p>
    <w:p w14:paraId="5AA0A553" w14:textId="77777777" w:rsidR="00237493" w:rsidRDefault="00237493">
      <w:pPr>
        <w:widowControl w:val="0"/>
        <w:spacing w:line="240" w:lineRule="auto"/>
        <w:ind w:left="567" w:right="705"/>
        <w:jc w:val="both"/>
        <w:rPr>
          <w:rFonts w:ascii="Times New Roman" w:eastAsia="Times New Roman" w:hAnsi="Times New Roman" w:cs="Times New Roman"/>
          <w:sz w:val="24"/>
          <w:szCs w:val="24"/>
        </w:rPr>
        <w:sectPr w:rsidR="00237493">
          <w:footerReference w:type="default" r:id="rId20"/>
          <w:footerReference w:type="first" r:id="rId21"/>
          <w:pgSz w:w="11906" w:h="16838"/>
          <w:pgMar w:top="920" w:right="566" w:bottom="777" w:left="566" w:header="0" w:footer="720" w:gutter="0"/>
          <w:cols w:space="720"/>
        </w:sectPr>
      </w:pPr>
    </w:p>
    <w:p w14:paraId="5FF35A89" w14:textId="77777777" w:rsidR="00237493" w:rsidRDefault="00237493">
      <w:pPr>
        <w:widowControl w:val="0"/>
        <w:spacing w:line="240" w:lineRule="auto"/>
        <w:ind w:left="567"/>
        <w:rPr>
          <w:rFonts w:ascii="Times New Roman" w:eastAsia="Times New Roman" w:hAnsi="Times New Roman" w:cs="Times New Roman"/>
          <w:b/>
          <w:bCs/>
          <w:sz w:val="24"/>
          <w:szCs w:val="24"/>
        </w:rPr>
      </w:pPr>
    </w:p>
    <w:p w14:paraId="15E51D81" w14:textId="77777777" w:rsidR="00237493" w:rsidRDefault="00237493">
      <w:pPr>
        <w:rPr>
          <w:rFonts w:ascii="Times New Roman" w:eastAsia="Times New Roman" w:hAnsi="Times New Roman" w:cs="Times New Roman"/>
          <w:sz w:val="24"/>
          <w:szCs w:val="24"/>
        </w:rPr>
      </w:pPr>
    </w:p>
    <w:sectPr w:rsidR="00237493">
      <w:type w:val="continuous"/>
      <w:pgSz w:w="11906" w:h="16838"/>
      <w:pgMar w:top="920" w:right="566" w:bottom="777" w:left="566" w:header="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B06BEC" w14:textId="77777777" w:rsidR="00087EA5" w:rsidRDefault="00087EA5">
      <w:pPr>
        <w:spacing w:line="240" w:lineRule="auto"/>
      </w:pPr>
      <w:r>
        <w:separator/>
      </w:r>
    </w:p>
  </w:endnote>
  <w:endnote w:type="continuationSeparator" w:id="0">
    <w:p w14:paraId="23D7632A" w14:textId="77777777" w:rsidR="00087EA5" w:rsidRDefault="00087EA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F4097715-5315-47CA-AA15-1CBE76412ED2}"/>
  </w:font>
  <w:font w:name="Cambria">
    <w:panose1 w:val="02040503050406030204"/>
    <w:charset w:val="00"/>
    <w:family w:val="roman"/>
    <w:pitch w:val="variable"/>
    <w:sig w:usb0="E00006FF" w:usb1="420024FF" w:usb2="02000000" w:usb3="00000000" w:csb0="0000019F" w:csb1="00000000"/>
    <w:embedRegular r:id="rId2" w:fontKey="{805776DA-E1BD-437A-8C3E-E897C937203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0CF6C2" w14:textId="77777777" w:rsidR="00237493" w:rsidRDefault="00237493">
    <w:pPr>
      <w:pBdr>
        <w:top w:val="nil"/>
        <w:left w:val="nil"/>
        <w:bottom w:val="nil"/>
        <w:right w:val="nil"/>
        <w:between w:val="nil"/>
      </w:pBdr>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A8B3CF" w14:textId="77777777" w:rsidR="00237493" w:rsidRDefault="00000000">
    <w:r>
      <w:fldChar w:fldCharType="begin"/>
    </w:r>
    <w:r>
      <w:instrText>PAGE</w:instrText>
    </w:r>
    <w:r>
      <w:fldChar w:fldCharType="separate"/>
    </w:r>
    <w:r w:rsidR="0041039E">
      <w:rPr>
        <w:noProo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C26A2A" w14:textId="77777777" w:rsidR="00237493" w:rsidRDefault="00000000">
    <w:r>
      <w:fldChar w:fldCharType="begin"/>
    </w:r>
    <w:r>
      <w:instrText>PAGE</w:instrText>
    </w:r>
    <w:r>
      <w:fldChar w:fldCharType="separate"/>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3B38D6" w14:textId="77777777" w:rsidR="00237493" w:rsidRDefault="00000000">
    <w:r>
      <w:fldChar w:fldCharType="begin"/>
    </w:r>
    <w:r>
      <w:instrText>PAGE</w:instrText>
    </w:r>
    <w:r>
      <w:fldChar w:fldCharType="separate"/>
    </w:r>
    <w:r w:rsidR="0041039E">
      <w:rPr>
        <w:noProof/>
      </w:rPr>
      <w:t>2</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32BA04" w14:textId="77777777" w:rsidR="00237493" w:rsidRDefault="00237493"/>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FA3C0D" w14:textId="3266E97F" w:rsidR="00237493" w:rsidRDefault="00000000">
    <w:r>
      <w:fldChar w:fldCharType="begin"/>
    </w:r>
    <w:r>
      <w:instrText>PAGE</w:instrText>
    </w:r>
    <w:r>
      <w:fldChar w:fldCharType="separate"/>
    </w:r>
    <w:r w:rsidR="0041039E">
      <w:rPr>
        <w:noProof/>
      </w:rPr>
      <w:t>3</w:t>
    </w:r>
    <w: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F63FC8" w14:textId="77777777" w:rsidR="00237493" w:rsidRDefault="00237493"/>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C967F1" w14:textId="3118694E" w:rsidR="00237493" w:rsidRDefault="00000000">
    <w:r>
      <w:fldChar w:fldCharType="begin"/>
    </w:r>
    <w:r>
      <w:instrText>PAGE</w:instrText>
    </w:r>
    <w:r>
      <w:fldChar w:fldCharType="separate"/>
    </w:r>
    <w:r w:rsidR="0041039E">
      <w:rPr>
        <w:noProof/>
      </w:rPr>
      <w:t>5</w:t>
    </w:r>
    <w: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35CD81" w14:textId="77777777" w:rsidR="00237493" w:rsidRDefault="00237493"/>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AF58DE" w14:textId="108CA9B5" w:rsidR="00237493" w:rsidRDefault="00000000">
    <w:r>
      <w:fldChar w:fldCharType="begin"/>
    </w:r>
    <w:r>
      <w:instrText>PAGE</w:instrText>
    </w:r>
    <w:r>
      <w:fldChar w:fldCharType="separate"/>
    </w:r>
    <w:r w:rsidR="0041039E">
      <w:rPr>
        <w:noProof/>
      </w:rPr>
      <w:t>6</w:t>
    </w:r>
    <w: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4EC734" w14:textId="77777777" w:rsidR="00237493" w:rsidRDefault="00237493"/>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6CBA20" w14:textId="7F574C75" w:rsidR="00237493" w:rsidRDefault="00000000">
    <w:r>
      <w:fldChar w:fldCharType="begin"/>
    </w:r>
    <w:r>
      <w:instrText>PAGE</w:instrText>
    </w:r>
    <w:r>
      <w:fldChar w:fldCharType="separate"/>
    </w:r>
    <w:r w:rsidR="0041039E">
      <w:rPr>
        <w:noProof/>
      </w:rPr>
      <w:t>8</w:t>
    </w:r>
    <w: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0369EB" w14:textId="77777777" w:rsidR="00237493" w:rsidRDefault="0023749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34EE7E" w14:textId="77777777" w:rsidR="00087EA5" w:rsidRDefault="00087EA5">
      <w:pPr>
        <w:spacing w:line="240" w:lineRule="auto"/>
      </w:pPr>
      <w:r>
        <w:separator/>
      </w:r>
    </w:p>
  </w:footnote>
  <w:footnote w:type="continuationSeparator" w:id="0">
    <w:p w14:paraId="4C5E46ED" w14:textId="77777777" w:rsidR="00087EA5" w:rsidRDefault="00087EA5">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7493"/>
    <w:rsid w:val="00087EA5"/>
    <w:rsid w:val="00237493"/>
    <w:rsid w:val="0041039E"/>
    <w:rsid w:val="00455322"/>
    <w:rsid w:val="00B37EC1"/>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57E7DD"/>
  <w15:docId w15:val="{2266F047-A814-4331-A05C-90C10EF17A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pt-BR" w:eastAsia="pt-BR"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00" w:after="120"/>
      <w:outlineLvl w:val="0"/>
    </w:pPr>
    <w:rPr>
      <w:sz w:val="40"/>
      <w:szCs w:val="40"/>
    </w:rPr>
  </w:style>
  <w:style w:type="paragraph" w:styleId="Ttulo2">
    <w:name w:val="heading 2"/>
    <w:basedOn w:val="Normal"/>
    <w:next w:val="Normal"/>
    <w:uiPriority w:val="9"/>
    <w:semiHidden/>
    <w:unhideWhenUsed/>
    <w:qFormat/>
    <w:pPr>
      <w:keepNext/>
      <w:keepLines/>
      <w:spacing w:before="360" w:after="120"/>
      <w:outlineLvl w:val="1"/>
    </w:pPr>
    <w:rPr>
      <w:sz w:val="32"/>
      <w:szCs w:val="32"/>
    </w:rPr>
  </w:style>
  <w:style w:type="paragraph" w:styleId="Ttulo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Ttulo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Ttulo5">
    <w:name w:val="heading 5"/>
    <w:basedOn w:val="Normal"/>
    <w:next w:val="Normal"/>
    <w:uiPriority w:val="9"/>
    <w:semiHidden/>
    <w:unhideWhenUsed/>
    <w:qFormat/>
    <w:pPr>
      <w:keepNext/>
      <w:keepLines/>
      <w:spacing w:before="240" w:after="80"/>
      <w:outlineLvl w:val="4"/>
    </w:pPr>
    <w:rPr>
      <w:color w:val="666666"/>
    </w:rPr>
  </w:style>
  <w:style w:type="paragraph" w:styleId="Ttulo6">
    <w:name w:val="heading 6"/>
    <w:basedOn w:val="Normal"/>
    <w:next w:val="Normal"/>
    <w:uiPriority w:val="9"/>
    <w:semiHidden/>
    <w:unhideWhenUsed/>
    <w:qFormat/>
    <w:pPr>
      <w:keepNext/>
      <w:keepLines/>
      <w:spacing w:before="240" w:after="80"/>
      <w:outlineLvl w:val="5"/>
    </w:pPr>
    <w:rPr>
      <w:i/>
      <w:iCs/>
      <w:color w:val="66666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after="60"/>
    </w:pPr>
    <w:rPr>
      <w:sz w:val="52"/>
      <w:szCs w:val="52"/>
    </w:rPr>
  </w:style>
  <w:style w:type="paragraph" w:styleId="Subttulo">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footer" Target="footer6.xml"/><Relationship Id="rId18" Type="http://schemas.openxmlformats.org/officeDocument/2006/relationships/footer" Target="footer10.xml"/><Relationship Id="rId3" Type="http://schemas.openxmlformats.org/officeDocument/2006/relationships/settings" Target="settings.xml"/><Relationship Id="rId21" Type="http://schemas.openxmlformats.org/officeDocument/2006/relationships/footer" Target="footer13.xml"/><Relationship Id="rId7" Type="http://schemas.openxmlformats.org/officeDocument/2006/relationships/footer" Target="footer1.xml"/><Relationship Id="rId12" Type="http://schemas.openxmlformats.org/officeDocument/2006/relationships/footer" Target="footer5.xml"/><Relationship Id="rId17"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8.xml"/><Relationship Id="rId20" Type="http://schemas.openxmlformats.org/officeDocument/2006/relationships/footer" Target="footer1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4.xml"/><Relationship Id="rId5" Type="http://schemas.openxmlformats.org/officeDocument/2006/relationships/footnotes" Target="footnotes.xml"/><Relationship Id="rId15" Type="http://schemas.openxmlformats.org/officeDocument/2006/relationships/image" Target="media/image3.png"/><Relationship Id="rId23" Type="http://schemas.openxmlformats.org/officeDocument/2006/relationships/theme" Target="theme/theme1.xml"/><Relationship Id="rId10" Type="http://schemas.openxmlformats.org/officeDocument/2006/relationships/image" Target="media/image1.png"/><Relationship Id="rId19" Type="http://schemas.openxmlformats.org/officeDocument/2006/relationships/footer" Target="footer11.xml"/><Relationship Id="rId4" Type="http://schemas.openxmlformats.org/officeDocument/2006/relationships/webSettings" Target="webSettings.xml"/><Relationship Id="rId9" Type="http://schemas.openxmlformats.org/officeDocument/2006/relationships/footer" Target="footer3.xml"/><Relationship Id="rId14" Type="http://schemas.openxmlformats.org/officeDocument/2006/relationships/footer" Target="footer7.xml"/><Relationship Id="rId22" Type="http://schemas.openxmlformats.org/officeDocument/2006/relationships/fontTable" Target="fontTable.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2R1jySy3SExogVDtGhMUZpbyNfw==">CgMxLjAyDmguZGU3bWNpa2Nja3FkOAByITFka3NIV1ptZW5faGRUTUNqRmNwdDYxSjhTSlI4UmI3dg==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24</Pages>
  <Words>7211</Words>
  <Characters>38943</Characters>
  <Application>Microsoft Office Word</Application>
  <DocSecurity>0</DocSecurity>
  <Lines>324</Lines>
  <Paragraphs>92</Paragraphs>
  <ScaleCrop>false</ScaleCrop>
  <Company/>
  <LinksUpToDate>false</LinksUpToDate>
  <CharactersWithSpaces>46062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Fátima</dc:creator>
  <cp:lastModifiedBy>FATIMA DE PAULA FERREIRA</cp:lastModifiedBy>
  <cp:revision>3</cp:revision>
  <cp:lastPrinted>2026-06-16T18:55:00Z</cp:lastPrinted>
  <dcterms:created xsi:type="dcterms:W3CDTF">2026-06-16T18:54:00Z</dcterms:created>
  <dcterms:modified xsi:type="dcterms:W3CDTF">2026-06-16T18:59:00Z</dcterms:modified>
</cp:coreProperties>
</file>