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9E52A" w14:textId="77777777" w:rsidR="00A56512" w:rsidRDefault="00000000">
      <w:pPr>
        <w:pBdr>
          <w:top w:val="nil"/>
          <w:left w:val="nil"/>
          <w:bottom w:val="nil"/>
          <w:right w:val="nil"/>
          <w:between w:val="nil"/>
        </w:pBdr>
        <w:spacing w:line="480" w:lineRule="auto"/>
        <w:jc w:val="center"/>
        <w:rPr>
          <w:rFonts w:ascii="Arimo" w:eastAsia="Arimo" w:hAnsi="Arimo" w:cs="Arimo"/>
          <w:color w:val="000000"/>
        </w:rPr>
      </w:pPr>
      <w:r>
        <w:rPr>
          <w:rFonts w:ascii="Arimo" w:eastAsia="Arimo" w:hAnsi="Arimo" w:cs="Arimo"/>
          <w:noProof/>
          <w:color w:val="000000"/>
        </w:rPr>
        <w:drawing>
          <wp:inline distT="0" distB="0" distL="0" distR="0" wp14:anchorId="2A4029C4" wp14:editId="7A8F0DDB">
            <wp:extent cx="1774825" cy="1037590"/>
            <wp:effectExtent l="0" t="0" r="0" b="0"/>
            <wp:docPr id="1073741833" name="image1.png" descr="Imagem 3"/>
            <wp:cNvGraphicFramePr/>
            <a:graphic xmlns:a="http://schemas.openxmlformats.org/drawingml/2006/main">
              <a:graphicData uri="http://schemas.openxmlformats.org/drawingml/2006/picture">
                <pic:pic xmlns:pic="http://schemas.openxmlformats.org/drawingml/2006/picture">
                  <pic:nvPicPr>
                    <pic:cNvPr id="0" name="image1.png" descr="Imagem 3"/>
                    <pic:cNvPicPr preferRelativeResize="0"/>
                  </pic:nvPicPr>
                  <pic:blipFill>
                    <a:blip r:embed="rId9"/>
                    <a:srcRect/>
                    <a:stretch>
                      <a:fillRect/>
                    </a:stretch>
                  </pic:blipFill>
                  <pic:spPr>
                    <a:xfrm>
                      <a:off x="0" y="0"/>
                      <a:ext cx="1774825" cy="1037590"/>
                    </a:xfrm>
                    <a:prstGeom prst="rect">
                      <a:avLst/>
                    </a:prstGeom>
                    <a:ln/>
                  </pic:spPr>
                </pic:pic>
              </a:graphicData>
            </a:graphic>
          </wp:inline>
        </w:drawing>
      </w:r>
    </w:p>
    <w:p w14:paraId="57097078" w14:textId="77777777" w:rsidR="00A56512" w:rsidRDefault="00000000">
      <w:pPr>
        <w:pBdr>
          <w:top w:val="nil"/>
          <w:left w:val="nil"/>
          <w:bottom w:val="nil"/>
          <w:right w:val="nil"/>
          <w:between w:val="nil"/>
        </w:pBdr>
        <w:spacing w:line="360" w:lineRule="auto"/>
        <w:jc w:val="center"/>
        <w:rPr>
          <w:rFonts w:ascii="Arial" w:eastAsia="Arial" w:hAnsi="Arial" w:cs="Arial"/>
          <w:b/>
          <w:bCs/>
          <w:color w:val="000000"/>
        </w:rPr>
      </w:pPr>
      <w:r>
        <w:rPr>
          <w:rFonts w:ascii="Arial" w:eastAsia="Arial" w:hAnsi="Arial" w:cs="Arial"/>
          <w:b/>
          <w:bCs/>
          <w:color w:val="000000"/>
        </w:rPr>
        <w:t>PONTIFÍCIA UNIVERSIDADE CATÓLICA DE GOIÁS</w:t>
      </w:r>
    </w:p>
    <w:p w14:paraId="202CA14F" w14:textId="77777777" w:rsidR="00A56512" w:rsidRDefault="00000000">
      <w:pPr>
        <w:pBdr>
          <w:top w:val="nil"/>
          <w:left w:val="nil"/>
          <w:bottom w:val="nil"/>
          <w:right w:val="nil"/>
          <w:between w:val="nil"/>
        </w:pBdr>
        <w:spacing w:line="360" w:lineRule="auto"/>
        <w:jc w:val="center"/>
        <w:rPr>
          <w:rFonts w:ascii="Arial" w:eastAsia="Arial" w:hAnsi="Arial" w:cs="Arial"/>
          <w:b/>
          <w:bCs/>
          <w:color w:val="000000"/>
        </w:rPr>
      </w:pPr>
      <w:r>
        <w:rPr>
          <w:rFonts w:ascii="Arial" w:eastAsia="Arial" w:hAnsi="Arial" w:cs="Arial"/>
          <w:b/>
          <w:bCs/>
          <w:color w:val="000000"/>
        </w:rPr>
        <w:t>ESCOLA DE DIREITO, NEGÓCIOS E COMUNICAÇÃO</w:t>
      </w:r>
    </w:p>
    <w:p w14:paraId="6B3514E2" w14:textId="77777777" w:rsidR="00A56512" w:rsidRDefault="00000000">
      <w:pPr>
        <w:pBdr>
          <w:top w:val="nil"/>
          <w:left w:val="nil"/>
          <w:bottom w:val="nil"/>
          <w:right w:val="nil"/>
          <w:between w:val="nil"/>
        </w:pBdr>
        <w:spacing w:line="360" w:lineRule="auto"/>
        <w:jc w:val="center"/>
        <w:rPr>
          <w:rFonts w:ascii="Arial" w:eastAsia="Arial" w:hAnsi="Arial" w:cs="Arial"/>
          <w:b/>
          <w:bCs/>
          <w:color w:val="000000"/>
        </w:rPr>
      </w:pPr>
      <w:r>
        <w:rPr>
          <w:rFonts w:ascii="Arial" w:eastAsia="Arial" w:hAnsi="Arial" w:cs="Arial"/>
          <w:b/>
          <w:bCs/>
          <w:color w:val="000000"/>
        </w:rPr>
        <w:t>NÚCLEO DE PRÁTICA JURÍDICA</w:t>
      </w:r>
    </w:p>
    <w:p w14:paraId="6E6F235A" w14:textId="77777777" w:rsidR="00A56512" w:rsidRDefault="00000000">
      <w:pPr>
        <w:pBdr>
          <w:top w:val="nil"/>
          <w:left w:val="nil"/>
          <w:bottom w:val="nil"/>
          <w:right w:val="nil"/>
          <w:between w:val="nil"/>
        </w:pBdr>
        <w:spacing w:line="360" w:lineRule="auto"/>
        <w:jc w:val="center"/>
        <w:rPr>
          <w:rFonts w:ascii="Arial" w:eastAsia="Arial" w:hAnsi="Arial" w:cs="Arial"/>
          <w:b/>
          <w:bCs/>
          <w:color w:val="000000"/>
        </w:rPr>
      </w:pPr>
      <w:r>
        <w:rPr>
          <w:rFonts w:ascii="Arial" w:eastAsia="Arial" w:hAnsi="Arial" w:cs="Arial"/>
          <w:b/>
          <w:bCs/>
          <w:color w:val="000000"/>
        </w:rPr>
        <w:t>COORDENAÇÃO ADJUNTA DE TRABALHO DE CURSO</w:t>
      </w:r>
    </w:p>
    <w:p w14:paraId="38AC1A46" w14:textId="33EAE704" w:rsidR="00A56512" w:rsidRDefault="00EA1E69">
      <w:pPr>
        <w:pBdr>
          <w:top w:val="nil"/>
          <w:left w:val="nil"/>
          <w:bottom w:val="nil"/>
          <w:right w:val="nil"/>
          <w:between w:val="nil"/>
        </w:pBdr>
        <w:spacing w:line="360" w:lineRule="auto"/>
        <w:jc w:val="center"/>
        <w:rPr>
          <w:rFonts w:ascii="Arial" w:eastAsia="Arial" w:hAnsi="Arial" w:cs="Arial"/>
          <w:b/>
          <w:bCs/>
          <w:color w:val="000000"/>
        </w:rPr>
      </w:pPr>
      <w:r>
        <w:rPr>
          <w:rFonts w:ascii="Arial" w:eastAsia="Arial" w:hAnsi="Arial" w:cs="Arial"/>
          <w:b/>
          <w:bCs/>
          <w:color w:val="000000"/>
        </w:rPr>
        <w:t>MONOGRAFIA JURÍDICA</w:t>
      </w:r>
    </w:p>
    <w:p w14:paraId="3D78BC88" w14:textId="77777777" w:rsidR="00A56512" w:rsidRDefault="00A56512">
      <w:pPr>
        <w:pBdr>
          <w:top w:val="nil"/>
          <w:left w:val="nil"/>
          <w:bottom w:val="nil"/>
          <w:right w:val="nil"/>
          <w:between w:val="nil"/>
        </w:pBdr>
        <w:jc w:val="center"/>
        <w:rPr>
          <w:rFonts w:ascii="Arial" w:eastAsia="Arial" w:hAnsi="Arial" w:cs="Arial"/>
          <w:color w:val="000000"/>
        </w:rPr>
      </w:pPr>
    </w:p>
    <w:p w14:paraId="5BE583B9" w14:textId="77777777" w:rsidR="00A56512" w:rsidRDefault="00A56512">
      <w:pPr>
        <w:pBdr>
          <w:top w:val="nil"/>
          <w:left w:val="nil"/>
          <w:bottom w:val="nil"/>
          <w:right w:val="nil"/>
          <w:between w:val="nil"/>
        </w:pBdr>
        <w:jc w:val="center"/>
        <w:rPr>
          <w:rFonts w:ascii="Arial" w:eastAsia="Arial" w:hAnsi="Arial" w:cs="Arial"/>
          <w:color w:val="000000"/>
        </w:rPr>
      </w:pPr>
    </w:p>
    <w:p w14:paraId="0EFB33A4" w14:textId="77777777" w:rsidR="00A56512" w:rsidRDefault="00A56512">
      <w:pPr>
        <w:pBdr>
          <w:top w:val="nil"/>
          <w:left w:val="nil"/>
          <w:bottom w:val="nil"/>
          <w:right w:val="nil"/>
          <w:between w:val="nil"/>
        </w:pBdr>
        <w:jc w:val="center"/>
        <w:rPr>
          <w:rFonts w:ascii="Arial" w:eastAsia="Arial" w:hAnsi="Arial" w:cs="Arial"/>
          <w:color w:val="000000"/>
        </w:rPr>
      </w:pPr>
    </w:p>
    <w:p w14:paraId="55F8CF7A" w14:textId="77777777" w:rsidR="00A56512" w:rsidRDefault="00A56512">
      <w:pPr>
        <w:pBdr>
          <w:top w:val="nil"/>
          <w:left w:val="nil"/>
          <w:bottom w:val="nil"/>
          <w:right w:val="nil"/>
          <w:between w:val="nil"/>
        </w:pBdr>
        <w:jc w:val="center"/>
        <w:rPr>
          <w:rFonts w:ascii="Arial" w:eastAsia="Arial" w:hAnsi="Arial" w:cs="Arial"/>
          <w:color w:val="000000"/>
        </w:rPr>
      </w:pPr>
    </w:p>
    <w:p w14:paraId="453C5E4D" w14:textId="77777777" w:rsidR="00A56512" w:rsidRDefault="00A56512">
      <w:pPr>
        <w:pBdr>
          <w:top w:val="nil"/>
          <w:left w:val="nil"/>
          <w:bottom w:val="nil"/>
          <w:right w:val="nil"/>
          <w:between w:val="nil"/>
        </w:pBdr>
        <w:jc w:val="center"/>
        <w:rPr>
          <w:rFonts w:ascii="Arial" w:eastAsia="Arial" w:hAnsi="Arial" w:cs="Arial"/>
          <w:color w:val="000000"/>
        </w:rPr>
      </w:pPr>
    </w:p>
    <w:p w14:paraId="37FA87CA" w14:textId="77777777" w:rsidR="00A56512" w:rsidRDefault="00A56512">
      <w:pPr>
        <w:pBdr>
          <w:top w:val="nil"/>
          <w:left w:val="nil"/>
          <w:bottom w:val="nil"/>
          <w:right w:val="nil"/>
          <w:between w:val="nil"/>
        </w:pBdr>
        <w:rPr>
          <w:rFonts w:ascii="Arial" w:eastAsia="Arial" w:hAnsi="Arial" w:cs="Arial"/>
          <w:color w:val="000000"/>
        </w:rPr>
      </w:pPr>
    </w:p>
    <w:p w14:paraId="213825BA"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Arial" w:eastAsia="Arial" w:hAnsi="Arial" w:cs="Arial"/>
          <w:b/>
          <w:bCs/>
          <w:color w:val="000000"/>
          <w:sz w:val="28"/>
          <w:szCs w:val="28"/>
        </w:rPr>
      </w:pPr>
    </w:p>
    <w:p w14:paraId="020C2624"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Arial" w:eastAsia="Arial" w:hAnsi="Arial" w:cs="Arial"/>
          <w:b/>
          <w:bCs/>
          <w:color w:val="000000"/>
          <w:sz w:val="28"/>
          <w:szCs w:val="28"/>
        </w:rPr>
      </w:pPr>
    </w:p>
    <w:p w14:paraId="271FF731"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Arial" w:eastAsia="Arial" w:hAnsi="Arial" w:cs="Arial"/>
          <w:b/>
          <w:bCs/>
          <w:color w:val="000000"/>
          <w:sz w:val="28"/>
          <w:szCs w:val="28"/>
        </w:rPr>
      </w:pPr>
    </w:p>
    <w:p w14:paraId="105ACA8E"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Arial" w:eastAsia="Arial" w:hAnsi="Arial" w:cs="Arial"/>
          <w:b/>
          <w:bCs/>
          <w:color w:val="000000"/>
          <w:sz w:val="28"/>
          <w:szCs w:val="28"/>
        </w:rPr>
      </w:pPr>
      <w:r>
        <w:rPr>
          <w:rFonts w:ascii="Arial" w:eastAsia="Arial" w:hAnsi="Arial" w:cs="Arial"/>
          <w:b/>
          <w:bCs/>
          <w:color w:val="000000"/>
          <w:sz w:val="28"/>
          <w:szCs w:val="28"/>
        </w:rPr>
        <w:t xml:space="preserve">PRINCÍPIO DA INSIGNIFICÂNCIA: </w:t>
      </w:r>
      <w:r>
        <w:rPr>
          <w:rFonts w:ascii="Arial" w:eastAsia="Arial" w:hAnsi="Arial" w:cs="Arial"/>
          <w:color w:val="000000"/>
          <w:sz w:val="28"/>
          <w:szCs w:val="28"/>
        </w:rPr>
        <w:t>DUALISMO ENTRE GARANTIR A DIGNIDADE HUMANA E O FOMENTO DE PRÁTICAS DELITIVAS REITERADAS</w:t>
      </w:r>
    </w:p>
    <w:p w14:paraId="0619531A" w14:textId="77777777" w:rsidR="00A56512" w:rsidRDefault="00A56512">
      <w:pPr>
        <w:pBdr>
          <w:top w:val="nil"/>
          <w:left w:val="nil"/>
          <w:bottom w:val="nil"/>
          <w:right w:val="nil"/>
          <w:between w:val="nil"/>
        </w:pBdr>
        <w:spacing w:line="480" w:lineRule="auto"/>
        <w:jc w:val="center"/>
        <w:rPr>
          <w:rFonts w:ascii="Arial" w:eastAsia="Arial" w:hAnsi="Arial" w:cs="Arial"/>
          <w:color w:val="000000"/>
        </w:rPr>
      </w:pPr>
    </w:p>
    <w:p w14:paraId="1495B1B0" w14:textId="77777777" w:rsidR="00A56512" w:rsidRDefault="00A56512">
      <w:pPr>
        <w:pBdr>
          <w:top w:val="nil"/>
          <w:left w:val="nil"/>
          <w:bottom w:val="nil"/>
          <w:right w:val="nil"/>
          <w:between w:val="nil"/>
        </w:pBdr>
        <w:tabs>
          <w:tab w:val="left" w:pos="7732"/>
        </w:tabs>
        <w:rPr>
          <w:rFonts w:ascii="Arial" w:eastAsia="Arial" w:hAnsi="Arial" w:cs="Arial"/>
          <w:color w:val="000000"/>
        </w:rPr>
      </w:pPr>
    </w:p>
    <w:p w14:paraId="4DCE6AFA" w14:textId="77777777" w:rsidR="00A56512" w:rsidRDefault="00A56512">
      <w:pPr>
        <w:pBdr>
          <w:top w:val="nil"/>
          <w:left w:val="nil"/>
          <w:bottom w:val="nil"/>
          <w:right w:val="nil"/>
          <w:between w:val="nil"/>
        </w:pBdr>
        <w:jc w:val="center"/>
        <w:rPr>
          <w:rFonts w:ascii="Arial" w:eastAsia="Arial" w:hAnsi="Arial" w:cs="Arial"/>
          <w:color w:val="000000"/>
        </w:rPr>
      </w:pPr>
    </w:p>
    <w:p w14:paraId="02EAE1F3" w14:textId="77777777" w:rsidR="00A56512" w:rsidRDefault="00A56512">
      <w:pPr>
        <w:pBdr>
          <w:top w:val="nil"/>
          <w:left w:val="nil"/>
          <w:bottom w:val="nil"/>
          <w:right w:val="nil"/>
          <w:between w:val="nil"/>
        </w:pBdr>
        <w:jc w:val="center"/>
        <w:rPr>
          <w:rFonts w:ascii="Arial" w:eastAsia="Arial" w:hAnsi="Arial" w:cs="Arial"/>
          <w:color w:val="000000"/>
        </w:rPr>
      </w:pPr>
    </w:p>
    <w:p w14:paraId="07EAD4B0" w14:textId="77777777" w:rsidR="00A56512" w:rsidRDefault="00A56512">
      <w:pPr>
        <w:pBdr>
          <w:top w:val="nil"/>
          <w:left w:val="nil"/>
          <w:bottom w:val="nil"/>
          <w:right w:val="nil"/>
          <w:between w:val="nil"/>
        </w:pBdr>
        <w:jc w:val="center"/>
        <w:rPr>
          <w:rFonts w:ascii="Arial" w:eastAsia="Arial" w:hAnsi="Arial" w:cs="Arial"/>
          <w:color w:val="000000"/>
        </w:rPr>
      </w:pPr>
    </w:p>
    <w:p w14:paraId="56EE1A43" w14:textId="77777777" w:rsidR="00A56512" w:rsidRDefault="00A56512">
      <w:pPr>
        <w:pBdr>
          <w:top w:val="nil"/>
          <w:left w:val="nil"/>
          <w:bottom w:val="nil"/>
          <w:right w:val="nil"/>
          <w:between w:val="nil"/>
        </w:pBdr>
        <w:jc w:val="center"/>
        <w:rPr>
          <w:rFonts w:ascii="Arial" w:eastAsia="Arial" w:hAnsi="Arial" w:cs="Arial"/>
          <w:color w:val="000000"/>
        </w:rPr>
      </w:pPr>
    </w:p>
    <w:p w14:paraId="07726143" w14:textId="77777777" w:rsidR="00A56512" w:rsidRDefault="00A56512">
      <w:pPr>
        <w:pBdr>
          <w:top w:val="nil"/>
          <w:left w:val="nil"/>
          <w:bottom w:val="nil"/>
          <w:right w:val="nil"/>
          <w:between w:val="nil"/>
        </w:pBdr>
        <w:jc w:val="center"/>
        <w:rPr>
          <w:rFonts w:ascii="Arial" w:eastAsia="Arial" w:hAnsi="Arial" w:cs="Arial"/>
          <w:color w:val="000000"/>
        </w:rPr>
      </w:pPr>
    </w:p>
    <w:p w14:paraId="4A0A053B" w14:textId="77777777" w:rsidR="00A56512" w:rsidRDefault="00000000">
      <w:pPr>
        <w:pBdr>
          <w:top w:val="nil"/>
          <w:left w:val="nil"/>
          <w:bottom w:val="nil"/>
          <w:right w:val="nil"/>
          <w:between w:val="nil"/>
        </w:pBdr>
        <w:spacing w:line="480" w:lineRule="auto"/>
        <w:jc w:val="center"/>
        <w:rPr>
          <w:rFonts w:ascii="Arial" w:eastAsia="Arial" w:hAnsi="Arial" w:cs="Arial"/>
          <w:color w:val="000000"/>
        </w:rPr>
      </w:pPr>
      <w:r>
        <w:rPr>
          <w:rFonts w:ascii="Arial" w:eastAsia="Arial" w:hAnsi="Arial" w:cs="Arial"/>
          <w:color w:val="000000"/>
        </w:rPr>
        <w:t>ORIENTANDO (A) – LUAN GUILHERME MARTINS SALES DE MORAES</w:t>
      </w:r>
    </w:p>
    <w:p w14:paraId="7D77839E" w14:textId="77777777" w:rsidR="00A56512" w:rsidRDefault="00000000">
      <w:pPr>
        <w:pBdr>
          <w:top w:val="nil"/>
          <w:left w:val="nil"/>
          <w:bottom w:val="nil"/>
          <w:right w:val="nil"/>
          <w:between w:val="nil"/>
        </w:pBdr>
        <w:spacing w:line="480" w:lineRule="auto"/>
        <w:jc w:val="center"/>
        <w:rPr>
          <w:rFonts w:ascii="Arial" w:eastAsia="Arial" w:hAnsi="Arial" w:cs="Arial"/>
          <w:color w:val="000000"/>
        </w:rPr>
      </w:pPr>
      <w:r>
        <w:rPr>
          <w:rFonts w:ascii="Arial" w:eastAsia="Arial" w:hAnsi="Arial" w:cs="Arial"/>
          <w:color w:val="000000"/>
        </w:rPr>
        <w:t>ORIENTADORA- PROFA. DRA. FÁTIMA DE PAULA FERREIRA</w:t>
      </w:r>
    </w:p>
    <w:p w14:paraId="6D0146C5" w14:textId="77777777" w:rsidR="00A56512" w:rsidRDefault="00A56512">
      <w:pPr>
        <w:pBdr>
          <w:top w:val="nil"/>
          <w:left w:val="nil"/>
          <w:bottom w:val="nil"/>
          <w:right w:val="nil"/>
          <w:between w:val="nil"/>
        </w:pBdr>
        <w:spacing w:line="480" w:lineRule="auto"/>
        <w:jc w:val="center"/>
        <w:rPr>
          <w:rFonts w:ascii="Arial" w:eastAsia="Arial" w:hAnsi="Arial" w:cs="Arial"/>
          <w:color w:val="000000"/>
        </w:rPr>
      </w:pPr>
    </w:p>
    <w:p w14:paraId="6504F5DD" w14:textId="77777777" w:rsidR="00A56512" w:rsidRDefault="00A56512">
      <w:pPr>
        <w:pBdr>
          <w:top w:val="nil"/>
          <w:left w:val="nil"/>
          <w:bottom w:val="nil"/>
          <w:right w:val="nil"/>
          <w:between w:val="nil"/>
        </w:pBdr>
        <w:spacing w:line="480" w:lineRule="auto"/>
        <w:jc w:val="center"/>
        <w:rPr>
          <w:rFonts w:ascii="Arial" w:eastAsia="Arial" w:hAnsi="Arial" w:cs="Arial"/>
          <w:color w:val="000000"/>
        </w:rPr>
      </w:pPr>
    </w:p>
    <w:p w14:paraId="0A591AB2" w14:textId="77777777" w:rsidR="00A56512" w:rsidRDefault="00A56512">
      <w:pPr>
        <w:pBdr>
          <w:top w:val="nil"/>
          <w:left w:val="nil"/>
          <w:bottom w:val="nil"/>
          <w:right w:val="nil"/>
          <w:between w:val="nil"/>
        </w:pBdr>
        <w:spacing w:line="480" w:lineRule="auto"/>
        <w:jc w:val="center"/>
        <w:rPr>
          <w:rFonts w:ascii="Arial" w:eastAsia="Arial" w:hAnsi="Arial" w:cs="Arial"/>
          <w:color w:val="000000"/>
        </w:rPr>
      </w:pPr>
    </w:p>
    <w:p w14:paraId="1761D85D" w14:textId="77777777" w:rsidR="00A56512" w:rsidRDefault="00A56512">
      <w:pPr>
        <w:pBdr>
          <w:top w:val="nil"/>
          <w:left w:val="nil"/>
          <w:bottom w:val="nil"/>
          <w:right w:val="nil"/>
          <w:between w:val="nil"/>
        </w:pBdr>
        <w:spacing w:line="480" w:lineRule="auto"/>
        <w:jc w:val="center"/>
        <w:rPr>
          <w:rFonts w:ascii="Arial" w:eastAsia="Arial" w:hAnsi="Arial" w:cs="Arial"/>
          <w:color w:val="000000"/>
        </w:rPr>
      </w:pPr>
    </w:p>
    <w:p w14:paraId="1FB61605" w14:textId="77777777" w:rsidR="00A56512" w:rsidRDefault="00A56512">
      <w:pPr>
        <w:pBdr>
          <w:top w:val="nil"/>
          <w:left w:val="nil"/>
          <w:bottom w:val="nil"/>
          <w:right w:val="nil"/>
          <w:between w:val="nil"/>
        </w:pBdr>
        <w:jc w:val="center"/>
        <w:rPr>
          <w:rFonts w:ascii="Arial" w:eastAsia="Arial" w:hAnsi="Arial" w:cs="Arial"/>
          <w:color w:val="000000"/>
        </w:rPr>
      </w:pPr>
    </w:p>
    <w:p w14:paraId="2CAC7722" w14:textId="77777777" w:rsidR="00A56512" w:rsidRDefault="00000000">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GOIÂNIA-GO</w:t>
      </w:r>
    </w:p>
    <w:p w14:paraId="6F632DB6" w14:textId="1BCCCAC2" w:rsidR="00A56512" w:rsidRDefault="00000000">
      <w:pPr>
        <w:pBdr>
          <w:top w:val="nil"/>
          <w:left w:val="nil"/>
          <w:bottom w:val="nil"/>
          <w:right w:val="nil"/>
          <w:between w:val="nil"/>
        </w:pBdr>
        <w:jc w:val="center"/>
        <w:rPr>
          <w:rFonts w:ascii="Arial" w:eastAsia="Arial" w:hAnsi="Arial" w:cs="Arial"/>
          <w:color w:val="000000"/>
        </w:rPr>
        <w:sectPr w:rsidR="00A56512">
          <w:pgSz w:w="11900" w:h="16840"/>
          <w:pgMar w:top="851" w:right="1134" w:bottom="851" w:left="1134" w:header="709" w:footer="851" w:gutter="0"/>
          <w:pgNumType w:start="1"/>
          <w:cols w:space="720"/>
        </w:sectPr>
      </w:pPr>
      <w:r>
        <w:rPr>
          <w:rFonts w:ascii="Arial" w:eastAsia="Arial" w:hAnsi="Arial" w:cs="Arial"/>
          <w:color w:val="000000"/>
        </w:rPr>
        <w:t>202</w:t>
      </w:r>
      <w:r w:rsidR="00EA1E69">
        <w:rPr>
          <w:rFonts w:ascii="Arial" w:eastAsia="Arial" w:hAnsi="Arial" w:cs="Arial"/>
          <w:color w:val="000000"/>
        </w:rPr>
        <w:t>6</w:t>
      </w:r>
      <w:r>
        <w:rPr>
          <w:rFonts w:ascii="Arial" w:eastAsia="Arial" w:hAnsi="Arial" w:cs="Arial"/>
          <w:color w:val="000000"/>
        </w:rPr>
        <w:t>/</w:t>
      </w:r>
      <w:r w:rsidR="00EA1E69">
        <w:rPr>
          <w:rFonts w:ascii="Arial" w:eastAsia="Arial" w:hAnsi="Arial" w:cs="Arial"/>
          <w:color w:val="000000"/>
        </w:rPr>
        <w:t>1</w:t>
      </w:r>
    </w:p>
    <w:p w14:paraId="4ADDA191" w14:textId="77777777" w:rsidR="00A56512" w:rsidRDefault="00000000">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lastRenderedPageBreak/>
        <w:t>LUAN GUILHERME MARTINS SALES DE MORAES</w:t>
      </w:r>
    </w:p>
    <w:p w14:paraId="338C1AA8" w14:textId="77777777" w:rsidR="00A56512" w:rsidRDefault="00A56512">
      <w:pPr>
        <w:pBdr>
          <w:top w:val="nil"/>
          <w:left w:val="nil"/>
          <w:bottom w:val="nil"/>
          <w:right w:val="nil"/>
          <w:between w:val="nil"/>
        </w:pBdr>
        <w:jc w:val="center"/>
        <w:rPr>
          <w:color w:val="000000"/>
        </w:rPr>
      </w:pPr>
    </w:p>
    <w:p w14:paraId="20E776D9" w14:textId="77777777" w:rsidR="00A56512" w:rsidRDefault="00A56512">
      <w:pPr>
        <w:pBdr>
          <w:top w:val="nil"/>
          <w:left w:val="nil"/>
          <w:bottom w:val="nil"/>
          <w:right w:val="nil"/>
          <w:between w:val="nil"/>
        </w:pBdr>
        <w:jc w:val="center"/>
        <w:rPr>
          <w:color w:val="000000"/>
        </w:rPr>
      </w:pPr>
    </w:p>
    <w:p w14:paraId="6AC7382C" w14:textId="77777777" w:rsidR="00A56512" w:rsidRDefault="00A56512">
      <w:pPr>
        <w:pBdr>
          <w:top w:val="nil"/>
          <w:left w:val="nil"/>
          <w:bottom w:val="nil"/>
          <w:right w:val="nil"/>
          <w:between w:val="nil"/>
        </w:pBdr>
        <w:jc w:val="center"/>
        <w:rPr>
          <w:color w:val="000000"/>
        </w:rPr>
      </w:pPr>
    </w:p>
    <w:p w14:paraId="77C2EBEA" w14:textId="77777777" w:rsidR="00A56512" w:rsidRDefault="00A56512">
      <w:pPr>
        <w:pBdr>
          <w:top w:val="nil"/>
          <w:left w:val="nil"/>
          <w:bottom w:val="nil"/>
          <w:right w:val="nil"/>
          <w:between w:val="nil"/>
        </w:pBdr>
        <w:jc w:val="center"/>
        <w:rPr>
          <w:color w:val="000000"/>
        </w:rPr>
      </w:pPr>
    </w:p>
    <w:p w14:paraId="0BE15AA2" w14:textId="77777777" w:rsidR="00A56512" w:rsidRDefault="00A56512">
      <w:pPr>
        <w:pBdr>
          <w:top w:val="nil"/>
          <w:left w:val="nil"/>
          <w:bottom w:val="nil"/>
          <w:right w:val="nil"/>
          <w:between w:val="nil"/>
        </w:pBdr>
        <w:jc w:val="center"/>
        <w:rPr>
          <w:color w:val="000000"/>
        </w:rPr>
      </w:pPr>
    </w:p>
    <w:p w14:paraId="5F5EBE9C" w14:textId="77777777" w:rsidR="00A56512" w:rsidRDefault="00A56512">
      <w:pPr>
        <w:pBdr>
          <w:top w:val="nil"/>
          <w:left w:val="nil"/>
          <w:bottom w:val="nil"/>
          <w:right w:val="nil"/>
          <w:between w:val="nil"/>
        </w:pBdr>
        <w:jc w:val="center"/>
        <w:rPr>
          <w:color w:val="000000"/>
        </w:rPr>
      </w:pPr>
    </w:p>
    <w:p w14:paraId="50C344A2" w14:textId="77777777" w:rsidR="00A56512" w:rsidRDefault="00A56512">
      <w:pPr>
        <w:pBdr>
          <w:top w:val="nil"/>
          <w:left w:val="nil"/>
          <w:bottom w:val="nil"/>
          <w:right w:val="nil"/>
          <w:between w:val="nil"/>
        </w:pBdr>
        <w:jc w:val="center"/>
        <w:rPr>
          <w:color w:val="000000"/>
        </w:rPr>
      </w:pPr>
    </w:p>
    <w:p w14:paraId="6E2CCC25" w14:textId="77777777" w:rsidR="00A56512" w:rsidRDefault="00A56512">
      <w:pPr>
        <w:pBdr>
          <w:top w:val="nil"/>
          <w:left w:val="nil"/>
          <w:bottom w:val="nil"/>
          <w:right w:val="nil"/>
          <w:between w:val="nil"/>
        </w:pBdr>
        <w:jc w:val="center"/>
        <w:rPr>
          <w:color w:val="000000"/>
        </w:rPr>
      </w:pPr>
    </w:p>
    <w:p w14:paraId="47A0AAB7" w14:textId="77777777" w:rsidR="00A56512" w:rsidRDefault="00A56512">
      <w:pPr>
        <w:pBdr>
          <w:top w:val="nil"/>
          <w:left w:val="nil"/>
          <w:bottom w:val="nil"/>
          <w:right w:val="nil"/>
          <w:between w:val="nil"/>
        </w:pBdr>
        <w:jc w:val="center"/>
        <w:rPr>
          <w:color w:val="000000"/>
        </w:rPr>
      </w:pPr>
    </w:p>
    <w:p w14:paraId="79C2114F" w14:textId="77777777" w:rsidR="00A56512" w:rsidRDefault="00A56512">
      <w:pPr>
        <w:pBdr>
          <w:top w:val="nil"/>
          <w:left w:val="nil"/>
          <w:bottom w:val="nil"/>
          <w:right w:val="nil"/>
          <w:between w:val="nil"/>
        </w:pBdr>
        <w:jc w:val="center"/>
        <w:rPr>
          <w:color w:val="000000"/>
        </w:rPr>
      </w:pPr>
    </w:p>
    <w:p w14:paraId="251EF3F2" w14:textId="77777777" w:rsidR="00A56512" w:rsidRDefault="00A56512">
      <w:pPr>
        <w:pBdr>
          <w:top w:val="nil"/>
          <w:left w:val="nil"/>
          <w:bottom w:val="nil"/>
          <w:right w:val="nil"/>
          <w:between w:val="nil"/>
        </w:pBdr>
        <w:jc w:val="center"/>
        <w:rPr>
          <w:color w:val="000000"/>
        </w:rPr>
      </w:pPr>
    </w:p>
    <w:p w14:paraId="2F81424A" w14:textId="77777777" w:rsidR="00A56512" w:rsidRDefault="00A56512">
      <w:pPr>
        <w:pBdr>
          <w:top w:val="nil"/>
          <w:left w:val="nil"/>
          <w:bottom w:val="nil"/>
          <w:right w:val="nil"/>
          <w:between w:val="nil"/>
        </w:pBdr>
        <w:jc w:val="center"/>
        <w:rPr>
          <w:color w:val="000000"/>
        </w:rPr>
      </w:pPr>
    </w:p>
    <w:p w14:paraId="0CD8CD47" w14:textId="77777777" w:rsidR="00A56512" w:rsidRDefault="00A56512">
      <w:pPr>
        <w:pBdr>
          <w:top w:val="nil"/>
          <w:left w:val="nil"/>
          <w:bottom w:val="nil"/>
          <w:right w:val="nil"/>
          <w:between w:val="nil"/>
        </w:pBdr>
        <w:jc w:val="center"/>
        <w:rPr>
          <w:color w:val="000000"/>
        </w:rPr>
      </w:pPr>
    </w:p>
    <w:p w14:paraId="7447DFB3" w14:textId="77777777" w:rsidR="00A56512" w:rsidRDefault="00A56512">
      <w:pPr>
        <w:pBdr>
          <w:top w:val="nil"/>
          <w:left w:val="nil"/>
          <w:bottom w:val="nil"/>
          <w:right w:val="nil"/>
          <w:between w:val="nil"/>
        </w:pBdr>
        <w:jc w:val="center"/>
        <w:rPr>
          <w:color w:val="000000"/>
        </w:rPr>
      </w:pPr>
    </w:p>
    <w:p w14:paraId="045DDE1A" w14:textId="77777777" w:rsidR="00A56512" w:rsidRDefault="00A56512">
      <w:pPr>
        <w:pBdr>
          <w:top w:val="nil"/>
          <w:left w:val="nil"/>
          <w:bottom w:val="nil"/>
          <w:right w:val="nil"/>
          <w:between w:val="nil"/>
        </w:pBdr>
        <w:jc w:val="center"/>
        <w:rPr>
          <w:color w:val="000000"/>
        </w:rPr>
      </w:pPr>
    </w:p>
    <w:p w14:paraId="201E3987" w14:textId="77777777" w:rsidR="00A56512" w:rsidRDefault="00A56512">
      <w:pPr>
        <w:pBdr>
          <w:top w:val="nil"/>
          <w:left w:val="nil"/>
          <w:bottom w:val="nil"/>
          <w:right w:val="nil"/>
          <w:between w:val="nil"/>
        </w:pBdr>
        <w:jc w:val="center"/>
        <w:rPr>
          <w:color w:val="000000"/>
        </w:rPr>
      </w:pPr>
    </w:p>
    <w:p w14:paraId="4291BEB8"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b/>
          <w:bCs/>
          <w:color w:val="000000"/>
          <w:sz w:val="28"/>
          <w:szCs w:val="28"/>
        </w:rPr>
      </w:pPr>
    </w:p>
    <w:p w14:paraId="6C4E680A"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b/>
          <w:bCs/>
          <w:color w:val="000000"/>
          <w:sz w:val="28"/>
          <w:szCs w:val="28"/>
        </w:rPr>
      </w:pPr>
    </w:p>
    <w:p w14:paraId="16FA479D"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b/>
          <w:bCs/>
          <w:color w:val="000000"/>
          <w:sz w:val="28"/>
          <w:szCs w:val="28"/>
        </w:rPr>
      </w:pPr>
    </w:p>
    <w:p w14:paraId="1A9A0ECE"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b/>
          <w:bCs/>
          <w:color w:val="000000"/>
          <w:sz w:val="28"/>
          <w:szCs w:val="28"/>
        </w:rPr>
      </w:pPr>
    </w:p>
    <w:p w14:paraId="2336B43A"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Arial" w:eastAsia="Arial" w:hAnsi="Arial" w:cs="Arial"/>
          <w:b/>
          <w:bCs/>
          <w:color w:val="000000"/>
          <w:sz w:val="28"/>
          <w:szCs w:val="28"/>
        </w:rPr>
      </w:pPr>
      <w:r>
        <w:rPr>
          <w:rFonts w:ascii="Arial" w:eastAsia="Arial" w:hAnsi="Arial" w:cs="Arial"/>
          <w:b/>
          <w:bCs/>
          <w:color w:val="000000"/>
          <w:sz w:val="28"/>
          <w:szCs w:val="28"/>
        </w:rPr>
        <w:t xml:space="preserve">PRINCÍPIO DA INSIGNIFICÂNCIA: </w:t>
      </w:r>
      <w:r>
        <w:rPr>
          <w:rFonts w:ascii="Arial" w:eastAsia="Arial" w:hAnsi="Arial" w:cs="Arial"/>
          <w:color w:val="000000"/>
          <w:sz w:val="28"/>
          <w:szCs w:val="28"/>
        </w:rPr>
        <w:t>DUALISMO ENTRE A GARANTIA DA DIGNIDADE HUMANA E O FOMENTO DE PRÁTICAS DELITIVAS REITERADAS</w:t>
      </w:r>
    </w:p>
    <w:p w14:paraId="04ACE22D" w14:textId="77777777" w:rsidR="00A56512" w:rsidRDefault="00A56512">
      <w:pPr>
        <w:pBdr>
          <w:top w:val="nil"/>
          <w:left w:val="nil"/>
          <w:bottom w:val="nil"/>
          <w:right w:val="nil"/>
          <w:between w:val="nil"/>
        </w:pBdr>
        <w:jc w:val="center"/>
        <w:rPr>
          <w:rFonts w:ascii="Arial" w:eastAsia="Arial" w:hAnsi="Arial" w:cs="Arial"/>
          <w:color w:val="000000"/>
        </w:rPr>
      </w:pPr>
    </w:p>
    <w:p w14:paraId="776D884C" w14:textId="77777777" w:rsidR="00A56512" w:rsidRDefault="00A56512">
      <w:pPr>
        <w:pBdr>
          <w:top w:val="nil"/>
          <w:left w:val="nil"/>
          <w:bottom w:val="nil"/>
          <w:right w:val="nil"/>
          <w:between w:val="nil"/>
        </w:pBdr>
        <w:jc w:val="center"/>
        <w:rPr>
          <w:rFonts w:ascii="Arial" w:eastAsia="Arial" w:hAnsi="Arial" w:cs="Arial"/>
          <w:color w:val="000000"/>
        </w:rPr>
      </w:pPr>
    </w:p>
    <w:p w14:paraId="4012D567" w14:textId="77777777" w:rsidR="00A56512" w:rsidRDefault="00A56512">
      <w:pPr>
        <w:pBdr>
          <w:top w:val="nil"/>
          <w:left w:val="nil"/>
          <w:bottom w:val="nil"/>
          <w:right w:val="nil"/>
          <w:between w:val="nil"/>
        </w:pBdr>
        <w:jc w:val="center"/>
        <w:rPr>
          <w:rFonts w:ascii="Arial" w:eastAsia="Arial" w:hAnsi="Arial" w:cs="Arial"/>
          <w:color w:val="000000"/>
        </w:rPr>
      </w:pPr>
    </w:p>
    <w:p w14:paraId="2D91ABC2" w14:textId="77777777" w:rsidR="00A56512" w:rsidRDefault="00A56512">
      <w:pPr>
        <w:pBdr>
          <w:top w:val="nil"/>
          <w:left w:val="nil"/>
          <w:bottom w:val="nil"/>
          <w:right w:val="nil"/>
          <w:between w:val="nil"/>
        </w:pBdr>
        <w:jc w:val="center"/>
        <w:rPr>
          <w:rFonts w:ascii="Arial" w:eastAsia="Arial" w:hAnsi="Arial" w:cs="Arial"/>
          <w:color w:val="000000"/>
        </w:rPr>
      </w:pPr>
    </w:p>
    <w:p w14:paraId="4876F510" w14:textId="77777777" w:rsidR="00A56512" w:rsidRDefault="00A56512">
      <w:pPr>
        <w:pBdr>
          <w:top w:val="nil"/>
          <w:left w:val="nil"/>
          <w:bottom w:val="nil"/>
          <w:right w:val="nil"/>
          <w:between w:val="nil"/>
        </w:pBdr>
        <w:jc w:val="center"/>
        <w:rPr>
          <w:rFonts w:ascii="Arial" w:eastAsia="Arial" w:hAnsi="Arial" w:cs="Arial"/>
          <w:color w:val="000000"/>
        </w:rPr>
      </w:pPr>
    </w:p>
    <w:p w14:paraId="16A43A83" w14:textId="77777777" w:rsidR="00A56512" w:rsidRDefault="00A56512">
      <w:pPr>
        <w:pBdr>
          <w:top w:val="nil"/>
          <w:left w:val="nil"/>
          <w:bottom w:val="nil"/>
          <w:right w:val="nil"/>
          <w:between w:val="nil"/>
        </w:pBdr>
        <w:jc w:val="center"/>
        <w:rPr>
          <w:rFonts w:ascii="Arial" w:eastAsia="Arial" w:hAnsi="Arial" w:cs="Arial"/>
          <w:color w:val="000000"/>
        </w:rPr>
      </w:pPr>
    </w:p>
    <w:p w14:paraId="356562F2" w14:textId="77777777" w:rsidR="00A56512" w:rsidRDefault="00A56512">
      <w:pPr>
        <w:pBdr>
          <w:top w:val="nil"/>
          <w:left w:val="nil"/>
          <w:bottom w:val="nil"/>
          <w:right w:val="nil"/>
          <w:between w:val="nil"/>
        </w:pBdr>
        <w:jc w:val="center"/>
        <w:rPr>
          <w:rFonts w:ascii="Arial" w:eastAsia="Arial" w:hAnsi="Arial" w:cs="Arial"/>
          <w:color w:val="000000"/>
        </w:rPr>
      </w:pPr>
    </w:p>
    <w:p w14:paraId="0D91AFF7" w14:textId="77777777" w:rsidR="00A56512" w:rsidRDefault="00A56512">
      <w:pPr>
        <w:pBdr>
          <w:top w:val="nil"/>
          <w:left w:val="nil"/>
          <w:bottom w:val="nil"/>
          <w:right w:val="nil"/>
          <w:between w:val="nil"/>
        </w:pBdr>
        <w:jc w:val="center"/>
        <w:rPr>
          <w:rFonts w:ascii="Arial" w:eastAsia="Arial" w:hAnsi="Arial" w:cs="Arial"/>
          <w:color w:val="000000"/>
        </w:rPr>
      </w:pPr>
    </w:p>
    <w:p w14:paraId="2918463D" w14:textId="6476D7AD" w:rsidR="00A56512" w:rsidRDefault="00000000">
      <w:pPr>
        <w:pBdr>
          <w:top w:val="nil"/>
          <w:left w:val="nil"/>
          <w:bottom w:val="nil"/>
          <w:right w:val="nil"/>
          <w:between w:val="nil"/>
        </w:pBdr>
        <w:ind w:left="3828"/>
        <w:jc w:val="both"/>
        <w:rPr>
          <w:rFonts w:ascii="Arial" w:eastAsia="Arial" w:hAnsi="Arial" w:cs="Arial"/>
          <w:color w:val="000000"/>
        </w:rPr>
      </w:pPr>
      <w:r>
        <w:rPr>
          <w:rFonts w:ascii="Arial" w:eastAsia="Arial" w:hAnsi="Arial" w:cs="Arial"/>
          <w:color w:val="000000"/>
        </w:rPr>
        <w:t>Monografia</w:t>
      </w:r>
      <w:r w:rsidR="009D0E0B">
        <w:rPr>
          <w:rFonts w:ascii="Arial" w:eastAsia="Arial" w:hAnsi="Arial" w:cs="Arial"/>
          <w:color w:val="000000"/>
        </w:rPr>
        <w:t xml:space="preserve"> jurídica </w:t>
      </w:r>
      <w:r>
        <w:rPr>
          <w:rFonts w:ascii="Arial" w:eastAsia="Arial" w:hAnsi="Arial" w:cs="Arial"/>
          <w:color w:val="000000"/>
        </w:rPr>
        <w:t>apresentada à disciplina Trabalho de Curso II, da Escola de Direito, Negocios e Comunicação da Pontifícia Universidade Catolica de Goiás (PUCGOIÁS).</w:t>
      </w:r>
    </w:p>
    <w:p w14:paraId="234B4BC8" w14:textId="77777777" w:rsidR="00A56512" w:rsidRDefault="00000000">
      <w:pPr>
        <w:pBdr>
          <w:top w:val="nil"/>
          <w:left w:val="nil"/>
          <w:bottom w:val="nil"/>
          <w:right w:val="nil"/>
          <w:between w:val="nil"/>
        </w:pBdr>
        <w:ind w:left="3828"/>
        <w:jc w:val="both"/>
        <w:rPr>
          <w:rFonts w:ascii="Arial" w:eastAsia="Arial" w:hAnsi="Arial" w:cs="Arial"/>
          <w:color w:val="000000"/>
        </w:rPr>
      </w:pPr>
      <w:r>
        <w:rPr>
          <w:rFonts w:ascii="Arial" w:eastAsia="Arial" w:hAnsi="Arial" w:cs="Arial"/>
          <w:color w:val="000000"/>
        </w:rPr>
        <w:t>Prof.a. Orientadora – Dra. Fátima de Paula Ferreira</w:t>
      </w:r>
    </w:p>
    <w:p w14:paraId="1AA70549" w14:textId="77777777" w:rsidR="00A56512" w:rsidRDefault="00A56512">
      <w:pPr>
        <w:pBdr>
          <w:top w:val="nil"/>
          <w:left w:val="nil"/>
          <w:bottom w:val="nil"/>
          <w:right w:val="nil"/>
          <w:between w:val="nil"/>
        </w:pBdr>
        <w:jc w:val="center"/>
        <w:rPr>
          <w:rFonts w:ascii="Arial" w:eastAsia="Arial" w:hAnsi="Arial" w:cs="Arial"/>
          <w:color w:val="000000"/>
        </w:rPr>
      </w:pPr>
    </w:p>
    <w:p w14:paraId="14827BE4" w14:textId="77777777" w:rsidR="00A56512" w:rsidRDefault="00A56512">
      <w:pPr>
        <w:pBdr>
          <w:top w:val="nil"/>
          <w:left w:val="nil"/>
          <w:bottom w:val="nil"/>
          <w:right w:val="nil"/>
          <w:between w:val="nil"/>
        </w:pBdr>
        <w:jc w:val="center"/>
        <w:rPr>
          <w:rFonts w:ascii="Arial" w:eastAsia="Arial" w:hAnsi="Arial" w:cs="Arial"/>
          <w:color w:val="000000"/>
        </w:rPr>
      </w:pPr>
    </w:p>
    <w:p w14:paraId="6CD7A068" w14:textId="77777777" w:rsidR="00A56512" w:rsidRDefault="00A56512">
      <w:pPr>
        <w:pBdr>
          <w:top w:val="nil"/>
          <w:left w:val="nil"/>
          <w:bottom w:val="nil"/>
          <w:right w:val="nil"/>
          <w:between w:val="nil"/>
        </w:pBdr>
        <w:jc w:val="center"/>
        <w:rPr>
          <w:rFonts w:ascii="Arial" w:eastAsia="Arial" w:hAnsi="Arial" w:cs="Arial"/>
          <w:color w:val="000000"/>
        </w:rPr>
      </w:pPr>
    </w:p>
    <w:p w14:paraId="2731BA08" w14:textId="77777777" w:rsidR="00A56512" w:rsidRDefault="00A56512">
      <w:pPr>
        <w:pBdr>
          <w:top w:val="nil"/>
          <w:left w:val="nil"/>
          <w:bottom w:val="nil"/>
          <w:right w:val="nil"/>
          <w:between w:val="nil"/>
        </w:pBdr>
        <w:jc w:val="center"/>
        <w:rPr>
          <w:rFonts w:ascii="Arial" w:eastAsia="Arial" w:hAnsi="Arial" w:cs="Arial"/>
          <w:color w:val="000000"/>
        </w:rPr>
      </w:pPr>
    </w:p>
    <w:p w14:paraId="39BA8F50" w14:textId="77777777" w:rsidR="00A56512" w:rsidRDefault="00A56512">
      <w:pPr>
        <w:pBdr>
          <w:top w:val="nil"/>
          <w:left w:val="nil"/>
          <w:bottom w:val="nil"/>
          <w:right w:val="nil"/>
          <w:between w:val="nil"/>
        </w:pBdr>
        <w:jc w:val="center"/>
        <w:rPr>
          <w:rFonts w:ascii="Arial" w:eastAsia="Arial" w:hAnsi="Arial" w:cs="Arial"/>
          <w:color w:val="000000"/>
        </w:rPr>
      </w:pPr>
    </w:p>
    <w:p w14:paraId="4518B1B3" w14:textId="77777777" w:rsidR="00A56512" w:rsidRDefault="00A56512">
      <w:pPr>
        <w:pBdr>
          <w:top w:val="nil"/>
          <w:left w:val="nil"/>
          <w:bottom w:val="nil"/>
          <w:right w:val="nil"/>
          <w:between w:val="nil"/>
        </w:pBdr>
        <w:jc w:val="center"/>
        <w:rPr>
          <w:rFonts w:ascii="Arial" w:eastAsia="Arial" w:hAnsi="Arial" w:cs="Arial"/>
          <w:color w:val="000000"/>
        </w:rPr>
      </w:pPr>
    </w:p>
    <w:p w14:paraId="5F65FE5C" w14:textId="77777777" w:rsidR="00A56512" w:rsidRDefault="00A56512">
      <w:pPr>
        <w:pBdr>
          <w:top w:val="nil"/>
          <w:left w:val="nil"/>
          <w:bottom w:val="nil"/>
          <w:right w:val="nil"/>
          <w:between w:val="nil"/>
        </w:pBdr>
        <w:jc w:val="center"/>
        <w:rPr>
          <w:rFonts w:ascii="Arial" w:eastAsia="Arial" w:hAnsi="Arial" w:cs="Arial"/>
          <w:color w:val="000000"/>
        </w:rPr>
      </w:pPr>
    </w:p>
    <w:p w14:paraId="66DC038F" w14:textId="77777777" w:rsidR="00A56512" w:rsidRDefault="00A56512">
      <w:pPr>
        <w:pBdr>
          <w:top w:val="nil"/>
          <w:left w:val="nil"/>
          <w:bottom w:val="nil"/>
          <w:right w:val="nil"/>
          <w:between w:val="nil"/>
        </w:pBdr>
        <w:jc w:val="center"/>
        <w:rPr>
          <w:rFonts w:ascii="Arial" w:eastAsia="Arial" w:hAnsi="Arial" w:cs="Arial"/>
          <w:color w:val="000000"/>
        </w:rPr>
      </w:pPr>
    </w:p>
    <w:p w14:paraId="2181739F" w14:textId="77777777" w:rsidR="00A56512" w:rsidRDefault="00000000">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GOIÂNIA-GO</w:t>
      </w:r>
    </w:p>
    <w:p w14:paraId="7E3D5919" w14:textId="083E1DC1" w:rsidR="00A56512" w:rsidRDefault="00000000">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202</w:t>
      </w:r>
      <w:r w:rsidR="00EA1E69">
        <w:rPr>
          <w:rFonts w:ascii="Arial" w:eastAsia="Arial" w:hAnsi="Arial" w:cs="Arial"/>
          <w:color w:val="000000"/>
        </w:rPr>
        <w:t>6</w:t>
      </w:r>
      <w:r>
        <w:rPr>
          <w:rFonts w:ascii="Arial" w:eastAsia="Arial" w:hAnsi="Arial" w:cs="Arial"/>
          <w:color w:val="000000"/>
        </w:rPr>
        <w:t>/</w:t>
      </w:r>
      <w:r w:rsidR="00A454A3">
        <w:rPr>
          <w:rFonts w:ascii="Arial" w:eastAsia="Arial" w:hAnsi="Arial" w:cs="Arial"/>
          <w:color w:val="000000"/>
        </w:rPr>
        <w:t>1</w:t>
      </w:r>
    </w:p>
    <w:p w14:paraId="12901915" w14:textId="77777777" w:rsidR="00A56512" w:rsidRDefault="00A56512">
      <w:pPr>
        <w:pBdr>
          <w:top w:val="nil"/>
          <w:left w:val="nil"/>
          <w:bottom w:val="nil"/>
          <w:right w:val="nil"/>
          <w:between w:val="nil"/>
        </w:pBdr>
        <w:jc w:val="center"/>
        <w:rPr>
          <w:rFonts w:ascii="Arial" w:eastAsia="Arial" w:hAnsi="Arial" w:cs="Arial"/>
          <w:color w:val="000000"/>
        </w:rPr>
      </w:pPr>
    </w:p>
    <w:p w14:paraId="3D1EFDFD" w14:textId="77777777" w:rsidR="00A56512" w:rsidRDefault="00A56512">
      <w:pPr>
        <w:pBdr>
          <w:top w:val="nil"/>
          <w:left w:val="nil"/>
          <w:bottom w:val="nil"/>
          <w:right w:val="nil"/>
          <w:between w:val="nil"/>
        </w:pBdr>
        <w:jc w:val="center"/>
        <w:rPr>
          <w:rFonts w:ascii="Arial" w:eastAsia="Arial" w:hAnsi="Arial" w:cs="Arial"/>
          <w:color w:val="000000"/>
        </w:rPr>
      </w:pPr>
    </w:p>
    <w:p w14:paraId="6902B810" w14:textId="77777777" w:rsidR="00A56512" w:rsidRDefault="00A56512">
      <w:pPr>
        <w:pBdr>
          <w:top w:val="nil"/>
          <w:left w:val="nil"/>
          <w:bottom w:val="nil"/>
          <w:right w:val="nil"/>
          <w:between w:val="nil"/>
        </w:pBdr>
        <w:rPr>
          <w:color w:val="000000"/>
        </w:rPr>
      </w:pPr>
    </w:p>
    <w:p w14:paraId="285C1FE5" w14:textId="77777777" w:rsidR="00A56512" w:rsidRDefault="00000000">
      <w:pPr>
        <w:pBdr>
          <w:top w:val="nil"/>
          <w:left w:val="nil"/>
          <w:bottom w:val="nil"/>
          <w:right w:val="nil"/>
          <w:between w:val="nil"/>
        </w:pBdr>
        <w:jc w:val="center"/>
        <w:rPr>
          <w:rFonts w:ascii="Arial" w:eastAsia="Arial" w:hAnsi="Arial" w:cs="Arial"/>
          <w:b/>
          <w:bCs/>
          <w:color w:val="000000"/>
          <w:sz w:val="28"/>
          <w:szCs w:val="28"/>
        </w:rPr>
      </w:pPr>
      <w:r>
        <w:rPr>
          <w:rFonts w:ascii="Arial" w:eastAsia="Arial" w:hAnsi="Arial" w:cs="Arial"/>
          <w:b/>
          <w:bCs/>
          <w:color w:val="000000"/>
          <w:sz w:val="28"/>
          <w:szCs w:val="28"/>
        </w:rPr>
        <w:lastRenderedPageBreak/>
        <w:t>SUMÁRIO</w:t>
      </w:r>
    </w:p>
    <w:p w14:paraId="7140651C" w14:textId="77777777" w:rsidR="00A56512" w:rsidRDefault="00A56512">
      <w:pPr>
        <w:pBdr>
          <w:top w:val="nil"/>
          <w:left w:val="nil"/>
          <w:bottom w:val="nil"/>
          <w:right w:val="nil"/>
          <w:between w:val="nil"/>
        </w:pBdr>
        <w:jc w:val="center"/>
        <w:rPr>
          <w:rFonts w:ascii="Arial" w:eastAsia="Arial" w:hAnsi="Arial" w:cs="Arial"/>
          <w:b/>
          <w:bCs/>
          <w:color w:val="000000"/>
          <w:sz w:val="28"/>
          <w:szCs w:val="28"/>
        </w:rPr>
      </w:pPr>
    </w:p>
    <w:p w14:paraId="4E73E9F8" w14:textId="77777777" w:rsidR="00A56512" w:rsidRDefault="00000000">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RESUMO .......................................................................................................................... 03</w:t>
      </w:r>
    </w:p>
    <w:p w14:paraId="4FE3A03E" w14:textId="77777777" w:rsidR="00A56512" w:rsidRDefault="00A56512">
      <w:pPr>
        <w:pBdr>
          <w:top w:val="nil"/>
          <w:left w:val="nil"/>
          <w:bottom w:val="nil"/>
          <w:right w:val="nil"/>
          <w:between w:val="nil"/>
        </w:pBdr>
        <w:jc w:val="center"/>
        <w:rPr>
          <w:rFonts w:ascii="Arial" w:eastAsia="Arial" w:hAnsi="Arial" w:cs="Arial"/>
          <w:b/>
          <w:bCs/>
          <w:color w:val="000000"/>
          <w:sz w:val="28"/>
          <w:szCs w:val="28"/>
        </w:rPr>
      </w:pPr>
    </w:p>
    <w:p w14:paraId="6A87397F" w14:textId="77777777" w:rsidR="00A56512" w:rsidRDefault="00000000">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INTRODUÇÃO .................................................................................................................. 04</w:t>
      </w:r>
    </w:p>
    <w:p w14:paraId="60B5A835" w14:textId="77777777" w:rsidR="00A56512" w:rsidRDefault="00A56512">
      <w:pPr>
        <w:pBdr>
          <w:top w:val="nil"/>
          <w:left w:val="nil"/>
          <w:bottom w:val="nil"/>
          <w:right w:val="nil"/>
          <w:between w:val="nil"/>
        </w:pBdr>
        <w:rPr>
          <w:rFonts w:ascii="Arial" w:eastAsia="Arial" w:hAnsi="Arial" w:cs="Arial"/>
          <w:b/>
          <w:bCs/>
          <w:color w:val="000000"/>
        </w:rPr>
      </w:pPr>
    </w:p>
    <w:p w14:paraId="3402E8C0"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1 NOÇÕES GERAIS DO PRINCÍPIO DA INSIGNIFICÂNCIA ..........................................</w:t>
      </w:r>
      <w:r>
        <w:rPr>
          <w:rFonts w:ascii="Arial" w:eastAsia="Arial" w:hAnsi="Arial" w:cs="Arial"/>
          <w:b/>
          <w:bCs/>
        </w:rPr>
        <w:t xml:space="preserve"> </w:t>
      </w:r>
      <w:r>
        <w:rPr>
          <w:rFonts w:ascii="Arial" w:eastAsia="Arial" w:hAnsi="Arial" w:cs="Arial"/>
          <w:b/>
          <w:bCs/>
          <w:color w:val="000000"/>
        </w:rPr>
        <w:t>06</w:t>
      </w:r>
    </w:p>
    <w:p w14:paraId="6EA7CC03" w14:textId="77777777" w:rsidR="00A56512" w:rsidRDefault="00000000">
      <w:pPr>
        <w:numPr>
          <w:ilvl w:val="1"/>
          <w:numId w:val="1"/>
        </w:numPr>
        <w:pBdr>
          <w:top w:val="nil"/>
          <w:left w:val="nil"/>
          <w:bottom w:val="nil"/>
          <w:right w:val="nil"/>
          <w:between w:val="nil"/>
        </w:pBdr>
        <w:ind w:left="357" w:hanging="357"/>
        <w:jc w:val="both"/>
        <w:rPr>
          <w:rFonts w:ascii="Arial" w:eastAsia="Arial" w:hAnsi="Arial" w:cs="Arial"/>
          <w:color w:val="000000"/>
        </w:rPr>
      </w:pPr>
      <w:r>
        <w:rPr>
          <w:rFonts w:ascii="Arial" w:eastAsia="Arial" w:hAnsi="Arial" w:cs="Arial"/>
          <w:color w:val="000000"/>
        </w:rPr>
        <w:t xml:space="preserve">EVOLUÇÃO HISTÓRICA </w:t>
      </w:r>
      <w:r>
        <w:rPr>
          <w:rFonts w:ascii="Arial" w:eastAsia="Arial" w:hAnsi="Arial" w:cs="Arial"/>
          <w:b/>
          <w:bCs/>
          <w:color w:val="000000"/>
        </w:rPr>
        <w:t>.............................................................................................</w:t>
      </w:r>
      <w:r>
        <w:rPr>
          <w:rFonts w:ascii="Arial" w:eastAsia="Arial" w:hAnsi="Arial" w:cs="Arial"/>
          <w:b/>
          <w:bCs/>
        </w:rPr>
        <w:t xml:space="preserve"> </w:t>
      </w:r>
      <w:r>
        <w:rPr>
          <w:rFonts w:ascii="Arial" w:eastAsia="Arial" w:hAnsi="Arial" w:cs="Arial"/>
          <w:b/>
          <w:bCs/>
          <w:color w:val="000000"/>
        </w:rPr>
        <w:t xml:space="preserve">06 </w:t>
      </w:r>
    </w:p>
    <w:p w14:paraId="364A8D1F" w14:textId="77777777" w:rsidR="00A56512"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1.2 CONCEITO </w:t>
      </w:r>
      <w:r>
        <w:rPr>
          <w:rFonts w:ascii="Arial" w:eastAsia="Arial" w:hAnsi="Arial" w:cs="Arial"/>
          <w:b/>
          <w:bCs/>
          <w:color w:val="000000"/>
        </w:rPr>
        <w:t>..................................................................................................................</w:t>
      </w:r>
      <w:r>
        <w:rPr>
          <w:rFonts w:ascii="Arial" w:eastAsia="Arial" w:hAnsi="Arial" w:cs="Arial"/>
          <w:b/>
          <w:bCs/>
        </w:rPr>
        <w:t xml:space="preserve"> </w:t>
      </w:r>
      <w:r>
        <w:rPr>
          <w:rFonts w:ascii="Arial" w:eastAsia="Arial" w:hAnsi="Arial" w:cs="Arial"/>
          <w:b/>
          <w:bCs/>
          <w:color w:val="000000"/>
        </w:rPr>
        <w:t>07</w:t>
      </w:r>
    </w:p>
    <w:p w14:paraId="6514A5D1" w14:textId="77777777" w:rsidR="00A56512"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1.3 NATUREZA JURÍDICA </w:t>
      </w:r>
      <w:r>
        <w:rPr>
          <w:rFonts w:ascii="Arial" w:eastAsia="Arial" w:hAnsi="Arial" w:cs="Arial"/>
          <w:b/>
          <w:bCs/>
          <w:color w:val="000000"/>
        </w:rPr>
        <w:t>................................................................................................</w:t>
      </w:r>
      <w:r>
        <w:rPr>
          <w:rFonts w:ascii="Arial" w:eastAsia="Arial" w:hAnsi="Arial" w:cs="Arial"/>
          <w:b/>
          <w:bCs/>
        </w:rPr>
        <w:t xml:space="preserve"> </w:t>
      </w:r>
      <w:r>
        <w:rPr>
          <w:rFonts w:ascii="Arial" w:eastAsia="Arial" w:hAnsi="Arial" w:cs="Arial"/>
          <w:b/>
          <w:bCs/>
          <w:color w:val="000000"/>
        </w:rPr>
        <w:t>09</w:t>
      </w:r>
    </w:p>
    <w:p w14:paraId="642A2EAC"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1.3.1 Tipicidade formal ....................................................................................................</w:t>
      </w:r>
      <w:r>
        <w:rPr>
          <w:rFonts w:ascii="Arial" w:eastAsia="Arial" w:hAnsi="Arial" w:cs="Arial"/>
          <w:b/>
          <w:bCs/>
        </w:rPr>
        <w:t xml:space="preserve"> </w:t>
      </w:r>
      <w:r>
        <w:rPr>
          <w:rFonts w:ascii="Arial" w:eastAsia="Arial" w:hAnsi="Arial" w:cs="Arial"/>
          <w:b/>
          <w:bCs/>
          <w:color w:val="000000"/>
        </w:rPr>
        <w:t>10</w:t>
      </w:r>
    </w:p>
    <w:p w14:paraId="414D5DF7"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1.3.2 Tipicidade material .................................................................................................</w:t>
      </w:r>
      <w:r>
        <w:rPr>
          <w:rFonts w:ascii="Arial" w:eastAsia="Arial" w:hAnsi="Arial" w:cs="Arial"/>
          <w:b/>
          <w:bCs/>
        </w:rPr>
        <w:t xml:space="preserve"> </w:t>
      </w:r>
      <w:r>
        <w:rPr>
          <w:rFonts w:ascii="Arial" w:eastAsia="Arial" w:hAnsi="Arial" w:cs="Arial"/>
          <w:b/>
          <w:bCs/>
          <w:color w:val="000000"/>
        </w:rPr>
        <w:t>11</w:t>
      </w:r>
    </w:p>
    <w:p w14:paraId="501AB2A2" w14:textId="06AD9CE2"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1.3.</w:t>
      </w:r>
      <w:r w:rsidR="00EA1E69">
        <w:rPr>
          <w:rFonts w:ascii="Arial" w:eastAsia="Arial" w:hAnsi="Arial" w:cs="Arial"/>
          <w:b/>
          <w:bCs/>
          <w:color w:val="000000"/>
        </w:rPr>
        <w:t>3</w:t>
      </w:r>
      <w:r>
        <w:rPr>
          <w:rFonts w:ascii="Arial" w:eastAsia="Arial" w:hAnsi="Arial" w:cs="Arial"/>
          <w:b/>
          <w:bCs/>
          <w:color w:val="000000"/>
        </w:rPr>
        <w:t xml:space="preserve"> Tipicidade conglobante .........................................................................................</w:t>
      </w:r>
      <w:r>
        <w:rPr>
          <w:rFonts w:ascii="Arial" w:eastAsia="Arial" w:hAnsi="Arial" w:cs="Arial"/>
          <w:b/>
          <w:bCs/>
        </w:rPr>
        <w:t xml:space="preserve"> </w:t>
      </w:r>
      <w:r>
        <w:rPr>
          <w:rFonts w:ascii="Arial" w:eastAsia="Arial" w:hAnsi="Arial" w:cs="Arial"/>
          <w:b/>
          <w:bCs/>
          <w:color w:val="000000"/>
        </w:rPr>
        <w:t>12</w:t>
      </w:r>
    </w:p>
    <w:p w14:paraId="2B43CBE4"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 xml:space="preserve">1.4 DA PREVISÃO DOUTRINÁRIA E JURISPRUDENCIAL DO PRINCÍPIO DA INSIGNIFICÂNCIA </w:t>
      </w:r>
      <w:r>
        <w:rPr>
          <w:rFonts w:ascii="Arial" w:eastAsia="Arial" w:hAnsi="Arial" w:cs="Arial"/>
          <w:b/>
          <w:bCs/>
          <w:color w:val="000000"/>
        </w:rPr>
        <w:t>............................................................................................................ 14</w:t>
      </w:r>
    </w:p>
    <w:p w14:paraId="62F1B7E7" w14:textId="77777777" w:rsidR="00A56512" w:rsidRDefault="00A56512">
      <w:pPr>
        <w:pBdr>
          <w:top w:val="nil"/>
          <w:left w:val="nil"/>
          <w:bottom w:val="nil"/>
          <w:right w:val="nil"/>
          <w:between w:val="nil"/>
        </w:pBdr>
        <w:jc w:val="both"/>
        <w:rPr>
          <w:rFonts w:ascii="Arial" w:eastAsia="Arial" w:hAnsi="Arial" w:cs="Arial"/>
          <w:b/>
          <w:bCs/>
          <w:color w:val="000000"/>
        </w:rPr>
      </w:pPr>
    </w:p>
    <w:p w14:paraId="6E28FD18"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2 PRINCÍPIOS CORRELATOS ......................................................................................... 16</w:t>
      </w:r>
    </w:p>
    <w:p w14:paraId="35827C4D" w14:textId="77777777" w:rsidR="00A56512"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2.1 PRINCÍPIO DA DIGNIDADE HUMANA </w:t>
      </w:r>
      <w:r>
        <w:rPr>
          <w:rFonts w:ascii="Arial" w:eastAsia="Arial" w:hAnsi="Arial" w:cs="Arial"/>
          <w:b/>
          <w:bCs/>
          <w:color w:val="000000"/>
        </w:rPr>
        <w:t>....................................................................... 16</w:t>
      </w:r>
    </w:p>
    <w:p w14:paraId="69E7761A" w14:textId="77777777" w:rsidR="00A56512"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2.2. PRINCÍPIO DA INTERVENÇÃO MÍNIMA </w:t>
      </w:r>
      <w:r>
        <w:rPr>
          <w:rFonts w:ascii="Arial" w:eastAsia="Arial" w:hAnsi="Arial" w:cs="Arial"/>
          <w:b/>
          <w:bCs/>
          <w:color w:val="000000"/>
        </w:rPr>
        <w:t>.................................................................. 18</w:t>
      </w:r>
    </w:p>
    <w:p w14:paraId="6FAAC55E" w14:textId="77777777" w:rsidR="00A56512"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2.3 PRINCÍPIO DA PROPORCIONALIDADE </w:t>
      </w:r>
      <w:r>
        <w:rPr>
          <w:rFonts w:ascii="Arial" w:eastAsia="Arial" w:hAnsi="Arial" w:cs="Arial"/>
          <w:b/>
          <w:bCs/>
          <w:color w:val="000000"/>
        </w:rPr>
        <w:t>................................................................... 19</w:t>
      </w:r>
    </w:p>
    <w:p w14:paraId="0562A602" w14:textId="77777777" w:rsidR="00A56512" w:rsidRDefault="00A56512">
      <w:pPr>
        <w:pBdr>
          <w:top w:val="nil"/>
          <w:left w:val="nil"/>
          <w:bottom w:val="nil"/>
          <w:right w:val="nil"/>
          <w:between w:val="nil"/>
        </w:pBdr>
        <w:jc w:val="both"/>
        <w:rPr>
          <w:rFonts w:ascii="Arial" w:eastAsia="Arial" w:hAnsi="Arial" w:cs="Arial"/>
          <w:color w:val="000000"/>
        </w:rPr>
      </w:pPr>
    </w:p>
    <w:p w14:paraId="34873BC5"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 xml:space="preserve">3 APLICAÇÃO DA INSIGNIFICÂNCIA E ANÁLISE DO DUALISMO CENTRAL DO TEMA ........................................................................................................................................... 22 </w:t>
      </w:r>
    </w:p>
    <w:p w14:paraId="430CD260"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 xml:space="preserve">3.1 REQUISITOS </w:t>
      </w:r>
      <w:r>
        <w:rPr>
          <w:rFonts w:ascii="Arial" w:eastAsia="Arial" w:hAnsi="Arial" w:cs="Arial"/>
          <w:b/>
          <w:bCs/>
          <w:color w:val="000000"/>
        </w:rPr>
        <w:t>.............................................................................................................. 22</w:t>
      </w:r>
    </w:p>
    <w:p w14:paraId="5DEF9699"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 xml:space="preserve">3.2 CORRELAÇÃO COM O PRINCÍPIO DA DIGNIDADE HUMANA </w:t>
      </w:r>
      <w:r>
        <w:rPr>
          <w:rFonts w:ascii="Arial" w:eastAsia="Arial" w:hAnsi="Arial" w:cs="Arial"/>
          <w:b/>
          <w:bCs/>
          <w:color w:val="000000"/>
        </w:rPr>
        <w:t>................................ 23</w:t>
      </w:r>
    </w:p>
    <w:p w14:paraId="4B7150BC"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3.2.1 Dignidade como limite e fundamento do direito penal ........................................ 24</w:t>
      </w:r>
    </w:p>
    <w:p w14:paraId="55331E61"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3.3 REINCIDÊNCIA NA APLICAÇÃO DA INSIGNIFICÂNCIA</w:t>
      </w:r>
      <w:r>
        <w:rPr>
          <w:rFonts w:ascii="Arial" w:eastAsia="Arial" w:hAnsi="Arial" w:cs="Arial"/>
          <w:b/>
          <w:bCs/>
          <w:color w:val="000000"/>
        </w:rPr>
        <w:t xml:space="preserve"> ........................................... 26</w:t>
      </w:r>
    </w:p>
    <w:p w14:paraId="2521402A"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3.</w:t>
      </w:r>
      <w:r>
        <w:rPr>
          <w:rFonts w:ascii="Arial" w:eastAsia="Arial" w:hAnsi="Arial" w:cs="Arial"/>
        </w:rPr>
        <w:t>4</w:t>
      </w:r>
      <w:r>
        <w:rPr>
          <w:rFonts w:ascii="Arial" w:eastAsia="Arial" w:hAnsi="Arial" w:cs="Arial"/>
          <w:color w:val="000000"/>
        </w:rPr>
        <w:t xml:space="preserve"> O DUALISMO CENTRAL: DIGNIDADE HUMANA vs. REITERAÇÃO DELITIVA</w:t>
      </w:r>
      <w:r>
        <w:rPr>
          <w:rFonts w:ascii="Arial" w:eastAsia="Arial" w:hAnsi="Arial" w:cs="Arial"/>
          <w:b/>
          <w:bCs/>
          <w:color w:val="000000"/>
        </w:rPr>
        <w:t xml:space="preserve"> ........ 28</w:t>
      </w:r>
    </w:p>
    <w:p w14:paraId="07A74555"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3.</w:t>
      </w:r>
      <w:r>
        <w:rPr>
          <w:rFonts w:ascii="Arial" w:eastAsia="Arial" w:hAnsi="Arial" w:cs="Arial"/>
          <w:b/>
          <w:bCs/>
        </w:rPr>
        <w:t>4</w:t>
      </w:r>
      <w:r>
        <w:rPr>
          <w:rFonts w:ascii="Arial" w:eastAsia="Arial" w:hAnsi="Arial" w:cs="Arial"/>
          <w:b/>
          <w:bCs/>
          <w:color w:val="000000"/>
        </w:rPr>
        <w:t>.1 A ambivalência do princípio ................................................................................... 30</w:t>
      </w:r>
    </w:p>
    <w:p w14:paraId="371B7897" w14:textId="77777777" w:rsidR="00A56512" w:rsidRDefault="00A56512">
      <w:pPr>
        <w:pBdr>
          <w:top w:val="nil"/>
          <w:left w:val="nil"/>
          <w:bottom w:val="nil"/>
          <w:right w:val="nil"/>
          <w:between w:val="nil"/>
        </w:pBdr>
        <w:jc w:val="both"/>
        <w:rPr>
          <w:rFonts w:ascii="Arial" w:eastAsia="Arial" w:hAnsi="Arial" w:cs="Arial"/>
          <w:b/>
          <w:bCs/>
          <w:color w:val="000000"/>
        </w:rPr>
      </w:pPr>
    </w:p>
    <w:p w14:paraId="33EE00DD" w14:textId="77777777" w:rsidR="00A56512" w:rsidRDefault="00000000">
      <w:pPr>
        <w:pBdr>
          <w:top w:val="nil"/>
          <w:left w:val="nil"/>
          <w:bottom w:val="nil"/>
          <w:right w:val="nil"/>
          <w:between w:val="nil"/>
        </w:pBdr>
        <w:tabs>
          <w:tab w:val="left" w:pos="5070"/>
        </w:tabs>
        <w:jc w:val="both"/>
        <w:rPr>
          <w:rFonts w:ascii="Arial" w:eastAsia="Arial" w:hAnsi="Arial" w:cs="Arial"/>
          <w:b/>
          <w:bCs/>
          <w:color w:val="000000"/>
        </w:rPr>
      </w:pPr>
      <w:r>
        <w:rPr>
          <w:rFonts w:ascii="Arial" w:eastAsia="Arial" w:hAnsi="Arial" w:cs="Arial"/>
          <w:b/>
          <w:bCs/>
          <w:color w:val="000000"/>
        </w:rPr>
        <w:t>CONCLUSÃO ...................................................................................................................  32</w:t>
      </w:r>
    </w:p>
    <w:p w14:paraId="4CA3E71D" w14:textId="77777777" w:rsidR="00A56512" w:rsidRDefault="00A56512">
      <w:pPr>
        <w:pBdr>
          <w:top w:val="nil"/>
          <w:left w:val="nil"/>
          <w:bottom w:val="nil"/>
          <w:right w:val="nil"/>
          <w:between w:val="nil"/>
        </w:pBdr>
        <w:tabs>
          <w:tab w:val="left" w:pos="5070"/>
        </w:tabs>
        <w:jc w:val="both"/>
        <w:rPr>
          <w:rFonts w:ascii="Arial" w:eastAsia="Arial" w:hAnsi="Arial" w:cs="Arial"/>
          <w:b/>
          <w:bCs/>
          <w:color w:val="000000"/>
        </w:rPr>
      </w:pPr>
    </w:p>
    <w:p w14:paraId="46E632A7"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REFERÊNCIAS ................................................................................................................. 34</w:t>
      </w:r>
    </w:p>
    <w:p w14:paraId="083218D2" w14:textId="77777777" w:rsidR="00A56512" w:rsidRDefault="00000000">
      <w:pPr>
        <w:rPr>
          <w:b/>
          <w:bCs/>
          <w:color w:val="000000"/>
        </w:rPr>
      </w:pPr>
      <w:r>
        <w:br w:type="page"/>
      </w:r>
    </w:p>
    <w:p w14:paraId="69067D0F" w14:textId="77777777" w:rsidR="00B34CFD" w:rsidRDefault="00B34CFD" w:rsidP="00B34CFD">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38F88489" w14:textId="77777777" w:rsidR="00B34CFD" w:rsidRDefault="00B34CFD" w:rsidP="00B34CFD">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31015EAD" w14:textId="77777777" w:rsidR="00B34CFD" w:rsidRDefault="00B34CFD" w:rsidP="00B34CFD">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6E7D237A" w14:textId="77777777" w:rsidR="00B34CFD" w:rsidRDefault="00B34CFD" w:rsidP="00B34CFD">
      <w:pPr>
        <w:pBdr>
          <w:top w:val="nil"/>
          <w:left w:val="nil"/>
          <w:bottom w:val="nil"/>
          <w:right w:val="nil"/>
          <w:between w:val="nil"/>
        </w:pBdr>
        <w:spacing w:after="120" w:line="360" w:lineRule="auto"/>
        <w:rPr>
          <w:rFonts w:ascii="Arial" w:eastAsia="Arial" w:hAnsi="Arial" w:cs="Arial"/>
          <w:b/>
          <w:bCs/>
          <w:color w:val="000000"/>
        </w:rPr>
      </w:pPr>
    </w:p>
    <w:p w14:paraId="04EEF633" w14:textId="3D8D3D80" w:rsidR="00A56512" w:rsidRDefault="00000000">
      <w:pPr>
        <w:pBdr>
          <w:top w:val="nil"/>
          <w:left w:val="nil"/>
          <w:bottom w:val="nil"/>
          <w:right w:val="nil"/>
          <w:between w:val="nil"/>
        </w:pBdr>
        <w:spacing w:after="120" w:line="360" w:lineRule="auto"/>
        <w:jc w:val="center"/>
        <w:rPr>
          <w:rFonts w:ascii="Arial" w:eastAsia="Arial" w:hAnsi="Arial" w:cs="Arial"/>
          <w:b/>
          <w:bCs/>
          <w:color w:val="000000"/>
        </w:rPr>
      </w:pPr>
      <w:r>
        <w:rPr>
          <w:rFonts w:ascii="Arial" w:eastAsia="Arial" w:hAnsi="Arial" w:cs="Arial"/>
          <w:b/>
          <w:bCs/>
          <w:color w:val="000000"/>
        </w:rPr>
        <w:t>RESUMO</w:t>
      </w:r>
    </w:p>
    <w:p w14:paraId="07408655" w14:textId="64745F05" w:rsidR="003C6B7D" w:rsidRDefault="003C6B7D" w:rsidP="003C6B7D">
      <w:pPr>
        <w:widowControl w:val="0"/>
        <w:pBdr>
          <w:top w:val="nil"/>
          <w:left w:val="nil"/>
          <w:bottom w:val="nil"/>
          <w:right w:val="nil"/>
          <w:between w:val="nil"/>
        </w:pBdr>
        <w:spacing w:after="200"/>
        <w:jc w:val="both"/>
        <w:rPr>
          <w:rFonts w:ascii="Arial" w:eastAsia="Arial" w:hAnsi="Arial" w:cs="Arial"/>
          <w:color w:val="000000"/>
        </w:rPr>
      </w:pPr>
      <w:r w:rsidRPr="003C6B7D">
        <w:rPr>
          <w:rFonts w:ascii="Arial" w:eastAsia="Arial" w:hAnsi="Arial" w:cs="Arial"/>
          <w:color w:val="000000"/>
        </w:rPr>
        <w:t xml:space="preserve">O presente trabalho justifica-se pela relevância jurídica e social da aplicação do princípio da insignificância no Direito Penal brasileiro, especialmente diante das divergências jurisprudenciais quanto à sua incidência em casos de reincidência, o que gera insegurança jurídica. Tem como objetivo geral demonstrar em que medida o ordenamento jurídico brasileiro, notadamente a atuação dos tribunais superiores, assegura a efetividade desse princípio. Como objetivos específicos, busca-se conceituar o princípio da insignificância e seus critérios de aplicação, estabelecer limites que conciliem a dignidade da pessoa humana com a necessidade de manutenção da ordem social e discutir </w:t>
      </w:r>
      <w:r w:rsidR="00111898" w:rsidRPr="00EC523F">
        <w:rPr>
          <w:rFonts w:ascii="Arial" w:eastAsia="Arial" w:hAnsi="Arial" w:cs="Arial"/>
          <w:color w:val="000000"/>
        </w:rPr>
        <w:t>em que medida as divergências jurisprudenciais acerca do tema contribuem para a insegurança jurídica na aplicação do instituto</w:t>
      </w:r>
      <w:r w:rsidRPr="003C6B7D">
        <w:rPr>
          <w:rFonts w:ascii="Arial" w:eastAsia="Arial" w:hAnsi="Arial" w:cs="Arial"/>
          <w:color w:val="000000"/>
        </w:rPr>
        <w:t>. A metodologia adotada é qualitativa, com abordagem dedutiva, por meio de revisão bibliográfica e análise jurisprudencial do Supremo Tribunal Federal e do Superior Tribunal de Justiça. Conclui-se que o princípio da insignificância constitui importante instrumento de limitação do poder punitivo estatal, em consonância com a dignidade da pessoa humana e o Direito Penal mínimo; contudo, sua aplicação em hipóteses de reiteração delitiva evidencia divergências interpretativas que comprometem a segurança jurídica, indicando a necessidade de maior uniformização jurisprudencial ou atuação legislativa.</w:t>
      </w:r>
    </w:p>
    <w:p w14:paraId="4E72D6DE" w14:textId="3AAC8394" w:rsidR="00A56512" w:rsidRDefault="00000000">
      <w:pPr>
        <w:widowControl w:val="0"/>
        <w:pBdr>
          <w:top w:val="nil"/>
          <w:left w:val="nil"/>
          <w:bottom w:val="nil"/>
          <w:right w:val="nil"/>
          <w:between w:val="nil"/>
        </w:pBdr>
        <w:spacing w:after="200" w:line="360" w:lineRule="auto"/>
        <w:jc w:val="both"/>
        <w:rPr>
          <w:rFonts w:ascii="Arial" w:eastAsia="Arial" w:hAnsi="Arial" w:cs="Arial"/>
          <w:color w:val="000000"/>
        </w:rPr>
      </w:pPr>
      <w:r>
        <w:rPr>
          <w:rFonts w:ascii="Arial" w:eastAsia="Arial" w:hAnsi="Arial" w:cs="Arial"/>
          <w:b/>
          <w:bCs/>
          <w:color w:val="000000"/>
        </w:rPr>
        <w:t xml:space="preserve">Palavras-chave: </w:t>
      </w:r>
      <w:r>
        <w:rPr>
          <w:rFonts w:ascii="Arial" w:eastAsia="Arial" w:hAnsi="Arial" w:cs="Arial"/>
          <w:color w:val="000000"/>
        </w:rPr>
        <w:t>Princípio da insignificância. Direito Penal. Dignidade da pessoa humana. Rei</w:t>
      </w:r>
      <w:r w:rsidR="003C6B7D">
        <w:rPr>
          <w:rFonts w:ascii="Arial" w:eastAsia="Arial" w:hAnsi="Arial" w:cs="Arial"/>
          <w:color w:val="000000"/>
        </w:rPr>
        <w:t>cidência</w:t>
      </w:r>
      <w:r>
        <w:rPr>
          <w:rFonts w:ascii="Arial" w:eastAsia="Arial" w:hAnsi="Arial" w:cs="Arial"/>
          <w:color w:val="000000"/>
        </w:rPr>
        <w:t>.</w:t>
      </w:r>
      <w:r w:rsidR="003C6B7D">
        <w:rPr>
          <w:rFonts w:ascii="Arial" w:eastAsia="Arial" w:hAnsi="Arial" w:cs="Arial"/>
          <w:color w:val="000000"/>
        </w:rPr>
        <w:t xml:space="preserve"> Segurança jurídica.</w:t>
      </w:r>
    </w:p>
    <w:p w14:paraId="2AB87FD2" w14:textId="4E35FAE0" w:rsidR="00751DE7" w:rsidRPr="00111898" w:rsidRDefault="00000000" w:rsidP="00111898">
      <w:pPr>
        <w:pBdr>
          <w:top w:val="nil"/>
          <w:left w:val="nil"/>
          <w:bottom w:val="nil"/>
          <w:right w:val="nil"/>
          <w:between w:val="nil"/>
        </w:pBdr>
        <w:spacing w:after="120" w:line="360" w:lineRule="auto"/>
        <w:jc w:val="center"/>
        <w:rPr>
          <w:rFonts w:ascii="Arial" w:eastAsia="Arial" w:hAnsi="Arial" w:cs="Arial"/>
          <w:b/>
          <w:bCs/>
          <w:color w:val="000000"/>
        </w:rPr>
      </w:pPr>
      <w:r w:rsidRPr="00111898">
        <w:rPr>
          <w:rFonts w:ascii="Arial" w:eastAsia="Arial" w:hAnsi="Arial" w:cs="Arial"/>
          <w:b/>
          <w:bCs/>
          <w:color w:val="000000"/>
        </w:rPr>
        <w:t>ABSTRACT</w:t>
      </w:r>
    </w:p>
    <w:p w14:paraId="0F1C997D" w14:textId="6C2C8280" w:rsidR="003C6B7D" w:rsidRDefault="00111898" w:rsidP="003C6B7D">
      <w:pPr>
        <w:widowControl w:val="0"/>
        <w:pBdr>
          <w:top w:val="nil"/>
          <w:left w:val="nil"/>
          <w:bottom w:val="nil"/>
          <w:right w:val="nil"/>
          <w:between w:val="nil"/>
        </w:pBdr>
        <w:spacing w:before="200"/>
        <w:jc w:val="both"/>
        <w:rPr>
          <w:rFonts w:ascii="Arial" w:eastAsia="Arial" w:hAnsi="Arial" w:cs="Arial"/>
          <w:color w:val="000000"/>
        </w:rPr>
      </w:pPr>
      <w:r w:rsidRPr="00111898">
        <w:rPr>
          <w:rFonts w:ascii="Arial" w:eastAsia="Arial" w:hAnsi="Arial" w:cs="Arial"/>
          <w:color w:val="000000"/>
        </w:rPr>
        <w:t>This study is justified by the legal and social relevance of applying the principle of insignificance within Brazilian Criminal Law, particularly in light of jurisprudential divergences regarding its application in cases of recidivism, which generate legal uncertainty. Its general objective is to demonstrate to what extent the Brazilian legal system, especially through the actions of higher courts, ensures the effectiveness of this principle. The specific objectives are to define the principle of insignificance and its criteria for application, to establish limits that reconcile human dignity with the need to maintain social order, and to examine how jurisprudential divergences contribute to legal uncertainty in the application of the institute. The methodology adopted is qualitative, with a deductive approach, based on bibliographic review and jurisprudential analysis of the Federal Supreme Court and the Superior Court of Justice. It is concluded that the principle of insignificance constitutes an important instrument for limiting the State’s punitive power, in line with human dignity and the concept of minimal criminal law; however, its application in cases of repeated offending reveals interpretative divergences that undermine legal certainty, indicating the need for greater jurisprudential uniformity or legislative action.</w:t>
      </w:r>
    </w:p>
    <w:p w14:paraId="4039E707" w14:textId="3EF55138" w:rsidR="00B34CFD" w:rsidRPr="00111898" w:rsidRDefault="00000000" w:rsidP="00111898">
      <w:pPr>
        <w:widowControl w:val="0"/>
        <w:pBdr>
          <w:top w:val="nil"/>
          <w:left w:val="nil"/>
          <w:bottom w:val="nil"/>
          <w:right w:val="nil"/>
          <w:between w:val="nil"/>
        </w:pBdr>
        <w:spacing w:before="200" w:line="360" w:lineRule="auto"/>
        <w:jc w:val="both"/>
        <w:rPr>
          <w:rFonts w:ascii="Arial" w:eastAsia="Arial" w:hAnsi="Arial" w:cs="Arial"/>
          <w:color w:val="000000"/>
        </w:rPr>
      </w:pPr>
      <w:r>
        <w:rPr>
          <w:rFonts w:ascii="Arial" w:eastAsia="Arial" w:hAnsi="Arial" w:cs="Arial"/>
          <w:b/>
          <w:bCs/>
          <w:color w:val="000000"/>
        </w:rPr>
        <w:t>Keywords:</w:t>
      </w:r>
      <w:r>
        <w:rPr>
          <w:rFonts w:ascii="Arial" w:eastAsia="Arial" w:hAnsi="Arial" w:cs="Arial"/>
          <w:color w:val="000000"/>
        </w:rPr>
        <w:t xml:space="preserve"> </w:t>
      </w:r>
      <w:r w:rsidR="003C6B7D" w:rsidRPr="003C6B7D">
        <w:rPr>
          <w:rFonts w:ascii="Arial" w:eastAsia="Arial" w:hAnsi="Arial" w:cs="Arial"/>
          <w:color w:val="000000"/>
        </w:rPr>
        <w:t>Principle of insignificance. Criminal Law. Human dignity. Recidivism. Legal uncertainty.</w:t>
      </w:r>
    </w:p>
    <w:p w14:paraId="5B3F5621" w14:textId="77777777" w:rsidR="00B34CFD" w:rsidRDefault="00B34CFD" w:rsidP="00B34CFD">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27D82015" w14:textId="77777777" w:rsidR="00B34CFD" w:rsidRDefault="00B34CFD" w:rsidP="00B34CFD">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29539548" w14:textId="77777777" w:rsidR="00B34CFD" w:rsidRDefault="00B34CFD" w:rsidP="00B34CFD">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052AEFD4" w14:textId="77777777" w:rsidR="00B34CFD" w:rsidRDefault="00B34CFD" w:rsidP="00B34CFD">
      <w:pPr>
        <w:spacing w:after="120" w:line="360" w:lineRule="auto"/>
        <w:rPr>
          <w:rFonts w:ascii="Arial" w:eastAsia="Arial" w:hAnsi="Arial" w:cs="Arial"/>
          <w:b/>
          <w:bCs/>
        </w:rPr>
      </w:pPr>
    </w:p>
    <w:p w14:paraId="60E28391" w14:textId="0860D07D" w:rsidR="00A56512" w:rsidRDefault="00000000" w:rsidP="00B34CFD">
      <w:pPr>
        <w:spacing w:after="120" w:line="360" w:lineRule="auto"/>
        <w:jc w:val="center"/>
        <w:rPr>
          <w:rFonts w:ascii="Arial" w:eastAsia="Arial" w:hAnsi="Arial" w:cs="Arial"/>
          <w:b/>
          <w:bCs/>
        </w:rPr>
      </w:pPr>
      <w:r>
        <w:rPr>
          <w:rFonts w:ascii="Arial" w:eastAsia="Arial" w:hAnsi="Arial" w:cs="Arial"/>
          <w:b/>
          <w:bCs/>
        </w:rPr>
        <w:t>INTRODUÇÃO</w:t>
      </w:r>
    </w:p>
    <w:p w14:paraId="0D5DA005" w14:textId="77777777" w:rsidR="00EC523F" w:rsidRP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sidRPr="00EC523F">
        <w:rPr>
          <w:rFonts w:ascii="Arial" w:eastAsia="Arial" w:hAnsi="Arial" w:cs="Arial"/>
          <w:color w:val="000000"/>
        </w:rPr>
        <w:t>O Direito Penal contemporâneo orienta-se por princípios que visam limitar o exercício do poder punitivo estatal, assegurando sua incidência apenas em situações de efetiva lesão a bens jurídicos relevantes. Nesse contexto, o princípio da insignificância destaca-se como importante instrumento de filtragem material da tipicidade penal, afastando a atuação do Direito Penal em condutas desprovidas de relevância jurídica, em consonância com os postulados da intervenção mínima, proporcionalidade e dignidade da pessoa humana.</w:t>
      </w:r>
    </w:p>
    <w:p w14:paraId="5BD09C6F" w14:textId="77777777" w:rsidR="00EC523F" w:rsidRP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sidRPr="00EC523F">
        <w:rPr>
          <w:rFonts w:ascii="Arial" w:eastAsia="Arial" w:hAnsi="Arial" w:cs="Arial"/>
          <w:color w:val="000000"/>
        </w:rPr>
        <w:t>A relevância do presente estudo justifica-se diante das controvérsias existentes na aplicação desse princípio no ordenamento jurídico brasileiro, especialmente no âmbito dos tribunais superiores. Embora seus critérios estejam relativamente consolidados, sua incidência não ocorre de forma uniforme, notadamente em hipóteses de reincidência e habitualidade delitiva, o que gera insegurança jurídica e imprevisibilidade decisória. Ademais, evidencia-se um tensionamento entre a função garantista do princípio e a necessidade de preservação da ordem social, o que reforça a complexidade do tema.</w:t>
      </w:r>
    </w:p>
    <w:p w14:paraId="6D0E2623" w14:textId="77777777" w:rsidR="00EC523F" w:rsidRP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sidRPr="00EC523F">
        <w:rPr>
          <w:rFonts w:ascii="Arial" w:eastAsia="Arial" w:hAnsi="Arial" w:cs="Arial"/>
          <w:color w:val="000000"/>
        </w:rPr>
        <w:t>Diante desse cenário, o problema central da pesquisa consiste em analisar em que medida a aplicação do princípio da insignificância, no Direito Penal brasileiro, observa critérios capazes de assegurar sua efetividade sem comprometer a função preventiva do sistema penal. A partir disso, desdobram-se as seguintes questões específicas: (i) quais são os critérios e limites adotados para a aplicação do princípio da insignificância; (ii) se sua aplicação, especialmente em casos de reincidência, mantém coerência com os fundamentos do Direito Penal e com a percepção de justiça social; e (iii) em que medida as divergências jurisprudenciais acerca do tema contribuem para a insegurança jurídica na aplicação do instituto.</w:t>
      </w:r>
    </w:p>
    <w:p w14:paraId="52DA086C" w14:textId="77777777" w:rsidR="00EC523F" w:rsidRP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sidRPr="00EC523F">
        <w:rPr>
          <w:rFonts w:ascii="Arial" w:eastAsia="Arial" w:hAnsi="Arial" w:cs="Arial"/>
          <w:color w:val="000000"/>
        </w:rPr>
        <w:t xml:space="preserve">O objetivo geral do trabalho é demonstrar em que medida o ordenamento jurídico brasileiro, especialmente por meio dos entendimentos firmados pelos tribunais superiores, garante a efetividade da aplicação do princípio da insignificância, destacando seus fundamentos jurídicos, sociais e éticos. Como objetivos específicos, busca-se: conceituar </w:t>
      </w:r>
      <w:r w:rsidRPr="00EC523F">
        <w:rPr>
          <w:rFonts w:ascii="Arial" w:eastAsia="Arial" w:hAnsi="Arial" w:cs="Arial"/>
          <w:color w:val="000000"/>
        </w:rPr>
        <w:lastRenderedPageBreak/>
        <w:t>o princípio da insignificância e delimitar seus critérios de aplicação; estabelecer limites que assegurem, simultaneamente, a preservação da dignidade da pessoa humana e a manutenção da ordem social, especialmente diante da reiteração delitiva; e analisar o impacto das divergências jurisprudenciais na segurança jurídica e na previsibilidade das decisões judiciais.</w:t>
      </w:r>
    </w:p>
    <w:p w14:paraId="1181ECE1" w14:textId="77777777" w:rsidR="00EC523F" w:rsidRP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sidRPr="00EC523F">
        <w:rPr>
          <w:rFonts w:ascii="Arial" w:eastAsia="Arial" w:hAnsi="Arial" w:cs="Arial"/>
          <w:color w:val="000000"/>
        </w:rPr>
        <w:t>A metodologia adotada consiste em pesquisa qualitativa, com abordagem dedutiva, baseada em revisão bibliográfica e análise jurisprudencial, com ênfase nos entendimentos do Supremo Tribunal Federal e do Superior Tribunal de Justiça acerca da aplicação do princípio da insignificância.</w:t>
      </w:r>
    </w:p>
    <w:p w14:paraId="40693ED1" w14:textId="77777777" w:rsidR="00EC523F" w:rsidRP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sidRPr="00EC523F">
        <w:rPr>
          <w:rFonts w:ascii="Arial" w:eastAsia="Arial" w:hAnsi="Arial" w:cs="Arial"/>
          <w:color w:val="000000"/>
        </w:rPr>
        <w:t>No que se refere à estrutura do trabalho, o primeiro capítulo aborda as noções gerais do princípio da insignificância, compreendendo sua evolução histórica, conceito e consolidação doutrinária e jurisprudencial. O segundo capítulo analisa os princípios correlatos, especialmente a dignidade da pessoa humana, a intervenção mínima e a proporcionalidade, evidenciando sua relação com o instituto. Por fim, o terceiro capítulo examina a aplicação do princípio da insignificância e seus limites, com ênfase no dualismo existente entre sua função garantista e o risco de estímulo à reiteração delitiva, especialmente nos casos de reincidência, onde se concentram as principais divergências jurisprudenciais.</w:t>
      </w:r>
    </w:p>
    <w:p w14:paraId="06A57148" w14:textId="77777777" w:rsidR="00A56512" w:rsidRDefault="00000000">
      <w:pPr>
        <w:rPr>
          <w:rFonts w:ascii="Arial" w:eastAsia="Arial" w:hAnsi="Arial" w:cs="Arial"/>
        </w:rPr>
      </w:pPr>
      <w:r>
        <w:br w:type="page"/>
      </w:r>
    </w:p>
    <w:p w14:paraId="13F77C2D"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1863737C"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3A522B2C"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132E1400" w14:textId="77777777" w:rsidR="00A56512" w:rsidRDefault="00A56512" w:rsidP="00EC523F">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rPr>
          <w:rFonts w:ascii="Arial" w:eastAsia="Arial" w:hAnsi="Arial" w:cs="Arial"/>
          <w:b/>
          <w:bCs/>
          <w:color w:val="000000"/>
        </w:rPr>
      </w:pPr>
    </w:p>
    <w:p w14:paraId="69C20051"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jc w:val="center"/>
        <w:rPr>
          <w:rFonts w:ascii="Arial" w:eastAsia="Arial" w:hAnsi="Arial" w:cs="Arial"/>
          <w:b/>
          <w:bCs/>
          <w:color w:val="000000"/>
        </w:rPr>
      </w:pPr>
      <w:r>
        <w:rPr>
          <w:rFonts w:ascii="Arial" w:eastAsia="Arial" w:hAnsi="Arial" w:cs="Arial"/>
          <w:b/>
          <w:bCs/>
          <w:color w:val="000000"/>
        </w:rPr>
        <w:t>CAPÍTULO I</w:t>
      </w:r>
    </w:p>
    <w:p w14:paraId="529305BB" w14:textId="77777777" w:rsidR="00A56512" w:rsidRDefault="00000000">
      <w:pPr>
        <w:pBdr>
          <w:top w:val="nil"/>
          <w:left w:val="nil"/>
          <w:bottom w:val="nil"/>
          <w:right w:val="nil"/>
          <w:between w:val="nil"/>
        </w:pBdr>
        <w:spacing w:after="120" w:line="360" w:lineRule="auto"/>
        <w:jc w:val="center"/>
        <w:rPr>
          <w:rFonts w:ascii="Arial" w:eastAsia="Arial" w:hAnsi="Arial" w:cs="Arial"/>
          <w:b/>
          <w:bCs/>
          <w:color w:val="000000"/>
        </w:rPr>
      </w:pPr>
      <w:r>
        <w:rPr>
          <w:rFonts w:ascii="Arial" w:eastAsia="Arial" w:hAnsi="Arial" w:cs="Arial"/>
          <w:b/>
          <w:bCs/>
          <w:color w:val="000000"/>
        </w:rPr>
        <w:t>NOÇÕES GERAIS DO PRINCÍPIO DA INSIGNIFICÂNCIA</w:t>
      </w:r>
    </w:p>
    <w:p w14:paraId="6D4FBCC2" w14:textId="77777777" w:rsidR="00A56512" w:rsidRDefault="00A56512">
      <w:pPr>
        <w:pBdr>
          <w:top w:val="nil"/>
          <w:left w:val="nil"/>
          <w:bottom w:val="nil"/>
          <w:right w:val="nil"/>
          <w:between w:val="nil"/>
        </w:pBdr>
        <w:spacing w:after="120" w:line="360" w:lineRule="auto"/>
        <w:jc w:val="center"/>
        <w:rPr>
          <w:rFonts w:ascii="Arial" w:eastAsia="Arial" w:hAnsi="Arial" w:cs="Arial"/>
          <w:b/>
          <w:bCs/>
          <w:color w:val="000000"/>
        </w:rPr>
      </w:pPr>
    </w:p>
    <w:p w14:paraId="270958E9" w14:textId="4030FE14" w:rsidR="00A56512" w:rsidRDefault="00000000">
      <w:pPr>
        <w:pBdr>
          <w:top w:val="nil"/>
          <w:left w:val="nil"/>
          <w:bottom w:val="nil"/>
          <w:right w:val="nil"/>
          <w:between w:val="nil"/>
        </w:pBdr>
        <w:spacing w:after="120" w:line="360" w:lineRule="auto"/>
        <w:jc w:val="both"/>
        <w:rPr>
          <w:rFonts w:ascii="Arial" w:eastAsia="Arial" w:hAnsi="Arial" w:cs="Arial"/>
          <w:color w:val="000000"/>
        </w:rPr>
      </w:pPr>
      <w:r>
        <w:rPr>
          <w:rFonts w:ascii="Arial" w:eastAsia="Arial" w:hAnsi="Arial" w:cs="Arial"/>
          <w:color w:val="000000"/>
        </w:rPr>
        <w:t>1.1</w:t>
      </w:r>
      <w:r w:rsidR="000B19D2">
        <w:rPr>
          <w:rFonts w:ascii="Arial" w:eastAsia="Arial" w:hAnsi="Arial" w:cs="Arial"/>
          <w:color w:val="000000"/>
        </w:rPr>
        <w:t xml:space="preserve"> </w:t>
      </w:r>
      <w:r>
        <w:rPr>
          <w:rFonts w:ascii="Arial" w:eastAsia="Arial" w:hAnsi="Arial" w:cs="Arial"/>
          <w:color w:val="000000"/>
        </w:rPr>
        <w:t>EVOLUÇÃO HISTÓRICA</w:t>
      </w:r>
    </w:p>
    <w:p w14:paraId="2CA4B4FE" w14:textId="64C728AD"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 xml:space="preserve">O princípio da insignificância tem origem teórica no Direito Romano, mas há controvérsias sobre seu surgimento, período histórico em que houve as primeiras manifestações no sentido de que o direito não deve estender a sua atuação </w:t>
      </w:r>
      <w:r w:rsidR="00EC523F">
        <w:rPr>
          <w:rFonts w:ascii="Arial" w:eastAsia="Arial" w:hAnsi="Arial" w:cs="Arial"/>
          <w:color w:val="000000"/>
        </w:rPr>
        <w:t>a</w:t>
      </w:r>
      <w:r>
        <w:rPr>
          <w:rFonts w:ascii="Arial" w:eastAsia="Arial" w:hAnsi="Arial" w:cs="Arial"/>
          <w:color w:val="000000"/>
        </w:rPr>
        <w:t xml:space="preserve"> fatos de ínfima relevância social e jurídica, nascendo, portanto, o instituto principiológico de “</w:t>
      </w:r>
      <w:r>
        <w:rPr>
          <w:rFonts w:ascii="Arial" w:eastAsia="Arial" w:hAnsi="Arial" w:cs="Arial"/>
          <w:i/>
          <w:iCs/>
          <w:color w:val="000000"/>
        </w:rPr>
        <w:t>minimis non curat praetor” (“</w:t>
      </w:r>
      <w:r>
        <w:rPr>
          <w:rFonts w:ascii="Arial" w:eastAsia="Arial" w:hAnsi="Arial" w:cs="Arial"/>
          <w:color w:val="000000"/>
        </w:rPr>
        <w:t>o pretor não cuida das coisas mínimas”).</w:t>
      </w:r>
    </w:p>
    <w:p w14:paraId="45C03FA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 xml:space="preserve">Entende-se por esse brocardo que o Estado, enquanto detentor do poder soberano, não deve intervir em fatos de irrelevante repercussão jurídico-penal, uma vez que tal intervenção implica desproporção entre a realidade fática e o interesse persecutório. </w:t>
      </w:r>
    </w:p>
    <w:p w14:paraId="7B56B92A"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 xml:space="preserve">Segundo as palavras de Fernando Capez, o princípio da insignificância é: </w:t>
      </w:r>
    </w:p>
    <w:p w14:paraId="490A75BF"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originário do Direito Romano, e de cunho civilista, tal princípio funda-se no conhecido brocardo de minimis non curat praetor. Em 1964 acabou sendo introduzido no sistema penal por Claus Roxin, tendo em vista sua utilidade na realização dos objetivos sociais traçados pela moderna política criminal. (CAPEZ, 2011, p. 29)</w:t>
      </w:r>
    </w:p>
    <w:p w14:paraId="3153F309"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 xml:space="preserve">Conforme supramencionado nas palavras do doutrinador, o princípio foi adotado oficialmente pelo sistema jurídico-penal internacional na década de 60 do século XX, desde então ganhando bastante notoriedade na resolução de casos concretos na atualidade. </w:t>
      </w:r>
    </w:p>
    <w:p w14:paraId="7C9F612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Nesse diapasão, Cezar Roberto Bitencourt (2010, p. 51.), atribui o surgimento da concepção maximalista ao Claus Roxin, “O princípio da insignificância foi cunhado pela primeira vez por Claus Roxin em 1964, que voltou a repeti-lo em sua obra Política Criminal y Sistema del Derecho Penal, partindo do velho adágio latino minima non curat praetor”.</w:t>
      </w:r>
    </w:p>
    <w:p w14:paraId="095F20EA"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 xml:space="preserve">Segundo Claus Roxin, em sua obra em tradução livre: </w:t>
      </w:r>
      <w:r>
        <w:rPr>
          <w:rFonts w:ascii="Arial" w:eastAsia="Arial" w:hAnsi="Arial" w:cs="Arial"/>
          <w:i/>
          <w:iCs/>
          <w:color w:val="000000"/>
        </w:rPr>
        <w:t>Direito Penal – Parte Geral: Fundamentos. A Estrutura da Teoria do Delito</w:t>
      </w:r>
      <w:r>
        <w:rPr>
          <w:rFonts w:ascii="Arial" w:eastAsia="Arial" w:hAnsi="Arial" w:cs="Arial"/>
          <w:color w:val="000000"/>
        </w:rPr>
        <w:t xml:space="preserve">, ensina que: “O Direito Penal só deve intervir quando o bem jurídico protegido sofre uma lesão relevante, de modo que condutas que </w:t>
      </w:r>
      <w:r>
        <w:rPr>
          <w:rFonts w:ascii="Arial" w:eastAsia="Arial" w:hAnsi="Arial" w:cs="Arial"/>
          <w:color w:val="000000"/>
        </w:rPr>
        <w:lastRenderedPageBreak/>
        <w:t>causem um dano mínimo, sem relevância material, não justificam a aplicação da pena.”</w:t>
      </w:r>
    </w:p>
    <w:p w14:paraId="217E5B58"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No Brasil o princípio da insignificância já ganhava bastante notoriedade desde a promulgação da Constituição Federal Brasileira de 1988, mas, até então, notoriedade esta não consolidada oficialmente no ordenamento jurídico brasileiro como uma fonte normativa</w:t>
      </w:r>
      <w:r>
        <w:rPr>
          <w:rFonts w:ascii="Arial" w:eastAsia="Arial" w:hAnsi="Arial" w:cs="Arial"/>
        </w:rPr>
        <w:t xml:space="preserve"> positiva</w:t>
      </w:r>
      <w:r>
        <w:rPr>
          <w:rFonts w:ascii="Arial" w:eastAsia="Arial" w:hAnsi="Arial" w:cs="Arial"/>
          <w:color w:val="000000"/>
        </w:rPr>
        <w:t>.</w:t>
      </w:r>
    </w:p>
    <w:p w14:paraId="07830A80"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line="360" w:lineRule="auto"/>
        <w:ind w:firstLine="851"/>
        <w:jc w:val="both"/>
        <w:rPr>
          <w:rFonts w:ascii="Arial" w:eastAsia="Arial" w:hAnsi="Arial" w:cs="Arial"/>
          <w:color w:val="000000"/>
        </w:rPr>
      </w:pPr>
      <w:r>
        <w:rPr>
          <w:rFonts w:ascii="Arial" w:eastAsia="Arial" w:hAnsi="Arial" w:cs="Arial"/>
          <w:color w:val="000000"/>
        </w:rPr>
        <w:t xml:space="preserve"> À vista disso, o princípio só se consolidou de forma plena no início do século XXI, quando o Supremo Tribunal Federal (STF), em 2004, no julgamento do HC 84.412/SP, definiu os vetores para sua aplicação. </w:t>
      </w:r>
    </w:p>
    <w:p w14:paraId="49368792" w14:textId="60FA487F" w:rsidR="00A56512"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1.2</w:t>
      </w:r>
      <w:r w:rsidR="000B19D2">
        <w:rPr>
          <w:rFonts w:ascii="Arial" w:eastAsia="Arial" w:hAnsi="Arial" w:cs="Arial"/>
          <w:color w:val="000000"/>
        </w:rPr>
        <w:t xml:space="preserve"> </w:t>
      </w:r>
      <w:r>
        <w:rPr>
          <w:rFonts w:ascii="Arial" w:eastAsia="Arial" w:hAnsi="Arial" w:cs="Arial"/>
          <w:color w:val="000000"/>
        </w:rPr>
        <w:t>CONCEITO</w:t>
      </w:r>
    </w:p>
    <w:p w14:paraId="4BFBD949"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O princípio da bagatela, ou tão somente da insignificância, é admitido pelo Direito Penal Brasileiro. Trata-se de um princípio que tem como premissa afastar bagatelas, permitindo a descriminalização de condutas quando, apesar de formalmente típicas, forem irrelevantes ao âmbito penal.</w:t>
      </w:r>
    </w:p>
    <w:p w14:paraId="17CB98EB"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Como mencionado acima, são afastadas bagatelas do âmbito penal, ou seja, condutas que são tidas como irrelevantes ou inofensivas são isentas da persecução penal. A mínima ofensividade e o reduzido grau de reprovabilidade desconstituem o interesse de agir do Estado, evitando o inoportuno congestionamento do Poder Judiciário com demandas sem relevância social. </w:t>
      </w:r>
    </w:p>
    <w:p w14:paraId="78B6293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 intervenção penal é dada apenas como último caso, quando não há outra possibilidade a não ser a persecução penal em razão da prática de uma conduta típica, ou seja, uma conduta produtora de um resultado reprovável pelo direito penal, constituindo-se como crime ou contravenção penal e que tenha repercussão significativa a bem jurídico alheio tutelado.</w:t>
      </w:r>
    </w:p>
    <w:p w14:paraId="7F580582"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Nessa senda de raciocínio, leciona Fernando Capez: </w:t>
      </w:r>
    </w:p>
    <w:p w14:paraId="6ED84708"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o Direito Penal não deve preocupar-se com bagatelas, do mesmo modo que não podem ser admitidos tipos incriminadores que descrevam condutas incapazes de lesar o bem jurídico. A tipicidade penal exige um mínimo de lesividade ao bem jurídico protegido, pois é inconcebível que o legislador tenha imaginado inserir em um tipo penal condutas totalmente inofensivas ou incapazes de lesar o interesse protegido. (CAPEZ, 2011, p. 29)</w:t>
      </w:r>
    </w:p>
    <w:p w14:paraId="7A29F304"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Segundo Ivan Luiz da Silva:</w:t>
      </w:r>
    </w:p>
    <w:p w14:paraId="365CDD0F"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 xml:space="preserve">O legislador penal, em sua função legiferante, descreve abstratamente a conduta típica procurando colocar em seu arcabouço o maior número possível de atos humanos. Todavia, a imperfeição da técnica legislativa faz que condutas sem relevância jurídica alguma para o Direito Penal sejam consideradas formalmente típicas, quando deveriam ser excluídas da incidência da lei criminal já que os fatos sociais visados pelo legislador penal são aqueles posam causar danos significativos </w:t>
      </w:r>
      <w:r>
        <w:rPr>
          <w:rFonts w:ascii="Arial" w:eastAsia="Arial" w:hAnsi="Arial" w:cs="Arial"/>
          <w:color w:val="000000"/>
          <w:sz w:val="20"/>
          <w:szCs w:val="20"/>
        </w:rPr>
        <w:lastRenderedPageBreak/>
        <w:t>aos bens jurídicos penalmente tutelados. (SILVA, 2011, p. 83)</w:t>
      </w:r>
    </w:p>
    <w:p w14:paraId="239964FD"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Ainda sobre o tema, Igor Luis aduz:</w:t>
      </w:r>
    </w:p>
    <w:p w14:paraId="4EC3FDE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O princípio da insignificância determina que haja extensiva lesão ao bem jurídico penalmente tutelado, para que uma conduta seja considerada materialmente típica. A insignificância do fato perpetrado acarreta na exclusão da tipicidade. (SILVA, 2012, p. 197)</w:t>
      </w:r>
    </w:p>
    <w:p w14:paraId="4FF03F0A"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Guilherme de Souza Nucci afirma que (2014, p. 71): “Com relação a insignificância (crime de bagatela), sustenta-se que o direito penal, diante de seu caráter subsidiário, funciona como </w:t>
      </w:r>
      <w:r>
        <w:rPr>
          <w:rFonts w:ascii="Arial" w:eastAsia="Arial" w:hAnsi="Arial" w:cs="Arial"/>
          <w:i/>
          <w:iCs/>
        </w:rPr>
        <w:t>u</w:t>
      </w:r>
      <w:r>
        <w:rPr>
          <w:rFonts w:ascii="Arial" w:eastAsia="Arial" w:hAnsi="Arial" w:cs="Arial"/>
          <w:i/>
          <w:iCs/>
          <w:color w:val="000000"/>
        </w:rPr>
        <w:t>ltima ratio</w:t>
      </w:r>
      <w:r>
        <w:rPr>
          <w:rFonts w:ascii="Arial" w:eastAsia="Arial" w:hAnsi="Arial" w:cs="Arial"/>
          <w:color w:val="000000"/>
        </w:rPr>
        <w:t>, no sistema punitivo, não se deve ocupar de bagatelas”.</w:t>
      </w:r>
    </w:p>
    <w:p w14:paraId="4EAF3E58"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Vale a pena trazermos à baila o dado conceitual de Paulo Queiroz: </w:t>
      </w:r>
    </w:p>
    <w:p w14:paraId="33F79C6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Por meio do princípio da insignificância (ou bagatela), o juiz, à vista da desproporção entre ação (crime) e a reação (castigo), fará um juízo (valorativo) acerca da tipicidade material da conduta, recusando curso a comportamentos que, embora formalmente típicos (criminalizados) não o sejam materialmente, dada a sua irrelevância. (QUEIROZ, 2001, p. 30)</w:t>
      </w:r>
    </w:p>
    <w:p w14:paraId="3D37B425"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Já Luiz Flávio Gomes conceitua o princípio da insignificância da seguinte forma:</w:t>
      </w:r>
    </w:p>
    <w:p w14:paraId="1D06C709"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Conceito de Infração Bagatelar: infração bagatelar ou delito de bagatela ou crime insignificante expressa o fato de ninharia, de pouca relevância (ou seja: insignificante). Em outras palavras, é uma conduta ou um ataque ao bem jurídico tão irrelevante que não requer a (ou não necessita da) intervenção penal. Resulta desproporcional a intervenção penal nesse caso. O fato insignificante, destarte, deve ficar reservado para outras áreas do Direito (civil, administrativo, trabalhista etc.). Não se justifica a incidência do Direito penal (com todas as suas pesadas armas sancionatórias) sobre o fato verdadeiramente insignificante. (GOMES, 2013, p. 19)</w:t>
      </w:r>
    </w:p>
    <w:p w14:paraId="280E64B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No entanto, o professor Carlos Roberto Bitencourt alerta que:</w:t>
      </w:r>
    </w:p>
    <w:p w14:paraId="4B3A55AF"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[...]a seleção dos bens jurídicos tuteláveis pelo Direito Penal e os critérios a serem utilizados nessa seleção constituem função do Poder Legislativo. Dessa forma, tem-se em conta que “a irrelevância ou insignificância de determinada conduta deve ser aferida não apenas em relação a importância do bem juridicamente atingido, mas espacialmente em relação ao grau de sua intensidade, isto é, pela extensão da lesão produzida. (BITENCOURT, 2010, p. 51)</w:t>
      </w:r>
    </w:p>
    <w:p w14:paraId="17F603ED"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O princípio da insignificância atua, portanto, como um </w:t>
      </w:r>
      <w:r>
        <w:rPr>
          <w:rFonts w:ascii="Arial" w:eastAsia="Arial" w:hAnsi="Arial" w:cs="Arial"/>
        </w:rPr>
        <w:t>aparato excludente</w:t>
      </w:r>
      <w:r>
        <w:rPr>
          <w:rFonts w:ascii="Arial" w:eastAsia="Arial" w:hAnsi="Arial" w:cs="Arial"/>
          <w:color w:val="000000"/>
        </w:rPr>
        <w:t xml:space="preserve"> de tipicidade, ou seja, afasta as condutas embora formalmente típicas, isto é, há descrição em lei de tal como crime, é insuficiente para lesionar o bem jurídico tutelado. </w:t>
      </w:r>
    </w:p>
    <w:p w14:paraId="54015D69"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Sendo assim, o princípio da insignificância não tem só por objetivo impedir que uma conduta de pequena ofensividade tenha repercussão penal, evitando que se entorne um cenário desproporcional entre a conduta e o resultado punitivo, mas também desafogar a atuação da justiça em casos em que o interesse de agir e de punir estatal estão comprometidos ou inexistentes.</w:t>
      </w:r>
    </w:p>
    <w:p w14:paraId="53695578" w14:textId="77777777" w:rsidR="00A56512" w:rsidRDefault="00000000" w:rsidP="00EC523F">
      <w:pPr>
        <w:pBdr>
          <w:top w:val="nil"/>
          <w:left w:val="nil"/>
          <w:bottom w:val="nil"/>
          <w:right w:val="nil"/>
          <w:between w:val="nil"/>
        </w:pBdr>
        <w:spacing w:before="620" w:after="120" w:line="360" w:lineRule="auto"/>
        <w:jc w:val="both"/>
        <w:rPr>
          <w:rFonts w:ascii="Arial" w:eastAsia="Arial" w:hAnsi="Arial" w:cs="Arial"/>
          <w:color w:val="000000"/>
        </w:rPr>
      </w:pPr>
      <w:r>
        <w:rPr>
          <w:rFonts w:ascii="Arial" w:eastAsia="Arial" w:hAnsi="Arial" w:cs="Arial"/>
          <w:color w:val="000000"/>
        </w:rPr>
        <w:lastRenderedPageBreak/>
        <w:t xml:space="preserve">1.3 NATUREZA JURÍDICA </w:t>
      </w:r>
    </w:p>
    <w:p w14:paraId="0B00ABA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O princípio da insignificância é uma legítima fonte interpretativa do direito que opera como um mecanismo para afastar a tipicidade material, quando uma conduta apesar de se amoldar ao tipo descritivo penal, não é suficientemente capaz de lesionar de forma significativa o bem jurídico tutelado.</w:t>
      </w:r>
    </w:p>
    <w:p w14:paraId="33C5A49F"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Nessa conjectura, nas palavras do jurista Rogerio Greco:</w:t>
      </w:r>
    </w:p>
    <w:p w14:paraId="40492CC5"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o princípio da insignificância serve como instrumento de interpretação, a fim de que o exegeta leve a efeito uma correta ilação do tipo penal, dele retirando, de acordo com uma visão minimalista, bens que, analisados no plano concreto, são considerados de menor importância em relação àquela exigida pelo tipo penal quando da sua proteção em abstrato. (GRECO, 2023, p. 291)</w:t>
      </w:r>
    </w:p>
    <w:p w14:paraId="52476692"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Esse instituto jurídico atua, portanto, como uma causa supralegal de excludente de tipicidade material, cuja existência decorre da interpretação sistemática do ordenamento jurídico à luz dos princípios correlatos do Direito Penal e da finalidade visada pelo legislador.</w:t>
      </w:r>
    </w:p>
    <w:p w14:paraId="1836C330"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Contextualmente, no chamado crime de bagatela, verifica-se a cisão da tipicidade em suas dimensões formal e material, sendo que a exclusão desta última impede a incidência da primeira, afastando, assim, a conduta do âmbito persecutório e coercitivo do Estado.</w:t>
      </w:r>
    </w:p>
    <w:p w14:paraId="07EABB3E"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O legislador, ao elaborar o tipo penal, não especificou o grau de gravidade ou relevância das condutas, limitando-se à descrição abstrata do fato punível, cuja construção resulta de um processo histórico, cultural e social orientado por princípios e valores institucionais.</w:t>
      </w:r>
    </w:p>
    <w:p w14:paraId="531DF2D8"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 esse respeito, chancela o eminente professor Fernando Capez:</w:t>
      </w:r>
    </w:p>
    <w:p w14:paraId="3EFA209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Se a finalidade do tipo penal é tutelar um bem jurídico, sempre que a lesão for insignificante, a ponto de se tornar incapaz de lesar o interesse protegido, não haverá adequação típica. É que no tipo não estão descritas condutas incapazes de ofender o bem tutelado, razão pela qual os danos de nenhuma monta devem ser considerados fatos atípicos. (CAPEZ, 2011, p. 29)</w:t>
      </w:r>
    </w:p>
    <w:p w14:paraId="1CC0E559"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À vista disso, o princípio da insignificância representa uma alternativa interpretativa capaz de suprir a vagosidade da letra da lei, a qual, por limitações técnicas e sociais, não estabelece parâmetros universais para a configuração da tipicidade material nos diversos tipos penais. </w:t>
      </w:r>
    </w:p>
    <w:p w14:paraId="2F2B4C6B"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Afinal, a letra da lei é abstrata, incumbindo aos intérpretes do direito promover a sua efetiva aplicação, conforme a natureza do caso concreto e em consonância com as demais fontes normativas do sistema jurídico. </w:t>
      </w:r>
    </w:p>
    <w:p w14:paraId="2B1F6A7B"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Desse modo, a insignificância é um corolário da hermenêutica jurídica, em que pese </w:t>
      </w:r>
      <w:r>
        <w:rPr>
          <w:rFonts w:ascii="Arial" w:eastAsia="Arial" w:hAnsi="Arial" w:cs="Arial"/>
          <w:color w:val="000000"/>
        </w:rPr>
        <w:lastRenderedPageBreak/>
        <w:t>sua natureza supralegal de excludente de tipicidade material, resultando da interpretação sistemática e teleológica do ordenamento jurídico voltada à realização da justiça social.</w:t>
      </w:r>
    </w:p>
    <w:p w14:paraId="6F44C0B4" w14:textId="77777777" w:rsidR="00A56512" w:rsidRDefault="00000000">
      <w:pPr>
        <w:pBdr>
          <w:top w:val="nil"/>
          <w:left w:val="nil"/>
          <w:bottom w:val="nil"/>
          <w:right w:val="nil"/>
          <w:between w:val="nil"/>
        </w:pBdr>
        <w:spacing w:after="120" w:line="360" w:lineRule="auto"/>
        <w:jc w:val="both"/>
        <w:rPr>
          <w:rFonts w:ascii="Arial" w:eastAsia="Arial" w:hAnsi="Arial" w:cs="Arial"/>
          <w:b/>
          <w:bCs/>
          <w:color w:val="000000"/>
        </w:rPr>
      </w:pPr>
      <w:r>
        <w:rPr>
          <w:rFonts w:ascii="Arial" w:eastAsia="Arial" w:hAnsi="Arial" w:cs="Arial"/>
          <w:b/>
          <w:bCs/>
          <w:color w:val="000000"/>
        </w:rPr>
        <w:t>1.3.1 Tipicidade formal</w:t>
      </w:r>
    </w:p>
    <w:p w14:paraId="3BA1B94B"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 tipicidade formal é uma concepção que surgiu no contexto da dogmática penal clássica, marcada pelo positivismo jurídico, e com origem intrinsecamente ligada ao princípio da legalidade e ao desenvolvimento do Direito Penal moderno.</w:t>
      </w:r>
    </w:p>
    <w:p w14:paraId="464E4E7C"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Segundo lição de Fernando Capez, entende-se por tipicidade formal: </w:t>
      </w:r>
    </w:p>
    <w:p w14:paraId="4525B58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é a subsunção, justaposição, enquadramento, amoldamento ou integral correspondência de uma conduta praticada no mundo real ao modelo descritivo constante da lei (tipo legal). Para que a conduta humana seja considerada crime, é necessário que se ajuste a um tipo legal. Temos, pois, de um lado, uma conduta da vida real e, de outro, o tipo legal de crime constante da lei penal. A tipicidade consiste na correspondência entre ambos. (CAPEZ, 2011, p. 211)</w:t>
      </w:r>
    </w:p>
    <w:p w14:paraId="52B1C4A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Guilherme de Souza Nucci, no que concerne a tipicidade formal, ensina que (2014, p. 159): “é o tipo legal de crime, ou seja, a descrição feita pelo legislador ao construir os tipos incriminadores, inseridos na Parte Especial do Código Penal (ex.: art. 129 – ofender a integridade corporal ou a saúde de outrem)”.</w:t>
      </w:r>
    </w:p>
    <w:p w14:paraId="08D1EE8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De igual modo, Cezar Roberto Bitencourt (2021, p. 226)</w:t>
      </w:r>
      <w:r>
        <w:rPr>
          <w:b/>
          <w:bCs/>
          <w:color w:val="000000"/>
        </w:rPr>
        <w:t xml:space="preserve"> </w:t>
      </w:r>
      <w:r>
        <w:rPr>
          <w:rFonts w:ascii="Arial" w:eastAsia="Arial" w:hAnsi="Arial" w:cs="Arial"/>
          <w:color w:val="000000"/>
        </w:rPr>
        <w:t xml:space="preserve">explica: “A tipicidade formal consiste na perfeita subsunção do fato à norma penal incriminadora, isto é, quando a conduta do agente ajusta-se, de modo exato, à descrição contida no tipo penal.” </w:t>
      </w:r>
    </w:p>
    <w:p w14:paraId="78B8327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Não obstante, Rogério Greco alerta que (2023, p. 213) : “A tipicidade formal é apenas o primeiro passo para a configuração do crime. Não basta que a conduta se amolde ao tipo penal; é preciso também que haja lesão ou perigo concreto ao bem jurídico protegido, o que caracteriza a tipicidade material.” </w:t>
      </w:r>
    </w:p>
    <w:p w14:paraId="4D74EA61"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rPr>
        <w:t>A par</w:t>
      </w:r>
      <w:r>
        <w:rPr>
          <w:rFonts w:ascii="Arial" w:eastAsia="Arial" w:hAnsi="Arial" w:cs="Arial"/>
          <w:color w:val="000000"/>
        </w:rPr>
        <w:t xml:space="preserve"> disso, entende-se por tipicidade formal a correspondência entre a conduta e o tipo penal incriminador, ou seja, o fato real perfeitamente adequado ao tipo penal. Portanto, o fato concreto se amolda na conduta descrita em lei como ilícita e tem o resultado dela que se espera.</w:t>
      </w:r>
    </w:p>
    <w:p w14:paraId="19505B7D"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 A título exemplificativo, o art. 155 do Código Penal Brasileiro dispõe: “Subtrair, para si ou para outrem, coisa alheia móvel: Pena – reclusão, de um a quatro anos, e multa.”  Vislumbra-se que o tipo descritivo é geral e abstrato ensejando em uma punição caso a conduta fática se amolde ao tipo penal, assim, o simples fato de o agente subtrair um objeto que pertence a outro já o formalmente tipifica como furto.</w:t>
      </w:r>
    </w:p>
    <w:p w14:paraId="3AD2927E"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Nota-se que a tipicidade formal tem natureza objetiva, porquanto independe de elementos subjetivos ou valorativos, restringindo-se à verificação da conformidade entre o </w:t>
      </w:r>
      <w:r>
        <w:rPr>
          <w:rFonts w:ascii="Arial" w:eastAsia="Arial" w:hAnsi="Arial" w:cs="Arial"/>
          <w:color w:val="000000"/>
        </w:rPr>
        <w:lastRenderedPageBreak/>
        <w:t>fato e o tipo legal. Essa concepção é uma análise simplista e objetiva que constata toda conduta como suscetível à tutela estatal, pois ela tem natureza objetivo-legal.</w:t>
      </w:r>
    </w:p>
    <w:p w14:paraId="3B4ABB93"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Assim, a análise da tipicidade formal depende da análise de outros elementos para a configuração do crime, já que a mera subsunção formal do fato à norma não é suficiente para caracterizar o crime, especialmente diante de situações em que o desvalor da ação não se reveste de relevância material, hipótese em que se aplica o princípio da insignificância. </w:t>
      </w:r>
    </w:p>
    <w:p w14:paraId="3D0ABB0A" w14:textId="77777777" w:rsidR="00A56512" w:rsidRDefault="00000000">
      <w:pPr>
        <w:pBdr>
          <w:top w:val="nil"/>
          <w:left w:val="nil"/>
          <w:bottom w:val="nil"/>
          <w:right w:val="nil"/>
          <w:between w:val="nil"/>
        </w:pBdr>
        <w:spacing w:after="120" w:line="360" w:lineRule="auto"/>
        <w:jc w:val="both"/>
        <w:rPr>
          <w:rFonts w:ascii="Arial" w:eastAsia="Arial" w:hAnsi="Arial" w:cs="Arial"/>
          <w:b/>
          <w:bCs/>
          <w:color w:val="000000"/>
        </w:rPr>
      </w:pPr>
      <w:r>
        <w:rPr>
          <w:rFonts w:ascii="Arial" w:eastAsia="Arial" w:hAnsi="Arial" w:cs="Arial"/>
          <w:b/>
          <w:bCs/>
          <w:color w:val="000000"/>
        </w:rPr>
        <w:t xml:space="preserve">1.3.2 Tipicidade material </w:t>
      </w:r>
    </w:p>
    <w:p w14:paraId="5FB630CB"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A tipicidade material tem origem na evolução da teoria do delito, como um elemento integrador da tipificação penal, em complemento </w:t>
      </w:r>
      <w:r>
        <w:rPr>
          <w:rFonts w:ascii="Arial" w:eastAsia="Arial" w:hAnsi="Arial" w:cs="Arial"/>
        </w:rPr>
        <w:t>à</w:t>
      </w:r>
      <w:r>
        <w:rPr>
          <w:rFonts w:ascii="Arial" w:eastAsia="Arial" w:hAnsi="Arial" w:cs="Arial"/>
          <w:color w:val="000000"/>
        </w:rPr>
        <w:t xml:space="preserve"> tipicidade formal. Essa concepção exige uma análise complementar dos elementos tipificantes para configuração da norma ensejadora, exigindo necessariamente a efetiva lesão ou perigo concreto ao bem jurídico tutelado. </w:t>
      </w:r>
    </w:p>
    <w:p w14:paraId="6B7AC47E"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Nesse diapasão, a tipicidade material é, nas palavras de Guilherme de Souza Nucci: </w:t>
      </w:r>
    </w:p>
    <w:p w14:paraId="5FD1136D" w14:textId="77777777" w:rsidR="00A56512" w:rsidRDefault="00000000">
      <w:pPr>
        <w:pBdr>
          <w:top w:val="nil"/>
          <w:left w:val="nil"/>
          <w:bottom w:val="nil"/>
          <w:right w:val="nil"/>
          <w:between w:val="nil"/>
        </w:pBdr>
        <w:spacing w:after="200"/>
        <w:ind w:left="2268"/>
        <w:jc w:val="both"/>
        <w:rPr>
          <w:color w:val="000000"/>
        </w:rPr>
      </w:pPr>
      <w:r>
        <w:rPr>
          <w:rFonts w:ascii="Arial" w:eastAsia="Arial" w:hAnsi="Arial" w:cs="Arial"/>
          <w:color w:val="000000"/>
          <w:sz w:val="20"/>
          <w:szCs w:val="20"/>
        </w:rPr>
        <w:t>o tipo legal adequado à lesividade, que possa causar a bens jurídicos protegidos, bem como socialmente reprovável. Ex.: no caso das lesões corporais, somente se materializa a tipicidade material, caso haja o preenchimento dos elementos do art. 129, associados à efetiva lesão do bem jurídico tutelado, de maneira reprovável. (NUCCI, 2014, p. 159)</w:t>
      </w:r>
    </w:p>
    <w:p w14:paraId="72E32DF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Ademais, Rogério Greco entende que (2015, p. 292): “Por tipicidade material devemos entender o critério por meio do qual o Direito Penal avalia a importância do bem no caso concreto ou, melhor dizendo, a importância da lesão ou do perigo de lesão sofrido pelo bem em determinada situação fática.”</w:t>
      </w:r>
    </w:p>
    <w:p w14:paraId="10672FC1" w14:textId="1063ED2F"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Nas palavras do ilustre Ministro do Superior Tribunal de Justiça (STJ) Og Fernandes: “a tipicidade material implica verificar se a conduta possui relevância penal, em face da lesão provocada no bem jurídico tutelado. Deve-se observar o desvalor da conduta, o nexo de imputação e o desvalor do resultado, do qual se exige ser real e significante.” </w:t>
      </w:r>
      <w:r w:rsidR="0010164B">
        <w:rPr>
          <w:rStyle w:val="Refdenotaderodap"/>
          <w:rFonts w:ascii="Arial" w:eastAsia="Arial" w:hAnsi="Arial" w:cs="Arial"/>
          <w:color w:val="000000"/>
        </w:rPr>
        <w:footnoteReference w:id="1"/>
      </w:r>
    </w:p>
    <w:p w14:paraId="619FBC7A"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Diante disso, depreende-se que a tipicidade material extrapola o mero campo da objetividade, assentando sua análise a aspectos subjetivos ou valorativos, pois o que se procura nessa senda é extrair a real intenção do legislador e compatibilizar a conduta como conteúdo de crime. </w:t>
      </w:r>
    </w:p>
    <w:p w14:paraId="480E8B75"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A tipicidade material é, portanto, um complemento hermenêutico, que, em conjunto </w:t>
      </w:r>
      <w:r>
        <w:rPr>
          <w:rFonts w:ascii="Arial" w:eastAsia="Arial" w:hAnsi="Arial" w:cs="Arial"/>
          <w:color w:val="000000"/>
        </w:rPr>
        <w:lastRenderedPageBreak/>
        <w:t xml:space="preserve">com a formal, compõe os elementos caracterizadores da tipicidade penal. Consoante a essa concepção, a mera adequação da conduta do agente ao tipo descritivo penal, é insuficiente para </w:t>
      </w:r>
      <w:r>
        <w:rPr>
          <w:rFonts w:ascii="Arial" w:eastAsia="Arial" w:hAnsi="Arial" w:cs="Arial"/>
        </w:rPr>
        <w:t>ponderá</w:t>
      </w:r>
      <w:r>
        <w:rPr>
          <w:rFonts w:ascii="Arial" w:eastAsia="Arial" w:hAnsi="Arial" w:cs="Arial"/>
          <w:color w:val="000000"/>
        </w:rPr>
        <w:t xml:space="preserve">-la como um fato criminoso que justifique a intervenção da tutela penal. </w:t>
      </w:r>
    </w:p>
    <w:p w14:paraId="7108D9FF"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Essa concepção teórica rompe o mero âmbito da dogmática-jurídico, porquanto o que se busca não é a literalidade da norma posta, e sim a interpretação dela com alicerce em valores sociais, éticos-históricos e no senso de justiça social.</w:t>
      </w:r>
    </w:p>
    <w:p w14:paraId="7BA00B50"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Ilustrando, é comum, na prática social, a perfuração das orelhas de recém-nascidos para a colocação de brincos. Sob a ótica estritamente formal-objetiva, tal conduta se enquadra no tipo penal de lesão corporal leve previsto no art. 129 do Código Penal, revelando-se, em tese, suscetível de persecução penal.</w:t>
      </w:r>
    </w:p>
    <w:p w14:paraId="45DEE9AF"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No entanto, a análise meramente formal-objetiva não é suficiente para afirmar a adequação típica do caso, uma vez que a apreciação da tipicidade exige a consideração de elementos valorativos e subjetivos que permitam aferir a efetiva relevância jurídica da conduta.</w:t>
      </w:r>
    </w:p>
    <w:p w14:paraId="13B7AE8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Isto porque tal ação, na realidade, é um reflexo sócio-cultural dos costumes da sociedade, com elevado grau de aprovação, uma vez que é algo comum e aceitável perante os olhos da sociedade</w:t>
      </w:r>
    </w:p>
    <w:p w14:paraId="08AF1D41"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Apesar da subsunção formal, é preciso compreender que esse comportamento transcende a esfera objetiva, pois está em conformidade com valores sócio-culturais e, nesse caso, suprim</w:t>
      </w:r>
      <w:r>
        <w:rPr>
          <w:rFonts w:ascii="Arial" w:eastAsia="Arial" w:hAnsi="Arial" w:cs="Arial"/>
        </w:rPr>
        <w:t>e</w:t>
      </w:r>
      <w:r>
        <w:rPr>
          <w:rFonts w:ascii="Arial" w:eastAsia="Arial" w:hAnsi="Arial" w:cs="Arial"/>
          <w:color w:val="000000"/>
        </w:rPr>
        <w:t>-se a tipicidade.</w:t>
      </w:r>
    </w:p>
    <w:p w14:paraId="41020088"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Desse modo, não é racional rechaçar tais condutas por meio da intervenção da tutela penal, uma vez que a ação se assenta em valores sócio-culturais, sendo desarrazoado e desproporcional puni-la, considerando que tal comportamento é decorrente da construção histórica-cultural.</w:t>
      </w:r>
    </w:p>
    <w:p w14:paraId="04DB4AE9" w14:textId="77777777" w:rsidR="00A56512" w:rsidRDefault="00000000">
      <w:pPr>
        <w:pBdr>
          <w:top w:val="nil"/>
          <w:left w:val="nil"/>
          <w:bottom w:val="nil"/>
          <w:right w:val="nil"/>
          <w:between w:val="nil"/>
        </w:pBdr>
        <w:spacing w:line="360" w:lineRule="auto"/>
        <w:jc w:val="both"/>
        <w:rPr>
          <w:rFonts w:ascii="Arial" w:eastAsia="Arial" w:hAnsi="Arial" w:cs="Arial"/>
          <w:b/>
          <w:bCs/>
          <w:color w:val="000000"/>
        </w:rPr>
      </w:pPr>
      <w:r>
        <w:rPr>
          <w:rFonts w:ascii="Arial" w:eastAsia="Arial" w:hAnsi="Arial" w:cs="Arial"/>
          <w:b/>
          <w:bCs/>
          <w:color w:val="000000"/>
        </w:rPr>
        <w:t xml:space="preserve">1.3.3 Tipicidade conglobante </w:t>
      </w:r>
    </w:p>
    <w:p w14:paraId="6BD5768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Em desdobramento ao modelo tradicional, o Jurista Zaffaroni desenvolveu uma corrente suplementar ao estudo da tipicidade, observando um novo elemento integrante da tipificação penal </w:t>
      </w:r>
      <w:r>
        <w:rPr>
          <w:rFonts w:ascii="Arial" w:eastAsia="Arial" w:hAnsi="Arial" w:cs="Arial"/>
        </w:rPr>
        <w:t>usualmente</w:t>
      </w:r>
      <w:r>
        <w:rPr>
          <w:rFonts w:ascii="Arial" w:eastAsia="Arial" w:hAnsi="Arial" w:cs="Arial"/>
          <w:color w:val="000000"/>
        </w:rPr>
        <w:t xml:space="preserve"> denominado como tipicidade conglobante. Essa concepção entende que para que a conduta seja tipificada como crime, não basta a satisfação dos critérios formal e material da tipicidade, ou seja, é insuficiente a total correspondência entre a conduta praticada e o tipo descritivo penal e a constatação de efetiva lesão ou perigo concreto ao bem jurídico tutelado, sendo necessário também a ofensa ao ordenamento </w:t>
      </w:r>
      <w:r>
        <w:rPr>
          <w:rFonts w:ascii="Arial" w:eastAsia="Arial" w:hAnsi="Arial" w:cs="Arial"/>
          <w:color w:val="000000"/>
        </w:rPr>
        <w:lastRenderedPageBreak/>
        <w:t>jurídico como um todo.</w:t>
      </w:r>
    </w:p>
    <w:p w14:paraId="7731077C"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Nesse sentido, o idealizador da teoria, Zaffaroni, explica que:</w:t>
      </w:r>
    </w:p>
    <w:p w14:paraId="2EF9165C"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O tipo penal se compõe do tipo legal (adequação da conduta à individualização predominantemente descritiva feita no preceito legal, com seu aspecto objetivo e subjetivo), e do tipo conglobante (que requer a lesão ou colocação em perigo do bem jurídico tutelado mediante a comprovação da antinormatividade pela contradição da conduta com a norma, conglobada com as restantes do ordenamento que integra). Será função deste segundo passo da tipicidade penal, operar como corretivo da tipicidade legal, reduzindo à verdadeira dimensão do que a norma proíbe, deixando fora da tipicidade penal aquelas condutas que somente são alcançadas pela tipicidade legal, mas que o ordenamento normativo não proíbe, precisamente porque as ordena ou as fomenta ou não as pode alcançar, por exceder o poder repressivo do Estado ou por ser insignificante sua lesividade. (ZAFFARONI, 1981, p. 236)</w:t>
      </w:r>
    </w:p>
    <w:p w14:paraId="24DB9A12"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À vista disso, é perfeitamente possível que determinada conduta se revele, em tese, ofensiva no âmbito penal, mas seja simultaneamente admitida por outros ramos do Direito, o que conduz ao reconhecimento da atipicidade da conduta. Tal situação, contudo, mostra-se contraditória, pois não é razoável que o ordenamento jurídico permita uma conduta e, ao mesmo tempo, a sancione, sob pena de comprometer a segurança jurídica e a coerência interna do sistema.</w:t>
      </w:r>
    </w:p>
    <w:p w14:paraId="17B2656E"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De acordo com Guilherme de Souza Nucci a tipicidade conglobante é:  </w:t>
      </w:r>
    </w:p>
    <w:p w14:paraId="31E9EBFA"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a visão do tipo legal, associado às demais normas que compõem o sistema. Assim, algo pode preencher o tipo legal, mas, avaliando-se a conduta conglobantemente, isto é, em conjunto com as demais regras do ordenamento jurídico, verifica-se que o bem jurídico protegido não foi afetado. (NUCCI, 2014, p. 160)</w:t>
      </w:r>
    </w:p>
    <w:p w14:paraId="760EA671"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Nas palavras de Rogério Greco, ele explica que: </w:t>
      </w:r>
    </w:p>
    <w:p w14:paraId="2B1427FA"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A tipicidade chamada conglobante ou conglobada exige, para a sua configuração que no caso concreto o intérprete conclua pela tipicidade material, na qual será realizada a análise e aplicação do princípio da insignificância, bem como a antinormatividade do comportamento levado a efeito pelo agente. (GRECO, 2015, p. 292)</w:t>
      </w:r>
    </w:p>
    <w:p w14:paraId="3F4E5D1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Desse modo, compreende-se que a tipicidade conglobante é a próxima fase da análise da tipicidade penal, que consiste na correção da tipicidade legal abordando de forma mais minimalista os elementos para a configuração da conduta com conteúdo de crime. Nesse caso, há a averiguação se a conduta é antinormativa, isto é, se esta viola o ordenamento jurídico como um sistema unitário. </w:t>
      </w:r>
    </w:p>
    <w:p w14:paraId="3C5608D5"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Diante disso, é pertinente destrinchar duas modalidades fáticas, em ilustrações concretas, que elucidam a situação: </w:t>
      </w:r>
    </w:p>
    <w:p w14:paraId="4B9DA62D"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Em primeiro momento, digamos que, no exercício regular do direito, temos um lutador de boxe. Analisando a conduta esportiva do atleta, constata-se a tipicidade formal, porquanto a conduta praticada se amolda perfeitamente ao descritivo penal de lesão </w:t>
      </w:r>
      <w:r>
        <w:rPr>
          <w:rFonts w:ascii="Arial" w:eastAsia="Arial" w:hAnsi="Arial" w:cs="Arial"/>
          <w:color w:val="000000"/>
        </w:rPr>
        <w:lastRenderedPageBreak/>
        <w:t xml:space="preserve">corporal. Outrossim, a conduta tem tipicidade material, já que há consumação da efetiva lesão ao bem jurídico tutelado, no caso, a integridade física de outrem. Entretanto, ocorre que a prática da conduta é tutelada pelo direito, pois, apesar de numa análise nua ela ser considerada ofensiva ao âmbito penal, esta não tem relevância, uma vez que o fato é permitido pelo direito como um sistema unitário, já que trata-se de um direito, com a atividade desportiva regulamentada, socialmente aceito e de livre consentimento dos envolvidos.  </w:t>
      </w:r>
    </w:p>
    <w:p w14:paraId="79FCDB2B"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 outro situação concerne ao estrito cumprimento do dever legal, tendo como figura figura central um agente público investido de poder de polícia ostensivo, em que em cumprimento a uma ordem judicial, por meio de um mandado, invade a casa de uma pessoa a fim de cumprir a ordem exarada. No caso, resta caracterizado a tipicidade formal, em razão da subsunção do fato à norma. De igual modo, a conduta configura a tipicidade material, dado a constatação da efetiva lesão ao bem jurídico tutelado — violação do domicílio. Todavia, a conduta não ofende o ordenamento jurídico, uma vez que apesar de caracterizado os dois elementos da tipicidade penal, não há ofensa ao direito, considerando que a conduta do agente se ampara no estrito cumprimento do dever legal em razão da sua condição pessoal.</w:t>
      </w:r>
    </w:p>
    <w:p w14:paraId="7471041E"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i/>
          <w:iCs/>
          <w:color w:val="000000"/>
        </w:rPr>
        <w:t>In casu</w:t>
      </w:r>
      <w:r>
        <w:rPr>
          <w:rFonts w:ascii="Arial" w:eastAsia="Arial" w:hAnsi="Arial" w:cs="Arial"/>
          <w:color w:val="000000"/>
        </w:rPr>
        <w:t>, cumpre ressaltar que a conduta eventualmente só seria anormal e antinormativa se o agente, designado a diligência, declinasse da obrigação que lhe é imposta por lei, ou seja, se negasse a violar o domicílio a fim de cumprir a ordem judicial. Percebe-se então que além da conduta principal ser permitida pelo direito, no caso, a conduta antagônica a ela que de fato ensejaria a antinormatividade, isto é,</w:t>
      </w:r>
      <w:r>
        <w:rPr>
          <w:rFonts w:ascii="Arial" w:eastAsia="Arial" w:hAnsi="Arial" w:cs="Arial"/>
        </w:rPr>
        <w:t xml:space="preserve"> </w:t>
      </w:r>
      <w:r>
        <w:rPr>
          <w:rFonts w:ascii="Arial" w:eastAsia="Arial" w:hAnsi="Arial" w:cs="Arial"/>
          <w:color w:val="000000"/>
        </w:rPr>
        <w:t>a contrariedade ao ordenamento jurídico.</w:t>
      </w:r>
    </w:p>
    <w:p w14:paraId="2EB7EAB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Por derradeiro, enfatiza-se que ambas modalidades fáticas atuam como excludentes de tipicidade, e não como excludente de ilicitude como amplamente instruído no âmbito fático-social. Essa corrente, apesar de controvérsias, tem plausibilidade jurídica, pois se o direito expressamente permite, não há de se dizer em ilicitude da conduta, e sim atipicidade do fato.</w:t>
      </w:r>
    </w:p>
    <w:p w14:paraId="60B40CAD" w14:textId="77777777" w:rsidR="00A56512" w:rsidRDefault="00000000">
      <w:pPr>
        <w:pBdr>
          <w:top w:val="nil"/>
          <w:left w:val="nil"/>
          <w:bottom w:val="nil"/>
          <w:right w:val="nil"/>
          <w:between w:val="nil"/>
        </w:pBdr>
        <w:spacing w:after="120" w:line="360" w:lineRule="auto"/>
        <w:jc w:val="both"/>
        <w:rPr>
          <w:rFonts w:ascii="Arial" w:eastAsia="Arial" w:hAnsi="Arial" w:cs="Arial"/>
          <w:color w:val="000000"/>
        </w:rPr>
      </w:pPr>
      <w:r>
        <w:rPr>
          <w:rFonts w:ascii="Arial" w:eastAsia="Arial" w:hAnsi="Arial" w:cs="Arial"/>
          <w:color w:val="000000"/>
        </w:rPr>
        <w:t>1.4 DA PREVISÃO DOUTRINÁRIA E JURISPRUDENCIAL DO PRINCÍPIO DA INSIGNIFICÂNCIA</w:t>
      </w:r>
    </w:p>
    <w:p w14:paraId="76572A6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Conforme já exposto em momento anterior, o princípio da insignificância é uma causa supralegal, em outras palavras, essa concepção é puramente de construção doutrinária e jurisprudencial, porquanto inexiste norma posta que </w:t>
      </w:r>
      <w:r>
        <w:rPr>
          <w:rFonts w:ascii="Arial" w:eastAsia="Arial" w:hAnsi="Arial" w:cs="Arial"/>
        </w:rPr>
        <w:t xml:space="preserve">o </w:t>
      </w:r>
      <w:r>
        <w:rPr>
          <w:rFonts w:ascii="Arial" w:eastAsia="Arial" w:hAnsi="Arial" w:cs="Arial"/>
          <w:color w:val="000000"/>
        </w:rPr>
        <w:t xml:space="preserve">recepcione e </w:t>
      </w:r>
      <w:r>
        <w:rPr>
          <w:rFonts w:ascii="Arial" w:eastAsia="Arial" w:hAnsi="Arial" w:cs="Arial"/>
        </w:rPr>
        <w:t>discipline</w:t>
      </w:r>
      <w:r>
        <w:rPr>
          <w:rFonts w:ascii="Arial" w:eastAsia="Arial" w:hAnsi="Arial" w:cs="Arial"/>
          <w:color w:val="000000"/>
        </w:rPr>
        <w:t xml:space="preserve"> sua aplicação. A doutrina desenvolveu a noção de irrelevância penal como mecanismo </w:t>
      </w:r>
      <w:r>
        <w:rPr>
          <w:rFonts w:ascii="Arial" w:eastAsia="Arial" w:hAnsi="Arial" w:cs="Arial"/>
          <w:color w:val="000000"/>
        </w:rPr>
        <w:lastRenderedPageBreak/>
        <w:t>destinado a excluir da tutela criminal condutas materialmente inexpressivas, partindo da interpretação sistemática dos postulados da fragmentariedade e da intervenção mínima que orientam o Direito Penal contemporâneo.</w:t>
      </w:r>
    </w:p>
    <w:p w14:paraId="09029E4B"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Pode-se dizer que a insignificância é um princípio implícito no ordenamento jurídico brasileiro, resultante de um desenvolvimento teórico e consolidado pela jurisprudência, que busca desonerar da tutela penal as situações fáticas, materialmente irrelevantes, que possibilitem sua aplicabilidade . </w:t>
      </w:r>
    </w:p>
    <w:p w14:paraId="447F53E0"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Em confluência ao exposto, nas palavras do Maurício Antônio Ribeiro Lopes:</w:t>
      </w:r>
    </w:p>
    <w:p w14:paraId="63C18DCB" w14:textId="77777777" w:rsidR="00A56512" w:rsidRDefault="00000000">
      <w:pPr>
        <w:pBdr>
          <w:top w:val="nil"/>
          <w:left w:val="nil"/>
          <w:bottom w:val="nil"/>
          <w:right w:val="nil"/>
          <w:between w:val="nil"/>
        </w:pBdr>
        <w:spacing w:after="200"/>
        <w:ind w:left="2268"/>
        <w:jc w:val="both"/>
        <w:rPr>
          <w:rFonts w:ascii="Arial" w:eastAsia="Arial" w:hAnsi="Arial" w:cs="Arial"/>
          <w:color w:val="000000"/>
        </w:rPr>
      </w:pPr>
      <w:r>
        <w:rPr>
          <w:rFonts w:ascii="Arial" w:eastAsia="Arial" w:hAnsi="Arial" w:cs="Arial"/>
          <w:color w:val="000000"/>
          <w:sz w:val="20"/>
          <w:szCs w:val="20"/>
        </w:rPr>
        <w:t>A conceituação de tal princípio efetivamente não se encontra na dogmática jurídica pois nenhum instrumento legislativo ordinário ou constitucional define ou acata formalmente, apenas podendo ser inferido na exata proporção em que aceitam limites para a interpretação e das leis e geral. É a criação exclusivamente doutrinária e pretoriana, o que se faz justificar estas como autênticas fontes do Direito. (LOPES, 2011, apud SILVA, 2011, p. 99)</w:t>
      </w:r>
    </w:p>
    <w:p w14:paraId="13698149"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Ademais, esse instituto jurídico tem sua aplicação destrinchada por entendimentos jurisprudenciais, em que pese dizer os tribunais superiores definiram os seus vetores de aplicação. Diante disso, é oportuno transcrever, in verbis, excerto da ementa do HC 84.412-0/SP, marco histórico da consolidação do princípio da insignificância no ordenamento jurídico brasileiro:</w:t>
      </w:r>
    </w:p>
    <w:p w14:paraId="51918D82" w14:textId="64726659"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O princípio da insignificância - que deve ser analisado em conexão com os postulados da fragmentariedade e da intervenção mínima do Estado em matéria penal - tem o sentido de excluir ou de afastar a própria tipicidade penal, examinada na perspectiva de seu caráter material. Doutrina. Tal postulado - que considera necessária, na aferição do relevo material da tipicidade penal, a presença de certos vetores, tais como (a) a mínima ofensividade da conduta do agente, (b) a nenhuma periculosidade social da ação, (c) o reduzidíssimo grau de reprovabilidade do comportamento e (d) a inexpressividade da lesão jurídica provocada.</w:t>
      </w:r>
      <w:r w:rsidR="0010164B">
        <w:rPr>
          <w:rFonts w:ascii="Arial" w:eastAsia="Arial" w:hAnsi="Arial" w:cs="Arial"/>
          <w:color w:val="000000"/>
          <w:sz w:val="20"/>
          <w:szCs w:val="20"/>
        </w:rPr>
        <w:t xml:space="preserve"> </w:t>
      </w:r>
      <w:r>
        <w:rPr>
          <w:rFonts w:ascii="Arial" w:eastAsia="Arial" w:hAnsi="Arial" w:cs="Arial"/>
          <w:color w:val="000000"/>
          <w:sz w:val="20"/>
          <w:szCs w:val="20"/>
        </w:rPr>
        <w:t>Grifos meus.</w:t>
      </w:r>
      <w:r w:rsidR="0010164B">
        <w:rPr>
          <w:rStyle w:val="Refdenotaderodap"/>
          <w:rFonts w:ascii="Arial" w:eastAsia="Arial" w:hAnsi="Arial" w:cs="Arial"/>
          <w:color w:val="000000"/>
          <w:sz w:val="20"/>
          <w:szCs w:val="20"/>
        </w:rPr>
        <w:footnoteReference w:id="2"/>
      </w:r>
    </w:p>
    <w:p w14:paraId="57EE92B6"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O Superior Tribunal de Justiça, por sua vez, acolheu e reiterou esses mesmos parâmetros, reforçando a orientação estabelecida pela Suprema Corte:</w:t>
      </w:r>
    </w:p>
    <w:p w14:paraId="767F2BD4" w14:textId="3FB2E33F" w:rsidR="00A56512" w:rsidRDefault="00000000">
      <w:pPr>
        <w:spacing w:after="200"/>
        <w:ind w:left="2268"/>
        <w:jc w:val="both"/>
        <w:rPr>
          <w:rFonts w:ascii="Arial" w:eastAsia="Arial" w:hAnsi="Arial" w:cs="Arial"/>
          <w:color w:val="000000"/>
          <w:sz w:val="20"/>
          <w:szCs w:val="20"/>
        </w:rPr>
      </w:pPr>
      <w:r>
        <w:rPr>
          <w:rFonts w:ascii="Arial" w:eastAsia="Arial" w:hAnsi="Arial" w:cs="Arial"/>
          <w:color w:val="000000"/>
          <w:sz w:val="20"/>
          <w:szCs w:val="20"/>
        </w:rPr>
        <w:t>Segundo a jurisprudência do Supremo Tribunal Federal, o princípio da insignificância tem como vetores a mínima ofensividade da conduta, a nenhuma periculosidade social da ação, o reduzidíssimo grau de reprovabilidade do comportamento e a inexpressividade da lesão jurídica provocada.</w:t>
      </w:r>
      <w:r w:rsidR="0010164B">
        <w:rPr>
          <w:rFonts w:ascii="Arial" w:eastAsia="Arial" w:hAnsi="Arial" w:cs="Arial"/>
          <w:color w:val="000000"/>
          <w:sz w:val="20"/>
          <w:szCs w:val="20"/>
        </w:rPr>
        <w:t xml:space="preserve"> </w:t>
      </w:r>
      <w:r>
        <w:rPr>
          <w:rFonts w:ascii="Arial" w:eastAsia="Arial" w:hAnsi="Arial" w:cs="Arial"/>
          <w:color w:val="000000"/>
          <w:sz w:val="20"/>
          <w:szCs w:val="20"/>
        </w:rPr>
        <w:t>Grifos meus.</w:t>
      </w:r>
      <w:r w:rsidR="0010164B">
        <w:rPr>
          <w:rStyle w:val="Refdenotaderodap"/>
          <w:rFonts w:ascii="Arial" w:eastAsia="Arial" w:hAnsi="Arial" w:cs="Arial"/>
          <w:color w:val="000000"/>
          <w:sz w:val="20"/>
          <w:szCs w:val="20"/>
        </w:rPr>
        <w:footnoteReference w:id="3"/>
      </w:r>
    </w:p>
    <w:p w14:paraId="07C14A72"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Assim, vislumbra-se que a insignificância é um instituto de criação pretoriana, em que preenchidos seus requisitos objetivos — mínima </w:t>
      </w:r>
      <w:r>
        <w:rPr>
          <w:rFonts w:ascii="Arial" w:eastAsia="Arial" w:hAnsi="Arial" w:cs="Arial"/>
        </w:rPr>
        <w:t>ofensividade</w:t>
      </w:r>
      <w:r>
        <w:rPr>
          <w:rFonts w:ascii="Arial" w:eastAsia="Arial" w:hAnsi="Arial" w:cs="Arial"/>
          <w:color w:val="000000"/>
        </w:rPr>
        <w:t xml:space="preserve"> da conduta, nenhuma periculosidade social da ação, o reduzidíssimo grau de reprovabilidade do comportamento e inexpressividade da lesão jurídica provocada — afasta-se a incidência penal, tornando o fato penalmente atípico. </w:t>
      </w:r>
    </w:p>
    <w:p w14:paraId="56582E69" w14:textId="77777777" w:rsid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0FF9508F" w14:textId="77777777" w:rsid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6A942C54" w14:textId="77777777" w:rsid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28ECEE1D"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rPr>
      </w:pPr>
    </w:p>
    <w:p w14:paraId="2477A647"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jc w:val="center"/>
        <w:rPr>
          <w:rFonts w:ascii="Arial" w:eastAsia="Arial" w:hAnsi="Arial" w:cs="Arial"/>
          <w:b/>
          <w:bCs/>
        </w:rPr>
      </w:pPr>
      <w:r>
        <w:rPr>
          <w:rFonts w:ascii="Arial" w:eastAsia="Arial" w:hAnsi="Arial" w:cs="Arial"/>
          <w:b/>
          <w:bCs/>
        </w:rPr>
        <w:t>CAPÍTULO II</w:t>
      </w:r>
    </w:p>
    <w:p w14:paraId="1D32C02C" w14:textId="77777777" w:rsidR="00A56512" w:rsidRDefault="00000000">
      <w:pPr>
        <w:spacing w:after="120" w:line="360" w:lineRule="auto"/>
        <w:jc w:val="center"/>
        <w:rPr>
          <w:rFonts w:ascii="Arial" w:eastAsia="Arial" w:hAnsi="Arial" w:cs="Arial"/>
          <w:b/>
          <w:bCs/>
        </w:rPr>
      </w:pPr>
      <w:r>
        <w:rPr>
          <w:rFonts w:ascii="Arial" w:eastAsia="Arial" w:hAnsi="Arial" w:cs="Arial"/>
          <w:b/>
          <w:bCs/>
        </w:rPr>
        <w:t xml:space="preserve">PRINCÍPIOS CORRELATOS </w:t>
      </w:r>
    </w:p>
    <w:p w14:paraId="3F030B50" w14:textId="77777777" w:rsidR="00A56512" w:rsidRDefault="00A56512">
      <w:pPr>
        <w:spacing w:after="120" w:line="360" w:lineRule="auto"/>
        <w:jc w:val="center"/>
        <w:rPr>
          <w:rFonts w:ascii="Arial" w:eastAsia="Arial" w:hAnsi="Arial" w:cs="Arial"/>
          <w:b/>
          <w:bCs/>
        </w:rPr>
      </w:pPr>
    </w:p>
    <w:p w14:paraId="72D5BFCB" w14:textId="77777777" w:rsidR="00A56512" w:rsidRDefault="00000000">
      <w:pPr>
        <w:spacing w:after="120" w:line="360" w:lineRule="auto"/>
        <w:jc w:val="both"/>
        <w:rPr>
          <w:rFonts w:ascii="Arial" w:eastAsia="Arial" w:hAnsi="Arial" w:cs="Arial"/>
        </w:rPr>
      </w:pPr>
      <w:r>
        <w:rPr>
          <w:rFonts w:ascii="Arial" w:eastAsia="Arial" w:hAnsi="Arial" w:cs="Arial"/>
        </w:rPr>
        <w:t>2.1 PRINCÍPIO DA DIGNIDADE DA PESSOA HUMANA</w:t>
      </w:r>
    </w:p>
    <w:p w14:paraId="0D2BD6BF"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O princípio da dignidade da pessoa humana ostenta um excelso status no Estado Democrático de Direito moderno, em especial no Brasil, porquanto a Constituição Federal, no art. 1º, inciso III, consagra-o como um dos fundamentos da República Federativa do Brasil. </w:t>
      </w:r>
    </w:p>
    <w:p w14:paraId="65DA0492"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both"/>
        <w:rPr>
          <w:rFonts w:ascii="Arial" w:eastAsia="Arial" w:hAnsi="Arial" w:cs="Arial"/>
          <w:color w:val="000000"/>
        </w:rPr>
      </w:pPr>
      <w:r>
        <w:rPr>
          <w:rFonts w:ascii="Arial" w:eastAsia="Arial" w:hAnsi="Arial" w:cs="Arial"/>
          <w:color w:val="000000"/>
        </w:rPr>
        <w:t xml:space="preserve">Consolidado em documentos históricos e em tratados internacionais, esse princípio é o alicerce de todo Estado Democrático de Direito e tem estrita relação ao tema abordado, porquanto a premissa máxima da dignidade exsurge em todas as esferas da sociedade, in casu, no direito penal. </w:t>
      </w:r>
    </w:p>
    <w:p w14:paraId="77EE552A"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Digne-se afirmar que se trata do princípio estruturante por excelência do Estado Democrático de Direito, ao passo que tem por premissa máxima assegurar a todas as pessoas humanas o mínimo de existência social digna. Nessa perspectiva, são direitos básicos fundamentais e indispensáveis, cuja inobservância inviabiliza a própria existência humana. </w:t>
      </w:r>
    </w:p>
    <w:p w14:paraId="0D461D54"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Em confluência com o exposto, Rogério Greco entende que: </w:t>
      </w:r>
    </w:p>
    <w:p w14:paraId="55DFD6BD"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 xml:space="preserve">Embora de difícil tradução, podemos nos esforçar para tentar construir um conceito de dignidade humana, entendida esta como uma qualidade que integra a própria condição humana, sendo, em muitas situações, considerada, ainda, como irrenunciável e inalienável. É algo inerente ao ser humano, um valor que não pode ser suprimido, em virtude da sua própria natureza. Até o mais vil, o homem mais detestável, o criminoso mais frio e cruel é portador desse valor. (GRECO, 2017, p. 65) </w:t>
      </w:r>
    </w:p>
    <w:p w14:paraId="073DE57C" w14:textId="77777777" w:rsidR="00A56512" w:rsidRDefault="00000000" w:rsidP="0010164B">
      <w:pPr>
        <w:spacing w:after="120" w:line="360" w:lineRule="auto"/>
        <w:ind w:firstLine="851"/>
        <w:jc w:val="both"/>
        <w:rPr>
          <w:rFonts w:ascii="Arial" w:eastAsia="Arial" w:hAnsi="Arial" w:cs="Arial"/>
        </w:rPr>
      </w:pPr>
      <w:r>
        <w:rPr>
          <w:rFonts w:ascii="Arial" w:eastAsia="Arial" w:hAnsi="Arial" w:cs="Arial"/>
        </w:rPr>
        <w:t>Na mesma linha, Nucci aduz que:</w:t>
      </w:r>
    </w:p>
    <w:p w14:paraId="6C996AD6"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 xml:space="preserve">Há dois prismas para o princípio constitucional regente da dignidade da pessoa humana: objetivo e subjetivo. Sob o aspecto objetivo, significa a garantia de um mínimo existencial ao ser humano, atendendo as suas necessidades básicas, como moradia, alimentação, educação, saúde, lazer, vestuário, higiene, transporte e previdência social, nos moldes fixados pelo art. 7.º, IV, da CF. Sob o aspecto subjetivo, trata-se do sentimento de respeitabilidade e autoestima, inerentes ao ser </w:t>
      </w:r>
      <w:r>
        <w:rPr>
          <w:rFonts w:ascii="Arial" w:eastAsia="Arial" w:hAnsi="Arial" w:cs="Arial"/>
          <w:color w:val="000000"/>
          <w:sz w:val="20"/>
          <w:szCs w:val="20"/>
        </w:rPr>
        <w:lastRenderedPageBreak/>
        <w:t>humano, desde o nascimento, em relação aos quais não cabe qualquer espécie de renúncia ou desistência. (NUCCI, 2014, p. 62)</w:t>
      </w:r>
    </w:p>
    <w:p w14:paraId="54A474B3" w14:textId="77777777" w:rsidR="00A56512" w:rsidRDefault="00000000">
      <w:pPr>
        <w:spacing w:after="120" w:line="360" w:lineRule="auto"/>
        <w:ind w:firstLine="850"/>
        <w:jc w:val="both"/>
        <w:rPr>
          <w:rFonts w:ascii="Arial" w:eastAsia="Arial" w:hAnsi="Arial" w:cs="Arial"/>
        </w:rPr>
      </w:pPr>
      <w:r>
        <w:rPr>
          <w:rFonts w:ascii="Arial" w:eastAsia="Arial" w:hAnsi="Arial" w:cs="Arial"/>
        </w:rPr>
        <w:t>Contextualizando a temática principal, a insignificância é o resultado da aplicação do princípio da dignidade humana em correlato com a interpretação sistemática dos demais princípios norteadores do direito penal.</w:t>
      </w:r>
    </w:p>
    <w:p w14:paraId="4727A337" w14:textId="2F6E2655" w:rsidR="00A56512" w:rsidRDefault="00000000" w:rsidP="001D10A5">
      <w:pPr>
        <w:spacing w:after="120" w:line="360" w:lineRule="auto"/>
        <w:ind w:firstLine="850"/>
        <w:jc w:val="both"/>
        <w:rPr>
          <w:rFonts w:ascii="Arial" w:eastAsia="Arial" w:hAnsi="Arial" w:cs="Arial"/>
        </w:rPr>
      </w:pPr>
      <w:r>
        <w:rPr>
          <w:rFonts w:ascii="Arial" w:eastAsia="Arial" w:hAnsi="Arial" w:cs="Arial"/>
        </w:rPr>
        <w:t xml:space="preserve">À vista disso, a dignidade da pessoa humana tem um papel fundamental como alicerce principiológico que rege os demais princípios penais, conferindo-lhes unidade e coerência, de tal modo que sejam resguardados os direitos e garantias individuais a todos. </w:t>
      </w:r>
    </w:p>
    <w:p w14:paraId="56AD5E8E"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Nesse sentido, na concepção de Fernando Capez:</w:t>
      </w:r>
    </w:p>
    <w:p w14:paraId="541144CD"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 xml:space="preserve">Da dignidade humana, princípio genérico e reitor do Direito Penal, partem outros princípios mais específicos, os quais são transportados dentro daquele princípio maior. Desta forma, do Estado Democrático de Direito parte o princípio reitor de todo o Direito Penal, que é a dignidade da pessoa humana, adequando-o ao perfil constitucional do Brasil e erigindo-se à categoria de Direito Penal Democrático.(CAPEZ, 2003, p. 9) </w:t>
      </w:r>
    </w:p>
    <w:p w14:paraId="358956CC"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Constata-se, portanto, que em derivação ao princípio da dignidade humana emergem inúmeros outros princípios próprios afetos à esfera criminal, porquanto estes devem ser harmônicos com aquele, assegurando a democratização do direito penal. </w:t>
      </w:r>
    </w:p>
    <w:p w14:paraId="70D3A048" w14:textId="77777777" w:rsidR="00A56512" w:rsidRDefault="00000000">
      <w:pPr>
        <w:spacing w:after="120" w:line="360" w:lineRule="auto"/>
        <w:ind w:firstLine="850"/>
        <w:jc w:val="both"/>
        <w:rPr>
          <w:rFonts w:ascii="Arial" w:eastAsia="Arial" w:hAnsi="Arial" w:cs="Arial"/>
        </w:rPr>
      </w:pPr>
      <w:r>
        <w:rPr>
          <w:rFonts w:ascii="Arial" w:eastAsia="Arial" w:hAnsi="Arial" w:cs="Arial"/>
        </w:rPr>
        <w:t>O princípio em comento é constitucionalmente explícito e sustenta os direitos e garantias individuais e, in casu, na esfera criminal, garante a proporcionalidade, razoabilidade e humanidade das punições, de tal modo a resguardar a condição de ser humano dos infratores.</w:t>
      </w:r>
    </w:p>
    <w:p w14:paraId="01B8D1A3" w14:textId="77777777" w:rsidR="00A56512" w:rsidRDefault="00000000">
      <w:pPr>
        <w:spacing w:after="120" w:line="360" w:lineRule="auto"/>
        <w:ind w:firstLine="850"/>
        <w:jc w:val="both"/>
        <w:rPr>
          <w:rFonts w:ascii="Arial" w:eastAsia="Arial" w:hAnsi="Arial" w:cs="Arial"/>
        </w:rPr>
      </w:pPr>
      <w:r>
        <w:rPr>
          <w:rFonts w:ascii="Arial" w:eastAsia="Arial" w:hAnsi="Arial" w:cs="Arial"/>
        </w:rPr>
        <w:t>Em termos práticos, é diante da aplicação sistemática da dignidade da pessoa humana que são garantidos direitos básicos aos encarcerados e aos alvos de persecução penal.</w:t>
      </w:r>
    </w:p>
    <w:p w14:paraId="2A4F07D9" w14:textId="77777777" w:rsidR="00A56512" w:rsidRDefault="00000000">
      <w:pPr>
        <w:spacing w:after="120" w:line="360" w:lineRule="auto"/>
        <w:ind w:firstLine="850"/>
        <w:jc w:val="both"/>
        <w:rPr>
          <w:rFonts w:ascii="Arial" w:eastAsia="Arial" w:hAnsi="Arial" w:cs="Arial"/>
        </w:rPr>
      </w:pPr>
      <w:r>
        <w:rPr>
          <w:rFonts w:ascii="Arial" w:eastAsia="Arial" w:hAnsi="Arial" w:cs="Arial"/>
        </w:rPr>
        <w:t>No tocante à pessoa privada de liberdade, é assegurado o respeito à sua integridade física e moral, nos termos do art. 5º, XLIX, CRFB/88. Ademais, de forma geral, é vedado a imposição de penas cruéis, tais como a pena de morte, de caráter perpétuo, banimento, trabalhos forçados e quaisquer penas de natureza degradante ou desumana, consoante o dispositivo no Art. 5º, XLVII, CRFB/88.</w:t>
      </w:r>
    </w:p>
    <w:p w14:paraId="34ECDB10"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Desse modo, é cediço a influição do princípio da dignidade da pessoa humana no direito penal brasileiro, em específico no tema discorrido, uma vez que por se tratar do princípio basilar regente do Estado Democrático Brasileiro, sua aplicação exsurge em todo o ordenamento jurídico, garantindo a unicidade e harmonia na esfera penal. </w:t>
      </w:r>
    </w:p>
    <w:p w14:paraId="7D9CCD60" w14:textId="77777777" w:rsidR="00A56512" w:rsidRDefault="00000000" w:rsidP="001D10A5">
      <w:pPr>
        <w:spacing w:before="460" w:after="120" w:line="360" w:lineRule="auto"/>
        <w:jc w:val="both"/>
        <w:rPr>
          <w:rFonts w:ascii="Arial" w:eastAsia="Arial" w:hAnsi="Arial" w:cs="Arial"/>
          <w:b/>
          <w:bCs/>
          <w:color w:val="000000"/>
        </w:rPr>
      </w:pPr>
      <w:r>
        <w:rPr>
          <w:rFonts w:ascii="Arial" w:eastAsia="Arial" w:hAnsi="Arial" w:cs="Arial"/>
        </w:rPr>
        <w:lastRenderedPageBreak/>
        <w:t>2.2 PRINCÍPIO DA INTERVENÇÃO MÍNIMA</w:t>
      </w:r>
    </w:p>
    <w:p w14:paraId="037FD08B" w14:textId="77777777" w:rsidR="00A56512" w:rsidRDefault="00000000">
      <w:pPr>
        <w:spacing w:after="120" w:line="360" w:lineRule="auto"/>
        <w:ind w:firstLine="850"/>
        <w:jc w:val="both"/>
        <w:rPr>
          <w:rFonts w:ascii="Arial" w:eastAsia="Arial" w:hAnsi="Arial" w:cs="Arial"/>
        </w:rPr>
      </w:pPr>
      <w:r>
        <w:rPr>
          <w:rFonts w:ascii="Arial" w:eastAsia="Arial" w:hAnsi="Arial" w:cs="Arial"/>
        </w:rPr>
        <w:t>Introdutoriamente, cumpre destacar que o Direito Penal brasileiro ostenta caráter fragmentário, isso quer dizer, sua atuação limita-se aos fragmentos típicos de condutas socialmente relevantes, considerando o potencial ofensivo da conduta à vida em sociedade.</w:t>
      </w:r>
    </w:p>
    <w:p w14:paraId="597010ED"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Dessa ideia que se emana o princípio da intervenção mínima, já que o Estado como agente persecutor deve ponderar as condutas que de alguma forma coloquem em perigo valores fundamentais da sociedade, eximindo aquelas que não afrontam os valores fundamentais estabelecidos. </w:t>
      </w:r>
    </w:p>
    <w:p w14:paraId="3B464949"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Ante esse princípio, o direito penal não tem o condão de intervir em todos os conflitos sociais existentes, porquanto é considerado </w:t>
      </w:r>
      <w:r>
        <w:rPr>
          <w:rFonts w:ascii="Arial" w:eastAsia="Arial" w:hAnsi="Arial" w:cs="Arial"/>
          <w:i/>
          <w:iCs/>
        </w:rPr>
        <w:t>ultima ratio</w:t>
      </w:r>
      <w:r>
        <w:rPr>
          <w:rFonts w:ascii="Arial" w:eastAsia="Arial" w:hAnsi="Arial" w:cs="Arial"/>
        </w:rPr>
        <w:t>, isto é, atua de forma subsidiária aos outros ramos do direito e só deve ser acionado quando não houver outra alternativa.</w:t>
      </w:r>
    </w:p>
    <w:p w14:paraId="127652A9" w14:textId="77777777" w:rsidR="00A56512" w:rsidRDefault="00000000">
      <w:pPr>
        <w:spacing w:after="120" w:line="360" w:lineRule="auto"/>
        <w:ind w:firstLine="850"/>
        <w:jc w:val="both"/>
        <w:rPr>
          <w:rFonts w:ascii="Arial" w:eastAsia="Arial" w:hAnsi="Arial" w:cs="Arial"/>
        </w:rPr>
      </w:pPr>
      <w:r>
        <w:rPr>
          <w:rFonts w:ascii="Arial" w:eastAsia="Arial" w:hAnsi="Arial" w:cs="Arial"/>
        </w:rPr>
        <w:t>O princípio da intervenção mínima é o vetor axiológico que sustenta a finalidade intrínseca do Direito Penal minimalista, de modo que a tutela penal se dá para proteger os bens mais importantes e necessários, considerados vitais à manutenção da vida em sociedade.</w:t>
      </w:r>
    </w:p>
    <w:p w14:paraId="604DC867" w14:textId="77777777" w:rsidR="00A56512" w:rsidRDefault="00000000">
      <w:pPr>
        <w:spacing w:after="120" w:line="360" w:lineRule="auto"/>
        <w:ind w:firstLine="850"/>
        <w:jc w:val="both"/>
        <w:rPr>
          <w:rFonts w:ascii="Arial" w:eastAsia="Arial" w:hAnsi="Arial" w:cs="Arial"/>
        </w:rPr>
      </w:pPr>
      <w:r>
        <w:rPr>
          <w:rFonts w:ascii="Arial" w:eastAsia="Arial" w:hAnsi="Arial" w:cs="Arial"/>
        </w:rPr>
        <w:t>A intervenção mínima é um princípio constitucional implícito consistente da interpretação sistemática à luz dos direitos e garantias fundamentais em observância ao fundamento da dignidade humana, impondo que, antes de qualquer atuação punitiva estatal, sejam assegurados os direitos invioláveis, notadamente a vida e a liberdade.</w:t>
      </w:r>
    </w:p>
    <w:p w14:paraId="230DFB4D" w14:textId="77777777" w:rsidR="00A56512" w:rsidRDefault="00000000">
      <w:pPr>
        <w:spacing w:after="120" w:line="360" w:lineRule="auto"/>
        <w:ind w:firstLine="850"/>
        <w:jc w:val="both"/>
        <w:rPr>
          <w:rFonts w:ascii="Arial" w:eastAsia="Arial" w:hAnsi="Arial" w:cs="Arial"/>
        </w:rPr>
      </w:pPr>
      <w:r>
        <w:rPr>
          <w:rFonts w:ascii="Arial" w:eastAsia="Arial" w:hAnsi="Arial" w:cs="Arial"/>
        </w:rPr>
        <w:t>Daí se exsurge o ideal do direito penal minimalista, em que a restrição ou privação desses direitos somente seja viável, caso seja inexorável a imposição da sanção penal.</w:t>
      </w:r>
    </w:p>
    <w:p w14:paraId="6A6E7151" w14:textId="77777777" w:rsidR="00A56512" w:rsidRDefault="00000000">
      <w:pPr>
        <w:spacing w:after="120" w:line="360" w:lineRule="auto"/>
        <w:ind w:firstLine="850"/>
        <w:jc w:val="both"/>
        <w:rPr>
          <w:rFonts w:ascii="Arial" w:eastAsia="Arial" w:hAnsi="Arial" w:cs="Arial"/>
        </w:rPr>
      </w:pPr>
      <w:r>
        <w:rPr>
          <w:rFonts w:ascii="Arial" w:eastAsia="Arial" w:hAnsi="Arial" w:cs="Arial"/>
        </w:rPr>
        <w:t>É imperioso afirmar que a conduta típica ensejadora da sanção penal é a coação irresistível que o ordenamento jurídico não é capaz de suportar a não ser submeter ao crivo do direito penal.</w:t>
      </w:r>
    </w:p>
    <w:p w14:paraId="29FE210B"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Desse modo, não havendo coação irresistível que outros ramos do direito não sejam capazes de suportar, o direito penal deverá manter seu caráter subsidiário, não intervindo naquilo que não esteja sob sua tutela.  </w:t>
      </w:r>
    </w:p>
    <w:p w14:paraId="15467D10"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Nessa senda de raciocínio, nas palavras do ilustre doutrinador Rogério Greco o princípio da intervenção mínima:</w:t>
      </w:r>
    </w:p>
    <w:p w14:paraId="4C388F07"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 xml:space="preserve">Assim, por exemplo, o primeiro princípio a ser observado deverá ser o da intervenção mínima, coração, por assim dizer, do chamado Direito Penal Mínimo. Por meio dele, o legislador somente poderá fazer a escolha dos bens considerados de maior importância, devendo observar, ainda, sua natureza subsidiária, ou seja, </w:t>
      </w:r>
      <w:r>
        <w:rPr>
          <w:rFonts w:ascii="Arial" w:eastAsia="Arial" w:hAnsi="Arial" w:cs="Arial"/>
          <w:color w:val="000000"/>
          <w:sz w:val="20"/>
          <w:szCs w:val="20"/>
        </w:rPr>
        <w:lastRenderedPageBreak/>
        <w:t xml:space="preserve">o entendimento em virtude do qual se chega à conclusão de que o Direito Penal deve ser sempre a ultima ratio, e nunca a prima ou solo ratio, uma vez que, se os demais ramos do ordenamento jurídico forem fortes o suficiente na proteção de determinado bem jurídico, é preferível que o Direito Penal não intervenha, preservando-se o status libertatis do cidadão. (GRECO, 2015, p. 4) </w:t>
      </w:r>
    </w:p>
    <w:p w14:paraId="30D3CC92" w14:textId="77777777" w:rsidR="00A56512" w:rsidRDefault="00000000">
      <w:pPr>
        <w:spacing w:after="120" w:line="360" w:lineRule="auto"/>
        <w:ind w:firstLine="850"/>
        <w:jc w:val="both"/>
        <w:rPr>
          <w:rFonts w:ascii="Arial" w:eastAsia="Arial" w:hAnsi="Arial" w:cs="Arial"/>
        </w:rPr>
      </w:pPr>
      <w:r>
        <w:rPr>
          <w:rFonts w:ascii="Arial" w:eastAsia="Arial" w:hAnsi="Arial" w:cs="Arial"/>
        </w:rPr>
        <w:t>Na mesma esteira, Guilherme de Souza Nucci alinha que o princípio da intervenção mínima:</w:t>
      </w:r>
    </w:p>
    <w:p w14:paraId="485BCC63"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Significa que o direito penal não deve interferir em demasia na vida do indivíduo, retirando-lhe autonomia e liberdade. Afinal, a lei penal não deve ser vista como a primeira opção (prima ratio) do legislador para compor conflitos existentes em sociedade, os quais, pelo atual estágio de desenvolvimento moral e ético da humanidade, sempre estarão presentes. (NUCCI, 2014, p. 66)</w:t>
      </w:r>
    </w:p>
    <w:p w14:paraId="04BCD985" w14:textId="77777777" w:rsidR="00A56512" w:rsidRDefault="00000000">
      <w:pPr>
        <w:spacing w:after="120" w:line="360" w:lineRule="auto"/>
        <w:ind w:firstLine="850"/>
        <w:jc w:val="both"/>
        <w:rPr>
          <w:rFonts w:ascii="Arial" w:eastAsia="Arial" w:hAnsi="Arial" w:cs="Arial"/>
        </w:rPr>
      </w:pPr>
      <w:r>
        <w:rPr>
          <w:rFonts w:ascii="Arial" w:eastAsia="Arial" w:hAnsi="Arial" w:cs="Arial"/>
        </w:rPr>
        <w:t>No mesmo viés, leciona Rogério Greco que:</w:t>
      </w:r>
    </w:p>
    <w:p w14:paraId="5BF177D7" w14:textId="77777777" w:rsidR="00A56512" w:rsidRDefault="00000000">
      <w:pPr>
        <w:pBdr>
          <w:top w:val="nil"/>
          <w:left w:val="nil"/>
          <w:bottom w:val="nil"/>
          <w:right w:val="nil"/>
          <w:between w:val="nil"/>
        </w:pBdr>
        <w:spacing w:after="200"/>
        <w:ind w:left="2268"/>
        <w:jc w:val="both"/>
        <w:rPr>
          <w:rFonts w:ascii="Arial" w:eastAsia="Arial" w:hAnsi="Arial" w:cs="Arial"/>
          <w:color w:val="000000"/>
          <w:sz w:val="20"/>
          <w:szCs w:val="20"/>
        </w:rPr>
      </w:pPr>
      <w:r>
        <w:rPr>
          <w:rFonts w:ascii="Arial" w:eastAsia="Arial" w:hAnsi="Arial" w:cs="Arial"/>
          <w:color w:val="000000"/>
          <w:sz w:val="20"/>
          <w:szCs w:val="20"/>
        </w:rPr>
        <w:t xml:space="preserve">Sob o enfoque do princípio da intervenção mínima, tem-se entendido que a finalidade do Direito Penal é a proteção dos bens mais importantes e necessários ao convívio em sociedade. Extrai-se daí sua natureza subsidiária, ou seja, dada a gravidade de suas penas, o Direito Penal somente poderá intervir quando se verificar que os outros ramos do ordenamento jurídico não são fortes o suficiente para a proteção de determinado bem. Ele deve ser encarado como a ultima ratio, e não como prima ratio. (GRECO, 2015, p. 61) </w:t>
      </w:r>
    </w:p>
    <w:p w14:paraId="598F599B"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À vista disso, a intervenção mínima como princípio norteador basilar da sistemática punitivista, evita a intervenção demasiada do Direito Penal nos conflitos sociais existentes, ao passo que o legislador penal passe apenas a preocupar-se em selecionar os bens jurídicos essenciais à convivência em sociedade, tais como a vida, a integridade física, o patrimônio, a liberdade sexual, a honra, entre outros. </w:t>
      </w:r>
    </w:p>
    <w:p w14:paraId="6B6D7BBA"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No que tange aos outros conflitos sociais, estes devem ser tutelados, em regra, pelos outros ramos do ordenamento jurídico, competentes para a composição e o desdobramento das lides, constituindo, assim, instrumento de tutela </w:t>
      </w:r>
      <w:r>
        <w:rPr>
          <w:rFonts w:ascii="Arial" w:eastAsia="Arial" w:hAnsi="Arial" w:cs="Arial"/>
          <w:i/>
          <w:iCs/>
        </w:rPr>
        <w:t>prima ratio</w:t>
      </w:r>
      <w:r>
        <w:rPr>
          <w:rFonts w:ascii="Arial" w:eastAsia="Arial" w:hAnsi="Arial" w:cs="Arial"/>
        </w:rPr>
        <w:t>.</w:t>
      </w:r>
    </w:p>
    <w:p w14:paraId="62308867" w14:textId="77777777" w:rsidR="00A56512" w:rsidRDefault="00000000">
      <w:pPr>
        <w:spacing w:after="120" w:line="360" w:lineRule="auto"/>
        <w:ind w:firstLine="850"/>
        <w:jc w:val="both"/>
        <w:rPr>
          <w:rFonts w:ascii="Arial" w:eastAsia="Arial" w:hAnsi="Arial" w:cs="Arial"/>
        </w:rPr>
      </w:pPr>
      <w:r>
        <w:rPr>
          <w:rFonts w:ascii="Arial" w:eastAsia="Arial" w:hAnsi="Arial" w:cs="Arial"/>
        </w:rPr>
        <w:t>Portanto, é forçoso reconhecer que tal como em correlato com o princípio da insignificância, o que se objetiva é estabelecer limites ao poder punitivo do Estado, assegurando égide na primazia dos valores e direitos humanos fundamentais estabelecidos e estrita intervenção do Direito Penal na composição dos conflitos existentes.</w:t>
      </w:r>
    </w:p>
    <w:p w14:paraId="7AEDBEBE" w14:textId="77777777" w:rsidR="00A56512" w:rsidRDefault="00000000">
      <w:pPr>
        <w:spacing w:after="120" w:line="360" w:lineRule="auto"/>
        <w:jc w:val="both"/>
        <w:rPr>
          <w:rFonts w:ascii="Arial" w:eastAsia="Arial" w:hAnsi="Arial" w:cs="Arial"/>
        </w:rPr>
      </w:pPr>
      <w:r>
        <w:rPr>
          <w:rFonts w:ascii="Arial" w:eastAsia="Arial" w:hAnsi="Arial" w:cs="Arial"/>
        </w:rPr>
        <w:t>2.3 PRINCÍPIO DA PROPORCIONALIDADE</w:t>
      </w:r>
    </w:p>
    <w:p w14:paraId="0DBB6B60" w14:textId="77777777" w:rsidR="00A56512" w:rsidRDefault="00000000">
      <w:pPr>
        <w:spacing w:after="120" w:line="360" w:lineRule="auto"/>
        <w:ind w:firstLine="850"/>
        <w:jc w:val="both"/>
        <w:rPr>
          <w:rFonts w:ascii="Arial" w:eastAsia="Arial" w:hAnsi="Arial" w:cs="Arial"/>
        </w:rPr>
      </w:pPr>
      <w:r>
        <w:rPr>
          <w:rFonts w:ascii="Arial" w:eastAsia="Arial" w:hAnsi="Arial" w:cs="Arial"/>
        </w:rPr>
        <w:t>A proporcionalidade é um princípio constitucionalmente implícito norteador do Direito Penal, posto que sua emanação se dá corolário ao exame da individualização da pena.</w:t>
      </w:r>
    </w:p>
    <w:p w14:paraId="6A12E829" w14:textId="77777777" w:rsidR="00A56512" w:rsidRDefault="00000000">
      <w:pPr>
        <w:spacing w:after="120" w:line="360" w:lineRule="auto"/>
        <w:ind w:firstLine="850"/>
        <w:jc w:val="both"/>
        <w:rPr>
          <w:rFonts w:ascii="Arial" w:eastAsia="Arial" w:hAnsi="Arial" w:cs="Arial"/>
        </w:rPr>
      </w:pPr>
      <w:r>
        <w:rPr>
          <w:rFonts w:ascii="Arial" w:eastAsia="Arial" w:hAnsi="Arial" w:cs="Arial"/>
        </w:rPr>
        <w:t>No tocante à individualização da pena, temos seu assentamento constitucional no art. 5º, XLVI, CRFB/88, ao passo que são esmiuçados as modalidades de penas a serem reguladas por lei.</w:t>
      </w:r>
    </w:p>
    <w:p w14:paraId="72616620" w14:textId="77777777" w:rsidR="00A56512" w:rsidRDefault="00000000">
      <w:pPr>
        <w:spacing w:after="120" w:line="360" w:lineRule="auto"/>
        <w:ind w:firstLine="850"/>
        <w:jc w:val="both"/>
        <w:rPr>
          <w:rFonts w:ascii="Arial" w:eastAsia="Arial" w:hAnsi="Arial" w:cs="Arial"/>
        </w:rPr>
      </w:pPr>
      <w:r>
        <w:rPr>
          <w:rFonts w:ascii="Arial" w:eastAsia="Arial" w:hAnsi="Arial" w:cs="Arial"/>
        </w:rPr>
        <w:lastRenderedPageBreak/>
        <w:t>Não obstante, ao estabelecer as modalidades de pena, a ordem constitucional consagrou a concepção de proporcionalidade, porquanto as penas elencadas são gradativas, isto é, são ajustadas de acordo com a natureza e a gravidade da infração.</w:t>
      </w:r>
    </w:p>
    <w:p w14:paraId="1D97D5C9" w14:textId="77777777" w:rsidR="00A56512" w:rsidRDefault="00000000">
      <w:pPr>
        <w:spacing w:after="120" w:line="360" w:lineRule="auto"/>
        <w:ind w:firstLine="850"/>
        <w:jc w:val="both"/>
        <w:rPr>
          <w:rFonts w:ascii="Arial" w:eastAsia="Arial" w:hAnsi="Arial" w:cs="Arial"/>
        </w:rPr>
      </w:pPr>
      <w:r>
        <w:rPr>
          <w:rFonts w:ascii="Arial" w:eastAsia="Arial" w:hAnsi="Arial" w:cs="Arial"/>
        </w:rPr>
        <w:t>Em confluência com o exposto, Guilherme de Souza Nucci leciona que a proporcionalidade (2014, p. 69) “Significa que as penas devem ser harmônicas à gravidade da infração penal cometida, não tendo cabimento o exagero, nem tampouco a extrema liberalidade na cominação das penas nos tipos penais incriminadores.”</w:t>
      </w:r>
    </w:p>
    <w:p w14:paraId="64F132BE" w14:textId="77777777" w:rsidR="00A56512" w:rsidRDefault="00000000">
      <w:pPr>
        <w:spacing w:after="120" w:line="360" w:lineRule="auto"/>
        <w:ind w:firstLine="850"/>
        <w:jc w:val="both"/>
        <w:rPr>
          <w:rFonts w:ascii="Arial" w:eastAsia="Arial" w:hAnsi="Arial" w:cs="Arial"/>
        </w:rPr>
      </w:pPr>
      <w:r>
        <w:rPr>
          <w:rFonts w:ascii="Arial" w:eastAsia="Arial" w:hAnsi="Arial" w:cs="Arial"/>
        </w:rPr>
        <w:t>O princípio da proporcionalidade é, portanto, a ponderação da sanção penal frente à gravidade do delito, de modo que a pena seja proporcional ao mal cometido pelo agente malfeitor.</w:t>
      </w:r>
    </w:p>
    <w:p w14:paraId="1434A21B" w14:textId="77777777" w:rsidR="00A56512" w:rsidRDefault="00000000">
      <w:pPr>
        <w:spacing w:after="120" w:line="360" w:lineRule="auto"/>
        <w:ind w:firstLine="850"/>
        <w:jc w:val="both"/>
        <w:rPr>
          <w:rFonts w:ascii="Arial" w:eastAsia="Arial" w:hAnsi="Arial" w:cs="Arial"/>
        </w:rPr>
      </w:pPr>
      <w:r>
        <w:rPr>
          <w:rFonts w:ascii="Arial" w:eastAsia="Arial" w:hAnsi="Arial" w:cs="Arial"/>
        </w:rPr>
        <w:t>A proporcionalidade guarda relação com a razoabilidade, ao passo que a pena aplicada não deve ser desagregada da realidade fática baseada em valores fundamentais da sociedade.</w:t>
      </w:r>
    </w:p>
    <w:p w14:paraId="423B9BAF" w14:textId="77777777" w:rsidR="00A56512" w:rsidRDefault="00000000">
      <w:pPr>
        <w:spacing w:after="120" w:line="360" w:lineRule="auto"/>
        <w:ind w:firstLine="850"/>
        <w:jc w:val="both"/>
        <w:rPr>
          <w:rFonts w:ascii="Arial" w:eastAsia="Arial" w:hAnsi="Arial" w:cs="Arial"/>
        </w:rPr>
      </w:pPr>
      <w:r>
        <w:rPr>
          <w:rFonts w:ascii="Arial" w:eastAsia="Arial" w:hAnsi="Arial" w:cs="Arial"/>
        </w:rPr>
        <w:t>Ilustrando, digne-se em imaginar duas situações, uma em que um indivíduo incorre na conduta descrita no tipo penal do art. 121 do Código Penal (homicídio) sendo a este aplicada a pena de prestação pecuniária. Na segunda hipótese, certo outro indivíduo incorre na conduta do art. 150 do mesmo diploma legal (violação de domicílio) e seja a ele aplicada a pena de reclusão com regime inicial fechado.</w:t>
      </w:r>
    </w:p>
    <w:p w14:paraId="03D0530F" w14:textId="77777777" w:rsidR="00A56512" w:rsidRDefault="00000000">
      <w:pPr>
        <w:spacing w:after="120" w:line="360" w:lineRule="auto"/>
        <w:ind w:firstLine="850"/>
        <w:jc w:val="both"/>
        <w:rPr>
          <w:rFonts w:ascii="Arial" w:eastAsia="Arial" w:hAnsi="Arial" w:cs="Arial"/>
        </w:rPr>
      </w:pPr>
      <w:r>
        <w:rPr>
          <w:rFonts w:ascii="Arial" w:eastAsia="Arial" w:hAnsi="Arial" w:cs="Arial"/>
        </w:rPr>
        <w:t>Da análise detida das situações hipotéticas descritas, depreende-se que as medidas punitivas adotadas não guardam relação alguma com a concepção de proporcionalidade, porquanto na medida em que a primeira sanção aplicada se revela demasiada branda frente ao dano causado aos valores fundamentais da sociedade, a segunda se mostra excessiva ao passo que uma infração de natureza leve cominou na supressão de um  bem jurídico fundamental de primeira geração, a liberdade.</w:t>
      </w:r>
    </w:p>
    <w:p w14:paraId="6A0F08B0"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Por essa razão, a sanção penal a ser adotada deve resguardar uma relação de tríplice dimensão de adequação, necessidade e proporcionalidade. </w:t>
      </w:r>
    </w:p>
    <w:p w14:paraId="5DCD4883"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Nesse sentido, a ilustre professora doutora Laura Zúñiga Rodriguez elucida que:</w:t>
      </w:r>
    </w:p>
    <w:p w14:paraId="2763BE1B" w14:textId="77777777" w:rsidR="00A56512" w:rsidRDefault="00000000">
      <w:pPr>
        <w:pBdr>
          <w:top w:val="nil"/>
          <w:left w:val="nil"/>
          <w:bottom w:val="nil"/>
          <w:right w:val="nil"/>
          <w:between w:val="nil"/>
        </w:pBdr>
        <w:spacing w:after="200"/>
        <w:ind w:left="2268"/>
        <w:jc w:val="both"/>
        <w:rPr>
          <w:rFonts w:ascii="Arial" w:eastAsia="Arial" w:hAnsi="Arial" w:cs="Arial"/>
          <w:color w:val="000000"/>
        </w:rPr>
      </w:pPr>
      <w:r>
        <w:rPr>
          <w:rFonts w:ascii="Arial" w:eastAsia="Arial" w:hAnsi="Arial" w:cs="Arial"/>
          <w:color w:val="000000"/>
          <w:sz w:val="20"/>
          <w:szCs w:val="20"/>
        </w:rPr>
        <w:t>A intervenção restritiva dos poderes públicos deve ser necessária, adequada e proporcionada. Adequação ou idoneidade significa que a medida deve ser apta para alcançar o fim perseguido. Necessidade, denota que não se podia optar por outra medida igualmente eficaz, que não gravasse em menor medida os direitos afetados. E, proporcionalidade estrita significa que o sacrifício que se impõe ao direito correspondente deve guardar uma razoável proporção ou equilíbrio com os bens jurídicos que se pretende salvaguardar. (Rodriguez, 2001, apud GRECO, 2015, p. 30)</w:t>
      </w:r>
    </w:p>
    <w:p w14:paraId="3880D698" w14:textId="77777777" w:rsidR="00A56512" w:rsidRDefault="00000000">
      <w:pPr>
        <w:spacing w:after="120" w:line="360" w:lineRule="auto"/>
        <w:ind w:firstLine="850"/>
        <w:jc w:val="both"/>
        <w:rPr>
          <w:rFonts w:ascii="Arial" w:eastAsia="Arial" w:hAnsi="Arial" w:cs="Arial"/>
        </w:rPr>
      </w:pPr>
      <w:r>
        <w:rPr>
          <w:rFonts w:ascii="Arial" w:eastAsia="Arial" w:hAnsi="Arial" w:cs="Arial"/>
        </w:rPr>
        <w:lastRenderedPageBreak/>
        <w:t>Assim, a pena deve guardar proporção direta com o mal infligido ao corpo social,  estabelecendo-se entre ambos uma relação de grandezas diretamente proporcionais: quanto maior a gravidade do delito, mais severa deverá ser a sanção; de modo inverso, quanto menor a ofensividade da conduta, mais branda será a pena aplicada.</w:t>
      </w:r>
    </w:p>
    <w:p w14:paraId="41B55551" w14:textId="77777777" w:rsidR="00A56512" w:rsidRDefault="00000000">
      <w:pPr>
        <w:spacing w:after="120" w:line="360" w:lineRule="auto"/>
        <w:ind w:firstLine="850"/>
        <w:jc w:val="both"/>
        <w:rPr>
          <w:rFonts w:ascii="Arial" w:eastAsia="Arial" w:hAnsi="Arial" w:cs="Arial"/>
        </w:rPr>
      </w:pPr>
      <w:r>
        <w:rPr>
          <w:rFonts w:ascii="Arial" w:eastAsia="Arial" w:hAnsi="Arial" w:cs="Arial"/>
        </w:rPr>
        <w:t>Ademais, a observância da proporcionalidade ocorre em dois momentos distintos, no primeiro momento pelo legislador , em observância ao princípio da individualização da pena, elabora os tipos penais abstratos com base na gravidade do mal praticado pelo agente infrator. Na segunda hipótese, a proporcionalidade é valorada pelos juízes em análise detida das circunstâncias do caso concreto, de tal modo que seja aplicada a pena proporcional à gravidade do delito cometido especificamente pelo malfeitor.</w:t>
      </w:r>
    </w:p>
    <w:p w14:paraId="6496E4EE"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Nesse segundo momento é que a proporcionalidade guarda relação com a insignificância, cabendo ao julgador, à luz das circunstâncias concretas, reconhecer que, diante da ausência de tipicidade material da conduta, o prosseguimento da persecução penal mostra-se incompatível com a proporcionalidade que deve orientar o exercício da pretensão punitiva estatal.</w:t>
      </w:r>
    </w:p>
    <w:p w14:paraId="0BD97CDE" w14:textId="77777777" w:rsidR="00A56512" w:rsidRDefault="00000000">
      <w:pPr>
        <w:rPr>
          <w:rFonts w:ascii="Arial" w:eastAsia="Arial" w:hAnsi="Arial" w:cs="Arial"/>
        </w:rPr>
      </w:pPr>
      <w:r>
        <w:br w:type="page"/>
      </w:r>
    </w:p>
    <w:p w14:paraId="51757D10" w14:textId="77777777" w:rsid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234BB3E5" w14:textId="77777777" w:rsid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2A410CF1" w14:textId="77777777" w:rsidR="00EC523F" w:rsidRDefault="00EC523F" w:rsidP="00EC523F">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7665D132" w14:textId="77777777" w:rsidR="00A56512" w:rsidRDefault="00A56512">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rPr>
      </w:pPr>
    </w:p>
    <w:p w14:paraId="3B175231" w14:textId="77777777" w:rsidR="00A56512"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jc w:val="center"/>
        <w:rPr>
          <w:rFonts w:ascii="Arial" w:eastAsia="Arial" w:hAnsi="Arial" w:cs="Arial"/>
          <w:b/>
          <w:bCs/>
        </w:rPr>
      </w:pPr>
      <w:r>
        <w:rPr>
          <w:rFonts w:ascii="Arial" w:eastAsia="Arial" w:hAnsi="Arial" w:cs="Arial"/>
          <w:b/>
          <w:bCs/>
        </w:rPr>
        <w:t>CAPÍTULO III</w:t>
      </w:r>
    </w:p>
    <w:p w14:paraId="08B8F25A" w14:textId="77777777" w:rsidR="00A56512"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APLICAÇÃO DA INSIGNIFICÂNCIA E ANÁLISE DO DUALISMO CENTRAL DO TEMA</w:t>
      </w:r>
    </w:p>
    <w:p w14:paraId="3A362449" w14:textId="77777777" w:rsidR="00A56512" w:rsidRDefault="00A56512">
      <w:pPr>
        <w:spacing w:after="120" w:line="360" w:lineRule="auto"/>
        <w:jc w:val="center"/>
        <w:rPr>
          <w:rFonts w:ascii="Arial" w:eastAsia="Arial" w:hAnsi="Arial" w:cs="Arial"/>
          <w:b/>
          <w:bCs/>
        </w:rPr>
      </w:pPr>
    </w:p>
    <w:p w14:paraId="4A1AEA32" w14:textId="77777777" w:rsidR="00A56512" w:rsidRDefault="00000000">
      <w:pPr>
        <w:spacing w:after="120" w:line="360" w:lineRule="auto"/>
        <w:jc w:val="both"/>
        <w:rPr>
          <w:rFonts w:ascii="Arial" w:eastAsia="Arial" w:hAnsi="Arial" w:cs="Arial"/>
        </w:rPr>
      </w:pPr>
      <w:r>
        <w:rPr>
          <w:rFonts w:ascii="Arial" w:eastAsia="Arial" w:hAnsi="Arial" w:cs="Arial"/>
        </w:rPr>
        <w:t>3.1 REQUISITOS</w:t>
      </w:r>
    </w:p>
    <w:p w14:paraId="05976CAA" w14:textId="77777777" w:rsidR="00A56512" w:rsidRDefault="00000000">
      <w:pPr>
        <w:spacing w:after="120" w:line="360" w:lineRule="auto"/>
        <w:ind w:firstLine="850"/>
        <w:jc w:val="both"/>
        <w:rPr>
          <w:rFonts w:ascii="Arial" w:eastAsia="Arial" w:hAnsi="Arial" w:cs="Arial"/>
        </w:rPr>
      </w:pPr>
      <w:r>
        <w:rPr>
          <w:rFonts w:ascii="Arial" w:eastAsia="Arial" w:hAnsi="Arial" w:cs="Arial"/>
        </w:rPr>
        <w:t>Em confluência com o discorrido em linhas pretéritas desse trabalho, o princípio da insignificância exsurge da concepção dogmática que sustenta o ideal de um Estado, como titular do poder soberano, não deve-se ocupar com coisas mínimas “</w:t>
      </w:r>
      <w:r>
        <w:rPr>
          <w:rFonts w:ascii="Arial" w:eastAsia="Arial" w:hAnsi="Arial" w:cs="Arial"/>
          <w:i/>
          <w:iCs/>
        </w:rPr>
        <w:t>minimis non curat praetor” (“</w:t>
      </w:r>
      <w:r>
        <w:rPr>
          <w:rFonts w:ascii="Arial" w:eastAsia="Arial" w:hAnsi="Arial" w:cs="Arial"/>
        </w:rPr>
        <w:t>o pretor não cuida das coisas mínimas”).</w:t>
      </w:r>
    </w:p>
    <w:p w14:paraId="1D3069D6" w14:textId="77777777" w:rsidR="00A56512" w:rsidRDefault="00000000">
      <w:pPr>
        <w:spacing w:after="120" w:line="360" w:lineRule="auto"/>
        <w:ind w:firstLine="850"/>
        <w:jc w:val="both"/>
        <w:rPr>
          <w:rFonts w:ascii="Arial" w:eastAsia="Arial" w:hAnsi="Arial" w:cs="Arial"/>
        </w:rPr>
      </w:pPr>
      <w:r>
        <w:rPr>
          <w:rFonts w:ascii="Arial" w:eastAsia="Arial" w:hAnsi="Arial" w:cs="Arial"/>
        </w:rPr>
        <w:t>É forçoso afirmar que, partindo da interpretação sistemática dos postulados da fragmentariedade e da intervenção mínima, em corolário surge a concepção da insignificância, cujo advento pode-se atribuir essencialmente a interpretação doutrinária e pretoriana, tendo em vista a inexistência de direito positivo assentando sua aplicação.</w:t>
      </w:r>
    </w:p>
    <w:p w14:paraId="6558F36F" w14:textId="3A9D5E52" w:rsidR="00A56512" w:rsidRDefault="00000000">
      <w:pPr>
        <w:spacing w:after="120" w:line="360" w:lineRule="auto"/>
        <w:ind w:firstLine="850"/>
        <w:jc w:val="both"/>
        <w:rPr>
          <w:rFonts w:ascii="Arial" w:eastAsia="Arial" w:hAnsi="Arial" w:cs="Arial"/>
        </w:rPr>
      </w:pPr>
      <w:r>
        <w:rPr>
          <w:rFonts w:ascii="Arial" w:eastAsia="Arial" w:hAnsi="Arial" w:cs="Arial"/>
        </w:rPr>
        <w:t>À par disso, o Supremo Tribunal Federal no julgamento do HC 84.412-0/SP, em um marco histórico da sedimentação do princípio da insignificância, definiu os vetores da sua aplicação, senão vejamos:</w:t>
      </w:r>
    </w:p>
    <w:p w14:paraId="207FC81C" w14:textId="174920F3" w:rsidR="00A56512" w:rsidRDefault="00000000">
      <w:pPr>
        <w:spacing w:after="200"/>
        <w:ind w:left="2268"/>
        <w:jc w:val="both"/>
        <w:rPr>
          <w:rFonts w:ascii="Arial" w:eastAsia="Arial" w:hAnsi="Arial" w:cs="Arial"/>
          <w:sz w:val="20"/>
          <w:szCs w:val="20"/>
        </w:rPr>
      </w:pPr>
      <w:r>
        <w:rPr>
          <w:rFonts w:ascii="Arial" w:eastAsia="Arial" w:hAnsi="Arial" w:cs="Arial"/>
          <w:sz w:val="20"/>
          <w:szCs w:val="20"/>
        </w:rPr>
        <w:t>O princípio da insignificância - que deve ser analisado em conexão com os postulados da fragmentariedade e da intervenção mínima do Estado em matéria penal - tem o sentido de excluir ou de afastar a própria tipicidade penal, examinada na perspectiva de seu caráter material. Doutrina. Tal postulado - que considera necessária, na aferição do relevo material da tipicidade penal, a presença de certos vetores, tais como (a) a mínima ofensividade da conduta do agente, (b) a nenhuma periculosidade social da ação, (c) o reduzidíssimo grau de reprovabilidade do comportamento e (d) a inexpressividade da lesão jurídica provocada. apoiou-se, em seu processo de formulação teórica, no reconhecimento de que o caráter subsidiário do sistema penal reclama e impõe, em função dos próprios objetivos por ele visados, a intervenção mínima do Poder Público.</w:t>
      </w:r>
      <w:r w:rsidR="001D10A5">
        <w:rPr>
          <w:rFonts w:ascii="Arial" w:eastAsia="Arial" w:hAnsi="Arial" w:cs="Arial"/>
          <w:sz w:val="20"/>
          <w:szCs w:val="20"/>
        </w:rPr>
        <w:t xml:space="preserve"> </w:t>
      </w:r>
      <w:r>
        <w:rPr>
          <w:rFonts w:ascii="Arial" w:eastAsia="Arial" w:hAnsi="Arial" w:cs="Arial"/>
          <w:sz w:val="20"/>
          <w:szCs w:val="20"/>
        </w:rPr>
        <w:t>Grifos meus.</w:t>
      </w:r>
      <w:r w:rsidR="00BE273E">
        <w:rPr>
          <w:rStyle w:val="Refdenotaderodap"/>
          <w:rFonts w:ascii="Arial" w:eastAsia="Arial" w:hAnsi="Arial" w:cs="Arial"/>
          <w:sz w:val="20"/>
          <w:szCs w:val="20"/>
        </w:rPr>
        <w:footnoteReference w:id="4"/>
      </w:r>
    </w:p>
    <w:p w14:paraId="612CAB64" w14:textId="6E02E1E5" w:rsidR="00A56512" w:rsidRDefault="00000000">
      <w:pPr>
        <w:spacing w:after="120" w:line="360" w:lineRule="auto"/>
        <w:ind w:firstLine="850"/>
        <w:jc w:val="both"/>
        <w:rPr>
          <w:rFonts w:ascii="Arial" w:eastAsia="Arial" w:hAnsi="Arial" w:cs="Arial"/>
        </w:rPr>
      </w:pPr>
      <w:r>
        <w:rPr>
          <w:rFonts w:ascii="Arial" w:eastAsia="Arial" w:hAnsi="Arial" w:cs="Arial"/>
        </w:rPr>
        <w:t xml:space="preserve">No que tange ao primeiro requisito, temos que a mínima ofensividade da conduta do agente consiste que a conduta praticada deve ter um impacto quase nulo no bem jurídico protegido, isto é, inábil a provocar ofensa ao bem jurídico tutelado. </w:t>
      </w:r>
    </w:p>
    <w:p w14:paraId="09B817A3" w14:textId="75933488" w:rsidR="00A56512" w:rsidRDefault="00000000">
      <w:pPr>
        <w:spacing w:after="120" w:line="360" w:lineRule="auto"/>
        <w:ind w:firstLine="850"/>
        <w:jc w:val="both"/>
        <w:rPr>
          <w:rFonts w:ascii="Arial" w:eastAsia="Arial" w:hAnsi="Arial" w:cs="Arial"/>
        </w:rPr>
      </w:pPr>
      <w:r>
        <w:rPr>
          <w:rFonts w:ascii="Arial" w:eastAsia="Arial" w:hAnsi="Arial" w:cs="Arial"/>
        </w:rPr>
        <w:lastRenderedPageBreak/>
        <w:t>No tocante ao segundo requisito, trata-se da ausência de periculosidade social da ação que compreende-se como ato que não pode gerar riscos relevantes ou medo à sociedade ou à vítima.</w:t>
      </w:r>
    </w:p>
    <w:p w14:paraId="766F88CD" w14:textId="77777777" w:rsidR="00A56512" w:rsidRDefault="00000000">
      <w:pPr>
        <w:spacing w:after="120" w:line="360" w:lineRule="auto"/>
        <w:ind w:firstLine="850"/>
        <w:jc w:val="both"/>
        <w:rPr>
          <w:rFonts w:ascii="Arial" w:eastAsia="Arial" w:hAnsi="Arial" w:cs="Arial"/>
        </w:rPr>
      </w:pPr>
      <w:r>
        <w:rPr>
          <w:rFonts w:ascii="Arial" w:eastAsia="Arial" w:hAnsi="Arial" w:cs="Arial"/>
        </w:rPr>
        <w:t>No que se refere ao terceiro requisito, verifica-se o reduzidíssimo grau de reprovabilidade do comportamento, isto é, a conduta não pode ofender valores fundamentais consolidados da sociedade, sendo incapaz de ocasionar repugnância e mal infligido à moral do corpo social.</w:t>
      </w:r>
    </w:p>
    <w:p w14:paraId="2FE01058" w14:textId="77777777" w:rsidR="00A56512" w:rsidRDefault="00000000">
      <w:pPr>
        <w:spacing w:after="120" w:line="360" w:lineRule="auto"/>
        <w:ind w:firstLine="850"/>
        <w:jc w:val="both"/>
        <w:rPr>
          <w:rFonts w:ascii="Arial" w:eastAsia="Arial" w:hAnsi="Arial" w:cs="Arial"/>
        </w:rPr>
      </w:pPr>
      <w:r>
        <w:rPr>
          <w:rFonts w:ascii="Arial" w:eastAsia="Arial" w:hAnsi="Arial" w:cs="Arial"/>
        </w:rPr>
        <w:t>Por fim o quarto e último requisito, temos a inexpressividade da lesão jurídica provocada que estabelece que o dano causado ao bem jurídico deve ser mínimo, usando como parâmetro a fração de 10% do salário mínimo.</w:t>
      </w:r>
    </w:p>
    <w:p w14:paraId="41DFBACA" w14:textId="77777777" w:rsidR="00A56512" w:rsidRDefault="00000000">
      <w:pPr>
        <w:spacing w:after="120" w:line="360" w:lineRule="auto"/>
        <w:jc w:val="both"/>
        <w:rPr>
          <w:rFonts w:ascii="Arial" w:eastAsia="Arial" w:hAnsi="Arial" w:cs="Arial"/>
        </w:rPr>
      </w:pPr>
      <w:r>
        <w:rPr>
          <w:rFonts w:ascii="Arial" w:eastAsia="Arial" w:hAnsi="Arial" w:cs="Arial"/>
        </w:rPr>
        <w:t>3.2 CORRELAÇÃO COM O PRINCÍPIO DA DIGNIDADE HUMANA</w:t>
      </w:r>
    </w:p>
    <w:p w14:paraId="3F0DA16A" w14:textId="77777777" w:rsidR="00A56512" w:rsidRDefault="00000000">
      <w:pPr>
        <w:spacing w:after="120" w:line="360" w:lineRule="auto"/>
        <w:ind w:firstLine="850"/>
        <w:jc w:val="both"/>
        <w:rPr>
          <w:rFonts w:ascii="Arial" w:eastAsia="Arial" w:hAnsi="Arial" w:cs="Arial"/>
        </w:rPr>
      </w:pPr>
      <w:r>
        <w:rPr>
          <w:rFonts w:ascii="Arial" w:eastAsia="Arial" w:hAnsi="Arial" w:cs="Arial"/>
        </w:rPr>
        <w:t>O ponto principal desse estudo se assenta na estrita relação entre o princípio da dignidade humana e o princípio da insignificância, na medida em que aquele rege o Estado Democrático de Direito, irradiando em todas as camadas da sociedade.</w:t>
      </w:r>
    </w:p>
    <w:p w14:paraId="08F624AC"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Nessa senda de raciocínio, o STF tem entendido, reiteradamente, que a dignidade da pessoa humana constitui:</w:t>
      </w:r>
    </w:p>
    <w:p w14:paraId="65E980B2" w14:textId="2F6D3CDA" w:rsidR="00A56512" w:rsidRDefault="00000000">
      <w:pPr>
        <w:spacing w:after="200"/>
        <w:ind w:left="2268"/>
        <w:jc w:val="both"/>
        <w:rPr>
          <w:rFonts w:ascii="Arial" w:eastAsia="Arial" w:hAnsi="Arial" w:cs="Arial"/>
          <w:sz w:val="20"/>
          <w:szCs w:val="20"/>
        </w:rPr>
      </w:pPr>
      <w:r>
        <w:rPr>
          <w:rFonts w:ascii="Arial" w:eastAsia="Arial" w:hAnsi="Arial" w:cs="Arial"/>
          <w:sz w:val="20"/>
          <w:szCs w:val="20"/>
        </w:rPr>
        <w:t xml:space="preserve">verdadeiro valor-fonte que conforma e inspira todo o ordenamento constitucional vigente em nosso País e que traduz, de modo expressivo, um dos fundamentos em que se assenta, entre nós, a ordem republicana e democrática consagrada pelo sistema de direito constitucional positivo. </w:t>
      </w:r>
      <w:r w:rsidR="00BE273E">
        <w:rPr>
          <w:rStyle w:val="Refdenotaderodap"/>
          <w:rFonts w:ascii="Arial" w:eastAsia="Arial" w:hAnsi="Arial" w:cs="Arial"/>
          <w:sz w:val="20"/>
          <w:szCs w:val="20"/>
        </w:rPr>
        <w:footnoteReference w:id="5"/>
      </w:r>
    </w:p>
    <w:p w14:paraId="49FB1EEE" w14:textId="77777777" w:rsidR="00A56512" w:rsidRDefault="00000000">
      <w:pPr>
        <w:spacing w:after="120" w:line="360" w:lineRule="auto"/>
        <w:ind w:firstLine="850"/>
        <w:jc w:val="both"/>
        <w:rPr>
          <w:rFonts w:ascii="Arial" w:eastAsia="Arial" w:hAnsi="Arial" w:cs="Arial"/>
        </w:rPr>
      </w:pPr>
      <w:r>
        <w:rPr>
          <w:rFonts w:ascii="Arial" w:eastAsia="Arial" w:hAnsi="Arial" w:cs="Arial"/>
        </w:rPr>
        <w:t>Observa-se que a dignidade da pessoa humana tem por fundamento garantir o mínimo existencial digno a todas as pessoas humanas, daí extrai-se que a manutenção da condição humana é o propósito soberano e supremo que alicerça a existência da sociedade.</w:t>
      </w:r>
    </w:p>
    <w:p w14:paraId="41DE6A60"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A par disso, é congruente que todas as relações sociais existentes, em especial a relação entre o malfeitor e o Direito Penal, exteriorize harmonia ao  princípio maior. </w:t>
      </w:r>
    </w:p>
    <w:p w14:paraId="0CA3BD85" w14:textId="77777777" w:rsidR="00A56512" w:rsidRDefault="00000000">
      <w:pPr>
        <w:spacing w:after="120" w:line="360" w:lineRule="auto"/>
        <w:ind w:firstLine="850"/>
        <w:jc w:val="both"/>
        <w:rPr>
          <w:rFonts w:ascii="Arial" w:eastAsia="Arial" w:hAnsi="Arial" w:cs="Arial"/>
        </w:rPr>
      </w:pPr>
      <w:r>
        <w:rPr>
          <w:rFonts w:ascii="Arial" w:eastAsia="Arial" w:hAnsi="Arial" w:cs="Arial"/>
        </w:rPr>
        <w:t>Desse fato exsurge o princípio da insignificância para robustecer a sistemática garantidora, assegurando sobretudo a preponderância da manutenção da condição humana concreta sobre a mera abstração formal dos tipos penais</w:t>
      </w:r>
    </w:p>
    <w:p w14:paraId="00AA463A" w14:textId="77777777" w:rsidR="00A56512" w:rsidRDefault="00000000">
      <w:pPr>
        <w:spacing w:after="120" w:line="360" w:lineRule="auto"/>
        <w:ind w:firstLine="850"/>
        <w:jc w:val="both"/>
        <w:rPr>
          <w:rFonts w:ascii="Arial" w:eastAsia="Arial" w:hAnsi="Arial" w:cs="Arial"/>
        </w:rPr>
      </w:pPr>
      <w:r>
        <w:rPr>
          <w:rFonts w:ascii="Arial" w:eastAsia="Arial" w:hAnsi="Arial" w:cs="Arial"/>
        </w:rPr>
        <w:t>A título de destrinchar essa sistemática, tenhamos por base a prática de um furto de coisa de valor ínfimo, em que o infrator subtrai, para si ou para outrem, um pacote de biscoito, sem o emprego de violência ou grave ameaça.</w:t>
      </w:r>
    </w:p>
    <w:p w14:paraId="1F54C74F" w14:textId="77777777" w:rsidR="00A56512" w:rsidRDefault="00000000">
      <w:pPr>
        <w:spacing w:after="120" w:line="360" w:lineRule="auto"/>
        <w:ind w:firstLine="850"/>
        <w:jc w:val="both"/>
        <w:rPr>
          <w:rFonts w:ascii="Arial" w:eastAsia="Arial" w:hAnsi="Arial" w:cs="Arial"/>
        </w:rPr>
      </w:pPr>
      <w:r>
        <w:rPr>
          <w:rFonts w:ascii="Arial" w:eastAsia="Arial" w:hAnsi="Arial" w:cs="Arial"/>
        </w:rPr>
        <w:lastRenderedPageBreak/>
        <w:t xml:space="preserve">Da lógica abstrata das normas, a sanção se mostra imperativa, uma vez constatada a tipicidade formal, consistente na subsunção da conduta ao tipo penal incriminador previsto no art. 155 do Código Penal. </w:t>
      </w:r>
    </w:p>
    <w:p w14:paraId="126EE9EF" w14:textId="77777777" w:rsidR="00A56512" w:rsidRDefault="00000000">
      <w:pPr>
        <w:spacing w:after="120" w:line="360" w:lineRule="auto"/>
        <w:ind w:firstLine="850"/>
        <w:jc w:val="both"/>
        <w:rPr>
          <w:rFonts w:ascii="Arial" w:eastAsia="Arial" w:hAnsi="Arial" w:cs="Arial"/>
        </w:rPr>
      </w:pPr>
      <w:r>
        <w:rPr>
          <w:rFonts w:ascii="Arial" w:eastAsia="Arial" w:hAnsi="Arial" w:cs="Arial"/>
        </w:rPr>
        <w:t>Entretanto, mesmo em se tratando de hipótese meramente ilustrativa, depreende-se que, à luz da sistemática garantista calcada no princípio da dignidade da pessoa humana, é inidôneo suprimir a condição humana do indivíduo tendo por base uma conduta que se revela insignificante aos olhos do Direito Penal.</w:t>
      </w:r>
    </w:p>
    <w:p w14:paraId="441138B3"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Nesse caso, o </w:t>
      </w:r>
      <w:r>
        <w:rPr>
          <w:rFonts w:ascii="Arial" w:eastAsia="Arial" w:hAnsi="Arial" w:cs="Arial"/>
          <w:i/>
          <w:iCs/>
        </w:rPr>
        <w:t>status libertatis</w:t>
      </w:r>
      <w:r>
        <w:rPr>
          <w:rFonts w:ascii="Arial" w:eastAsia="Arial" w:hAnsi="Arial" w:cs="Arial"/>
        </w:rPr>
        <w:t xml:space="preserve"> deve prevalecer, porquanto sob o prisma da insignificância, é desarrazoado coibir a liberdade do infrator, diante da drasticidade da pena. </w:t>
      </w:r>
    </w:p>
    <w:p w14:paraId="63B8F611" w14:textId="77777777" w:rsidR="00A56512" w:rsidRDefault="00000000">
      <w:pPr>
        <w:spacing w:after="120" w:line="360" w:lineRule="auto"/>
        <w:ind w:firstLine="850"/>
        <w:jc w:val="both"/>
        <w:rPr>
          <w:rFonts w:ascii="Arial" w:eastAsia="Arial" w:hAnsi="Arial" w:cs="Arial"/>
        </w:rPr>
      </w:pPr>
      <w:r>
        <w:rPr>
          <w:rFonts w:ascii="Arial" w:eastAsia="Arial" w:hAnsi="Arial" w:cs="Arial"/>
        </w:rPr>
        <w:t>Com efeito, não se manifesta justo nem condizente com os valores socialmente estabelecidos submeter um indivíduo ao constrangimento de figurar como alvo de persecução penal capaz de lhe gerar antecedentes criminais, com inegável comprometimento de sua vida social, tampouco, em hipótese ainda mais gravosa, impor-lhe a privação de liberdade.</w:t>
      </w:r>
    </w:p>
    <w:p w14:paraId="49C4D3D3" w14:textId="77777777" w:rsidR="00A56512" w:rsidRDefault="00000000">
      <w:pPr>
        <w:pBdr>
          <w:top w:val="nil"/>
          <w:left w:val="nil"/>
          <w:bottom w:val="nil"/>
          <w:right w:val="nil"/>
          <w:between w:val="nil"/>
        </w:pBdr>
        <w:spacing w:after="120" w:line="360" w:lineRule="auto"/>
        <w:jc w:val="both"/>
        <w:rPr>
          <w:rFonts w:ascii="Arial" w:eastAsia="Arial" w:hAnsi="Arial" w:cs="Arial"/>
          <w:b/>
          <w:bCs/>
          <w:color w:val="000000"/>
        </w:rPr>
      </w:pPr>
      <w:r>
        <w:rPr>
          <w:rFonts w:ascii="Arial" w:eastAsia="Arial" w:hAnsi="Arial" w:cs="Arial"/>
          <w:b/>
          <w:bCs/>
          <w:color w:val="000000"/>
        </w:rPr>
        <w:t xml:space="preserve">3.2.1 Dignidade como limite e fundamento do direito penal </w:t>
      </w:r>
    </w:p>
    <w:p w14:paraId="1EFF23D7"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A dignidade da pessoa humana pode ser entendida por dois aspectos no direito penal, erigindo como fundamento ao outorgar ao direito penal a tutela dos bens jurídicos essenciais e, de igual modo, estabelecendo limites ao poder punitivo estatal. </w:t>
      </w:r>
    </w:p>
    <w:p w14:paraId="3D0EAEF2"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Nesse ínterim, enquanto fundamento, a dignidade outorga ao direito penal a tutela dos bens jurídicos que gozam excelso status de proteção, na medida que, em razão da relevância que a manutenção destes se manifestam na sociedade, o Estado promoverá tratamento especial e prioritário aos bens jurídicos essenciais à convivência em sociedade, tais como a vida, a integridade física, o patrimônio, a liberdade sexual, a honra.</w:t>
      </w:r>
    </w:p>
    <w:p w14:paraId="775A4A75"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Impende destacar que se trata da dignidade da pessoa humana considerada em sentido amplo, isto é, como fundamento que orienta a proteção dos valores fundamentais compartilhados pela coletividade, portanto, os bens jurídicos tutelados são aqueles que gozam de magnitude para com todos. </w:t>
      </w:r>
    </w:p>
    <w:p w14:paraId="5DE774D2"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Para fins elucidativos, pode-se tomar como exemplo o direito à vida, que se constitui como bem jurídico vital e inerente ao corpo social, de tal modo que inegavelmente goza de importância para com toda a coletividade, pois todos os indivíduos têm para si o direito à vida como fundamental. </w:t>
      </w:r>
    </w:p>
    <w:p w14:paraId="1379821F" w14:textId="77777777" w:rsidR="00A56512" w:rsidRDefault="00000000">
      <w:pPr>
        <w:spacing w:after="120" w:line="360" w:lineRule="auto"/>
        <w:ind w:firstLine="850"/>
        <w:jc w:val="both"/>
        <w:rPr>
          <w:rFonts w:ascii="Arial" w:eastAsia="Arial" w:hAnsi="Arial" w:cs="Arial"/>
        </w:rPr>
      </w:pPr>
      <w:r>
        <w:rPr>
          <w:rFonts w:ascii="Arial" w:eastAsia="Arial" w:hAnsi="Arial" w:cs="Arial"/>
        </w:rPr>
        <w:lastRenderedPageBreak/>
        <w:t>Assim, quando o direito à vida é violado — como ocorre no delito de homicídio — desencadeia-se um intenso sentimento de repulsa na sociedade, justamente por representar uma manifesta subversão aos valores fundamentais assentados.</w:t>
      </w:r>
    </w:p>
    <w:p w14:paraId="37818CF8" w14:textId="77777777" w:rsidR="00A56512" w:rsidRDefault="00000000">
      <w:pPr>
        <w:spacing w:after="120" w:line="360" w:lineRule="auto"/>
        <w:ind w:firstLine="850"/>
        <w:jc w:val="both"/>
        <w:rPr>
          <w:rFonts w:ascii="Arial" w:eastAsia="Arial" w:hAnsi="Arial" w:cs="Arial"/>
        </w:rPr>
      </w:pPr>
      <w:r>
        <w:rPr>
          <w:rFonts w:ascii="Arial" w:eastAsia="Arial" w:hAnsi="Arial" w:cs="Arial"/>
        </w:rPr>
        <w:t>É em razão da magnitude da lesão provocada aos valores fundamentais da coletividade que a dignidade sustenta a legitimidade do Estado de exercer seu direito de punir, perseguindo aqueles que injustamente despertam o sentimento social negativo.</w:t>
      </w:r>
    </w:p>
    <w:p w14:paraId="0009D84B" w14:textId="77777777" w:rsidR="00A56512" w:rsidRDefault="00000000">
      <w:pPr>
        <w:spacing w:after="120" w:line="360" w:lineRule="auto"/>
        <w:ind w:firstLine="850"/>
        <w:jc w:val="both"/>
        <w:rPr>
          <w:rFonts w:ascii="Arial" w:eastAsia="Arial" w:hAnsi="Arial" w:cs="Arial"/>
        </w:rPr>
      </w:pPr>
      <w:r>
        <w:rPr>
          <w:rFonts w:ascii="Arial" w:eastAsia="Arial" w:hAnsi="Arial" w:cs="Arial"/>
        </w:rPr>
        <w:t>Não obstante, a dignidade também se projeta como parâmetro limitador do poder punitivo estatal, na medida em que impõe ao Estado o dever de preservar e respeitar a condição humana do infrator.</w:t>
      </w:r>
    </w:p>
    <w:p w14:paraId="14BB72B1"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Nessa senda de raciocínio, Capez ensina que (2011, p. 28): “Da dignidade humana derivam princípios constitucionais do Direito Penal, cuja função é estabelecer limites à liberdade de seleção típica do legislador, buscando, com isso, uma definição material do crime.”</w:t>
      </w:r>
    </w:p>
    <w:p w14:paraId="762BA1AD" w14:textId="77777777" w:rsidR="00A56512" w:rsidRDefault="00000000">
      <w:pPr>
        <w:spacing w:after="120" w:line="360" w:lineRule="auto"/>
        <w:ind w:firstLine="850"/>
        <w:jc w:val="both"/>
        <w:rPr>
          <w:rFonts w:ascii="Arial" w:eastAsia="Arial" w:hAnsi="Arial" w:cs="Arial"/>
        </w:rPr>
      </w:pPr>
      <w:r>
        <w:rPr>
          <w:rFonts w:ascii="Arial" w:eastAsia="Arial" w:hAnsi="Arial" w:cs="Arial"/>
        </w:rPr>
        <w:t>Contextualizando, trata-se dos direitos fundamentais de primeira geração, que são limites impostos ao poder soberano estatal, porquanto o que se impõe ao Estado é uma abstenção, um não fazer.</w:t>
      </w:r>
    </w:p>
    <w:p w14:paraId="02E66C3F"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Com efeito, desses limites decorrem a observância ao princípio da legalidade, a vedação de penas crueis ou degradantes e o reconhecimento de institutos despenalizadores, como a insignificância. </w:t>
      </w:r>
    </w:p>
    <w:p w14:paraId="5CD35AAB" w14:textId="77777777" w:rsidR="00A56512" w:rsidRDefault="00000000">
      <w:pPr>
        <w:spacing w:after="120" w:line="360" w:lineRule="auto"/>
        <w:ind w:firstLine="850"/>
        <w:jc w:val="both"/>
        <w:rPr>
          <w:rFonts w:ascii="Arial" w:eastAsia="Arial" w:hAnsi="Arial" w:cs="Arial"/>
        </w:rPr>
      </w:pPr>
      <w:r>
        <w:rPr>
          <w:rFonts w:ascii="Arial" w:eastAsia="Arial" w:hAnsi="Arial" w:cs="Arial"/>
        </w:rPr>
        <w:t>Vejamos que, por exemplo, em observância ao princípio da legalidade, não há crime sem lei anterior que o defina. É por essa razão que o Estado não tem o condão de aplicar punições arbitrariamente, o que se revela uma notória maneira de contenção ao poder punitivo estatal.</w:t>
      </w:r>
    </w:p>
    <w:p w14:paraId="334A2B4A" w14:textId="77777777" w:rsidR="00A56512" w:rsidRDefault="00000000">
      <w:pPr>
        <w:spacing w:after="120" w:line="360" w:lineRule="auto"/>
        <w:ind w:firstLine="850"/>
        <w:jc w:val="both"/>
        <w:rPr>
          <w:rFonts w:ascii="Arial" w:eastAsia="Arial" w:hAnsi="Arial" w:cs="Arial"/>
        </w:rPr>
      </w:pPr>
      <w:r>
        <w:rPr>
          <w:rFonts w:ascii="Arial" w:eastAsia="Arial" w:hAnsi="Arial" w:cs="Arial"/>
        </w:rPr>
        <w:t>Ademais, o Estado não tem a liberalidade de eleger os bens jurídicos que mereçam tratamento especial de proteção, senão aqueles que gozam de acentuada relevância. Esses parâmetros impossibilitam que o Estado, a seu bel-prazer, eleja de forma livre os bens jurídicos a serem tutelados, sem a observância das limitações impostas.</w:t>
      </w:r>
    </w:p>
    <w:p w14:paraId="3F6B8635"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Nesse sentido, Capez aduz que:</w:t>
      </w:r>
    </w:p>
    <w:p w14:paraId="1B086E4E" w14:textId="77777777" w:rsidR="00A56512" w:rsidRDefault="00000000">
      <w:pPr>
        <w:spacing w:after="200"/>
        <w:ind w:left="2268"/>
        <w:jc w:val="both"/>
        <w:rPr>
          <w:rFonts w:ascii="Arial" w:eastAsia="Arial" w:hAnsi="Arial" w:cs="Arial"/>
          <w:sz w:val="20"/>
          <w:szCs w:val="20"/>
        </w:rPr>
      </w:pPr>
      <w:r>
        <w:rPr>
          <w:rFonts w:ascii="Arial" w:eastAsia="Arial" w:hAnsi="Arial" w:cs="Arial"/>
          <w:sz w:val="20"/>
          <w:szCs w:val="20"/>
        </w:rPr>
        <w:t>De pouco adiantaria assegurar ao cidadão a garantia de submissão do poder persecutório à exigência prévia da definição legal, se o legislador tivesse liberdade para eleger de modo autoritário e livre de balizas quais os bens jurídicos merecedores de proteção, ou seja, se pudesse, a seu bel-prazer, escolher, sem limites impostos por princípios maiores, o que vai ser e o que não vai ser crime.</w:t>
      </w:r>
      <w:r>
        <w:rPr>
          <w:rFonts w:ascii="Arial" w:eastAsia="Arial" w:hAnsi="Arial" w:cs="Arial"/>
          <w:color w:val="000000"/>
          <w:sz w:val="20"/>
          <w:szCs w:val="20"/>
        </w:rPr>
        <w:t xml:space="preserve"> (CAPEZ, 2011, p. 27)</w:t>
      </w:r>
    </w:p>
    <w:p w14:paraId="2D7C7204" w14:textId="77777777" w:rsidR="00A56512" w:rsidRDefault="00A56512">
      <w:pPr>
        <w:spacing w:after="120" w:line="360" w:lineRule="auto"/>
        <w:ind w:firstLine="850"/>
        <w:jc w:val="both"/>
        <w:rPr>
          <w:rFonts w:ascii="Arial" w:eastAsia="Arial" w:hAnsi="Arial" w:cs="Arial"/>
        </w:rPr>
      </w:pPr>
    </w:p>
    <w:p w14:paraId="1A2EC877" w14:textId="77777777" w:rsidR="00A56512" w:rsidRDefault="00000000">
      <w:pPr>
        <w:spacing w:after="120" w:line="360" w:lineRule="auto"/>
        <w:ind w:firstLine="850"/>
        <w:jc w:val="both"/>
        <w:rPr>
          <w:rFonts w:ascii="Arial" w:eastAsia="Arial" w:hAnsi="Arial" w:cs="Arial"/>
        </w:rPr>
      </w:pPr>
      <w:r>
        <w:rPr>
          <w:rFonts w:ascii="Arial" w:eastAsia="Arial" w:hAnsi="Arial" w:cs="Arial"/>
        </w:rPr>
        <w:lastRenderedPageBreak/>
        <w:t xml:space="preserve">Da mesma forma, o princípio da insignificância, pairado na dignidade, é considerado </w:t>
      </w:r>
      <w:r>
        <w:rPr>
          <w:rFonts w:ascii="Arial" w:eastAsia="Arial" w:hAnsi="Arial" w:cs="Arial"/>
          <w:i/>
          <w:iCs/>
        </w:rPr>
        <w:t xml:space="preserve">ius puniendi </w:t>
      </w:r>
      <w:r>
        <w:rPr>
          <w:rFonts w:ascii="Arial" w:eastAsia="Arial" w:hAnsi="Arial" w:cs="Arial"/>
        </w:rPr>
        <w:t xml:space="preserve">negativo, consistente na limitação do direito de punir do Estado, dado que a conduta insignificante ao se revelar incapaz de manifestar lesividade social, torna desarrazoado a submissão desta ao poder persecutório.  </w:t>
      </w:r>
    </w:p>
    <w:p w14:paraId="0FCD3BE0" w14:textId="77777777" w:rsidR="00A56512" w:rsidRDefault="00000000">
      <w:pPr>
        <w:spacing w:after="120" w:line="360" w:lineRule="auto"/>
        <w:jc w:val="both"/>
        <w:rPr>
          <w:rFonts w:ascii="Arial" w:eastAsia="Arial" w:hAnsi="Arial" w:cs="Arial"/>
        </w:rPr>
      </w:pPr>
      <w:r>
        <w:rPr>
          <w:rFonts w:ascii="Arial" w:eastAsia="Arial" w:hAnsi="Arial" w:cs="Arial"/>
        </w:rPr>
        <w:t xml:space="preserve">3.3 REINCIDÊNCIA NA APLICAÇÃO DA INSIGNIFICÂNCIA </w:t>
      </w:r>
    </w:p>
    <w:p w14:paraId="4F7EAE28"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A aplicação da insignificância nos casos de reincidência é um dos grandes embates jurídicos atuais na esfera do direito penal, tendo em vista a controvérsia pairada nas diversas decisões judiciais. </w:t>
      </w:r>
    </w:p>
    <w:p w14:paraId="49EC0DB2"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Com efeito, em razão da inexistência de entendimento vinculativo, a aplicação do princípio em caso de reincidência do agente infrator é de ordem subjetiva, porquanto os julgadores que ponderam, pautados substancialmente por valores morais e éticos próprios, se a aplicação é possível. </w:t>
      </w:r>
    </w:p>
    <w:p w14:paraId="7FD64558"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Não obstante, é cediço que existem entendimentos consolidados acerca nos tribunais superiores, entretanto, impende destacar que não tem força vinculativa, não sendo obrigatória a sua observância. </w:t>
      </w:r>
    </w:p>
    <w:p w14:paraId="5A2F3F72" w14:textId="77777777" w:rsidR="00A56512" w:rsidRDefault="00000000">
      <w:pPr>
        <w:spacing w:after="120" w:line="360" w:lineRule="auto"/>
        <w:ind w:firstLine="850"/>
        <w:jc w:val="both"/>
        <w:rPr>
          <w:rFonts w:ascii="Arial" w:eastAsia="Arial" w:hAnsi="Arial" w:cs="Arial"/>
        </w:rPr>
      </w:pPr>
      <w:r>
        <w:rPr>
          <w:rFonts w:ascii="Arial" w:eastAsia="Arial" w:hAnsi="Arial" w:cs="Arial"/>
        </w:rPr>
        <w:t>O Supremo Tribunal Federal tem se posicionado no sentido de que a reincidência não impede, por si só, a possibilidade de aplicação, senão vejamos:</w:t>
      </w:r>
    </w:p>
    <w:p w14:paraId="61A1E9A1" w14:textId="4AF54976" w:rsidR="00A56512" w:rsidRDefault="00000000">
      <w:pPr>
        <w:spacing w:after="200"/>
        <w:ind w:left="2268"/>
        <w:jc w:val="both"/>
        <w:rPr>
          <w:rFonts w:ascii="Arial" w:eastAsia="Arial" w:hAnsi="Arial" w:cs="Arial"/>
          <w:sz w:val="20"/>
          <w:szCs w:val="20"/>
        </w:rPr>
      </w:pPr>
      <w:r>
        <w:rPr>
          <w:rFonts w:ascii="Arial" w:eastAsia="Arial" w:hAnsi="Arial" w:cs="Arial"/>
          <w:sz w:val="20"/>
          <w:szCs w:val="20"/>
        </w:rPr>
        <w:t xml:space="preserve">EMENTA AGRAVO REGIMENTAL NO HABEAS CORPUS. PRINCÍPIO DA BAGATELA. FURTO SIMPLES. REINCIDÊNCIA. VALOR DA RES FURTIVA. INEXPRESSIVIDADE DA LESÃO JURÍDICA PROVOCADA. IRRELEVÂNCIA PENAL DA CONDUTA. 1. Esta Suprema Corte definiu vetores para aplicação do princípio da bagatela, a saber: (a) a mínima ofensividade da conduta do agente, (b) nenhuma periculosidade social da ação, (c) o reduzidíssimo grau de reprovabilidade do comportamento e (d) a inexpressividade da lesão jurídica provocada (...), </w:t>
      </w:r>
      <w:r>
        <w:rPr>
          <w:rFonts w:ascii="Arial" w:eastAsia="Arial" w:hAnsi="Arial" w:cs="Arial"/>
          <w:b/>
          <w:bCs/>
          <w:sz w:val="20"/>
          <w:szCs w:val="20"/>
        </w:rPr>
        <w:t>o Plenário desta Corte firmou o entendimento no sentido de que a reincidência não impede, por si só, a possibilidade de atipicidade material, sendo um dos elementos que, embora não determinantes, devem ser considerados, dentro de um juízo amplo (conglobante), que vai além da simples aferição do resultado material da conduta.</w:t>
      </w:r>
      <w:r>
        <w:rPr>
          <w:rFonts w:ascii="Arial" w:eastAsia="Arial" w:hAnsi="Arial" w:cs="Arial"/>
          <w:sz w:val="20"/>
          <w:szCs w:val="20"/>
        </w:rPr>
        <w:t xml:space="preserve"> 3. Na espécie, o princípio da insignificância foi afastado, exclusivamente, em razão do histórico criminal do paciente. Tal circunstância, porém, não é apta a, isoladamente, impedir a benesse. 4. A conduta do paciente (furto simples) mostrou-se insignificante, não se verificando lesão jurídica relevante ao bem jurídico protegido (patrimônio), ante a natureza e o inexpressivo valor do bem subtraído, lata de leite em pó (alimento básico) avaliada em R$ 59,00, bem como a ausência de circunstâncias que indiquem especial gravidade da conduta. 5. Agravo regimental ao qual se dá provimento, para conceder a ordem de habeas corpus, absolvendo o paciente.</w:t>
      </w:r>
      <w:r w:rsidR="00BE273E">
        <w:rPr>
          <w:rStyle w:val="Refdenotaderodap"/>
          <w:rFonts w:ascii="Arial" w:eastAsia="Arial" w:hAnsi="Arial" w:cs="Arial"/>
          <w:sz w:val="20"/>
          <w:szCs w:val="20"/>
        </w:rPr>
        <w:footnoteReference w:id="6"/>
      </w:r>
    </w:p>
    <w:p w14:paraId="1B8CB0F0" w14:textId="2D2EDB05" w:rsidR="00A56512" w:rsidRDefault="00000000">
      <w:pPr>
        <w:spacing w:after="120" w:line="360" w:lineRule="auto"/>
        <w:ind w:firstLine="850"/>
        <w:jc w:val="both"/>
        <w:rPr>
          <w:rFonts w:ascii="Arial" w:eastAsia="Arial" w:hAnsi="Arial" w:cs="Arial"/>
        </w:rPr>
      </w:pPr>
      <w:r>
        <w:rPr>
          <w:rFonts w:ascii="Arial" w:eastAsia="Arial" w:hAnsi="Arial" w:cs="Arial"/>
        </w:rPr>
        <w:t>De igual modo, o Superior Tribunal de Justiça alerta que a reincidência, via de regra, afasta a incidência do princípio da bagatela:</w:t>
      </w:r>
      <w:r w:rsidR="00BE273E">
        <w:rPr>
          <w:rFonts w:ascii="Arial" w:eastAsia="Arial" w:hAnsi="Arial" w:cs="Arial"/>
        </w:rPr>
        <w:t xml:space="preserve"> </w:t>
      </w:r>
    </w:p>
    <w:p w14:paraId="7F6CACCB" w14:textId="299CBF53" w:rsidR="00A56512" w:rsidRDefault="00000000">
      <w:pPr>
        <w:spacing w:after="200"/>
        <w:ind w:left="2268"/>
        <w:jc w:val="both"/>
        <w:rPr>
          <w:rFonts w:ascii="Arial" w:eastAsia="Arial" w:hAnsi="Arial" w:cs="Arial"/>
          <w:sz w:val="20"/>
          <w:szCs w:val="20"/>
        </w:rPr>
      </w:pPr>
      <w:r>
        <w:rPr>
          <w:rFonts w:ascii="Arial" w:eastAsia="Arial" w:hAnsi="Arial" w:cs="Arial"/>
          <w:sz w:val="20"/>
          <w:szCs w:val="20"/>
        </w:rPr>
        <w:lastRenderedPageBreak/>
        <w:t xml:space="preserve">PENAL E PROCESSO PENAL. AGRAVO REGIMENTAL NO AGRAVO EM RECURSO ESPECIAL. FURTO. APLICAÇÃO DO PRINCÍPIO DA INSIGNIFICÂNCIA. REINCIDÊNCIA. EXCEPCIONALIDADE DO CASO CONCRETO. VALOR DA RES FURTIVA INFERIOR A 10% DO SALÁRIO MÍNIMO E RESTITUIÇÃO AO ESTABELECIMENTO COMERCIAL. I – Esta Corte tem entendimento pacificado no sentido de que não há que se falar em atipicidade material da conduta pela incidência do princípio da insignificância quando não estiverem presentes todos os vetores para sua caracterização, quais sejam: (a) mínima ofensividade da conduta; (b) nenhuma periculosidade social da ação; (c) reduzido grau de reprovabilidade do comportamento; e (d) inexpressividade da lesão jurídica provocada. </w:t>
      </w:r>
      <w:r>
        <w:rPr>
          <w:rFonts w:ascii="Arial" w:eastAsia="Arial" w:hAnsi="Arial" w:cs="Arial"/>
          <w:b/>
          <w:bCs/>
          <w:sz w:val="20"/>
          <w:szCs w:val="20"/>
        </w:rPr>
        <w:t>II – É assente, ainda, o entendimento deste Superior Tribunal de Justiça no sentido de que a reincidência e os maus antecedentes, via de regra, afastam a incidência do princípio da bagatela. Contudo, tais vetores não constituem diretrizes absolutas e não devem ser analisados de forma isolada.</w:t>
      </w:r>
      <w:r>
        <w:rPr>
          <w:rFonts w:ascii="Arial" w:eastAsia="Arial" w:hAnsi="Arial" w:cs="Arial"/>
          <w:sz w:val="20"/>
          <w:szCs w:val="20"/>
        </w:rPr>
        <w:t xml:space="preserve"> III – No caso concreto, embora o recorrente possua maus antecedentes e seja reincidente, verifica-se a inexpressividade da lesão jurídica provocada, considerando o reduzido valor do bem subtraído — 4 frascos de desodorante avaliados em R$ 41,80 (4,18% do salário mínimo da época) — os quais foram restituídos ao estabelecimento comercial. Agravo regimental desprovido.</w:t>
      </w:r>
      <w:r w:rsidR="00BE273E">
        <w:rPr>
          <w:rStyle w:val="Refdenotaderodap"/>
          <w:rFonts w:ascii="Arial" w:eastAsia="Arial" w:hAnsi="Arial" w:cs="Arial"/>
          <w:sz w:val="20"/>
          <w:szCs w:val="20"/>
        </w:rPr>
        <w:footnoteReference w:id="7"/>
      </w:r>
      <w:r w:rsidR="00BE273E">
        <w:rPr>
          <w:rFonts w:ascii="Arial" w:eastAsia="Arial" w:hAnsi="Arial" w:cs="Arial"/>
          <w:sz w:val="20"/>
          <w:szCs w:val="20"/>
        </w:rPr>
        <w:t xml:space="preserve"> </w:t>
      </w:r>
    </w:p>
    <w:p w14:paraId="072DDE23"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À vista disso, depreende-se que via de regra a aplicação da insignificância deve ser afastada quando presente a habitualidade delitiva, em razão da ausência de um dos vetores de aplicabilidade da bagatela, qual seja o reduzido grau de reprovabilidade da conduta. </w:t>
      </w:r>
    </w:p>
    <w:p w14:paraId="05AF97E5"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Ademais, tem-se entendimento no sentido de que é a aplicável a bagatela ao reincidente, desde que não seja específica, ou seja, o agente incorra em delito idêntico ou da mesma espécie do que já havia cometido. </w:t>
      </w:r>
    </w:p>
    <w:p w14:paraId="3C62E1FE" w14:textId="55141A4E" w:rsidR="00A56512" w:rsidRDefault="00000000">
      <w:pPr>
        <w:spacing w:after="120" w:line="360" w:lineRule="auto"/>
        <w:ind w:firstLine="850"/>
        <w:jc w:val="both"/>
        <w:rPr>
          <w:rFonts w:ascii="Arial" w:eastAsia="Arial" w:hAnsi="Arial" w:cs="Arial"/>
        </w:rPr>
      </w:pPr>
      <w:r>
        <w:rPr>
          <w:rFonts w:ascii="Arial" w:eastAsia="Arial" w:hAnsi="Arial" w:cs="Arial"/>
        </w:rPr>
        <w:t>Nesse sentido, é oportuno colacionar o julgado do Superior Tribunal de Justiça:</w:t>
      </w:r>
    </w:p>
    <w:p w14:paraId="388490C9" w14:textId="06B12AAC" w:rsidR="00A56512" w:rsidRDefault="00000000">
      <w:pPr>
        <w:spacing w:after="200"/>
        <w:ind w:left="2268"/>
        <w:jc w:val="both"/>
        <w:rPr>
          <w:rFonts w:ascii="Arial" w:eastAsia="Arial" w:hAnsi="Arial" w:cs="Arial"/>
          <w:sz w:val="20"/>
          <w:szCs w:val="20"/>
        </w:rPr>
      </w:pPr>
      <w:r>
        <w:rPr>
          <w:rFonts w:ascii="Arial" w:eastAsia="Arial" w:hAnsi="Arial" w:cs="Arial"/>
          <w:sz w:val="20"/>
          <w:szCs w:val="20"/>
        </w:rPr>
        <w:t>EMENTA AGRAVO REGIMENTAL NO AGRAVO EM RECURSO ESPECIAL. CRIME DE FURTO. INAPLICABILIDADE DO PRINCÍPIO DA INSIGNIFICÂNCIA. CONSTATADA A REINCIDÊNCIA ESPECÍFICA EM CRIMES CONTRA O PATRIMÔNIO. INCIDÊNCIA DA SÚMULA N. 83 DO STJ. 1. Inaplicável o princípio da insignificância tendo em vista a constatada reincidência específica do réu em crimes contra o patrimônio. Incidência da Súmula n. 83 do STJ. 2.Agravo regimental desprovido.</w:t>
      </w:r>
      <w:r w:rsidR="00BE273E">
        <w:rPr>
          <w:rStyle w:val="Refdenotaderodap"/>
          <w:rFonts w:ascii="Arial" w:eastAsia="Arial" w:hAnsi="Arial" w:cs="Arial"/>
          <w:sz w:val="20"/>
          <w:szCs w:val="20"/>
        </w:rPr>
        <w:footnoteReference w:id="8"/>
      </w:r>
    </w:p>
    <w:p w14:paraId="50B33BBF" w14:textId="77777777" w:rsidR="00A56512" w:rsidRDefault="00000000">
      <w:pPr>
        <w:spacing w:after="120" w:line="360" w:lineRule="auto"/>
        <w:ind w:firstLine="850"/>
        <w:jc w:val="both"/>
        <w:rPr>
          <w:rFonts w:ascii="Arial" w:eastAsia="Arial" w:hAnsi="Arial" w:cs="Arial"/>
        </w:rPr>
      </w:pPr>
      <w:r>
        <w:rPr>
          <w:rFonts w:ascii="Arial" w:eastAsia="Arial" w:hAnsi="Arial" w:cs="Arial"/>
        </w:rPr>
        <w:t>No entanto, em oposição o Supremo Tribunal Federal tem decidido no sentido de que a reincidência do acusado, mesmo que específica, não obsta a aplicação da insignificância, senão vejamos:</w:t>
      </w:r>
    </w:p>
    <w:p w14:paraId="0707E83B" w14:textId="40F20329" w:rsidR="00A56512" w:rsidRDefault="00000000">
      <w:pPr>
        <w:spacing w:after="200"/>
        <w:ind w:left="2268"/>
        <w:jc w:val="both"/>
        <w:rPr>
          <w:rFonts w:ascii="Arial" w:eastAsia="Arial" w:hAnsi="Arial" w:cs="Arial"/>
          <w:sz w:val="20"/>
          <w:szCs w:val="20"/>
        </w:rPr>
      </w:pPr>
      <w:r>
        <w:rPr>
          <w:rFonts w:ascii="Arial" w:eastAsia="Arial" w:hAnsi="Arial" w:cs="Arial"/>
          <w:sz w:val="20"/>
          <w:szCs w:val="20"/>
        </w:rPr>
        <w:t xml:space="preserve">EMENTA AGRAVO REGIMENTAL EM HABEAS CORPUS. MATÉRIA CRIMINAL. TENTATIVA DE FURTO DE PEÇA DE VESTUÁRIO. RES FURTIVA DEVOLVIDA À VITIMA SEM MÁCULA. RÉU REINCIDENTE ESPECÍFICO. INCIDÊNCIA DO PRINCÍPIO DA INSIGNIFICÂNCIA A DESPEITO DAS CONDIÇÕES PESSOAIS DO PACIENTE. PREENCHIMENTO DOS REQUISITOS JURISPRUDENCIALMENTE ESTABELECIDOS. MANUTENÇÃO DO DECISIUM QUE CONCEDEU A ORDEM PARA ABSOLVER O PACIENTE POR RECONHECIDA A ATIPICIDADE MATERIAL DA CONDUTA. AGRAVO REGIMENTAL DESPROVIDO. (...) 5. </w:t>
      </w:r>
      <w:r>
        <w:rPr>
          <w:rFonts w:ascii="Arial" w:eastAsia="Arial" w:hAnsi="Arial" w:cs="Arial"/>
          <w:b/>
          <w:bCs/>
          <w:sz w:val="20"/>
          <w:szCs w:val="20"/>
        </w:rPr>
        <w:t xml:space="preserve">A reincidência do acusado, mesmo que </w:t>
      </w:r>
      <w:r>
        <w:rPr>
          <w:rFonts w:ascii="Arial" w:eastAsia="Arial" w:hAnsi="Arial" w:cs="Arial"/>
          <w:b/>
          <w:bCs/>
          <w:sz w:val="20"/>
          <w:szCs w:val="20"/>
        </w:rPr>
        <w:lastRenderedPageBreak/>
        <w:t>específica, não impede a aplicação do princípio da insignificância, se demonstrado, no caso concreto, a inexpressividade da lesão ao bem jurídico. Precedentes. 6. Agravo regimental desprovido.</w:t>
      </w:r>
      <w:r w:rsidR="002858A3">
        <w:rPr>
          <w:rStyle w:val="Refdenotaderodap"/>
          <w:rFonts w:ascii="Arial" w:eastAsia="Arial" w:hAnsi="Arial" w:cs="Arial"/>
          <w:b/>
          <w:bCs/>
          <w:sz w:val="20"/>
          <w:szCs w:val="20"/>
        </w:rPr>
        <w:footnoteReference w:id="9"/>
      </w:r>
      <w:r>
        <w:rPr>
          <w:rFonts w:ascii="Arial" w:eastAsia="Arial" w:hAnsi="Arial" w:cs="Arial"/>
          <w:sz w:val="20"/>
          <w:szCs w:val="20"/>
        </w:rPr>
        <w:t xml:space="preserve"> </w:t>
      </w:r>
    </w:p>
    <w:p w14:paraId="5564CABE" w14:textId="77777777" w:rsidR="00A56512" w:rsidRDefault="00000000">
      <w:pPr>
        <w:spacing w:after="120" w:line="360" w:lineRule="auto"/>
        <w:ind w:firstLine="850"/>
        <w:jc w:val="both"/>
        <w:rPr>
          <w:rFonts w:ascii="Arial" w:eastAsia="Arial" w:hAnsi="Arial" w:cs="Arial"/>
        </w:rPr>
      </w:pPr>
      <w:r>
        <w:rPr>
          <w:rFonts w:ascii="Arial" w:eastAsia="Arial" w:hAnsi="Arial" w:cs="Arial"/>
        </w:rPr>
        <w:t>Vislumbra-se que a incidência do princípio da insignificância em benefício dos acusados reincidentes é um tema de controvérsia jurídica, porquanto, conforme plenamente demonstrado, existem entendimentos em viés distintos nos tribunais superiores.</w:t>
      </w:r>
    </w:p>
    <w:p w14:paraId="16C2B46A" w14:textId="77777777" w:rsidR="00A56512" w:rsidRDefault="00000000">
      <w:pPr>
        <w:spacing w:after="120" w:line="360" w:lineRule="auto"/>
        <w:ind w:firstLine="850"/>
        <w:jc w:val="both"/>
        <w:rPr>
          <w:rFonts w:ascii="Arial" w:eastAsia="Arial" w:hAnsi="Arial" w:cs="Arial"/>
        </w:rPr>
      </w:pPr>
      <w:r>
        <w:rPr>
          <w:rFonts w:ascii="Arial" w:eastAsia="Arial" w:hAnsi="Arial" w:cs="Arial"/>
        </w:rPr>
        <w:t>Desse modo, não resta dúvidas que a reincidência é objeto de grande controvérsia jurídica, circunstância que evidencia um cenário de insegurança jurídica. Com efeito, diante da ausência de entendimento plenamente pacificado até mesmo nos tribunais superiores, as instâncias inferiores acabam recorrendo a critérios de ordem subjetiva para a solução dos casos concretos, o que abre espaço para decisões potencialmente arbitrárias e desarrazoadas.</w:t>
      </w:r>
    </w:p>
    <w:p w14:paraId="469014BC" w14:textId="77777777" w:rsidR="00A56512" w:rsidRDefault="00000000">
      <w:pPr>
        <w:spacing w:after="120" w:line="360" w:lineRule="auto"/>
        <w:jc w:val="both"/>
        <w:rPr>
          <w:rFonts w:ascii="Arial" w:eastAsia="Arial" w:hAnsi="Arial" w:cs="Arial"/>
        </w:rPr>
      </w:pPr>
      <w:r>
        <w:rPr>
          <w:rFonts w:ascii="Arial" w:eastAsia="Arial" w:hAnsi="Arial" w:cs="Arial"/>
        </w:rPr>
        <w:t xml:space="preserve">3.4 O DUALISMO CENTRAL: DIGNIDADE HUMANA vs. REITERAÇÃO DELITIVA </w:t>
      </w:r>
    </w:p>
    <w:p w14:paraId="20783C0D" w14:textId="77777777" w:rsidR="00A56512" w:rsidRDefault="00000000">
      <w:pPr>
        <w:spacing w:after="120" w:line="360" w:lineRule="auto"/>
        <w:ind w:firstLine="850"/>
        <w:jc w:val="both"/>
        <w:rPr>
          <w:rFonts w:ascii="Arial" w:eastAsia="Arial" w:hAnsi="Arial" w:cs="Arial"/>
        </w:rPr>
      </w:pPr>
      <w:r>
        <w:rPr>
          <w:rFonts w:ascii="Arial" w:eastAsia="Arial" w:hAnsi="Arial" w:cs="Arial"/>
        </w:rPr>
        <w:t>O enfoque central deste trabalho reside na análise da aplicação do princípio da insignificância de forma a preservar a harmonia com o princípio reitor do Estado Democrático de Direito — a dignidade da pessoa humana — sem permitir que seja usado como instrumento de manuseio para fomentar práticas delitivas reiteradas em razão da ausência de temor das consequências jurídicas.</w:t>
      </w:r>
    </w:p>
    <w:p w14:paraId="3FA48AB3" w14:textId="6DC95ADD" w:rsidR="00A56512" w:rsidRDefault="00000000">
      <w:pPr>
        <w:spacing w:after="120" w:line="360" w:lineRule="auto"/>
        <w:ind w:firstLine="850"/>
        <w:jc w:val="both"/>
        <w:rPr>
          <w:rFonts w:ascii="Arial" w:eastAsia="Arial" w:hAnsi="Arial" w:cs="Arial"/>
        </w:rPr>
      </w:pPr>
      <w:r>
        <w:rPr>
          <w:rFonts w:ascii="Arial" w:eastAsia="Arial" w:hAnsi="Arial" w:cs="Arial"/>
        </w:rPr>
        <w:t>Nessa esteira, o Supremo Tribunal Federal já alerta que:</w:t>
      </w:r>
    </w:p>
    <w:p w14:paraId="2669D5E9" w14:textId="3E1BB2D7" w:rsidR="00A56512" w:rsidRDefault="00000000">
      <w:pPr>
        <w:spacing w:after="200"/>
        <w:ind w:left="2268"/>
        <w:jc w:val="both"/>
        <w:rPr>
          <w:rFonts w:ascii="Arial" w:eastAsia="Arial" w:hAnsi="Arial" w:cs="Arial"/>
          <w:sz w:val="20"/>
          <w:szCs w:val="20"/>
        </w:rPr>
      </w:pPr>
      <w:r>
        <w:rPr>
          <w:rFonts w:ascii="Arial" w:eastAsia="Arial" w:hAnsi="Arial" w:cs="Arial"/>
          <w:sz w:val="20"/>
          <w:szCs w:val="20"/>
        </w:rPr>
        <w:t xml:space="preserve">Ementa: PENAL E PROCESSUAL PENAL. HABEAS CORPUS IMPETRADO CONTRA ATO DE MINISTRO DE TRIBUNAL SUPERIOR. INCOMPETÊNCIA DESTA CORTE. TENTATIVA DE FURTO. ART. 155, CAPUT, C/C ART. 14, II, DO CP). REINCIDÊNCIA. PRINCÍPIO DA INSIGNIFICÂNCIA. APLICABILIDADE. FURTO FAMÉLICO. ESTADO DE NECESSIDADE X INEXIGIBILIDADE DE CONDUTA DIVERSA. SITUAÇÃO DE NECESSIDADE PRESUMIDA. ATIPICIDADE DA CONDUTA. HABEAS CORPUS EXTINTO POR INADEQUAÇÃO DA VIA ELEITA. ORDEM CONCEDIDA DE OFÍCIO. (...) </w:t>
      </w:r>
      <w:r>
        <w:rPr>
          <w:rFonts w:ascii="Arial" w:eastAsia="Arial" w:hAnsi="Arial" w:cs="Arial"/>
          <w:b/>
          <w:bCs/>
          <w:sz w:val="20"/>
          <w:szCs w:val="20"/>
        </w:rPr>
        <w:t xml:space="preserve">2. A aplicação do princípio da insignificância deve, contudo, ser precedida de criteriosa análise de cada caso, a fim de se evitar que sua adoção indiscriminada constitua verdadeiro incentivo à prática de pequenos delitos patrimoniais. </w:t>
      </w:r>
      <w:r>
        <w:rPr>
          <w:rFonts w:ascii="Arial" w:eastAsia="Arial" w:hAnsi="Arial" w:cs="Arial"/>
          <w:sz w:val="20"/>
          <w:szCs w:val="20"/>
        </w:rPr>
        <w:t>3. O valor da res furtiva não pode ser o único parâmetro a ser avaliado, devendo ser analisadas as circunstâncias do fato para decidir-se sobre seu efetivo enquadramento na hipótese de crime de bagatela, bem assim o reflexo da conduta no âmbito da sociedade. (...) 8. Habeas corpus extinto por inadequação da via eleita. Ordem concedida de ofício para determinar o trancamento da ação penal, em razão da atipicidade da conduta da paciente.</w:t>
      </w:r>
      <w:r w:rsidR="002858A3">
        <w:rPr>
          <w:rStyle w:val="Refdenotaderodap"/>
          <w:rFonts w:ascii="Arial" w:eastAsia="Arial" w:hAnsi="Arial" w:cs="Arial"/>
          <w:sz w:val="20"/>
          <w:szCs w:val="20"/>
        </w:rPr>
        <w:footnoteReference w:id="10"/>
      </w:r>
    </w:p>
    <w:p w14:paraId="4540202A" w14:textId="77777777" w:rsidR="00A56512" w:rsidRDefault="00000000">
      <w:pPr>
        <w:spacing w:after="120" w:line="360" w:lineRule="auto"/>
        <w:ind w:firstLine="850"/>
        <w:jc w:val="both"/>
        <w:rPr>
          <w:rFonts w:ascii="Arial" w:eastAsia="Arial" w:hAnsi="Arial" w:cs="Arial"/>
        </w:rPr>
      </w:pPr>
      <w:r>
        <w:rPr>
          <w:rFonts w:ascii="Arial" w:eastAsia="Arial" w:hAnsi="Arial" w:cs="Arial"/>
        </w:rPr>
        <w:lastRenderedPageBreak/>
        <w:t>Nesse contexto, é um desafio para o Estado assegurar um cenário no qual o princípio da insignificância é aplicado de forma coerente, uniforme e criteriosa, garantindo que sua finalidade precípua seja efetivamente atingida.</w:t>
      </w:r>
    </w:p>
    <w:p w14:paraId="481EC0E7"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De um lado, temos o dever de observar o fundamento máximo da ordem social, regendo todos os campos da vida social e jurídica, de modo que seja garantido o mínimo de existência social digno a todos. Por outro lado, subsiste o poder-dever de punir aqueles que de alguma forma lesionam bens jurídicos tutelados dotados de relevância penal, de modo a resguardar o anseio da justiça social.   </w:t>
      </w:r>
    </w:p>
    <w:p w14:paraId="5EDB28FF"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Como já mencionado, o próprio direito de punir encontra fundamento na dignidade humana em sentido amplo, que diz respeito aos valores fundamentais da coletividade. A violação de um valor fundamental de ordem coletiva legitima o direito de punir do Estado, por meio da submissão do malfeitor ao poder persecutório. </w:t>
      </w:r>
    </w:p>
    <w:p w14:paraId="18C098A1"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Todavia, são estabelecidos limites ao </w:t>
      </w:r>
      <w:r>
        <w:rPr>
          <w:rFonts w:ascii="Arial" w:eastAsia="Arial" w:hAnsi="Arial" w:cs="Arial"/>
          <w:i/>
          <w:iCs/>
        </w:rPr>
        <w:t xml:space="preserve">ius puniendi </w:t>
      </w:r>
      <w:r>
        <w:rPr>
          <w:rFonts w:ascii="Arial" w:eastAsia="Arial" w:hAnsi="Arial" w:cs="Arial"/>
        </w:rPr>
        <w:t xml:space="preserve">para se evitar justamente que não seja atendida a premissa máxima da dignidade da pessoa humana, em que se garante a condição humana de todos, mesmo do pior dos malfeitores.  </w:t>
      </w:r>
    </w:p>
    <w:p w14:paraId="2FAC11BC"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Nesse cenário, é necessário questionar até que ponto é congruente desonerar de responsabilidade penal os que revelarem lesividade social aos bens jurídicos tidos como relevantes ao corpo social. </w:t>
      </w:r>
    </w:p>
    <w:p w14:paraId="77312A71" w14:textId="77777777" w:rsidR="00A56512" w:rsidRDefault="00000000">
      <w:pPr>
        <w:spacing w:after="120" w:line="360" w:lineRule="auto"/>
        <w:ind w:firstLine="850"/>
        <w:jc w:val="both"/>
        <w:rPr>
          <w:rFonts w:ascii="Arial" w:eastAsia="Arial" w:hAnsi="Arial" w:cs="Arial"/>
        </w:rPr>
      </w:pPr>
      <w:r>
        <w:rPr>
          <w:rFonts w:ascii="Arial" w:eastAsia="Arial" w:hAnsi="Arial" w:cs="Arial"/>
        </w:rPr>
        <w:t>Com efeito, se o entendimento da insignificância for muito permissivo e brando, pode acabar por convertê-lo em verdadeiro artefato de fomento à habitualidade delitiva, já que é sabido que será eximido da responsabilidade.</w:t>
      </w:r>
    </w:p>
    <w:p w14:paraId="34362664" w14:textId="77777777" w:rsidR="00A56512" w:rsidRDefault="00000000">
      <w:pPr>
        <w:spacing w:after="120" w:line="360" w:lineRule="auto"/>
        <w:ind w:firstLine="850"/>
        <w:jc w:val="both"/>
        <w:rPr>
          <w:rFonts w:ascii="Arial" w:eastAsia="Arial" w:hAnsi="Arial" w:cs="Arial"/>
        </w:rPr>
      </w:pPr>
      <w:r>
        <w:rPr>
          <w:rFonts w:ascii="Arial" w:eastAsia="Arial" w:hAnsi="Arial" w:cs="Arial"/>
        </w:rPr>
        <w:t>Por sua vez, se o entendimento for estrito, com supedâneo apenas na abstratividade das normas, toda subsunção da conduta real ao tipo legal de crime é impositivo a penalidade. Nessa perspectiva, haveria a redução da condição humana dos infratores, com evidente supressão do princípio reitor da dignidade da pessoa humana que fundamenta a ordem republicana e democrática.</w:t>
      </w:r>
    </w:p>
    <w:p w14:paraId="1C6B8F31"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Desse modo, tanto a leniência quanto o rigor excessivo revelam-se problemáticos. A aplicação demasiadamente flexível do instituto conduz à deturpação de sua finalidade, ao passo que uma postura inflexível abre espaço para arbitrariedades punitivas desproporcionais, capazes de produzir situações de injustiça social. </w:t>
      </w:r>
    </w:p>
    <w:p w14:paraId="6560FB81"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Outro aspecto relevante a ser considerado refere-se à perspectiva individual do titular do bem jurídico lesado. Tome-se, por base, o exemplo clássico utilizado em linhas pretéritas: um indivíduo, em pleno gozo de suas faculdade mentais, adentra nas imediações </w:t>
      </w:r>
      <w:r>
        <w:rPr>
          <w:rFonts w:ascii="Arial" w:eastAsia="Arial" w:hAnsi="Arial" w:cs="Arial"/>
        </w:rPr>
        <w:lastRenderedPageBreak/>
        <w:t>de um supermercado e subtrai, para si ou para outrem, um pacote de biscoito, sem o emprego de violência ou grave ameaça.</w:t>
      </w:r>
    </w:p>
    <w:p w14:paraId="549D6040"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Existe uma inclinação do direito penal, alinhado ao princípio da intervenção mínima, em eximir da punição o indivíduo infrator. Contudo, na perspectiva individual do titular do bem jurídico lesionado persiste um sentimento negativo de insatisfação que torna a punição imperativa. </w:t>
      </w:r>
    </w:p>
    <w:p w14:paraId="34824FAB"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Nesse sentido, evidencia-se que a aplicação do princípio da insignificância nem sempre se harmoniza com o senso comum de justiça, sobretudo nos casos em que há habitualidade delitiva. Essa dissonância pode gerar insatisfação e desconfiança social, agravando a já sensível tensão existente entre o Poder Judiciário e a percepção social de justiça.</w:t>
      </w:r>
    </w:p>
    <w:p w14:paraId="0637137D"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É patente essa relação atritosa entre garantia da dignidade humana e o fomento de práticas delitivas, relação esta que também se projeta  sobre a percepção individual de justiça por parte das vítimas e da coletividade. </w:t>
      </w:r>
    </w:p>
    <w:p w14:paraId="09F35703" w14:textId="77777777" w:rsidR="00A56512" w:rsidRDefault="00000000">
      <w:pPr>
        <w:spacing w:after="120" w:line="360" w:lineRule="auto"/>
        <w:ind w:firstLine="850"/>
        <w:jc w:val="both"/>
        <w:rPr>
          <w:rFonts w:ascii="Arial" w:eastAsia="Arial" w:hAnsi="Arial" w:cs="Arial"/>
        </w:rPr>
      </w:pPr>
      <w:r>
        <w:rPr>
          <w:rFonts w:ascii="Arial" w:eastAsia="Arial" w:hAnsi="Arial" w:cs="Arial"/>
        </w:rPr>
        <w:t>Embora o direito penal não possa se submeter integralmente ao sentimento subjetivo de justiça da vítima ou da coletividade, tampouco pode ignorar completamente os efeitos sociais decorrentes da percepção de impunidade, sobretudo quando a aplicação reiterada do princípio da insignificância passa a fomentar a habitualidade delitiva.</w:t>
      </w:r>
    </w:p>
    <w:p w14:paraId="575DD532" w14:textId="77777777" w:rsidR="00A56512" w:rsidRDefault="00000000">
      <w:pPr>
        <w:spacing w:after="120" w:line="360" w:lineRule="auto"/>
        <w:ind w:firstLine="850"/>
        <w:jc w:val="both"/>
        <w:rPr>
          <w:rFonts w:ascii="Arial" w:eastAsia="Arial" w:hAnsi="Arial" w:cs="Arial"/>
        </w:rPr>
      </w:pPr>
      <w:r>
        <w:rPr>
          <w:rFonts w:ascii="Arial" w:eastAsia="Arial" w:hAnsi="Arial" w:cs="Arial"/>
        </w:rPr>
        <w:t>Portanto, resta evidente a necessidade de se traçar parâmetros interpretativos que orientem a aplicação da insignificância de maneira justa e uniforme, de modo a observar a prevalência da dignidade humana, sem que seja deturpado para ser utilizado como ferramenta de estímulo à delinquência reiterada.</w:t>
      </w:r>
    </w:p>
    <w:p w14:paraId="45C8C777" w14:textId="77777777" w:rsidR="00A56512" w:rsidRDefault="00000000">
      <w:pPr>
        <w:pBdr>
          <w:top w:val="nil"/>
          <w:left w:val="nil"/>
          <w:bottom w:val="nil"/>
          <w:right w:val="nil"/>
          <w:between w:val="nil"/>
        </w:pBdr>
        <w:spacing w:after="120" w:line="360" w:lineRule="auto"/>
        <w:jc w:val="both"/>
        <w:rPr>
          <w:rFonts w:ascii="Arial" w:eastAsia="Arial" w:hAnsi="Arial" w:cs="Arial"/>
          <w:b/>
          <w:bCs/>
          <w:color w:val="000000"/>
        </w:rPr>
      </w:pPr>
      <w:r>
        <w:rPr>
          <w:rFonts w:ascii="Arial" w:eastAsia="Arial" w:hAnsi="Arial" w:cs="Arial"/>
          <w:b/>
          <w:bCs/>
          <w:color w:val="000000"/>
        </w:rPr>
        <w:t>3.</w:t>
      </w:r>
      <w:r>
        <w:rPr>
          <w:rFonts w:ascii="Arial" w:eastAsia="Arial" w:hAnsi="Arial" w:cs="Arial"/>
          <w:b/>
          <w:bCs/>
        </w:rPr>
        <w:t>4</w:t>
      </w:r>
      <w:r>
        <w:rPr>
          <w:rFonts w:ascii="Arial" w:eastAsia="Arial" w:hAnsi="Arial" w:cs="Arial"/>
          <w:b/>
          <w:bCs/>
          <w:color w:val="000000"/>
        </w:rPr>
        <w:t xml:space="preserve">.1 A ambivalência do princípio </w:t>
      </w:r>
    </w:p>
    <w:p w14:paraId="4298F413"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Mormente, ressalta-se que o princípio da insignificância apresenta caráter ambivalente, isto é, de um lado constitui instrumento de natureza garantista destinado a limitar o poder punitivo estatal, em consonância com a centralidade do princípio da dignidade da pessoa humana, fundamento máximo do Estado Democrático de Direito. De outro, sua aplicação indiscriminada produz efeito contraproducente, de modo que sua finalidade precípua seja deturpada ao ponto de ser utilizado como instrumento para embasar a reiterabilidade delitiva. </w:t>
      </w:r>
    </w:p>
    <w:p w14:paraId="00D86090"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Com efeito, é cediço que a insignificância busca robustecer a sistemática garantidora, mantendo-se em compasso com os demais princípios norteadores do direito </w:t>
      </w:r>
      <w:r>
        <w:rPr>
          <w:rFonts w:ascii="Arial" w:eastAsia="Arial" w:hAnsi="Arial" w:cs="Arial"/>
        </w:rPr>
        <w:lastRenderedPageBreak/>
        <w:t>penal. Nessa perspectiva, a aplicação da insignificância, em um juízo de efeitos positivos no sistema penal, garante a preservação da premissa da dignidade da pessoa humana.</w:t>
      </w:r>
    </w:p>
    <w:p w14:paraId="07FD17C2"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Daí extrai-se efeitos positivos que evitam a estigmatização penal desnecessária, garante a proporcionalidade entre fatos e consequências, além de trazer a tona a concepção do direito penal minimalista, em que a intervenção estatal — na qualidade de titular do </w:t>
      </w:r>
      <w:r>
        <w:rPr>
          <w:rFonts w:ascii="Arial" w:eastAsia="Arial" w:hAnsi="Arial" w:cs="Arial"/>
          <w:i/>
          <w:iCs/>
        </w:rPr>
        <w:t>ius puniendi</w:t>
      </w:r>
      <w:r>
        <w:rPr>
          <w:rFonts w:ascii="Arial" w:eastAsia="Arial" w:hAnsi="Arial" w:cs="Arial"/>
        </w:rPr>
        <w:t xml:space="preserve"> — só se dá quando não houver outra alternativa, conservando, assim, o caráter fragmentário e subsidiário do direito penal. </w:t>
      </w:r>
    </w:p>
    <w:p w14:paraId="13851DBC" w14:textId="77777777" w:rsidR="00A56512" w:rsidRDefault="00000000">
      <w:pPr>
        <w:spacing w:after="120" w:line="360" w:lineRule="auto"/>
        <w:ind w:firstLine="850"/>
        <w:jc w:val="both"/>
        <w:rPr>
          <w:rFonts w:ascii="Arial" w:eastAsia="Arial" w:hAnsi="Arial" w:cs="Arial"/>
        </w:rPr>
      </w:pPr>
      <w:r>
        <w:rPr>
          <w:rFonts w:ascii="Arial" w:eastAsia="Arial" w:hAnsi="Arial" w:cs="Arial"/>
        </w:rPr>
        <w:t>Não obstante, por outro lado da ambivalência há uma grande preocupação quanto à aplicação indiscriminada do instituto e os efeitos por ela potencialmente desencadeados, porquanto a adoção demasiadamente flexível da insignificância conduz a efeitos negativos.</w:t>
      </w:r>
    </w:p>
    <w:p w14:paraId="74D2735F" w14:textId="77777777" w:rsidR="00A56512" w:rsidRDefault="00000000">
      <w:pPr>
        <w:spacing w:after="120" w:line="360" w:lineRule="auto"/>
        <w:ind w:firstLine="850"/>
        <w:jc w:val="both"/>
        <w:rPr>
          <w:rFonts w:ascii="Arial" w:eastAsia="Arial" w:hAnsi="Arial" w:cs="Arial"/>
        </w:rPr>
      </w:pPr>
      <w:r>
        <w:rPr>
          <w:rFonts w:ascii="Arial" w:eastAsia="Arial" w:hAnsi="Arial" w:cs="Arial"/>
        </w:rPr>
        <w:t>Nesse sentido, essa situação torna suscetível o desencadeamento de comportamentos que conduzam à delitividade contumaz, já que inexiste receio dos malfeitores das consequências penais, tornando a prática delitiva potencialmente mais atrativa.</w:t>
      </w:r>
    </w:p>
    <w:p w14:paraId="48A1034D" w14:textId="77777777" w:rsidR="00A56512" w:rsidRDefault="00000000">
      <w:pPr>
        <w:spacing w:after="120" w:line="360" w:lineRule="auto"/>
        <w:ind w:firstLine="850"/>
        <w:jc w:val="both"/>
        <w:rPr>
          <w:rFonts w:ascii="Arial" w:eastAsia="Arial" w:hAnsi="Arial" w:cs="Arial"/>
        </w:rPr>
      </w:pPr>
      <w:r>
        <w:rPr>
          <w:rFonts w:ascii="Arial" w:eastAsia="Arial" w:hAnsi="Arial" w:cs="Arial"/>
        </w:rPr>
        <w:t xml:space="preserve">Além do mais, tem-se também o desdobramento do sentimento de impunidade no seio social, de modo que é comprometida a confiança social nas instituições de justiça, ao se considerar o descompasso das decisões judicias com o senso mínimo de justiça social. </w:t>
      </w:r>
    </w:p>
    <w:p w14:paraId="640885E6" w14:textId="77777777" w:rsidR="00A56512" w:rsidRDefault="00000000">
      <w:pPr>
        <w:spacing w:after="120" w:line="360" w:lineRule="auto"/>
        <w:ind w:firstLine="850"/>
        <w:jc w:val="both"/>
        <w:rPr>
          <w:rFonts w:ascii="Arial" w:eastAsia="Arial" w:hAnsi="Arial" w:cs="Arial"/>
        </w:rPr>
      </w:pPr>
      <w:r>
        <w:rPr>
          <w:rFonts w:ascii="Arial" w:eastAsia="Arial" w:hAnsi="Arial" w:cs="Arial"/>
        </w:rPr>
        <w:t>Outro efeito adverso a ser considerado diz respeito ao enfraquecimento da função preventiva do direito penal, cuja finalidade consiste justamente em desestimular a prática de novas infrações. Na medida em que determinadas condutas deixam de gerar qualquer consequência jurídica relevante, aumenta-se a probabilidade de reiteração criminosa, afastando-se, assim, a eficácia preventiva do ordenamento penal.</w:t>
      </w:r>
    </w:p>
    <w:p w14:paraId="35E08F35" w14:textId="0EAEEF94" w:rsidR="00EC523F" w:rsidRDefault="00000000" w:rsidP="00EC523F">
      <w:pPr>
        <w:spacing w:after="120" w:line="360" w:lineRule="auto"/>
        <w:ind w:firstLine="850"/>
        <w:jc w:val="both"/>
        <w:rPr>
          <w:rFonts w:ascii="Arial" w:eastAsia="Arial" w:hAnsi="Arial" w:cs="Arial"/>
        </w:rPr>
      </w:pPr>
      <w:r>
        <w:rPr>
          <w:rFonts w:ascii="Arial" w:eastAsia="Arial" w:hAnsi="Arial" w:cs="Arial"/>
        </w:rPr>
        <w:t>Diante de todo o exposto, revela-se imprescindível que a aplicação do princípio da insignificância seja realizada de maneira criteriosa, equilibrada e racional, de modo a preservar sua função garantista sem permitir que sua utilização indevida produza efeitos negativos ao sistema penal.</w:t>
      </w:r>
    </w:p>
    <w:p w14:paraId="54926163" w14:textId="57CD34C7" w:rsidR="00A56512" w:rsidRDefault="00EC523F" w:rsidP="008C2BE9">
      <w:pPr>
        <w:rPr>
          <w:rFonts w:ascii="Arial" w:eastAsia="Arial" w:hAnsi="Arial" w:cs="Arial"/>
        </w:rPr>
      </w:pPr>
      <w:r>
        <w:rPr>
          <w:rFonts w:ascii="Arial" w:eastAsia="Arial" w:hAnsi="Arial" w:cs="Arial"/>
        </w:rPr>
        <w:br w:type="page"/>
      </w:r>
    </w:p>
    <w:p w14:paraId="60ABB9E9" w14:textId="77777777" w:rsidR="001D10A5" w:rsidRDefault="001D10A5" w:rsidP="001D10A5">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37080ACB" w14:textId="77777777" w:rsidR="001D10A5" w:rsidRDefault="001D10A5" w:rsidP="001D10A5">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4A92DDD8" w14:textId="77777777" w:rsidR="001D10A5" w:rsidRDefault="001D10A5" w:rsidP="001D10A5">
      <w:pPr>
        <w:widowControl w:val="0"/>
        <w:pBdr>
          <w:top w:val="none" w:sz="0" w:space="0" w:color="000000"/>
          <w:left w:val="none" w:sz="0" w:space="0" w:color="000000"/>
          <w:bottom w:val="none" w:sz="0" w:space="0" w:color="000000"/>
          <w:right w:val="none" w:sz="0" w:space="0" w:color="000000"/>
          <w:between w:val="none" w:sz="0" w:space="0" w:color="000000"/>
        </w:pBdr>
        <w:spacing w:after="120" w:line="360" w:lineRule="auto"/>
        <w:ind w:firstLine="851"/>
        <w:jc w:val="center"/>
        <w:rPr>
          <w:rFonts w:ascii="Arial" w:eastAsia="Arial" w:hAnsi="Arial" w:cs="Arial"/>
          <w:b/>
          <w:bCs/>
          <w:color w:val="000000"/>
        </w:rPr>
      </w:pPr>
    </w:p>
    <w:p w14:paraId="4201F89F" w14:textId="77777777" w:rsidR="001D10A5" w:rsidRDefault="001D10A5" w:rsidP="001D10A5">
      <w:pPr>
        <w:spacing w:after="120" w:line="360" w:lineRule="auto"/>
        <w:rPr>
          <w:rFonts w:ascii="Arial" w:eastAsia="Arial" w:hAnsi="Arial" w:cs="Arial"/>
          <w:b/>
          <w:bCs/>
        </w:rPr>
      </w:pPr>
    </w:p>
    <w:p w14:paraId="02E2C630" w14:textId="553DE188" w:rsidR="00A56512" w:rsidRDefault="00000000">
      <w:pPr>
        <w:spacing w:after="120" w:line="360" w:lineRule="auto"/>
        <w:jc w:val="center"/>
        <w:rPr>
          <w:rFonts w:ascii="Arial" w:eastAsia="Arial" w:hAnsi="Arial" w:cs="Arial"/>
          <w:b/>
          <w:bCs/>
        </w:rPr>
      </w:pPr>
      <w:r>
        <w:rPr>
          <w:rFonts w:ascii="Arial" w:eastAsia="Arial" w:hAnsi="Arial" w:cs="Arial"/>
          <w:b/>
          <w:bCs/>
        </w:rPr>
        <w:t>CONCLUSÃO</w:t>
      </w:r>
    </w:p>
    <w:p w14:paraId="3345C982" w14:textId="77777777" w:rsidR="00CB6714" w:rsidRPr="00CB6714" w:rsidRDefault="00CB6714" w:rsidP="00CB6714">
      <w:pPr>
        <w:spacing w:after="120" w:line="360" w:lineRule="auto"/>
        <w:ind w:firstLine="850"/>
        <w:jc w:val="both"/>
        <w:rPr>
          <w:rFonts w:ascii="Arial" w:eastAsia="Arial" w:hAnsi="Arial" w:cs="Arial"/>
          <w:lang w:val="pt-BR"/>
        </w:rPr>
      </w:pPr>
      <w:r w:rsidRPr="00CB6714">
        <w:rPr>
          <w:rFonts w:ascii="Arial" w:eastAsia="Arial" w:hAnsi="Arial" w:cs="Arial"/>
          <w:lang w:val="pt-BR"/>
        </w:rPr>
        <w:t>O presente trabalho teve como objetivo analisar a aplicação do princípio da insignificância no Direito Penal brasileiro, com enfoque na atuação dos tribunais superiores e nas controvérsias decorrentes de sua incidência em casos de reincidência.</w:t>
      </w:r>
    </w:p>
    <w:p w14:paraId="175060E3" w14:textId="77777777" w:rsidR="00CB6714" w:rsidRPr="00CB6714" w:rsidRDefault="00CB6714" w:rsidP="00CB6714">
      <w:pPr>
        <w:spacing w:after="120" w:line="360" w:lineRule="auto"/>
        <w:ind w:firstLine="850"/>
        <w:jc w:val="both"/>
        <w:rPr>
          <w:rFonts w:ascii="Arial" w:eastAsia="Arial" w:hAnsi="Arial" w:cs="Arial"/>
          <w:lang w:val="pt-BR"/>
        </w:rPr>
      </w:pPr>
      <w:r w:rsidRPr="00CB6714">
        <w:rPr>
          <w:rFonts w:ascii="Arial" w:eastAsia="Arial" w:hAnsi="Arial" w:cs="Arial"/>
          <w:lang w:val="pt-BR"/>
        </w:rPr>
        <w:t>No que se refere ao primeiro problema de pesquisa, conclui-se que os critérios para aplicação do princípio da insignificância encontram-se formalmente consolidados na jurisprudência, sobretudo a partir dos vetores estabelecidos pelo Supremo Tribunal Federal. Contudo, verificou-se que tais parâmetros não são aplicados de maneira uniforme, especialmente em hipóteses que envolvem reiteração delitiva, o que evidencia relevante margem de discricionariedade judicial.</w:t>
      </w:r>
    </w:p>
    <w:p w14:paraId="01A1A415" w14:textId="77777777" w:rsidR="00CB6714" w:rsidRPr="00CB6714" w:rsidRDefault="00CB6714" w:rsidP="00CB6714">
      <w:pPr>
        <w:spacing w:after="120" w:line="360" w:lineRule="auto"/>
        <w:ind w:firstLine="850"/>
        <w:jc w:val="both"/>
        <w:rPr>
          <w:rFonts w:ascii="Arial" w:eastAsia="Arial" w:hAnsi="Arial" w:cs="Arial"/>
          <w:lang w:val="pt-BR"/>
        </w:rPr>
      </w:pPr>
      <w:r w:rsidRPr="00CB6714">
        <w:rPr>
          <w:rFonts w:ascii="Arial" w:eastAsia="Arial" w:hAnsi="Arial" w:cs="Arial"/>
          <w:lang w:val="pt-BR"/>
        </w:rPr>
        <w:t>Quanto ao segundo problema, observa-se que a aplicação do princípio da insignificância nem sempre se mostra plenamente alinhada à percepção de justiça social. Embora seja instrumento essencial de contenção do poder punitivo estatal, sua incidência em contextos de reincidência pode gerar sensação de impunidade, tensionando a relação entre garantismo penal e a função preventiva do Direito Penal.</w:t>
      </w:r>
    </w:p>
    <w:p w14:paraId="31207546" w14:textId="77777777" w:rsidR="00CB6714" w:rsidRPr="00CB6714" w:rsidRDefault="00CB6714" w:rsidP="00CB6714">
      <w:pPr>
        <w:spacing w:after="120" w:line="360" w:lineRule="auto"/>
        <w:ind w:firstLine="850"/>
        <w:jc w:val="both"/>
        <w:rPr>
          <w:rFonts w:ascii="Arial" w:eastAsia="Arial" w:hAnsi="Arial" w:cs="Arial"/>
          <w:lang w:val="pt-BR"/>
        </w:rPr>
      </w:pPr>
      <w:r w:rsidRPr="00CB6714">
        <w:rPr>
          <w:rFonts w:ascii="Arial" w:eastAsia="Arial" w:hAnsi="Arial" w:cs="Arial"/>
          <w:lang w:val="pt-BR"/>
        </w:rPr>
        <w:t>No que tange ao terceiro problema, conclui-se que as divergências jurisprudenciais sobre a aplicação do princípio da insignificância contribuem para a insegurança jurídica, uma vez que a ausência de uniformidade compromete a previsibilidade das decisões e fragiliza a confiança no sistema de justiça penal.</w:t>
      </w:r>
    </w:p>
    <w:p w14:paraId="453FC863" w14:textId="77777777" w:rsidR="00CB6714" w:rsidRPr="00CB6714" w:rsidRDefault="00CB6714" w:rsidP="00CB6714">
      <w:pPr>
        <w:spacing w:after="120" w:line="360" w:lineRule="auto"/>
        <w:ind w:firstLine="850"/>
        <w:jc w:val="both"/>
        <w:rPr>
          <w:rFonts w:ascii="Arial" w:eastAsia="Arial" w:hAnsi="Arial" w:cs="Arial"/>
          <w:lang w:val="pt-BR"/>
        </w:rPr>
      </w:pPr>
      <w:r w:rsidRPr="00CB6714">
        <w:rPr>
          <w:rFonts w:ascii="Arial" w:eastAsia="Arial" w:hAnsi="Arial" w:cs="Arial"/>
          <w:lang w:val="pt-BR"/>
        </w:rPr>
        <w:t>Dessa forma, constata-se um dualismo na aplicação do princípio: de um lado, sua relevância como instrumento de concretização do Direito Penal mínimo e de proteção à dignidade da pessoa humana; de outro, o risco de instabilidade decisória e de percepção de inefetividade do sistema penal.</w:t>
      </w:r>
    </w:p>
    <w:p w14:paraId="3AF747A8" w14:textId="77777777" w:rsidR="00CB6714" w:rsidRPr="00CB6714" w:rsidRDefault="00CB6714" w:rsidP="00CB6714">
      <w:pPr>
        <w:spacing w:after="120" w:line="360" w:lineRule="auto"/>
        <w:ind w:firstLine="850"/>
        <w:jc w:val="both"/>
        <w:rPr>
          <w:rFonts w:ascii="Arial" w:eastAsia="Arial" w:hAnsi="Arial" w:cs="Arial"/>
          <w:lang w:val="pt-BR"/>
        </w:rPr>
      </w:pPr>
      <w:r w:rsidRPr="00CB6714">
        <w:rPr>
          <w:rFonts w:ascii="Arial" w:eastAsia="Arial" w:hAnsi="Arial" w:cs="Arial"/>
          <w:lang w:val="pt-BR"/>
        </w:rPr>
        <w:t>Conclui-se, portanto, que a efetividade do princípio da insignificância no ordenamento jurídico brasileiro depende de aplicação criteriosa, coerente e mais uniforme pelos tribunais, especialmente em casos de reincidência, de modo a equilibrar a proteção dos direitos fundamentais com a preservação da ordem social e da segurança jurídica.</w:t>
      </w:r>
    </w:p>
    <w:p w14:paraId="72285784" w14:textId="77777777" w:rsidR="00A56512" w:rsidRDefault="00000000" w:rsidP="008C2BE9">
      <w:pPr>
        <w:spacing w:after="120" w:line="360" w:lineRule="auto"/>
        <w:ind w:firstLine="850"/>
        <w:jc w:val="both"/>
        <w:rPr>
          <w:rFonts w:ascii="Arial" w:eastAsia="Arial" w:hAnsi="Arial" w:cs="Arial"/>
        </w:rPr>
      </w:pPr>
      <w:r w:rsidRPr="008C2BE9">
        <w:rPr>
          <w:rFonts w:ascii="Arial" w:eastAsia="Arial" w:hAnsi="Arial" w:cs="Arial"/>
        </w:rPr>
        <w:br w:type="page"/>
      </w:r>
    </w:p>
    <w:p w14:paraId="10B2675B" w14:textId="77777777" w:rsidR="00A56512" w:rsidRDefault="00000000">
      <w:pPr>
        <w:pBdr>
          <w:top w:val="nil"/>
          <w:left w:val="nil"/>
          <w:bottom w:val="nil"/>
          <w:right w:val="nil"/>
          <w:between w:val="nil"/>
        </w:pBdr>
        <w:spacing w:line="480" w:lineRule="auto"/>
        <w:jc w:val="both"/>
        <w:rPr>
          <w:b/>
          <w:bCs/>
          <w:color w:val="000000"/>
        </w:rPr>
      </w:pPr>
      <w:r>
        <w:rPr>
          <w:b/>
          <w:bCs/>
          <w:color w:val="000000"/>
        </w:rPr>
        <w:lastRenderedPageBreak/>
        <w:t>REFERÊNCIAS</w:t>
      </w:r>
    </w:p>
    <w:p w14:paraId="2733C00A" w14:textId="77777777" w:rsidR="00A56512" w:rsidRDefault="00000000">
      <w:pPr>
        <w:pStyle w:val="Ttulo1"/>
        <w:tabs>
          <w:tab w:val="left" w:pos="749"/>
        </w:tabs>
        <w:spacing w:before="26"/>
        <w:ind w:left="0"/>
        <w:jc w:val="both"/>
        <w:rPr>
          <w:b w:val="0"/>
          <w:bCs w:val="0"/>
        </w:rPr>
      </w:pPr>
      <w:r>
        <w:rPr>
          <w:b w:val="0"/>
          <w:bCs w:val="0"/>
        </w:rPr>
        <w:t>BITENCOURT, Cézar Roberto. </w:t>
      </w:r>
      <w:r>
        <w:rPr>
          <w:b w:val="0"/>
          <w:bCs w:val="0"/>
          <w:i/>
          <w:iCs/>
        </w:rPr>
        <w:t>Tratado de direito penal: parte geral 1</w:t>
      </w:r>
      <w:r>
        <w:rPr>
          <w:b w:val="0"/>
          <w:bCs w:val="0"/>
        </w:rPr>
        <w:t>. 15.ed. São Paulo: Saraiva.</w:t>
      </w:r>
    </w:p>
    <w:p w14:paraId="075AF908" w14:textId="77777777" w:rsidR="00A56512" w:rsidRDefault="00A56512">
      <w:pPr>
        <w:jc w:val="both"/>
      </w:pPr>
    </w:p>
    <w:p w14:paraId="481060A0" w14:textId="77777777" w:rsidR="00A56512" w:rsidRDefault="00000000">
      <w:pPr>
        <w:pStyle w:val="Ttulo1"/>
        <w:tabs>
          <w:tab w:val="left" w:pos="749"/>
        </w:tabs>
        <w:spacing w:before="26"/>
        <w:ind w:left="0"/>
        <w:jc w:val="both"/>
        <w:rPr>
          <w:b w:val="0"/>
          <w:bCs w:val="0"/>
        </w:rPr>
      </w:pPr>
      <w:r>
        <w:rPr>
          <w:b w:val="0"/>
          <w:bCs w:val="0"/>
        </w:rPr>
        <w:t>BRASIL. Superior Tribunal de Justiça. AgRg no Agravo em Recurso Especial n. 2.287.820/MG. Relator: Ministro Jesuíno Rissato (Desembargador Convocado do TJDFT). Sexta Turma. Julgado em 27 fev. 2024. Diário da Justiça eletrônico, Brasília, 2024. Disponível em: https://www.jusbrasil .com.br/jurisprudencia/stj/2195521873/inteiro-teor-2195521874. Acesso em: 8 mar. 2026.</w:t>
      </w:r>
    </w:p>
    <w:p w14:paraId="3757C739" w14:textId="77777777" w:rsidR="00A56512" w:rsidRDefault="00A56512">
      <w:pPr>
        <w:jc w:val="both"/>
      </w:pPr>
    </w:p>
    <w:p w14:paraId="3D829B2B" w14:textId="77777777" w:rsidR="00A56512" w:rsidRDefault="00000000">
      <w:pPr>
        <w:tabs>
          <w:tab w:val="left" w:pos="749"/>
        </w:tabs>
        <w:spacing w:before="26"/>
        <w:jc w:val="both"/>
      </w:pPr>
      <w:r>
        <w:t xml:space="preserve">BRASIL. Superior Tribunal de Justiça. </w:t>
      </w:r>
      <w:r>
        <w:rPr>
          <w:i/>
          <w:iCs/>
        </w:rPr>
        <w:t>AgRg no Recurso Especial</w:t>
      </w:r>
      <w:r>
        <w:t xml:space="preserve"> n.º 1.467.197/MG. Rel. Ministro Nefi Cordeiro. DJe 10 mar. 2016. Disponível em: STJ – Inteiro Teor</w:t>
      </w:r>
      <w:r>
        <w:rPr>
          <w:b/>
          <w:bCs/>
        </w:rPr>
        <w:t>.</w:t>
      </w:r>
      <w:r>
        <w:t xml:space="preserve"> </w:t>
      </w:r>
    </w:p>
    <w:p w14:paraId="568782B5" w14:textId="77777777" w:rsidR="00A56512" w:rsidRDefault="00A56512">
      <w:pPr>
        <w:tabs>
          <w:tab w:val="left" w:pos="749"/>
        </w:tabs>
        <w:spacing w:before="26"/>
        <w:jc w:val="both"/>
      </w:pPr>
    </w:p>
    <w:p w14:paraId="27AE3B8A" w14:textId="77777777" w:rsidR="00A56512" w:rsidRDefault="00000000">
      <w:pPr>
        <w:tabs>
          <w:tab w:val="left" w:pos="749"/>
        </w:tabs>
        <w:spacing w:before="26"/>
        <w:jc w:val="both"/>
      </w:pPr>
      <w:r>
        <w:t xml:space="preserve">BRASIL. Superior Tribunal de Justiça (5ª Turma). Agravo Regimental no Agravo em Recurso Especial n. 2.189.720/MG. Relator: Ministro Reynaldo Soares da Fonseca. Julgado em 28 fev. 2023. Publicado no DJe de 6 mar. 2023. Disponível em: </w:t>
      </w:r>
      <w:hyperlink r:id="rId10">
        <w:r w:rsidR="00A56512">
          <w:rPr>
            <w:u w:val="single"/>
          </w:rPr>
          <w:t>https://www.lexml.gov.br/urn/urn:lex:br</w:t>
        </w:r>
      </w:hyperlink>
      <w:r>
        <w:t>: superior.tribunal.justica;turma.5:acordao;aresp:2023-02-28;2189720-2253606. Acesso em: 8 mar. 2026.</w:t>
      </w:r>
    </w:p>
    <w:p w14:paraId="622ED22E" w14:textId="77777777" w:rsidR="00A56512" w:rsidRDefault="00A56512">
      <w:pPr>
        <w:pStyle w:val="Ttulo1"/>
        <w:tabs>
          <w:tab w:val="left" w:pos="749"/>
        </w:tabs>
        <w:spacing w:before="26"/>
        <w:ind w:left="0"/>
        <w:jc w:val="both"/>
        <w:rPr>
          <w:b w:val="0"/>
          <w:bCs w:val="0"/>
        </w:rPr>
      </w:pPr>
    </w:p>
    <w:p w14:paraId="39421FA1" w14:textId="77777777" w:rsidR="00A56512" w:rsidRDefault="00000000">
      <w:pPr>
        <w:pStyle w:val="Ttulo1"/>
        <w:tabs>
          <w:tab w:val="left" w:pos="749"/>
        </w:tabs>
        <w:spacing w:before="26"/>
        <w:ind w:left="0"/>
        <w:jc w:val="both"/>
        <w:rPr>
          <w:b w:val="0"/>
          <w:bCs w:val="0"/>
        </w:rPr>
      </w:pPr>
      <w:r>
        <w:rPr>
          <w:b w:val="0"/>
          <w:bCs w:val="0"/>
        </w:rPr>
        <w:t xml:space="preserve">BRASIL. Superior Tribunal de Justiça. Habeas Corpus n. 193.260/RS. Rel. Min. Og Fernandes. Julgado em: 17 ago. 2010. Disponível em: </w:t>
      </w:r>
      <w:hyperlink r:id="rId11">
        <w:r w:rsidR="00A56512">
          <w:rPr>
            <w:b w:val="0"/>
            <w:bCs w:val="0"/>
            <w:u w:val="single"/>
          </w:rPr>
          <w:t>https://stj.jus.br</w:t>
        </w:r>
      </w:hyperlink>
    </w:p>
    <w:p w14:paraId="38C43310" w14:textId="77777777" w:rsidR="00A56512" w:rsidRDefault="00A56512"/>
    <w:p w14:paraId="59E7C2E7" w14:textId="77777777" w:rsidR="00A56512" w:rsidRDefault="00000000">
      <w:pPr>
        <w:tabs>
          <w:tab w:val="left" w:pos="749"/>
        </w:tabs>
        <w:spacing w:before="26"/>
        <w:jc w:val="both"/>
      </w:pPr>
      <w:r>
        <w:t xml:space="preserve">BRASIL. Supremo Tribunal Federal. </w:t>
      </w:r>
      <w:r>
        <w:rPr>
          <w:i/>
          <w:iCs/>
        </w:rPr>
        <w:t>Habeas corpus</w:t>
      </w:r>
      <w:r>
        <w:t xml:space="preserve"> n.º 84.412-0/SP. Rel. Min. Celso de Mello. Julg. 19 out. 2004. Publicado em DJ: 19 nov. 2004. Disponível em: (página de jurisprudência do STF). </w:t>
      </w:r>
    </w:p>
    <w:p w14:paraId="2B2D0CCF" w14:textId="77777777" w:rsidR="00A56512" w:rsidRDefault="00A56512">
      <w:pPr>
        <w:tabs>
          <w:tab w:val="left" w:pos="749"/>
        </w:tabs>
        <w:spacing w:before="26"/>
        <w:jc w:val="both"/>
      </w:pPr>
    </w:p>
    <w:p w14:paraId="7A512275" w14:textId="77777777" w:rsidR="00A56512" w:rsidRDefault="00000000">
      <w:pPr>
        <w:tabs>
          <w:tab w:val="left" w:pos="749"/>
        </w:tabs>
        <w:spacing w:before="26"/>
        <w:jc w:val="both"/>
      </w:pPr>
      <w:r>
        <w:t xml:space="preserve">BRASIL. Supremo Tribunal Federal. </w:t>
      </w:r>
      <w:r>
        <w:rPr>
          <w:i/>
          <w:iCs/>
        </w:rPr>
        <w:t>Habeas corpus</w:t>
      </w:r>
      <w:r>
        <w:t xml:space="preserve"> n.º 87.676/ES. Rel. Min Cezar Peluso. Julg. 06 maio 2008. Publicado em DJ: 06 maio 2008. Disponível em: (página de jurisprudência do STF). </w:t>
      </w:r>
    </w:p>
    <w:p w14:paraId="15A3EABA" w14:textId="77777777" w:rsidR="00A56512" w:rsidRDefault="00A56512">
      <w:pPr>
        <w:jc w:val="both"/>
      </w:pPr>
    </w:p>
    <w:p w14:paraId="4C709DBD" w14:textId="77777777" w:rsidR="00A56512" w:rsidRDefault="00000000">
      <w:pPr>
        <w:jc w:val="both"/>
      </w:pPr>
      <w:r>
        <w:t xml:space="preserve">BRASIL. Supremo Tribunal Federal. HC n. 240.301 AgR. Relator: Ministro Dias Toffoli. Relator p/ acórdão: Ministro André Mendonça. Segunda Turma. Julgado em 20 maio 2024. Diário da Justiça eletrônico, Brasília, 2024. Disponível em: </w:t>
      </w:r>
      <w:hyperlink r:id="rId12">
        <w:r w:rsidR="00A56512">
          <w:rPr>
            <w:u w:val="single"/>
          </w:rPr>
          <w:t>https://portal.stf.jus.br/processos/detalhe.asp?inci</w:t>
        </w:r>
      </w:hyperlink>
      <w:r>
        <w:t xml:space="preserve"> dente=6813023. Acesso em: 10 mar. 2026.</w:t>
      </w:r>
    </w:p>
    <w:p w14:paraId="17603008" w14:textId="77777777" w:rsidR="00A56512" w:rsidRDefault="00A56512">
      <w:pPr>
        <w:jc w:val="both"/>
      </w:pPr>
    </w:p>
    <w:p w14:paraId="601F6A9C" w14:textId="77777777" w:rsidR="00A56512" w:rsidRDefault="00000000">
      <w:r>
        <w:t>BRASIL. Supremo Tribunal Federal. RHC n. 198.175 AgR. Relator: Ministro Edson Fachin. Segunda Turma. Julgado em 11 nov. 2021. Diário da Justiça eletrônico, Brasília, 2022. Disponível em: https://portal.stf.jus.br/processos/detalhe.asp?incidente=6099696. Acesso em: 10 mar. 2026.</w:t>
      </w:r>
    </w:p>
    <w:p w14:paraId="3049DC5B" w14:textId="77777777" w:rsidR="00A56512" w:rsidRDefault="00A56512">
      <w:pPr>
        <w:pStyle w:val="Ttulo1"/>
        <w:tabs>
          <w:tab w:val="left" w:pos="749"/>
        </w:tabs>
        <w:spacing w:before="26"/>
        <w:ind w:left="0"/>
        <w:jc w:val="both"/>
        <w:rPr>
          <w:b w:val="0"/>
          <w:bCs w:val="0"/>
        </w:rPr>
      </w:pPr>
    </w:p>
    <w:p w14:paraId="1C97684D" w14:textId="77777777" w:rsidR="00A56512" w:rsidRDefault="00000000">
      <w:pPr>
        <w:pStyle w:val="Ttulo1"/>
        <w:tabs>
          <w:tab w:val="left" w:pos="749"/>
        </w:tabs>
        <w:spacing w:before="26"/>
        <w:ind w:left="0"/>
        <w:jc w:val="both"/>
        <w:rPr>
          <w:b w:val="0"/>
          <w:bCs w:val="0"/>
        </w:rPr>
      </w:pPr>
      <w:r>
        <w:rPr>
          <w:b w:val="0"/>
          <w:bCs w:val="0"/>
        </w:rPr>
        <w:t>CAPEZ, Fernando. Curso de direito penal: parte geral. São Paulo: Saraiva, 2003.</w:t>
      </w:r>
    </w:p>
    <w:p w14:paraId="77891242" w14:textId="77777777" w:rsidR="00A56512" w:rsidRDefault="00A56512">
      <w:pPr>
        <w:jc w:val="both"/>
      </w:pPr>
    </w:p>
    <w:p w14:paraId="608E6855" w14:textId="77777777" w:rsidR="00A56512" w:rsidRDefault="00000000">
      <w:pPr>
        <w:pStyle w:val="Ttulo1"/>
        <w:tabs>
          <w:tab w:val="left" w:pos="749"/>
        </w:tabs>
        <w:spacing w:before="26"/>
        <w:ind w:left="0"/>
        <w:jc w:val="both"/>
        <w:rPr>
          <w:b w:val="0"/>
          <w:bCs w:val="0"/>
        </w:rPr>
      </w:pPr>
      <w:r>
        <w:rPr>
          <w:b w:val="0"/>
          <w:bCs w:val="0"/>
        </w:rPr>
        <w:t>CAPEZ, Fernando. </w:t>
      </w:r>
      <w:r>
        <w:rPr>
          <w:b w:val="0"/>
          <w:bCs w:val="0"/>
          <w:i/>
          <w:iCs/>
        </w:rPr>
        <w:t>Curso de Direito Penal: parte geral</w:t>
      </w:r>
      <w:r>
        <w:rPr>
          <w:b w:val="0"/>
          <w:bCs w:val="0"/>
        </w:rPr>
        <w:t>. v1. 15.ed. São Paulo: Saraiva, 2011.</w:t>
      </w:r>
    </w:p>
    <w:p w14:paraId="5245768B" w14:textId="77777777" w:rsidR="00A56512" w:rsidRDefault="00A56512">
      <w:pPr>
        <w:pStyle w:val="Ttulo1"/>
        <w:tabs>
          <w:tab w:val="left" w:pos="749"/>
        </w:tabs>
        <w:spacing w:before="26"/>
        <w:ind w:left="0"/>
        <w:jc w:val="both"/>
        <w:rPr>
          <w:b w:val="0"/>
          <w:bCs w:val="0"/>
        </w:rPr>
      </w:pPr>
    </w:p>
    <w:p w14:paraId="4DE1A164" w14:textId="77777777" w:rsidR="00A56512" w:rsidRDefault="00000000">
      <w:pPr>
        <w:pStyle w:val="Ttulo1"/>
        <w:tabs>
          <w:tab w:val="left" w:pos="749"/>
        </w:tabs>
        <w:spacing w:before="26"/>
        <w:ind w:left="0"/>
        <w:jc w:val="both"/>
        <w:rPr>
          <w:b w:val="0"/>
          <w:bCs w:val="0"/>
        </w:rPr>
      </w:pPr>
      <w:r>
        <w:rPr>
          <w:b w:val="0"/>
          <w:bCs w:val="0"/>
        </w:rPr>
        <w:t>GOMES, Luiz Flávio. </w:t>
      </w:r>
      <w:r>
        <w:rPr>
          <w:b w:val="0"/>
          <w:bCs w:val="0"/>
          <w:i/>
          <w:iCs/>
        </w:rPr>
        <w:t>Princípio da Insignificância e outras excludentes de tipicidade.</w:t>
      </w:r>
      <w:r>
        <w:rPr>
          <w:b w:val="0"/>
          <w:bCs w:val="0"/>
        </w:rPr>
        <w:t xml:space="preserve"> 3.ed. ver. atual. e ampl. São Paulo. Revista dos Tribunais, 2013.</w:t>
      </w:r>
    </w:p>
    <w:p w14:paraId="63F94C92" w14:textId="77777777" w:rsidR="00A56512" w:rsidRDefault="00A56512">
      <w:pPr>
        <w:jc w:val="both"/>
      </w:pPr>
    </w:p>
    <w:p w14:paraId="6DFB75AC" w14:textId="77777777" w:rsidR="00A56512" w:rsidRDefault="00000000">
      <w:pPr>
        <w:pStyle w:val="Ttulo1"/>
        <w:tabs>
          <w:tab w:val="left" w:pos="749"/>
        </w:tabs>
        <w:spacing w:before="26"/>
        <w:ind w:left="0"/>
        <w:jc w:val="both"/>
        <w:rPr>
          <w:b w:val="0"/>
          <w:bCs w:val="0"/>
        </w:rPr>
      </w:pPr>
      <w:r>
        <w:rPr>
          <w:b w:val="0"/>
          <w:bCs w:val="0"/>
        </w:rPr>
        <w:t xml:space="preserve">GRECO, Rogério. </w:t>
      </w:r>
      <w:r>
        <w:rPr>
          <w:b w:val="0"/>
          <w:bCs w:val="0"/>
          <w:i/>
          <w:iCs/>
        </w:rPr>
        <w:t>Curso de direito penal: parte especial</w:t>
      </w:r>
      <w:r>
        <w:rPr>
          <w:b w:val="0"/>
          <w:bCs w:val="0"/>
        </w:rPr>
        <w:t xml:space="preserve">. 12. ed. Niterói: Impetus, 2015. </w:t>
      </w:r>
    </w:p>
    <w:p w14:paraId="62DE3241" w14:textId="77777777" w:rsidR="00A56512" w:rsidRDefault="00A56512">
      <w:pPr>
        <w:jc w:val="both"/>
      </w:pPr>
    </w:p>
    <w:p w14:paraId="013AE1AD" w14:textId="77777777" w:rsidR="00A56512" w:rsidRDefault="00000000">
      <w:pPr>
        <w:pStyle w:val="Ttulo1"/>
        <w:tabs>
          <w:tab w:val="left" w:pos="749"/>
        </w:tabs>
        <w:spacing w:before="26"/>
        <w:ind w:left="0"/>
        <w:jc w:val="both"/>
        <w:rPr>
          <w:b w:val="0"/>
          <w:bCs w:val="0"/>
        </w:rPr>
      </w:pPr>
      <w:r>
        <w:rPr>
          <w:b w:val="0"/>
          <w:bCs w:val="0"/>
        </w:rPr>
        <w:t xml:space="preserve">GRECO, Rogério. </w:t>
      </w:r>
      <w:r>
        <w:rPr>
          <w:b w:val="0"/>
          <w:bCs w:val="0"/>
          <w:i/>
          <w:iCs/>
        </w:rPr>
        <w:t>Curso de direito penal: parte geral</w:t>
      </w:r>
      <w:r>
        <w:rPr>
          <w:b w:val="0"/>
          <w:bCs w:val="0"/>
        </w:rPr>
        <w:t xml:space="preserve">. 19. ed. Niterói: Impetus, 2017. </w:t>
      </w:r>
    </w:p>
    <w:p w14:paraId="4AF05934" w14:textId="77777777" w:rsidR="00A56512" w:rsidRDefault="00A56512">
      <w:pPr>
        <w:pStyle w:val="Ttulo1"/>
        <w:tabs>
          <w:tab w:val="left" w:pos="749"/>
        </w:tabs>
        <w:spacing w:before="26"/>
        <w:ind w:left="0"/>
        <w:jc w:val="both"/>
        <w:rPr>
          <w:b w:val="0"/>
          <w:bCs w:val="0"/>
        </w:rPr>
      </w:pPr>
    </w:p>
    <w:p w14:paraId="019AF1F1" w14:textId="77777777" w:rsidR="00A56512" w:rsidRDefault="00000000">
      <w:pPr>
        <w:pStyle w:val="Ttulo1"/>
        <w:tabs>
          <w:tab w:val="left" w:pos="749"/>
        </w:tabs>
        <w:spacing w:before="26"/>
        <w:ind w:left="0"/>
        <w:jc w:val="both"/>
        <w:rPr>
          <w:b w:val="0"/>
          <w:bCs w:val="0"/>
        </w:rPr>
      </w:pPr>
      <w:r>
        <w:rPr>
          <w:b w:val="0"/>
          <w:bCs w:val="0"/>
        </w:rPr>
        <w:t xml:space="preserve">LOPES, Maurício Antonio Ribeiro apud SILVA, Ivan Luiz da. </w:t>
      </w:r>
      <w:r>
        <w:rPr>
          <w:b w:val="0"/>
          <w:bCs w:val="0"/>
          <w:i/>
          <w:iCs/>
        </w:rPr>
        <w:t>Princípio da insignificância no direito penal</w:t>
      </w:r>
      <w:r>
        <w:rPr>
          <w:b w:val="0"/>
          <w:bCs w:val="0"/>
        </w:rPr>
        <w:t>. 2.ed. Curitiba: Juruá, 2011.</w:t>
      </w:r>
    </w:p>
    <w:p w14:paraId="30406585" w14:textId="77777777" w:rsidR="00A56512" w:rsidRDefault="00A56512">
      <w:pPr>
        <w:pStyle w:val="Ttulo1"/>
        <w:tabs>
          <w:tab w:val="left" w:pos="749"/>
        </w:tabs>
        <w:spacing w:before="26"/>
        <w:ind w:left="0"/>
        <w:jc w:val="both"/>
        <w:rPr>
          <w:b w:val="0"/>
          <w:bCs w:val="0"/>
        </w:rPr>
      </w:pPr>
    </w:p>
    <w:p w14:paraId="31837749" w14:textId="77777777" w:rsidR="00A56512" w:rsidRDefault="00000000">
      <w:pPr>
        <w:pStyle w:val="Ttulo1"/>
        <w:tabs>
          <w:tab w:val="left" w:pos="749"/>
        </w:tabs>
        <w:spacing w:before="26"/>
        <w:ind w:left="0"/>
        <w:jc w:val="both"/>
        <w:rPr>
          <w:b w:val="0"/>
          <w:bCs w:val="0"/>
        </w:rPr>
      </w:pPr>
      <w:r>
        <w:rPr>
          <w:b w:val="0"/>
          <w:bCs w:val="0"/>
        </w:rPr>
        <w:lastRenderedPageBreak/>
        <w:t>NUCCI, Guilherme de Souza. </w:t>
      </w:r>
      <w:r>
        <w:rPr>
          <w:b w:val="0"/>
          <w:bCs w:val="0"/>
          <w:i/>
          <w:iCs/>
        </w:rPr>
        <w:t>Manual de Direito Penal: parte geral, parte especial</w:t>
      </w:r>
      <w:r>
        <w:rPr>
          <w:b w:val="0"/>
          <w:bCs w:val="0"/>
        </w:rPr>
        <w:t xml:space="preserve">. 10.ed. São Paulo: Revista dos Tribunais, 2014. </w:t>
      </w:r>
    </w:p>
    <w:p w14:paraId="1B83F3F1" w14:textId="77777777" w:rsidR="00A56512" w:rsidRDefault="00A56512">
      <w:pPr>
        <w:pStyle w:val="Ttulo1"/>
        <w:tabs>
          <w:tab w:val="left" w:pos="749"/>
        </w:tabs>
        <w:spacing w:before="26"/>
        <w:ind w:left="0"/>
        <w:jc w:val="both"/>
        <w:rPr>
          <w:b w:val="0"/>
          <w:bCs w:val="0"/>
        </w:rPr>
      </w:pPr>
    </w:p>
    <w:p w14:paraId="30321A2A" w14:textId="77777777" w:rsidR="00A56512" w:rsidRDefault="00000000">
      <w:pPr>
        <w:pStyle w:val="Ttulo1"/>
        <w:tabs>
          <w:tab w:val="left" w:pos="749"/>
        </w:tabs>
        <w:spacing w:before="26"/>
        <w:ind w:left="0"/>
        <w:jc w:val="both"/>
        <w:rPr>
          <w:b w:val="0"/>
          <w:bCs w:val="0"/>
        </w:rPr>
      </w:pPr>
      <w:r>
        <w:rPr>
          <w:b w:val="0"/>
          <w:bCs w:val="0"/>
        </w:rPr>
        <w:t>ROXIN, Claus</w:t>
      </w:r>
      <w:r>
        <w:rPr>
          <w:b w:val="0"/>
          <w:bCs w:val="0"/>
          <w:i/>
          <w:iCs/>
        </w:rPr>
        <w:t>. Derecho penal: parte general: fundamentos. La estructura de la teoría del delito.</w:t>
      </w:r>
      <w:r>
        <w:rPr>
          <w:b w:val="0"/>
          <w:bCs w:val="0"/>
        </w:rPr>
        <w:t xml:space="preserve"> Tradução de Diego-Manuel Luzón Peña et al. Madrid: Civitas, 2008.</w:t>
      </w:r>
    </w:p>
    <w:p w14:paraId="0D228288" w14:textId="77777777" w:rsidR="00A56512" w:rsidRDefault="00A56512">
      <w:pPr>
        <w:pStyle w:val="Ttulo1"/>
        <w:tabs>
          <w:tab w:val="left" w:pos="749"/>
        </w:tabs>
        <w:spacing w:before="26"/>
        <w:ind w:left="0"/>
        <w:jc w:val="both"/>
        <w:rPr>
          <w:b w:val="0"/>
          <w:bCs w:val="0"/>
        </w:rPr>
      </w:pPr>
    </w:p>
    <w:p w14:paraId="7FF65F40" w14:textId="77777777" w:rsidR="00A56512" w:rsidRDefault="00000000">
      <w:pPr>
        <w:pStyle w:val="Ttulo1"/>
        <w:tabs>
          <w:tab w:val="left" w:pos="749"/>
        </w:tabs>
        <w:spacing w:before="26"/>
        <w:ind w:left="0"/>
        <w:jc w:val="both"/>
        <w:rPr>
          <w:b w:val="0"/>
          <w:bCs w:val="0"/>
        </w:rPr>
      </w:pPr>
      <w:r>
        <w:rPr>
          <w:b w:val="0"/>
          <w:bCs w:val="0"/>
        </w:rPr>
        <w:t>SILVA, Igor Luis Pereira e. </w:t>
      </w:r>
      <w:r>
        <w:rPr>
          <w:b w:val="0"/>
          <w:bCs w:val="0"/>
          <w:i/>
          <w:iCs/>
        </w:rPr>
        <w:t>Princípios Penais</w:t>
      </w:r>
      <w:r>
        <w:rPr>
          <w:b w:val="0"/>
          <w:bCs w:val="0"/>
        </w:rPr>
        <w:t>. Salvador: Jus Podivm, 2012.</w:t>
      </w:r>
    </w:p>
    <w:p w14:paraId="29B11984" w14:textId="77777777" w:rsidR="00A56512" w:rsidRDefault="00A56512">
      <w:pPr>
        <w:pStyle w:val="Ttulo1"/>
        <w:tabs>
          <w:tab w:val="left" w:pos="749"/>
        </w:tabs>
        <w:spacing w:before="26"/>
        <w:ind w:left="0"/>
        <w:jc w:val="both"/>
        <w:rPr>
          <w:b w:val="0"/>
          <w:bCs w:val="0"/>
        </w:rPr>
      </w:pPr>
    </w:p>
    <w:p w14:paraId="0A2CB78C" w14:textId="77777777" w:rsidR="00A56512" w:rsidRDefault="00000000">
      <w:pPr>
        <w:pStyle w:val="Ttulo1"/>
        <w:tabs>
          <w:tab w:val="left" w:pos="749"/>
        </w:tabs>
        <w:spacing w:before="26"/>
        <w:ind w:left="0"/>
        <w:jc w:val="both"/>
        <w:rPr>
          <w:b w:val="0"/>
          <w:bCs w:val="0"/>
        </w:rPr>
      </w:pPr>
      <w:r>
        <w:rPr>
          <w:b w:val="0"/>
          <w:bCs w:val="0"/>
        </w:rPr>
        <w:t>SILVA. Ivan Luiz da. </w:t>
      </w:r>
      <w:r>
        <w:rPr>
          <w:b w:val="0"/>
          <w:bCs w:val="0"/>
          <w:i/>
          <w:iCs/>
        </w:rPr>
        <w:t>Princípio da insignificância no direito penal</w:t>
      </w:r>
      <w:r>
        <w:rPr>
          <w:b w:val="0"/>
          <w:bCs w:val="0"/>
        </w:rPr>
        <w:t>. 2ed. Curitiba: Juruá, 2011.</w:t>
      </w:r>
    </w:p>
    <w:p w14:paraId="708A1A1F" w14:textId="77777777" w:rsidR="00A56512" w:rsidRDefault="00A56512">
      <w:pPr>
        <w:pStyle w:val="Ttulo1"/>
        <w:tabs>
          <w:tab w:val="left" w:pos="749"/>
        </w:tabs>
        <w:spacing w:before="26"/>
        <w:ind w:left="0"/>
        <w:jc w:val="both"/>
        <w:rPr>
          <w:b w:val="0"/>
          <w:bCs w:val="0"/>
        </w:rPr>
      </w:pPr>
    </w:p>
    <w:p w14:paraId="7D19142A" w14:textId="77777777" w:rsidR="00A56512" w:rsidRDefault="00000000">
      <w:pPr>
        <w:pStyle w:val="Ttulo1"/>
        <w:tabs>
          <w:tab w:val="left" w:pos="749"/>
        </w:tabs>
        <w:spacing w:before="26"/>
        <w:ind w:left="0"/>
        <w:jc w:val="both"/>
        <w:rPr>
          <w:b w:val="0"/>
          <w:bCs w:val="0"/>
        </w:rPr>
      </w:pPr>
      <w:r>
        <w:rPr>
          <w:b w:val="0"/>
          <w:bCs w:val="0"/>
        </w:rPr>
        <w:t>QUEIROZ, Paulo de Souza. </w:t>
      </w:r>
      <w:r>
        <w:rPr>
          <w:b w:val="0"/>
          <w:bCs w:val="0"/>
          <w:i/>
          <w:iCs/>
        </w:rPr>
        <w:t>Direito Penal: Introdução Crítica</w:t>
      </w:r>
      <w:r>
        <w:rPr>
          <w:b w:val="0"/>
          <w:bCs w:val="0"/>
        </w:rPr>
        <w:t>. São Paulo: Saraiva, 2001.</w:t>
      </w:r>
    </w:p>
    <w:p w14:paraId="462787AB" w14:textId="77777777" w:rsidR="00A56512" w:rsidRDefault="00A56512">
      <w:pPr>
        <w:pStyle w:val="Ttulo1"/>
        <w:tabs>
          <w:tab w:val="left" w:pos="749"/>
        </w:tabs>
        <w:spacing w:before="26"/>
        <w:ind w:left="0"/>
        <w:jc w:val="both"/>
        <w:rPr>
          <w:b w:val="0"/>
          <w:bCs w:val="0"/>
        </w:rPr>
      </w:pPr>
    </w:p>
    <w:p w14:paraId="758C8110" w14:textId="77777777" w:rsidR="00A56512" w:rsidRDefault="00000000">
      <w:pPr>
        <w:pStyle w:val="Ttulo1"/>
        <w:tabs>
          <w:tab w:val="left" w:pos="749"/>
        </w:tabs>
        <w:spacing w:before="26"/>
        <w:ind w:left="0"/>
        <w:jc w:val="both"/>
      </w:pPr>
      <w:r>
        <w:rPr>
          <w:b w:val="0"/>
          <w:bCs w:val="0"/>
        </w:rPr>
        <w:t xml:space="preserve">ZAFFARONI, Eugenia Raúl. </w:t>
      </w:r>
      <w:r>
        <w:rPr>
          <w:b w:val="0"/>
          <w:bCs w:val="0"/>
          <w:i/>
          <w:iCs/>
        </w:rPr>
        <w:t>Tratado de derecho penal - Parte general</w:t>
      </w:r>
      <w:r>
        <w:rPr>
          <w:b w:val="0"/>
          <w:bCs w:val="0"/>
        </w:rPr>
        <w:t xml:space="preserve"> . Buenos Aires: E diar, 1981. v. III.</w:t>
      </w:r>
    </w:p>
    <w:sectPr w:rsidR="00A56512">
      <w:headerReference w:type="default" r:id="rId13"/>
      <w:pgSz w:w="11900" w:h="16840"/>
      <w:pgMar w:top="851" w:right="1134" w:bottom="851" w:left="1134" w:header="709"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267EF" w14:textId="77777777" w:rsidR="00642482" w:rsidRDefault="00642482">
      <w:r>
        <w:separator/>
      </w:r>
    </w:p>
  </w:endnote>
  <w:endnote w:type="continuationSeparator" w:id="0">
    <w:p w14:paraId="2FA2563E" w14:textId="77777777" w:rsidR="00642482" w:rsidRDefault="0064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embedRegular r:id="rId1" w:fontKey="{0A6C043F-D2B2-4755-9B8C-797745F4C8A6}"/>
    <w:embedBold r:id="rId2" w:fontKey="{0AF2BFD6-6413-4DF5-9AB2-9DDA36D1B3DB}"/>
  </w:font>
  <w:font w:name="Arial Unicode MS">
    <w:altName w:val="Arial"/>
    <w:panose1 w:val="020B0604020202020204"/>
    <w:charset w:val="00"/>
    <w:family w:val="roman"/>
    <w:pitch w:val="variable"/>
    <w:sig w:usb0="00000003" w:usb1="00000000" w:usb2="00000000" w:usb3="00000000" w:csb0="00000001" w:csb1="00000000"/>
  </w:font>
  <w:font w:name="Arial MT">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3" w:fontKey="{DD73ACEB-7090-459D-91F4-933F7594BC06}"/>
  </w:font>
  <w:font w:name="Arimo">
    <w:altName w:val="Arial"/>
    <w:charset w:val="00"/>
    <w:family w:val="auto"/>
    <w:pitch w:val="default"/>
    <w:embedRegular r:id="rId4" w:fontKey="{F1AA0DA9-D206-4D9B-B7AB-F9043E51E604}"/>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4BA44" w14:textId="77777777" w:rsidR="00642482" w:rsidRDefault="00642482">
      <w:r>
        <w:separator/>
      </w:r>
    </w:p>
  </w:footnote>
  <w:footnote w:type="continuationSeparator" w:id="0">
    <w:p w14:paraId="7F4B8D32" w14:textId="77777777" w:rsidR="00642482" w:rsidRDefault="00642482">
      <w:r>
        <w:continuationSeparator/>
      </w:r>
    </w:p>
  </w:footnote>
  <w:footnote w:id="1">
    <w:p w14:paraId="648EE256" w14:textId="6440B111" w:rsidR="0010164B" w:rsidRPr="0010164B" w:rsidRDefault="0010164B">
      <w:pPr>
        <w:pStyle w:val="Textodenotaderodap"/>
        <w:rPr>
          <w:lang w:val="pt-BR"/>
        </w:rPr>
      </w:pPr>
      <w:r>
        <w:rPr>
          <w:rStyle w:val="Refdenotaderodap"/>
        </w:rPr>
        <w:footnoteRef/>
      </w:r>
      <w:r>
        <w:t xml:space="preserve"> </w:t>
      </w:r>
      <w:r>
        <w:rPr>
          <w:rFonts w:ascii="Arial" w:eastAsia="Arial" w:hAnsi="Arial" w:cs="Arial"/>
          <w:color w:val="000000"/>
        </w:rPr>
        <w:t>BRASIL, STJ, Habeas Corpus n. 193.260/RS, Rel. Min. O.G. Fernandes, julgado em 17 ago. 2010.</w:t>
      </w:r>
    </w:p>
  </w:footnote>
  <w:footnote w:id="2">
    <w:p w14:paraId="08AF1146" w14:textId="68E50007" w:rsidR="0010164B" w:rsidRPr="0010164B" w:rsidRDefault="0010164B">
      <w:pPr>
        <w:pStyle w:val="Textodenotaderodap"/>
        <w:rPr>
          <w:rFonts w:ascii="Arial" w:eastAsia="Arial" w:hAnsi="Arial" w:cs="Arial"/>
          <w:color w:val="000000"/>
        </w:rPr>
      </w:pPr>
      <w:r>
        <w:rPr>
          <w:rStyle w:val="Refdenotaderodap"/>
        </w:rPr>
        <w:footnoteRef/>
      </w:r>
      <w:r>
        <w:t xml:space="preserve"> </w:t>
      </w:r>
      <w:r>
        <w:rPr>
          <w:rFonts w:ascii="Arial" w:eastAsia="Arial" w:hAnsi="Arial" w:cs="Arial"/>
          <w:color w:val="000000"/>
        </w:rPr>
        <w:t>HC 84.412-0/SP, Rel. Min. Celso de Mello, STF, 19 out. 2004.</w:t>
      </w:r>
    </w:p>
  </w:footnote>
  <w:footnote w:id="3">
    <w:p w14:paraId="4CC4BBBB" w14:textId="69D34402" w:rsidR="0010164B" w:rsidRPr="0010164B" w:rsidRDefault="0010164B">
      <w:pPr>
        <w:pStyle w:val="Textodenotaderodap"/>
        <w:rPr>
          <w:lang w:val="pt-BR"/>
        </w:rPr>
      </w:pPr>
      <w:r>
        <w:rPr>
          <w:rStyle w:val="Refdenotaderodap"/>
        </w:rPr>
        <w:footnoteRef/>
      </w:r>
      <w:r>
        <w:t xml:space="preserve"> </w:t>
      </w:r>
      <w:r>
        <w:rPr>
          <w:rFonts w:ascii="Arial" w:eastAsia="Arial" w:hAnsi="Arial" w:cs="Arial"/>
          <w:color w:val="000000"/>
        </w:rPr>
        <w:t>AgRg no REsp 1.467.197/MG, STJ, Rel. Min. Nefi Cordeiro, DJe 10 mar. 2016.</w:t>
      </w:r>
    </w:p>
  </w:footnote>
  <w:footnote w:id="4">
    <w:p w14:paraId="732FE595" w14:textId="57CB5AF5" w:rsidR="00BE273E" w:rsidRPr="00BE273E" w:rsidRDefault="00BE273E" w:rsidP="00BE273E">
      <w:pPr>
        <w:pStyle w:val="Textodenotaderodap"/>
      </w:pPr>
      <w:r>
        <w:rPr>
          <w:rStyle w:val="Refdenotaderodap"/>
        </w:rPr>
        <w:footnoteRef/>
      </w:r>
      <w:r>
        <w:t xml:space="preserve"> HC 84.412-0/SP, Rel. Min. Celso de Mello, STF, 19 out. 2004.</w:t>
      </w:r>
    </w:p>
  </w:footnote>
  <w:footnote w:id="5">
    <w:p w14:paraId="0CC4347D" w14:textId="496BC55B" w:rsidR="00BE273E" w:rsidRPr="00BE273E" w:rsidRDefault="00BE273E" w:rsidP="00BE273E">
      <w:pPr>
        <w:pStyle w:val="Textodenotaderodap"/>
      </w:pPr>
      <w:r>
        <w:rPr>
          <w:rStyle w:val="Refdenotaderodap"/>
        </w:rPr>
        <w:footnoteRef/>
      </w:r>
      <w:r>
        <w:t xml:space="preserve"> HC 87.676/ES, Rel. Min. Cezar Peluso, STF, 06 maio 2008.</w:t>
      </w:r>
    </w:p>
  </w:footnote>
  <w:footnote w:id="6">
    <w:p w14:paraId="3F10120D" w14:textId="132233C3" w:rsidR="00BE273E" w:rsidRPr="00BE273E" w:rsidRDefault="00BE273E">
      <w:pPr>
        <w:pStyle w:val="Textodenotaderodap"/>
        <w:rPr>
          <w:lang w:val="pt-BR"/>
        </w:rPr>
      </w:pPr>
      <w:r>
        <w:rPr>
          <w:rStyle w:val="Refdenotaderodap"/>
        </w:rPr>
        <w:footnoteRef/>
      </w:r>
      <w:r>
        <w:t xml:space="preserve"> </w:t>
      </w:r>
      <w:r>
        <w:rPr>
          <w:rFonts w:ascii="Arial" w:eastAsia="Arial" w:hAnsi="Arial" w:cs="Arial"/>
        </w:rPr>
        <w:t xml:space="preserve">HC 240301 AgR, Relator(a): DIAS TOFFOLI, Relator(a) p/ Acórdão: ANDRÉ MENDONÇA, Segunda Turma, julgado em 20-05-2024, PROCESSO ELETRÔNICO DJe-s/n  DIVULG 20-08-2024  PUBLIC 21-08-2024 </w:t>
      </w:r>
    </w:p>
  </w:footnote>
  <w:footnote w:id="7">
    <w:p w14:paraId="7D64A259" w14:textId="19508FC5" w:rsidR="00BE273E" w:rsidRDefault="00BE273E">
      <w:pPr>
        <w:pStyle w:val="Textodenotaderodap"/>
        <w:rPr>
          <w:rFonts w:ascii="Arial" w:eastAsia="Arial" w:hAnsi="Arial" w:cs="Arial"/>
        </w:rPr>
      </w:pPr>
      <w:r>
        <w:rPr>
          <w:rStyle w:val="Refdenotaderodap"/>
        </w:rPr>
        <w:footnoteRef/>
      </w:r>
      <w:r>
        <w:t xml:space="preserve"> </w:t>
      </w:r>
      <w:r>
        <w:rPr>
          <w:rFonts w:ascii="Arial" w:eastAsia="Arial" w:hAnsi="Arial" w:cs="Arial"/>
        </w:rPr>
        <w:t>AgRg no AREsp n. 2.189.720/MG, Rel. Min. Reynaldo Soares da Fonseca, STJ, 28 fev. 2023</w:t>
      </w:r>
    </w:p>
    <w:p w14:paraId="10CF3538" w14:textId="77777777" w:rsidR="00BE273E" w:rsidRPr="00BE273E" w:rsidRDefault="00BE273E">
      <w:pPr>
        <w:pStyle w:val="Textodenotaderodap"/>
        <w:rPr>
          <w:lang w:val="pt-BR"/>
        </w:rPr>
      </w:pPr>
    </w:p>
  </w:footnote>
  <w:footnote w:id="8">
    <w:p w14:paraId="55BEBE6F" w14:textId="4AEBE3A4" w:rsidR="00BE273E" w:rsidRPr="00BE273E" w:rsidRDefault="00BE273E" w:rsidP="00BE273E">
      <w:pPr>
        <w:pStyle w:val="Textodenotaderodap"/>
      </w:pPr>
      <w:r>
        <w:rPr>
          <w:rStyle w:val="Refdenotaderodap"/>
        </w:rPr>
        <w:footnoteRef/>
      </w:r>
      <w:r>
        <w:t xml:space="preserve"> AgRg no AREsp n. 2.287.820/MG, Rel. Min. Jesuíno Rissato (Des. conv. do TJDFT), STJ, 27 fev. 2024</w:t>
      </w:r>
    </w:p>
  </w:footnote>
  <w:footnote w:id="9">
    <w:p w14:paraId="598CE9ED" w14:textId="1733D1B2" w:rsidR="002858A3" w:rsidRDefault="002858A3" w:rsidP="002858A3">
      <w:pPr>
        <w:pStyle w:val="Textodenotaderodap"/>
      </w:pPr>
      <w:r>
        <w:rPr>
          <w:rStyle w:val="Refdenotaderodap"/>
        </w:rPr>
        <w:footnoteRef/>
      </w:r>
      <w:r>
        <w:t xml:space="preserve"> RHC 198175 AgR, Relator(a): EDSON FACHIN, Segunda Turma, julgado em 11-11-2021, PROCESSO</w:t>
      </w:r>
    </w:p>
    <w:p w14:paraId="1F700FAB" w14:textId="2051ED32" w:rsidR="002858A3" w:rsidRDefault="002858A3" w:rsidP="002858A3">
      <w:pPr>
        <w:pStyle w:val="Textodenotaderodap"/>
      </w:pPr>
      <w:r>
        <w:t xml:space="preserve">ELETRÔNICO DJe-037 DIVULG 23-02-2022 PUBLIC 24-02-2022 </w:t>
      </w:r>
    </w:p>
    <w:p w14:paraId="54001560" w14:textId="77777777" w:rsidR="002858A3" w:rsidRPr="002858A3" w:rsidRDefault="002858A3" w:rsidP="002858A3">
      <w:pPr>
        <w:pStyle w:val="Textodenotaderodap"/>
        <w:rPr>
          <w:lang w:val="pt-BR"/>
        </w:rPr>
      </w:pPr>
    </w:p>
  </w:footnote>
  <w:footnote w:id="10">
    <w:p w14:paraId="47A8AADC" w14:textId="3A0066FE" w:rsidR="002858A3" w:rsidRPr="002858A3" w:rsidRDefault="002858A3">
      <w:pPr>
        <w:pStyle w:val="Textodenotaderodap"/>
        <w:rPr>
          <w:lang w:val="pt-BR"/>
        </w:rPr>
      </w:pPr>
      <w:r>
        <w:rPr>
          <w:rStyle w:val="Refdenotaderodap"/>
        </w:rPr>
        <w:footnoteRef/>
      </w:r>
      <w:r>
        <w:t xml:space="preserve"> </w:t>
      </w:r>
      <w:r>
        <w:rPr>
          <w:rFonts w:ascii="Arial" w:eastAsia="Arial" w:hAnsi="Arial" w:cs="Arial"/>
        </w:rPr>
        <w:t>HC 119672, Relator(a): LUIZ FUX, Primeira Turma, julgado em 06-05-2014, PROCESSO ELETRÔNICO DJe-106  DIVULG 02-06-2014  PUBLIC 03-06-2014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6948D" w14:textId="77777777" w:rsidR="00A56512" w:rsidRDefault="00000000">
    <w:pPr>
      <w:keepNext/>
      <w:pBdr>
        <w:top w:val="nil"/>
        <w:left w:val="nil"/>
        <w:bottom w:val="nil"/>
        <w:right w:val="nil"/>
        <w:between w:val="nil"/>
      </w:pBdr>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EA1E69">
      <w:rPr>
        <w:noProof/>
        <w:color w:val="000000"/>
        <w:sz w:val="22"/>
        <w:szCs w:val="22"/>
      </w:rPr>
      <w:t>1</w:t>
    </w:r>
    <w:r>
      <w:rPr>
        <w:color w:val="000000"/>
        <w:sz w:val="22"/>
        <w:szCs w:val="22"/>
      </w:rPr>
      <w:fldChar w:fldCharType="end"/>
    </w:r>
  </w:p>
  <w:p w14:paraId="1C8DA883" w14:textId="77777777" w:rsidR="00A56512" w:rsidRDefault="00A56512">
    <w:pPr>
      <w:keepNext/>
      <w:pBdr>
        <w:top w:val="nil"/>
        <w:left w:val="nil"/>
        <w:bottom w:val="nil"/>
        <w:right w:val="nil"/>
        <w:between w:val="nil"/>
      </w:pBdr>
      <w:rPr>
        <w:rFonts w:ascii="Helvetica Neue" w:eastAsia="Helvetica Neue" w:hAnsi="Helvetica Neue" w:cs="Helvetica Neue"/>
        <w:b/>
        <w:bCs/>
        <w:color w:val="00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E77B8"/>
    <w:multiLevelType w:val="multilevel"/>
    <w:tmpl w:val="BAE80F0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861435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512"/>
    <w:rsid w:val="00020F96"/>
    <w:rsid w:val="000B19D2"/>
    <w:rsid w:val="000D197D"/>
    <w:rsid w:val="0010164B"/>
    <w:rsid w:val="00111898"/>
    <w:rsid w:val="001D10A5"/>
    <w:rsid w:val="002858A3"/>
    <w:rsid w:val="00320EE3"/>
    <w:rsid w:val="003C6B7D"/>
    <w:rsid w:val="003E643E"/>
    <w:rsid w:val="003F6BD4"/>
    <w:rsid w:val="00455322"/>
    <w:rsid w:val="00491EF3"/>
    <w:rsid w:val="004B5BDC"/>
    <w:rsid w:val="00536827"/>
    <w:rsid w:val="005B25FA"/>
    <w:rsid w:val="00642482"/>
    <w:rsid w:val="006D01D2"/>
    <w:rsid w:val="00751DE7"/>
    <w:rsid w:val="008A6821"/>
    <w:rsid w:val="008C2BE9"/>
    <w:rsid w:val="00940CEA"/>
    <w:rsid w:val="00976AF8"/>
    <w:rsid w:val="009D0E0B"/>
    <w:rsid w:val="00A454A3"/>
    <w:rsid w:val="00A56512"/>
    <w:rsid w:val="00B34CFD"/>
    <w:rsid w:val="00B82FF2"/>
    <w:rsid w:val="00B95CA4"/>
    <w:rsid w:val="00BE273E"/>
    <w:rsid w:val="00CB6714"/>
    <w:rsid w:val="00D318E3"/>
    <w:rsid w:val="00DA1109"/>
    <w:rsid w:val="00DC6A83"/>
    <w:rsid w:val="00DC6F8F"/>
    <w:rsid w:val="00EA156C"/>
    <w:rsid w:val="00EA1E69"/>
    <w:rsid w:val="00EB53FD"/>
    <w:rsid w:val="00EC52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F8C32"/>
  <w15:docId w15:val="{60320CB4-DF77-44A9-83F4-F1135C61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pBdr>
        <w:top w:val="none" w:sz="0" w:space="0" w:color="000000"/>
        <w:left w:val="none" w:sz="0" w:space="0" w:color="000000"/>
        <w:bottom w:val="none" w:sz="0" w:space="0" w:color="000000"/>
        <w:right w:val="none" w:sz="0" w:space="0" w:color="000000"/>
        <w:between w:val="none" w:sz="0" w:space="0" w:color="000000"/>
      </w:pBdr>
      <w:ind w:left="618"/>
      <w:jc w:val="center"/>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pBdr>
        <w:top w:val="nil"/>
        <w:left w:val="nil"/>
        <w:bottom w:val="nil"/>
        <w:right w:val="nil"/>
        <w:between w:val="nil"/>
      </w:pBdr>
    </w:pPr>
    <w:rPr>
      <w:rFonts w:ascii="Helvetica Neue" w:eastAsia="Helvetica Neue" w:hAnsi="Helvetica Neue" w:cs="Helvetica Neue"/>
      <w:b/>
      <w:bCs/>
      <w:color w:val="000000"/>
      <w:sz w:val="60"/>
      <w:szCs w:val="60"/>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3">
    <w:name w:val="TableNormal3"/>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table" w:customStyle="1" w:styleId="TableNormal10">
    <w:name w:val="TableNormal1"/>
    <w:tblPr>
      <w:tblCellMar>
        <w:top w:w="100" w:type="dxa"/>
        <w:left w:w="100" w:type="dxa"/>
        <w:bottom w:w="100" w:type="dxa"/>
        <w:right w:w="100" w:type="dxa"/>
      </w:tblCellMar>
    </w:tblPr>
  </w:style>
  <w:style w:type="character" w:styleId="Hyperlink">
    <w:name w:val="Hyperlink"/>
    <w:rPr>
      <w:u w:val="single"/>
    </w:rPr>
  </w:style>
  <w:style w:type="table" w:customStyle="1" w:styleId="TableNormal4">
    <w:name w:val="Table Normal"/>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Corpo">
    <w:name w:val="Corpo"/>
    <w:qFormat/>
    <w:rPr>
      <w:rFonts w:cs="Arial Unicode MS"/>
      <w:color w:val="000000"/>
      <w:u w:color="000000"/>
      <w14:textOutline w14:w="0" w14:cap="flat" w14:cmpd="sng" w14:algn="ctr">
        <w14:noFill/>
        <w14:prstDash w14:val="solid"/>
        <w14:bevel/>
      </w14:textOutline>
    </w:rPr>
  </w:style>
  <w:style w:type="character" w:customStyle="1" w:styleId="Nenhum">
    <w:name w:val="Nenhum"/>
    <w:qFormat/>
  </w:style>
  <w:style w:type="character" w:customStyle="1" w:styleId="Hyperlink0">
    <w:name w:val="Hyperlink.0"/>
    <w:basedOn w:val="Nenhum"/>
    <w:rPr>
      <w:rFonts w:ascii="Times New Roman" w:eastAsia="Times New Roman" w:hAnsi="Times New Roman" w:cs="Times New Roman"/>
      <w:caps w:val="0"/>
      <w:smallCaps w:val="0"/>
      <w:strike w:val="0"/>
      <w:dstrike w:val="0"/>
      <w:outline w:val="0"/>
      <w:color w:val="000000"/>
      <w:spacing w:val="0"/>
      <w:kern w:val="0"/>
      <w:position w:val="0"/>
      <w:sz w:val="28"/>
      <w:szCs w:val="28"/>
      <w:u w:val="single" w:color="000000"/>
      <w:vertAlign w:val="baseline"/>
      <w:lang w:val="pt-PT"/>
      <w14:textOutline w14:w="12700" w14:cap="flat" w14:cmpd="sng" w14:algn="ctr">
        <w14:noFill/>
        <w14:prstDash w14:val="solid"/>
        <w14:miter w14:lim="400000"/>
      </w14:textOutline>
    </w:rPr>
  </w:style>
  <w:style w:type="numbering" w:customStyle="1" w:styleId="Nmeros">
    <w:name w:val="Números"/>
  </w:style>
  <w:style w:type="paragraph" w:customStyle="1" w:styleId="CorpoA">
    <w:name w:val="Corpo A"/>
    <w:pPr>
      <w:spacing w:before="160"/>
    </w:pPr>
    <w:rPr>
      <w:rFonts w:ascii="Helvetica Neue" w:hAnsi="Helvetica Neue" w:cs="Arial Unicode MS"/>
      <w:color w:val="000000"/>
      <w:u w:color="000000"/>
      <w:lang w:val="en-US"/>
      <w14:textOutline w14:w="12700" w14:cap="flat" w14:cmpd="sng" w14:algn="ctr">
        <w14:noFill/>
        <w14:prstDash w14:val="solid"/>
        <w14:miter w14:lim="400000"/>
      </w14:textOutline>
    </w:rPr>
  </w:style>
  <w:style w:type="numbering" w:customStyle="1" w:styleId="Letras">
    <w:name w:val="Letras"/>
  </w:style>
  <w:style w:type="paragraph" w:styleId="Cabealho">
    <w:name w:val="header"/>
    <w:link w:val="CabealhoChar"/>
    <w:uiPriority w:val="99"/>
    <w:pPr>
      <w:keepNext/>
      <w:outlineLvl w:val="0"/>
    </w:pPr>
    <w:rPr>
      <w:rFonts w:ascii="Helvetica Neue" w:hAnsi="Helvetica Neue" w:cs="Arial Unicode MS"/>
      <w:b/>
      <w:bCs/>
      <w:color w:val="000000"/>
      <w:sz w:val="36"/>
      <w:szCs w:val="36"/>
      <w:u w:color="000000"/>
      <w14:textOutline w14:w="12700" w14:cap="flat" w14:cmpd="sng" w14:algn="ctr">
        <w14:noFill/>
        <w14:prstDash w14:val="solid"/>
        <w14:miter w14:lim="400000"/>
      </w14:textOutline>
    </w:rPr>
  </w:style>
  <w:style w:type="paragraph" w:customStyle="1" w:styleId="Padro">
    <w:name w:val="Padrão"/>
    <w:pPr>
      <w:spacing w:before="160"/>
    </w:pPr>
    <w:rPr>
      <w:rFonts w:ascii="Helvetica Neue" w:eastAsia="Helvetica Neue" w:hAnsi="Helvetica Neue" w:cs="Helvetica Neue"/>
      <w:color w:val="000000"/>
      <w:u w:color="000000"/>
      <w14:textOutline w14:w="12700" w14:cap="flat" w14:cmpd="sng" w14:algn="ctr">
        <w14:noFill/>
        <w14:prstDash w14:val="solid"/>
        <w14:miter w14:lim="400000"/>
      </w14:textOutline>
    </w:rPr>
  </w:style>
  <w:style w:type="paragraph" w:styleId="Corpodetexto">
    <w:name w:val="Body Text"/>
    <w:basedOn w:val="Normal"/>
    <w:link w:val="CorpodetextoChar"/>
    <w:uiPriority w:val="1"/>
    <w:qFormat/>
    <w:rsid w:val="00792BC0"/>
    <w:pPr>
      <w:widowControl w:val="0"/>
      <w:autoSpaceDE w:val="0"/>
      <w:autoSpaceDN w:val="0"/>
      <w:spacing w:line="360" w:lineRule="auto"/>
      <w:jc w:val="both"/>
    </w:pPr>
  </w:style>
  <w:style w:type="character" w:customStyle="1" w:styleId="CorpodetextoChar">
    <w:name w:val="Corpo de texto Char"/>
    <w:basedOn w:val="Fontepargpadro"/>
    <w:link w:val="Corpodetexto"/>
    <w:uiPriority w:val="1"/>
    <w:rsid w:val="00792BC0"/>
    <w:rPr>
      <w:rFonts w:eastAsia="Times New Roman"/>
      <w:sz w:val="24"/>
      <w:szCs w:val="24"/>
      <w:bdr w:val="none" w:sz="0" w:space="0" w:color="auto"/>
      <w:lang w:val="pt-PT" w:eastAsia="en-US"/>
    </w:rPr>
  </w:style>
  <w:style w:type="paragraph" w:styleId="PargrafodaLista">
    <w:name w:val="List Paragraph"/>
    <w:basedOn w:val="Normal"/>
    <w:uiPriority w:val="34"/>
    <w:qFormat/>
    <w:rsid w:val="002E71E4"/>
    <w:pPr>
      <w:widowControl w:val="0"/>
      <w:autoSpaceDE w:val="0"/>
      <w:autoSpaceDN w:val="0"/>
      <w:ind w:left="1247" w:hanging="540"/>
    </w:pPr>
    <w:rPr>
      <w:sz w:val="22"/>
      <w:szCs w:val="22"/>
    </w:rPr>
  </w:style>
  <w:style w:type="character" w:customStyle="1" w:styleId="Ttulo1Char">
    <w:name w:val="Título 1 Char"/>
    <w:basedOn w:val="Fontepargpadro"/>
    <w:uiPriority w:val="9"/>
    <w:rsid w:val="00CF787E"/>
    <w:rPr>
      <w:rFonts w:eastAsia="Times New Roman"/>
      <w:b/>
      <w:bCs/>
      <w:sz w:val="24"/>
      <w:szCs w:val="24"/>
      <w:bdr w:val="none" w:sz="0" w:space="0" w:color="auto"/>
      <w:lang w:val="pt-PT" w:eastAsia="en-US"/>
    </w:rPr>
  </w:style>
  <w:style w:type="paragraph" w:customStyle="1" w:styleId="TtuloTCC">
    <w:name w:val="Título [TCC]"/>
    <w:basedOn w:val="Sumrio1"/>
    <w:link w:val="TtuloTCCChar"/>
    <w:qFormat/>
    <w:rsid w:val="00CF787E"/>
    <w:pPr>
      <w:widowControl w:val="0"/>
      <w:autoSpaceDE w:val="0"/>
      <w:autoSpaceDN w:val="0"/>
      <w:spacing w:after="0" w:line="360" w:lineRule="auto"/>
      <w:outlineLvl w:val="0"/>
    </w:pPr>
    <w:rPr>
      <w:rFonts w:eastAsia="Arial MT"/>
      <w:b/>
    </w:rPr>
  </w:style>
  <w:style w:type="character" w:customStyle="1" w:styleId="TtuloTCCChar">
    <w:name w:val="Título [TCC] Char"/>
    <w:basedOn w:val="Fontepargpadro"/>
    <w:link w:val="TtuloTCC"/>
    <w:rsid w:val="00CF787E"/>
    <w:rPr>
      <w:rFonts w:eastAsia="Arial MT"/>
      <w:b/>
      <w:sz w:val="24"/>
      <w:szCs w:val="24"/>
      <w:bdr w:val="none" w:sz="0" w:space="0" w:color="auto"/>
      <w:lang w:val="pt-PT" w:eastAsia="en-US"/>
    </w:rPr>
  </w:style>
  <w:style w:type="paragraph" w:styleId="Sumrio1">
    <w:name w:val="toc 1"/>
    <w:basedOn w:val="Normal"/>
    <w:next w:val="Normal"/>
    <w:autoRedefine/>
    <w:uiPriority w:val="39"/>
    <w:semiHidden/>
    <w:unhideWhenUsed/>
    <w:rsid w:val="00CF787E"/>
    <w:pPr>
      <w:spacing w:after="100"/>
    </w:pPr>
  </w:style>
  <w:style w:type="paragraph" w:customStyle="1" w:styleId="SubttuloTCC">
    <w:name w:val="Subtítulo [TCC]"/>
    <w:basedOn w:val="Normal"/>
    <w:link w:val="SubttuloTCCChar"/>
    <w:qFormat/>
    <w:rsid w:val="00CC508D"/>
    <w:pPr>
      <w:widowControl w:val="0"/>
      <w:autoSpaceDE w:val="0"/>
      <w:autoSpaceDN w:val="0"/>
      <w:spacing w:line="360" w:lineRule="auto"/>
      <w:outlineLvl w:val="1"/>
    </w:pPr>
    <w:rPr>
      <w:b/>
      <w:bCs/>
      <w:lang w:val="pt-BR"/>
    </w:rPr>
  </w:style>
  <w:style w:type="character" w:customStyle="1" w:styleId="SubttuloTCCChar">
    <w:name w:val="Subtítulo [TCC] Char"/>
    <w:basedOn w:val="Fontepargpadro"/>
    <w:link w:val="SubttuloTCC"/>
    <w:rsid w:val="00CC508D"/>
    <w:rPr>
      <w:rFonts w:eastAsia="Times New Roman"/>
      <w:b/>
      <w:bCs/>
      <w:sz w:val="24"/>
      <w:szCs w:val="24"/>
      <w:bdr w:val="none" w:sz="0" w:space="0" w:color="auto"/>
      <w:lang w:eastAsia="en-US"/>
    </w:rPr>
  </w:style>
  <w:style w:type="paragraph" w:styleId="Rodap">
    <w:name w:val="footer"/>
    <w:basedOn w:val="Normal"/>
    <w:link w:val="RodapChar"/>
    <w:uiPriority w:val="99"/>
    <w:unhideWhenUsed/>
    <w:rsid w:val="00895466"/>
    <w:pPr>
      <w:tabs>
        <w:tab w:val="center" w:pos="4252"/>
        <w:tab w:val="right" w:pos="8504"/>
      </w:tabs>
    </w:pPr>
  </w:style>
  <w:style w:type="character" w:customStyle="1" w:styleId="RodapChar">
    <w:name w:val="Rodapé Char"/>
    <w:basedOn w:val="Fontepargpadro"/>
    <w:link w:val="Rodap"/>
    <w:uiPriority w:val="99"/>
    <w:rsid w:val="00895466"/>
    <w:rPr>
      <w:sz w:val="24"/>
      <w:szCs w:val="24"/>
      <w:lang w:val="en-US" w:eastAsia="en-US"/>
    </w:rPr>
  </w:style>
  <w:style w:type="character" w:styleId="Nmerodelinha">
    <w:name w:val="line number"/>
    <w:basedOn w:val="Fontepargpadro"/>
    <w:uiPriority w:val="99"/>
    <w:semiHidden/>
    <w:unhideWhenUsed/>
    <w:rsid w:val="00895466"/>
  </w:style>
  <w:style w:type="character" w:customStyle="1" w:styleId="CabealhoChar">
    <w:name w:val="Cabeçalho Char"/>
    <w:basedOn w:val="Fontepargpadro"/>
    <w:link w:val="Cabealho"/>
    <w:uiPriority w:val="99"/>
    <w:rsid w:val="00B725DF"/>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character" w:customStyle="1" w:styleId="nfaseforte">
    <w:name w:val="Ênfase forte"/>
    <w:qFormat/>
    <w:rsid w:val="00202C50"/>
    <w:rPr>
      <w:b/>
      <w:bCs/>
    </w:rPr>
  </w:style>
  <w:style w:type="character" w:styleId="nfase">
    <w:name w:val="Emphasis"/>
    <w:uiPriority w:val="20"/>
    <w:qFormat/>
    <w:rsid w:val="006C6AE1"/>
    <w:rPr>
      <w:i/>
      <w:iCs/>
    </w:rPr>
  </w:style>
  <w:style w:type="character" w:styleId="MenoPendente">
    <w:name w:val="Unresolved Mention"/>
    <w:basedOn w:val="Fontepargpadro"/>
    <w:uiPriority w:val="99"/>
    <w:semiHidden/>
    <w:unhideWhenUsed/>
    <w:rsid w:val="00CA39C3"/>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extodenotaderodap">
    <w:name w:val="footnote text"/>
    <w:basedOn w:val="Normal"/>
    <w:link w:val="TextodenotaderodapChar"/>
    <w:uiPriority w:val="99"/>
    <w:semiHidden/>
    <w:unhideWhenUsed/>
    <w:rsid w:val="00DC6F8F"/>
    <w:rPr>
      <w:sz w:val="20"/>
      <w:szCs w:val="20"/>
    </w:rPr>
  </w:style>
  <w:style w:type="character" w:customStyle="1" w:styleId="TextodenotaderodapChar">
    <w:name w:val="Texto de nota de rodapé Char"/>
    <w:basedOn w:val="Fontepargpadro"/>
    <w:link w:val="Textodenotaderodap"/>
    <w:uiPriority w:val="99"/>
    <w:semiHidden/>
    <w:rsid w:val="00DC6F8F"/>
    <w:rPr>
      <w:sz w:val="20"/>
      <w:szCs w:val="20"/>
    </w:rPr>
  </w:style>
  <w:style w:type="character" w:styleId="Refdenotaderodap">
    <w:name w:val="footnote reference"/>
    <w:basedOn w:val="Fontepargpadro"/>
    <w:uiPriority w:val="99"/>
    <w:semiHidden/>
    <w:unhideWhenUsed/>
    <w:rsid w:val="00DC6F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portal.stf.jus.br/processos/detalhe.asp?inc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j.jus.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lexml.gov.br/urn/urn:lex:b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dUrZPny95wSoa1FQfEWDJ2fEHA==">CgMxLjA4AHIhMUlaYmR6WVUxQi0wVVRLc2dlLVhjYVNDckl5YlBnX2w5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8299235-5588-4916-9D7E-53AAF3C34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12400</Words>
  <Characters>66966</Characters>
  <Application>Microsoft Office Word</Application>
  <DocSecurity>0</DocSecurity>
  <Lines>558</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CLAUDIA CARDOSO SILVA</dc:creator>
  <cp:lastModifiedBy>FATIMA DE PAULA FERREIRA</cp:lastModifiedBy>
  <cp:revision>2</cp:revision>
  <cp:lastPrinted>2026-03-18T19:55:00Z</cp:lastPrinted>
  <dcterms:created xsi:type="dcterms:W3CDTF">2026-06-16T19:04:00Z</dcterms:created>
  <dcterms:modified xsi:type="dcterms:W3CDTF">2026-06-16T19:04:00Z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0x0101007CF18B398538F542B0C883B28FC26252</vt:lpwstr>
  </property>
</Properties>
</file>