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652C" w14:textId="77777777" w:rsidR="006C186A" w:rsidRDefault="00D60250">
      <w:pPr>
        <w:jc w:val="center"/>
        <w:rPr>
          <w:rFonts w:ascii="Times New Roman" w:eastAsia="Times New Roman" w:hAnsi="Times New Roman" w:cs="Times New Roman"/>
          <w:b/>
          <w:bCs/>
          <w:sz w:val="24"/>
          <w:szCs w:val="24"/>
        </w:rPr>
      </w:pPr>
      <w:r>
        <w:rPr>
          <w:noProof/>
        </w:rPr>
        <w:drawing>
          <wp:inline distT="0" distB="0" distL="0" distR="0" wp14:anchorId="60FE58B1" wp14:editId="189D5F56">
            <wp:extent cx="2590800" cy="2590800"/>
            <wp:effectExtent l="0" t="0" r="0" b="0"/>
            <wp:docPr id="1" name="image1.png" descr="Logotipo, nome da empres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Logotipo, nome da empresa&#10;&#10;O conteúdo gerado por IA pode estar incorreto."/>
                    <pic:cNvPicPr preferRelativeResize="0"/>
                  </pic:nvPicPr>
                  <pic:blipFill>
                    <a:blip r:embed="rId8"/>
                    <a:srcRect/>
                    <a:stretch>
                      <a:fillRect/>
                    </a:stretch>
                  </pic:blipFill>
                  <pic:spPr>
                    <a:xfrm>
                      <a:off x="0" y="0"/>
                      <a:ext cx="2590800" cy="2590800"/>
                    </a:xfrm>
                    <a:prstGeom prst="rect">
                      <a:avLst/>
                    </a:prstGeom>
                    <a:ln/>
                  </pic:spPr>
                </pic:pic>
              </a:graphicData>
            </a:graphic>
          </wp:inline>
        </w:drawing>
      </w:r>
    </w:p>
    <w:p w14:paraId="40620E25" w14:textId="77777777" w:rsidR="006C186A" w:rsidRDefault="00D60250">
      <w:pPr>
        <w:spacing w:line="360" w:lineRule="auto"/>
        <w:ind w:firstLine="709"/>
        <w:jc w:val="center"/>
        <w:rPr>
          <w:rFonts w:ascii="Times New Roman" w:eastAsia="Times New Roman" w:hAnsi="Times New Roman" w:cs="Times New Roman"/>
          <w:sz w:val="38"/>
          <w:szCs w:val="38"/>
        </w:rPr>
      </w:pPr>
      <w:r>
        <w:rPr>
          <w:rFonts w:ascii="Times New Roman" w:eastAsia="Times New Roman" w:hAnsi="Times New Roman" w:cs="Times New Roman"/>
          <w:sz w:val="38"/>
          <w:szCs w:val="38"/>
        </w:rPr>
        <w:t>Perfil epidemiológico dos pacientes de transplante renal no estado de Goiás de 2014 a 2024</w:t>
      </w:r>
    </w:p>
    <w:p w14:paraId="0CC56E06" w14:textId="77777777" w:rsidR="006C186A" w:rsidRDefault="006C186A">
      <w:pPr>
        <w:spacing w:line="360" w:lineRule="auto"/>
        <w:rPr>
          <w:rFonts w:ascii="Times New Roman" w:eastAsia="Times New Roman" w:hAnsi="Times New Roman" w:cs="Times New Roman"/>
          <w:sz w:val="24"/>
          <w:szCs w:val="24"/>
        </w:rPr>
      </w:pPr>
    </w:p>
    <w:p w14:paraId="0D1A81B9" w14:textId="77777777" w:rsidR="006C186A" w:rsidRDefault="00D60250">
      <w:pPr>
        <w:spacing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Discentes:</w:t>
      </w:r>
    </w:p>
    <w:p w14:paraId="4CEF49C2" w14:textId="77777777" w:rsidR="006C186A" w:rsidRDefault="00D60250">
      <w:pPr>
        <w:spacing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Amanda Fonseca Andrade Silva</w:t>
      </w:r>
    </w:p>
    <w:p w14:paraId="12ED701F" w14:textId="77777777" w:rsidR="006C186A" w:rsidRDefault="00D60250">
      <w:pPr>
        <w:spacing w:line="360" w:lineRule="auto"/>
        <w:ind w:firstLine="70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Orcid</w:t>
      </w:r>
      <w:proofErr w:type="spellEnd"/>
      <w:r>
        <w:rPr>
          <w:rFonts w:ascii="Times New Roman" w:eastAsia="Times New Roman" w:hAnsi="Times New Roman" w:cs="Times New Roman"/>
          <w:sz w:val="24"/>
          <w:szCs w:val="24"/>
        </w:rPr>
        <w:t>: 0009-0009-2350-6980</w:t>
      </w:r>
    </w:p>
    <w:p w14:paraId="39F3042B" w14:textId="77777777" w:rsidR="006C186A" w:rsidRDefault="00D60250">
      <w:pPr>
        <w:spacing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Gabriela Gonçalves Castro</w:t>
      </w:r>
    </w:p>
    <w:p w14:paraId="3AF3B439" w14:textId="77777777" w:rsidR="006C186A" w:rsidRDefault="00D60250">
      <w:pPr>
        <w:spacing w:line="360" w:lineRule="auto"/>
        <w:ind w:firstLine="70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Orcid</w:t>
      </w:r>
      <w:proofErr w:type="spellEnd"/>
      <w:r>
        <w:rPr>
          <w:rFonts w:ascii="Times New Roman" w:eastAsia="Times New Roman" w:hAnsi="Times New Roman" w:cs="Times New Roman"/>
          <w:sz w:val="24"/>
          <w:szCs w:val="24"/>
        </w:rPr>
        <w:t>: 0009-0004-9629-752x</w:t>
      </w:r>
    </w:p>
    <w:p w14:paraId="3255B6F0" w14:textId="77777777" w:rsidR="006C186A" w:rsidRDefault="00D60250">
      <w:pPr>
        <w:spacing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gabicastro2112@gmail.com</w:t>
      </w:r>
    </w:p>
    <w:p w14:paraId="1D57F2ED" w14:textId="77777777" w:rsidR="006C186A" w:rsidRDefault="006C186A">
      <w:pPr>
        <w:spacing w:line="360" w:lineRule="auto"/>
        <w:ind w:firstLine="709"/>
        <w:rPr>
          <w:rFonts w:ascii="Times New Roman" w:eastAsia="Times New Roman" w:hAnsi="Times New Roman" w:cs="Times New Roman"/>
          <w:sz w:val="24"/>
          <w:szCs w:val="24"/>
        </w:rPr>
      </w:pPr>
    </w:p>
    <w:p w14:paraId="520F2A7D" w14:textId="77777777" w:rsidR="006C186A" w:rsidRDefault="00D60250">
      <w:pPr>
        <w:spacing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Orientador: Dr. Clayson Moura Gomes</w:t>
      </w:r>
    </w:p>
    <w:p w14:paraId="2ADDE6B0" w14:textId="77777777" w:rsidR="006C186A" w:rsidRDefault="00D60250">
      <w:pPr>
        <w:spacing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Email:claysonmoura@yahoo.com.br</w:t>
      </w:r>
    </w:p>
    <w:p w14:paraId="1DE7A948" w14:textId="77777777" w:rsidR="006C186A" w:rsidRDefault="00D60250">
      <w:pPr>
        <w:spacing w:line="360" w:lineRule="auto"/>
        <w:ind w:firstLine="70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Orcid</w:t>
      </w:r>
      <w:proofErr w:type="spellEnd"/>
      <w:r>
        <w:rPr>
          <w:rFonts w:ascii="Times New Roman" w:eastAsia="Times New Roman" w:hAnsi="Times New Roman" w:cs="Times New Roman"/>
          <w:sz w:val="24"/>
          <w:szCs w:val="24"/>
        </w:rPr>
        <w:t>:</w:t>
      </w:r>
      <w:r>
        <w:t xml:space="preserve"> </w:t>
      </w:r>
      <w:r>
        <w:rPr>
          <w:rFonts w:ascii="Times New Roman" w:eastAsia="Times New Roman" w:hAnsi="Times New Roman" w:cs="Times New Roman"/>
          <w:sz w:val="24"/>
          <w:szCs w:val="24"/>
        </w:rPr>
        <w:t>https://orcid.org/0000-0001-8827-8274</w:t>
      </w:r>
    </w:p>
    <w:p w14:paraId="5B560399" w14:textId="77777777" w:rsidR="006C186A" w:rsidRDefault="00D60250">
      <w:pPr>
        <w:spacing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Filiação: Pontifícia Universidade Católica de Goiás</w:t>
      </w:r>
    </w:p>
    <w:p w14:paraId="0DD4F9A0" w14:textId="77777777" w:rsidR="006C186A" w:rsidRDefault="006C186A">
      <w:pPr>
        <w:rPr>
          <w:rFonts w:ascii="Arial" w:eastAsia="Arial" w:hAnsi="Arial" w:cs="Arial"/>
          <w:b/>
          <w:bCs/>
          <w:color w:val="000000"/>
          <w:sz w:val="24"/>
          <w:szCs w:val="24"/>
        </w:rPr>
      </w:pPr>
    </w:p>
    <w:p w14:paraId="3E7917F6" w14:textId="77777777" w:rsidR="006C186A" w:rsidRDefault="00D60250">
      <w:pPr>
        <w:rPr>
          <w:rFonts w:ascii="Arial" w:eastAsia="Arial" w:hAnsi="Arial" w:cs="Arial"/>
          <w:b/>
          <w:bCs/>
          <w:color w:val="000000"/>
          <w:sz w:val="24"/>
          <w:szCs w:val="24"/>
        </w:rPr>
      </w:pPr>
      <w:r>
        <w:br w:type="page"/>
      </w:r>
    </w:p>
    <w:p w14:paraId="469911FB" w14:textId="77777777" w:rsidR="006C186A" w:rsidRDefault="00D60250">
      <w:pPr>
        <w:pBdr>
          <w:top w:val="nil"/>
          <w:left w:val="nil"/>
          <w:bottom w:val="nil"/>
          <w:right w:val="nil"/>
          <w:between w:val="nil"/>
        </w:pBdr>
        <w:spacing w:after="0" w:line="360" w:lineRule="auto"/>
        <w:jc w:val="both"/>
        <w:rPr>
          <w:rFonts w:ascii="Arial" w:eastAsia="Arial" w:hAnsi="Arial" w:cs="Arial"/>
          <w:b/>
          <w:bCs/>
          <w:color w:val="000000"/>
          <w:sz w:val="24"/>
          <w:szCs w:val="24"/>
        </w:rPr>
      </w:pPr>
      <w:r>
        <w:rPr>
          <w:rFonts w:ascii="Arial" w:eastAsia="Arial" w:hAnsi="Arial" w:cs="Arial"/>
          <w:b/>
          <w:bCs/>
          <w:color w:val="000000"/>
          <w:sz w:val="24"/>
          <w:szCs w:val="24"/>
        </w:rPr>
        <w:lastRenderedPageBreak/>
        <w:t xml:space="preserve">RESUMO </w:t>
      </w:r>
    </w:p>
    <w:p w14:paraId="7953AD50" w14:textId="77777777" w:rsidR="006C186A" w:rsidRDefault="00D60250">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Doença Renal Crônica (DRC) representa um problema de saúde pública crescente no Brasil, impulsionado pela alta prevalência de Hipertensão Arterial Sistêmica (HAS) e Diabetes Mellitus (DM) como principais fatores de risco. O transplante renal constitui a terapia de escolha nos estágios avançados da doença, sendo o conhecimento do perfil epidemiológico dos pacientes transplantados essencial para orientar a prática clínica e o planejamento de políticas públicas em saúde. Este estudo teve como objetivo caracterizar o perfil epidemiológico dos pacientes submetidos a transplante renal no estado de Goiás entre 2014 e 2024. Trata-se de pesquisa observacional retrospectiva de caráter descritivo e analítico, com análise de dados de 3.155 pacientes coletados do Laboratório de Imunologia de Transplantes de Goiás (HLAGYN). As variáveis analisadas incluíram idade, sexo, tipo sanguíneo, modalidade de diálise, comorbidades e Índice de Massa Corporal (IMC), calculado a partir dos dados de peso e altura disponíveis nos registros. A análise estatística foi realizada por meio do teste </w:t>
      </w:r>
      <w:proofErr w:type="spellStart"/>
      <w:r>
        <w:rPr>
          <w:rFonts w:ascii="Times New Roman" w:eastAsia="Times New Roman" w:hAnsi="Times New Roman" w:cs="Times New Roman"/>
          <w:sz w:val="24"/>
          <w:szCs w:val="24"/>
        </w:rPr>
        <w:t>qui</w:t>
      </w:r>
      <w:proofErr w:type="spellEnd"/>
      <w:r>
        <w:rPr>
          <w:rFonts w:ascii="Times New Roman" w:eastAsia="Times New Roman" w:hAnsi="Times New Roman" w:cs="Times New Roman"/>
          <w:sz w:val="24"/>
          <w:szCs w:val="24"/>
        </w:rPr>
        <w:t xml:space="preserve">-quadrado, adotando p &lt; 0,05 como nível de significância. Os resultados mostraram predomínio de pacientes do sexo masculino (61,74%), com idade média de 51 anos e maior concentração na faixa etária entre 51 e 60 anos (24,75%). O tipo sanguíneo O foi o mais frequente (45,86%). Quanto ao perfil clínico, 40% dos registros apresentaram excesso de peso, e a HAS foi a principal comorbidade identificada (24,7%). A hemodiálise predominou como terapia renal substitutiva prévia (68,62%), enquanto a diálise peritoneal registrou apenas 1,81% de utilização. Foi identificada associação estatisticamente significativa entre sexo e desfecho clínico (p &lt; 0,001), com maior proporção de transplantes efetivados em homens (86,0%) e maior taxa de óbito proporcional em mulheres (20,9%). A elevada proporção de registros não informados, especialmente sobre a relação com o doador (62,54%) e o status final do paciente (38,07%), limitou a precisão das análises. O perfil epidemiológico encontrado em Goiás é semelhante ao descrito em outras regiões do país, mas os achados apontam para a necessidade de melhorias na qualidade dos registros em saúde e de políticas públicas voltadas ao diagnóstico precoce, controle dos fatores de risco e incentivo à diálise peritoneal e ao transplante preemptivo. </w:t>
      </w:r>
    </w:p>
    <w:p w14:paraId="1A2CBBD1" w14:textId="77777777" w:rsidR="006C186A" w:rsidRDefault="00D6025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Palavras-chave: </w:t>
      </w:r>
      <w:r>
        <w:rPr>
          <w:rFonts w:ascii="Times New Roman" w:eastAsia="Times New Roman" w:hAnsi="Times New Roman" w:cs="Times New Roman"/>
          <w:sz w:val="24"/>
          <w:szCs w:val="24"/>
        </w:rPr>
        <w:t>Doença renal crônica, Diálise, Comorbidades</w:t>
      </w:r>
    </w:p>
    <w:p w14:paraId="412E0E2D" w14:textId="77777777" w:rsidR="006C186A" w:rsidRDefault="006C186A">
      <w:pPr>
        <w:pBdr>
          <w:top w:val="nil"/>
          <w:left w:val="nil"/>
          <w:bottom w:val="nil"/>
          <w:right w:val="nil"/>
          <w:between w:val="nil"/>
        </w:pBdr>
        <w:spacing w:after="0" w:line="360" w:lineRule="auto"/>
        <w:jc w:val="both"/>
        <w:rPr>
          <w:rFonts w:ascii="Arial" w:eastAsia="Arial" w:hAnsi="Arial" w:cs="Arial"/>
          <w:b/>
          <w:bCs/>
          <w:color w:val="000000"/>
          <w:sz w:val="24"/>
          <w:szCs w:val="24"/>
        </w:rPr>
      </w:pPr>
    </w:p>
    <w:p w14:paraId="1EE2B89B" w14:textId="77777777" w:rsidR="006C186A" w:rsidRDefault="00D60250">
      <w:pPr>
        <w:pBdr>
          <w:top w:val="nil"/>
          <w:left w:val="nil"/>
          <w:bottom w:val="nil"/>
          <w:right w:val="nil"/>
          <w:between w:val="nil"/>
        </w:pBdr>
        <w:spacing w:after="0" w:line="360" w:lineRule="auto"/>
        <w:jc w:val="both"/>
        <w:rPr>
          <w:rFonts w:ascii="Arial" w:eastAsia="Arial" w:hAnsi="Arial" w:cs="Arial"/>
          <w:b/>
          <w:bCs/>
          <w:color w:val="000000"/>
          <w:sz w:val="24"/>
          <w:szCs w:val="24"/>
        </w:rPr>
      </w:pPr>
      <w:r>
        <w:rPr>
          <w:rFonts w:ascii="Arial" w:eastAsia="Arial" w:hAnsi="Arial" w:cs="Arial"/>
          <w:b/>
          <w:bCs/>
          <w:color w:val="000000"/>
          <w:sz w:val="24"/>
          <w:szCs w:val="24"/>
        </w:rPr>
        <w:t xml:space="preserve">ABSTRACT </w:t>
      </w:r>
    </w:p>
    <w:p w14:paraId="7AD0C721" w14:textId="77777777" w:rsidR="006C186A" w:rsidRDefault="00D6025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sz w:val="24"/>
          <w:szCs w:val="24"/>
        </w:rPr>
        <w:t>Chronic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(CKD) </w:t>
      </w:r>
      <w:proofErr w:type="spellStart"/>
      <w:r>
        <w:rPr>
          <w:rFonts w:ascii="Times New Roman" w:eastAsia="Times New Roman" w:hAnsi="Times New Roman" w:cs="Times New Roman"/>
          <w:sz w:val="24"/>
          <w:szCs w:val="24"/>
        </w:rPr>
        <w:t>represents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growing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public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problem</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Brazil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driven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the high </w:t>
      </w:r>
      <w:proofErr w:type="spellStart"/>
      <w:r>
        <w:rPr>
          <w:rFonts w:ascii="Times New Roman" w:eastAsia="Times New Roman" w:hAnsi="Times New Roman" w:cs="Times New Roman"/>
          <w:sz w:val="24"/>
          <w:szCs w:val="24"/>
        </w:rPr>
        <w:t>prevalence</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Systemic</w:t>
      </w:r>
      <w:proofErr w:type="spellEnd"/>
      <w:r>
        <w:rPr>
          <w:rFonts w:ascii="Times New Roman" w:eastAsia="Times New Roman" w:hAnsi="Times New Roman" w:cs="Times New Roman"/>
          <w:sz w:val="24"/>
          <w:szCs w:val="24"/>
        </w:rPr>
        <w:t xml:space="preserve"> Arterial </w:t>
      </w:r>
      <w:proofErr w:type="spellStart"/>
      <w:r>
        <w:rPr>
          <w:rFonts w:ascii="Times New Roman" w:eastAsia="Times New Roman" w:hAnsi="Times New Roman" w:cs="Times New Roman"/>
          <w:sz w:val="24"/>
          <w:szCs w:val="24"/>
        </w:rPr>
        <w:t>Hypertension</w:t>
      </w:r>
      <w:proofErr w:type="spellEnd"/>
      <w:r>
        <w:rPr>
          <w:rFonts w:ascii="Times New Roman" w:eastAsia="Times New Roman" w:hAnsi="Times New Roman" w:cs="Times New Roman"/>
          <w:sz w:val="24"/>
          <w:szCs w:val="24"/>
        </w:rPr>
        <w:t xml:space="preserve"> (SAH)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Diabetes Mellitus (DM) as the </w:t>
      </w:r>
      <w:proofErr w:type="spellStart"/>
      <w:r>
        <w:rPr>
          <w:rFonts w:ascii="Times New Roman" w:eastAsia="Times New Roman" w:hAnsi="Times New Roman" w:cs="Times New Roman"/>
          <w:sz w:val="24"/>
          <w:szCs w:val="24"/>
        </w:rPr>
        <w:t>main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transplantation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treatment</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choice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advanced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stages</w:t>
      </w:r>
      <w:proofErr w:type="spellEnd"/>
      <w:r>
        <w:rPr>
          <w:rFonts w:ascii="Times New Roman" w:eastAsia="Times New Roman" w:hAnsi="Times New Roman" w:cs="Times New Roman"/>
          <w:sz w:val="24"/>
          <w:szCs w:val="24"/>
        </w:rPr>
        <w:t xml:space="preserve"> of the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knowledge</w:t>
      </w:r>
      <w:proofErr w:type="spellEnd"/>
      <w:r>
        <w:rPr>
          <w:rFonts w:ascii="Times New Roman" w:eastAsia="Times New Roman" w:hAnsi="Times New Roman" w:cs="Times New Roman"/>
          <w:sz w:val="24"/>
          <w:szCs w:val="24"/>
        </w:rPr>
        <w:t xml:space="preserve"> of the </w:t>
      </w:r>
      <w:proofErr w:type="spellStart"/>
      <w:r>
        <w:rPr>
          <w:rFonts w:ascii="Times New Roman" w:eastAsia="Times New Roman" w:hAnsi="Times New Roman" w:cs="Times New Roman"/>
          <w:sz w:val="24"/>
          <w:szCs w:val="24"/>
        </w:rPr>
        <w:t>epidemiological</w:t>
      </w:r>
      <w:proofErr w:type="spellEnd"/>
      <w:r>
        <w:rPr>
          <w:rFonts w:ascii="Times New Roman" w:eastAsia="Times New Roman" w:hAnsi="Times New Roman" w:cs="Times New Roman"/>
          <w:sz w:val="24"/>
          <w:szCs w:val="24"/>
        </w:rPr>
        <w:t xml:space="preserve"> profile of </w:t>
      </w:r>
      <w:proofErr w:type="spellStart"/>
      <w:r>
        <w:rPr>
          <w:rFonts w:ascii="Times New Roman" w:eastAsia="Times New Roman" w:hAnsi="Times New Roman" w:cs="Times New Roman"/>
          <w:sz w:val="24"/>
          <w:szCs w:val="24"/>
        </w:rPr>
        <w:t>transplant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essential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guide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clinical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practice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public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planning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aimed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characterize</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epidemiological</w:t>
      </w:r>
      <w:proofErr w:type="spellEnd"/>
      <w:r>
        <w:rPr>
          <w:rFonts w:ascii="Times New Roman" w:eastAsia="Times New Roman" w:hAnsi="Times New Roman" w:cs="Times New Roman"/>
          <w:sz w:val="24"/>
          <w:szCs w:val="24"/>
        </w:rPr>
        <w:t xml:space="preserve"> profile of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underwent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transplantation</w:t>
      </w:r>
      <w:proofErr w:type="spellEnd"/>
      <w:r>
        <w:rPr>
          <w:rFonts w:ascii="Times New Roman" w:eastAsia="Times New Roman" w:hAnsi="Times New Roman" w:cs="Times New Roman"/>
          <w:sz w:val="24"/>
          <w:szCs w:val="24"/>
        </w:rPr>
        <w:t xml:space="preserve"> in the </w:t>
      </w:r>
      <w:proofErr w:type="spellStart"/>
      <w:r>
        <w:rPr>
          <w:rFonts w:ascii="Times New Roman" w:eastAsia="Times New Roman" w:hAnsi="Times New Roman" w:cs="Times New Roman"/>
          <w:sz w:val="24"/>
          <w:szCs w:val="24"/>
        </w:rPr>
        <w:t>state</w:t>
      </w:r>
      <w:proofErr w:type="spellEnd"/>
      <w:r>
        <w:rPr>
          <w:rFonts w:ascii="Times New Roman" w:eastAsia="Times New Roman" w:hAnsi="Times New Roman" w:cs="Times New Roman"/>
          <w:sz w:val="24"/>
          <w:szCs w:val="24"/>
        </w:rPr>
        <w:t xml:space="preserve"> of Goiás </w:t>
      </w:r>
      <w:proofErr w:type="spellStart"/>
      <w:r>
        <w:rPr>
          <w:rFonts w:ascii="Times New Roman" w:eastAsia="Times New Roman" w:hAnsi="Times New Roman" w:cs="Times New Roman"/>
          <w:sz w:val="24"/>
          <w:szCs w:val="24"/>
        </w:rPr>
        <w:t>between</w:t>
      </w:r>
      <w:proofErr w:type="spellEnd"/>
      <w:r>
        <w:rPr>
          <w:rFonts w:ascii="Times New Roman" w:eastAsia="Times New Roman" w:hAnsi="Times New Roman" w:cs="Times New Roman"/>
          <w:sz w:val="24"/>
          <w:szCs w:val="24"/>
        </w:rPr>
        <w:t xml:space="preserve"> 2014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2024.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observational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retrospective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descriptive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analytical</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nature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analyzing</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3,155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collected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Transplant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Immunology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Laboratory</w:t>
      </w:r>
      <w:proofErr w:type="spellEnd"/>
      <w:r>
        <w:rPr>
          <w:rFonts w:ascii="Times New Roman" w:eastAsia="Times New Roman" w:hAnsi="Times New Roman" w:cs="Times New Roman"/>
          <w:sz w:val="24"/>
          <w:szCs w:val="24"/>
        </w:rPr>
        <w:t xml:space="preserve"> of Goiás (HLAGYN). The </w:t>
      </w:r>
      <w:proofErr w:type="spellStart"/>
      <w:r>
        <w:rPr>
          <w:rFonts w:ascii="Times New Roman" w:eastAsia="Times New Roman" w:hAnsi="Times New Roman" w:cs="Times New Roman"/>
          <w:sz w:val="24"/>
          <w:szCs w:val="24"/>
        </w:rPr>
        <w:t>variables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analyzed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included</w:t>
      </w:r>
      <w:proofErr w:type="spellEnd"/>
      <w:r>
        <w:rPr>
          <w:rFonts w:ascii="Times New Roman" w:eastAsia="Times New Roman" w:hAnsi="Times New Roman" w:cs="Times New Roman"/>
          <w:sz w:val="24"/>
          <w:szCs w:val="24"/>
        </w:rPr>
        <w:t xml:space="preserve"> age, sex, </w:t>
      </w:r>
      <w:proofErr w:type="spellStart"/>
      <w:r>
        <w:rPr>
          <w:rFonts w:ascii="Times New Roman" w:eastAsia="Times New Roman" w:hAnsi="Times New Roman" w:cs="Times New Roman"/>
          <w:sz w:val="24"/>
          <w:szCs w:val="24"/>
        </w:rPr>
        <w:t>blood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type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modality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comorbidities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Body Mass Index (BMI), </w:t>
      </w:r>
      <w:proofErr w:type="spellStart"/>
      <w:r>
        <w:rPr>
          <w:rFonts w:ascii="Times New Roman" w:eastAsia="Times New Roman" w:hAnsi="Times New Roman" w:cs="Times New Roman"/>
          <w:sz w:val="24"/>
          <w:szCs w:val="24"/>
        </w:rPr>
        <w:t>calculated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weight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height</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available</w:t>
      </w:r>
      <w:proofErr w:type="spellEnd"/>
      <w:r>
        <w:rPr>
          <w:rFonts w:ascii="Times New Roman" w:eastAsia="Times New Roman" w:hAnsi="Times New Roman" w:cs="Times New Roman"/>
          <w:sz w:val="24"/>
          <w:szCs w:val="24"/>
        </w:rPr>
        <w:t xml:space="preserve"> in the </w:t>
      </w:r>
      <w:proofErr w:type="spellStart"/>
      <w:r>
        <w:rPr>
          <w:rFonts w:ascii="Times New Roman" w:eastAsia="Times New Roman" w:hAnsi="Times New Roman" w:cs="Times New Roman"/>
          <w:sz w:val="24"/>
          <w:szCs w:val="24"/>
        </w:rPr>
        <w:t>records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the chi-</w:t>
      </w:r>
      <w:proofErr w:type="spellStart"/>
      <w:r>
        <w:rPr>
          <w:rFonts w:ascii="Times New Roman" w:eastAsia="Times New Roman" w:hAnsi="Times New Roman" w:cs="Times New Roman"/>
          <w:sz w:val="24"/>
          <w:szCs w:val="24"/>
        </w:rPr>
        <w:t>square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adopting</w:t>
      </w:r>
      <w:proofErr w:type="spellEnd"/>
      <w:r>
        <w:rPr>
          <w:rFonts w:ascii="Times New Roman" w:eastAsia="Times New Roman" w:hAnsi="Times New Roman" w:cs="Times New Roman"/>
          <w:sz w:val="24"/>
          <w:szCs w:val="24"/>
        </w:rPr>
        <w:t xml:space="preserve"> p &lt; 0.05 as the </w:t>
      </w:r>
      <w:proofErr w:type="spellStart"/>
      <w:r>
        <w:rPr>
          <w:rFonts w:ascii="Times New Roman" w:eastAsia="Times New Roman" w:hAnsi="Times New Roman" w:cs="Times New Roman"/>
          <w:sz w:val="24"/>
          <w:szCs w:val="24"/>
        </w:rPr>
        <w:t>significance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showed</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predominance</w:t>
      </w:r>
      <w:proofErr w:type="spellEnd"/>
      <w:r>
        <w:rPr>
          <w:rFonts w:ascii="Times New Roman" w:eastAsia="Times New Roman" w:hAnsi="Times New Roman" w:cs="Times New Roman"/>
          <w:sz w:val="24"/>
          <w:szCs w:val="24"/>
        </w:rPr>
        <w:t xml:space="preserve"> of male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(61.74%),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mean</w:t>
      </w:r>
      <w:proofErr w:type="spellEnd"/>
      <w:r>
        <w:rPr>
          <w:rFonts w:ascii="Times New Roman" w:eastAsia="Times New Roman" w:hAnsi="Times New Roman" w:cs="Times New Roman"/>
          <w:sz w:val="24"/>
          <w:szCs w:val="24"/>
        </w:rPr>
        <w:t xml:space="preserve"> age of 51 </w:t>
      </w:r>
      <w:proofErr w:type="spellStart"/>
      <w:r>
        <w:rPr>
          <w:rFonts w:ascii="Times New Roman" w:eastAsia="Times New Roman" w:hAnsi="Times New Roman" w:cs="Times New Roman"/>
          <w:sz w:val="24"/>
          <w:szCs w:val="24"/>
        </w:rPr>
        <w:t>years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highest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concentration</w:t>
      </w:r>
      <w:proofErr w:type="spellEnd"/>
      <w:r>
        <w:rPr>
          <w:rFonts w:ascii="Times New Roman" w:eastAsia="Times New Roman" w:hAnsi="Times New Roman" w:cs="Times New Roman"/>
          <w:sz w:val="24"/>
          <w:szCs w:val="24"/>
        </w:rPr>
        <w:t xml:space="preserve"> in the 51–60 age </w:t>
      </w:r>
      <w:proofErr w:type="spellStart"/>
      <w:r>
        <w:rPr>
          <w:rFonts w:ascii="Times New Roman" w:eastAsia="Times New Roman" w:hAnsi="Times New Roman" w:cs="Times New Roman"/>
          <w:sz w:val="24"/>
          <w:szCs w:val="24"/>
        </w:rPr>
        <w:t>group</w:t>
      </w:r>
      <w:proofErr w:type="spellEnd"/>
      <w:r>
        <w:rPr>
          <w:rFonts w:ascii="Times New Roman" w:eastAsia="Times New Roman" w:hAnsi="Times New Roman" w:cs="Times New Roman"/>
          <w:sz w:val="24"/>
          <w:szCs w:val="24"/>
        </w:rPr>
        <w:t xml:space="preserve"> (24.75%). </w:t>
      </w:r>
      <w:proofErr w:type="spellStart"/>
      <w:r>
        <w:rPr>
          <w:rFonts w:ascii="Times New Roman" w:eastAsia="Times New Roman" w:hAnsi="Times New Roman" w:cs="Times New Roman"/>
          <w:sz w:val="24"/>
          <w:szCs w:val="24"/>
        </w:rPr>
        <w:t>Blood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type</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most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frequent</w:t>
      </w:r>
      <w:proofErr w:type="spellEnd"/>
      <w:r>
        <w:rPr>
          <w:rFonts w:ascii="Times New Roman" w:eastAsia="Times New Roman" w:hAnsi="Times New Roman" w:cs="Times New Roman"/>
          <w:sz w:val="24"/>
          <w:szCs w:val="24"/>
        </w:rPr>
        <w:t xml:space="preserve"> (45.86%). </w:t>
      </w:r>
      <w:proofErr w:type="spellStart"/>
      <w:r>
        <w:rPr>
          <w:rFonts w:ascii="Times New Roman" w:eastAsia="Times New Roman" w:hAnsi="Times New Roman" w:cs="Times New Roman"/>
          <w:sz w:val="24"/>
          <w:szCs w:val="24"/>
        </w:rPr>
        <w:t>Regarding</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clinical</w:t>
      </w:r>
      <w:proofErr w:type="spellEnd"/>
      <w:r>
        <w:rPr>
          <w:rFonts w:ascii="Times New Roman" w:eastAsia="Times New Roman" w:hAnsi="Times New Roman" w:cs="Times New Roman"/>
          <w:sz w:val="24"/>
          <w:szCs w:val="24"/>
        </w:rPr>
        <w:t xml:space="preserve"> profile, 40% of </w:t>
      </w:r>
      <w:proofErr w:type="spellStart"/>
      <w:r>
        <w:rPr>
          <w:rFonts w:ascii="Times New Roman" w:eastAsia="Times New Roman" w:hAnsi="Times New Roman" w:cs="Times New Roman"/>
          <w:sz w:val="24"/>
          <w:szCs w:val="24"/>
        </w:rPr>
        <w:t>records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showed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excess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weight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SAH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primary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comorbidity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identified</w:t>
      </w:r>
      <w:proofErr w:type="spellEnd"/>
      <w:r>
        <w:rPr>
          <w:rFonts w:ascii="Times New Roman" w:eastAsia="Times New Roman" w:hAnsi="Times New Roman" w:cs="Times New Roman"/>
          <w:sz w:val="24"/>
          <w:szCs w:val="24"/>
        </w:rPr>
        <w:t xml:space="preserve"> (24.7%).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predominated</w:t>
      </w:r>
      <w:proofErr w:type="spellEnd"/>
      <w:r>
        <w:rPr>
          <w:rFonts w:ascii="Times New Roman" w:eastAsia="Times New Roman" w:hAnsi="Times New Roman" w:cs="Times New Roman"/>
          <w:sz w:val="24"/>
          <w:szCs w:val="24"/>
        </w:rPr>
        <w:t xml:space="preserve"> as the prior renal </w:t>
      </w:r>
      <w:proofErr w:type="spellStart"/>
      <w:r>
        <w:rPr>
          <w:rFonts w:ascii="Times New Roman" w:eastAsia="Times New Roman" w:hAnsi="Times New Roman" w:cs="Times New Roman"/>
          <w:sz w:val="24"/>
          <w:szCs w:val="24"/>
        </w:rPr>
        <w:t>replacement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therapy</w:t>
      </w:r>
      <w:proofErr w:type="spellEnd"/>
      <w:r>
        <w:rPr>
          <w:rFonts w:ascii="Times New Roman" w:eastAsia="Times New Roman" w:hAnsi="Times New Roman" w:cs="Times New Roman"/>
          <w:sz w:val="24"/>
          <w:szCs w:val="24"/>
        </w:rPr>
        <w:t xml:space="preserve"> (68.62%), </w:t>
      </w:r>
      <w:proofErr w:type="spellStart"/>
      <w:r>
        <w:rPr>
          <w:rFonts w:ascii="Times New Roman" w:eastAsia="Times New Roman" w:hAnsi="Times New Roman" w:cs="Times New Roman"/>
          <w:sz w:val="24"/>
          <w:szCs w:val="24"/>
        </w:rPr>
        <w:t>while</w:t>
      </w:r>
      <w:proofErr w:type="spellEnd"/>
      <w:r>
        <w:rPr>
          <w:rFonts w:ascii="Times New Roman" w:eastAsia="Times New Roman" w:hAnsi="Times New Roman" w:cs="Times New Roman"/>
          <w:sz w:val="24"/>
          <w:szCs w:val="24"/>
        </w:rPr>
        <w:t xml:space="preserve"> peritoneal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accounted</w:t>
      </w:r>
      <w:proofErr w:type="spellEnd"/>
      <w:r>
        <w:rPr>
          <w:rFonts w:ascii="Times New Roman" w:eastAsia="Times New Roman" w:hAnsi="Times New Roman" w:cs="Times New Roman"/>
          <w:sz w:val="24"/>
          <w:szCs w:val="24"/>
        </w:rPr>
        <w:t xml:space="preserve"> for </w:t>
      </w:r>
      <w:proofErr w:type="spellStart"/>
      <w:r>
        <w:rPr>
          <w:rFonts w:ascii="Times New Roman" w:eastAsia="Times New Roman" w:hAnsi="Times New Roman" w:cs="Times New Roman"/>
          <w:sz w:val="24"/>
          <w:szCs w:val="24"/>
        </w:rPr>
        <w:t>only</w:t>
      </w:r>
      <w:proofErr w:type="spellEnd"/>
      <w:r>
        <w:rPr>
          <w:rFonts w:ascii="Times New Roman" w:eastAsia="Times New Roman" w:hAnsi="Times New Roman" w:cs="Times New Roman"/>
          <w:sz w:val="24"/>
          <w:szCs w:val="24"/>
        </w:rPr>
        <w:t xml:space="preserve"> 1.81%. A </w:t>
      </w:r>
      <w:proofErr w:type="spellStart"/>
      <w:r>
        <w:rPr>
          <w:rFonts w:ascii="Times New Roman" w:eastAsia="Times New Roman" w:hAnsi="Times New Roman" w:cs="Times New Roman"/>
          <w:sz w:val="24"/>
          <w:szCs w:val="24"/>
        </w:rPr>
        <w:t>statistically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significant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association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identified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between</w:t>
      </w:r>
      <w:proofErr w:type="spellEnd"/>
      <w:r>
        <w:rPr>
          <w:rFonts w:ascii="Times New Roman" w:eastAsia="Times New Roman" w:hAnsi="Times New Roman" w:cs="Times New Roman"/>
          <w:sz w:val="24"/>
          <w:szCs w:val="24"/>
        </w:rPr>
        <w:t xml:space="preserve"> sex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clinical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outcome</w:t>
      </w:r>
      <w:proofErr w:type="spellEnd"/>
      <w:r>
        <w:rPr>
          <w:rFonts w:ascii="Times New Roman" w:eastAsia="Times New Roman" w:hAnsi="Times New Roman" w:cs="Times New Roman"/>
          <w:sz w:val="24"/>
          <w:szCs w:val="24"/>
        </w:rPr>
        <w:t xml:space="preserve"> (p &lt; 0.001),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higher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proportion</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transplants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performed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men</w:t>
      </w:r>
      <w:proofErr w:type="spellEnd"/>
      <w:r>
        <w:rPr>
          <w:rFonts w:ascii="Times New Roman" w:eastAsia="Times New Roman" w:hAnsi="Times New Roman" w:cs="Times New Roman"/>
          <w:sz w:val="24"/>
          <w:szCs w:val="24"/>
        </w:rPr>
        <w:t xml:space="preserve"> (86.0%)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higher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proportional</w:t>
      </w:r>
      <w:proofErr w:type="spellEnd"/>
      <w:r>
        <w:rPr>
          <w:rFonts w:ascii="Times New Roman" w:eastAsia="Times New Roman" w:hAnsi="Times New Roman" w:cs="Times New Roman"/>
          <w:sz w:val="24"/>
          <w:szCs w:val="24"/>
        </w:rPr>
        <w:t xml:space="preserve"> death rate </w:t>
      </w:r>
      <w:proofErr w:type="spellStart"/>
      <w:r>
        <w:rPr>
          <w:rFonts w:ascii="Times New Roman" w:eastAsia="Times New Roman" w:hAnsi="Times New Roman" w:cs="Times New Roman"/>
          <w:sz w:val="24"/>
          <w:szCs w:val="24"/>
        </w:rPr>
        <w:t>among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women</w:t>
      </w:r>
      <w:proofErr w:type="spellEnd"/>
      <w:r>
        <w:rPr>
          <w:rFonts w:ascii="Times New Roman" w:eastAsia="Times New Roman" w:hAnsi="Times New Roman" w:cs="Times New Roman"/>
          <w:sz w:val="24"/>
          <w:szCs w:val="24"/>
        </w:rPr>
        <w:t xml:space="preserve"> (20.9%). The high </w:t>
      </w:r>
      <w:proofErr w:type="spellStart"/>
      <w:r>
        <w:rPr>
          <w:rFonts w:ascii="Times New Roman" w:eastAsia="Times New Roman" w:hAnsi="Times New Roman" w:cs="Times New Roman"/>
          <w:sz w:val="24"/>
          <w:szCs w:val="24"/>
        </w:rPr>
        <w:t>proportion</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unreported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records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particularly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regarding</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relationship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donor</w:t>
      </w:r>
      <w:proofErr w:type="spellEnd"/>
      <w:r>
        <w:rPr>
          <w:rFonts w:ascii="Times New Roman" w:eastAsia="Times New Roman" w:hAnsi="Times New Roman" w:cs="Times New Roman"/>
          <w:sz w:val="24"/>
          <w:szCs w:val="24"/>
        </w:rPr>
        <w:t xml:space="preserve"> (62.54%)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final status (38.07%), </w:t>
      </w:r>
      <w:proofErr w:type="spellStart"/>
      <w:r>
        <w:rPr>
          <w:rFonts w:ascii="Times New Roman" w:eastAsia="Times New Roman" w:hAnsi="Times New Roman" w:cs="Times New Roman"/>
          <w:sz w:val="24"/>
          <w:szCs w:val="24"/>
        </w:rPr>
        <w:t>limited</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precision</w:t>
      </w:r>
      <w:proofErr w:type="spellEnd"/>
      <w:r>
        <w:rPr>
          <w:rFonts w:ascii="Times New Roman" w:eastAsia="Times New Roman" w:hAnsi="Times New Roman" w:cs="Times New Roman"/>
          <w:sz w:val="24"/>
          <w:szCs w:val="24"/>
        </w:rPr>
        <w:t xml:space="preserve"> of the </w:t>
      </w:r>
      <w:proofErr w:type="spellStart"/>
      <w:r>
        <w:rPr>
          <w:rFonts w:ascii="Times New Roman" w:eastAsia="Times New Roman" w:hAnsi="Times New Roman" w:cs="Times New Roman"/>
          <w:sz w:val="24"/>
          <w:szCs w:val="24"/>
        </w:rPr>
        <w:t>analyses</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epidemiological</w:t>
      </w:r>
      <w:proofErr w:type="spellEnd"/>
      <w:r>
        <w:rPr>
          <w:rFonts w:ascii="Times New Roman" w:eastAsia="Times New Roman" w:hAnsi="Times New Roman" w:cs="Times New Roman"/>
          <w:sz w:val="24"/>
          <w:szCs w:val="24"/>
        </w:rPr>
        <w:t xml:space="preserve"> profile </w:t>
      </w:r>
      <w:proofErr w:type="spellStart"/>
      <w:r>
        <w:rPr>
          <w:rFonts w:ascii="Times New Roman" w:eastAsia="Times New Roman" w:hAnsi="Times New Roman" w:cs="Times New Roman"/>
          <w:sz w:val="24"/>
          <w:szCs w:val="24"/>
        </w:rPr>
        <w:t>found</w:t>
      </w:r>
      <w:proofErr w:type="spellEnd"/>
      <w:r>
        <w:rPr>
          <w:rFonts w:ascii="Times New Roman" w:eastAsia="Times New Roman" w:hAnsi="Times New Roman" w:cs="Times New Roman"/>
          <w:sz w:val="24"/>
          <w:szCs w:val="24"/>
        </w:rPr>
        <w:t xml:space="preserve"> in Goiás </w:t>
      </w:r>
      <w:proofErr w:type="spellStart"/>
      <w:r>
        <w:rPr>
          <w:rFonts w:ascii="Times New Roman" w:eastAsia="Times New Roman" w:hAnsi="Times New Roman" w:cs="Times New Roman"/>
          <w:sz w:val="24"/>
          <w:szCs w:val="24"/>
        </w:rPr>
        <w:t>resembles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described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regions</w:t>
      </w:r>
      <w:proofErr w:type="spellEnd"/>
      <w:r>
        <w:rPr>
          <w:rFonts w:ascii="Times New Roman" w:eastAsia="Times New Roman" w:hAnsi="Times New Roman" w:cs="Times New Roman"/>
          <w:sz w:val="24"/>
          <w:szCs w:val="24"/>
        </w:rPr>
        <w:t xml:space="preserve"> of the country, </w:t>
      </w:r>
      <w:proofErr w:type="spellStart"/>
      <w:r>
        <w:rPr>
          <w:rFonts w:ascii="Times New Roman" w:eastAsia="Times New Roman" w:hAnsi="Times New Roman" w:cs="Times New Roman"/>
          <w:sz w:val="24"/>
          <w:szCs w:val="24"/>
        </w:rPr>
        <w:t>but</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findings</w:t>
      </w:r>
      <w:proofErr w:type="spellEnd"/>
      <w:r>
        <w:rPr>
          <w:rFonts w:ascii="Times New Roman" w:eastAsia="Times New Roman" w:hAnsi="Times New Roman" w:cs="Times New Roman"/>
          <w:sz w:val="24"/>
          <w:szCs w:val="24"/>
        </w:rPr>
        <w:t xml:space="preserve"> point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need</w:t>
      </w:r>
      <w:proofErr w:type="spellEnd"/>
      <w:r>
        <w:rPr>
          <w:rFonts w:ascii="Times New Roman" w:eastAsia="Times New Roman" w:hAnsi="Times New Roman" w:cs="Times New Roman"/>
          <w:sz w:val="24"/>
          <w:szCs w:val="24"/>
        </w:rPr>
        <w:t xml:space="preserve"> for </w:t>
      </w:r>
      <w:proofErr w:type="spellStart"/>
      <w:r>
        <w:rPr>
          <w:rFonts w:ascii="Times New Roman" w:eastAsia="Times New Roman" w:hAnsi="Times New Roman" w:cs="Times New Roman"/>
          <w:sz w:val="24"/>
          <w:szCs w:val="24"/>
        </w:rPr>
        <w:t>improvements</w:t>
      </w:r>
      <w:proofErr w:type="spellEnd"/>
      <w:r>
        <w:rPr>
          <w:rFonts w:ascii="Times New Roman" w:eastAsia="Times New Roman" w:hAnsi="Times New Roman" w:cs="Times New Roman"/>
          <w:sz w:val="24"/>
          <w:szCs w:val="24"/>
        </w:rPr>
        <w:t xml:space="preserve"> in the </w:t>
      </w:r>
      <w:proofErr w:type="spellStart"/>
      <w:r>
        <w:rPr>
          <w:rFonts w:ascii="Times New Roman" w:eastAsia="Times New Roman" w:hAnsi="Times New Roman" w:cs="Times New Roman"/>
          <w:sz w:val="24"/>
          <w:szCs w:val="24"/>
        </w:rPr>
        <w:t>quality</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records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public</w:t>
      </w:r>
      <w:proofErr w:type="spellEnd"/>
      <w:r>
        <w:rPr>
          <w:rFonts w:ascii="Times New Roman" w:eastAsia="Times New Roman" w:hAnsi="Times New Roman" w:cs="Times New Roman"/>
          <w:sz w:val="24"/>
          <w:szCs w:val="24"/>
        </w:rPr>
        <w:t xml:space="preserve"> policies </w:t>
      </w:r>
      <w:proofErr w:type="spellStart"/>
      <w:r>
        <w:rPr>
          <w:rFonts w:ascii="Times New Roman" w:eastAsia="Times New Roman" w:hAnsi="Times New Roman" w:cs="Times New Roman"/>
          <w:sz w:val="24"/>
          <w:szCs w:val="24"/>
        </w:rPr>
        <w:t>focused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early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diagnosis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control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promotion</w:t>
      </w:r>
      <w:proofErr w:type="spellEnd"/>
      <w:r>
        <w:rPr>
          <w:rFonts w:ascii="Times New Roman" w:eastAsia="Times New Roman" w:hAnsi="Times New Roman" w:cs="Times New Roman"/>
          <w:sz w:val="24"/>
          <w:szCs w:val="24"/>
        </w:rPr>
        <w:t xml:space="preserve"> of peritoneal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preemptive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transplantation</w:t>
      </w:r>
      <w:proofErr w:type="spellEnd"/>
      <w:r>
        <w:rPr>
          <w:rFonts w:ascii="Times New Roman" w:eastAsia="Times New Roman" w:hAnsi="Times New Roman" w:cs="Times New Roman"/>
          <w:sz w:val="24"/>
          <w:szCs w:val="24"/>
        </w:rPr>
        <w:t xml:space="preserve">. </w:t>
      </w:r>
    </w:p>
    <w:p w14:paraId="36743F5D" w14:textId="77777777" w:rsidR="006C186A" w:rsidRDefault="006C186A">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p>
    <w:p w14:paraId="24AFAEB9" w14:textId="77777777" w:rsidR="006C186A" w:rsidRDefault="00D60250">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Keywords:</w:t>
      </w:r>
      <w:r>
        <w:rPr>
          <w:rFonts w:ascii="Times New Roman" w:eastAsia="Times New Roman" w:hAnsi="Times New Roman" w:cs="Times New Roman"/>
          <w:sz w:val="24"/>
          <w:szCs w:val="24"/>
        </w:rPr>
        <w:t>Chronic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Comorbidities</w:t>
      </w:r>
      <w:proofErr w:type="spellEnd"/>
    </w:p>
    <w:p w14:paraId="02CEC42E" w14:textId="77777777" w:rsidR="006C186A" w:rsidRDefault="006C186A">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5148CB70" w14:textId="77777777" w:rsidR="006C186A" w:rsidRDefault="00D60250">
      <w:pPr>
        <w:rPr>
          <w:rFonts w:ascii="Arial" w:eastAsia="Arial" w:hAnsi="Arial" w:cs="Arial"/>
          <w:b/>
          <w:bCs/>
          <w:sz w:val="24"/>
          <w:szCs w:val="24"/>
        </w:rPr>
      </w:pPr>
      <w:r>
        <w:br w:type="page"/>
      </w:r>
    </w:p>
    <w:p w14:paraId="70B16067" w14:textId="77777777" w:rsidR="006C186A" w:rsidRDefault="00D60250">
      <w:pPr>
        <w:spacing w:line="360" w:lineRule="auto"/>
        <w:jc w:val="both"/>
        <w:rPr>
          <w:rFonts w:ascii="Arial" w:eastAsia="Arial" w:hAnsi="Arial" w:cs="Arial"/>
          <w:b/>
          <w:bCs/>
          <w:sz w:val="24"/>
          <w:szCs w:val="24"/>
        </w:rPr>
      </w:pPr>
      <w:r>
        <w:rPr>
          <w:rFonts w:ascii="Arial" w:eastAsia="Arial" w:hAnsi="Arial" w:cs="Arial"/>
          <w:b/>
          <w:bCs/>
          <w:sz w:val="24"/>
          <w:szCs w:val="24"/>
        </w:rPr>
        <w:lastRenderedPageBreak/>
        <w:t>INTRODUÇÃO</w:t>
      </w:r>
    </w:p>
    <w:p w14:paraId="5FCC42A8" w14:textId="77777777" w:rsidR="006C186A" w:rsidRDefault="00D60250">
      <w:pPr>
        <w:spacing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cenário dos transplantes renais no Brasil tem se transformado em resposta às mudanças no estilo de vida e à crescente prevalência dos fatores de risco para a Doença Renal Crônica (DRC). O sedentarismo, a obesidade, a Hipertensão Arterial Sistêmica (HAS) e o Diabetes Mellitus (DM), associados a hábitos alimentares inadequados e ao estresse crônico, contribuem para a progressão da DRC, ampliando a demanda pelo transplante renal como opção terapêutica em estágios avançados da doença (1). </w:t>
      </w:r>
    </w:p>
    <w:p w14:paraId="3A260EF5" w14:textId="77777777" w:rsidR="006C186A" w:rsidRDefault="00D60250">
      <w:pPr>
        <w:spacing w:before="240" w:after="240"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fragilidade clínica dos pacientes com DRC representa um desafio crescente, que exige avaliação cuidadosa dos desfechos pós-transplante e dos riscos associados. Essa condição caracteriza-se pela coexistência de múltiplas comorbidades, elevado risco cardiovascular, alterações metabólicas, distúrbios nutricionais e redução da reserva funcional, fatores relacionados à maior incidência de complicações perioperatórias, rejeição do enxerto e eventos adversos no pós-operatório. Conforme as diretrizes da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Improving</w:t>
      </w:r>
      <w:proofErr w:type="spellEnd"/>
      <w:r>
        <w:rPr>
          <w:rFonts w:ascii="Times New Roman" w:eastAsia="Times New Roman" w:hAnsi="Times New Roman" w:cs="Times New Roman"/>
          <w:sz w:val="24"/>
          <w:szCs w:val="24"/>
        </w:rPr>
        <w:t xml:space="preserve"> Global </w:t>
      </w:r>
      <w:proofErr w:type="spellStart"/>
      <w:r>
        <w:rPr>
          <w:rFonts w:ascii="Times New Roman" w:eastAsia="Times New Roman" w:hAnsi="Times New Roman" w:cs="Times New Roman"/>
          <w:sz w:val="24"/>
          <w:szCs w:val="24"/>
        </w:rPr>
        <w:t>Outcomes</w:t>
      </w:r>
      <w:proofErr w:type="spellEnd"/>
      <w:r>
        <w:rPr>
          <w:rFonts w:ascii="Times New Roman" w:eastAsia="Times New Roman" w:hAnsi="Times New Roman" w:cs="Times New Roman"/>
          <w:sz w:val="24"/>
          <w:szCs w:val="24"/>
        </w:rPr>
        <w:t xml:space="preserve"> (KDIGO), esses elementos influenciam a evolução clínica e a sobrevida do enxerto, indicando que o crescimento no número de procedimentos reflete não apenas os avanços tecnológicos, mas também a mudança no perfil clínico dos pacientes com DRC (2). </w:t>
      </w:r>
    </w:p>
    <w:p w14:paraId="6118A45E" w14:textId="77777777" w:rsidR="006C186A" w:rsidRDefault="00D60250">
      <w:pPr>
        <w:spacing w:before="240" w:after="240"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sistematização do perfil epidemiológico dos candidatos e receptores de transplante renal é essencial para orientar a prática clínica e o planejamento em saúde. A análise de variáveis como peso, Índice de Massa Corporal (IMC), sexo, idade, histórico de tabagismo, uso de medicações e presença de comorbidades permite identificar fatores associados à progressão da DRC, entre eles, obesidade e doenças cardiovasculares (</w:t>
      </w:r>
      <w:proofErr w:type="spellStart"/>
      <w:r>
        <w:rPr>
          <w:rFonts w:ascii="Times New Roman" w:eastAsia="Times New Roman" w:hAnsi="Times New Roman" w:cs="Times New Roman"/>
          <w:sz w:val="24"/>
          <w:szCs w:val="24"/>
        </w:rPr>
        <w:t>DCVs</w:t>
      </w:r>
      <w:proofErr w:type="spellEnd"/>
      <w:r>
        <w:rPr>
          <w:rFonts w:ascii="Times New Roman" w:eastAsia="Times New Roman" w:hAnsi="Times New Roman" w:cs="Times New Roman"/>
          <w:sz w:val="24"/>
          <w:szCs w:val="24"/>
        </w:rPr>
        <w:t xml:space="preserve">) e metabólicas, bem como condições relacionadas a maior risco de complicações e piores desfechos pós-transplante (3). </w:t>
      </w:r>
    </w:p>
    <w:p w14:paraId="0966A269" w14:textId="77777777" w:rsidR="006C186A" w:rsidRDefault="00D60250">
      <w:pPr>
        <w:spacing w:before="240" w:after="240"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caracterização imunológica dos receptores, incluindo a tipagem sanguínea e a compatibilidade entre doador e receptor, é determinante para a viabilidade do enxerto e os desfechos clínicos pós-operatórios. A natureza da relação entre doador e receptor, consanguínea, conjugal ou altruísta, apresenta implicações clínicas e imunológicas relevantes, pois interfere no risco de rejeição, na intensidade do esquema imunossupressor e na adesão ao tratamento a longo prazo. Além disso, a modalidade de terapia dialítica </w:t>
      </w:r>
      <w:proofErr w:type="spellStart"/>
      <w:r>
        <w:rPr>
          <w:rFonts w:ascii="Times New Roman" w:eastAsia="Times New Roman" w:hAnsi="Times New Roman" w:cs="Times New Roman"/>
          <w:sz w:val="24"/>
          <w:szCs w:val="24"/>
        </w:rPr>
        <w:t>pré</w:t>
      </w:r>
      <w:proofErr w:type="spellEnd"/>
      <w:r>
        <w:rPr>
          <w:rFonts w:ascii="Times New Roman" w:eastAsia="Times New Roman" w:hAnsi="Times New Roman" w:cs="Times New Roman"/>
          <w:sz w:val="24"/>
          <w:szCs w:val="24"/>
        </w:rPr>
        <w:t xml:space="preserve">-transplante, hemodiálise ou diálise peritoneal, pode influenciar o estado clínico do paciente no momento do procedimento, com repercussões nutricionais, </w:t>
      </w:r>
      <w:r>
        <w:rPr>
          <w:rFonts w:ascii="Times New Roman" w:eastAsia="Times New Roman" w:hAnsi="Times New Roman" w:cs="Times New Roman"/>
          <w:sz w:val="24"/>
          <w:szCs w:val="24"/>
        </w:rPr>
        <w:lastRenderedPageBreak/>
        <w:t xml:space="preserve">inflamatórias e cardiovasculares que afetam a recuperação pós-operatória e a sobrevida do enxerto (4,15,16). </w:t>
      </w:r>
    </w:p>
    <w:p w14:paraId="41715E13" w14:textId="77777777" w:rsidR="006C186A" w:rsidRDefault="00D60250">
      <w:pPr>
        <w:spacing w:before="240" w:after="240"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doenças autoimunes como causa primária da insuficiência renal, entre elas o Lúpus Eritematoso Sistêmico (LES), a nefropatia por IgA e a glomerulonefrite </w:t>
      </w:r>
      <w:proofErr w:type="spellStart"/>
      <w:r>
        <w:rPr>
          <w:rFonts w:ascii="Times New Roman" w:eastAsia="Times New Roman" w:hAnsi="Times New Roman" w:cs="Times New Roman"/>
          <w:sz w:val="24"/>
          <w:szCs w:val="24"/>
        </w:rPr>
        <w:t>membranoproliferativa</w:t>
      </w:r>
      <w:proofErr w:type="spellEnd"/>
      <w:r>
        <w:rPr>
          <w:rFonts w:ascii="Times New Roman" w:eastAsia="Times New Roman" w:hAnsi="Times New Roman" w:cs="Times New Roman"/>
          <w:sz w:val="24"/>
          <w:szCs w:val="24"/>
        </w:rPr>
        <w:t xml:space="preserve">, também representam um componente clínico de relevância no contexto do transplante. Essas condições impõem desafios ao manejo clínico, exigindo esquemas imunossupressores específicos e acompanhamento rigoroso, em razão do maior risco de recorrência da doença no enxerto, rejeição imunológica e infecções oportunistas (2,5). </w:t>
      </w:r>
    </w:p>
    <w:p w14:paraId="3532E721" w14:textId="77777777" w:rsidR="006C186A" w:rsidRDefault="00D60250">
      <w:pPr>
        <w:spacing w:before="240" w:after="240"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identificação de padrões epidemiológicos pode subsidiar intervenções relevantes, como o aprimoramento dos critérios de seleção para o transplante, a adequação dos protocolos de imunossupressão e o fortalecimento do seguimento ambulatorial pós-transplante (3,5). A integração desses dados também orienta ações de educação em saúde, controle de fatores de risco, adesão ao tratamento e acompanhamento multiprofissional, contribuindo para a promoção da saúde e a qualidade de vida dos pacientes (6,8). </w:t>
      </w:r>
    </w:p>
    <w:p w14:paraId="7CD9A9DC" w14:textId="77777777" w:rsidR="006C186A" w:rsidRDefault="00D60250">
      <w:pPr>
        <w:spacing w:before="240" w:after="240"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disparidade regional no acesso ao transplante renal constitui outro aspecto relevante. Regiões com maior concentração de centros especializados, como o Sudeste, registram número expressivamente superior de procedimentos, enquanto estados como Goiás enfrentam limitações de infraestrutura, menor oferta de serviços especializados e barreiras logísticas, fatores que influenciam diretamente o tempo em lista de espera e os desfechos clínicos (7). </w:t>
      </w:r>
    </w:p>
    <w:p w14:paraId="45566B10" w14:textId="77777777" w:rsidR="006C186A" w:rsidRDefault="00D60250">
      <w:pPr>
        <w:spacing w:before="240" w:after="240"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análise da fila de espera e do perfil dos receptores revela desequilíbrios regionais nos quais a centralização dos serviços compromete a equidade no acesso ao transplante renal (4). Dados do Sistema Nacional de Transplantes corroboram esse cenário e reforçam a necessidade de reestruturação dos serviços e de políticas públicas voltadas à descentralização do atendimento (8,9). Esse padrão de desigualdade não é exclusivo do Brasil, estando presente em outros países em desenvolvimento da América Latina, África e Ásia, onde a escassez de centros transplantadores, as limitações financeiras e a dependência de poucos serviços de referência restringem o acesso ao procedimento (10). </w:t>
      </w:r>
    </w:p>
    <w:p w14:paraId="1F560E52" w14:textId="77777777" w:rsidR="006C186A" w:rsidRDefault="00D60250">
      <w:pPr>
        <w:spacing w:before="240" w:after="240"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integração dos dados epidemiológicos com as análises regionais é essencial para o aprimoramento da prática clínica e do planejamento em saúde. A caracterização detalhada do perfil dos pacientes, a partir de variáveis clínicas e epidemiológicas, fornece subsídios para a elaboração de protocolos terapêuticos orientados à redução do tempo de espera e à melhora dos desfechos pós-transplante (11). </w:t>
      </w:r>
    </w:p>
    <w:p w14:paraId="43701A88" w14:textId="77777777" w:rsidR="006C186A" w:rsidRDefault="00D60250">
      <w:pPr>
        <w:spacing w:before="240" w:after="240"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estados como Goiás, essa abordagem pode aprimorar os processos de seleção e organização dos serviços, com reflexos na sobrevida do enxerto e na qualidade de vida dos pacientes transplantados (12). O presente estudo tem como objetivo caracterizar o perfil epidemiológico dos pacientes submetidos a transplante renal no estado de Goiás entre 2014 e 2024, com vistas a fornecer subsídios para a prática clínica e o planejamento de políticas públicas em saúde. </w:t>
      </w:r>
    </w:p>
    <w:p w14:paraId="3EB6BCD5" w14:textId="77777777" w:rsidR="006C186A" w:rsidRDefault="00D60250">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MATERIAIS 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MÉTODOS: </w:t>
      </w:r>
    </w:p>
    <w:p w14:paraId="037700AA" w14:textId="77777777" w:rsidR="006C186A" w:rsidRDefault="00D60250">
      <w:pPr>
        <w:pBdr>
          <w:top w:val="nil"/>
          <w:left w:val="nil"/>
          <w:bottom w:val="nil"/>
          <w:right w:val="nil"/>
          <w:between w:val="nil"/>
        </w:pBdr>
        <w:spacing w:before="5" w:after="200" w:line="360" w:lineRule="auto"/>
        <w:ind w:left="284"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O presente estudo, de caráter observacional retrospectivo descritivo e analítico, analisou dados de 3155 pacientes submetidos a transplante renal no estado de Goiás entre os anos de 2014 e 2024. Os dados foram coletados do Laboratório de Imunologia de Transplantes de Goiás (HLAGYN). As variáveis analisadas incluíram tipagem sanguínea, idade, sexo, relação com os doadores, tipo de diálise, tabagismo, doenças de base e IMC calculado a partir dos dados de peso e altura disponíveis nos registros, pela fórmula peso (kg) dividido pelo quadrado da altura (m²). </w:t>
      </w:r>
    </w:p>
    <w:p w14:paraId="07611F9A" w14:textId="77777777" w:rsidR="006C186A" w:rsidRDefault="00D60250">
      <w:pPr>
        <w:pBdr>
          <w:top w:val="nil"/>
          <w:left w:val="nil"/>
          <w:bottom w:val="nil"/>
          <w:right w:val="nil"/>
          <w:between w:val="nil"/>
        </w:pBdr>
        <w:spacing w:line="360" w:lineRule="auto"/>
        <w:ind w:left="36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Critérios de inclusão e exclusão </w:t>
      </w:r>
    </w:p>
    <w:p w14:paraId="34060002" w14:textId="77777777" w:rsidR="006C186A" w:rsidRDefault="00D60250">
      <w:pPr>
        <w:pBdr>
          <w:top w:val="nil"/>
          <w:left w:val="nil"/>
          <w:bottom w:val="nil"/>
          <w:right w:val="nil"/>
          <w:between w:val="nil"/>
        </w:pBdr>
        <w:spacing w:line="360" w:lineRule="auto"/>
        <w:ind w:left="36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Foram incluídos no estudo todos os pacientes com registro no Laboratório de Imunologia de Transplantes de Goiás (HLAGYN) que realizaram transplante renal no estado de Goiás entre 2014 e 2024, independentemente de idade ou completude dos dados. Pacientes que foram submetidos a transplante de outros órgãos além do </w:t>
      </w:r>
      <w:proofErr w:type="gramStart"/>
      <w:r>
        <w:rPr>
          <w:rFonts w:ascii="Times New Roman" w:eastAsia="Times New Roman" w:hAnsi="Times New Roman" w:cs="Times New Roman"/>
          <w:sz w:val="24"/>
          <w:szCs w:val="24"/>
        </w:rPr>
        <w:t>renal  e</w:t>
      </w:r>
      <w:proofErr w:type="gramEnd"/>
      <w:r>
        <w:rPr>
          <w:rFonts w:ascii="Times New Roman" w:eastAsia="Times New Roman" w:hAnsi="Times New Roman" w:cs="Times New Roman"/>
          <w:sz w:val="24"/>
          <w:szCs w:val="24"/>
        </w:rPr>
        <w:t xml:space="preserve"> que os registros não continham nenhuma variável analisável não foram incluídos na análise.  </w:t>
      </w:r>
    </w:p>
    <w:p w14:paraId="653B14E1" w14:textId="77777777" w:rsidR="006C186A" w:rsidRDefault="00D60250">
      <w:pPr>
        <w:pBdr>
          <w:top w:val="nil"/>
          <w:left w:val="nil"/>
          <w:bottom w:val="nil"/>
          <w:right w:val="nil"/>
          <w:between w:val="nil"/>
        </w:pBdr>
        <w:spacing w:line="360" w:lineRule="auto"/>
        <w:ind w:left="36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Processamento e análise dos dados  </w:t>
      </w:r>
    </w:p>
    <w:p w14:paraId="269CF8DF" w14:textId="77777777" w:rsidR="006C186A" w:rsidRDefault="00D60250">
      <w:pPr>
        <w:pBdr>
          <w:top w:val="nil"/>
          <w:left w:val="nil"/>
          <w:bottom w:val="nil"/>
          <w:right w:val="nil"/>
          <w:between w:val="nil"/>
        </w:pBdr>
        <w:spacing w:line="360" w:lineRule="auto"/>
        <w:ind w:left="36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Os dados foram organizados e processados utilizando o software Microsoft Excel Versão 2502 para estruturação inicial e organização das tabelas. Posteriormente, foram importados para o software de análise estatística </w:t>
      </w:r>
      <w:proofErr w:type="spellStart"/>
      <w:r>
        <w:rPr>
          <w:rFonts w:ascii="Times New Roman" w:eastAsia="Times New Roman" w:hAnsi="Times New Roman" w:cs="Times New Roman"/>
          <w:sz w:val="24"/>
          <w:szCs w:val="24"/>
        </w:rPr>
        <w:t>Jamovi</w:t>
      </w:r>
      <w:proofErr w:type="spellEnd"/>
      <w:r>
        <w:rPr>
          <w:rFonts w:ascii="Times New Roman" w:eastAsia="Times New Roman" w:hAnsi="Times New Roman" w:cs="Times New Roman"/>
          <w:sz w:val="24"/>
          <w:szCs w:val="24"/>
        </w:rPr>
        <w:t xml:space="preserve"> 2.7.22. Para avaliação das associações entre variáveis, foram realizados o </w:t>
      </w:r>
      <w:proofErr w:type="spellStart"/>
      <w:r>
        <w:rPr>
          <w:rFonts w:ascii="Times New Roman" w:eastAsia="Times New Roman" w:hAnsi="Times New Roman" w:cs="Times New Roman"/>
          <w:sz w:val="24"/>
          <w:szCs w:val="24"/>
        </w:rPr>
        <w:t>qui</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lastRenderedPageBreak/>
        <w:t>quadrado para variáveis categóricas adotando um valor de p&lt;0,05 para os resultados serem considerados significativos.</w:t>
      </w:r>
    </w:p>
    <w:p w14:paraId="6F044386" w14:textId="77777777" w:rsidR="006C186A" w:rsidRDefault="00D60250">
      <w:pPr>
        <w:pBdr>
          <w:top w:val="nil"/>
          <w:left w:val="nil"/>
          <w:bottom w:val="nil"/>
          <w:right w:val="nil"/>
          <w:between w:val="nil"/>
        </w:pBdr>
        <w:spacing w:line="360" w:lineRule="auto"/>
        <w:ind w:left="36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Considerações Éticas</w:t>
      </w:r>
    </w:p>
    <w:p w14:paraId="119F5495" w14:textId="77777777" w:rsidR="006C186A" w:rsidRDefault="00D60250">
      <w:pPr>
        <w:pBdr>
          <w:top w:val="nil"/>
          <w:left w:val="nil"/>
          <w:bottom w:val="nil"/>
          <w:right w:val="nil"/>
          <w:between w:val="nil"/>
        </w:pBdr>
        <w:spacing w:line="360" w:lineRule="auto"/>
        <w:ind w:left="36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Trata-se de um estudo baseado na coleta e análise estatística de dados secundários dos pacientes, o que dispensou a necessidade de aplicação do Termo de Consentimento Livre e Esclarecido (TCLE). Os exames realizados nessas unidades utilizaram amostras biológicas que foram coletadas, processadas, armazenadas, analisadas e descartadas seguindo as normas estabelecidas pelas </w:t>
      </w:r>
      <w:proofErr w:type="spellStart"/>
      <w:r>
        <w:rPr>
          <w:rFonts w:ascii="Times New Roman" w:eastAsia="Times New Roman" w:hAnsi="Times New Roman" w:cs="Times New Roman"/>
          <w:sz w:val="24"/>
          <w:szCs w:val="24"/>
        </w:rPr>
        <w:t>RDCs</w:t>
      </w:r>
      <w:proofErr w:type="spellEnd"/>
      <w:r>
        <w:rPr>
          <w:rFonts w:ascii="Times New Roman" w:eastAsia="Times New Roman" w:hAnsi="Times New Roman" w:cs="Times New Roman"/>
          <w:sz w:val="24"/>
          <w:szCs w:val="24"/>
        </w:rPr>
        <w:t xml:space="preserve"> 786/2023 e 222/2018 (28,29). Essas amostras provêm de demandas espontâneas ou encaminhamentos do sistema público de saúde que buscam serviços laboratoriais. É importante destacar que os dados foram disponibilizados pelo gestor em formato agregado, sem identificação pessoal, como nome ou filiação, e codificados, assegurando a proteção à identidade dos pacientes e o cumprimento da Lei Geral de Proteção de Dados Pessoais (LGPD), Lei n° 13.709/2018. O projeto foi aprovado pelo CEP da PUC-Goiás, CAAE: 76580723.0.0000.5083 e Número do Parecer: 6.652.503.</w:t>
      </w:r>
    </w:p>
    <w:p w14:paraId="287C96FF" w14:textId="77777777" w:rsidR="006C186A" w:rsidRDefault="00D60250">
      <w:pPr>
        <w:pBdr>
          <w:top w:val="nil"/>
          <w:left w:val="nil"/>
          <w:bottom w:val="nil"/>
          <w:right w:val="nil"/>
          <w:between w:val="nil"/>
        </w:pBdr>
        <w:spacing w:line="360" w:lineRule="auto"/>
        <w:ind w:left="36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 Inteligência Artificial</w:t>
      </w:r>
    </w:p>
    <w:p w14:paraId="4EB97753" w14:textId="77777777" w:rsidR="006C186A" w:rsidRDefault="00D60250">
      <w:pPr>
        <w:spacing w:line="360" w:lineRule="auto"/>
        <w:ind w:left="36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Ferramentas de Inteligência Artificial Generativa foram utilizadas nas seguintes etapas:</w:t>
      </w:r>
    </w:p>
    <w:p w14:paraId="3C2377F4" w14:textId="77777777" w:rsidR="006C186A" w:rsidRDefault="00D60250">
      <w:pPr>
        <w:spacing w:line="360" w:lineRule="auto"/>
        <w:ind w:left="36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modelo Claude (</w:t>
      </w:r>
      <w:proofErr w:type="spellStart"/>
      <w:r>
        <w:rPr>
          <w:rFonts w:ascii="Times New Roman" w:eastAsia="Times New Roman" w:hAnsi="Times New Roman" w:cs="Times New Roman"/>
          <w:sz w:val="24"/>
          <w:szCs w:val="24"/>
        </w:rPr>
        <w:t>Anthropic</w:t>
      </w:r>
      <w:proofErr w:type="spellEnd"/>
      <w:r>
        <w:rPr>
          <w:rFonts w:ascii="Times New Roman" w:eastAsia="Times New Roman" w:hAnsi="Times New Roman" w:cs="Times New Roman"/>
          <w:sz w:val="24"/>
          <w:szCs w:val="24"/>
        </w:rPr>
        <w:t xml:space="preserve">) foi utilizado para mapeamento de lacunas na literatura, organização e filtragem de referências bibliográficas e revisão gramatical, nas etapas de revisão de literatura e redação científica do trabalho. O </w:t>
      </w:r>
      <w:proofErr w:type="spellStart"/>
      <w:r>
        <w:rPr>
          <w:rFonts w:ascii="Times New Roman" w:eastAsia="Times New Roman" w:hAnsi="Times New Roman" w:cs="Times New Roman"/>
          <w:sz w:val="24"/>
          <w:szCs w:val="24"/>
        </w:rPr>
        <w:t>NotebookLM</w:t>
      </w:r>
      <w:proofErr w:type="spellEnd"/>
      <w:r>
        <w:rPr>
          <w:rFonts w:ascii="Times New Roman" w:eastAsia="Times New Roman" w:hAnsi="Times New Roman" w:cs="Times New Roman"/>
          <w:sz w:val="24"/>
          <w:szCs w:val="24"/>
        </w:rPr>
        <w:t xml:space="preserve"> (Google) foi utilizado para estruturação do referencial teórico, na etapa de organização e síntese da literatura científica.</w:t>
      </w:r>
    </w:p>
    <w:p w14:paraId="37BDAC73" w14:textId="77777777" w:rsidR="006C186A" w:rsidRDefault="00D60250">
      <w:pPr>
        <w:spacing w:line="360" w:lineRule="auto"/>
        <w:ind w:left="36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Nenhuma das ferramentas foi utilizada para geração autônoma de texto submetido sem revisão, elaboração de pareceres, nem para criação ou modificação de dados, resultados ou referências bibliográficas. Os autores assumem integral responsabilidade pelo conteúdo intelectual e técnico do trabalho, em conformidade com a Portaria CNPq nº 2.664/2026.</w:t>
      </w:r>
    </w:p>
    <w:p w14:paraId="028D8555" w14:textId="77777777" w:rsidR="006C186A" w:rsidRDefault="00D60250">
      <w:pPr>
        <w:spacing w:after="0" w:line="360" w:lineRule="auto"/>
        <w:ind w:left="70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RESULTADOS</w:t>
      </w:r>
    </w:p>
    <w:p w14:paraId="6DE43D2D" w14:textId="622904B9" w:rsidR="006C186A" w:rsidRDefault="00180B6E">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 artigo será submetido e por isso os dados foram ausentados.</w:t>
      </w:r>
    </w:p>
    <w:p w14:paraId="680BE2E7" w14:textId="77777777" w:rsidR="006C186A" w:rsidRDefault="00D60250">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DISCUSSÃO</w:t>
      </w:r>
    </w:p>
    <w:p w14:paraId="3D185318" w14:textId="77777777" w:rsidR="00180B6E" w:rsidRDefault="00180B6E" w:rsidP="00180B6E">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O artigo será submetido e por isso os dados foram ausentados.</w:t>
      </w:r>
    </w:p>
    <w:p w14:paraId="5CE7A100" w14:textId="77777777" w:rsidR="00180B6E" w:rsidRDefault="00180B6E">
      <w:pPr>
        <w:spacing w:line="360" w:lineRule="auto"/>
        <w:jc w:val="both"/>
        <w:rPr>
          <w:rFonts w:ascii="Times New Roman" w:eastAsia="Times New Roman" w:hAnsi="Times New Roman" w:cs="Times New Roman"/>
          <w:b/>
          <w:bCs/>
          <w:sz w:val="24"/>
          <w:szCs w:val="24"/>
        </w:rPr>
      </w:pPr>
    </w:p>
    <w:p w14:paraId="271085B0" w14:textId="77777777" w:rsidR="006C186A" w:rsidRDefault="00D60250">
      <w:pPr>
        <w:spacing w:line="360" w:lineRule="auto"/>
        <w:ind w:firstLine="709"/>
        <w:jc w:val="both"/>
        <w:rPr>
          <w:rFonts w:ascii="Arial" w:eastAsia="Arial" w:hAnsi="Arial" w:cs="Arial"/>
          <w:b/>
          <w:bCs/>
          <w:sz w:val="24"/>
          <w:szCs w:val="24"/>
        </w:rPr>
      </w:pPr>
      <w:r>
        <w:rPr>
          <w:rFonts w:ascii="Arial" w:eastAsia="Arial" w:hAnsi="Arial" w:cs="Arial"/>
          <w:b/>
          <w:bCs/>
          <w:sz w:val="24"/>
          <w:szCs w:val="24"/>
        </w:rPr>
        <w:t>REFERÊNCIAS</w:t>
      </w:r>
    </w:p>
    <w:p w14:paraId="3FE56982"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BRASIL. Ministério da Saúde. Doença renal crônica (DRC). Brasília: Ministério da Saúde. Disponível em:</w:t>
      </w:r>
      <w:hyperlink r:id="rId9">
        <w:r>
          <w:rPr>
            <w:rFonts w:ascii="Times New Roman" w:eastAsia="Times New Roman" w:hAnsi="Times New Roman" w:cs="Times New Roman"/>
            <w:sz w:val="24"/>
            <w:szCs w:val="24"/>
          </w:rPr>
          <w:t xml:space="preserve"> </w:t>
        </w:r>
      </w:hyperlink>
      <w:hyperlink r:id="rId10">
        <w:r>
          <w:rPr>
            <w:rFonts w:ascii="Times New Roman" w:eastAsia="Times New Roman" w:hAnsi="Times New Roman" w:cs="Times New Roman"/>
            <w:color w:val="1155CC"/>
            <w:sz w:val="24"/>
            <w:szCs w:val="24"/>
            <w:u w:val="single"/>
          </w:rPr>
          <w:t>https://www.gov.br/saude/pt-br/assuntos/saude-de-a-a-z/d/drc</w:t>
        </w:r>
      </w:hyperlink>
      <w:r>
        <w:rPr>
          <w:rFonts w:ascii="Times New Roman" w:eastAsia="Times New Roman" w:hAnsi="Times New Roman" w:cs="Times New Roman"/>
          <w:sz w:val="24"/>
          <w:szCs w:val="24"/>
        </w:rPr>
        <w:t>. Acesso em: 6 mar. 2025.</w:t>
      </w:r>
    </w:p>
    <w:p w14:paraId="5F0D7F62"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KIDNEY DISEASE: IMPROVING GLOBAL OUTCOMES (KDIGO) CKD WORK GROUP. KDIGO 2024 Clinical </w:t>
      </w:r>
      <w:proofErr w:type="spellStart"/>
      <w:r>
        <w:rPr>
          <w:rFonts w:ascii="Times New Roman" w:eastAsia="Times New Roman" w:hAnsi="Times New Roman" w:cs="Times New Roman"/>
          <w:sz w:val="24"/>
          <w:szCs w:val="24"/>
        </w:rPr>
        <w:t>Practice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Guideline</w:t>
      </w:r>
      <w:proofErr w:type="spellEnd"/>
      <w:r>
        <w:rPr>
          <w:rFonts w:ascii="Times New Roman" w:eastAsia="Times New Roman" w:hAnsi="Times New Roman" w:cs="Times New Roman"/>
          <w:sz w:val="24"/>
          <w:szCs w:val="24"/>
        </w:rPr>
        <w:t xml:space="preserve"> for the </w:t>
      </w:r>
      <w:proofErr w:type="spellStart"/>
      <w:r>
        <w:rPr>
          <w:rFonts w:ascii="Times New Roman" w:eastAsia="Times New Roman" w:hAnsi="Times New Roman" w:cs="Times New Roman"/>
          <w:sz w:val="24"/>
          <w:szCs w:val="24"/>
        </w:rPr>
        <w:t>Evaluation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Management of </w:t>
      </w:r>
      <w:proofErr w:type="spellStart"/>
      <w:r>
        <w:rPr>
          <w:rFonts w:ascii="Times New Roman" w:eastAsia="Times New Roman" w:hAnsi="Times New Roman" w:cs="Times New Roman"/>
          <w:sz w:val="24"/>
          <w:szCs w:val="24"/>
        </w:rPr>
        <w:t>Chronic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Kidney</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International</w:t>
      </w:r>
      <w:proofErr w:type="spellEnd"/>
      <w:r>
        <w:rPr>
          <w:rFonts w:ascii="Times New Roman" w:eastAsia="Times New Roman" w:hAnsi="Times New Roman" w:cs="Times New Roman"/>
          <w:sz w:val="24"/>
          <w:szCs w:val="24"/>
        </w:rPr>
        <w:t xml:space="preserve">, v. 105, n. 4S, p. S117–S314, 2024. DOI: 10.1016/j.kint.2023.10.018. </w:t>
      </w:r>
    </w:p>
    <w:p w14:paraId="23DCC6AB"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GIL, Anna Carolina dos Santos; SALGADO, Manoela Guimarães; MARTINS, Emanuelle dos Santos. Análise da fila de espera e perfil dos receptores de transplante renal no Brasil: uma perspectiva atual. </w:t>
      </w:r>
      <w:r>
        <w:rPr>
          <w:rFonts w:ascii="Times New Roman" w:eastAsia="Times New Roman" w:hAnsi="Times New Roman" w:cs="Times New Roman"/>
          <w:i/>
          <w:iCs/>
          <w:sz w:val="24"/>
          <w:szCs w:val="24"/>
        </w:rPr>
        <w:t xml:space="preserve">Congresso Médico Acadêmico </w:t>
      </w:r>
      <w:proofErr w:type="spellStart"/>
      <w:r>
        <w:rPr>
          <w:rFonts w:ascii="Times New Roman" w:eastAsia="Times New Roman" w:hAnsi="Times New Roman" w:cs="Times New Roman"/>
          <w:i/>
          <w:iCs/>
          <w:sz w:val="24"/>
          <w:szCs w:val="24"/>
        </w:rPr>
        <w:t>UniFOA</w:t>
      </w:r>
      <w:proofErr w:type="spellEnd"/>
      <w:r>
        <w:rPr>
          <w:rFonts w:ascii="Times New Roman" w:eastAsia="Times New Roman" w:hAnsi="Times New Roman" w:cs="Times New Roman"/>
          <w:sz w:val="24"/>
          <w:szCs w:val="24"/>
        </w:rPr>
        <w:t>, v. 10, 2024. Disponível em:</w:t>
      </w:r>
      <w:hyperlink r:id="rId11">
        <w:r>
          <w:rPr>
            <w:rFonts w:ascii="Times New Roman" w:eastAsia="Times New Roman" w:hAnsi="Times New Roman" w:cs="Times New Roman"/>
            <w:sz w:val="24"/>
            <w:szCs w:val="24"/>
          </w:rPr>
          <w:t xml:space="preserve"> </w:t>
        </w:r>
      </w:hyperlink>
      <w:hyperlink r:id="rId12">
        <w:r>
          <w:rPr>
            <w:rFonts w:ascii="Times New Roman" w:eastAsia="Times New Roman" w:hAnsi="Times New Roman" w:cs="Times New Roman"/>
            <w:color w:val="1155CC"/>
            <w:sz w:val="24"/>
            <w:szCs w:val="24"/>
            <w:u w:val="single"/>
          </w:rPr>
          <w:t>https://conferencias.unifoa.edu.br/congresso-medvr/article/view/1586</w:t>
        </w:r>
      </w:hyperlink>
      <w:r>
        <w:rPr>
          <w:rFonts w:ascii="Times New Roman" w:eastAsia="Times New Roman" w:hAnsi="Times New Roman" w:cs="Times New Roman"/>
          <w:sz w:val="24"/>
          <w:szCs w:val="24"/>
        </w:rPr>
        <w:t>. Acesso em: 6 mar. 2025.</w:t>
      </w:r>
    </w:p>
    <w:p w14:paraId="67BE4F75"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SANTOS, Reginaldo Passoni dos; CARVALHO, Ariana Rodrigues da Silva; PERES, </w:t>
      </w:r>
      <w:proofErr w:type="spellStart"/>
      <w:r>
        <w:rPr>
          <w:rFonts w:ascii="Times New Roman" w:eastAsia="Times New Roman" w:hAnsi="Times New Roman" w:cs="Times New Roman"/>
          <w:sz w:val="24"/>
          <w:szCs w:val="24"/>
        </w:rPr>
        <w:t>Luis</w:t>
      </w:r>
      <w:proofErr w:type="spellEnd"/>
      <w:r>
        <w:rPr>
          <w:rFonts w:ascii="Times New Roman" w:eastAsia="Times New Roman" w:hAnsi="Times New Roman" w:cs="Times New Roman"/>
          <w:sz w:val="24"/>
          <w:szCs w:val="24"/>
        </w:rPr>
        <w:t xml:space="preserve"> Alberto Batista.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transplantation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epidemiology</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Brazil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bCs/>
          <w:sz w:val="24"/>
          <w:szCs w:val="24"/>
        </w:rPr>
        <w:t>Nefrología</w:t>
      </w:r>
      <w:proofErr w:type="spellEnd"/>
      <w:r>
        <w:rPr>
          <w:rFonts w:ascii="Times New Roman" w:eastAsia="Times New Roman" w:hAnsi="Times New Roman" w:cs="Times New Roman"/>
          <w:sz w:val="24"/>
          <w:szCs w:val="24"/>
        </w:rPr>
        <w:t>, v. 39, n. 4, p. 402–410, 2019. DOI: 10.1016/j.nefro.2018.07.005.</w:t>
      </w:r>
    </w:p>
    <w:p w14:paraId="0AFB2455"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MEDINA-PESTANA, J. O. et al.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transplantation</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Brazil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its </w:t>
      </w:r>
      <w:proofErr w:type="spellStart"/>
      <w:r>
        <w:rPr>
          <w:rFonts w:ascii="Times New Roman" w:eastAsia="Times New Roman" w:hAnsi="Times New Roman" w:cs="Times New Roman"/>
          <w:sz w:val="24"/>
          <w:szCs w:val="24"/>
        </w:rPr>
        <w:t>geographic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disparity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Brazilian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Journal</w:t>
      </w:r>
      <w:proofErr w:type="spellEnd"/>
      <w:r>
        <w:rPr>
          <w:rFonts w:ascii="Times New Roman" w:eastAsia="Times New Roman" w:hAnsi="Times New Roman" w:cs="Times New Roman"/>
          <w:i/>
          <w:iCs/>
          <w:sz w:val="24"/>
          <w:szCs w:val="24"/>
        </w:rPr>
        <w:t xml:space="preserve"> of </w:t>
      </w:r>
      <w:proofErr w:type="spellStart"/>
      <w:r>
        <w:rPr>
          <w:rFonts w:ascii="Times New Roman" w:eastAsia="Times New Roman" w:hAnsi="Times New Roman" w:cs="Times New Roman"/>
          <w:i/>
          <w:iCs/>
          <w:sz w:val="24"/>
          <w:szCs w:val="24"/>
        </w:rPr>
        <w:t>Nephrology</w:t>
      </w:r>
      <w:proofErr w:type="spellEnd"/>
      <w:r>
        <w:rPr>
          <w:rFonts w:ascii="Times New Roman" w:eastAsia="Times New Roman" w:hAnsi="Times New Roman" w:cs="Times New Roman"/>
          <w:sz w:val="24"/>
          <w:szCs w:val="24"/>
        </w:rPr>
        <w:t>, v. 33, n. 4, p. 472-484, 2011. DOI:</w:t>
      </w:r>
      <w:hyperlink r:id="rId13">
        <w:r>
          <w:rPr>
            <w:rFonts w:ascii="Times New Roman" w:eastAsia="Times New Roman" w:hAnsi="Times New Roman" w:cs="Times New Roman"/>
            <w:sz w:val="24"/>
            <w:szCs w:val="24"/>
          </w:rPr>
          <w:t xml:space="preserve"> </w:t>
        </w:r>
      </w:hyperlink>
      <w:hyperlink r:id="rId14">
        <w:r>
          <w:rPr>
            <w:rFonts w:ascii="Times New Roman" w:eastAsia="Times New Roman" w:hAnsi="Times New Roman" w:cs="Times New Roman"/>
            <w:color w:val="1155CC"/>
            <w:sz w:val="24"/>
            <w:szCs w:val="24"/>
            <w:u w:val="single"/>
          </w:rPr>
          <w:t>https://doi.org/10.1590/S0101-28002011000400014</w:t>
        </w:r>
      </w:hyperlink>
      <w:r>
        <w:rPr>
          <w:rFonts w:ascii="Times New Roman" w:eastAsia="Times New Roman" w:hAnsi="Times New Roman" w:cs="Times New Roman"/>
          <w:sz w:val="24"/>
          <w:szCs w:val="24"/>
        </w:rPr>
        <w:t xml:space="preserve"> </w:t>
      </w:r>
    </w:p>
    <w:p w14:paraId="5FAD88C6"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MACHADO, Elaine Leandro; CHERCHIGLIA, Mariângela Leal; ACÚRCIO, Francisco de Assis. Perfil e desfecho clínico de pacientes em lista de espera por transplante renal, Belo Horizonte (MG, Brasil), 2000-2005. </w:t>
      </w:r>
      <w:r>
        <w:rPr>
          <w:rFonts w:ascii="Times New Roman" w:eastAsia="Times New Roman" w:hAnsi="Times New Roman" w:cs="Times New Roman"/>
          <w:i/>
          <w:iCs/>
          <w:sz w:val="24"/>
          <w:szCs w:val="24"/>
        </w:rPr>
        <w:t>Ciência &amp; Saúde Coletiva</w:t>
      </w:r>
      <w:r>
        <w:rPr>
          <w:rFonts w:ascii="Times New Roman" w:eastAsia="Times New Roman" w:hAnsi="Times New Roman" w:cs="Times New Roman"/>
          <w:sz w:val="24"/>
          <w:szCs w:val="24"/>
        </w:rPr>
        <w:t>, v. 16, n. 3, 2011. DOI:</w:t>
      </w:r>
      <w:hyperlink r:id="rId15">
        <w:r>
          <w:rPr>
            <w:rFonts w:ascii="Times New Roman" w:eastAsia="Times New Roman" w:hAnsi="Times New Roman" w:cs="Times New Roman"/>
            <w:sz w:val="24"/>
            <w:szCs w:val="24"/>
          </w:rPr>
          <w:t xml:space="preserve"> </w:t>
        </w:r>
      </w:hyperlink>
      <w:hyperlink r:id="rId16">
        <w:r>
          <w:rPr>
            <w:rFonts w:ascii="Times New Roman" w:eastAsia="Times New Roman" w:hAnsi="Times New Roman" w:cs="Times New Roman"/>
            <w:color w:val="1155CC"/>
            <w:sz w:val="24"/>
            <w:szCs w:val="24"/>
            <w:u w:val="single"/>
          </w:rPr>
          <w:t>https://doi.org/10.1590/S1413-81232011000300032</w:t>
        </w:r>
      </w:hyperlink>
      <w:r>
        <w:rPr>
          <w:rFonts w:ascii="Times New Roman" w:eastAsia="Times New Roman" w:hAnsi="Times New Roman" w:cs="Times New Roman"/>
          <w:sz w:val="24"/>
          <w:szCs w:val="24"/>
        </w:rPr>
        <w:t xml:space="preserve"> .</w:t>
      </w:r>
    </w:p>
    <w:p w14:paraId="1F65011A"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CUNHA, C. B. Tempo até o transplante e sobrevida em pacientes com insuficiência renal crônica no estado do Rio de Janeiro, Brasil, 1998-2002. </w:t>
      </w:r>
      <w:r>
        <w:rPr>
          <w:rFonts w:ascii="Times New Roman" w:eastAsia="Times New Roman" w:hAnsi="Times New Roman" w:cs="Times New Roman"/>
          <w:i/>
          <w:iCs/>
          <w:sz w:val="24"/>
          <w:szCs w:val="24"/>
        </w:rPr>
        <w:lastRenderedPageBreak/>
        <w:t>Cadernos de Saúde Pública</w:t>
      </w:r>
      <w:r>
        <w:rPr>
          <w:rFonts w:ascii="Times New Roman" w:eastAsia="Times New Roman" w:hAnsi="Times New Roman" w:cs="Times New Roman"/>
          <w:sz w:val="24"/>
          <w:szCs w:val="24"/>
        </w:rPr>
        <w:t>, v. 23, n. 4, p. 805-813, 2007. DOI:</w:t>
      </w:r>
      <w:hyperlink r:id="rId17">
        <w:r>
          <w:rPr>
            <w:rFonts w:ascii="Times New Roman" w:eastAsia="Times New Roman" w:hAnsi="Times New Roman" w:cs="Times New Roman"/>
            <w:sz w:val="24"/>
            <w:szCs w:val="24"/>
          </w:rPr>
          <w:t xml:space="preserve"> </w:t>
        </w:r>
      </w:hyperlink>
      <w:hyperlink r:id="rId18">
        <w:r>
          <w:rPr>
            <w:rFonts w:ascii="Times New Roman" w:eastAsia="Times New Roman" w:hAnsi="Times New Roman" w:cs="Times New Roman"/>
            <w:color w:val="1155CC"/>
            <w:sz w:val="24"/>
            <w:szCs w:val="24"/>
            <w:u w:val="single"/>
          </w:rPr>
          <w:t>https://doi.org/10.1590/S0102-311X2007000400008</w:t>
        </w:r>
      </w:hyperlink>
      <w:r>
        <w:rPr>
          <w:rFonts w:ascii="Times New Roman" w:eastAsia="Times New Roman" w:hAnsi="Times New Roman" w:cs="Times New Roman"/>
          <w:sz w:val="24"/>
          <w:szCs w:val="24"/>
        </w:rPr>
        <w:t>.</w:t>
      </w:r>
    </w:p>
    <w:p w14:paraId="00E80EE0"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BRASIL. Ministério da Saúde. Sistema Nacional de Transplantes: regulamentação e funcionamento. Brasília: Ministério da Saúde. Disponível em:</w:t>
      </w:r>
      <w:hyperlink r:id="rId19">
        <w:r>
          <w:rPr>
            <w:rFonts w:ascii="Times New Roman" w:eastAsia="Times New Roman" w:hAnsi="Times New Roman" w:cs="Times New Roman"/>
            <w:sz w:val="24"/>
            <w:szCs w:val="24"/>
          </w:rPr>
          <w:t xml:space="preserve"> </w:t>
        </w:r>
      </w:hyperlink>
      <w:hyperlink r:id="rId20">
        <w:r>
          <w:rPr>
            <w:rFonts w:ascii="Times New Roman" w:eastAsia="Times New Roman" w:hAnsi="Times New Roman" w:cs="Times New Roman"/>
            <w:color w:val="1155CC"/>
            <w:sz w:val="24"/>
            <w:szCs w:val="24"/>
            <w:u w:val="single"/>
          </w:rPr>
          <w:t>https://www.gov.br/saude/pt-br/composicao/saes/snt</w:t>
        </w:r>
      </w:hyperlink>
      <w:r>
        <w:rPr>
          <w:rFonts w:ascii="Times New Roman" w:eastAsia="Times New Roman" w:hAnsi="Times New Roman" w:cs="Times New Roman"/>
          <w:sz w:val="24"/>
          <w:szCs w:val="24"/>
        </w:rPr>
        <w:t>. Acesso em: 19 mar. 2025.</w:t>
      </w:r>
    </w:p>
    <w:p w14:paraId="618F6557"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GARCIA, V. D.; ABBUD-FILHO, M.; NEUMANN, J.; PESTANA, J. O. M. (Eds.). </w:t>
      </w:r>
      <w:r>
        <w:rPr>
          <w:rFonts w:ascii="Times New Roman" w:eastAsia="Times New Roman" w:hAnsi="Times New Roman" w:cs="Times New Roman"/>
          <w:b/>
          <w:bCs/>
          <w:sz w:val="24"/>
          <w:szCs w:val="24"/>
        </w:rPr>
        <w:t xml:space="preserve">Transplante de Órgãos </w:t>
      </w:r>
      <w:proofErr w:type="gramStart"/>
      <w:r>
        <w:rPr>
          <w:rFonts w:ascii="Times New Roman" w:eastAsia="Times New Roman" w:hAnsi="Times New Roman" w:cs="Times New Roman"/>
          <w:b/>
          <w:bCs/>
          <w:sz w:val="24"/>
          <w:szCs w:val="24"/>
        </w:rPr>
        <w:t>e Tecidos</w:t>
      </w:r>
      <w:proofErr w:type="gramEnd"/>
      <w:r>
        <w:rPr>
          <w:rFonts w:ascii="Times New Roman" w:eastAsia="Times New Roman" w:hAnsi="Times New Roman" w:cs="Times New Roman"/>
          <w:sz w:val="24"/>
          <w:szCs w:val="24"/>
        </w:rPr>
        <w:t>. 2. ed. São Paulo: Segmento Farma, 2006</w:t>
      </w:r>
      <w:proofErr w:type="gramStart"/>
      <w:r>
        <w:rPr>
          <w:rFonts w:ascii="Times New Roman" w:eastAsia="Times New Roman" w:hAnsi="Times New Roman" w:cs="Times New Roman"/>
          <w:sz w:val="24"/>
          <w:szCs w:val="24"/>
        </w:rPr>
        <w:t>. .</w:t>
      </w:r>
      <w:proofErr w:type="gramEnd"/>
    </w:p>
    <w:p w14:paraId="552F9CC3"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KABANI, </w:t>
      </w:r>
      <w:proofErr w:type="spellStart"/>
      <w:r>
        <w:rPr>
          <w:rFonts w:ascii="Times New Roman" w:eastAsia="Times New Roman" w:hAnsi="Times New Roman" w:cs="Times New Roman"/>
          <w:sz w:val="24"/>
          <w:szCs w:val="24"/>
        </w:rPr>
        <w:t>Zehra</w:t>
      </w:r>
      <w:proofErr w:type="spellEnd"/>
      <w:r>
        <w:rPr>
          <w:rFonts w:ascii="Times New Roman" w:eastAsia="Times New Roman" w:hAnsi="Times New Roman" w:cs="Times New Roman"/>
          <w:sz w:val="24"/>
          <w:szCs w:val="24"/>
        </w:rPr>
        <w:t xml:space="preserve">; KAMAL, Lina.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transplantation</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developing</w:t>
      </w:r>
      <w:proofErr w:type="spellEnd"/>
      <w:r>
        <w:rPr>
          <w:rFonts w:ascii="Times New Roman" w:eastAsia="Times New Roman" w:hAnsi="Times New Roman" w:cs="Times New Roman"/>
          <w:sz w:val="24"/>
          <w:szCs w:val="24"/>
        </w:rPr>
        <w:t xml:space="preserve"> countries: the </w:t>
      </w:r>
      <w:proofErr w:type="spellStart"/>
      <w:r>
        <w:rPr>
          <w:rFonts w:ascii="Times New Roman" w:eastAsia="Times New Roman" w:hAnsi="Times New Roman" w:cs="Times New Roman"/>
          <w:sz w:val="24"/>
          <w:szCs w:val="24"/>
        </w:rPr>
        <w:t>experience</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Transplant</w:t>
      </w:r>
      <w:proofErr w:type="spellEnd"/>
      <w:r>
        <w:rPr>
          <w:rFonts w:ascii="Times New Roman" w:eastAsia="Times New Roman" w:hAnsi="Times New Roman" w:cs="Times New Roman"/>
          <w:sz w:val="24"/>
          <w:szCs w:val="24"/>
        </w:rPr>
        <w:t xml:space="preserve"> Links. </w:t>
      </w:r>
      <w:r>
        <w:rPr>
          <w:rFonts w:ascii="Times New Roman" w:eastAsia="Times New Roman" w:hAnsi="Times New Roman" w:cs="Times New Roman"/>
          <w:i/>
          <w:iCs/>
          <w:sz w:val="24"/>
          <w:szCs w:val="24"/>
        </w:rPr>
        <w:t xml:space="preserve">Cleveland Clinic </w:t>
      </w:r>
      <w:proofErr w:type="spellStart"/>
      <w:r>
        <w:rPr>
          <w:rFonts w:ascii="Times New Roman" w:eastAsia="Times New Roman" w:hAnsi="Times New Roman" w:cs="Times New Roman"/>
          <w:i/>
          <w:iCs/>
          <w:sz w:val="24"/>
          <w:szCs w:val="24"/>
        </w:rPr>
        <w:t>Journal</w:t>
      </w:r>
      <w:proofErr w:type="spellEnd"/>
      <w:r>
        <w:rPr>
          <w:rFonts w:ascii="Times New Roman" w:eastAsia="Times New Roman" w:hAnsi="Times New Roman" w:cs="Times New Roman"/>
          <w:i/>
          <w:iCs/>
          <w:sz w:val="24"/>
          <w:szCs w:val="24"/>
        </w:rPr>
        <w:t xml:space="preserve"> </w:t>
      </w:r>
      <w:proofErr w:type="gramStart"/>
      <w:r>
        <w:rPr>
          <w:rFonts w:ascii="Times New Roman" w:eastAsia="Times New Roman" w:hAnsi="Times New Roman" w:cs="Times New Roman"/>
          <w:i/>
          <w:iCs/>
          <w:sz w:val="24"/>
          <w:szCs w:val="24"/>
        </w:rPr>
        <w:t>of Medicine</w:t>
      </w:r>
      <w:proofErr w:type="gramEnd"/>
      <w:r>
        <w:rPr>
          <w:rFonts w:ascii="Times New Roman" w:eastAsia="Times New Roman" w:hAnsi="Times New Roman" w:cs="Times New Roman"/>
          <w:sz w:val="24"/>
          <w:szCs w:val="24"/>
        </w:rPr>
        <w:t xml:space="preserve">, v. 85, n. 12, 2018. DOI </w:t>
      </w:r>
      <w:hyperlink r:id="rId21">
        <w:r>
          <w:rPr>
            <w:rFonts w:ascii="Times New Roman" w:eastAsia="Times New Roman" w:hAnsi="Times New Roman" w:cs="Times New Roman"/>
            <w:color w:val="0000FF"/>
            <w:sz w:val="24"/>
            <w:szCs w:val="24"/>
            <w:u w:val="single"/>
          </w:rPr>
          <w:t>10.1016/B978-1-4557-4096-3.00038-6</w:t>
        </w:r>
      </w:hyperlink>
      <w:r>
        <w:rPr>
          <w:rFonts w:ascii="Times New Roman" w:eastAsia="Times New Roman" w:hAnsi="Times New Roman" w:cs="Times New Roman"/>
          <w:sz w:val="24"/>
          <w:szCs w:val="24"/>
        </w:rPr>
        <w:t>.</w:t>
      </w:r>
    </w:p>
    <w:p w14:paraId="1E9DC832"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CRISTELLI, M. P.; FERREIRA, G. F.; MEDINA-PESTANA, J. Global Perspective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Transplantation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Brazil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Kidney360</w:t>
      </w:r>
      <w:r>
        <w:rPr>
          <w:rFonts w:ascii="Times New Roman" w:eastAsia="Times New Roman" w:hAnsi="Times New Roman" w:cs="Times New Roman"/>
          <w:sz w:val="24"/>
          <w:szCs w:val="24"/>
        </w:rPr>
        <w:t>, v. 2, n. 12, p. 2016-2018, 2021. DOI: 10.34067/KID.</w:t>
      </w:r>
      <w:proofErr w:type="gramStart"/>
      <w:r>
        <w:rPr>
          <w:rFonts w:ascii="Times New Roman" w:eastAsia="Times New Roman" w:hAnsi="Times New Roman" w:cs="Times New Roman"/>
          <w:sz w:val="24"/>
          <w:szCs w:val="24"/>
        </w:rPr>
        <w:t>0003612021 .</w:t>
      </w:r>
      <w:proofErr w:type="gramEnd"/>
    </w:p>
    <w:p w14:paraId="2615FA76"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BATISTA, Camilla Maria Mesquita et al. Perfil epidemiológico dos pacientes em lista de espera para o transplante renal. </w:t>
      </w:r>
      <w:r>
        <w:rPr>
          <w:rFonts w:ascii="Times New Roman" w:eastAsia="Times New Roman" w:hAnsi="Times New Roman" w:cs="Times New Roman"/>
          <w:i/>
          <w:iCs/>
          <w:sz w:val="24"/>
          <w:szCs w:val="24"/>
        </w:rPr>
        <w:t>Acta Paulista de Enfermagem</w:t>
      </w:r>
      <w:r>
        <w:rPr>
          <w:rFonts w:ascii="Times New Roman" w:eastAsia="Times New Roman" w:hAnsi="Times New Roman" w:cs="Times New Roman"/>
          <w:sz w:val="24"/>
          <w:szCs w:val="24"/>
        </w:rPr>
        <w:t>, v. 30, n. 3, p. 280-286, 2017. DOI:</w:t>
      </w:r>
      <w:hyperlink r:id="rId22">
        <w:r>
          <w:rPr>
            <w:rFonts w:ascii="Times New Roman" w:eastAsia="Times New Roman" w:hAnsi="Times New Roman" w:cs="Times New Roman"/>
            <w:sz w:val="24"/>
            <w:szCs w:val="24"/>
          </w:rPr>
          <w:t xml:space="preserve"> </w:t>
        </w:r>
      </w:hyperlink>
      <w:hyperlink r:id="rId23">
        <w:r>
          <w:rPr>
            <w:rFonts w:ascii="Times New Roman" w:eastAsia="Times New Roman" w:hAnsi="Times New Roman" w:cs="Times New Roman"/>
            <w:color w:val="1155CC"/>
            <w:sz w:val="24"/>
            <w:szCs w:val="24"/>
            <w:u w:val="single"/>
          </w:rPr>
          <w:t>https://doi.org/10.1590/1982-0194201700042</w:t>
        </w:r>
      </w:hyperlink>
      <w:r>
        <w:rPr>
          <w:rFonts w:ascii="Times New Roman" w:eastAsia="Times New Roman" w:hAnsi="Times New Roman" w:cs="Times New Roman"/>
          <w:sz w:val="24"/>
          <w:szCs w:val="24"/>
        </w:rPr>
        <w:t>.</w:t>
      </w:r>
    </w:p>
    <w:p w14:paraId="3436419B"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GUSUKUMA, L. W.; HARADA, K. M.; BAPTISTA, A. P.; ALENCAR, M. R.; DE SANDES-FREITAS, T. V.; TEDESCO-SILVA, H. Jr.; MEDINA-PESTANA, J. O. </w:t>
      </w:r>
      <w:proofErr w:type="spellStart"/>
      <w:r>
        <w:rPr>
          <w:rFonts w:ascii="Times New Roman" w:eastAsia="Times New Roman" w:hAnsi="Times New Roman" w:cs="Times New Roman"/>
          <w:sz w:val="24"/>
          <w:szCs w:val="24"/>
        </w:rPr>
        <w:t>Outcomes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obese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transplant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recipients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Transplantation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Proceedings</w:t>
      </w:r>
      <w:proofErr w:type="spellEnd"/>
      <w:r>
        <w:rPr>
          <w:rFonts w:ascii="Times New Roman" w:eastAsia="Times New Roman" w:hAnsi="Times New Roman" w:cs="Times New Roman"/>
          <w:sz w:val="24"/>
          <w:szCs w:val="24"/>
        </w:rPr>
        <w:t xml:space="preserve">, v. 46, n. 10, p. 3416–3419, dez. 2014. DOI: 10.1016/j.transproceed.2014.09.112. </w:t>
      </w:r>
    </w:p>
    <w:p w14:paraId="207FAEC1"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PONTES, Daniela Ferreira Salomão et al. Regional </w:t>
      </w:r>
      <w:proofErr w:type="spellStart"/>
      <w:r>
        <w:rPr>
          <w:rFonts w:ascii="Times New Roman" w:eastAsia="Times New Roman" w:hAnsi="Times New Roman" w:cs="Times New Roman"/>
          <w:sz w:val="24"/>
          <w:szCs w:val="24"/>
        </w:rPr>
        <w:t>Disparities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Transplant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Allocation</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Brazil</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Retrospective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Cohort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Clinical </w:t>
      </w:r>
      <w:proofErr w:type="spellStart"/>
      <w:r>
        <w:rPr>
          <w:rFonts w:ascii="Times New Roman" w:eastAsia="Times New Roman" w:hAnsi="Times New Roman" w:cs="Times New Roman"/>
          <w:b/>
          <w:bCs/>
          <w:sz w:val="24"/>
          <w:szCs w:val="24"/>
        </w:rPr>
        <w:t>Transplantation</w:t>
      </w:r>
      <w:proofErr w:type="spellEnd"/>
      <w:r>
        <w:rPr>
          <w:rFonts w:ascii="Times New Roman" w:eastAsia="Times New Roman" w:hAnsi="Times New Roman" w:cs="Times New Roman"/>
          <w:sz w:val="24"/>
          <w:szCs w:val="24"/>
        </w:rPr>
        <w:t>, v. 38, n. 9, e15446, 2024. DOI: 10.1111/ctr.15446.</w:t>
      </w:r>
    </w:p>
    <w:p w14:paraId="5D5FD49D"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ABTO. </w:t>
      </w:r>
      <w:r>
        <w:rPr>
          <w:rFonts w:ascii="Times New Roman" w:eastAsia="Times New Roman" w:hAnsi="Times New Roman" w:cs="Times New Roman"/>
          <w:i/>
          <w:iCs/>
          <w:sz w:val="24"/>
          <w:szCs w:val="24"/>
        </w:rPr>
        <w:t>Registro Brasileiro de Transplantes</w:t>
      </w:r>
      <w:r>
        <w:rPr>
          <w:rFonts w:ascii="Times New Roman" w:eastAsia="Times New Roman" w:hAnsi="Times New Roman" w:cs="Times New Roman"/>
          <w:sz w:val="24"/>
          <w:szCs w:val="24"/>
        </w:rPr>
        <w:t>. Associação Brasileira de Transplante de Órgãos, publicação anual. Disponível em:</w:t>
      </w:r>
      <w:hyperlink r:id="rId24">
        <w:r>
          <w:rPr>
            <w:rFonts w:ascii="Times New Roman" w:eastAsia="Times New Roman" w:hAnsi="Times New Roman" w:cs="Times New Roman"/>
            <w:sz w:val="24"/>
            <w:szCs w:val="24"/>
          </w:rPr>
          <w:t xml:space="preserve"> </w:t>
        </w:r>
      </w:hyperlink>
      <w:hyperlink r:id="rId25">
        <w:r>
          <w:rPr>
            <w:rFonts w:ascii="Times New Roman" w:eastAsia="Times New Roman" w:hAnsi="Times New Roman" w:cs="Times New Roman"/>
            <w:color w:val="1155CC"/>
            <w:sz w:val="24"/>
            <w:szCs w:val="24"/>
            <w:u w:val="single"/>
          </w:rPr>
          <w:t>https://site.abto.org.br/publicacao/rbt/</w:t>
        </w:r>
      </w:hyperlink>
      <w:r>
        <w:rPr>
          <w:rFonts w:ascii="Times New Roman" w:eastAsia="Times New Roman" w:hAnsi="Times New Roman" w:cs="Times New Roman"/>
          <w:sz w:val="24"/>
          <w:szCs w:val="24"/>
        </w:rPr>
        <w:t xml:space="preserve"> </w:t>
      </w:r>
    </w:p>
    <w:p w14:paraId="406C7535"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BROWN, E. A.; BLAKE, P. G.; BOUDVILLE, N.; DAVIES, S.; DE ARTEAGA, J.; DONG, J.; FINKELSTEIN, F.; FOO, M.; HURST, H.; JOHNSON, D. W.; </w:t>
      </w:r>
      <w:r>
        <w:rPr>
          <w:rFonts w:ascii="Times New Roman" w:eastAsia="Times New Roman" w:hAnsi="Times New Roman" w:cs="Times New Roman"/>
          <w:sz w:val="24"/>
          <w:szCs w:val="24"/>
        </w:rPr>
        <w:lastRenderedPageBreak/>
        <w:t xml:space="preserve">JOHNSON, M.; LIEW, A.; MORAES, T.; PERL, J.; SHROFF, R.; TEITELBAUM, I.; WANG, A. Y.; WARADY, B. </w:t>
      </w:r>
      <w:proofErr w:type="spellStart"/>
      <w:r>
        <w:rPr>
          <w:rFonts w:ascii="Times New Roman" w:eastAsia="Times New Roman" w:hAnsi="Times New Roman" w:cs="Times New Roman"/>
          <w:sz w:val="24"/>
          <w:szCs w:val="24"/>
        </w:rPr>
        <w:t>International</w:t>
      </w:r>
      <w:proofErr w:type="spellEnd"/>
      <w:r>
        <w:rPr>
          <w:rFonts w:ascii="Times New Roman" w:eastAsia="Times New Roman" w:hAnsi="Times New Roman" w:cs="Times New Roman"/>
          <w:sz w:val="24"/>
          <w:szCs w:val="24"/>
        </w:rPr>
        <w:t xml:space="preserve"> Society for Peritoneal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practice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recommendations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Prescribing</w:t>
      </w:r>
      <w:proofErr w:type="spellEnd"/>
      <w:r>
        <w:rPr>
          <w:rFonts w:ascii="Times New Roman" w:eastAsia="Times New Roman" w:hAnsi="Times New Roman" w:cs="Times New Roman"/>
          <w:sz w:val="24"/>
          <w:szCs w:val="24"/>
        </w:rPr>
        <w:t xml:space="preserve"> high-</w:t>
      </w:r>
      <w:proofErr w:type="spellStart"/>
      <w:r>
        <w:rPr>
          <w:rFonts w:ascii="Times New Roman" w:eastAsia="Times New Roman" w:hAnsi="Times New Roman" w:cs="Times New Roman"/>
          <w:sz w:val="24"/>
          <w:szCs w:val="24"/>
        </w:rPr>
        <w:t>quality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goal-directed</w:t>
      </w:r>
      <w:proofErr w:type="spellEnd"/>
      <w:r>
        <w:rPr>
          <w:rFonts w:ascii="Times New Roman" w:eastAsia="Times New Roman" w:hAnsi="Times New Roman" w:cs="Times New Roman"/>
          <w:sz w:val="24"/>
          <w:szCs w:val="24"/>
        </w:rPr>
        <w:t xml:space="preserve"> peritoneal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Peritoneal </w:t>
      </w:r>
      <w:proofErr w:type="spellStart"/>
      <w:r>
        <w:rPr>
          <w:rFonts w:ascii="Times New Roman" w:eastAsia="Times New Roman" w:hAnsi="Times New Roman" w:cs="Times New Roman"/>
          <w:b/>
          <w:bCs/>
          <w:sz w:val="24"/>
          <w:szCs w:val="24"/>
        </w:rPr>
        <w:t>Dialysis</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International</w:t>
      </w:r>
      <w:proofErr w:type="spellEnd"/>
      <w:r>
        <w:rPr>
          <w:rFonts w:ascii="Times New Roman" w:eastAsia="Times New Roman" w:hAnsi="Times New Roman" w:cs="Times New Roman"/>
          <w:sz w:val="24"/>
          <w:szCs w:val="24"/>
        </w:rPr>
        <w:t>, v. 40, n. 3, p. 244–253, maio 2020. DOI: 10.1177/0896860819895364.</w:t>
      </w:r>
    </w:p>
    <w:p w14:paraId="1BD95ADB"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MOURA, Ana Flávia; MOURA-NETO, José A.; REQUIÃO-MOURA, Lucio R.; PACHECO-SILVA, Álvaro. Transplante renal preemptivo: por que, quando e como? </w:t>
      </w:r>
      <w:proofErr w:type="spellStart"/>
      <w:r>
        <w:rPr>
          <w:rFonts w:ascii="Times New Roman" w:eastAsia="Times New Roman" w:hAnsi="Times New Roman" w:cs="Times New Roman"/>
          <w:b/>
          <w:bCs/>
          <w:sz w:val="24"/>
          <w:szCs w:val="24"/>
        </w:rPr>
        <w:t>Brazilian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Journal</w:t>
      </w:r>
      <w:proofErr w:type="spellEnd"/>
      <w:r>
        <w:rPr>
          <w:rFonts w:ascii="Times New Roman" w:eastAsia="Times New Roman" w:hAnsi="Times New Roman" w:cs="Times New Roman"/>
          <w:b/>
          <w:bCs/>
          <w:sz w:val="24"/>
          <w:szCs w:val="24"/>
        </w:rPr>
        <w:t xml:space="preserve"> of </w:t>
      </w:r>
      <w:proofErr w:type="spellStart"/>
      <w:r>
        <w:rPr>
          <w:rFonts w:ascii="Times New Roman" w:eastAsia="Times New Roman" w:hAnsi="Times New Roman" w:cs="Times New Roman"/>
          <w:b/>
          <w:bCs/>
          <w:sz w:val="24"/>
          <w:szCs w:val="24"/>
        </w:rPr>
        <w:t>Nephrology</w:t>
      </w:r>
      <w:proofErr w:type="spellEnd"/>
      <w:r>
        <w:rPr>
          <w:rFonts w:ascii="Times New Roman" w:eastAsia="Times New Roman" w:hAnsi="Times New Roman" w:cs="Times New Roman"/>
          <w:sz w:val="24"/>
          <w:szCs w:val="24"/>
        </w:rPr>
        <w:t>, v. 45, n. 3, p. 357–364, jul./set. 2023. DOI: 10.1590/2175-8239-JBN-2022-0085pt.</w:t>
      </w:r>
    </w:p>
    <w:p w14:paraId="7C7F4CE9"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MEIER-KRIESCHE, H. U.; PORT, F. K.; OJO, A. O. et al. </w:t>
      </w:r>
      <w:proofErr w:type="spellStart"/>
      <w:r>
        <w:rPr>
          <w:rFonts w:ascii="Times New Roman" w:eastAsia="Times New Roman" w:hAnsi="Times New Roman" w:cs="Times New Roman"/>
          <w:i/>
          <w:iCs/>
          <w:sz w:val="24"/>
          <w:szCs w:val="24"/>
        </w:rPr>
        <w:t>Effect</w:t>
      </w:r>
      <w:proofErr w:type="spellEnd"/>
      <w:r>
        <w:rPr>
          <w:rFonts w:ascii="Times New Roman" w:eastAsia="Times New Roman" w:hAnsi="Times New Roman" w:cs="Times New Roman"/>
          <w:i/>
          <w:iCs/>
          <w:sz w:val="24"/>
          <w:szCs w:val="24"/>
        </w:rPr>
        <w:t xml:space="preserve"> of </w:t>
      </w:r>
      <w:proofErr w:type="spellStart"/>
      <w:r>
        <w:rPr>
          <w:rFonts w:ascii="Times New Roman" w:eastAsia="Times New Roman" w:hAnsi="Times New Roman" w:cs="Times New Roman"/>
          <w:i/>
          <w:iCs/>
          <w:sz w:val="24"/>
          <w:szCs w:val="24"/>
        </w:rPr>
        <w:t>waiting</w:t>
      </w:r>
      <w:proofErr w:type="spellEnd"/>
      <w:r>
        <w:rPr>
          <w:rFonts w:ascii="Times New Roman" w:eastAsia="Times New Roman" w:hAnsi="Times New Roman" w:cs="Times New Roman"/>
          <w:i/>
          <w:iCs/>
          <w:sz w:val="24"/>
          <w:szCs w:val="24"/>
        </w:rPr>
        <w:t xml:space="preserve"> time </w:t>
      </w:r>
      <w:proofErr w:type="spellStart"/>
      <w:r>
        <w:rPr>
          <w:rFonts w:ascii="Times New Roman" w:eastAsia="Times New Roman" w:hAnsi="Times New Roman" w:cs="Times New Roman"/>
          <w:i/>
          <w:iCs/>
          <w:sz w:val="24"/>
          <w:szCs w:val="24"/>
        </w:rPr>
        <w:t>on</w:t>
      </w:r>
      <w:proofErr w:type="spellEnd"/>
      <w:r>
        <w:rPr>
          <w:rFonts w:ascii="Times New Roman" w:eastAsia="Times New Roman" w:hAnsi="Times New Roman" w:cs="Times New Roman"/>
          <w:i/>
          <w:iCs/>
          <w:sz w:val="24"/>
          <w:szCs w:val="24"/>
        </w:rPr>
        <w:t xml:space="preserve"> renal </w:t>
      </w:r>
      <w:proofErr w:type="spellStart"/>
      <w:r>
        <w:rPr>
          <w:rFonts w:ascii="Times New Roman" w:eastAsia="Times New Roman" w:hAnsi="Times New Roman" w:cs="Times New Roman"/>
          <w:i/>
          <w:iCs/>
          <w:sz w:val="24"/>
          <w:szCs w:val="24"/>
        </w:rPr>
        <w:t>transplant</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outcome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bCs/>
          <w:sz w:val="24"/>
          <w:szCs w:val="24"/>
        </w:rPr>
        <w:t>Kidney</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International</w:t>
      </w:r>
      <w:proofErr w:type="spellEnd"/>
      <w:r>
        <w:rPr>
          <w:rFonts w:ascii="Times New Roman" w:eastAsia="Times New Roman" w:hAnsi="Times New Roman" w:cs="Times New Roman"/>
          <w:sz w:val="24"/>
          <w:szCs w:val="24"/>
        </w:rPr>
        <w:t>, v. 58, n. 3, p. 1311-1317, 2000. DOI: 10.1046/j.1523-1755.2000.</w:t>
      </w:r>
      <w:proofErr w:type="gramStart"/>
      <w:r>
        <w:rPr>
          <w:rFonts w:ascii="Times New Roman" w:eastAsia="Times New Roman" w:hAnsi="Times New Roman" w:cs="Times New Roman"/>
          <w:sz w:val="24"/>
          <w:szCs w:val="24"/>
        </w:rPr>
        <w:t>00287.x.</w:t>
      </w:r>
      <w:proofErr w:type="gramEnd"/>
    </w:p>
    <w:p w14:paraId="3AB6802E"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GBD CHRONIC KIDNEY DISEASE COLLABORATION. Global, regional,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burden</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chronic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1990–2019. </w:t>
      </w:r>
      <w:r>
        <w:rPr>
          <w:rFonts w:ascii="Times New Roman" w:eastAsia="Times New Roman" w:hAnsi="Times New Roman" w:cs="Times New Roman"/>
          <w:i/>
          <w:iCs/>
          <w:sz w:val="24"/>
          <w:szCs w:val="24"/>
        </w:rPr>
        <w:t>The Lancet</w:t>
      </w:r>
      <w:r>
        <w:rPr>
          <w:rFonts w:ascii="Times New Roman" w:eastAsia="Times New Roman" w:hAnsi="Times New Roman" w:cs="Times New Roman"/>
          <w:sz w:val="24"/>
          <w:szCs w:val="24"/>
        </w:rPr>
        <w:t>, v. 395, n. 10225, p. 709-733, 2020. DOI:</w:t>
      </w:r>
      <w:hyperlink r:id="rId26">
        <w:r>
          <w:rPr>
            <w:rFonts w:ascii="Times New Roman" w:eastAsia="Times New Roman" w:hAnsi="Times New Roman" w:cs="Times New Roman"/>
            <w:sz w:val="24"/>
            <w:szCs w:val="24"/>
          </w:rPr>
          <w:t xml:space="preserve"> </w:t>
        </w:r>
      </w:hyperlink>
      <w:hyperlink r:id="rId27">
        <w:r>
          <w:rPr>
            <w:rFonts w:ascii="Times New Roman" w:eastAsia="Times New Roman" w:hAnsi="Times New Roman" w:cs="Times New Roman"/>
            <w:color w:val="1155CC"/>
            <w:sz w:val="24"/>
            <w:szCs w:val="24"/>
            <w:u w:val="single"/>
          </w:rPr>
          <w:t>https://doi.org/10.1016/S0140-6736(20)30045-3</w:t>
        </w:r>
      </w:hyperlink>
      <w:r>
        <w:rPr>
          <w:rFonts w:ascii="Times New Roman" w:eastAsia="Times New Roman" w:hAnsi="Times New Roman" w:cs="Times New Roman"/>
          <w:sz w:val="24"/>
          <w:szCs w:val="24"/>
        </w:rPr>
        <w:t>.</w:t>
      </w:r>
    </w:p>
    <w:p w14:paraId="0660302B"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 E.; LEE, B. J.; WEI, J.; WEIR, M. R. </w:t>
      </w:r>
      <w:proofErr w:type="spellStart"/>
      <w:r>
        <w:rPr>
          <w:rFonts w:ascii="Times New Roman" w:eastAsia="Times New Roman" w:hAnsi="Times New Roman" w:cs="Times New Roman"/>
          <w:sz w:val="24"/>
          <w:szCs w:val="24"/>
        </w:rPr>
        <w:t>Hypertension</w:t>
      </w:r>
      <w:proofErr w:type="spellEnd"/>
      <w:r>
        <w:rPr>
          <w:rFonts w:ascii="Times New Roman" w:eastAsia="Times New Roman" w:hAnsi="Times New Roman" w:cs="Times New Roman"/>
          <w:sz w:val="24"/>
          <w:szCs w:val="24"/>
        </w:rPr>
        <w:t xml:space="preserve"> in CKD: Core Curriculum 2019. </w:t>
      </w:r>
      <w:r>
        <w:rPr>
          <w:rFonts w:ascii="Times New Roman" w:eastAsia="Times New Roman" w:hAnsi="Times New Roman" w:cs="Times New Roman"/>
          <w:i/>
          <w:iCs/>
          <w:sz w:val="24"/>
          <w:szCs w:val="24"/>
        </w:rPr>
        <w:t xml:space="preserve">American </w:t>
      </w:r>
      <w:proofErr w:type="spellStart"/>
      <w:r>
        <w:rPr>
          <w:rFonts w:ascii="Times New Roman" w:eastAsia="Times New Roman" w:hAnsi="Times New Roman" w:cs="Times New Roman"/>
          <w:i/>
          <w:iCs/>
          <w:sz w:val="24"/>
          <w:szCs w:val="24"/>
        </w:rPr>
        <w:t>Journal</w:t>
      </w:r>
      <w:proofErr w:type="spellEnd"/>
      <w:r>
        <w:rPr>
          <w:rFonts w:ascii="Times New Roman" w:eastAsia="Times New Roman" w:hAnsi="Times New Roman" w:cs="Times New Roman"/>
          <w:i/>
          <w:iCs/>
          <w:sz w:val="24"/>
          <w:szCs w:val="24"/>
        </w:rPr>
        <w:t xml:space="preserve"> of </w:t>
      </w:r>
      <w:proofErr w:type="spellStart"/>
      <w:r>
        <w:rPr>
          <w:rFonts w:ascii="Times New Roman" w:eastAsia="Times New Roman" w:hAnsi="Times New Roman" w:cs="Times New Roman"/>
          <w:i/>
          <w:iCs/>
          <w:sz w:val="24"/>
          <w:szCs w:val="24"/>
        </w:rPr>
        <w:t>Kidney</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Diseases</w:t>
      </w:r>
      <w:proofErr w:type="spellEnd"/>
      <w:r>
        <w:rPr>
          <w:rFonts w:ascii="Times New Roman" w:eastAsia="Times New Roman" w:hAnsi="Times New Roman" w:cs="Times New Roman"/>
          <w:sz w:val="24"/>
          <w:szCs w:val="24"/>
        </w:rPr>
        <w:t>, v. 74, n. 1, p. 120-131, 2019. DOI:</w:t>
      </w:r>
      <w:hyperlink r:id="rId28">
        <w:r>
          <w:rPr>
            <w:rFonts w:ascii="Times New Roman" w:eastAsia="Times New Roman" w:hAnsi="Times New Roman" w:cs="Times New Roman"/>
            <w:sz w:val="24"/>
            <w:szCs w:val="24"/>
          </w:rPr>
          <w:t xml:space="preserve"> </w:t>
        </w:r>
      </w:hyperlink>
      <w:hyperlink r:id="rId29">
        <w:r>
          <w:rPr>
            <w:rFonts w:ascii="Times New Roman" w:eastAsia="Times New Roman" w:hAnsi="Times New Roman" w:cs="Times New Roman"/>
            <w:color w:val="1155CC"/>
            <w:sz w:val="24"/>
            <w:szCs w:val="24"/>
            <w:u w:val="single"/>
          </w:rPr>
          <w:t>https://doi.org/10.1053/j.ajkd.2018.12.044</w:t>
        </w:r>
      </w:hyperlink>
      <w:r>
        <w:rPr>
          <w:rFonts w:ascii="Times New Roman" w:eastAsia="Times New Roman" w:hAnsi="Times New Roman" w:cs="Times New Roman"/>
          <w:sz w:val="24"/>
          <w:szCs w:val="24"/>
        </w:rPr>
        <w:t>.</w:t>
      </w:r>
    </w:p>
    <w:p w14:paraId="332491BA"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DALRYMPLE, </w:t>
      </w:r>
      <w:proofErr w:type="spellStart"/>
      <w:r>
        <w:rPr>
          <w:rFonts w:ascii="Times New Roman" w:eastAsia="Times New Roman" w:hAnsi="Times New Roman" w:cs="Times New Roman"/>
          <w:sz w:val="24"/>
          <w:szCs w:val="24"/>
        </w:rPr>
        <w:t>Lorien</w:t>
      </w:r>
      <w:proofErr w:type="spellEnd"/>
      <w:r>
        <w:rPr>
          <w:rFonts w:ascii="Times New Roman" w:eastAsia="Times New Roman" w:hAnsi="Times New Roman" w:cs="Times New Roman"/>
          <w:sz w:val="24"/>
          <w:szCs w:val="24"/>
        </w:rPr>
        <w:t xml:space="preserve"> S.; GO, Alan S. </w:t>
      </w:r>
      <w:proofErr w:type="spellStart"/>
      <w:r>
        <w:rPr>
          <w:rFonts w:ascii="Times New Roman" w:eastAsia="Times New Roman" w:hAnsi="Times New Roman" w:cs="Times New Roman"/>
          <w:sz w:val="24"/>
          <w:szCs w:val="24"/>
        </w:rPr>
        <w:t>Epidemiology</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acute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infections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kidney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disease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Clinical </w:t>
      </w:r>
      <w:proofErr w:type="spellStart"/>
      <w:r>
        <w:rPr>
          <w:rFonts w:ascii="Times New Roman" w:eastAsia="Times New Roman" w:hAnsi="Times New Roman" w:cs="Times New Roman"/>
          <w:b/>
          <w:bCs/>
          <w:sz w:val="24"/>
          <w:szCs w:val="24"/>
        </w:rPr>
        <w:t>Journal</w:t>
      </w:r>
      <w:proofErr w:type="spellEnd"/>
      <w:r>
        <w:rPr>
          <w:rFonts w:ascii="Times New Roman" w:eastAsia="Times New Roman" w:hAnsi="Times New Roman" w:cs="Times New Roman"/>
          <w:b/>
          <w:bCs/>
          <w:sz w:val="24"/>
          <w:szCs w:val="24"/>
        </w:rPr>
        <w:t xml:space="preserve"> of the American Society of </w:t>
      </w:r>
      <w:proofErr w:type="spellStart"/>
      <w:r>
        <w:rPr>
          <w:rFonts w:ascii="Times New Roman" w:eastAsia="Times New Roman" w:hAnsi="Times New Roman" w:cs="Times New Roman"/>
          <w:b/>
          <w:bCs/>
          <w:sz w:val="24"/>
          <w:szCs w:val="24"/>
        </w:rPr>
        <w:t>Nephrology</w:t>
      </w:r>
      <w:proofErr w:type="spellEnd"/>
      <w:r>
        <w:rPr>
          <w:rFonts w:ascii="Times New Roman" w:eastAsia="Times New Roman" w:hAnsi="Times New Roman" w:cs="Times New Roman"/>
          <w:sz w:val="24"/>
          <w:szCs w:val="24"/>
        </w:rPr>
        <w:t>, v. 3, n. 5, p. 1487–1493, set. 2008. DOI: 10.2215/CJN.01290308. PMID: 18650409. PMCID: PMC4571152.</w:t>
      </w:r>
    </w:p>
    <w:p w14:paraId="1CF75793"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CHENG, </w:t>
      </w:r>
      <w:proofErr w:type="spellStart"/>
      <w:r>
        <w:rPr>
          <w:rFonts w:ascii="Times New Roman" w:eastAsia="Times New Roman" w:hAnsi="Times New Roman" w:cs="Times New Roman"/>
          <w:sz w:val="24"/>
          <w:szCs w:val="24"/>
        </w:rPr>
        <w:t>Linan</w:t>
      </w:r>
      <w:proofErr w:type="spellEnd"/>
      <w:r>
        <w:rPr>
          <w:rFonts w:ascii="Times New Roman" w:eastAsia="Times New Roman" w:hAnsi="Times New Roman" w:cs="Times New Roman"/>
          <w:sz w:val="24"/>
          <w:szCs w:val="24"/>
        </w:rPr>
        <w:t xml:space="preserve">; HU, </w:t>
      </w:r>
      <w:proofErr w:type="spellStart"/>
      <w:r>
        <w:rPr>
          <w:rFonts w:ascii="Times New Roman" w:eastAsia="Times New Roman" w:hAnsi="Times New Roman" w:cs="Times New Roman"/>
          <w:sz w:val="24"/>
          <w:szCs w:val="24"/>
        </w:rPr>
        <w:t>Nan</w:t>
      </w:r>
      <w:proofErr w:type="spellEnd"/>
      <w:r>
        <w:rPr>
          <w:rFonts w:ascii="Times New Roman" w:eastAsia="Times New Roman" w:hAnsi="Times New Roman" w:cs="Times New Roman"/>
          <w:sz w:val="24"/>
          <w:szCs w:val="24"/>
        </w:rPr>
        <w:t xml:space="preserve">; SONG, Di; CHEN, </w:t>
      </w:r>
      <w:proofErr w:type="spellStart"/>
      <w:r>
        <w:rPr>
          <w:rFonts w:ascii="Times New Roman" w:eastAsia="Times New Roman" w:hAnsi="Times New Roman" w:cs="Times New Roman"/>
          <w:sz w:val="24"/>
          <w:szCs w:val="24"/>
        </w:rPr>
        <w:t>Yuqing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Mortality</w:t>
      </w:r>
      <w:proofErr w:type="spellEnd"/>
      <w:r>
        <w:rPr>
          <w:rFonts w:ascii="Times New Roman" w:eastAsia="Times New Roman" w:hAnsi="Times New Roman" w:cs="Times New Roman"/>
          <w:sz w:val="24"/>
          <w:szCs w:val="24"/>
        </w:rPr>
        <w:t xml:space="preserve"> of Peritoneal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versus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Older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Updated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Systematic</w:t>
      </w:r>
      <w:proofErr w:type="spellEnd"/>
      <w:r>
        <w:rPr>
          <w:rFonts w:ascii="Times New Roman" w:eastAsia="Times New Roman" w:hAnsi="Times New Roman" w:cs="Times New Roman"/>
          <w:sz w:val="24"/>
          <w:szCs w:val="24"/>
        </w:rPr>
        <w:t xml:space="preserve"> Review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Meta-</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bCs/>
          <w:sz w:val="24"/>
          <w:szCs w:val="24"/>
        </w:rPr>
        <w:t>Gerontology</w:t>
      </w:r>
      <w:proofErr w:type="spellEnd"/>
      <w:r>
        <w:rPr>
          <w:rFonts w:ascii="Times New Roman" w:eastAsia="Times New Roman" w:hAnsi="Times New Roman" w:cs="Times New Roman"/>
          <w:sz w:val="24"/>
          <w:szCs w:val="24"/>
        </w:rPr>
        <w:t xml:space="preserve">, v. 70, n. 5, p. 461–478, 2024. DOI: 10.1159/000536648. </w:t>
      </w:r>
      <w:proofErr w:type="spellStart"/>
      <w:r>
        <w:rPr>
          <w:rFonts w:ascii="Times New Roman" w:eastAsia="Times New Roman" w:hAnsi="Times New Roman" w:cs="Times New Roman"/>
          <w:sz w:val="24"/>
          <w:szCs w:val="24"/>
        </w:rPr>
        <w:t>Epub</w:t>
      </w:r>
      <w:proofErr w:type="spellEnd"/>
      <w:r>
        <w:rPr>
          <w:rFonts w:ascii="Times New Roman" w:eastAsia="Times New Roman" w:hAnsi="Times New Roman" w:cs="Times New Roman"/>
          <w:sz w:val="24"/>
          <w:szCs w:val="24"/>
        </w:rPr>
        <w:t xml:space="preserve"> 7 fev. 2024. PMID: 38325351. PMCID: PMC11098023.</w:t>
      </w:r>
    </w:p>
    <w:p w14:paraId="57E7756C"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CHO, </w:t>
      </w:r>
      <w:proofErr w:type="spellStart"/>
      <w:r>
        <w:rPr>
          <w:rFonts w:ascii="Times New Roman" w:eastAsia="Times New Roman" w:hAnsi="Times New Roman" w:cs="Times New Roman"/>
          <w:sz w:val="24"/>
          <w:szCs w:val="24"/>
        </w:rPr>
        <w:t>Yeoungjee</w:t>
      </w:r>
      <w:proofErr w:type="spellEnd"/>
      <w:r>
        <w:rPr>
          <w:rFonts w:ascii="Times New Roman" w:eastAsia="Times New Roman" w:hAnsi="Times New Roman" w:cs="Times New Roman"/>
          <w:sz w:val="24"/>
          <w:szCs w:val="24"/>
        </w:rPr>
        <w:t xml:space="preserve"> et al. Peritoneal </w:t>
      </w:r>
      <w:proofErr w:type="spellStart"/>
      <w:r>
        <w:rPr>
          <w:rFonts w:ascii="Times New Roman" w:eastAsia="Times New Roman" w:hAnsi="Times New Roman" w:cs="Times New Roman"/>
          <w:sz w:val="24"/>
          <w:szCs w:val="24"/>
        </w:rPr>
        <w:t>dialysis</w:t>
      </w:r>
      <w:proofErr w:type="spellEnd"/>
      <w:r>
        <w:rPr>
          <w:rFonts w:ascii="Times New Roman" w:eastAsia="Times New Roman" w:hAnsi="Times New Roman" w:cs="Times New Roman"/>
          <w:sz w:val="24"/>
          <w:szCs w:val="24"/>
        </w:rPr>
        <w:t xml:space="preserve"> use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practice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survey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American </w:t>
      </w:r>
      <w:proofErr w:type="spellStart"/>
      <w:r>
        <w:rPr>
          <w:rFonts w:ascii="Times New Roman" w:eastAsia="Times New Roman" w:hAnsi="Times New Roman" w:cs="Times New Roman"/>
          <w:b/>
          <w:bCs/>
          <w:sz w:val="24"/>
          <w:szCs w:val="24"/>
        </w:rPr>
        <w:t>Journal</w:t>
      </w:r>
      <w:proofErr w:type="spellEnd"/>
      <w:r>
        <w:rPr>
          <w:rFonts w:ascii="Times New Roman" w:eastAsia="Times New Roman" w:hAnsi="Times New Roman" w:cs="Times New Roman"/>
          <w:b/>
          <w:bCs/>
          <w:sz w:val="24"/>
          <w:szCs w:val="24"/>
        </w:rPr>
        <w:t xml:space="preserve"> of </w:t>
      </w:r>
      <w:proofErr w:type="spellStart"/>
      <w:r>
        <w:rPr>
          <w:rFonts w:ascii="Times New Roman" w:eastAsia="Times New Roman" w:hAnsi="Times New Roman" w:cs="Times New Roman"/>
          <w:b/>
          <w:bCs/>
          <w:sz w:val="24"/>
          <w:szCs w:val="24"/>
        </w:rPr>
        <w:t>Kidney</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Diseases</w:t>
      </w:r>
      <w:proofErr w:type="spellEnd"/>
      <w:r>
        <w:rPr>
          <w:rFonts w:ascii="Times New Roman" w:eastAsia="Times New Roman" w:hAnsi="Times New Roman" w:cs="Times New Roman"/>
          <w:sz w:val="24"/>
          <w:szCs w:val="24"/>
        </w:rPr>
        <w:t>, v. 77, n. 3, p. 315–325, mar. 2021. DOI: 10.1053/j.ajkd.2020.05.032. PMID: 32800844.</w:t>
      </w:r>
    </w:p>
    <w:p w14:paraId="659093F6"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ALROWAIE, F.; ALARYNI, A.; ALGHAMDI, A.; ALAJLAN, R.; ALABDULLAH, R.; ALNUTAIFI, R.; ALNUTAIFI, R.; ALDAKHEELALLAH, A.; ALSHABANAT, A.; BIN SHULHUB, A.; MOAZIN, O.; QUTOB, R.; ALSOLAMI, E.; HAKAMI, O. </w:t>
      </w:r>
      <w:proofErr w:type="spellStart"/>
      <w:r>
        <w:rPr>
          <w:rFonts w:ascii="Times New Roman" w:eastAsia="Times New Roman" w:hAnsi="Times New Roman" w:cs="Times New Roman"/>
          <w:sz w:val="24"/>
          <w:szCs w:val="24"/>
        </w:rPr>
        <w:t>Quality</w:t>
      </w:r>
      <w:proofErr w:type="spellEnd"/>
      <w:r>
        <w:rPr>
          <w:rFonts w:ascii="Times New Roman" w:eastAsia="Times New Roman" w:hAnsi="Times New Roman" w:cs="Times New Roman"/>
          <w:sz w:val="24"/>
          <w:szCs w:val="24"/>
        </w:rPr>
        <w:t xml:space="preserve"> of Life </w:t>
      </w:r>
      <w:proofErr w:type="spellStart"/>
      <w:proofErr w:type="gramStart"/>
      <w:r>
        <w:rPr>
          <w:rFonts w:ascii="Times New Roman" w:eastAsia="Times New Roman" w:hAnsi="Times New Roman" w:cs="Times New Roman"/>
          <w:sz w:val="24"/>
          <w:szCs w:val="24"/>
        </w:rPr>
        <w:t>among</w:t>
      </w:r>
      <w:proofErr w:type="spellEnd"/>
      <w:r>
        <w:rPr>
          <w:rFonts w:ascii="Times New Roman" w:eastAsia="Times New Roman" w:hAnsi="Times New Roman" w:cs="Times New Roman"/>
          <w:sz w:val="24"/>
          <w:szCs w:val="24"/>
        </w:rPr>
        <w:t xml:space="preserve"> Peritoneal</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Hemodialysis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Patients</w:t>
      </w:r>
      <w:proofErr w:type="spellEnd"/>
      <w:r>
        <w:rPr>
          <w:rFonts w:ascii="Times New Roman" w:eastAsia="Times New Roman" w:hAnsi="Times New Roman" w:cs="Times New Roman"/>
          <w:sz w:val="24"/>
          <w:szCs w:val="24"/>
        </w:rPr>
        <w:t>: A Cross-</w:t>
      </w:r>
      <w:proofErr w:type="spellStart"/>
      <w:r>
        <w:rPr>
          <w:rFonts w:ascii="Times New Roman" w:eastAsia="Times New Roman" w:hAnsi="Times New Roman" w:cs="Times New Roman"/>
          <w:sz w:val="24"/>
          <w:szCs w:val="24"/>
        </w:rPr>
        <w:t>Sectional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Clinics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Practice</w:t>
      </w:r>
      <w:proofErr w:type="spellEnd"/>
      <w:r>
        <w:rPr>
          <w:rFonts w:ascii="Times New Roman" w:eastAsia="Times New Roman" w:hAnsi="Times New Roman" w:cs="Times New Roman"/>
          <w:sz w:val="24"/>
          <w:szCs w:val="24"/>
        </w:rPr>
        <w:t>, v. 13, n. 5, p. 1215–1226, 30 set. 2023. DOI: 10.3390/clinpract13050109.</w:t>
      </w:r>
    </w:p>
    <w:p w14:paraId="76893B80"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LIMA, Gustavo Campos de et al. Acesso e qualidade de bases de dados e sistemas de informações em saúde no Brasil: revisão de escopo. </w:t>
      </w:r>
      <w:proofErr w:type="spellStart"/>
      <w:r>
        <w:rPr>
          <w:rFonts w:ascii="Times New Roman" w:eastAsia="Times New Roman" w:hAnsi="Times New Roman" w:cs="Times New Roman"/>
          <w:i/>
          <w:iCs/>
          <w:sz w:val="24"/>
          <w:szCs w:val="24"/>
        </w:rPr>
        <w:t>Research</w:t>
      </w:r>
      <w:proofErr w:type="spellEnd"/>
      <w:r>
        <w:rPr>
          <w:rFonts w:ascii="Times New Roman" w:eastAsia="Times New Roman" w:hAnsi="Times New Roman" w:cs="Times New Roman"/>
          <w:i/>
          <w:iCs/>
          <w:sz w:val="24"/>
          <w:szCs w:val="24"/>
        </w:rPr>
        <w:t xml:space="preserve">, Society </w:t>
      </w:r>
      <w:proofErr w:type="spellStart"/>
      <w:r>
        <w:rPr>
          <w:rFonts w:ascii="Times New Roman" w:eastAsia="Times New Roman" w:hAnsi="Times New Roman" w:cs="Times New Roman"/>
          <w:i/>
          <w:iCs/>
          <w:sz w:val="24"/>
          <w:szCs w:val="24"/>
        </w:rPr>
        <w:t>and</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Development</w:t>
      </w:r>
      <w:proofErr w:type="spellEnd"/>
      <w:r>
        <w:rPr>
          <w:rFonts w:ascii="Times New Roman" w:eastAsia="Times New Roman" w:hAnsi="Times New Roman" w:cs="Times New Roman"/>
          <w:sz w:val="24"/>
          <w:szCs w:val="24"/>
        </w:rPr>
        <w:t>, v. 13, n. 4, e8413445603, 2024. DOI:</w:t>
      </w:r>
      <w:hyperlink r:id="rId30">
        <w:r>
          <w:rPr>
            <w:rFonts w:ascii="Times New Roman" w:eastAsia="Times New Roman" w:hAnsi="Times New Roman" w:cs="Times New Roman"/>
            <w:sz w:val="24"/>
            <w:szCs w:val="24"/>
          </w:rPr>
          <w:t xml:space="preserve"> </w:t>
        </w:r>
      </w:hyperlink>
      <w:hyperlink r:id="rId31">
        <w:r>
          <w:rPr>
            <w:rFonts w:ascii="Times New Roman" w:eastAsia="Times New Roman" w:hAnsi="Times New Roman" w:cs="Times New Roman"/>
            <w:color w:val="1155CC"/>
            <w:sz w:val="24"/>
            <w:szCs w:val="24"/>
            <w:u w:val="single"/>
          </w:rPr>
          <w:t>https://doi.org/10.33448/rsd-v13i4.45603</w:t>
        </w:r>
      </w:hyperlink>
    </w:p>
    <w:p w14:paraId="09BC965D"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PINHEIRO, Rejane Sobrino; VIACAVA, Francisco; TRAVASSOS, Cláudia; BRITO, Alexandre dos Santos. Gênero, morbidade, acesso e utilização de serviços de saúde no Brasil. </w:t>
      </w:r>
      <w:r>
        <w:rPr>
          <w:rFonts w:ascii="Times New Roman" w:eastAsia="Times New Roman" w:hAnsi="Times New Roman" w:cs="Times New Roman"/>
          <w:i/>
          <w:iCs/>
          <w:sz w:val="24"/>
          <w:szCs w:val="24"/>
        </w:rPr>
        <w:t>Ciência &amp; Saúde Coletiva</w:t>
      </w:r>
      <w:r>
        <w:rPr>
          <w:rFonts w:ascii="Times New Roman" w:eastAsia="Times New Roman" w:hAnsi="Times New Roman" w:cs="Times New Roman"/>
          <w:sz w:val="24"/>
          <w:szCs w:val="24"/>
        </w:rPr>
        <w:t>, v. 7, n. 4, p. 687-707, 2002. Disponível em:</w:t>
      </w:r>
      <w:hyperlink r:id="rId32">
        <w:r>
          <w:rPr>
            <w:rFonts w:ascii="Times New Roman" w:eastAsia="Times New Roman" w:hAnsi="Times New Roman" w:cs="Times New Roman"/>
            <w:sz w:val="24"/>
            <w:szCs w:val="24"/>
          </w:rPr>
          <w:t xml:space="preserve"> </w:t>
        </w:r>
      </w:hyperlink>
      <w:hyperlink r:id="rId33">
        <w:r>
          <w:rPr>
            <w:rFonts w:ascii="Times New Roman" w:eastAsia="Times New Roman" w:hAnsi="Times New Roman" w:cs="Times New Roman"/>
            <w:color w:val="1155CC"/>
            <w:sz w:val="24"/>
            <w:szCs w:val="24"/>
            <w:u w:val="single"/>
          </w:rPr>
          <w:t>https://www.scielo.br/j/csc/a/39rwjxMH7z7kKRqv9kQGr4L</w:t>
        </w:r>
      </w:hyperlink>
      <w:r>
        <w:rPr>
          <w:rFonts w:ascii="Times New Roman" w:eastAsia="Times New Roman" w:hAnsi="Times New Roman" w:cs="Times New Roman"/>
          <w:sz w:val="24"/>
          <w:szCs w:val="24"/>
        </w:rPr>
        <w:t xml:space="preserve">. Acesso em: 14 maio 2026 </w:t>
      </w:r>
    </w:p>
    <w:p w14:paraId="22E120D0"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Instituto Brasileiro de Geografia e Estatística. </w:t>
      </w:r>
      <w:r>
        <w:rPr>
          <w:rFonts w:ascii="Times New Roman" w:eastAsia="Times New Roman" w:hAnsi="Times New Roman" w:cs="Times New Roman"/>
          <w:i/>
          <w:iCs/>
          <w:sz w:val="24"/>
          <w:szCs w:val="24"/>
        </w:rPr>
        <w:t>Pesquisa Nacional de Saúde 2019: atenção à saúde, acidentes, violências, atividade física, uso de tabaco e consumo de álcool</w:t>
      </w:r>
      <w:r>
        <w:rPr>
          <w:rFonts w:ascii="Times New Roman" w:eastAsia="Times New Roman" w:hAnsi="Times New Roman" w:cs="Times New Roman"/>
          <w:sz w:val="24"/>
          <w:szCs w:val="24"/>
        </w:rPr>
        <w:t>. Rio de Janeiro: IBGE, 2020. Disponível em:</w:t>
      </w:r>
      <w:hyperlink r:id="rId34">
        <w:r>
          <w:rPr>
            <w:rFonts w:ascii="Times New Roman" w:eastAsia="Times New Roman" w:hAnsi="Times New Roman" w:cs="Times New Roman"/>
            <w:sz w:val="24"/>
            <w:szCs w:val="24"/>
          </w:rPr>
          <w:t xml:space="preserve"> </w:t>
        </w:r>
      </w:hyperlink>
      <w:hyperlink r:id="rId35">
        <w:r>
          <w:rPr>
            <w:rFonts w:ascii="Times New Roman" w:eastAsia="Times New Roman" w:hAnsi="Times New Roman" w:cs="Times New Roman"/>
            <w:color w:val="1155CC"/>
            <w:sz w:val="24"/>
            <w:szCs w:val="24"/>
            <w:u w:val="single"/>
          </w:rPr>
          <w:t>https://www.ibge.gov.br/estatisticas/sociais/saude/9160-pesquisa-nacional-de-saude.html</w:t>
        </w:r>
      </w:hyperlink>
      <w:r>
        <w:rPr>
          <w:rFonts w:ascii="Times New Roman" w:eastAsia="Times New Roman" w:hAnsi="Times New Roman" w:cs="Times New Roman"/>
          <w:sz w:val="24"/>
          <w:szCs w:val="24"/>
        </w:rPr>
        <w:t xml:space="preserve"> </w:t>
      </w:r>
    </w:p>
    <w:p w14:paraId="31B499CA"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Agência Nacional de Vigilância Sanitária. </w:t>
      </w:r>
      <w:r>
        <w:rPr>
          <w:rFonts w:ascii="Times New Roman" w:eastAsia="Times New Roman" w:hAnsi="Times New Roman" w:cs="Times New Roman"/>
          <w:i/>
          <w:iCs/>
          <w:sz w:val="24"/>
          <w:szCs w:val="24"/>
        </w:rPr>
        <w:t>Resolução da Diretoria Colegiada RDC nº 786, de 5 de maio de 2023</w:t>
      </w:r>
      <w:r>
        <w:rPr>
          <w:rFonts w:ascii="Times New Roman" w:eastAsia="Times New Roman" w:hAnsi="Times New Roman" w:cs="Times New Roman"/>
          <w:sz w:val="24"/>
          <w:szCs w:val="24"/>
        </w:rPr>
        <w:t>. Dispõe sobre os requisitos técnico-sanitários para o funcionamento de Laboratórios Clínicos, de Laboratórios de Anatomia Patológica e de outros Serviços que executam as atividades relacionadas aos Exames de Análises Clínicas (EAC) e dá outras providências. Brasília: ANVISA, 2023. Disponível em:</w:t>
      </w:r>
      <w:hyperlink r:id="rId36">
        <w:r>
          <w:rPr>
            <w:rFonts w:ascii="Times New Roman" w:eastAsia="Times New Roman" w:hAnsi="Times New Roman" w:cs="Times New Roman"/>
            <w:sz w:val="24"/>
            <w:szCs w:val="24"/>
          </w:rPr>
          <w:t xml:space="preserve"> </w:t>
        </w:r>
      </w:hyperlink>
      <w:hyperlink r:id="rId37">
        <w:r>
          <w:rPr>
            <w:rFonts w:ascii="Times New Roman" w:eastAsia="Times New Roman" w:hAnsi="Times New Roman" w:cs="Times New Roman"/>
            <w:color w:val="1155CC"/>
            <w:sz w:val="24"/>
            <w:szCs w:val="24"/>
            <w:u w:val="single"/>
          </w:rPr>
          <w:t>https://www.gov.br/anvisa/pt-br</w:t>
        </w:r>
      </w:hyperlink>
      <w:r>
        <w:rPr>
          <w:rFonts w:ascii="Times New Roman" w:eastAsia="Times New Roman" w:hAnsi="Times New Roman" w:cs="Times New Roman"/>
          <w:sz w:val="24"/>
          <w:szCs w:val="24"/>
        </w:rPr>
        <w:t xml:space="preserve"> </w:t>
      </w:r>
    </w:p>
    <w:p w14:paraId="787CA622" w14:textId="77777777" w:rsidR="006C186A" w:rsidRDefault="00D60250">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Agência Nacional de Vigilância Sanitária. </w:t>
      </w:r>
      <w:r>
        <w:rPr>
          <w:rFonts w:ascii="Times New Roman" w:eastAsia="Times New Roman" w:hAnsi="Times New Roman" w:cs="Times New Roman"/>
          <w:i/>
          <w:iCs/>
          <w:sz w:val="24"/>
          <w:szCs w:val="24"/>
        </w:rPr>
        <w:t>Resolução da Diretoria Colegiada RDC nº 222, de 28 de março de 2018</w:t>
      </w:r>
      <w:r>
        <w:rPr>
          <w:rFonts w:ascii="Times New Roman" w:eastAsia="Times New Roman" w:hAnsi="Times New Roman" w:cs="Times New Roman"/>
          <w:sz w:val="24"/>
          <w:szCs w:val="24"/>
        </w:rPr>
        <w:t>. Regulamenta as Boas Práticas de Gerenciamento dos Resíduos de Serviços de Saúde e dá outras providências. Brasília: ANVISA, 2018. Disponível em:</w:t>
      </w:r>
      <w:hyperlink r:id="rId38">
        <w:r>
          <w:rPr>
            <w:rFonts w:ascii="Times New Roman" w:eastAsia="Times New Roman" w:hAnsi="Times New Roman" w:cs="Times New Roman"/>
            <w:sz w:val="24"/>
            <w:szCs w:val="24"/>
          </w:rPr>
          <w:t xml:space="preserve"> </w:t>
        </w:r>
      </w:hyperlink>
      <w:hyperlink r:id="rId39">
        <w:r>
          <w:rPr>
            <w:rFonts w:ascii="Times New Roman" w:eastAsia="Times New Roman" w:hAnsi="Times New Roman" w:cs="Times New Roman"/>
            <w:color w:val="1155CC"/>
            <w:sz w:val="24"/>
            <w:szCs w:val="24"/>
            <w:u w:val="single"/>
          </w:rPr>
          <w:t>https://www.gov.br/anvisa/pt-br</w:t>
        </w:r>
      </w:hyperlink>
      <w:r>
        <w:rPr>
          <w:rFonts w:ascii="Times New Roman" w:eastAsia="Times New Roman" w:hAnsi="Times New Roman" w:cs="Times New Roman"/>
          <w:sz w:val="24"/>
          <w:szCs w:val="24"/>
        </w:rPr>
        <w:t xml:space="preserve">. </w:t>
      </w:r>
    </w:p>
    <w:sectPr w:rsidR="006C186A">
      <w:footerReference w:type="default" r:id="rId40"/>
      <w:pgSz w:w="11906" w:h="16838"/>
      <w:pgMar w:top="1417" w:right="1701"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B58A6" w14:textId="77777777" w:rsidR="003B5732" w:rsidRDefault="003B5732">
      <w:pPr>
        <w:spacing w:after="0" w:line="240" w:lineRule="auto"/>
      </w:pPr>
      <w:r>
        <w:separator/>
      </w:r>
    </w:p>
  </w:endnote>
  <w:endnote w:type="continuationSeparator" w:id="0">
    <w:p w14:paraId="48021EE9" w14:textId="77777777" w:rsidR="003B5732" w:rsidRDefault="003B5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0D2C695-66E0-47CC-9D50-55181D5FF859}"/>
    <w:embedBold r:id="rId2" w:fontKey="{96BC5257-6CE9-4C9E-921F-221C4DB31E1B}"/>
  </w:font>
  <w:font w:name="Georgia">
    <w:panose1 w:val="02040502050405020303"/>
    <w:charset w:val="00"/>
    <w:family w:val="roman"/>
    <w:pitch w:val="variable"/>
    <w:sig w:usb0="00000287" w:usb1="00000000" w:usb2="00000000" w:usb3="00000000" w:csb0="0000009F" w:csb1="00000000"/>
    <w:embedItalic r:id="rId3" w:fontKey="{D1649079-794A-4EDA-B1AF-D15BD0F0B59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D283CE67-ECED-4758-90FC-E4F3F6A004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ACEF" w14:textId="77777777" w:rsidR="006C186A" w:rsidRDefault="006C186A">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84C2B" w14:textId="77777777" w:rsidR="003B5732" w:rsidRDefault="003B5732">
      <w:pPr>
        <w:spacing w:after="0" w:line="240" w:lineRule="auto"/>
      </w:pPr>
      <w:r>
        <w:separator/>
      </w:r>
    </w:p>
  </w:footnote>
  <w:footnote w:type="continuationSeparator" w:id="0">
    <w:p w14:paraId="3F65D231" w14:textId="77777777" w:rsidR="003B5732" w:rsidRDefault="003B57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30EE0"/>
    <w:multiLevelType w:val="multilevel"/>
    <w:tmpl w:val="A732AB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72423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86A"/>
    <w:rsid w:val="00047B80"/>
    <w:rsid w:val="000D000E"/>
    <w:rsid w:val="00180B6E"/>
    <w:rsid w:val="00216737"/>
    <w:rsid w:val="003B5732"/>
    <w:rsid w:val="006C186A"/>
    <w:rsid w:val="00782BEB"/>
    <w:rsid w:val="00D602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F648B"/>
  <w15:docId w15:val="{6386000F-7314-4D52-92EE-3862C758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590/S0101-28002011000400014" TargetMode="External"/><Relationship Id="rId18" Type="http://schemas.openxmlformats.org/officeDocument/2006/relationships/hyperlink" Target="https://doi.org/10.1590/S0102-311X2007000400008" TargetMode="External"/><Relationship Id="rId26" Type="http://schemas.openxmlformats.org/officeDocument/2006/relationships/hyperlink" Target="https://doi.org/10.1016/S0140-6736(20)30045-3" TargetMode="External"/><Relationship Id="rId39" Type="http://schemas.openxmlformats.org/officeDocument/2006/relationships/hyperlink" Target="https://www.gov.br/anvisa/pt-br" TargetMode="External"/><Relationship Id="rId21" Type="http://schemas.openxmlformats.org/officeDocument/2006/relationships/hyperlink" Target="https://doi.org/10.1016/B978-1-4557-4096-3.00038-6" TargetMode="External"/><Relationship Id="rId34" Type="http://schemas.openxmlformats.org/officeDocument/2006/relationships/hyperlink" Target="https://www.ibge.gov.br/estatisticas/sociais/saude/9160-pesquisa-nacional-de-saude.html"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590/S1413-81232011000300032" TargetMode="External"/><Relationship Id="rId20" Type="http://schemas.openxmlformats.org/officeDocument/2006/relationships/hyperlink" Target="https://www.gov.br/saude/pt-br/composicao/saes/snt" TargetMode="External"/><Relationship Id="rId29" Type="http://schemas.openxmlformats.org/officeDocument/2006/relationships/hyperlink" Target="https://doi.org/10.1053/j.ajkd.2018.12.04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ferencias.unifoa.edu.br/congresso-medvr/article/view/1586" TargetMode="External"/><Relationship Id="rId24" Type="http://schemas.openxmlformats.org/officeDocument/2006/relationships/hyperlink" Target="https://site.abto.org.br/publicacao/rbt/" TargetMode="External"/><Relationship Id="rId32" Type="http://schemas.openxmlformats.org/officeDocument/2006/relationships/hyperlink" Target="https://www.scielo.br/j/csc/a/39rwjxMH7z7kKRqv9kQGr4L" TargetMode="External"/><Relationship Id="rId37" Type="http://schemas.openxmlformats.org/officeDocument/2006/relationships/hyperlink" Target="https://www.gov.br/anvisa/pt-br"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590/S1413-81232011000300032" TargetMode="External"/><Relationship Id="rId23" Type="http://schemas.openxmlformats.org/officeDocument/2006/relationships/hyperlink" Target="https://doi.org/10.1590/1982-0194201700042" TargetMode="External"/><Relationship Id="rId28" Type="http://schemas.openxmlformats.org/officeDocument/2006/relationships/hyperlink" Target="https://doi.org/10.1053/j.ajkd.2018.12.044" TargetMode="External"/><Relationship Id="rId36" Type="http://schemas.openxmlformats.org/officeDocument/2006/relationships/hyperlink" Target="https://www.gov.br/anvisa/pt-br" TargetMode="External"/><Relationship Id="rId10" Type="http://schemas.openxmlformats.org/officeDocument/2006/relationships/hyperlink" Target="https://www.gov.br/saude/pt-br/assuntos/saude-de-a-a-z/d/drc" TargetMode="External"/><Relationship Id="rId19" Type="http://schemas.openxmlformats.org/officeDocument/2006/relationships/hyperlink" Target="https://www.gov.br/saude/pt-br/composicao/saes/snt" TargetMode="External"/><Relationship Id="rId31" Type="http://schemas.openxmlformats.org/officeDocument/2006/relationships/hyperlink" Target="https://doi.org/10.33448/rsd-v13i4.45603" TargetMode="External"/><Relationship Id="rId4" Type="http://schemas.openxmlformats.org/officeDocument/2006/relationships/settings" Target="settings.xml"/><Relationship Id="rId9" Type="http://schemas.openxmlformats.org/officeDocument/2006/relationships/hyperlink" Target="https://www.gov.br/saude/pt-br/assuntos/saude-de-a-a-z/d/drc" TargetMode="External"/><Relationship Id="rId14" Type="http://schemas.openxmlformats.org/officeDocument/2006/relationships/hyperlink" Target="https://doi.org/10.1590/S0101-28002011000400014" TargetMode="External"/><Relationship Id="rId22" Type="http://schemas.openxmlformats.org/officeDocument/2006/relationships/hyperlink" Target="https://doi.org/10.1590/1982-0194201700042" TargetMode="External"/><Relationship Id="rId27" Type="http://schemas.openxmlformats.org/officeDocument/2006/relationships/hyperlink" Target="https://doi.org/10.1016/S0140-6736(20)30045-3" TargetMode="External"/><Relationship Id="rId30" Type="http://schemas.openxmlformats.org/officeDocument/2006/relationships/hyperlink" Target="https://doi.org/10.33448/rsd-v13i4.45603" TargetMode="External"/><Relationship Id="rId35" Type="http://schemas.openxmlformats.org/officeDocument/2006/relationships/hyperlink" Target="https://www.ibge.gov.br/estatisticas/sociais/saude/9160-pesquisa-nacional-de-saude.html"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conferencias.unifoa.edu.br/congresso-medvr/article/view/1586" TargetMode="External"/><Relationship Id="rId17" Type="http://schemas.openxmlformats.org/officeDocument/2006/relationships/hyperlink" Target="https://doi.org/10.1590/S0102-311X2007000400008" TargetMode="External"/><Relationship Id="rId25" Type="http://schemas.openxmlformats.org/officeDocument/2006/relationships/hyperlink" Target="https://site.abto.org.br/publicacao/rbt/" TargetMode="External"/><Relationship Id="rId33" Type="http://schemas.openxmlformats.org/officeDocument/2006/relationships/hyperlink" Target="https://www.scielo.br/j/csc/a/39rwjxMH7z7kKRqv9kQGr4L" TargetMode="External"/><Relationship Id="rId38" Type="http://schemas.openxmlformats.org/officeDocument/2006/relationships/hyperlink" Target="https://www.gov.br/anvisa/pt-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YM0vntqiQ3LocC+iZftDL1IFjw==">CgMxLjAaJQoBMBIgCh4IB0IaCg9UaW1lcyBOZXcgUm9tYW4SB0d1bmdzdWgaJQoBMRIgCh4IB0IaCg9UaW1lcyBOZXcgUm9tYW4SB0d1bmdzdWgaJQoBMhIgCh4IB0IaCg9UaW1lcyBOZXcgUm9tYW4SB0d1bmdzdWgyDmgud2d0MHJubGtkMGdjOAByITFpbmRDMC1wN0tGdS03R0d1dzlERThOV1JkclNhSDl3eQ==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3732</Words>
  <Characters>20157</Characters>
  <Application>Microsoft Office Word</Application>
  <DocSecurity>0</DocSecurity>
  <Lines>167</Lines>
  <Paragraphs>47</Paragraphs>
  <ScaleCrop>false</ScaleCrop>
  <Company/>
  <LinksUpToDate>false</LinksUpToDate>
  <CharactersWithSpaces>23842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Gonçalves</dc:creator>
  <cp:lastModifiedBy>Clayson Moura Gomes</cp:lastModifiedBy>
  <cp:revision>2</cp:revision>
  <dcterms:created xsi:type="dcterms:W3CDTF">2026-06-24T13:45:00Z</dcterms:created>
  <dcterms:modified xsi:type="dcterms:W3CDTF">2026-06-24T13:45:00Z</dcterms:modified>
</cp:coreProperties>
</file>