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D131" w14:textId="5EEC25BB" w:rsidR="000A08FC" w:rsidRDefault="000A08FC" w:rsidP="00851F32">
      <w:pPr>
        <w:pStyle w:val="Corpo"/>
        <w:tabs>
          <w:tab w:val="left" w:pos="3544"/>
        </w:tabs>
        <w:spacing w:line="480" w:lineRule="auto"/>
        <w:rPr>
          <w:rStyle w:val="Nenhum"/>
          <w:rFonts w:ascii="Arial Unicode MS" w:hAnsi="Arial Unicode MS"/>
          <w14:textOutline w14:w="12700" w14:cap="flat" w14:cmpd="sng" w14:algn="ctr">
            <w14:noFill/>
            <w14:prstDash w14:val="solid"/>
            <w14:miter w14:lim="400000"/>
          </w14:textOutline>
        </w:rPr>
      </w:pPr>
      <w:bookmarkStart w:id="0" w:name="_Hlk214294148"/>
      <w:bookmarkEnd w:id="0"/>
      <w:r>
        <w:rPr>
          <w:rStyle w:val="Nenhum"/>
          <w:rFonts w:ascii="Arial Unicode MS" w:hAnsi="Arial Unicode MS"/>
          <w:noProof/>
          <w14:textOutline w14:w="12700" w14:cap="flat" w14:cmpd="sng" w14:algn="ctr">
            <w14:noFill/>
            <w14:prstDash w14:val="solid"/>
            <w14:miter w14:lim="400000"/>
          </w14:textOutline>
        </w:rPr>
        <w:drawing>
          <wp:anchor distT="0" distB="0" distL="114300" distR="114300" simplePos="0" relativeHeight="251658240" behindDoc="0" locked="0" layoutInCell="1" allowOverlap="1" wp14:anchorId="247063BB" wp14:editId="2316C4FD">
            <wp:simplePos x="0" y="0"/>
            <wp:positionH relativeFrom="column">
              <wp:posOffset>1815465</wp:posOffset>
            </wp:positionH>
            <wp:positionV relativeFrom="paragraph">
              <wp:posOffset>188322</wp:posOffset>
            </wp:positionV>
            <wp:extent cx="1774825" cy="1037590"/>
            <wp:effectExtent l="0" t="0" r="0" b="0"/>
            <wp:wrapNone/>
            <wp:docPr id="1073741827" name="officeArt object" descr="Imagem 3"/>
            <wp:cNvGraphicFramePr/>
            <a:graphic xmlns:a="http://schemas.openxmlformats.org/drawingml/2006/main">
              <a:graphicData uri="http://schemas.openxmlformats.org/drawingml/2006/picture">
                <pic:pic xmlns:pic="http://schemas.openxmlformats.org/drawingml/2006/picture">
                  <pic:nvPicPr>
                    <pic:cNvPr id="1073741827" name="Imagem 3" descr="Imagem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74825" cy="1037590"/>
                    </a:xfrm>
                    <a:prstGeom prst="rect">
                      <a:avLst/>
                    </a:prstGeom>
                    <a:ln w="12700" cap="flat">
                      <a:noFill/>
                      <a:miter lim="400000"/>
                    </a:ln>
                    <a:effectLst/>
                  </pic:spPr>
                </pic:pic>
              </a:graphicData>
            </a:graphic>
          </wp:anchor>
        </w:drawing>
      </w:r>
    </w:p>
    <w:p w14:paraId="334709BE" w14:textId="697AE7AE" w:rsidR="000A08FC" w:rsidRPr="00E26D99" w:rsidRDefault="000A08FC" w:rsidP="000A08FC">
      <w:pPr>
        <w:pStyle w:val="Corpo"/>
        <w:tabs>
          <w:tab w:val="left" w:pos="3544"/>
        </w:tabs>
        <w:spacing w:line="480" w:lineRule="auto"/>
        <w:jc w:val="center"/>
        <w:rPr>
          <w:rStyle w:val="Nenhum"/>
          <w:rFonts w:ascii="Arial Unicode MS" w:hAnsi="Arial Unicode MS"/>
          <w14:textOutline w14:w="12700" w14:cap="flat" w14:cmpd="sng" w14:algn="ctr">
            <w14:noFill/>
            <w14:prstDash w14:val="solid"/>
            <w14:miter w14:lim="400000"/>
          </w14:textOutline>
        </w:rPr>
      </w:pPr>
    </w:p>
    <w:p w14:paraId="0DAC49CB" w14:textId="77777777" w:rsidR="000A08FC" w:rsidRDefault="000A08FC" w:rsidP="000A08FC">
      <w:pPr>
        <w:jc w:val="center"/>
        <w:rPr>
          <w:b/>
          <w:bCs/>
          <w:lang w:val="de-DE"/>
        </w:rPr>
      </w:pPr>
    </w:p>
    <w:p w14:paraId="463EC7F9" w14:textId="77777777" w:rsidR="000A08FC" w:rsidRDefault="000A08FC" w:rsidP="000A08FC">
      <w:pPr>
        <w:jc w:val="center"/>
        <w:rPr>
          <w:b/>
          <w:bCs/>
          <w:lang w:val="de-DE"/>
        </w:rPr>
      </w:pPr>
    </w:p>
    <w:p w14:paraId="73D5E0EE" w14:textId="77777777" w:rsidR="000A08FC" w:rsidRDefault="000A08FC" w:rsidP="000A08FC">
      <w:pPr>
        <w:jc w:val="center"/>
        <w:rPr>
          <w:b/>
          <w:bCs/>
          <w:lang w:val="de-DE"/>
        </w:rPr>
      </w:pPr>
    </w:p>
    <w:p w14:paraId="2E9F0A9B" w14:textId="77777777" w:rsidR="000A08FC" w:rsidRDefault="000A08FC" w:rsidP="000A08FC">
      <w:pPr>
        <w:jc w:val="center"/>
        <w:rPr>
          <w:b/>
          <w:bCs/>
          <w:lang w:val="de-DE"/>
        </w:rPr>
      </w:pPr>
    </w:p>
    <w:p w14:paraId="474D8E6C" w14:textId="6F230C62" w:rsidR="000A08FC" w:rsidRDefault="000A08FC" w:rsidP="00E4189A">
      <w:pPr>
        <w:spacing w:line="360" w:lineRule="auto"/>
        <w:jc w:val="center"/>
        <w:rPr>
          <w:rStyle w:val="Nenhum"/>
          <w:b/>
          <w:bCs/>
        </w:rPr>
      </w:pPr>
      <w:r w:rsidRPr="07600C1D">
        <w:rPr>
          <w:b/>
          <w:bCs/>
          <w:lang w:val="de-DE"/>
        </w:rPr>
        <w:t>PONTIF</w:t>
      </w:r>
      <w:r w:rsidRPr="07600C1D">
        <w:rPr>
          <w:b/>
          <w:bCs/>
        </w:rPr>
        <w:t>ÍCIA UNIVERSIDADE CATÓ</w:t>
      </w:r>
      <w:r w:rsidRPr="07600C1D">
        <w:rPr>
          <w:b/>
          <w:bCs/>
          <w:lang w:val="es-ES"/>
        </w:rPr>
        <w:t>LICA DE GOI</w:t>
      </w:r>
      <w:r w:rsidRPr="07600C1D">
        <w:rPr>
          <w:b/>
          <w:bCs/>
        </w:rPr>
        <w:t>ÁS</w:t>
      </w:r>
    </w:p>
    <w:p w14:paraId="055D9B42" w14:textId="77777777" w:rsidR="000A08FC" w:rsidRDefault="000A08FC" w:rsidP="00E4189A">
      <w:pPr>
        <w:spacing w:line="360" w:lineRule="auto"/>
        <w:jc w:val="center"/>
        <w:rPr>
          <w:rStyle w:val="Nenhum"/>
          <w:b/>
          <w:bCs/>
        </w:rPr>
      </w:pPr>
      <w:r w:rsidRPr="07600C1D">
        <w:rPr>
          <w:b/>
          <w:bCs/>
          <w:lang w:val="es-ES"/>
        </w:rPr>
        <w:t>ESCOLA DE DIREITO</w:t>
      </w:r>
      <w:r w:rsidRPr="07600C1D">
        <w:rPr>
          <w:b/>
          <w:bCs/>
          <w:lang w:val="pt-PT"/>
        </w:rPr>
        <w:t>, NEGÓCIOS E COMUNICAÇÃO</w:t>
      </w:r>
    </w:p>
    <w:p w14:paraId="7319D42B" w14:textId="77777777" w:rsidR="000A08FC" w:rsidRDefault="000A08FC" w:rsidP="00E4189A">
      <w:pPr>
        <w:spacing w:line="360" w:lineRule="auto"/>
        <w:jc w:val="center"/>
        <w:rPr>
          <w:rStyle w:val="Nenhum"/>
          <w:b/>
          <w:bCs/>
        </w:rPr>
      </w:pPr>
      <w:r w:rsidRPr="07600C1D">
        <w:rPr>
          <w:b/>
          <w:bCs/>
        </w:rPr>
        <w:t>NÚ</w:t>
      </w:r>
      <w:r w:rsidRPr="07600C1D">
        <w:rPr>
          <w:b/>
          <w:bCs/>
          <w:lang w:val="es-ES"/>
        </w:rPr>
        <w:t>CLEO DE PR</w:t>
      </w:r>
      <w:r w:rsidRPr="07600C1D">
        <w:rPr>
          <w:b/>
          <w:bCs/>
        </w:rPr>
        <w:t>Á</w:t>
      </w:r>
      <w:r w:rsidRPr="07600C1D">
        <w:rPr>
          <w:b/>
          <w:bCs/>
          <w:lang w:val="pt-PT"/>
        </w:rPr>
        <w:t>TICA JUR</w:t>
      </w:r>
      <w:r w:rsidRPr="07600C1D">
        <w:rPr>
          <w:b/>
          <w:bCs/>
        </w:rPr>
        <w:t>ÍDICA</w:t>
      </w:r>
    </w:p>
    <w:p w14:paraId="40ED615E" w14:textId="77777777" w:rsidR="000A08FC" w:rsidRDefault="000A08FC" w:rsidP="00E4189A">
      <w:pPr>
        <w:spacing w:line="360" w:lineRule="auto"/>
        <w:jc w:val="center"/>
        <w:rPr>
          <w:rStyle w:val="Nenhum"/>
          <w:b/>
          <w:bCs/>
        </w:rPr>
      </w:pPr>
      <w:r w:rsidRPr="07600C1D">
        <w:rPr>
          <w:b/>
          <w:bCs/>
          <w:lang w:val="es-ES"/>
        </w:rPr>
        <w:t>COORDENA</w:t>
      </w:r>
      <w:r w:rsidRPr="07600C1D">
        <w:rPr>
          <w:b/>
          <w:bCs/>
        </w:rPr>
        <w:t>ÇÃ</w:t>
      </w:r>
      <w:r w:rsidRPr="07600C1D">
        <w:rPr>
          <w:b/>
          <w:bCs/>
          <w:lang w:val="es-ES"/>
        </w:rPr>
        <w:t>O ADJUNTA DE TRABALHO DE CURSO</w:t>
      </w:r>
    </w:p>
    <w:p w14:paraId="7DD66263" w14:textId="77777777" w:rsidR="000A08FC" w:rsidRPr="000A08FC" w:rsidRDefault="000A08FC" w:rsidP="000A08FC"/>
    <w:p w14:paraId="09330190" w14:textId="4EEC140B" w:rsidR="24E2A33A" w:rsidRDefault="24E2A33A"/>
    <w:p w14:paraId="124BD8E4" w14:textId="75F6D9FD" w:rsidR="24E2A33A" w:rsidRDefault="24E2A33A"/>
    <w:p w14:paraId="464802E3" w14:textId="77777777" w:rsidR="000A08FC" w:rsidRPr="000A08FC" w:rsidRDefault="000A08FC" w:rsidP="000A08FC"/>
    <w:p w14:paraId="466FD600" w14:textId="77777777" w:rsidR="000A08FC" w:rsidRPr="000A08FC" w:rsidRDefault="000A08FC" w:rsidP="000A08FC"/>
    <w:p w14:paraId="4CBA293C" w14:textId="77777777" w:rsidR="000A08FC" w:rsidRDefault="000A08FC" w:rsidP="000A08FC">
      <w:pPr>
        <w:tabs>
          <w:tab w:val="left" w:pos="2691"/>
        </w:tabs>
      </w:pPr>
    </w:p>
    <w:p w14:paraId="77EBAE2C" w14:textId="77777777" w:rsidR="000A08FC" w:rsidRDefault="000A08FC" w:rsidP="000A08FC">
      <w:pPr>
        <w:tabs>
          <w:tab w:val="left" w:pos="2691"/>
        </w:tabs>
      </w:pPr>
    </w:p>
    <w:p w14:paraId="5412CFDF" w14:textId="77777777" w:rsidR="000A08FC" w:rsidRDefault="000A08FC" w:rsidP="000A08FC">
      <w:pPr>
        <w:tabs>
          <w:tab w:val="left" w:pos="2691"/>
        </w:tabs>
      </w:pPr>
    </w:p>
    <w:p w14:paraId="322CBB07" w14:textId="77777777" w:rsidR="000A08FC" w:rsidRDefault="000A08FC" w:rsidP="000A08FC">
      <w:pPr>
        <w:tabs>
          <w:tab w:val="left" w:pos="2691"/>
        </w:tabs>
      </w:pPr>
    </w:p>
    <w:p w14:paraId="01CE76D0" w14:textId="77777777" w:rsidR="000A08FC" w:rsidRDefault="000A08FC" w:rsidP="000A08FC">
      <w:pPr>
        <w:tabs>
          <w:tab w:val="left" w:pos="2691"/>
        </w:tabs>
      </w:pPr>
    </w:p>
    <w:p w14:paraId="5F1D3CA2" w14:textId="334AB338" w:rsidR="000A08FC" w:rsidRPr="00E4189A" w:rsidRDefault="000A08FC" w:rsidP="000A08FC">
      <w:pPr>
        <w:tabs>
          <w:tab w:val="left" w:pos="2691"/>
        </w:tabs>
        <w:spacing w:line="360" w:lineRule="auto"/>
        <w:jc w:val="center"/>
        <w:rPr>
          <w:b/>
          <w:bCs/>
        </w:rPr>
      </w:pPr>
      <w:r w:rsidRPr="00E4189A">
        <w:rPr>
          <w:b/>
          <w:bCs/>
        </w:rPr>
        <w:t>A MÍDIA SOCIAL NO CONTEXTO JURÍDICO</w:t>
      </w:r>
    </w:p>
    <w:p w14:paraId="129064F4" w14:textId="4202E0FB" w:rsidR="000A08FC" w:rsidRDefault="000A08FC" w:rsidP="000A08FC">
      <w:pPr>
        <w:tabs>
          <w:tab w:val="left" w:pos="2691"/>
        </w:tabs>
        <w:spacing w:line="360" w:lineRule="auto"/>
        <w:jc w:val="center"/>
      </w:pPr>
      <w:r>
        <w:t>IMPACTO NA IMPARCIALIDADE DO PROCESSO PENAL</w:t>
      </w:r>
    </w:p>
    <w:p w14:paraId="04A39172" w14:textId="77777777" w:rsidR="000A08FC" w:rsidRDefault="000A08FC" w:rsidP="000A08FC">
      <w:pPr>
        <w:tabs>
          <w:tab w:val="left" w:pos="2691"/>
        </w:tabs>
        <w:spacing w:line="360" w:lineRule="auto"/>
        <w:jc w:val="center"/>
      </w:pPr>
    </w:p>
    <w:p w14:paraId="77F0A910" w14:textId="77777777" w:rsidR="000A08FC" w:rsidRDefault="000A08FC" w:rsidP="000A08FC">
      <w:pPr>
        <w:tabs>
          <w:tab w:val="left" w:pos="2691"/>
        </w:tabs>
      </w:pPr>
    </w:p>
    <w:p w14:paraId="289A292B" w14:textId="77777777" w:rsidR="000A08FC" w:rsidRDefault="000A08FC" w:rsidP="000A08FC">
      <w:pPr>
        <w:tabs>
          <w:tab w:val="left" w:pos="2691"/>
        </w:tabs>
      </w:pPr>
    </w:p>
    <w:p w14:paraId="129B3E32" w14:textId="77777777" w:rsidR="000A08FC" w:rsidRDefault="000A08FC" w:rsidP="000A08FC">
      <w:pPr>
        <w:tabs>
          <w:tab w:val="left" w:pos="2691"/>
        </w:tabs>
      </w:pPr>
    </w:p>
    <w:p w14:paraId="6AE3C653" w14:textId="77777777" w:rsidR="000A08FC" w:rsidRDefault="000A08FC" w:rsidP="000A08FC">
      <w:pPr>
        <w:tabs>
          <w:tab w:val="left" w:pos="2691"/>
        </w:tabs>
      </w:pPr>
    </w:p>
    <w:p w14:paraId="6049F302" w14:textId="77777777" w:rsidR="000A08FC" w:rsidRDefault="000A08FC" w:rsidP="000A08FC">
      <w:pPr>
        <w:tabs>
          <w:tab w:val="left" w:pos="2691"/>
        </w:tabs>
      </w:pPr>
    </w:p>
    <w:p w14:paraId="673CC936" w14:textId="77777777" w:rsidR="000A08FC" w:rsidRDefault="000A08FC" w:rsidP="00E4189A">
      <w:pPr>
        <w:tabs>
          <w:tab w:val="left" w:pos="2691"/>
        </w:tabs>
        <w:jc w:val="center"/>
      </w:pPr>
    </w:p>
    <w:p w14:paraId="177EACCE" w14:textId="71B80E89" w:rsidR="00E4189A" w:rsidRDefault="00E4189A" w:rsidP="00E4189A">
      <w:pPr>
        <w:tabs>
          <w:tab w:val="left" w:pos="2691"/>
        </w:tabs>
        <w:jc w:val="center"/>
      </w:pPr>
      <w:r>
        <w:t>ORIENTANDO (A): BETHÂNIA REZENDE GONÇALVES</w:t>
      </w:r>
    </w:p>
    <w:p w14:paraId="55D167BD" w14:textId="698C5E52" w:rsidR="000A08FC" w:rsidRDefault="00E4189A" w:rsidP="00E4189A">
      <w:pPr>
        <w:tabs>
          <w:tab w:val="left" w:pos="2691"/>
        </w:tabs>
        <w:jc w:val="center"/>
      </w:pPr>
      <w:r>
        <w:t>ORIENTADORA: PROFA. DRA. FÁTIMA DE PAULA FERREIRA</w:t>
      </w:r>
    </w:p>
    <w:p w14:paraId="686E028B" w14:textId="77777777" w:rsidR="000A08FC" w:rsidRDefault="000A08FC" w:rsidP="000A08FC">
      <w:pPr>
        <w:tabs>
          <w:tab w:val="left" w:pos="2691"/>
        </w:tabs>
      </w:pPr>
    </w:p>
    <w:p w14:paraId="2AA7558B" w14:textId="77777777" w:rsidR="000A08FC" w:rsidRDefault="000A08FC" w:rsidP="000A08FC">
      <w:pPr>
        <w:tabs>
          <w:tab w:val="left" w:pos="2691"/>
        </w:tabs>
      </w:pPr>
    </w:p>
    <w:p w14:paraId="492B7A29" w14:textId="77777777" w:rsidR="000A08FC" w:rsidRDefault="000A08FC" w:rsidP="000A08FC">
      <w:pPr>
        <w:tabs>
          <w:tab w:val="left" w:pos="2691"/>
        </w:tabs>
      </w:pPr>
    </w:p>
    <w:p w14:paraId="1481F1EF" w14:textId="77777777" w:rsidR="00DE6B9C" w:rsidRDefault="00DE6B9C" w:rsidP="000A08FC">
      <w:pPr>
        <w:tabs>
          <w:tab w:val="left" w:pos="2691"/>
        </w:tabs>
      </w:pPr>
    </w:p>
    <w:p w14:paraId="06A120AD" w14:textId="420EA868" w:rsidR="000A08FC" w:rsidRDefault="000A08FC" w:rsidP="000A08FC">
      <w:pPr>
        <w:tabs>
          <w:tab w:val="left" w:pos="2691"/>
        </w:tabs>
      </w:pPr>
    </w:p>
    <w:p w14:paraId="3E67F1CA" w14:textId="77777777" w:rsidR="000A08FC" w:rsidRDefault="000A08FC" w:rsidP="000A08FC">
      <w:pPr>
        <w:tabs>
          <w:tab w:val="left" w:pos="2691"/>
        </w:tabs>
      </w:pPr>
    </w:p>
    <w:p w14:paraId="5500982A" w14:textId="1BF9D78A" w:rsidR="72A7D82C" w:rsidRDefault="72A7D82C" w:rsidP="72A7D82C">
      <w:pPr>
        <w:tabs>
          <w:tab w:val="left" w:pos="2691"/>
        </w:tabs>
      </w:pPr>
    </w:p>
    <w:p w14:paraId="69FFEE1A" w14:textId="77777777" w:rsidR="000A08FC" w:rsidRDefault="000A08FC" w:rsidP="000A08FC">
      <w:pPr>
        <w:tabs>
          <w:tab w:val="left" w:pos="2691"/>
        </w:tabs>
      </w:pPr>
    </w:p>
    <w:p w14:paraId="481563E3" w14:textId="77777777" w:rsidR="00851F32" w:rsidRDefault="00851F32" w:rsidP="000A08FC">
      <w:pPr>
        <w:tabs>
          <w:tab w:val="left" w:pos="2691"/>
        </w:tabs>
      </w:pPr>
    </w:p>
    <w:p w14:paraId="31844374" w14:textId="648715AF" w:rsidR="34754AA9" w:rsidRDefault="34754AA9" w:rsidP="34754AA9">
      <w:pPr>
        <w:tabs>
          <w:tab w:val="left" w:pos="2691"/>
        </w:tabs>
      </w:pPr>
    </w:p>
    <w:p w14:paraId="757FEA94" w14:textId="587CCF97" w:rsidR="34754AA9" w:rsidRDefault="34754AA9" w:rsidP="34754AA9">
      <w:pPr>
        <w:tabs>
          <w:tab w:val="left" w:pos="2691"/>
        </w:tabs>
      </w:pPr>
    </w:p>
    <w:p w14:paraId="7B011DCE" w14:textId="60B50B69" w:rsidR="34754AA9" w:rsidRDefault="34754AA9" w:rsidP="34754AA9">
      <w:pPr>
        <w:tabs>
          <w:tab w:val="left" w:pos="2691"/>
        </w:tabs>
      </w:pPr>
    </w:p>
    <w:p w14:paraId="31227EA6" w14:textId="1A14398A" w:rsidR="000A08FC" w:rsidRDefault="00E4189A" w:rsidP="00E4189A">
      <w:pPr>
        <w:tabs>
          <w:tab w:val="left" w:pos="2691"/>
        </w:tabs>
        <w:jc w:val="center"/>
      </w:pPr>
      <w:r>
        <w:t>GOIÂNIA/GO</w:t>
      </w:r>
    </w:p>
    <w:p w14:paraId="75F70B8F" w14:textId="43AE748A" w:rsidR="00E4189A" w:rsidRDefault="00E4189A" w:rsidP="00E4189A">
      <w:pPr>
        <w:tabs>
          <w:tab w:val="left" w:pos="2691"/>
        </w:tabs>
        <w:jc w:val="center"/>
      </w:pPr>
      <w:r>
        <w:t>202</w:t>
      </w:r>
      <w:r w:rsidR="5231FB44">
        <w:t>6</w:t>
      </w:r>
      <w:r w:rsidR="006258A6">
        <w:t>/1</w:t>
      </w:r>
    </w:p>
    <w:p w14:paraId="5413F4A1" w14:textId="57DC6D12" w:rsidR="00E4189A" w:rsidRDefault="00E4189A" w:rsidP="00E4189A">
      <w:pPr>
        <w:tabs>
          <w:tab w:val="left" w:pos="2691"/>
        </w:tabs>
        <w:jc w:val="center"/>
      </w:pPr>
      <w:r>
        <w:lastRenderedPageBreak/>
        <w:t>BETHÂNIA REZENDE GONÇALVES</w:t>
      </w:r>
    </w:p>
    <w:p w14:paraId="4E04BE84" w14:textId="77777777" w:rsidR="00E4189A" w:rsidRDefault="00E4189A" w:rsidP="00E4189A">
      <w:pPr>
        <w:tabs>
          <w:tab w:val="left" w:pos="2691"/>
        </w:tabs>
        <w:jc w:val="center"/>
      </w:pPr>
    </w:p>
    <w:p w14:paraId="538BB5AA" w14:textId="77777777" w:rsidR="00E4189A" w:rsidRDefault="00E4189A" w:rsidP="00E4189A">
      <w:pPr>
        <w:tabs>
          <w:tab w:val="left" w:pos="2691"/>
        </w:tabs>
        <w:jc w:val="center"/>
      </w:pPr>
    </w:p>
    <w:p w14:paraId="731287F7" w14:textId="77777777" w:rsidR="00E4189A" w:rsidRDefault="00E4189A" w:rsidP="00E4189A">
      <w:pPr>
        <w:tabs>
          <w:tab w:val="left" w:pos="2691"/>
        </w:tabs>
        <w:jc w:val="center"/>
      </w:pPr>
    </w:p>
    <w:p w14:paraId="251F4560" w14:textId="77777777" w:rsidR="00E4189A" w:rsidRDefault="00E4189A" w:rsidP="00E4189A">
      <w:pPr>
        <w:tabs>
          <w:tab w:val="left" w:pos="2691"/>
        </w:tabs>
        <w:jc w:val="center"/>
      </w:pPr>
    </w:p>
    <w:p w14:paraId="313787E9" w14:textId="77777777" w:rsidR="00E4189A" w:rsidRDefault="00E4189A" w:rsidP="00E4189A">
      <w:pPr>
        <w:tabs>
          <w:tab w:val="left" w:pos="2691"/>
        </w:tabs>
        <w:jc w:val="center"/>
      </w:pPr>
    </w:p>
    <w:p w14:paraId="6BE19BBB" w14:textId="77777777" w:rsidR="00E4189A" w:rsidRDefault="00E4189A" w:rsidP="00E4189A">
      <w:pPr>
        <w:tabs>
          <w:tab w:val="left" w:pos="2691"/>
        </w:tabs>
        <w:jc w:val="center"/>
      </w:pPr>
    </w:p>
    <w:p w14:paraId="7410C3D7" w14:textId="77777777" w:rsidR="00E4189A" w:rsidRDefault="00E4189A" w:rsidP="00E4189A">
      <w:pPr>
        <w:tabs>
          <w:tab w:val="left" w:pos="2691"/>
        </w:tabs>
        <w:jc w:val="center"/>
      </w:pPr>
    </w:p>
    <w:p w14:paraId="047E4D66" w14:textId="7287EB4D" w:rsidR="34754AA9" w:rsidRDefault="34754AA9" w:rsidP="34754AA9">
      <w:pPr>
        <w:tabs>
          <w:tab w:val="left" w:pos="2691"/>
        </w:tabs>
        <w:jc w:val="center"/>
      </w:pPr>
    </w:p>
    <w:p w14:paraId="2FC23257" w14:textId="77777777" w:rsidR="00E4189A" w:rsidRDefault="00E4189A" w:rsidP="00E4189A">
      <w:pPr>
        <w:tabs>
          <w:tab w:val="left" w:pos="2691"/>
        </w:tabs>
        <w:jc w:val="center"/>
      </w:pPr>
    </w:p>
    <w:p w14:paraId="76055251" w14:textId="77777777" w:rsidR="00E4189A" w:rsidRDefault="00E4189A" w:rsidP="00E4189A">
      <w:pPr>
        <w:tabs>
          <w:tab w:val="left" w:pos="2691"/>
        </w:tabs>
        <w:jc w:val="center"/>
      </w:pPr>
    </w:p>
    <w:p w14:paraId="74F6623C" w14:textId="77777777" w:rsidR="00E4189A" w:rsidRDefault="00E4189A" w:rsidP="00E4189A">
      <w:pPr>
        <w:tabs>
          <w:tab w:val="left" w:pos="2691"/>
        </w:tabs>
        <w:jc w:val="center"/>
      </w:pPr>
    </w:p>
    <w:p w14:paraId="0D1B45E4" w14:textId="77777777" w:rsidR="00E4189A" w:rsidRDefault="00E4189A" w:rsidP="00E4189A">
      <w:pPr>
        <w:tabs>
          <w:tab w:val="left" w:pos="2691"/>
        </w:tabs>
        <w:jc w:val="center"/>
      </w:pPr>
    </w:p>
    <w:p w14:paraId="6F82A50B" w14:textId="77777777" w:rsidR="00E4189A" w:rsidRDefault="00E4189A" w:rsidP="00786B1B">
      <w:pPr>
        <w:tabs>
          <w:tab w:val="left" w:pos="2691"/>
        </w:tabs>
      </w:pPr>
    </w:p>
    <w:p w14:paraId="65A89E8E" w14:textId="23BA1439" w:rsidR="00E4189A" w:rsidRDefault="00E4189A" w:rsidP="00E4189A">
      <w:pPr>
        <w:tabs>
          <w:tab w:val="left" w:pos="2691"/>
        </w:tabs>
        <w:jc w:val="center"/>
      </w:pPr>
    </w:p>
    <w:p w14:paraId="0DCC66B0" w14:textId="77777777" w:rsidR="00851F32" w:rsidRDefault="00851F32" w:rsidP="00E4189A">
      <w:pPr>
        <w:tabs>
          <w:tab w:val="left" w:pos="2691"/>
        </w:tabs>
        <w:jc w:val="center"/>
      </w:pPr>
    </w:p>
    <w:p w14:paraId="18518AEB" w14:textId="035E871D" w:rsidR="00E4189A" w:rsidRDefault="00E4189A" w:rsidP="00E4189A">
      <w:pPr>
        <w:tabs>
          <w:tab w:val="left" w:pos="2691"/>
        </w:tabs>
        <w:jc w:val="center"/>
      </w:pPr>
    </w:p>
    <w:p w14:paraId="30F6E3BE" w14:textId="77777777" w:rsidR="00851F32" w:rsidRDefault="00851F32" w:rsidP="00E4189A">
      <w:pPr>
        <w:tabs>
          <w:tab w:val="left" w:pos="2691"/>
        </w:tabs>
        <w:jc w:val="center"/>
      </w:pPr>
    </w:p>
    <w:p w14:paraId="234DF114" w14:textId="652F3565" w:rsidR="00E4189A" w:rsidRDefault="00E4189A" w:rsidP="00E4189A">
      <w:pPr>
        <w:tabs>
          <w:tab w:val="left" w:pos="2691"/>
        </w:tabs>
        <w:jc w:val="center"/>
      </w:pPr>
    </w:p>
    <w:p w14:paraId="5442ACCF" w14:textId="77777777" w:rsidR="00851F32" w:rsidRDefault="00851F32" w:rsidP="00E4189A">
      <w:pPr>
        <w:tabs>
          <w:tab w:val="left" w:pos="2691"/>
        </w:tabs>
        <w:jc w:val="center"/>
      </w:pPr>
    </w:p>
    <w:p w14:paraId="3A5FFFA9" w14:textId="77777777" w:rsidR="00E4189A" w:rsidRDefault="00E4189A" w:rsidP="00E4189A">
      <w:pPr>
        <w:tabs>
          <w:tab w:val="left" w:pos="2691"/>
        </w:tabs>
        <w:jc w:val="center"/>
      </w:pPr>
    </w:p>
    <w:p w14:paraId="19DF6CFA" w14:textId="77777777" w:rsidR="00E4189A" w:rsidRDefault="00E4189A" w:rsidP="00E4189A">
      <w:pPr>
        <w:tabs>
          <w:tab w:val="left" w:pos="2691"/>
        </w:tabs>
        <w:jc w:val="center"/>
      </w:pPr>
    </w:p>
    <w:p w14:paraId="1ECE597F" w14:textId="77777777" w:rsidR="000A08FC" w:rsidRDefault="000A08FC" w:rsidP="000A08FC">
      <w:pPr>
        <w:tabs>
          <w:tab w:val="left" w:pos="2691"/>
        </w:tabs>
      </w:pPr>
    </w:p>
    <w:p w14:paraId="404CBDB8" w14:textId="2424C2A0" w:rsidR="000A08FC" w:rsidRDefault="000A08FC" w:rsidP="000A08FC">
      <w:pPr>
        <w:tabs>
          <w:tab w:val="left" w:pos="2691"/>
        </w:tabs>
      </w:pPr>
    </w:p>
    <w:p w14:paraId="1E7CB9B3" w14:textId="6A0B04C9" w:rsidR="000A08FC" w:rsidRPr="00786B1B" w:rsidRDefault="00786B1B" w:rsidP="00A9665B">
      <w:pPr>
        <w:tabs>
          <w:tab w:val="left" w:pos="2691"/>
        </w:tabs>
        <w:spacing w:line="360" w:lineRule="auto"/>
        <w:jc w:val="center"/>
        <w:rPr>
          <w:b/>
          <w:bCs/>
        </w:rPr>
      </w:pPr>
      <w:r w:rsidRPr="00786B1B">
        <w:rPr>
          <w:b/>
          <w:bCs/>
        </w:rPr>
        <w:t>A MÍDIA SOCIAL NO CONTEXTO JURÍDICO</w:t>
      </w:r>
    </w:p>
    <w:p w14:paraId="494FF9C4" w14:textId="70A2EB00" w:rsidR="00E4189A" w:rsidRDefault="00786B1B" w:rsidP="00A9665B">
      <w:pPr>
        <w:tabs>
          <w:tab w:val="left" w:pos="2691"/>
        </w:tabs>
        <w:spacing w:line="360" w:lineRule="auto"/>
        <w:jc w:val="center"/>
      </w:pPr>
      <w:r>
        <w:t>IMPACTO NA IMPARCIALIDADE DO PROCESSO PENA</w:t>
      </w:r>
      <w:r w:rsidR="00A9665B">
        <w:t>L</w:t>
      </w:r>
    </w:p>
    <w:p w14:paraId="22632C2D" w14:textId="77777777" w:rsidR="00E4189A" w:rsidRDefault="00E4189A" w:rsidP="000A08FC">
      <w:pPr>
        <w:tabs>
          <w:tab w:val="left" w:pos="2691"/>
        </w:tabs>
      </w:pPr>
    </w:p>
    <w:p w14:paraId="37CFB740" w14:textId="277042D4" w:rsidR="00E4189A" w:rsidRDefault="00E4189A" w:rsidP="000A08FC">
      <w:pPr>
        <w:tabs>
          <w:tab w:val="left" w:pos="2691"/>
        </w:tabs>
      </w:pPr>
    </w:p>
    <w:p w14:paraId="517BF4E5" w14:textId="77777777" w:rsidR="00E4189A" w:rsidRDefault="00E4189A" w:rsidP="000A08FC">
      <w:pPr>
        <w:tabs>
          <w:tab w:val="left" w:pos="2691"/>
        </w:tabs>
      </w:pPr>
    </w:p>
    <w:p w14:paraId="04C71A8E" w14:textId="77777777" w:rsidR="00E4189A" w:rsidRDefault="00E4189A" w:rsidP="34754AA9">
      <w:pPr>
        <w:tabs>
          <w:tab w:val="left" w:pos="2691"/>
        </w:tabs>
        <w:spacing w:line="360" w:lineRule="auto"/>
      </w:pPr>
    </w:p>
    <w:p w14:paraId="4F9E88D8" w14:textId="48B04972" w:rsidR="34754AA9" w:rsidRDefault="34754AA9" w:rsidP="34754AA9">
      <w:pPr>
        <w:tabs>
          <w:tab w:val="left" w:pos="2691"/>
        </w:tabs>
        <w:spacing w:line="360" w:lineRule="auto"/>
      </w:pPr>
    </w:p>
    <w:p w14:paraId="66331050" w14:textId="27410902" w:rsidR="34754AA9" w:rsidRDefault="34754AA9" w:rsidP="34754AA9">
      <w:pPr>
        <w:tabs>
          <w:tab w:val="left" w:pos="2691"/>
        </w:tabs>
        <w:spacing w:line="360" w:lineRule="auto"/>
      </w:pPr>
    </w:p>
    <w:p w14:paraId="2DCBCE9F" w14:textId="44725BDC" w:rsidR="00786B1B" w:rsidRDefault="00786B1B" w:rsidP="00786B1B">
      <w:pPr>
        <w:pStyle w:val="Corpo"/>
        <w:ind w:left="3828"/>
        <w:jc w:val="both"/>
        <w:rPr>
          <w:rStyle w:val="Nenhum"/>
          <w14:textOutline w14:w="12700" w14:cap="flat" w14:cmpd="sng" w14:algn="ctr">
            <w14:noFill/>
            <w14:prstDash w14:val="solid"/>
            <w14:miter w14:lim="400000"/>
          </w14:textOutline>
        </w:rPr>
      </w:pPr>
      <w:r>
        <w:rPr>
          <w:rStyle w:val="Nenhum"/>
          <w14:textOutline w14:w="12700" w14:cap="flat" w14:cmpd="sng" w14:algn="ctr">
            <w14:noFill/>
            <w14:prstDash w14:val="solid"/>
            <w14:miter w14:lim="400000"/>
          </w14:textOutline>
        </w:rPr>
        <w:t>Projeto de Artigo Cient</w:t>
      </w:r>
      <w:r w:rsidRPr="00765B23">
        <w:rPr>
          <w:rStyle w:val="Nenhum"/>
          <w14:textOutline w14:w="12700" w14:cap="flat" w14:cmpd="sng" w14:algn="ctr">
            <w14:noFill/>
            <w14:prstDash w14:val="solid"/>
            <w14:miter w14:lim="400000"/>
          </w14:textOutline>
        </w:rPr>
        <w:t>í</w:t>
      </w:r>
      <w:r>
        <w:rPr>
          <w:rStyle w:val="Nenhum"/>
          <w14:textOutline w14:w="12700" w14:cap="flat" w14:cmpd="sng" w14:algn="ctr">
            <w14:noFill/>
            <w14:prstDash w14:val="solid"/>
            <w14:miter w14:lim="400000"/>
          </w14:textOutline>
        </w:rPr>
        <w:t>fico (ou Monografia Jur</w:t>
      </w:r>
      <w:r w:rsidRPr="00765B23">
        <w:rPr>
          <w:rStyle w:val="Nenhum"/>
          <w14:textOutline w14:w="12700" w14:cap="flat" w14:cmpd="sng" w14:algn="ctr">
            <w14:noFill/>
            <w14:prstDash w14:val="solid"/>
            <w14:miter w14:lim="400000"/>
          </w14:textOutline>
        </w:rPr>
        <w:t>í</w:t>
      </w:r>
      <w:r>
        <w:rPr>
          <w:rStyle w:val="Nenhum"/>
          <w14:textOutline w14:w="12700" w14:cap="flat" w14:cmpd="sng" w14:algn="ctr">
            <w14:noFill/>
            <w14:prstDash w14:val="solid"/>
            <w14:miter w14:lim="400000"/>
          </w14:textOutline>
        </w:rPr>
        <w:t xml:space="preserve">dica) apresentado </w:t>
      </w:r>
      <w:r w:rsidRPr="00765B23">
        <w:rPr>
          <w:rStyle w:val="Nenhum"/>
          <w14:textOutline w14:w="12700" w14:cap="flat" w14:cmpd="sng" w14:algn="ctr">
            <w14:noFill/>
            <w14:prstDash w14:val="solid"/>
            <w14:miter w14:lim="400000"/>
          </w14:textOutline>
        </w:rPr>
        <w:t xml:space="preserve">à </w:t>
      </w:r>
      <w:r>
        <w:rPr>
          <w:rStyle w:val="Nenhum"/>
          <w14:textOutline w14:w="12700" w14:cap="flat" w14:cmpd="sng" w14:algn="ctr">
            <w14:noFill/>
            <w14:prstDash w14:val="solid"/>
            <w14:miter w14:lim="400000"/>
          </w14:textOutline>
        </w:rPr>
        <w:t>disciplina Trabalho de Curso I, da Escola de Direito, Neg</w:t>
      </w:r>
      <w:r>
        <w:rPr>
          <w:rStyle w:val="Nenhum"/>
          <w:lang w:val="es-ES"/>
          <w14:textOutline w14:w="12700" w14:cap="flat" w14:cmpd="sng" w14:algn="ctr">
            <w14:noFill/>
            <w14:prstDash w14:val="solid"/>
            <w14:miter w14:lim="400000"/>
          </w14:textOutline>
        </w:rPr>
        <w:t>ó</w:t>
      </w:r>
      <w:r>
        <w:rPr>
          <w:rStyle w:val="Nenhum"/>
          <w14:textOutline w14:w="12700" w14:cap="flat" w14:cmpd="sng" w14:algn="ctr">
            <w14:noFill/>
            <w14:prstDash w14:val="solid"/>
            <w14:miter w14:lim="400000"/>
          </w14:textOutline>
        </w:rPr>
        <w:t>cios e Comunicação da Pontif</w:t>
      </w:r>
      <w:r w:rsidRPr="00765B23">
        <w:rPr>
          <w:rStyle w:val="Nenhum"/>
          <w14:textOutline w14:w="12700" w14:cap="flat" w14:cmpd="sng" w14:algn="ctr">
            <w14:noFill/>
            <w14:prstDash w14:val="solid"/>
            <w14:miter w14:lim="400000"/>
          </w14:textOutline>
        </w:rPr>
        <w:t>í</w:t>
      </w:r>
      <w:r>
        <w:rPr>
          <w:rStyle w:val="Nenhum"/>
          <w14:textOutline w14:w="12700" w14:cap="flat" w14:cmpd="sng" w14:algn="ctr">
            <w14:noFill/>
            <w14:prstDash w14:val="solid"/>
            <w14:miter w14:lim="400000"/>
          </w14:textOutline>
        </w:rPr>
        <w:t>cia Universidade Católica de Goi</w:t>
      </w:r>
      <w:r w:rsidRPr="00765B23">
        <w:rPr>
          <w:rStyle w:val="Nenhum"/>
          <w14:textOutline w14:w="12700" w14:cap="flat" w14:cmpd="sng" w14:algn="ctr">
            <w14:noFill/>
            <w14:prstDash w14:val="solid"/>
            <w14:miter w14:lim="400000"/>
          </w14:textOutline>
        </w:rPr>
        <w:t>á</w:t>
      </w:r>
      <w:r>
        <w:rPr>
          <w:rStyle w:val="Nenhum"/>
          <w:lang w:val="fr-FR"/>
          <w14:textOutline w14:w="12700" w14:cap="flat" w14:cmpd="sng" w14:algn="ctr">
            <w14:noFill/>
            <w14:prstDash w14:val="solid"/>
            <w14:miter w14:lim="400000"/>
          </w14:textOutline>
        </w:rPr>
        <w:t>s (PUCGOI</w:t>
      </w:r>
      <w:r w:rsidRPr="00765B23">
        <w:rPr>
          <w:rStyle w:val="Nenhum"/>
          <w14:textOutline w14:w="12700" w14:cap="flat" w14:cmpd="sng" w14:algn="ctr">
            <w14:noFill/>
            <w14:prstDash w14:val="solid"/>
            <w14:miter w14:lim="400000"/>
          </w14:textOutline>
        </w:rPr>
        <w:t>Á</w:t>
      </w:r>
      <w:r>
        <w:rPr>
          <w:rStyle w:val="Nenhum"/>
          <w14:textOutline w14:w="12700" w14:cap="flat" w14:cmpd="sng" w14:algn="ctr">
            <w14:noFill/>
            <w14:prstDash w14:val="solid"/>
            <w14:miter w14:lim="400000"/>
          </w14:textOutline>
        </w:rPr>
        <w:t>S).</w:t>
      </w:r>
    </w:p>
    <w:p w14:paraId="7EC27CC7" w14:textId="77777777" w:rsidR="00786B1B" w:rsidRDefault="00786B1B" w:rsidP="00786B1B">
      <w:pPr>
        <w:pStyle w:val="Corpo"/>
        <w:ind w:left="3828"/>
        <w:jc w:val="both"/>
        <w:rPr>
          <w:rStyle w:val="Nenhum"/>
          <w:lang w:val="en-US"/>
          <w14:textOutline w14:w="12700" w14:cap="flat" w14:cmpd="sng" w14:algn="ctr">
            <w14:noFill/>
            <w14:prstDash w14:val="solid"/>
            <w14:miter w14:lim="400000"/>
          </w14:textOutline>
        </w:rPr>
      </w:pPr>
      <w:r w:rsidRPr="2C8BBEA1">
        <w:rPr>
          <w:rStyle w:val="Nenhum"/>
          <w:lang w:val="en-US"/>
          <w14:textOutline w14:w="12700" w14:cap="flat" w14:cmpd="sng" w14:algn="ctr">
            <w14:noFill/>
            <w14:prstDash w14:val="solid"/>
            <w14:miter w14:lim="400000"/>
          </w14:textOutline>
        </w:rPr>
        <w:t>Prof.a. Orientadora – Dra. Fátima de Paula Ferreira</w:t>
      </w:r>
    </w:p>
    <w:p w14:paraId="28D25218" w14:textId="77777777" w:rsidR="00E4189A" w:rsidRDefault="00E4189A" w:rsidP="000A08FC">
      <w:pPr>
        <w:tabs>
          <w:tab w:val="left" w:pos="2691"/>
        </w:tabs>
      </w:pPr>
    </w:p>
    <w:p w14:paraId="0E96A915" w14:textId="51FA21FE" w:rsidR="00E4189A" w:rsidRDefault="00E4189A" w:rsidP="000A08FC">
      <w:pPr>
        <w:tabs>
          <w:tab w:val="left" w:pos="2691"/>
        </w:tabs>
      </w:pPr>
    </w:p>
    <w:p w14:paraId="0D7C0E2B" w14:textId="5730E724" w:rsidR="34754AA9" w:rsidRDefault="34754AA9" w:rsidP="34754AA9">
      <w:pPr>
        <w:tabs>
          <w:tab w:val="left" w:pos="2691"/>
        </w:tabs>
      </w:pPr>
    </w:p>
    <w:p w14:paraId="3250A199" w14:textId="77777777" w:rsidR="00851F32" w:rsidRDefault="00851F32" w:rsidP="34754AA9">
      <w:pPr>
        <w:tabs>
          <w:tab w:val="left" w:pos="2691"/>
        </w:tabs>
      </w:pPr>
    </w:p>
    <w:p w14:paraId="6231EA5D" w14:textId="7543140B" w:rsidR="00FD5780" w:rsidRDefault="00FD5780" w:rsidP="000A08FC">
      <w:pPr>
        <w:tabs>
          <w:tab w:val="left" w:pos="2691"/>
        </w:tabs>
      </w:pPr>
    </w:p>
    <w:p w14:paraId="25429187" w14:textId="77777777" w:rsidR="00CE7DFB" w:rsidRDefault="00CE7DFB" w:rsidP="000A08FC">
      <w:pPr>
        <w:tabs>
          <w:tab w:val="left" w:pos="2691"/>
        </w:tabs>
      </w:pPr>
    </w:p>
    <w:p w14:paraId="73A9F636" w14:textId="77777777" w:rsidR="00CE7DFB" w:rsidRDefault="00CE7DFB" w:rsidP="000A08FC">
      <w:pPr>
        <w:tabs>
          <w:tab w:val="left" w:pos="2691"/>
        </w:tabs>
      </w:pPr>
    </w:p>
    <w:p w14:paraId="43155710" w14:textId="77777777" w:rsidR="00CE7DFB" w:rsidRDefault="00CE7DFB" w:rsidP="000A08FC">
      <w:pPr>
        <w:tabs>
          <w:tab w:val="left" w:pos="2691"/>
        </w:tabs>
      </w:pPr>
    </w:p>
    <w:p w14:paraId="196A5A51" w14:textId="7060A28D" w:rsidR="00FD5780" w:rsidRDefault="00FD5780" w:rsidP="000A08FC">
      <w:pPr>
        <w:tabs>
          <w:tab w:val="left" w:pos="2691"/>
        </w:tabs>
      </w:pPr>
    </w:p>
    <w:p w14:paraId="137C7C6D" w14:textId="1B29A470" w:rsidR="00E4189A" w:rsidRDefault="00786B1B" w:rsidP="00786B1B">
      <w:pPr>
        <w:tabs>
          <w:tab w:val="left" w:pos="2691"/>
        </w:tabs>
        <w:jc w:val="center"/>
      </w:pPr>
      <w:r>
        <w:t>GOIÂNIA/GO</w:t>
      </w:r>
    </w:p>
    <w:p w14:paraId="7EE02E08" w14:textId="7F6A73B1" w:rsidR="00786B1B" w:rsidRPr="00FD5780" w:rsidRDefault="00786B1B" w:rsidP="00FD5780">
      <w:pPr>
        <w:tabs>
          <w:tab w:val="left" w:pos="2691"/>
        </w:tabs>
        <w:jc w:val="center"/>
      </w:pPr>
      <w:r>
        <w:t>202</w:t>
      </w:r>
      <w:r w:rsidR="000A52D6">
        <w:t>6</w:t>
      </w:r>
      <w:r w:rsidR="001F3993">
        <w:t>/1</w:t>
      </w:r>
    </w:p>
    <w:sdt>
      <w:sdtPr>
        <w:rPr>
          <w:rFonts w:ascii="Times New Roman" w:eastAsia="Arial Unicode MS" w:hAnsi="Times New Roman" w:cs="Times New Roman"/>
          <w:color w:val="auto"/>
          <w:sz w:val="24"/>
          <w:szCs w:val="24"/>
          <w:lang w:val="en-US" w:eastAsia="en-US"/>
        </w:rPr>
        <w:id w:val="-923881725"/>
        <w:docPartObj>
          <w:docPartGallery w:val="Table of Contents"/>
          <w:docPartUnique/>
        </w:docPartObj>
      </w:sdtPr>
      <w:sdtEndPr>
        <w:rPr>
          <w:b/>
          <w:bCs/>
        </w:rPr>
      </w:sdtEndPr>
      <w:sdtContent>
        <w:p w14:paraId="331A918E" w14:textId="74F78CB3" w:rsidR="00B34B55" w:rsidRPr="00847E91" w:rsidRDefault="00B34B55" w:rsidP="007819AD">
          <w:pPr>
            <w:pStyle w:val="CabealhodoSumrio"/>
            <w:spacing w:line="360" w:lineRule="auto"/>
            <w:jc w:val="center"/>
            <w:rPr>
              <w:rFonts w:ascii="Times New Roman" w:hAnsi="Times New Roman" w:cs="Times New Roman"/>
              <w:b/>
              <w:bCs/>
              <w:color w:val="auto"/>
              <w:sz w:val="24"/>
              <w:szCs w:val="24"/>
            </w:rPr>
          </w:pPr>
          <w:r w:rsidRPr="00847E91">
            <w:rPr>
              <w:rFonts w:ascii="Times New Roman" w:hAnsi="Times New Roman" w:cs="Times New Roman"/>
              <w:b/>
              <w:bCs/>
              <w:color w:val="auto"/>
              <w:sz w:val="24"/>
              <w:szCs w:val="24"/>
            </w:rPr>
            <w:t>SUMÁRIO</w:t>
          </w:r>
        </w:p>
        <w:p w14:paraId="3E117D6F" w14:textId="64F920C6" w:rsidR="00B70FDC" w:rsidRPr="00847E91" w:rsidRDefault="00B34B55" w:rsidP="00B70FDC">
          <w:pPr>
            <w:pStyle w:val="Sumrio1"/>
            <w:rPr>
              <w:rFonts w:ascii="Times New Roman" w:eastAsiaTheme="minorEastAsia" w:hAnsi="Times New Roman"/>
              <w:noProof/>
              <w:kern w:val="2"/>
              <w:bdr w:val="none" w:sz="0" w:space="0" w:color="auto"/>
              <w:lang w:val="pt-BR" w:eastAsia="pt-BR"/>
              <w14:ligatures w14:val="standardContextual"/>
            </w:rPr>
          </w:pPr>
          <w:r w:rsidRPr="00847E91">
            <w:rPr>
              <w:rFonts w:ascii="Times New Roman" w:hAnsi="Times New Roman"/>
            </w:rPr>
            <w:fldChar w:fldCharType="begin"/>
          </w:r>
          <w:r w:rsidRPr="00847E91">
            <w:rPr>
              <w:rFonts w:ascii="Times New Roman" w:hAnsi="Times New Roman"/>
            </w:rPr>
            <w:instrText xml:space="preserve"> TOC \o "1-3" \h \z \u </w:instrText>
          </w:r>
          <w:r w:rsidRPr="00847E91">
            <w:rPr>
              <w:rFonts w:ascii="Times New Roman" w:hAnsi="Times New Roman"/>
            </w:rPr>
            <w:fldChar w:fldCharType="separate"/>
          </w:r>
          <w:hyperlink w:anchor="_Toc229076359" w:history="1">
            <w:r w:rsidR="00B70FDC" w:rsidRPr="00847E91">
              <w:rPr>
                <w:rStyle w:val="Hyperlink"/>
                <w:rFonts w:ascii="Times New Roman" w:hAnsi="Times New Roman"/>
                <w:noProof/>
              </w:rPr>
              <w:t>RESUMO</w:t>
            </w:r>
            <w:r w:rsidR="00B70FDC" w:rsidRPr="00847E91">
              <w:rPr>
                <w:rFonts w:ascii="Times New Roman" w:hAnsi="Times New Roman"/>
                <w:noProof/>
                <w:webHidden/>
              </w:rPr>
              <w:tab/>
            </w:r>
            <w:r w:rsidR="00B70FDC" w:rsidRPr="00847E91">
              <w:rPr>
                <w:rFonts w:ascii="Times New Roman" w:hAnsi="Times New Roman"/>
                <w:noProof/>
                <w:webHidden/>
              </w:rPr>
              <w:fldChar w:fldCharType="begin"/>
            </w:r>
            <w:r w:rsidR="00B70FDC" w:rsidRPr="00847E91">
              <w:rPr>
                <w:rFonts w:ascii="Times New Roman" w:hAnsi="Times New Roman"/>
                <w:noProof/>
                <w:webHidden/>
              </w:rPr>
              <w:instrText xml:space="preserve"> PAGEREF _Toc229076359 \h </w:instrText>
            </w:r>
            <w:r w:rsidR="00B70FDC" w:rsidRPr="00847E91">
              <w:rPr>
                <w:rFonts w:ascii="Times New Roman" w:hAnsi="Times New Roman"/>
                <w:noProof/>
                <w:webHidden/>
              </w:rPr>
            </w:r>
            <w:r w:rsidR="00B70FDC" w:rsidRPr="00847E91">
              <w:rPr>
                <w:rFonts w:ascii="Times New Roman" w:hAnsi="Times New Roman"/>
                <w:noProof/>
                <w:webHidden/>
              </w:rPr>
              <w:fldChar w:fldCharType="separate"/>
            </w:r>
            <w:r w:rsidR="00B70FDC" w:rsidRPr="00847E91">
              <w:rPr>
                <w:rFonts w:ascii="Times New Roman" w:hAnsi="Times New Roman"/>
                <w:noProof/>
                <w:webHidden/>
              </w:rPr>
              <w:t>3</w:t>
            </w:r>
            <w:r w:rsidR="00B70FDC" w:rsidRPr="00847E91">
              <w:rPr>
                <w:rFonts w:ascii="Times New Roman" w:hAnsi="Times New Roman"/>
                <w:noProof/>
                <w:webHidden/>
              </w:rPr>
              <w:fldChar w:fldCharType="end"/>
            </w:r>
          </w:hyperlink>
        </w:p>
        <w:p w14:paraId="4005CE29" w14:textId="61B0D8E7" w:rsidR="00B70FDC" w:rsidRPr="00847E91" w:rsidRDefault="00B70FDC" w:rsidP="00B70FDC">
          <w:pPr>
            <w:pStyle w:val="Sumrio1"/>
            <w:rPr>
              <w:rFonts w:ascii="Times New Roman" w:eastAsiaTheme="minorEastAsia" w:hAnsi="Times New Roman"/>
              <w:noProof/>
              <w:kern w:val="2"/>
              <w:bdr w:val="none" w:sz="0" w:space="0" w:color="auto"/>
              <w:lang w:val="pt-BR" w:eastAsia="pt-BR"/>
              <w14:ligatures w14:val="standardContextual"/>
            </w:rPr>
          </w:pPr>
          <w:hyperlink w:anchor="_Toc229076360" w:history="1">
            <w:r w:rsidRPr="00847E91">
              <w:rPr>
                <w:rStyle w:val="Hyperlink"/>
                <w:rFonts w:ascii="Times New Roman" w:hAnsi="Times New Roman"/>
                <w:noProof/>
              </w:rPr>
              <w:t>INTRODUÇÃO</w:t>
            </w:r>
            <w:r w:rsidRPr="00847E91">
              <w:rPr>
                <w:rFonts w:ascii="Times New Roman" w:hAnsi="Times New Roman"/>
                <w:noProof/>
                <w:webHidden/>
              </w:rPr>
              <w:tab/>
            </w:r>
            <w:r w:rsidRPr="00847E91">
              <w:rPr>
                <w:rFonts w:ascii="Times New Roman" w:hAnsi="Times New Roman"/>
                <w:noProof/>
                <w:webHidden/>
              </w:rPr>
              <w:fldChar w:fldCharType="begin"/>
            </w:r>
            <w:r w:rsidRPr="00847E91">
              <w:rPr>
                <w:rFonts w:ascii="Times New Roman" w:hAnsi="Times New Roman"/>
                <w:noProof/>
                <w:webHidden/>
              </w:rPr>
              <w:instrText xml:space="preserve"> PAGEREF _Toc229076360 \h </w:instrText>
            </w:r>
            <w:r w:rsidRPr="00847E91">
              <w:rPr>
                <w:rFonts w:ascii="Times New Roman" w:hAnsi="Times New Roman"/>
                <w:noProof/>
                <w:webHidden/>
              </w:rPr>
            </w:r>
            <w:r w:rsidRPr="00847E91">
              <w:rPr>
                <w:rFonts w:ascii="Times New Roman" w:hAnsi="Times New Roman"/>
                <w:noProof/>
                <w:webHidden/>
              </w:rPr>
              <w:fldChar w:fldCharType="separate"/>
            </w:r>
            <w:r w:rsidRPr="00847E91">
              <w:rPr>
                <w:rFonts w:ascii="Times New Roman" w:hAnsi="Times New Roman"/>
                <w:noProof/>
                <w:webHidden/>
              </w:rPr>
              <w:t>5</w:t>
            </w:r>
            <w:r w:rsidRPr="00847E91">
              <w:rPr>
                <w:rFonts w:ascii="Times New Roman" w:hAnsi="Times New Roman"/>
                <w:noProof/>
                <w:webHidden/>
              </w:rPr>
              <w:fldChar w:fldCharType="end"/>
            </w:r>
          </w:hyperlink>
        </w:p>
        <w:p w14:paraId="39C2D5A2" w14:textId="76408AA8" w:rsidR="00B70FDC" w:rsidRPr="00847E91" w:rsidRDefault="00B70FDC" w:rsidP="00B70FDC">
          <w:pPr>
            <w:pStyle w:val="Sumrio1"/>
            <w:rPr>
              <w:rFonts w:ascii="Times New Roman" w:eastAsiaTheme="minorEastAsia" w:hAnsi="Times New Roman"/>
              <w:noProof/>
              <w:kern w:val="2"/>
              <w:bdr w:val="none" w:sz="0" w:space="0" w:color="auto"/>
              <w:lang w:val="pt-BR" w:eastAsia="pt-BR"/>
              <w14:ligatures w14:val="standardContextual"/>
            </w:rPr>
          </w:pPr>
          <w:hyperlink w:anchor="_Toc229076361" w:history="1">
            <w:r w:rsidRPr="00847E91">
              <w:rPr>
                <w:rStyle w:val="Hyperlink"/>
                <w:rFonts w:ascii="Times New Roman" w:hAnsi="Times New Roman"/>
                <w:noProof/>
              </w:rPr>
              <w:t>1 A MÍDIA E O CONTROLE SOCIAL DA INFORMAÇÃO</w:t>
            </w:r>
            <w:r w:rsidRPr="00847E91">
              <w:rPr>
                <w:rFonts w:ascii="Times New Roman" w:hAnsi="Times New Roman"/>
                <w:noProof/>
                <w:webHidden/>
              </w:rPr>
              <w:tab/>
            </w:r>
            <w:r w:rsidRPr="00847E91">
              <w:rPr>
                <w:rFonts w:ascii="Times New Roman" w:hAnsi="Times New Roman"/>
                <w:noProof/>
                <w:webHidden/>
              </w:rPr>
              <w:fldChar w:fldCharType="begin"/>
            </w:r>
            <w:r w:rsidRPr="00847E91">
              <w:rPr>
                <w:rFonts w:ascii="Times New Roman" w:hAnsi="Times New Roman"/>
                <w:noProof/>
                <w:webHidden/>
              </w:rPr>
              <w:instrText xml:space="preserve"> PAGEREF _Toc229076361 \h </w:instrText>
            </w:r>
            <w:r w:rsidRPr="00847E91">
              <w:rPr>
                <w:rFonts w:ascii="Times New Roman" w:hAnsi="Times New Roman"/>
                <w:noProof/>
                <w:webHidden/>
              </w:rPr>
            </w:r>
            <w:r w:rsidRPr="00847E91">
              <w:rPr>
                <w:rFonts w:ascii="Times New Roman" w:hAnsi="Times New Roman"/>
                <w:noProof/>
                <w:webHidden/>
              </w:rPr>
              <w:fldChar w:fldCharType="separate"/>
            </w:r>
            <w:r w:rsidRPr="00847E91">
              <w:rPr>
                <w:rFonts w:ascii="Times New Roman" w:hAnsi="Times New Roman"/>
                <w:noProof/>
                <w:webHidden/>
              </w:rPr>
              <w:t>7</w:t>
            </w:r>
            <w:r w:rsidRPr="00847E91">
              <w:rPr>
                <w:rFonts w:ascii="Times New Roman" w:hAnsi="Times New Roman"/>
                <w:noProof/>
                <w:webHidden/>
              </w:rPr>
              <w:fldChar w:fldCharType="end"/>
            </w:r>
          </w:hyperlink>
        </w:p>
        <w:p w14:paraId="028A806C" w14:textId="17644038" w:rsidR="00B70FDC" w:rsidRPr="00847E91" w:rsidRDefault="00B70FDC">
          <w:pPr>
            <w:pStyle w:val="Sumrio2"/>
            <w:rPr>
              <w:rFonts w:eastAsiaTheme="minorEastAsia"/>
              <w:kern w:val="2"/>
              <w:sz w:val="24"/>
              <w:szCs w:val="24"/>
              <w:bdr w:val="none" w:sz="0" w:space="0" w:color="auto"/>
              <w:lang w:val="pt-BR" w:eastAsia="pt-BR"/>
              <w14:ligatures w14:val="standardContextual"/>
            </w:rPr>
          </w:pPr>
          <w:hyperlink w:anchor="_Toc229076362" w:history="1">
            <w:r w:rsidRPr="00847E91">
              <w:rPr>
                <w:rStyle w:val="Hyperlink"/>
                <w:sz w:val="24"/>
                <w:szCs w:val="24"/>
              </w:rPr>
              <w:t>1.1 O PAPEL DA MÍDIA NO ESTADO DEMOCRÁTICO DE DIREITO E A CONFIGURAÇÃO DO “QUARTO PODER”</w:t>
            </w:r>
            <w:r w:rsidRPr="00847E91">
              <w:rPr>
                <w:webHidden/>
                <w:sz w:val="24"/>
                <w:szCs w:val="24"/>
              </w:rPr>
              <w:tab/>
            </w:r>
            <w:r w:rsidRPr="00847E91">
              <w:rPr>
                <w:webHidden/>
                <w:sz w:val="24"/>
                <w:szCs w:val="24"/>
              </w:rPr>
              <w:fldChar w:fldCharType="begin"/>
            </w:r>
            <w:r w:rsidRPr="00847E91">
              <w:rPr>
                <w:webHidden/>
                <w:sz w:val="24"/>
                <w:szCs w:val="24"/>
              </w:rPr>
              <w:instrText xml:space="preserve"> PAGEREF _Toc229076362 \h </w:instrText>
            </w:r>
            <w:r w:rsidRPr="00847E91">
              <w:rPr>
                <w:webHidden/>
                <w:sz w:val="24"/>
                <w:szCs w:val="24"/>
              </w:rPr>
            </w:r>
            <w:r w:rsidRPr="00847E91">
              <w:rPr>
                <w:webHidden/>
                <w:sz w:val="24"/>
                <w:szCs w:val="24"/>
              </w:rPr>
              <w:fldChar w:fldCharType="separate"/>
            </w:r>
            <w:r w:rsidRPr="00847E91">
              <w:rPr>
                <w:webHidden/>
                <w:sz w:val="24"/>
                <w:szCs w:val="24"/>
              </w:rPr>
              <w:t>10</w:t>
            </w:r>
            <w:r w:rsidRPr="00847E91">
              <w:rPr>
                <w:webHidden/>
                <w:sz w:val="24"/>
                <w:szCs w:val="24"/>
              </w:rPr>
              <w:fldChar w:fldCharType="end"/>
            </w:r>
          </w:hyperlink>
        </w:p>
        <w:p w14:paraId="166D572D" w14:textId="3591B550" w:rsidR="00B70FDC" w:rsidRPr="00847E91" w:rsidRDefault="00B70FDC" w:rsidP="00B70FDC">
          <w:pPr>
            <w:pStyle w:val="Sumrio1"/>
            <w:rPr>
              <w:rFonts w:ascii="Times New Roman" w:eastAsiaTheme="minorEastAsia" w:hAnsi="Times New Roman"/>
              <w:noProof/>
              <w:kern w:val="2"/>
              <w:bdr w:val="none" w:sz="0" w:space="0" w:color="auto"/>
              <w:lang w:val="pt-BR" w:eastAsia="pt-BR"/>
              <w14:ligatures w14:val="standardContextual"/>
            </w:rPr>
          </w:pPr>
          <w:hyperlink w:anchor="_Toc229076363" w:history="1">
            <w:r w:rsidRPr="00847E91">
              <w:rPr>
                <w:rStyle w:val="Hyperlink"/>
                <w:rFonts w:ascii="Times New Roman" w:hAnsi="Times New Roman"/>
                <w:noProof/>
              </w:rPr>
              <w:t>2 A INFLUÊNCIA MIDIÁTICA NO PROCESSO PENAL</w:t>
            </w:r>
            <w:r w:rsidRPr="00847E91">
              <w:rPr>
                <w:rFonts w:ascii="Times New Roman" w:hAnsi="Times New Roman"/>
                <w:noProof/>
                <w:webHidden/>
              </w:rPr>
              <w:tab/>
            </w:r>
            <w:r w:rsidRPr="00847E91">
              <w:rPr>
                <w:rFonts w:ascii="Times New Roman" w:hAnsi="Times New Roman"/>
                <w:noProof/>
                <w:webHidden/>
              </w:rPr>
              <w:fldChar w:fldCharType="begin"/>
            </w:r>
            <w:r w:rsidRPr="00847E91">
              <w:rPr>
                <w:rFonts w:ascii="Times New Roman" w:hAnsi="Times New Roman"/>
                <w:noProof/>
                <w:webHidden/>
              </w:rPr>
              <w:instrText xml:space="preserve"> PAGEREF _Toc229076363 \h </w:instrText>
            </w:r>
            <w:r w:rsidRPr="00847E91">
              <w:rPr>
                <w:rFonts w:ascii="Times New Roman" w:hAnsi="Times New Roman"/>
                <w:noProof/>
                <w:webHidden/>
              </w:rPr>
            </w:r>
            <w:r w:rsidRPr="00847E91">
              <w:rPr>
                <w:rFonts w:ascii="Times New Roman" w:hAnsi="Times New Roman"/>
                <w:noProof/>
                <w:webHidden/>
              </w:rPr>
              <w:fldChar w:fldCharType="separate"/>
            </w:r>
            <w:r w:rsidRPr="00847E91">
              <w:rPr>
                <w:rFonts w:ascii="Times New Roman" w:hAnsi="Times New Roman"/>
                <w:noProof/>
                <w:webHidden/>
              </w:rPr>
              <w:t>12</w:t>
            </w:r>
            <w:r w:rsidRPr="00847E91">
              <w:rPr>
                <w:rFonts w:ascii="Times New Roman" w:hAnsi="Times New Roman"/>
                <w:noProof/>
                <w:webHidden/>
              </w:rPr>
              <w:fldChar w:fldCharType="end"/>
            </w:r>
          </w:hyperlink>
        </w:p>
        <w:p w14:paraId="7BB605B4" w14:textId="4FF5CB1B" w:rsidR="00B70FDC" w:rsidRPr="00847E91" w:rsidRDefault="00B70FDC">
          <w:pPr>
            <w:pStyle w:val="Sumrio2"/>
            <w:rPr>
              <w:rFonts w:eastAsiaTheme="minorEastAsia"/>
              <w:kern w:val="2"/>
              <w:sz w:val="24"/>
              <w:szCs w:val="24"/>
              <w:bdr w:val="none" w:sz="0" w:space="0" w:color="auto"/>
              <w:lang w:val="pt-BR" w:eastAsia="pt-BR"/>
              <w14:ligatures w14:val="standardContextual"/>
            </w:rPr>
          </w:pPr>
          <w:hyperlink w:anchor="_Toc229076364" w:history="1">
            <w:r w:rsidRPr="00847E91">
              <w:rPr>
                <w:rStyle w:val="Hyperlink"/>
                <w:sz w:val="24"/>
                <w:szCs w:val="24"/>
              </w:rPr>
              <w:t>2.1 O FENÔMENO DO JULGAMENTO MIDIÁTICO</w:t>
            </w:r>
            <w:r w:rsidRPr="00847E91">
              <w:rPr>
                <w:webHidden/>
                <w:sz w:val="24"/>
                <w:szCs w:val="24"/>
              </w:rPr>
              <w:tab/>
            </w:r>
            <w:r w:rsidRPr="00847E91">
              <w:rPr>
                <w:webHidden/>
                <w:sz w:val="24"/>
                <w:szCs w:val="24"/>
              </w:rPr>
              <w:fldChar w:fldCharType="begin"/>
            </w:r>
            <w:r w:rsidRPr="00847E91">
              <w:rPr>
                <w:webHidden/>
                <w:sz w:val="24"/>
                <w:szCs w:val="24"/>
              </w:rPr>
              <w:instrText xml:space="preserve"> PAGEREF _Toc229076364 \h </w:instrText>
            </w:r>
            <w:r w:rsidRPr="00847E91">
              <w:rPr>
                <w:webHidden/>
                <w:sz w:val="24"/>
                <w:szCs w:val="24"/>
              </w:rPr>
            </w:r>
            <w:r w:rsidRPr="00847E91">
              <w:rPr>
                <w:webHidden/>
                <w:sz w:val="24"/>
                <w:szCs w:val="24"/>
              </w:rPr>
              <w:fldChar w:fldCharType="separate"/>
            </w:r>
            <w:r w:rsidRPr="00847E91">
              <w:rPr>
                <w:webHidden/>
                <w:sz w:val="24"/>
                <w:szCs w:val="24"/>
              </w:rPr>
              <w:t>13</w:t>
            </w:r>
            <w:r w:rsidRPr="00847E91">
              <w:rPr>
                <w:webHidden/>
                <w:sz w:val="24"/>
                <w:szCs w:val="24"/>
              </w:rPr>
              <w:fldChar w:fldCharType="end"/>
            </w:r>
          </w:hyperlink>
        </w:p>
        <w:p w14:paraId="1105CF9E" w14:textId="28896A4D" w:rsidR="00B70FDC" w:rsidRPr="00847E91" w:rsidRDefault="00B70FDC">
          <w:pPr>
            <w:pStyle w:val="Sumrio2"/>
            <w:rPr>
              <w:rFonts w:eastAsiaTheme="minorEastAsia"/>
              <w:kern w:val="2"/>
              <w:sz w:val="24"/>
              <w:szCs w:val="24"/>
              <w:bdr w:val="none" w:sz="0" w:space="0" w:color="auto"/>
              <w:lang w:val="pt-BR" w:eastAsia="pt-BR"/>
              <w14:ligatures w14:val="standardContextual"/>
            </w:rPr>
          </w:pPr>
          <w:hyperlink w:anchor="_Toc229076365" w:history="1">
            <w:r w:rsidRPr="00847E91">
              <w:rPr>
                <w:rStyle w:val="Hyperlink"/>
                <w:sz w:val="24"/>
                <w:szCs w:val="24"/>
              </w:rPr>
              <w:t>2.2 INTERFERÊNCIAS NO INQUÉRITO POLICIAL E NA CONDUÇÃO DE INVESTIGAÇÕES</w:t>
            </w:r>
            <w:r w:rsidRPr="00847E91">
              <w:rPr>
                <w:webHidden/>
                <w:sz w:val="24"/>
                <w:szCs w:val="24"/>
              </w:rPr>
              <w:tab/>
            </w:r>
            <w:r w:rsidRPr="00847E91">
              <w:rPr>
                <w:webHidden/>
                <w:sz w:val="24"/>
                <w:szCs w:val="24"/>
              </w:rPr>
              <w:fldChar w:fldCharType="begin"/>
            </w:r>
            <w:r w:rsidRPr="00847E91">
              <w:rPr>
                <w:webHidden/>
                <w:sz w:val="24"/>
                <w:szCs w:val="24"/>
              </w:rPr>
              <w:instrText xml:space="preserve"> PAGEREF _Toc229076365 \h </w:instrText>
            </w:r>
            <w:r w:rsidRPr="00847E91">
              <w:rPr>
                <w:webHidden/>
                <w:sz w:val="24"/>
                <w:szCs w:val="24"/>
              </w:rPr>
            </w:r>
            <w:r w:rsidRPr="00847E91">
              <w:rPr>
                <w:webHidden/>
                <w:sz w:val="24"/>
                <w:szCs w:val="24"/>
              </w:rPr>
              <w:fldChar w:fldCharType="separate"/>
            </w:r>
            <w:r w:rsidRPr="00847E91">
              <w:rPr>
                <w:webHidden/>
                <w:sz w:val="24"/>
                <w:szCs w:val="24"/>
              </w:rPr>
              <w:t>13</w:t>
            </w:r>
            <w:r w:rsidRPr="00847E91">
              <w:rPr>
                <w:webHidden/>
                <w:sz w:val="24"/>
                <w:szCs w:val="24"/>
              </w:rPr>
              <w:fldChar w:fldCharType="end"/>
            </w:r>
          </w:hyperlink>
        </w:p>
        <w:p w14:paraId="26FA9261" w14:textId="6EE02E3B" w:rsidR="00B70FDC" w:rsidRPr="00847E91" w:rsidRDefault="00B70FDC">
          <w:pPr>
            <w:pStyle w:val="Sumrio2"/>
            <w:rPr>
              <w:rFonts w:eastAsiaTheme="minorEastAsia"/>
              <w:kern w:val="2"/>
              <w:sz w:val="24"/>
              <w:szCs w:val="24"/>
              <w:bdr w:val="none" w:sz="0" w:space="0" w:color="auto"/>
              <w:lang w:val="pt-BR" w:eastAsia="pt-BR"/>
              <w14:ligatures w14:val="standardContextual"/>
            </w:rPr>
          </w:pPr>
          <w:hyperlink w:anchor="_Toc229076366" w:history="1">
            <w:r w:rsidRPr="00847E91">
              <w:rPr>
                <w:rStyle w:val="Hyperlink"/>
                <w:sz w:val="24"/>
                <w:szCs w:val="24"/>
              </w:rPr>
              <w:t>2.3 A RELAÇÃO ENTRE MÍDIA, PODER PUNITIVO E CLAMOR SOCIAL</w:t>
            </w:r>
            <w:r w:rsidRPr="00847E91">
              <w:rPr>
                <w:webHidden/>
                <w:sz w:val="24"/>
                <w:szCs w:val="24"/>
              </w:rPr>
              <w:tab/>
            </w:r>
            <w:r w:rsidRPr="00847E91">
              <w:rPr>
                <w:webHidden/>
                <w:sz w:val="24"/>
                <w:szCs w:val="24"/>
              </w:rPr>
              <w:fldChar w:fldCharType="begin"/>
            </w:r>
            <w:r w:rsidRPr="00847E91">
              <w:rPr>
                <w:webHidden/>
                <w:sz w:val="24"/>
                <w:szCs w:val="24"/>
              </w:rPr>
              <w:instrText xml:space="preserve"> PAGEREF _Toc229076366 \h </w:instrText>
            </w:r>
            <w:r w:rsidRPr="00847E91">
              <w:rPr>
                <w:webHidden/>
                <w:sz w:val="24"/>
                <w:szCs w:val="24"/>
              </w:rPr>
            </w:r>
            <w:r w:rsidRPr="00847E91">
              <w:rPr>
                <w:webHidden/>
                <w:sz w:val="24"/>
                <w:szCs w:val="24"/>
              </w:rPr>
              <w:fldChar w:fldCharType="separate"/>
            </w:r>
            <w:r w:rsidRPr="00847E91">
              <w:rPr>
                <w:webHidden/>
                <w:sz w:val="24"/>
                <w:szCs w:val="24"/>
              </w:rPr>
              <w:t>14</w:t>
            </w:r>
            <w:r w:rsidRPr="00847E91">
              <w:rPr>
                <w:webHidden/>
                <w:sz w:val="24"/>
                <w:szCs w:val="24"/>
              </w:rPr>
              <w:fldChar w:fldCharType="end"/>
            </w:r>
          </w:hyperlink>
        </w:p>
        <w:p w14:paraId="75CE4CA1" w14:textId="11E738BE" w:rsidR="00B70FDC" w:rsidRPr="00847E91" w:rsidRDefault="00B70FDC">
          <w:pPr>
            <w:pStyle w:val="Sumrio2"/>
            <w:rPr>
              <w:rFonts w:eastAsiaTheme="minorEastAsia"/>
              <w:kern w:val="2"/>
              <w:sz w:val="24"/>
              <w:szCs w:val="24"/>
              <w:bdr w:val="none" w:sz="0" w:space="0" w:color="auto"/>
              <w:lang w:val="pt-BR" w:eastAsia="pt-BR"/>
              <w14:ligatures w14:val="standardContextual"/>
            </w:rPr>
          </w:pPr>
          <w:hyperlink w:anchor="_Toc229076367" w:history="1">
            <w:r w:rsidRPr="00847E91">
              <w:rPr>
                <w:rStyle w:val="Hyperlink"/>
                <w:sz w:val="24"/>
                <w:szCs w:val="24"/>
              </w:rPr>
              <w:t>2.4 A VIOLAÇÃO DE DIREITOS FUNDAMENTAIS</w:t>
            </w:r>
            <w:r w:rsidRPr="00847E91">
              <w:rPr>
                <w:webHidden/>
                <w:sz w:val="24"/>
                <w:szCs w:val="24"/>
              </w:rPr>
              <w:tab/>
            </w:r>
            <w:r w:rsidRPr="00847E91">
              <w:rPr>
                <w:webHidden/>
                <w:sz w:val="24"/>
                <w:szCs w:val="24"/>
              </w:rPr>
              <w:fldChar w:fldCharType="begin"/>
            </w:r>
            <w:r w:rsidRPr="00847E91">
              <w:rPr>
                <w:webHidden/>
                <w:sz w:val="24"/>
                <w:szCs w:val="24"/>
              </w:rPr>
              <w:instrText xml:space="preserve"> PAGEREF _Toc229076367 \h </w:instrText>
            </w:r>
            <w:r w:rsidRPr="00847E91">
              <w:rPr>
                <w:webHidden/>
                <w:sz w:val="24"/>
                <w:szCs w:val="24"/>
              </w:rPr>
            </w:r>
            <w:r w:rsidRPr="00847E91">
              <w:rPr>
                <w:webHidden/>
                <w:sz w:val="24"/>
                <w:szCs w:val="24"/>
              </w:rPr>
              <w:fldChar w:fldCharType="separate"/>
            </w:r>
            <w:r w:rsidRPr="00847E91">
              <w:rPr>
                <w:webHidden/>
                <w:sz w:val="24"/>
                <w:szCs w:val="24"/>
              </w:rPr>
              <w:t>15</w:t>
            </w:r>
            <w:r w:rsidRPr="00847E91">
              <w:rPr>
                <w:webHidden/>
                <w:sz w:val="24"/>
                <w:szCs w:val="24"/>
              </w:rPr>
              <w:fldChar w:fldCharType="end"/>
            </w:r>
          </w:hyperlink>
        </w:p>
        <w:p w14:paraId="065EC1F0" w14:textId="1F6EE076" w:rsidR="00B70FDC" w:rsidRPr="00847E91" w:rsidRDefault="00B70FDC" w:rsidP="00B70FDC">
          <w:pPr>
            <w:pStyle w:val="Sumrio1"/>
            <w:rPr>
              <w:rFonts w:ascii="Times New Roman" w:eastAsiaTheme="minorEastAsia" w:hAnsi="Times New Roman"/>
              <w:noProof/>
              <w:kern w:val="2"/>
              <w:bdr w:val="none" w:sz="0" w:space="0" w:color="auto"/>
              <w:lang w:val="pt-BR" w:eastAsia="pt-BR"/>
              <w14:ligatures w14:val="standardContextual"/>
            </w:rPr>
          </w:pPr>
          <w:hyperlink w:anchor="_Toc229076368" w:history="1">
            <w:r w:rsidRPr="00847E91">
              <w:rPr>
                <w:rStyle w:val="Hyperlink"/>
                <w:rFonts w:ascii="Times New Roman" w:hAnsi="Times New Roman"/>
                <w:noProof/>
              </w:rPr>
              <w:t>3 O IMPACTO DA OPINIÃO PÚBLICA NA IMPARCIALIDADE DO TRIBUNAL DO JÚRI</w:t>
            </w:r>
            <w:r w:rsidRPr="00847E91">
              <w:rPr>
                <w:rFonts w:ascii="Times New Roman" w:hAnsi="Times New Roman"/>
                <w:noProof/>
                <w:webHidden/>
              </w:rPr>
              <w:tab/>
            </w:r>
            <w:r w:rsidRPr="00847E91">
              <w:rPr>
                <w:rFonts w:ascii="Times New Roman" w:hAnsi="Times New Roman"/>
                <w:noProof/>
                <w:webHidden/>
              </w:rPr>
              <w:fldChar w:fldCharType="begin"/>
            </w:r>
            <w:r w:rsidRPr="00847E91">
              <w:rPr>
                <w:rFonts w:ascii="Times New Roman" w:hAnsi="Times New Roman"/>
                <w:noProof/>
                <w:webHidden/>
              </w:rPr>
              <w:instrText xml:space="preserve"> PAGEREF _Toc229076368 \h </w:instrText>
            </w:r>
            <w:r w:rsidRPr="00847E91">
              <w:rPr>
                <w:rFonts w:ascii="Times New Roman" w:hAnsi="Times New Roman"/>
                <w:noProof/>
                <w:webHidden/>
              </w:rPr>
            </w:r>
            <w:r w:rsidRPr="00847E91">
              <w:rPr>
                <w:rFonts w:ascii="Times New Roman" w:hAnsi="Times New Roman"/>
                <w:noProof/>
                <w:webHidden/>
              </w:rPr>
              <w:fldChar w:fldCharType="separate"/>
            </w:r>
            <w:r w:rsidRPr="00847E91">
              <w:rPr>
                <w:rFonts w:ascii="Times New Roman" w:hAnsi="Times New Roman"/>
                <w:noProof/>
                <w:webHidden/>
              </w:rPr>
              <w:t>16</w:t>
            </w:r>
            <w:r w:rsidRPr="00847E91">
              <w:rPr>
                <w:rFonts w:ascii="Times New Roman" w:hAnsi="Times New Roman"/>
                <w:noProof/>
                <w:webHidden/>
              </w:rPr>
              <w:fldChar w:fldCharType="end"/>
            </w:r>
          </w:hyperlink>
        </w:p>
        <w:p w14:paraId="7C42DAFE" w14:textId="223CEEB6" w:rsidR="00B70FDC" w:rsidRPr="00847E91" w:rsidRDefault="00B70FDC">
          <w:pPr>
            <w:pStyle w:val="Sumrio2"/>
            <w:rPr>
              <w:rFonts w:eastAsiaTheme="minorEastAsia"/>
              <w:kern w:val="2"/>
              <w:sz w:val="24"/>
              <w:szCs w:val="24"/>
              <w:bdr w:val="none" w:sz="0" w:space="0" w:color="auto"/>
              <w:lang w:val="pt-BR" w:eastAsia="pt-BR"/>
              <w14:ligatures w14:val="standardContextual"/>
            </w:rPr>
          </w:pPr>
          <w:hyperlink w:anchor="_Toc229076369" w:history="1">
            <w:r w:rsidRPr="00847E91">
              <w:rPr>
                <w:rStyle w:val="Hyperlink"/>
                <w:sz w:val="24"/>
                <w:szCs w:val="24"/>
              </w:rPr>
              <w:t>3.1 A PRESSÃO SOCIAL E A IMPARCIALIDADE DO JULGAMENTO</w:t>
            </w:r>
            <w:r w:rsidRPr="00847E91">
              <w:rPr>
                <w:webHidden/>
                <w:sz w:val="24"/>
                <w:szCs w:val="24"/>
              </w:rPr>
              <w:tab/>
            </w:r>
            <w:r w:rsidRPr="00847E91">
              <w:rPr>
                <w:webHidden/>
                <w:sz w:val="24"/>
                <w:szCs w:val="24"/>
              </w:rPr>
              <w:fldChar w:fldCharType="begin"/>
            </w:r>
            <w:r w:rsidRPr="00847E91">
              <w:rPr>
                <w:webHidden/>
                <w:sz w:val="24"/>
                <w:szCs w:val="24"/>
              </w:rPr>
              <w:instrText xml:space="preserve"> PAGEREF _Toc229076369 \h </w:instrText>
            </w:r>
            <w:r w:rsidRPr="00847E91">
              <w:rPr>
                <w:webHidden/>
                <w:sz w:val="24"/>
                <w:szCs w:val="24"/>
              </w:rPr>
            </w:r>
            <w:r w:rsidRPr="00847E91">
              <w:rPr>
                <w:webHidden/>
                <w:sz w:val="24"/>
                <w:szCs w:val="24"/>
              </w:rPr>
              <w:fldChar w:fldCharType="separate"/>
            </w:r>
            <w:r w:rsidRPr="00847E91">
              <w:rPr>
                <w:webHidden/>
                <w:sz w:val="24"/>
                <w:szCs w:val="24"/>
              </w:rPr>
              <w:t>16</w:t>
            </w:r>
            <w:r w:rsidRPr="00847E91">
              <w:rPr>
                <w:webHidden/>
                <w:sz w:val="24"/>
                <w:szCs w:val="24"/>
              </w:rPr>
              <w:fldChar w:fldCharType="end"/>
            </w:r>
          </w:hyperlink>
        </w:p>
        <w:p w14:paraId="2BD83511" w14:textId="589BDB56" w:rsidR="00B70FDC" w:rsidRPr="00847E91" w:rsidRDefault="00B70FDC">
          <w:pPr>
            <w:pStyle w:val="Sumrio2"/>
            <w:rPr>
              <w:rFonts w:eastAsiaTheme="minorEastAsia"/>
              <w:kern w:val="2"/>
              <w:sz w:val="24"/>
              <w:szCs w:val="24"/>
              <w:bdr w:val="none" w:sz="0" w:space="0" w:color="auto"/>
              <w:lang w:val="pt-BR" w:eastAsia="pt-BR"/>
              <w14:ligatures w14:val="standardContextual"/>
            </w:rPr>
          </w:pPr>
          <w:hyperlink w:anchor="_Toc229076370" w:history="1">
            <w:r w:rsidRPr="00847E91">
              <w:rPr>
                <w:rStyle w:val="Hyperlink"/>
                <w:sz w:val="24"/>
                <w:szCs w:val="24"/>
              </w:rPr>
              <w:t>3.2 ANÁLISE DE CASOS DE GRANDE REPERCUSSÃO</w:t>
            </w:r>
            <w:r w:rsidRPr="00847E91">
              <w:rPr>
                <w:webHidden/>
                <w:sz w:val="24"/>
                <w:szCs w:val="24"/>
              </w:rPr>
              <w:tab/>
            </w:r>
            <w:r w:rsidRPr="00847E91">
              <w:rPr>
                <w:webHidden/>
                <w:sz w:val="24"/>
                <w:szCs w:val="24"/>
              </w:rPr>
              <w:fldChar w:fldCharType="begin"/>
            </w:r>
            <w:r w:rsidRPr="00847E91">
              <w:rPr>
                <w:webHidden/>
                <w:sz w:val="24"/>
                <w:szCs w:val="24"/>
              </w:rPr>
              <w:instrText xml:space="preserve"> PAGEREF _Toc229076370 \h </w:instrText>
            </w:r>
            <w:r w:rsidRPr="00847E91">
              <w:rPr>
                <w:webHidden/>
                <w:sz w:val="24"/>
                <w:szCs w:val="24"/>
              </w:rPr>
            </w:r>
            <w:r w:rsidRPr="00847E91">
              <w:rPr>
                <w:webHidden/>
                <w:sz w:val="24"/>
                <w:szCs w:val="24"/>
              </w:rPr>
              <w:fldChar w:fldCharType="separate"/>
            </w:r>
            <w:r w:rsidRPr="00847E91">
              <w:rPr>
                <w:webHidden/>
                <w:sz w:val="24"/>
                <w:szCs w:val="24"/>
              </w:rPr>
              <w:t>17</w:t>
            </w:r>
            <w:r w:rsidRPr="00847E91">
              <w:rPr>
                <w:webHidden/>
                <w:sz w:val="24"/>
                <w:szCs w:val="24"/>
              </w:rPr>
              <w:fldChar w:fldCharType="end"/>
            </w:r>
          </w:hyperlink>
        </w:p>
        <w:p w14:paraId="20788B25" w14:textId="4EE44386" w:rsidR="00B70FDC" w:rsidRPr="00587D01" w:rsidRDefault="00B70FDC" w:rsidP="00587D01">
          <w:pPr>
            <w:pStyle w:val="Sumrio3"/>
            <w:rPr>
              <w:rFonts w:eastAsiaTheme="minorEastAsia"/>
              <w:kern w:val="2"/>
              <w:bdr w:val="none" w:sz="0" w:space="0" w:color="auto"/>
              <w:lang w:eastAsia="pt-BR"/>
              <w14:ligatures w14:val="standardContextual"/>
            </w:rPr>
          </w:pPr>
          <w:hyperlink w:anchor="_Toc229076371" w:history="1">
            <w:r w:rsidRPr="00587D01">
              <w:rPr>
                <w:rStyle w:val="Hyperlink"/>
              </w:rPr>
              <w:t>3.2.1 Caso Escola Base</w:t>
            </w:r>
            <w:r w:rsidRPr="00587D01">
              <w:rPr>
                <w:webHidden/>
              </w:rPr>
              <w:tab/>
            </w:r>
            <w:r w:rsidRPr="00587D01">
              <w:rPr>
                <w:webHidden/>
              </w:rPr>
              <w:fldChar w:fldCharType="begin"/>
            </w:r>
            <w:r w:rsidRPr="00587D01">
              <w:rPr>
                <w:webHidden/>
              </w:rPr>
              <w:instrText xml:space="preserve"> PAGEREF _Toc229076371 \h </w:instrText>
            </w:r>
            <w:r w:rsidRPr="00587D01">
              <w:rPr>
                <w:webHidden/>
              </w:rPr>
            </w:r>
            <w:r w:rsidRPr="00587D01">
              <w:rPr>
                <w:webHidden/>
              </w:rPr>
              <w:fldChar w:fldCharType="separate"/>
            </w:r>
            <w:r w:rsidRPr="00587D01">
              <w:rPr>
                <w:webHidden/>
              </w:rPr>
              <w:t>18</w:t>
            </w:r>
            <w:r w:rsidRPr="00587D01">
              <w:rPr>
                <w:webHidden/>
              </w:rPr>
              <w:fldChar w:fldCharType="end"/>
            </w:r>
          </w:hyperlink>
        </w:p>
        <w:p w14:paraId="4B7EC63C" w14:textId="4C6E58BF" w:rsidR="00B70FDC" w:rsidRPr="00587D01" w:rsidRDefault="00B70FDC" w:rsidP="00587D01">
          <w:pPr>
            <w:pStyle w:val="Sumrio3"/>
            <w:rPr>
              <w:rFonts w:eastAsiaTheme="minorEastAsia"/>
              <w:kern w:val="2"/>
              <w:bdr w:val="none" w:sz="0" w:space="0" w:color="auto"/>
              <w:lang w:eastAsia="pt-BR"/>
              <w14:ligatures w14:val="standardContextual"/>
            </w:rPr>
          </w:pPr>
          <w:hyperlink w:anchor="_Toc229076372" w:history="1">
            <w:r w:rsidRPr="00587D01">
              <w:rPr>
                <w:rStyle w:val="Hyperlink"/>
              </w:rPr>
              <w:t>3.2.2 Caso Fabiane Maria de Jesus</w:t>
            </w:r>
            <w:r w:rsidRPr="00587D01">
              <w:rPr>
                <w:webHidden/>
              </w:rPr>
              <w:tab/>
            </w:r>
            <w:r w:rsidRPr="00587D01">
              <w:rPr>
                <w:webHidden/>
              </w:rPr>
              <w:fldChar w:fldCharType="begin"/>
            </w:r>
            <w:r w:rsidRPr="00587D01">
              <w:rPr>
                <w:webHidden/>
              </w:rPr>
              <w:instrText xml:space="preserve"> PAGEREF _Toc229076372 \h </w:instrText>
            </w:r>
            <w:r w:rsidRPr="00587D01">
              <w:rPr>
                <w:webHidden/>
              </w:rPr>
            </w:r>
            <w:r w:rsidRPr="00587D01">
              <w:rPr>
                <w:webHidden/>
              </w:rPr>
              <w:fldChar w:fldCharType="separate"/>
            </w:r>
            <w:r w:rsidRPr="00587D01">
              <w:rPr>
                <w:webHidden/>
              </w:rPr>
              <w:t>18</w:t>
            </w:r>
            <w:r w:rsidRPr="00587D01">
              <w:rPr>
                <w:webHidden/>
              </w:rPr>
              <w:fldChar w:fldCharType="end"/>
            </w:r>
          </w:hyperlink>
        </w:p>
        <w:p w14:paraId="5987C3B0" w14:textId="4535B308" w:rsidR="00B70FDC" w:rsidRPr="00587D01" w:rsidRDefault="00B70FDC" w:rsidP="00587D01">
          <w:pPr>
            <w:pStyle w:val="Sumrio3"/>
            <w:rPr>
              <w:rFonts w:eastAsiaTheme="minorEastAsia"/>
              <w:kern w:val="2"/>
              <w:bdr w:val="none" w:sz="0" w:space="0" w:color="auto"/>
              <w:lang w:eastAsia="pt-BR"/>
              <w14:ligatures w14:val="standardContextual"/>
            </w:rPr>
          </w:pPr>
          <w:hyperlink w:anchor="_Toc229076373" w:history="1">
            <w:r w:rsidRPr="00587D01">
              <w:rPr>
                <w:rStyle w:val="Hyperlink"/>
              </w:rPr>
              <w:t>3.2.3 Caso Suzane Von Richtofen</w:t>
            </w:r>
            <w:r w:rsidRPr="00587D01">
              <w:rPr>
                <w:webHidden/>
              </w:rPr>
              <w:tab/>
            </w:r>
            <w:r w:rsidRPr="00587D01">
              <w:rPr>
                <w:webHidden/>
              </w:rPr>
              <w:fldChar w:fldCharType="begin"/>
            </w:r>
            <w:r w:rsidRPr="00587D01">
              <w:rPr>
                <w:webHidden/>
              </w:rPr>
              <w:instrText xml:space="preserve"> PAGEREF _Toc229076373 \h </w:instrText>
            </w:r>
            <w:r w:rsidRPr="00587D01">
              <w:rPr>
                <w:webHidden/>
              </w:rPr>
            </w:r>
            <w:r w:rsidRPr="00587D01">
              <w:rPr>
                <w:webHidden/>
              </w:rPr>
              <w:fldChar w:fldCharType="separate"/>
            </w:r>
            <w:r w:rsidRPr="00587D01">
              <w:rPr>
                <w:webHidden/>
              </w:rPr>
              <w:t>19</w:t>
            </w:r>
            <w:r w:rsidRPr="00587D01">
              <w:rPr>
                <w:webHidden/>
              </w:rPr>
              <w:fldChar w:fldCharType="end"/>
            </w:r>
          </w:hyperlink>
        </w:p>
        <w:p w14:paraId="486B1340" w14:textId="0F2B4EC0" w:rsidR="00B70FDC" w:rsidRPr="00847E91" w:rsidRDefault="00B70FDC">
          <w:pPr>
            <w:pStyle w:val="Sumrio2"/>
            <w:rPr>
              <w:rFonts w:eastAsiaTheme="minorEastAsia"/>
              <w:kern w:val="2"/>
              <w:sz w:val="24"/>
              <w:szCs w:val="24"/>
              <w:bdr w:val="none" w:sz="0" w:space="0" w:color="auto"/>
              <w:lang w:val="pt-BR" w:eastAsia="pt-BR"/>
              <w14:ligatures w14:val="standardContextual"/>
            </w:rPr>
          </w:pPr>
          <w:hyperlink w:anchor="_Toc229076374" w:history="1">
            <w:r w:rsidRPr="00847E91">
              <w:rPr>
                <w:rStyle w:val="Hyperlink"/>
                <w:sz w:val="24"/>
                <w:szCs w:val="24"/>
              </w:rPr>
              <w:t>3.3 MECANISMOS DE CONTENÇÃO DA INFLUÊNCIA MIDIÁTICA NO JUDICIÁRIO</w:t>
            </w:r>
            <w:r w:rsidRPr="00847E91">
              <w:rPr>
                <w:webHidden/>
                <w:sz w:val="24"/>
                <w:szCs w:val="24"/>
              </w:rPr>
              <w:tab/>
            </w:r>
            <w:r w:rsidRPr="00847E91">
              <w:rPr>
                <w:webHidden/>
                <w:sz w:val="24"/>
                <w:szCs w:val="24"/>
              </w:rPr>
              <w:fldChar w:fldCharType="begin"/>
            </w:r>
            <w:r w:rsidRPr="00847E91">
              <w:rPr>
                <w:webHidden/>
                <w:sz w:val="24"/>
                <w:szCs w:val="24"/>
              </w:rPr>
              <w:instrText xml:space="preserve"> PAGEREF _Toc229076374 \h </w:instrText>
            </w:r>
            <w:r w:rsidRPr="00847E91">
              <w:rPr>
                <w:webHidden/>
                <w:sz w:val="24"/>
                <w:szCs w:val="24"/>
              </w:rPr>
            </w:r>
            <w:r w:rsidRPr="00847E91">
              <w:rPr>
                <w:webHidden/>
                <w:sz w:val="24"/>
                <w:szCs w:val="24"/>
              </w:rPr>
              <w:fldChar w:fldCharType="separate"/>
            </w:r>
            <w:r w:rsidRPr="00847E91">
              <w:rPr>
                <w:webHidden/>
                <w:sz w:val="24"/>
                <w:szCs w:val="24"/>
              </w:rPr>
              <w:t>21</w:t>
            </w:r>
            <w:r w:rsidRPr="00847E91">
              <w:rPr>
                <w:webHidden/>
                <w:sz w:val="24"/>
                <w:szCs w:val="24"/>
              </w:rPr>
              <w:fldChar w:fldCharType="end"/>
            </w:r>
          </w:hyperlink>
        </w:p>
        <w:p w14:paraId="4ECE4FB2" w14:textId="362864EE" w:rsidR="00B70FDC" w:rsidRPr="00847E91" w:rsidRDefault="00B70FDC" w:rsidP="00B70FDC">
          <w:pPr>
            <w:pStyle w:val="Sumrio1"/>
            <w:rPr>
              <w:rFonts w:ascii="Times New Roman" w:eastAsiaTheme="minorEastAsia" w:hAnsi="Times New Roman"/>
              <w:noProof/>
              <w:kern w:val="2"/>
              <w:bdr w:val="none" w:sz="0" w:space="0" w:color="auto"/>
              <w:lang w:val="pt-BR" w:eastAsia="pt-BR"/>
              <w14:ligatures w14:val="standardContextual"/>
            </w:rPr>
          </w:pPr>
          <w:hyperlink w:anchor="_Toc229076375" w:history="1">
            <w:r w:rsidRPr="00847E91">
              <w:rPr>
                <w:rStyle w:val="Hyperlink"/>
                <w:rFonts w:ascii="Times New Roman" w:hAnsi="Times New Roman"/>
                <w:noProof/>
              </w:rPr>
              <w:t>CONCLUSÃO</w:t>
            </w:r>
            <w:r w:rsidRPr="00847E91">
              <w:rPr>
                <w:rFonts w:ascii="Times New Roman" w:hAnsi="Times New Roman"/>
                <w:noProof/>
                <w:webHidden/>
              </w:rPr>
              <w:tab/>
            </w:r>
            <w:r w:rsidRPr="00847E91">
              <w:rPr>
                <w:rFonts w:ascii="Times New Roman" w:hAnsi="Times New Roman"/>
                <w:noProof/>
                <w:webHidden/>
              </w:rPr>
              <w:fldChar w:fldCharType="begin"/>
            </w:r>
            <w:r w:rsidRPr="00847E91">
              <w:rPr>
                <w:rFonts w:ascii="Times New Roman" w:hAnsi="Times New Roman"/>
                <w:noProof/>
                <w:webHidden/>
              </w:rPr>
              <w:instrText xml:space="preserve"> PAGEREF _Toc229076375 \h </w:instrText>
            </w:r>
            <w:r w:rsidRPr="00847E91">
              <w:rPr>
                <w:rFonts w:ascii="Times New Roman" w:hAnsi="Times New Roman"/>
                <w:noProof/>
                <w:webHidden/>
              </w:rPr>
            </w:r>
            <w:r w:rsidRPr="00847E91">
              <w:rPr>
                <w:rFonts w:ascii="Times New Roman" w:hAnsi="Times New Roman"/>
                <w:noProof/>
                <w:webHidden/>
              </w:rPr>
              <w:fldChar w:fldCharType="separate"/>
            </w:r>
            <w:r w:rsidRPr="00847E91">
              <w:rPr>
                <w:rFonts w:ascii="Times New Roman" w:hAnsi="Times New Roman"/>
                <w:noProof/>
                <w:webHidden/>
              </w:rPr>
              <w:t>22</w:t>
            </w:r>
            <w:r w:rsidRPr="00847E91">
              <w:rPr>
                <w:rFonts w:ascii="Times New Roman" w:hAnsi="Times New Roman"/>
                <w:noProof/>
                <w:webHidden/>
              </w:rPr>
              <w:fldChar w:fldCharType="end"/>
            </w:r>
          </w:hyperlink>
        </w:p>
        <w:p w14:paraId="3AD9F600" w14:textId="5BD44A83" w:rsidR="00786B1B" w:rsidRPr="00B34B55" w:rsidRDefault="00B34B55" w:rsidP="007819AD">
          <w:pPr>
            <w:spacing w:line="360" w:lineRule="auto"/>
            <w:jc w:val="both"/>
          </w:pPr>
          <w:r w:rsidRPr="00847E91">
            <w:rPr>
              <w:b/>
              <w:bCs/>
            </w:rPr>
            <w:fldChar w:fldCharType="end"/>
          </w:r>
        </w:p>
      </w:sdtContent>
    </w:sdt>
    <w:p w14:paraId="3A45A890" w14:textId="77777777" w:rsidR="00AB59DE" w:rsidRDefault="00AB59DE" w:rsidP="000A08FC">
      <w:pPr>
        <w:tabs>
          <w:tab w:val="left" w:pos="2691"/>
        </w:tabs>
        <w:rPr>
          <w:b/>
          <w:bCs/>
        </w:rPr>
      </w:pPr>
    </w:p>
    <w:p w14:paraId="74159EC2" w14:textId="77777777" w:rsidR="00661CBB" w:rsidRDefault="00661CBB" w:rsidP="000A08FC">
      <w:pPr>
        <w:tabs>
          <w:tab w:val="left" w:pos="2691"/>
        </w:tabs>
        <w:sectPr w:rsidR="00661CBB" w:rsidSect="00E4189A">
          <w:pgSz w:w="11906" w:h="16838"/>
          <w:pgMar w:top="1701" w:right="1134" w:bottom="1134" w:left="1701" w:header="709" w:footer="709" w:gutter="0"/>
          <w:cols w:space="708"/>
          <w:docGrid w:linePitch="360"/>
        </w:sectPr>
      </w:pPr>
    </w:p>
    <w:p w14:paraId="03FBF050" w14:textId="77777777" w:rsidR="001B1EAE" w:rsidRDefault="001B1EAE" w:rsidP="000A08FC">
      <w:pPr>
        <w:tabs>
          <w:tab w:val="left" w:pos="2691"/>
        </w:tabs>
      </w:pPr>
    </w:p>
    <w:p w14:paraId="0F84877E" w14:textId="77777777" w:rsidR="007819AD" w:rsidRDefault="007819AD" w:rsidP="000A08FC">
      <w:pPr>
        <w:tabs>
          <w:tab w:val="left" w:pos="2691"/>
        </w:tabs>
      </w:pPr>
    </w:p>
    <w:p w14:paraId="66CAF8E2" w14:textId="77777777" w:rsidR="007819AD" w:rsidRDefault="007819AD" w:rsidP="000A08FC">
      <w:pPr>
        <w:tabs>
          <w:tab w:val="left" w:pos="2691"/>
        </w:tabs>
      </w:pPr>
    </w:p>
    <w:p w14:paraId="7D783F47" w14:textId="77777777" w:rsidR="007819AD" w:rsidRDefault="007819AD" w:rsidP="000A08FC">
      <w:pPr>
        <w:tabs>
          <w:tab w:val="left" w:pos="2691"/>
        </w:tabs>
      </w:pPr>
    </w:p>
    <w:p w14:paraId="50DCEBD1" w14:textId="77777777" w:rsidR="00FB371F" w:rsidRDefault="00FB371F" w:rsidP="000A08FC">
      <w:pPr>
        <w:tabs>
          <w:tab w:val="left" w:pos="2691"/>
        </w:tabs>
      </w:pPr>
    </w:p>
    <w:p w14:paraId="6219AFC7" w14:textId="77777777" w:rsidR="00E53EA9" w:rsidRDefault="00E53EA9" w:rsidP="000A08FC">
      <w:pPr>
        <w:tabs>
          <w:tab w:val="left" w:pos="2691"/>
        </w:tabs>
      </w:pPr>
    </w:p>
    <w:p w14:paraId="0A18582B" w14:textId="44D0270D" w:rsidR="00661CBB" w:rsidRDefault="00661CBB" w:rsidP="00661CBB">
      <w:pPr>
        <w:pStyle w:val="Ttulo1"/>
        <w:spacing w:line="360" w:lineRule="auto"/>
        <w:jc w:val="both"/>
        <w:rPr>
          <w:rFonts w:ascii="Times New Roman" w:hAnsi="Times New Roman" w:cs="Times New Roman"/>
          <w:b/>
          <w:bCs/>
          <w:color w:val="auto"/>
          <w:sz w:val="24"/>
          <w:szCs w:val="24"/>
        </w:rPr>
      </w:pPr>
      <w:bookmarkStart w:id="1" w:name="_Toc229076359"/>
      <w:r w:rsidRPr="00661CBB">
        <w:rPr>
          <w:rFonts w:ascii="Times New Roman" w:hAnsi="Times New Roman" w:cs="Times New Roman"/>
          <w:b/>
          <w:bCs/>
          <w:color w:val="auto"/>
          <w:sz w:val="24"/>
          <w:szCs w:val="24"/>
        </w:rPr>
        <w:t>RESUMO</w:t>
      </w:r>
      <w:bookmarkEnd w:id="1"/>
    </w:p>
    <w:p w14:paraId="1303EA71" w14:textId="77777777" w:rsidR="00E53EA9" w:rsidRPr="00E53EA9" w:rsidRDefault="00E53EA9" w:rsidP="00E53EA9">
      <w:pPr>
        <w:spacing w:line="360" w:lineRule="auto"/>
        <w:jc w:val="both"/>
        <w:rPr>
          <w:lang w:val="pt-BR"/>
        </w:rPr>
      </w:pPr>
      <w:r w:rsidRPr="00E53EA9">
        <w:rPr>
          <w:lang w:val="pt-BR"/>
        </w:rPr>
        <w:t xml:space="preserve">A presente pesquisa analisa a influência da mídia no contexto jurídico, com enfoque nos impactos produzidos sobre a imparcialidade do processo penal brasileiro. Parte-se da problemática relacionada à interferência da opinião pública na formação da convicção dos jurados, diante da ampla divulgação de informações e da ocorrência do fenômeno conhecido como </w:t>
      </w:r>
      <w:r w:rsidRPr="00E53EA9">
        <w:rPr>
          <w:i/>
          <w:iCs/>
          <w:lang w:val="pt-BR"/>
        </w:rPr>
        <w:t>trial by media</w:t>
      </w:r>
      <w:r w:rsidRPr="00E53EA9">
        <w:rPr>
          <w:lang w:val="pt-BR"/>
        </w:rPr>
        <w:t>.</w:t>
      </w:r>
    </w:p>
    <w:p w14:paraId="1845AD98" w14:textId="77777777" w:rsidR="00E53EA9" w:rsidRPr="00E53EA9" w:rsidRDefault="00E53EA9" w:rsidP="00E53EA9">
      <w:pPr>
        <w:spacing w:line="360" w:lineRule="auto"/>
        <w:jc w:val="both"/>
        <w:rPr>
          <w:lang w:val="pt-BR"/>
        </w:rPr>
      </w:pPr>
      <w:r w:rsidRPr="00E53EA9">
        <w:rPr>
          <w:lang w:val="pt-BR"/>
        </w:rPr>
        <w:t>O objetivo central do estudo consiste em investigar de que maneira a espetacularização midiática pode comprometer garantias fundamentais, especialmente a presunção de inocência e o direito à ampla defesa. Para tanto, adotou-se o método indutivo, com abordagem qualitativa, fundamentado em revisão bibliográfica de caráter transdisciplinar, envolvendo obras jurídicas e sociológicas, além da análise de casos concretos de grande repercussão nacional, como o Caso Escola Base, o caso Fabiane Maria de Jesus e o caso Suzane von Richthofen.</w:t>
      </w:r>
    </w:p>
    <w:p w14:paraId="44217111" w14:textId="77777777" w:rsidR="00E53EA9" w:rsidRPr="00E53EA9" w:rsidRDefault="00E53EA9" w:rsidP="00E53EA9">
      <w:pPr>
        <w:spacing w:line="360" w:lineRule="auto"/>
        <w:jc w:val="both"/>
        <w:rPr>
          <w:lang w:val="pt-BR"/>
        </w:rPr>
      </w:pPr>
      <w:r w:rsidRPr="00E53EA9">
        <w:rPr>
          <w:lang w:val="pt-BR"/>
        </w:rPr>
        <w:t>Os resultados demonstram que a cobertura midiática sensacionalista favorece a formação de julgamentos paralelos, influenciando indevidamente a percepção dos jurados leigos e antecipando veredictos sociais antes da regular instrução processual. Verificou-se, ainda, que a exposição excessiva de informações e a construção de narrativas simplificadas contribuem para a fragilização de direitos fundamentais e para o comprometimento da imparcialidade do julgamento.</w:t>
      </w:r>
    </w:p>
    <w:p w14:paraId="51FB72A4" w14:textId="77777777" w:rsidR="00E53EA9" w:rsidRPr="00E53EA9" w:rsidRDefault="00E53EA9" w:rsidP="00E53EA9">
      <w:pPr>
        <w:spacing w:line="360" w:lineRule="auto"/>
        <w:jc w:val="both"/>
        <w:rPr>
          <w:lang w:val="pt-BR"/>
        </w:rPr>
      </w:pPr>
      <w:r w:rsidRPr="00E53EA9">
        <w:rPr>
          <w:lang w:val="pt-BR"/>
        </w:rPr>
        <w:t>Conclui-se que, embora a liberdade de imprensa e a publicidade dos atos processuais constituam garantias essenciais ao Estado Democrático de Direito, seu exercício deve ser compatibilizado com a proteção dos direitos fundamentais do acusado. Destaca-se, por fim, a relevância de mecanismos jurídicos de contenção, como o desaforamento e o sigilo das votações, destinados à preservação da imparcialidade do Tribunal do Júri e da efetividade das garantias constitucionais.</w:t>
      </w:r>
    </w:p>
    <w:p w14:paraId="2BF1ADB9" w14:textId="77777777" w:rsidR="0050097B" w:rsidRDefault="0050097B" w:rsidP="0050097B">
      <w:pPr>
        <w:spacing w:line="360" w:lineRule="auto"/>
        <w:jc w:val="both"/>
      </w:pPr>
    </w:p>
    <w:p w14:paraId="09D8FDAE" w14:textId="1186662E" w:rsidR="00671DD9" w:rsidRDefault="00836C45" w:rsidP="00836C45">
      <w:pPr>
        <w:spacing w:line="360" w:lineRule="auto"/>
        <w:jc w:val="both"/>
      </w:pPr>
      <w:r>
        <w:t>Palavras-chave: mídia; Tribunal do Júri; opinião pública; imparcialidade; presunção de inocência.</w:t>
      </w:r>
    </w:p>
    <w:p w14:paraId="09BC6D3F" w14:textId="77777777" w:rsidR="00836C45" w:rsidRDefault="00836C45" w:rsidP="00836C45">
      <w:pPr>
        <w:spacing w:line="360" w:lineRule="auto"/>
        <w:jc w:val="both"/>
      </w:pPr>
    </w:p>
    <w:p w14:paraId="6B1F00BA" w14:textId="2270318A" w:rsidR="00671DD9" w:rsidRPr="00671DD9" w:rsidRDefault="00671DD9" w:rsidP="00703E51">
      <w:pPr>
        <w:spacing w:line="360" w:lineRule="auto"/>
        <w:jc w:val="both"/>
        <w:rPr>
          <w:b/>
          <w:bCs/>
        </w:rPr>
      </w:pPr>
      <w:r w:rsidRPr="00671DD9">
        <w:rPr>
          <w:b/>
          <w:bCs/>
        </w:rPr>
        <w:t>ABSTRACT</w:t>
      </w:r>
    </w:p>
    <w:p w14:paraId="69DB8FD8" w14:textId="77777777" w:rsidR="00E53EA9" w:rsidRPr="00E53EA9" w:rsidRDefault="00E53EA9" w:rsidP="00E53EA9">
      <w:pPr>
        <w:spacing w:line="360" w:lineRule="auto"/>
        <w:jc w:val="both"/>
        <w:rPr>
          <w:lang w:val="pt-BR"/>
        </w:rPr>
      </w:pPr>
      <w:r w:rsidRPr="00E53EA9">
        <w:rPr>
          <w:lang w:val="pt-BR"/>
        </w:rPr>
        <w:t xml:space="preserve">This research analyzes the influence of the media within the legal context, focusing on the impacts it produces on the impartiality of the Brazilian criminal process. The study is based on the issue concerning the interference of public opinion in the formation of jurors’ convictions, given the broad dissemination of information and the occurrence of the phenomenon known as </w:t>
      </w:r>
      <w:r w:rsidRPr="00E53EA9">
        <w:rPr>
          <w:i/>
          <w:iCs/>
          <w:lang w:val="pt-BR"/>
        </w:rPr>
        <w:t>trial by media</w:t>
      </w:r>
      <w:r w:rsidRPr="00E53EA9">
        <w:rPr>
          <w:lang w:val="pt-BR"/>
        </w:rPr>
        <w:t>.</w:t>
      </w:r>
    </w:p>
    <w:p w14:paraId="272A3114" w14:textId="77777777" w:rsidR="00E53EA9" w:rsidRPr="00E53EA9" w:rsidRDefault="00E53EA9" w:rsidP="00E53EA9">
      <w:pPr>
        <w:spacing w:line="360" w:lineRule="auto"/>
        <w:jc w:val="both"/>
        <w:rPr>
          <w:lang w:val="pt-BR"/>
        </w:rPr>
      </w:pPr>
      <w:r w:rsidRPr="00E53EA9">
        <w:rPr>
          <w:lang w:val="pt-BR"/>
        </w:rPr>
        <w:t>The main objective of this study is to investigate how media sensationalism may compromise fundamental guarantees, especially the presumption of innocence and the right to a full defense. To achieve this purpose, the inductive method was adopted, with a qualitative approach, grounded in a transdisciplinary bibliographic review involving legal and sociological works, as well as the analysis of nationally renowned cases, such as the Escola Base Case, the Fabiane Maria de Jesus Case, and the Suzane von Richthofen Case.</w:t>
      </w:r>
    </w:p>
    <w:p w14:paraId="18A99D6A" w14:textId="77777777" w:rsidR="00E53EA9" w:rsidRPr="00E53EA9" w:rsidRDefault="00E53EA9" w:rsidP="00E53EA9">
      <w:pPr>
        <w:spacing w:line="360" w:lineRule="auto"/>
        <w:jc w:val="both"/>
        <w:rPr>
          <w:lang w:val="pt-BR"/>
        </w:rPr>
      </w:pPr>
      <w:r w:rsidRPr="00E53EA9">
        <w:rPr>
          <w:lang w:val="pt-BR"/>
        </w:rPr>
        <w:t>The results demonstrate that sensationalist media coverage encourages the formation of parallel judgments, improperly influencing lay jurors’ perceptions and anticipating social verdicts before the regular procedural instruction is concluded. Furthermore, it was verified that the excessive exposure of information and the construction of simplified narratives contribute to the weakening of fundamental rights and compromise the impartiality of criminal judgments.</w:t>
      </w:r>
    </w:p>
    <w:p w14:paraId="06FB545A" w14:textId="294EF3F6" w:rsidR="00294CA1" w:rsidRPr="00E53EA9" w:rsidRDefault="00E53EA9" w:rsidP="00DA05BA">
      <w:pPr>
        <w:spacing w:line="360" w:lineRule="auto"/>
        <w:jc w:val="both"/>
        <w:rPr>
          <w:lang w:val="pt-BR"/>
        </w:rPr>
      </w:pPr>
      <w:r w:rsidRPr="00E53EA9">
        <w:rPr>
          <w:lang w:val="pt-BR"/>
        </w:rPr>
        <w:t>It is concluded that, although freedom of the press and the publicity of procedural acts constitute essential guarantees of the Democratic Rule of Law, their exercise must be balanced with the protection of the defendant’s fundamental rights. Finally, the study highlights the relevance of legal mechanisms of restraint, such as the change of venue (</w:t>
      </w:r>
      <w:r w:rsidRPr="00E53EA9">
        <w:rPr>
          <w:i/>
          <w:iCs/>
          <w:lang w:val="pt-BR"/>
        </w:rPr>
        <w:t>desaforamento</w:t>
      </w:r>
      <w:r w:rsidRPr="00E53EA9">
        <w:rPr>
          <w:lang w:val="pt-BR"/>
        </w:rPr>
        <w:t>) and the secrecy of jury deliberations, aimed at preserving the impartiality of the Jury Court and the effectiveness of constitutional guarantees.</w:t>
      </w:r>
    </w:p>
    <w:p w14:paraId="3A8D0090" w14:textId="77777777" w:rsidR="00DA05BA" w:rsidRDefault="00DA05BA" w:rsidP="00DA05BA">
      <w:pPr>
        <w:spacing w:line="360" w:lineRule="auto"/>
        <w:jc w:val="both"/>
      </w:pPr>
    </w:p>
    <w:p w14:paraId="4A71D179" w14:textId="72DFB13F" w:rsidR="00661CBB" w:rsidRDefault="00294CA1" w:rsidP="00294CA1">
      <w:pPr>
        <w:spacing w:line="360" w:lineRule="auto"/>
        <w:jc w:val="both"/>
      </w:pPr>
      <w:r>
        <w:t>Keywords: Jury Court; public opinion; media; impartiality; criminal procedure.</w:t>
      </w:r>
    </w:p>
    <w:p w14:paraId="76DA5CFB" w14:textId="77777777" w:rsidR="00661CBB" w:rsidRDefault="00661CBB" w:rsidP="00661CBB"/>
    <w:p w14:paraId="27007C9E" w14:textId="77777777" w:rsidR="00661CBB" w:rsidRDefault="00661CBB" w:rsidP="00661CBB"/>
    <w:p w14:paraId="6169874E" w14:textId="77777777" w:rsidR="00661CBB" w:rsidRDefault="00661CBB" w:rsidP="00661CBB"/>
    <w:p w14:paraId="38F6635E" w14:textId="77777777" w:rsidR="00661CBB" w:rsidRDefault="00661CBB" w:rsidP="00661CBB"/>
    <w:p w14:paraId="7164E50E" w14:textId="77777777" w:rsidR="00661CBB" w:rsidRDefault="00661CBB" w:rsidP="00661CBB"/>
    <w:p w14:paraId="09235DA4" w14:textId="77777777" w:rsidR="00661CBB" w:rsidRDefault="00661CBB" w:rsidP="00661CBB"/>
    <w:p w14:paraId="2DFABEF4" w14:textId="77777777" w:rsidR="00661CBB" w:rsidRDefault="00661CBB" w:rsidP="00661CBB"/>
    <w:p w14:paraId="4B55D778" w14:textId="77777777" w:rsidR="00661CBB" w:rsidRDefault="00661CBB" w:rsidP="00661CBB"/>
    <w:p w14:paraId="77774AD9" w14:textId="77777777" w:rsidR="00661CBB" w:rsidRDefault="00661CBB" w:rsidP="00661CBB"/>
    <w:p w14:paraId="4ECC0B05" w14:textId="77777777" w:rsidR="00661CBB" w:rsidRDefault="00661CBB" w:rsidP="00661CBB"/>
    <w:p w14:paraId="2DFD35BA" w14:textId="77777777" w:rsidR="00661CBB" w:rsidRDefault="00661CBB" w:rsidP="00661CBB"/>
    <w:p w14:paraId="7F88E1A4" w14:textId="77777777" w:rsidR="00661CBB" w:rsidRDefault="00661CBB" w:rsidP="00661CBB"/>
    <w:p w14:paraId="17767377" w14:textId="77777777" w:rsidR="00FB371F" w:rsidRDefault="00FB371F" w:rsidP="00661CBB"/>
    <w:p w14:paraId="1989ADCE" w14:textId="77777777" w:rsidR="00661CBB" w:rsidRDefault="00661CBB" w:rsidP="00661CBB"/>
    <w:p w14:paraId="4327A965" w14:textId="77777777" w:rsidR="00661CBB" w:rsidRDefault="00661CBB" w:rsidP="00661CBB"/>
    <w:p w14:paraId="7B7590FF" w14:textId="77777777" w:rsidR="0038752F" w:rsidRPr="00661CBB" w:rsidRDefault="0038752F" w:rsidP="00661CBB"/>
    <w:p w14:paraId="4A8E4076" w14:textId="27C49F54" w:rsidR="72A7D82C" w:rsidRDefault="72A7D82C"/>
    <w:p w14:paraId="5A86A7B3" w14:textId="40915AAC" w:rsidR="72A7D82C" w:rsidRDefault="72A7D82C"/>
    <w:p w14:paraId="5C54FB5E" w14:textId="58C7F53F" w:rsidR="00A9665B" w:rsidRPr="001B1EAE" w:rsidRDefault="00A9665B" w:rsidP="001B1EAE">
      <w:pPr>
        <w:pStyle w:val="Ttulo1"/>
        <w:spacing w:line="360" w:lineRule="auto"/>
        <w:jc w:val="both"/>
        <w:rPr>
          <w:rFonts w:ascii="Times New Roman" w:hAnsi="Times New Roman" w:cs="Times New Roman"/>
          <w:b/>
          <w:bCs/>
          <w:color w:val="000000" w:themeColor="text1"/>
          <w:sz w:val="24"/>
          <w:szCs w:val="24"/>
        </w:rPr>
      </w:pPr>
      <w:bookmarkStart w:id="2" w:name="_Toc229076360"/>
      <w:r w:rsidRPr="001B1EAE">
        <w:rPr>
          <w:rFonts w:ascii="Times New Roman" w:hAnsi="Times New Roman" w:cs="Times New Roman"/>
          <w:b/>
          <w:bCs/>
          <w:color w:val="000000" w:themeColor="text1"/>
          <w:sz w:val="24"/>
          <w:szCs w:val="24"/>
        </w:rPr>
        <w:t>INTRODUÇÃO</w:t>
      </w:r>
      <w:bookmarkEnd w:id="2"/>
    </w:p>
    <w:p w14:paraId="4FE30E8B" w14:textId="77777777" w:rsidR="00E53EA9" w:rsidRDefault="00E53EA9" w:rsidP="00280297">
      <w:pPr>
        <w:tabs>
          <w:tab w:val="left" w:pos="2691"/>
        </w:tabs>
        <w:spacing w:line="360" w:lineRule="auto"/>
        <w:ind w:firstLine="567"/>
        <w:jc w:val="both"/>
      </w:pPr>
      <w:r w:rsidRPr="00E53EA9">
        <w:t>A crescente atuação dos meios de comunicação na sociedade contemporânea tem produzido impactos significativos em diversas áreas, dentre elas o sistema de justiça criminal. A ampla divulgação de informações, aliada à velocidade das redes sociais e à dinâmica de circulação de conteúdos digitais, influencia diretamente a formação da opinião pública, muitas vezes antes mesmo da conclusão das investigações ou do encerramento do processo judicial. Nesse contexto, surge a preocupação com os reflexos da influência midiática sobre o processo penal, especialmente no âmbito do Tribunal do Júri.</w:t>
      </w:r>
    </w:p>
    <w:p w14:paraId="1DBBBCF2" w14:textId="757E5641" w:rsidR="00280297" w:rsidRDefault="00E53EA9" w:rsidP="00280297">
      <w:pPr>
        <w:tabs>
          <w:tab w:val="left" w:pos="2691"/>
        </w:tabs>
        <w:spacing w:line="360" w:lineRule="auto"/>
        <w:ind w:firstLine="567"/>
        <w:jc w:val="both"/>
      </w:pPr>
      <w:r w:rsidRPr="00E53EA9">
        <w:t>O Tribunal do Júri, previsto no art. 5º, inciso XXXVIII, da Constituição Federal de 1988, constitui importante instrumento democrático ao assegurar a participação direta da sociedade no julgamento dos crimes dolosos contra a vida. Trata-se de instituição composta por cidadãos leigos, que decidem com base em suas percepções e convicções pessoais, orientados pelo princípio da íntima convicção.</w:t>
      </w:r>
      <w:r>
        <w:t xml:space="preserve"> </w:t>
      </w:r>
      <w:r w:rsidR="00280297">
        <w:t>Contudo, essa característica, embora fortaleça a legitimidade democrática do julgamento, também torna o júri particularmente vulnerável à influência de fatores externos, como a opinião pública e a cobertura midiática.</w:t>
      </w:r>
    </w:p>
    <w:p w14:paraId="7AB037BC" w14:textId="1A4EE864" w:rsidR="00280297" w:rsidRDefault="00280297" w:rsidP="00280297">
      <w:pPr>
        <w:tabs>
          <w:tab w:val="left" w:pos="2691"/>
        </w:tabs>
        <w:spacing w:line="360" w:lineRule="auto"/>
        <w:ind w:firstLine="567"/>
        <w:jc w:val="both"/>
      </w:pPr>
      <w:r>
        <w:t xml:space="preserve">Nos últimos anos, a comunicação midiática passou a exercer papel central no âmbito penal, influenciando não apenas a opinião pública, mas </w:t>
      </w:r>
      <w:r w:rsidR="005B4027">
        <w:t>também</w:t>
      </w:r>
      <w:r w:rsidR="005B4027" w:rsidRPr="005B4027">
        <w:t>, em determinadas situações, a percepção dos jurados e a própria condução das investigações.</w:t>
      </w:r>
      <w:r>
        <w:t xml:space="preserve"> O fenômeno da espetacularização, intensificado pelas redes sociais e seus mecanismos de difusão algorítmica, contribui para a criação de narrativas sociais que frequentemente antecedem o rito processual. Nesse contexto, observa-se a ocorrência do chamado </w:t>
      </w:r>
      <w:r w:rsidRPr="004C1616">
        <w:rPr>
          <w:i/>
          <w:iCs/>
        </w:rPr>
        <w:t>trial by media</w:t>
      </w:r>
      <w:r>
        <w:t>, no qual a mídia atua como um verdadeiro tribunal paralelo, promovendo julgamentos antecipados e influenciando a percepção coletiva acerca da culpabilidade do acusado.</w:t>
      </w:r>
    </w:p>
    <w:p w14:paraId="0812539A" w14:textId="67F5B129" w:rsidR="00280297" w:rsidRDefault="00280297" w:rsidP="00280297">
      <w:pPr>
        <w:tabs>
          <w:tab w:val="left" w:pos="2691"/>
        </w:tabs>
        <w:spacing w:line="360" w:lineRule="auto"/>
        <w:ind w:firstLine="567"/>
        <w:jc w:val="both"/>
      </w:pPr>
      <w:r>
        <w:t>A relevância do tema reside na análise da tensão existente entre a liberdade de imprensa</w:t>
      </w:r>
      <w:r w:rsidR="009B5B2F">
        <w:t xml:space="preserve">, </w:t>
      </w:r>
      <w:r>
        <w:t>frequentemente compreendida como um “quarto poder”</w:t>
      </w:r>
      <w:r w:rsidR="009B5B2F">
        <w:t>,</w:t>
      </w:r>
      <w:r>
        <w:t xml:space="preserve"> e a necessidade de preservação das garantias fundamentais do acusado. Embora a atividade jornalística desempenhe papel essencial na fiscalização do Estado e na consolidação da democracia, sua atuação, quando marcada por sensacionalismo ou pela chamada “hiperbolia midiática”, pode resultar na simplificação de fenômenos complexos e na construção de narrativas que comprometem a racionalidade do processo penal. Tal cenário pode transformar o julgamento judicial em mera confirmação de uma culpa previamente estabelecida no espaço público, violando princípios como a presunção de inocência, o devido processo legal e a imparcialidade do julgador.</w:t>
      </w:r>
    </w:p>
    <w:p w14:paraId="0F81ABBB" w14:textId="52C11F64" w:rsidR="00280297" w:rsidRDefault="00280297" w:rsidP="00280297">
      <w:pPr>
        <w:tabs>
          <w:tab w:val="left" w:pos="2691"/>
        </w:tabs>
        <w:spacing w:line="360" w:lineRule="auto"/>
        <w:ind w:firstLine="567"/>
        <w:jc w:val="both"/>
      </w:pPr>
      <w:r>
        <w:t xml:space="preserve">Diante desse contexto, o problema de pesquisa que orienta o presente trabalho consiste em investigar de que maneira a pressão social e a exposição midiática de casos criminais de grande repercussão comprometem a imparcialidade do Conselho de Sentença no Tribunal do Júri. Busca-se compreender, ainda, se os mecanismos jurídicos atualmente previstos são suficientes para proteger o acusado contra a influência do fenômeno do </w:t>
      </w:r>
      <w:r w:rsidRPr="00DD7783">
        <w:rPr>
          <w:i/>
          <w:iCs/>
        </w:rPr>
        <w:t>trial by media</w:t>
      </w:r>
      <w:r>
        <w:t>.</w:t>
      </w:r>
    </w:p>
    <w:p w14:paraId="030CD311" w14:textId="43E429AA" w:rsidR="00280297" w:rsidRDefault="00280297" w:rsidP="00280297">
      <w:pPr>
        <w:tabs>
          <w:tab w:val="left" w:pos="2691"/>
        </w:tabs>
        <w:spacing w:line="360" w:lineRule="auto"/>
        <w:ind w:firstLine="567"/>
        <w:jc w:val="both"/>
      </w:pPr>
      <w:r>
        <w:t>O objetivo geral desta pesquisa é analisar os impactos da influência midiática na imparcialidade do processo penal brasileiro, com foco específico nas decisões proferidas pelo Tribunal do Júri. De forma específica, pretende-se examinar como o pré-julgamento social afeta a formação da íntima convicção dos jurados, bem como identificar e avaliar os mecanismos jurídicos existentes para conter essa influência e assegurar um julgamento justo e equilibrado.</w:t>
      </w:r>
    </w:p>
    <w:p w14:paraId="7F43CAEC" w14:textId="00147B9B" w:rsidR="00280297" w:rsidRDefault="00280297" w:rsidP="00280297">
      <w:pPr>
        <w:tabs>
          <w:tab w:val="left" w:pos="2691"/>
        </w:tabs>
        <w:spacing w:line="360" w:lineRule="auto"/>
        <w:ind w:firstLine="567"/>
        <w:jc w:val="both"/>
      </w:pPr>
      <w:r>
        <w:t>Metodologicamente, a pesquisa adota o método indutivo, com abordagem qualitativa, fundamentando-se em revisão bibliográfica de caráter transdisciplinar, envolvendo obras das áreas do Direito, Criminologia e Comunicação. Além disso, utiliza-se da análise de casos concretos de grande repercussão nacional, como o Caso Escola Base, Isabella Nardoni e Suzane von Richthofen, a fim de evidenciar a influência da mídia na formação da opinião pública e seus reflexos no julgamento penal.</w:t>
      </w:r>
    </w:p>
    <w:p w14:paraId="7DC6778A" w14:textId="0D3F614D" w:rsidR="00A9665B" w:rsidRDefault="00280297" w:rsidP="00280297">
      <w:pPr>
        <w:tabs>
          <w:tab w:val="left" w:pos="2691"/>
        </w:tabs>
        <w:spacing w:line="360" w:lineRule="auto"/>
        <w:ind w:firstLine="567"/>
        <w:jc w:val="both"/>
      </w:pPr>
      <w:r>
        <w:t>O presente trabalho encontra-se estruturado em três capítulos. No primeiro, aborda-se a evolução d</w:t>
      </w:r>
      <w:r w:rsidR="005B4027">
        <w:t>os meios de comunicação</w:t>
      </w:r>
      <w:r>
        <w:t xml:space="preserve"> e </w:t>
      </w:r>
      <w:r w:rsidR="005B4027">
        <w:t>a atuação da mídia</w:t>
      </w:r>
      <w:r>
        <w:t xml:space="preserve"> como instrumento de controle social, analisando sua influência na construção da realidade e da opinião pública. No segundo capítulo, examina-se a influência midiática no processo penal, com enfoque nas garantias constitucionais e nas interferências durante a investigação e a instrução processual. Por fim, no terceiro capítulo, analisa-se o impacto da opinião pública na imparcialidade do Tribunal do Júri, com a análise de casos concretos e dos mecanismos jurídicos de contenção da influência midiática.</w:t>
      </w:r>
    </w:p>
    <w:p w14:paraId="2F4E12C4" w14:textId="77777777" w:rsidR="001B1EAE" w:rsidRDefault="001B1EAE" w:rsidP="00C2056D">
      <w:pPr>
        <w:tabs>
          <w:tab w:val="left" w:pos="2691"/>
        </w:tabs>
        <w:spacing w:line="360" w:lineRule="auto"/>
        <w:ind w:firstLine="567"/>
        <w:jc w:val="both"/>
      </w:pPr>
    </w:p>
    <w:p w14:paraId="7265FAB1" w14:textId="77777777" w:rsidR="001B1EAE" w:rsidRDefault="001B1EAE" w:rsidP="00C2056D">
      <w:pPr>
        <w:tabs>
          <w:tab w:val="left" w:pos="2691"/>
        </w:tabs>
        <w:spacing w:line="360" w:lineRule="auto"/>
        <w:ind w:firstLine="567"/>
        <w:jc w:val="both"/>
      </w:pPr>
    </w:p>
    <w:p w14:paraId="77E37FF4" w14:textId="77777777" w:rsidR="001B1EAE" w:rsidRDefault="001B1EAE" w:rsidP="00C2056D">
      <w:pPr>
        <w:tabs>
          <w:tab w:val="left" w:pos="2691"/>
        </w:tabs>
        <w:spacing w:line="360" w:lineRule="auto"/>
        <w:ind w:firstLine="567"/>
        <w:jc w:val="both"/>
      </w:pPr>
    </w:p>
    <w:p w14:paraId="12F581BE" w14:textId="4809B55A" w:rsidR="72A7D82C" w:rsidRDefault="72A7D82C" w:rsidP="72A7D82C">
      <w:pPr>
        <w:tabs>
          <w:tab w:val="left" w:pos="2691"/>
        </w:tabs>
        <w:spacing w:line="360" w:lineRule="auto"/>
        <w:ind w:firstLine="567"/>
        <w:jc w:val="both"/>
      </w:pPr>
    </w:p>
    <w:p w14:paraId="387F953D" w14:textId="194A9283" w:rsidR="72A7D82C" w:rsidRDefault="72A7D82C" w:rsidP="72A7D82C">
      <w:pPr>
        <w:tabs>
          <w:tab w:val="left" w:pos="2691"/>
        </w:tabs>
        <w:spacing w:line="360" w:lineRule="auto"/>
        <w:ind w:firstLine="567"/>
        <w:jc w:val="both"/>
      </w:pPr>
    </w:p>
    <w:p w14:paraId="2FEA4C0A" w14:textId="77777777" w:rsidR="001B1EAE" w:rsidRDefault="001B1EAE" w:rsidP="00C2056D">
      <w:pPr>
        <w:tabs>
          <w:tab w:val="left" w:pos="2691"/>
        </w:tabs>
        <w:spacing w:line="360" w:lineRule="auto"/>
        <w:ind w:firstLine="567"/>
        <w:jc w:val="both"/>
      </w:pPr>
    </w:p>
    <w:p w14:paraId="5D2233D9" w14:textId="77777777" w:rsidR="00146BF6" w:rsidRDefault="00146BF6" w:rsidP="000A08FC">
      <w:pPr>
        <w:tabs>
          <w:tab w:val="left" w:pos="2691"/>
        </w:tabs>
      </w:pPr>
    </w:p>
    <w:p w14:paraId="496DE6F2" w14:textId="77777777" w:rsidR="004657F2" w:rsidRDefault="004657F2" w:rsidP="000A08FC">
      <w:pPr>
        <w:tabs>
          <w:tab w:val="left" w:pos="2691"/>
        </w:tabs>
      </w:pPr>
    </w:p>
    <w:p w14:paraId="408A9A1F" w14:textId="6EA04551" w:rsidR="001C56A1" w:rsidRPr="00EF48BD" w:rsidRDefault="009600C0" w:rsidP="00EF48BD">
      <w:pPr>
        <w:pStyle w:val="Ttulo1"/>
        <w:spacing w:line="360" w:lineRule="auto"/>
        <w:jc w:val="both"/>
        <w:rPr>
          <w:rFonts w:ascii="Times New Roman" w:hAnsi="Times New Roman" w:cs="Times New Roman"/>
          <w:b/>
          <w:bCs/>
          <w:color w:val="auto"/>
          <w:sz w:val="24"/>
          <w:szCs w:val="24"/>
        </w:rPr>
      </w:pPr>
      <w:bookmarkStart w:id="3" w:name="_Toc229076361"/>
      <w:r w:rsidRPr="00661CBB">
        <w:rPr>
          <w:rFonts w:ascii="Times New Roman" w:hAnsi="Times New Roman" w:cs="Times New Roman"/>
          <w:b/>
          <w:bCs/>
          <w:color w:val="auto"/>
          <w:sz w:val="24"/>
          <w:szCs w:val="24"/>
        </w:rPr>
        <w:t xml:space="preserve">1 </w:t>
      </w:r>
      <w:r w:rsidR="00A9665B" w:rsidRPr="00661CBB">
        <w:rPr>
          <w:rFonts w:ascii="Times New Roman" w:hAnsi="Times New Roman" w:cs="Times New Roman"/>
          <w:b/>
          <w:bCs/>
          <w:color w:val="auto"/>
          <w:sz w:val="24"/>
          <w:szCs w:val="24"/>
        </w:rPr>
        <w:t>A MÍDIA E O CONTROLE SOCIAL DA INFORMAÇÃO</w:t>
      </w:r>
      <w:bookmarkEnd w:id="3"/>
    </w:p>
    <w:p w14:paraId="35D6FBC5" w14:textId="3342EDC3" w:rsidR="001C56A1" w:rsidRDefault="00543637" w:rsidP="001A5EC7">
      <w:pPr>
        <w:pStyle w:val="Corpo"/>
        <w:spacing w:line="360" w:lineRule="auto"/>
        <w:ind w:firstLine="708"/>
        <w:jc w:val="both"/>
        <w:rPr>
          <w:color w:val="auto"/>
          <w:lang w:val="en-US"/>
          <w14:textOutline w14:w="12700" w14:cap="flat" w14:cmpd="sng" w14:algn="ctr">
            <w14:noFill/>
            <w14:prstDash w14:val="solid"/>
            <w14:miter w14:lim="400000"/>
          </w14:textOutline>
        </w:rPr>
      </w:pPr>
      <w:r w:rsidRPr="2C8BBEA1">
        <w:rPr>
          <w:lang w:val="en-US"/>
        </w:rPr>
        <w:t>O estudo da</w:t>
      </w:r>
      <w:r w:rsidR="00676DC1" w:rsidRPr="2C8BBEA1">
        <w:rPr>
          <w:lang w:val="en-US"/>
        </w:rPr>
        <w:t xml:space="preserve"> evolução da mídia</w:t>
      </w:r>
      <w:r w:rsidRPr="2C8BBEA1">
        <w:rPr>
          <w:lang w:val="en-US"/>
        </w:rPr>
        <w:t xml:space="preserve"> permite a compreensão do comportamento humano e da</w:t>
      </w:r>
      <w:r w:rsidR="00CD09AB" w:rsidRPr="2C8BBEA1">
        <w:rPr>
          <w:lang w:val="en-US"/>
        </w:rPr>
        <w:t>s organizações sociais</w:t>
      </w:r>
      <w:r w:rsidRPr="2C8BBEA1">
        <w:rPr>
          <w:lang w:val="en-US"/>
        </w:rPr>
        <w:t>, visto que</w:t>
      </w:r>
      <w:r w:rsidR="00876868" w:rsidRPr="2C8BBEA1">
        <w:rPr>
          <w:lang w:val="en-US"/>
        </w:rPr>
        <w:t xml:space="preserve"> </w:t>
      </w:r>
      <w:r w:rsidR="002A1097" w:rsidRPr="2C8BBEA1">
        <w:rPr>
          <w:lang w:val="en-US"/>
        </w:rPr>
        <w:t>o</w:t>
      </w:r>
      <w:r w:rsidR="00876868" w:rsidRPr="2C8BBEA1">
        <w:rPr>
          <w:lang w:val="en-US"/>
        </w:rPr>
        <w:t xml:space="preserve"> desenvolvimento</w:t>
      </w:r>
      <w:r w:rsidR="00676DC1" w:rsidRPr="2C8BBEA1">
        <w:rPr>
          <w:lang w:val="en-US"/>
        </w:rPr>
        <w:t xml:space="preserve"> </w:t>
      </w:r>
      <w:r w:rsidR="002A1097" w:rsidRPr="2C8BBEA1">
        <w:rPr>
          <w:lang w:val="en-US"/>
        </w:rPr>
        <w:t xml:space="preserve">dos meios </w:t>
      </w:r>
      <w:r w:rsidR="454F0A79" w:rsidRPr="2C8BBEA1">
        <w:rPr>
          <w:lang w:val="en-US"/>
        </w:rPr>
        <w:t xml:space="preserve">informacionais </w:t>
      </w:r>
      <w:r w:rsidR="00676DC1" w:rsidRPr="2C8BBEA1">
        <w:rPr>
          <w:lang w:val="en-US"/>
        </w:rPr>
        <w:t>acompanha a</w:t>
      </w:r>
      <w:r w:rsidR="002A1097" w:rsidRPr="2C8BBEA1">
        <w:rPr>
          <w:lang w:val="en-US"/>
        </w:rPr>
        <w:t xml:space="preserve">s </w:t>
      </w:r>
      <w:r w:rsidR="00676DC1" w:rsidRPr="2C8BBEA1">
        <w:rPr>
          <w:lang w:val="en-US"/>
        </w:rPr>
        <w:t>transformaç</w:t>
      </w:r>
      <w:r w:rsidR="002A1097" w:rsidRPr="2C8BBEA1">
        <w:rPr>
          <w:lang w:val="en-US"/>
        </w:rPr>
        <w:t xml:space="preserve">ões </w:t>
      </w:r>
      <w:r w:rsidR="00676DC1" w:rsidRPr="2C8BBEA1">
        <w:rPr>
          <w:lang w:val="en-US"/>
        </w:rPr>
        <w:t xml:space="preserve">da sociedade, permitindo </w:t>
      </w:r>
      <w:r w:rsidR="0067298C" w:rsidRPr="2C8BBEA1">
        <w:rPr>
          <w:lang w:val="en-US"/>
        </w:rPr>
        <w:t>perceber</w:t>
      </w:r>
      <w:r w:rsidR="00676DC1" w:rsidRPr="2C8BBEA1">
        <w:rPr>
          <w:lang w:val="en-US"/>
        </w:rPr>
        <w:t xml:space="preserve"> como os indivíduos constroem significados, percepções e se relacionam entre si</w:t>
      </w:r>
      <w:r w:rsidR="00C45EF2" w:rsidRPr="2C8BBEA1">
        <w:rPr>
          <w:color w:val="auto"/>
          <w:lang w:val="en-US"/>
          <w14:textOutline w14:w="12700" w14:cap="flat" w14:cmpd="sng" w14:algn="ctr">
            <w14:noFill/>
            <w14:prstDash w14:val="solid"/>
            <w14:miter w14:lim="400000"/>
          </w14:textOutline>
        </w:rPr>
        <w:t>.</w:t>
      </w:r>
      <w:r w:rsidR="00676DC1" w:rsidRPr="2C8BBEA1">
        <w:rPr>
          <w:color w:val="auto"/>
          <w:lang w:val="en-US"/>
          <w14:textOutline w14:w="12700" w14:cap="flat" w14:cmpd="sng" w14:algn="ctr">
            <w14:noFill/>
            <w14:prstDash w14:val="solid"/>
            <w14:miter w14:lim="400000"/>
          </w14:textOutline>
        </w:rPr>
        <w:t xml:space="preserve"> </w:t>
      </w:r>
      <w:r w:rsidR="00C45EF2" w:rsidRPr="2C8BBEA1">
        <w:rPr>
          <w:color w:val="auto"/>
          <w:lang w:val="en-US"/>
          <w14:textOutline w14:w="12700" w14:cap="flat" w14:cmpd="sng" w14:algn="ctr">
            <w14:noFill/>
            <w14:prstDash w14:val="solid"/>
            <w14:miter w14:lim="400000"/>
          </w14:textOutline>
        </w:rPr>
        <w:t>Da</w:t>
      </w:r>
      <w:r w:rsidR="00361BC8" w:rsidRPr="2C8BBEA1">
        <w:rPr>
          <w:color w:val="auto"/>
          <w:lang w:val="en-US"/>
          <w14:textOutline w14:w="12700" w14:cap="flat" w14:cmpd="sng" w14:algn="ctr">
            <w14:noFill/>
            <w14:prstDash w14:val="solid"/>
            <w14:miter w14:lim="400000"/>
          </w14:textOutline>
        </w:rPr>
        <w:t xml:space="preserve"> imprensa escrita às plataformas digitais, cada avanço</w:t>
      </w:r>
      <w:r w:rsidR="00A00431" w:rsidRPr="2C8BBEA1">
        <w:rPr>
          <w:color w:val="auto"/>
          <w:lang w:val="en-US"/>
          <w14:textOutline w14:w="12700" w14:cap="flat" w14:cmpd="sng" w14:algn="ctr">
            <w14:noFill/>
            <w14:prstDash w14:val="solid"/>
            <w14:miter w14:lim="400000"/>
          </w14:textOutline>
        </w:rPr>
        <w:t xml:space="preserve"> e inovação comunicacional</w:t>
      </w:r>
      <w:r w:rsidR="00361BC8" w:rsidRPr="2C8BBEA1">
        <w:rPr>
          <w:color w:val="auto"/>
          <w:lang w:val="en-US"/>
          <w14:textOutline w14:w="12700" w14:cap="flat" w14:cmpd="sng" w14:algn="ctr">
            <w14:noFill/>
            <w14:prstDash w14:val="solid"/>
            <w14:miter w14:lim="400000"/>
          </w14:textOutline>
        </w:rPr>
        <w:t xml:space="preserve"> representou uma </w:t>
      </w:r>
      <w:r w:rsidR="00E63001" w:rsidRPr="2C8BBEA1">
        <w:rPr>
          <w:color w:val="auto"/>
          <w:lang w:val="en-US"/>
          <w14:textOutline w14:w="12700" w14:cap="flat" w14:cmpd="sng" w14:algn="ctr">
            <w14:noFill/>
            <w14:prstDash w14:val="solid"/>
            <w14:miter w14:lim="400000"/>
          </w14:textOutline>
        </w:rPr>
        <w:t>mudança</w:t>
      </w:r>
      <w:r w:rsidR="00361BC8" w:rsidRPr="2C8BBEA1">
        <w:rPr>
          <w:color w:val="auto"/>
          <w:lang w:val="en-US"/>
          <w14:textOutline w14:w="12700" w14:cap="flat" w14:cmpd="sng" w14:algn="ctr">
            <w14:noFill/>
            <w14:prstDash w14:val="solid"/>
            <w14:miter w14:lim="400000"/>
          </w14:textOutline>
        </w:rPr>
        <w:t xml:space="preserve"> nos modos de </w:t>
      </w:r>
      <w:r w:rsidR="00A00431" w:rsidRPr="2C8BBEA1">
        <w:rPr>
          <w:color w:val="auto"/>
          <w:lang w:val="en-US"/>
          <w14:textOutline w14:w="12700" w14:cap="flat" w14:cmpd="sng" w14:algn="ctr">
            <w14:noFill/>
            <w14:prstDash w14:val="solid"/>
            <w14:miter w14:lim="400000"/>
          </w14:textOutline>
        </w:rPr>
        <w:t xml:space="preserve">produção, </w:t>
      </w:r>
      <w:r w:rsidR="00361BC8" w:rsidRPr="2C8BBEA1">
        <w:rPr>
          <w:color w:val="auto"/>
          <w:lang w:val="en-US"/>
          <w14:textOutline w14:w="12700" w14:cap="flat" w14:cmpd="sng" w14:algn="ctr">
            <w14:noFill/>
            <w14:prstDash w14:val="solid"/>
            <w14:miter w14:lim="400000"/>
          </w14:textOutline>
        </w:rPr>
        <w:t>transmissão e controle das informações</w:t>
      </w:r>
      <w:r w:rsidR="007A4994" w:rsidRPr="2C8BBEA1">
        <w:rPr>
          <w:color w:val="auto"/>
          <w:lang w:val="en-US"/>
          <w14:textOutline w14:w="12700" w14:cap="flat" w14:cmpd="sng" w14:algn="ctr">
            <w14:noFill/>
            <w14:prstDash w14:val="solid"/>
            <w14:miter w14:lim="400000"/>
          </w14:textOutline>
        </w:rPr>
        <w:t xml:space="preserve">, </w:t>
      </w:r>
      <w:r w:rsidR="00B33BD8" w:rsidRPr="2C8BBEA1">
        <w:rPr>
          <w:color w:val="auto"/>
          <w:lang w:val="en-US"/>
          <w14:textOutline w14:w="12700" w14:cap="flat" w14:cmpd="sng" w14:algn="ctr">
            <w14:noFill/>
            <w14:prstDash w14:val="solid"/>
            <w14:miter w14:lim="400000"/>
          </w14:textOutline>
        </w:rPr>
        <w:t>provocando</w:t>
      </w:r>
      <w:r w:rsidR="00905D85" w:rsidRPr="2C8BBEA1">
        <w:rPr>
          <w:color w:val="auto"/>
          <w:lang w:val="en-US"/>
          <w14:textOutline w14:w="12700" w14:cap="flat" w14:cmpd="sng" w14:algn="ctr">
            <w14:noFill/>
            <w14:prstDash w14:val="solid"/>
            <w14:miter w14:lim="400000"/>
          </w14:textOutline>
        </w:rPr>
        <w:t>,</w:t>
      </w:r>
      <w:r w:rsidR="00B33BD8" w:rsidRPr="2C8BBEA1">
        <w:rPr>
          <w:color w:val="auto"/>
          <w:lang w:val="en-US"/>
          <w14:textOutline w14:w="12700" w14:cap="flat" w14:cmpd="sng" w14:algn="ctr">
            <w14:noFill/>
            <w14:prstDash w14:val="solid"/>
            <w14:miter w14:lim="400000"/>
          </w14:textOutline>
        </w:rPr>
        <w:t xml:space="preserve"> </w:t>
      </w:r>
      <w:r w:rsidR="007A4994" w:rsidRPr="2C8BBEA1">
        <w:rPr>
          <w:color w:val="auto"/>
          <w:lang w:val="en-US"/>
          <w14:textOutline w14:w="12700" w14:cap="flat" w14:cmpd="sng" w14:algn="ctr">
            <w14:noFill/>
            <w14:prstDash w14:val="solid"/>
            <w14:miter w14:lim="400000"/>
          </w14:textOutline>
        </w:rPr>
        <w:t xml:space="preserve">a cada </w:t>
      </w:r>
      <w:r w:rsidR="00905D85" w:rsidRPr="2C8BBEA1">
        <w:rPr>
          <w:color w:val="auto"/>
          <w:lang w:val="en-US"/>
          <w14:textOutline w14:w="12700" w14:cap="flat" w14:cmpd="sng" w14:algn="ctr">
            <w14:noFill/>
            <w14:prstDash w14:val="solid"/>
            <w14:miter w14:lim="400000"/>
          </w14:textOutline>
        </w:rPr>
        <w:t xml:space="preserve">progresso, </w:t>
      </w:r>
      <w:r w:rsidR="00B33BD8" w:rsidRPr="2C8BBEA1">
        <w:rPr>
          <w:color w:val="auto"/>
          <w:lang w:val="en-US"/>
          <w14:textOutline w14:w="12700" w14:cap="flat" w14:cmpd="sng" w14:algn="ctr">
            <w14:noFill/>
            <w14:prstDash w14:val="solid"/>
            <w14:miter w14:lim="400000"/>
          </w14:textOutline>
        </w:rPr>
        <w:t xml:space="preserve">impactos culturais e políticos </w:t>
      </w:r>
      <w:r w:rsidR="00363FF2" w:rsidRPr="2C8BBEA1">
        <w:rPr>
          <w:color w:val="auto"/>
          <w:lang w:val="en-US"/>
          <w14:textOutline w14:w="12700" w14:cap="flat" w14:cmpd="sng" w14:algn="ctr">
            <w14:noFill/>
            <w14:prstDash w14:val="solid"/>
            <w14:miter w14:lim="400000"/>
          </w14:textOutline>
        </w:rPr>
        <w:t>marcantes</w:t>
      </w:r>
      <w:r w:rsidR="001C56A1" w:rsidRPr="2C8BBEA1">
        <w:rPr>
          <w:color w:val="auto"/>
          <w:lang w:val="en-US"/>
          <w14:textOutline w14:w="12700" w14:cap="flat" w14:cmpd="sng" w14:algn="ctr">
            <w14:noFill/>
            <w14:prstDash w14:val="solid"/>
            <w14:miter w14:lim="400000"/>
          </w14:textOutline>
        </w:rPr>
        <w:t>.</w:t>
      </w:r>
    </w:p>
    <w:p w14:paraId="73C11AC7" w14:textId="3AD7775C" w:rsidR="0056283A" w:rsidRPr="0056283A" w:rsidRDefault="00676DC1" w:rsidP="001A5EC7">
      <w:pPr>
        <w:pStyle w:val="Corpo"/>
        <w:spacing w:line="360" w:lineRule="auto"/>
        <w:ind w:firstLine="708"/>
        <w:jc w:val="both"/>
        <w:rPr>
          <w:color w:val="auto"/>
          <w:lang w:val="en-US"/>
          <w14:textOutline w14:w="12700" w14:cap="flat" w14:cmpd="sng" w14:algn="ctr">
            <w14:noFill/>
            <w14:prstDash w14:val="solid"/>
            <w14:miter w14:lim="400000"/>
          </w14:textOutline>
        </w:rPr>
      </w:pPr>
      <w:r w:rsidRPr="2C8BBEA1">
        <w:rPr>
          <w:lang w:val="en-US"/>
        </w:rPr>
        <w:t xml:space="preserve">No contexto histórico brasileiro, </w:t>
      </w:r>
      <w:r w:rsidR="00A91F52">
        <w:rPr>
          <w:lang w:val="en-US"/>
        </w:rPr>
        <w:t xml:space="preserve">no decorrer </w:t>
      </w:r>
      <w:r w:rsidRPr="2C8BBEA1">
        <w:rPr>
          <w:color w:val="auto"/>
          <w:lang w:val="en-US"/>
          <w14:textOutline w14:w="12700" w14:cap="flat" w14:cmpd="sng" w14:algn="ctr">
            <w14:noFill/>
            <w14:prstDash w14:val="solid"/>
            <w14:miter w14:lim="400000"/>
          </w14:textOutline>
        </w:rPr>
        <w:t>do século XIX, a imprensa passou por uma "explosão tipográfica" (</w:t>
      </w:r>
      <w:r w:rsidRPr="00267155">
        <w:rPr>
          <w:color w:val="auto"/>
          <w:lang w:val="en-US"/>
          <w14:textOutline w14:w="12700" w14:cap="flat" w14:cmpd="sng" w14:algn="ctr">
            <w14:noFill/>
            <w14:prstDash w14:val="solid"/>
            <w14:miter w14:lim="400000"/>
          </w14:textOutline>
        </w:rPr>
        <w:t>Navarro, 2019</w:t>
      </w:r>
      <w:r w:rsidR="005108CD" w:rsidRPr="00267155">
        <w:rPr>
          <w:color w:val="auto"/>
          <w:lang w:val="en-US"/>
          <w14:textOutline w14:w="12700" w14:cap="flat" w14:cmpd="sng" w14:algn="ctr">
            <w14:noFill/>
            <w14:prstDash w14:val="solid"/>
            <w14:miter w14:lim="400000"/>
          </w14:textOutline>
        </w:rPr>
        <w:t>, p.</w:t>
      </w:r>
      <w:r w:rsidR="00267155" w:rsidRPr="00267155">
        <w:rPr>
          <w:color w:val="auto"/>
          <w:lang w:val="en-US"/>
          <w14:textOutline w14:w="12700" w14:cap="flat" w14:cmpd="sng" w14:algn="ctr">
            <w14:noFill/>
            <w14:prstDash w14:val="solid"/>
            <w14:miter w14:lim="400000"/>
          </w14:textOutline>
        </w:rPr>
        <w:t xml:space="preserve"> 98</w:t>
      </w:r>
      <w:r w:rsidRPr="00267155">
        <w:rPr>
          <w:color w:val="auto"/>
          <w:lang w:val="en-US"/>
          <w14:textOutline w14:w="12700" w14:cap="flat" w14:cmpd="sng" w14:algn="ctr">
            <w14:noFill/>
            <w14:prstDash w14:val="solid"/>
            <w14:miter w14:lim="400000"/>
          </w14:textOutline>
        </w:rPr>
        <w:t>),</w:t>
      </w:r>
      <w:r w:rsidRPr="2C8BBEA1">
        <w:rPr>
          <w:color w:val="auto"/>
          <w:lang w:val="en-US"/>
          <w14:textOutline w14:w="12700" w14:cap="flat" w14:cmpd="sng" w14:algn="ctr">
            <w14:noFill/>
            <w14:prstDash w14:val="solid"/>
            <w14:miter w14:lim="400000"/>
          </w14:textOutline>
        </w:rPr>
        <w:t xml:space="preserve"> consolidando-se como espaço </w:t>
      </w:r>
      <w:r w:rsidR="001A51FF" w:rsidRPr="2C8BBEA1">
        <w:rPr>
          <w:color w:val="auto"/>
          <w:lang w:val="en-US"/>
          <w14:textOutline w14:w="12700" w14:cap="flat" w14:cmpd="sng" w14:algn="ctr">
            <w14:noFill/>
            <w14:prstDash w14:val="solid"/>
            <w14:miter w14:lim="400000"/>
          </w14:textOutline>
        </w:rPr>
        <w:t>central</w:t>
      </w:r>
      <w:r w:rsidRPr="2C8BBEA1">
        <w:rPr>
          <w:color w:val="auto"/>
          <w:lang w:val="en-US"/>
          <w14:textOutline w14:w="12700" w14:cap="flat" w14:cmpd="sng" w14:algn="ctr">
            <w14:noFill/>
            <w14:prstDash w14:val="solid"/>
            <w14:miter w14:lim="400000"/>
          </w14:textOutline>
        </w:rPr>
        <w:t xml:space="preserve"> de circulação de ideias</w:t>
      </w:r>
      <w:r w:rsidR="001A51FF" w:rsidRPr="2C8BBEA1">
        <w:rPr>
          <w:color w:val="auto"/>
          <w:lang w:val="en-US"/>
          <w14:textOutline w14:w="12700" w14:cap="flat" w14:cmpd="sng" w14:algn="ctr">
            <w14:noFill/>
            <w14:prstDash w14:val="solid"/>
            <w14:miter w14:lim="400000"/>
          </w14:textOutline>
        </w:rPr>
        <w:t xml:space="preserve"> e de formação da opinião pública</w:t>
      </w:r>
      <w:r w:rsidRPr="2C8BBEA1">
        <w:rPr>
          <w:color w:val="auto"/>
          <w:lang w:val="en-US"/>
          <w14:textOutline w14:w="12700" w14:cap="flat" w14:cmpd="sng" w14:algn="ctr">
            <w14:noFill/>
            <w14:prstDash w14:val="solid"/>
            <w14:miter w14:lim="400000"/>
          </w14:textOutline>
        </w:rPr>
        <w:t xml:space="preserve">. </w:t>
      </w:r>
      <w:r w:rsidR="0056283A" w:rsidRPr="2C8BBEA1">
        <w:rPr>
          <w:color w:val="auto"/>
          <w:lang w:val="en-US"/>
          <w14:textOutline w14:w="12700" w14:cap="flat" w14:cmpd="sng" w14:algn="ctr">
            <w14:noFill/>
            <w14:prstDash w14:val="solid"/>
            <w14:miter w14:lim="400000"/>
          </w14:textOutline>
        </w:rPr>
        <w:t xml:space="preserve">Entretanto, </w:t>
      </w:r>
      <w:r w:rsidR="007E5EC3" w:rsidRPr="2C8BBEA1">
        <w:rPr>
          <w:color w:val="auto"/>
          <w:lang w:val="en-US"/>
          <w14:textOutline w14:w="12700" w14:cap="flat" w14:cmpd="sng" w14:algn="ctr">
            <w14:noFill/>
            <w14:prstDash w14:val="solid"/>
            <w14:miter w14:lim="400000"/>
          </w14:textOutline>
        </w:rPr>
        <w:t>a alteração mais profunda passa a ocorre</w:t>
      </w:r>
      <w:r w:rsidR="004900DA" w:rsidRPr="2C8BBEA1">
        <w:rPr>
          <w:color w:val="auto"/>
          <w:lang w:val="en-US"/>
          <w14:textOutline w14:w="12700" w14:cap="flat" w14:cmpd="sng" w14:algn="ctr">
            <w14:noFill/>
            <w14:prstDash w14:val="solid"/>
            <w14:miter w14:lim="400000"/>
          </w14:textOutline>
        </w:rPr>
        <w:t>r</w:t>
      </w:r>
      <w:r w:rsidR="0056283A" w:rsidRPr="2C8BBEA1">
        <w:rPr>
          <w:color w:val="auto"/>
          <w:lang w:val="en-US"/>
          <w14:textOutline w14:w="12700" w14:cap="flat" w14:cmpd="sng" w14:algn="ctr">
            <w14:noFill/>
            <w14:prstDash w14:val="solid"/>
            <w14:miter w14:lim="400000"/>
          </w14:textOutline>
        </w:rPr>
        <w:t xml:space="preserve"> </w:t>
      </w:r>
      <w:r w:rsidR="007E5EC3" w:rsidRPr="2C8BBEA1">
        <w:rPr>
          <w:color w:val="auto"/>
          <w:lang w:val="en-US"/>
          <w14:textOutline w14:w="12700" w14:cap="flat" w14:cmpd="sng" w14:algn="ctr">
            <w14:noFill/>
            <w14:prstDash w14:val="solid"/>
            <w14:miter w14:lim="400000"/>
          </w14:textOutline>
        </w:rPr>
        <w:t>a</w:t>
      </w:r>
      <w:r w:rsidR="0056283A" w:rsidRPr="2C8BBEA1">
        <w:rPr>
          <w:color w:val="auto"/>
          <w:lang w:val="en-US"/>
          <w14:textOutline w14:w="12700" w14:cap="flat" w14:cmpd="sng" w14:algn="ctr">
            <w14:noFill/>
            <w14:prstDash w14:val="solid"/>
            <w14:miter w14:lim="400000"/>
          </w14:textOutline>
        </w:rPr>
        <w:t xml:space="preserve"> partir do final do século XX, </w:t>
      </w:r>
      <w:r w:rsidR="007E5EC3" w:rsidRPr="2C8BBEA1">
        <w:rPr>
          <w:color w:val="auto"/>
          <w:lang w:val="en-US"/>
          <w14:textOutline w14:w="12700" w14:cap="flat" w14:cmpd="sng" w14:algn="ctr">
            <w14:noFill/>
            <w14:prstDash w14:val="solid"/>
            <w14:miter w14:lim="400000"/>
          </w14:textOutline>
        </w:rPr>
        <w:t>em que</w:t>
      </w:r>
      <w:r w:rsidR="0056283A" w:rsidRPr="2C8BBEA1">
        <w:rPr>
          <w:color w:val="auto"/>
          <w:lang w:val="en-US"/>
          <w14:textOutline w14:w="12700" w14:cap="flat" w14:cmpd="sng" w14:algn="ctr">
            <w14:noFill/>
            <w14:prstDash w14:val="solid"/>
            <w14:miter w14:lim="400000"/>
          </w14:textOutline>
        </w:rPr>
        <w:t xml:space="preserve"> </w:t>
      </w:r>
      <w:r w:rsidR="00B07C15">
        <w:rPr>
          <w:color w:val="auto"/>
          <w:lang w:val="en-US"/>
          <w14:textOutline w14:w="12700" w14:cap="flat" w14:cmpd="sng" w14:algn="ctr">
            <w14:noFill/>
            <w14:prstDash w14:val="solid"/>
            <w14:miter w14:lim="400000"/>
          </w14:textOutline>
        </w:rPr>
        <w:t xml:space="preserve">os meios de </w:t>
      </w:r>
      <w:r w:rsidR="0056283A" w:rsidRPr="2C8BBEA1">
        <w:rPr>
          <w:color w:val="auto"/>
          <w:lang w:val="en-US"/>
          <w14:textOutline w14:w="12700" w14:cap="flat" w14:cmpd="sng" w14:algn="ctr">
            <w14:noFill/>
            <w14:prstDash w14:val="solid"/>
            <w14:miter w14:lim="400000"/>
          </w14:textOutline>
        </w:rPr>
        <w:t>comunicação passa</w:t>
      </w:r>
      <w:r w:rsidR="00B07C15">
        <w:rPr>
          <w:color w:val="auto"/>
          <w:lang w:val="en-US"/>
          <w14:textOutline w14:w="12700" w14:cap="flat" w14:cmpd="sng" w14:algn="ctr">
            <w14:noFill/>
            <w14:prstDash w14:val="solid"/>
            <w14:miter w14:lim="400000"/>
          </w14:textOutline>
        </w:rPr>
        <w:t>m</w:t>
      </w:r>
      <w:r w:rsidR="0056283A" w:rsidRPr="2C8BBEA1">
        <w:rPr>
          <w:color w:val="auto"/>
          <w:lang w:val="en-US"/>
          <w14:textOutline w14:w="12700" w14:cap="flat" w14:cmpd="sng" w14:algn="ctr">
            <w14:noFill/>
            <w14:prstDash w14:val="solid"/>
            <w14:miter w14:lim="400000"/>
          </w14:textOutline>
        </w:rPr>
        <w:t xml:space="preserve"> a operar em fluxos rápidos, contínuos e globalizados, transformando a informação em um recurso central da vida social (</w:t>
      </w:r>
      <w:r w:rsidR="0056283A" w:rsidRPr="00A50477">
        <w:rPr>
          <w:color w:val="auto"/>
          <w:lang w:val="en-US"/>
          <w14:textOutline w14:w="12700" w14:cap="flat" w14:cmpd="sng" w14:algn="ctr">
            <w14:noFill/>
            <w14:prstDash w14:val="solid"/>
            <w14:miter w14:lim="400000"/>
          </w14:textOutline>
        </w:rPr>
        <w:t>Castells, 2002</w:t>
      </w:r>
      <w:r w:rsidR="005108CD" w:rsidRPr="00A50477">
        <w:rPr>
          <w:color w:val="auto"/>
          <w:lang w:val="en-US"/>
          <w14:textOutline w14:w="12700" w14:cap="flat" w14:cmpd="sng" w14:algn="ctr">
            <w14:noFill/>
            <w14:prstDash w14:val="solid"/>
            <w14:miter w14:lim="400000"/>
          </w14:textOutline>
        </w:rPr>
        <w:t>, p</w:t>
      </w:r>
      <w:r w:rsidR="008D66BA" w:rsidRPr="00A50477">
        <w:rPr>
          <w:color w:val="auto"/>
          <w:lang w:val="en-US"/>
          <w14:textOutline w14:w="12700" w14:cap="flat" w14:cmpd="sng" w14:algn="ctr">
            <w14:noFill/>
            <w14:prstDash w14:val="solid"/>
            <w14:miter w14:lim="400000"/>
          </w14:textOutline>
        </w:rPr>
        <w:t>.</w:t>
      </w:r>
      <w:r w:rsidR="00A50477">
        <w:rPr>
          <w:color w:val="auto"/>
          <w:lang w:val="en-US"/>
          <w14:textOutline w14:w="12700" w14:cap="flat" w14:cmpd="sng" w14:algn="ctr">
            <w14:noFill/>
            <w14:prstDash w14:val="solid"/>
            <w14:miter w14:lim="400000"/>
          </w14:textOutline>
        </w:rPr>
        <w:t xml:space="preserve"> 413-422</w:t>
      </w:r>
      <w:r w:rsidR="0056283A" w:rsidRPr="2C8BBEA1">
        <w:rPr>
          <w:color w:val="auto"/>
          <w:lang w:val="en-US"/>
          <w14:textOutline w14:w="12700" w14:cap="flat" w14:cmpd="sng" w14:algn="ctr">
            <w14:noFill/>
            <w14:prstDash w14:val="solid"/>
            <w14:miter w14:lim="400000"/>
          </w14:textOutline>
        </w:rPr>
        <w:t xml:space="preserve">). </w:t>
      </w:r>
    </w:p>
    <w:p w14:paraId="1A1C467C" w14:textId="02EC666B" w:rsidR="00505860" w:rsidRDefault="00DF2A8E" w:rsidP="001A5EC7">
      <w:pPr>
        <w:pStyle w:val="Corpo"/>
        <w:spacing w:line="360" w:lineRule="auto"/>
        <w:ind w:firstLine="708"/>
        <w:jc w:val="both"/>
        <w:rPr>
          <w:color w:val="auto"/>
          <w:lang w:val="en-US"/>
          <w14:textOutline w14:w="12700" w14:cap="flat" w14:cmpd="sng" w14:algn="ctr">
            <w14:noFill/>
            <w14:prstDash w14:val="solid"/>
            <w14:miter w14:lim="400000"/>
          </w14:textOutline>
        </w:rPr>
      </w:pPr>
      <w:r w:rsidRPr="2C8BBEA1">
        <w:rPr>
          <w:color w:val="auto"/>
          <w:lang w:val="en-US"/>
          <w14:textOutline w14:w="12700" w14:cap="flat" w14:cmpd="sng" w14:algn="ctr">
            <w14:noFill/>
            <w14:prstDash w14:val="solid"/>
            <w14:miter w14:lim="400000"/>
          </w14:textOutline>
        </w:rPr>
        <w:t>É esse</w:t>
      </w:r>
      <w:r w:rsidR="00C96443" w:rsidRPr="2C8BBEA1">
        <w:rPr>
          <w:color w:val="auto"/>
          <w:lang w:val="en-US"/>
          <w14:textOutline w14:w="12700" w14:cap="flat" w14:cmpd="sng" w14:algn="ctr">
            <w14:noFill/>
            <w14:prstDash w14:val="solid"/>
            <w14:miter w14:lim="400000"/>
          </w14:textOutline>
        </w:rPr>
        <w:t xml:space="preserve"> cenário de</w:t>
      </w:r>
      <w:r w:rsidR="0056283A" w:rsidRPr="2C8BBEA1">
        <w:rPr>
          <w:color w:val="auto"/>
          <w:lang w:val="en-US"/>
          <w14:textOutline w14:w="12700" w14:cap="flat" w14:cmpd="sng" w14:algn="ctr">
            <w14:noFill/>
            <w14:prstDash w14:val="solid"/>
            <w14:miter w14:lim="400000"/>
          </w14:textOutline>
        </w:rPr>
        <w:t xml:space="preserve"> reorganização informacional</w:t>
      </w:r>
      <w:r w:rsidRPr="2C8BBEA1">
        <w:rPr>
          <w:color w:val="auto"/>
          <w:lang w:val="en-US"/>
          <w14:textOutline w14:w="12700" w14:cap="flat" w14:cmpd="sng" w14:algn="ctr">
            <w14:noFill/>
            <w14:prstDash w14:val="solid"/>
            <w14:miter w14:lim="400000"/>
          </w14:textOutline>
        </w:rPr>
        <w:t xml:space="preserve"> que </w:t>
      </w:r>
      <w:r w:rsidR="0056283A" w:rsidRPr="2C8BBEA1">
        <w:rPr>
          <w:color w:val="auto"/>
          <w:lang w:val="en-US"/>
          <w14:textOutline w14:w="12700" w14:cap="flat" w14:cmpd="sng" w14:algn="ctr">
            <w14:noFill/>
            <w14:prstDash w14:val="solid"/>
            <w14:miter w14:lim="400000"/>
          </w14:textOutline>
        </w:rPr>
        <w:t>favorece a concentração de poder n</w:t>
      </w:r>
      <w:r w:rsidR="000C4611">
        <w:rPr>
          <w:color w:val="auto"/>
          <w:lang w:val="en-US"/>
          <w14:textOutline w14:w="12700" w14:cap="flat" w14:cmpd="sng" w14:algn="ctr">
            <w14:noFill/>
            <w14:prstDash w14:val="solid"/>
            <w14:miter w14:lim="400000"/>
          </w14:textOutline>
        </w:rPr>
        <w:t>os mecanismos de comunicação</w:t>
      </w:r>
      <w:r w:rsidR="0056283A" w:rsidRPr="2C8BBEA1">
        <w:rPr>
          <w:color w:val="auto"/>
          <w:lang w:val="en-US"/>
          <w14:textOutline w14:w="12700" w14:cap="flat" w14:cmpd="sng" w14:algn="ctr">
            <w14:noFill/>
            <w14:prstDash w14:val="solid"/>
            <w14:miter w14:lim="400000"/>
          </w14:textOutline>
        </w:rPr>
        <w:t>, pois quem controla o fluxo de dados detém também a capacidade de estabelecer quais fatos serão destacados, quais permanecerão invisibilizados e de que maneira serão narrados. Assim, a seleção e o enquadramento da informação tornam-se instrumentos de definição da realidade social.</w:t>
      </w:r>
      <w:r w:rsidR="000C09B6" w:rsidRPr="2C8BBEA1">
        <w:rPr>
          <w:color w:val="auto"/>
          <w:lang w:val="en-US"/>
          <w14:textOutline w14:w="12700" w14:cap="flat" w14:cmpd="sng" w14:algn="ctr">
            <w14:noFill/>
            <w14:prstDash w14:val="solid"/>
            <w14:miter w14:lim="400000"/>
          </w14:textOutline>
        </w:rPr>
        <w:t xml:space="preserve"> </w:t>
      </w:r>
      <w:r w:rsidR="00DE2381" w:rsidRPr="2C8BBEA1">
        <w:rPr>
          <w:color w:val="auto"/>
          <w:lang w:val="en-US"/>
          <w14:textOutline w14:w="12700" w14:cap="flat" w14:cmpd="sng" w14:algn="ctr">
            <w14:noFill/>
            <w14:prstDash w14:val="solid"/>
            <w14:miter w14:lim="400000"/>
          </w14:textOutline>
        </w:rPr>
        <w:t>As tecnologias comunicacionais, nesse sentido, funcionam como extensões do próprio ser humano. McLuhan (2002, p. 69) explica que:</w:t>
      </w:r>
      <w:r w:rsidR="00CE3AF4" w:rsidRPr="2C8BBEA1">
        <w:rPr>
          <w:color w:val="auto"/>
          <w:lang w:val="en-US"/>
          <w14:textOutline w14:w="12700" w14:cap="flat" w14:cmpd="sng" w14:algn="ctr">
            <w14:noFill/>
            <w14:prstDash w14:val="solid"/>
            <w14:miter w14:lim="400000"/>
          </w14:textOutline>
        </w:rPr>
        <w:t xml:space="preserve"> “</w:t>
      </w:r>
      <w:r w:rsidR="00DE2381" w:rsidRPr="2C8BBEA1">
        <w:rPr>
          <w:color w:val="auto"/>
          <w:lang w:val="en-US"/>
          <w14:textOutline w14:w="12700" w14:cap="flat" w14:cmpd="sng" w14:algn="ctr">
            <w14:noFill/>
            <w14:prstDash w14:val="solid"/>
            <w14:miter w14:lim="400000"/>
          </w14:textOutline>
        </w:rPr>
        <w:t>As consequências sociais e pessoais de qualquer meio — ou seja, de qualquer uma das extensões de nós mesmos — constituem o resultado do novo estalão introduzido em nossas vidas por uma nova tecnologia ou extensão de nós mesmos.</w:t>
      </w:r>
      <w:r w:rsidR="00CE3AF4" w:rsidRPr="2C8BBEA1">
        <w:rPr>
          <w:color w:val="auto"/>
          <w:lang w:val="en-US"/>
          <w14:textOutline w14:w="12700" w14:cap="flat" w14:cmpd="sng" w14:algn="ctr">
            <w14:noFill/>
            <w14:prstDash w14:val="solid"/>
            <w14:miter w14:lim="400000"/>
          </w14:textOutline>
        </w:rPr>
        <w:t>”</w:t>
      </w:r>
    </w:p>
    <w:p w14:paraId="244ECADA" w14:textId="76A93795" w:rsidR="00DE2381" w:rsidRPr="0056283A" w:rsidRDefault="00E62290" w:rsidP="001A5EC7">
      <w:pPr>
        <w:pStyle w:val="Corpo"/>
        <w:spacing w:line="360" w:lineRule="auto"/>
        <w:ind w:firstLine="708"/>
        <w:jc w:val="both"/>
        <w:rPr>
          <w:color w:val="auto"/>
          <w:lang w:val="en-US"/>
          <w14:textOutline w14:w="12700" w14:cap="flat" w14:cmpd="sng" w14:algn="ctr">
            <w14:noFill/>
            <w14:prstDash w14:val="solid"/>
            <w14:miter w14:lim="400000"/>
          </w14:textOutline>
        </w:rPr>
      </w:pPr>
      <w:r w:rsidRPr="2C8BBEA1">
        <w:rPr>
          <w:color w:val="auto"/>
          <w:lang w:val="en-US"/>
          <w14:textOutline w14:w="12700" w14:cap="flat" w14:cmpd="sng" w14:algn="ctr">
            <w14:noFill/>
            <w14:prstDash w14:val="solid"/>
            <w14:miter w14:lim="400000"/>
          </w14:textOutline>
        </w:rPr>
        <w:t xml:space="preserve">Ainda reforça </w:t>
      </w:r>
      <w:r w:rsidR="00DE2381" w:rsidRPr="2C8BBEA1">
        <w:rPr>
          <w:color w:val="auto"/>
          <w:lang w:val="en-US"/>
          <w14:textOutline w14:w="12700" w14:cap="flat" w14:cmpd="sng" w14:algn="ctr">
            <w14:noFill/>
            <w14:prstDash w14:val="solid"/>
            <w14:miter w14:lim="400000"/>
          </w14:textOutline>
        </w:rPr>
        <w:t>McLuhan (</w:t>
      </w:r>
      <w:r w:rsidR="00DE2381" w:rsidRPr="009D58C2">
        <w:rPr>
          <w:color w:val="auto"/>
          <w:lang w:val="en-US"/>
          <w14:textOutline w14:w="12700" w14:cap="flat" w14:cmpd="sng" w14:algn="ctr">
            <w14:noFill/>
            <w14:prstDash w14:val="solid"/>
            <w14:miter w14:lim="400000"/>
          </w14:textOutline>
        </w:rPr>
        <w:t>2002</w:t>
      </w:r>
      <w:r w:rsidR="008D66BA" w:rsidRPr="009D58C2">
        <w:rPr>
          <w:color w:val="auto"/>
          <w:lang w:val="en-US"/>
          <w14:textOutline w14:w="12700" w14:cap="flat" w14:cmpd="sng" w14:algn="ctr">
            <w14:noFill/>
            <w14:prstDash w14:val="solid"/>
            <w14:miter w14:lim="400000"/>
          </w14:textOutline>
        </w:rPr>
        <w:t>, p.</w:t>
      </w:r>
      <w:r w:rsidR="009D58C2">
        <w:rPr>
          <w:color w:val="auto"/>
          <w:lang w:val="en-US"/>
          <w14:textOutline w14:w="12700" w14:cap="flat" w14:cmpd="sng" w14:algn="ctr">
            <w14:noFill/>
            <w14:prstDash w14:val="solid"/>
            <w14:miter w14:lim="400000"/>
          </w14:textOutline>
        </w:rPr>
        <w:t xml:space="preserve"> 14</w:t>
      </w:r>
      <w:r w:rsidR="00DE2381" w:rsidRPr="2C8BBEA1">
        <w:rPr>
          <w:color w:val="auto"/>
          <w:lang w:val="en-US"/>
          <w14:textOutline w14:w="12700" w14:cap="flat" w14:cmpd="sng" w14:algn="ctr">
            <w14:noFill/>
            <w14:prstDash w14:val="solid"/>
            <w14:miter w14:lim="400000"/>
          </w14:textOutline>
        </w:rPr>
        <w:t xml:space="preserve">) que o conteúdo </w:t>
      </w:r>
      <w:r w:rsidR="00394608">
        <w:rPr>
          <w:color w:val="auto"/>
          <w:lang w:val="en-US"/>
          <w14:textOutline w14:w="12700" w14:cap="flat" w14:cmpd="sng" w14:algn="ctr">
            <w14:noFill/>
            <w14:prstDash w14:val="solid"/>
            <w14:miter w14:lim="400000"/>
          </w14:textOutline>
        </w:rPr>
        <w:t>opera</w:t>
      </w:r>
      <w:r w:rsidR="00DE2381" w:rsidRPr="2C8BBEA1">
        <w:rPr>
          <w:color w:val="auto"/>
          <w:lang w:val="en-US"/>
          <w14:textOutline w14:w="12700" w14:cap="flat" w14:cmpd="sng" w14:algn="ctr">
            <w14:noFill/>
            <w14:prstDash w14:val="solid"/>
            <w14:miter w14:lim="400000"/>
          </w14:textOutline>
        </w:rPr>
        <w:t xml:space="preserve"> como uma "isca" que distrai o público dos verdadeiros efeitos do meio. Isso sugere que a influência midiática se dá menos pelo que é transmitido e mais pela forma como a transmissão é realizada</w:t>
      </w:r>
      <w:r w:rsidR="00755BF4" w:rsidRPr="2C8BBEA1">
        <w:rPr>
          <w:color w:val="auto"/>
          <w:lang w:val="en-US"/>
          <w14:textOutline w14:w="12700" w14:cap="flat" w14:cmpd="sng" w14:algn="ctr">
            <w14:noFill/>
            <w14:prstDash w14:val="solid"/>
            <w14:miter w14:lim="400000"/>
          </w14:textOutline>
        </w:rPr>
        <w:t xml:space="preserve">, </w:t>
      </w:r>
      <w:r w:rsidR="00DE2381" w:rsidRPr="2C8BBEA1">
        <w:rPr>
          <w:color w:val="auto"/>
          <w:lang w:val="en-US"/>
          <w14:textOutline w14:w="12700" w14:cap="flat" w14:cmpd="sng" w14:algn="ctr">
            <w14:noFill/>
            <w14:prstDash w14:val="solid"/>
            <w14:miter w14:lim="400000"/>
          </w14:textOutline>
        </w:rPr>
        <w:t>informações que são selecionadas, tratadas e filtradas. A informação, rápida e constante, passa a ser um instrumento de poder social, pois aqueles que controlam sua produção, distribuição e enquadramento têm a capacidade de moldar percepçõe</w:t>
      </w:r>
      <w:r w:rsidR="008114F3" w:rsidRPr="2C8BBEA1">
        <w:rPr>
          <w:color w:val="auto"/>
          <w:lang w:val="en-US"/>
          <w14:textOutline w14:w="12700" w14:cap="flat" w14:cmpd="sng" w14:algn="ctr">
            <w14:noFill/>
            <w14:prstDash w14:val="solid"/>
            <w14:miter w14:lim="400000"/>
          </w14:textOutline>
        </w:rPr>
        <w:t>s</w:t>
      </w:r>
      <w:r w:rsidR="00DE2381" w:rsidRPr="2C8BBEA1">
        <w:rPr>
          <w:color w:val="auto"/>
          <w:lang w:val="en-US"/>
          <w14:textOutline w14:w="12700" w14:cap="flat" w14:cmpd="sng" w14:algn="ctr">
            <w14:noFill/>
            <w14:prstDash w14:val="solid"/>
            <w14:miter w14:lim="400000"/>
          </w14:textOutline>
        </w:rPr>
        <w:t xml:space="preserve">, funcionando como agente ativo de controle social. </w:t>
      </w:r>
    </w:p>
    <w:p w14:paraId="5E8E1580" w14:textId="4B1FB4DF" w:rsidR="00427A82" w:rsidRDefault="008F4BD1" w:rsidP="001A5EC7">
      <w:pPr>
        <w:pStyle w:val="Corpo"/>
        <w:spacing w:line="360" w:lineRule="auto"/>
        <w:ind w:firstLine="708"/>
        <w:jc w:val="both"/>
        <w:rPr>
          <w:color w:val="auto"/>
          <w:lang w:val="en-US"/>
          <w14:textOutline w14:w="12700" w14:cap="flat" w14:cmpd="sng" w14:algn="ctr">
            <w14:noFill/>
            <w14:prstDash w14:val="solid"/>
            <w14:miter w14:lim="400000"/>
          </w14:textOutline>
        </w:rPr>
      </w:pPr>
      <w:r w:rsidRPr="008F4BD1">
        <w:rPr>
          <w:color w:val="auto"/>
          <w:lang w:val="en-US"/>
          <w14:textOutline w14:w="12700" w14:cap="flat" w14:cmpd="sng" w14:algn="ctr">
            <w14:noFill/>
            <w14:prstDash w14:val="solid"/>
            <w14:miter w14:lim="400000"/>
          </w14:textOutline>
        </w:rPr>
        <w:t>Nesse contexto, a compreensão dos mecanismos de controle da conduta social mostra-se fundamental para identificar o papel desempenhado pela mídia na sociedade e, consequentemente, compreender sua influência no contexto jurídico. O controle social pode ser entendido como o conjunto de mecanismos destinados à organização, orientação e regulamentação da vida em sociedade.</w:t>
      </w:r>
      <w:r>
        <w:rPr>
          <w:color w:val="auto"/>
          <w:lang w:val="en-US"/>
          <w14:textOutline w14:w="12700" w14:cap="flat" w14:cmpd="sng" w14:algn="ctr">
            <w14:noFill/>
            <w14:prstDash w14:val="solid"/>
            <w14:miter w14:lim="400000"/>
          </w14:textOutline>
        </w:rPr>
        <w:t xml:space="preserve"> </w:t>
      </w:r>
      <w:r w:rsidR="00427A82" w:rsidRPr="2C8BBEA1">
        <w:rPr>
          <w:color w:val="auto"/>
          <w:lang w:val="en-US"/>
          <w14:textOutline w14:w="12700" w14:cap="flat" w14:cmpd="sng" w14:algn="ctr">
            <w14:noFill/>
            <w14:prstDash w14:val="solid"/>
            <w14:miter w14:lim="400000"/>
          </w14:textOutline>
        </w:rPr>
        <w:t xml:space="preserve">Essa ordenação </w:t>
      </w:r>
      <w:r w:rsidR="003617B8" w:rsidRPr="2C8BBEA1">
        <w:rPr>
          <w:color w:val="auto"/>
          <w:lang w:val="en-US"/>
          <w14:textOutline w14:w="12700" w14:cap="flat" w14:cmpd="sng" w14:algn="ctr">
            <w14:noFill/>
            <w14:prstDash w14:val="solid"/>
            <w14:miter w14:lim="400000"/>
          </w14:textOutline>
        </w:rPr>
        <w:t xml:space="preserve">pode </w:t>
      </w:r>
      <w:r w:rsidR="00427A82" w:rsidRPr="2C8BBEA1">
        <w:rPr>
          <w:color w:val="auto"/>
          <w:lang w:val="en-US"/>
          <w14:textOutline w14:w="12700" w14:cap="flat" w14:cmpd="sng" w14:algn="ctr">
            <w14:noFill/>
            <w14:prstDash w14:val="solid"/>
            <w14:miter w14:lim="400000"/>
          </w14:textOutline>
        </w:rPr>
        <w:t>se manifesta</w:t>
      </w:r>
      <w:r w:rsidR="003617B8" w:rsidRPr="2C8BBEA1">
        <w:rPr>
          <w:color w:val="auto"/>
          <w:lang w:val="en-US"/>
          <w14:textOutline w14:w="12700" w14:cap="flat" w14:cmpd="sng" w14:algn="ctr">
            <w14:noFill/>
            <w14:prstDash w14:val="solid"/>
            <w14:miter w14:lim="400000"/>
          </w14:textOutline>
        </w:rPr>
        <w:t>r</w:t>
      </w:r>
      <w:r w:rsidR="00427A82" w:rsidRPr="2C8BBEA1">
        <w:rPr>
          <w:color w:val="auto"/>
          <w:lang w:val="en-US"/>
          <w14:textOutline w14:w="12700" w14:cap="flat" w14:cmpd="sng" w14:algn="ctr">
            <w14:noFill/>
            <w14:prstDash w14:val="solid"/>
            <w14:miter w14:lim="400000"/>
          </w14:textOutline>
        </w:rPr>
        <w:t xml:space="preserve"> </w:t>
      </w:r>
      <w:r w:rsidR="003617B8" w:rsidRPr="2C8BBEA1">
        <w:rPr>
          <w:color w:val="auto"/>
          <w:lang w:val="en-US"/>
          <w14:textOutline w14:w="12700" w14:cap="flat" w14:cmpd="sng" w14:algn="ctr">
            <w14:noFill/>
            <w14:prstDash w14:val="solid"/>
            <w14:miter w14:lim="400000"/>
          </w14:textOutline>
        </w:rPr>
        <w:t>de forma</w:t>
      </w:r>
      <w:r w:rsidR="00427A82" w:rsidRPr="2C8BBEA1">
        <w:rPr>
          <w:color w:val="auto"/>
          <w:lang w:val="en-US"/>
          <w14:textOutline w14:w="12700" w14:cap="flat" w14:cmpd="sng" w14:algn="ctr">
            <w14:noFill/>
            <w14:prstDash w14:val="solid"/>
            <w14:miter w14:lim="400000"/>
          </w14:textOutline>
        </w:rPr>
        <w:t xml:space="preserve"> formal, que é a institucionalização por meio de leis e regulamentações</w:t>
      </w:r>
      <w:r w:rsidR="00777F60" w:rsidRPr="2C8BBEA1">
        <w:rPr>
          <w:color w:val="auto"/>
          <w:lang w:val="en-US"/>
          <w14:textOutline w14:w="12700" w14:cap="flat" w14:cmpd="sng" w14:algn="ctr">
            <w14:noFill/>
            <w14:prstDash w14:val="solid"/>
            <w14:miter w14:lim="400000"/>
          </w14:textOutline>
        </w:rPr>
        <w:t xml:space="preserve"> </w:t>
      </w:r>
      <w:r w:rsidR="00EB2136" w:rsidRPr="2C8BBEA1">
        <w:rPr>
          <w:color w:val="auto"/>
          <w:lang w:val="en-US"/>
          <w14:textOutline w14:w="12700" w14:cap="flat" w14:cmpd="sng" w14:algn="ctr">
            <w14:noFill/>
            <w14:prstDash w14:val="solid"/>
            <w14:miter w14:lim="400000"/>
          </w14:textOutline>
        </w:rPr>
        <w:t xml:space="preserve">cuja violação resulta em sanções normatizadas, informal, que </w:t>
      </w:r>
      <w:r w:rsidR="00C27B55" w:rsidRPr="2C8BBEA1">
        <w:rPr>
          <w:color w:val="auto"/>
          <w:lang w:val="en-US"/>
          <w14:textOutline w14:w="12700" w14:cap="flat" w14:cmpd="sng" w14:algn="ctr">
            <w14:noFill/>
            <w14:prstDash w14:val="solid"/>
            <w14:miter w14:lim="400000"/>
          </w14:textOutline>
        </w:rPr>
        <w:t xml:space="preserve">está diretamente relacionado à vida social </w:t>
      </w:r>
      <w:r w:rsidR="00EB2136" w:rsidRPr="2C8BBEA1">
        <w:rPr>
          <w:color w:val="auto"/>
          <w:lang w:val="en-US"/>
          <w14:textOutline w14:w="12700" w14:cap="flat" w14:cmpd="sng" w14:algn="ctr">
            <w14:noFill/>
            <w14:prstDash w14:val="solid"/>
            <w14:miter w14:lim="400000"/>
          </w14:textOutline>
        </w:rPr>
        <w:t>e</w:t>
      </w:r>
      <w:r w:rsidR="00C27B55" w:rsidRPr="2C8BBEA1">
        <w:rPr>
          <w:color w:val="auto"/>
          <w:lang w:val="en-US"/>
          <w14:textOutline w14:w="12700" w14:cap="flat" w14:cmpd="sng" w14:algn="ctr">
            <w14:noFill/>
            <w14:prstDash w14:val="solid"/>
            <w14:miter w14:lim="400000"/>
          </w14:textOutline>
        </w:rPr>
        <w:t xml:space="preserve"> se</w:t>
      </w:r>
      <w:r w:rsidR="00EB2136" w:rsidRPr="2C8BBEA1">
        <w:rPr>
          <w:color w:val="auto"/>
          <w:lang w:val="en-US"/>
          <w14:textOutline w14:w="12700" w14:cap="flat" w14:cmpd="sng" w14:algn="ctr">
            <w14:noFill/>
            <w14:prstDash w14:val="solid"/>
            <w14:miter w14:lim="400000"/>
          </w14:textOutline>
        </w:rPr>
        <w:t xml:space="preserve"> estabelece através de valores, moral e padrões culturais</w:t>
      </w:r>
      <w:r w:rsidR="00194763" w:rsidRPr="2C8BBEA1">
        <w:rPr>
          <w:color w:val="auto"/>
          <w:lang w:val="en-US"/>
          <w14:textOutline w14:w="12700" w14:cap="flat" w14:cmpd="sng" w14:algn="ctr">
            <w14:noFill/>
            <w14:prstDash w14:val="solid"/>
            <w14:miter w14:lim="400000"/>
          </w14:textOutline>
        </w:rPr>
        <w:t>, institucional</w:t>
      </w:r>
      <w:r w:rsidR="005431FF" w:rsidRPr="2C8BBEA1">
        <w:rPr>
          <w:color w:val="auto"/>
          <w:lang w:val="en-US"/>
          <w14:textOutline w14:w="12700" w14:cap="flat" w14:cmpd="sng" w14:algn="ctr">
            <w14:noFill/>
            <w14:prstDash w14:val="solid"/>
            <w14:miter w14:lim="400000"/>
          </w14:textOutline>
        </w:rPr>
        <w:t xml:space="preserve">, que refere-se aos mecanismos exercidos pelo Estado e </w:t>
      </w:r>
      <w:r w:rsidR="000B3BB5" w:rsidRPr="2C8BBEA1">
        <w:rPr>
          <w:color w:val="auto"/>
          <w:lang w:val="en-US"/>
          <w14:textOutline w14:w="12700" w14:cap="flat" w14:cmpd="sng" w14:algn="ctr">
            <w14:noFill/>
            <w14:prstDash w14:val="solid"/>
            <w14:miter w14:lim="400000"/>
          </w14:textOutline>
        </w:rPr>
        <w:t xml:space="preserve">seus entes </w:t>
      </w:r>
      <w:r w:rsidR="005431FF" w:rsidRPr="2C8BBEA1">
        <w:rPr>
          <w:color w:val="auto"/>
          <w:lang w:val="en-US"/>
          <w14:textOutline w14:w="12700" w14:cap="flat" w14:cmpd="sng" w14:algn="ctr">
            <w14:noFill/>
            <w14:prstDash w14:val="solid"/>
            <w14:miter w14:lim="400000"/>
          </w14:textOutline>
        </w:rPr>
        <w:t>formais para fiscalizar</w:t>
      </w:r>
      <w:r w:rsidR="000B3BB5" w:rsidRPr="2C8BBEA1">
        <w:rPr>
          <w:color w:val="auto"/>
          <w:lang w:val="en-US"/>
          <w14:textOutline w14:w="12700" w14:cap="flat" w14:cmpd="sng" w14:algn="ctr">
            <w14:noFill/>
            <w14:prstDash w14:val="solid"/>
            <w14:miter w14:lim="400000"/>
          </w14:textOutline>
        </w:rPr>
        <w:t xml:space="preserve"> e garantir a ordem pública ou difuso, que representa </w:t>
      </w:r>
      <w:r w:rsidR="00544013" w:rsidRPr="2C8BBEA1">
        <w:rPr>
          <w:color w:val="auto"/>
          <w:lang w:val="en-US"/>
          <w14:textOutline w14:w="12700" w14:cap="flat" w14:cmpd="sng" w14:algn="ctr">
            <w14:noFill/>
            <w14:prstDash w14:val="solid"/>
            <w14:miter w14:lim="400000"/>
          </w14:textOutline>
        </w:rPr>
        <w:t>as relações interpessoais e cotidianas, ou seja, que ocorrem fora do aparato estatal.</w:t>
      </w:r>
    </w:p>
    <w:p w14:paraId="05A4C2B9" w14:textId="7128DBBB" w:rsidR="00FD5922" w:rsidRDefault="003E0D04" w:rsidP="001A5EC7">
      <w:pPr>
        <w:pStyle w:val="Corpo"/>
        <w:spacing w:line="360" w:lineRule="auto"/>
        <w:ind w:firstLine="708"/>
        <w:jc w:val="both"/>
        <w:rPr>
          <w:color w:val="auto"/>
          <w:lang w:val="en-US"/>
          <w14:textOutline w14:w="12700" w14:cap="flat" w14:cmpd="sng" w14:algn="ctr">
            <w14:noFill/>
            <w14:prstDash w14:val="solid"/>
            <w14:miter w14:lim="400000"/>
          </w14:textOutline>
        </w:rPr>
      </w:pPr>
      <w:r w:rsidRPr="2C8BBEA1">
        <w:rPr>
          <w:color w:val="auto"/>
          <w:lang w:val="en-US"/>
          <w14:textOutline w14:w="12700" w14:cap="flat" w14:cmpd="sng" w14:algn="ctr">
            <w14:noFill/>
            <w14:prstDash w14:val="solid"/>
            <w14:miter w14:lim="400000"/>
          </w14:textOutline>
        </w:rPr>
        <w:t>A mídia, nesse contexto, se insere como um poderoso dispositivo de controle social informal</w:t>
      </w:r>
      <w:r w:rsidR="00E27F36" w:rsidRPr="2C8BBEA1">
        <w:rPr>
          <w:color w:val="auto"/>
          <w:lang w:val="en-US"/>
          <w14:textOutline w14:w="12700" w14:cap="flat" w14:cmpd="sng" w14:algn="ctr">
            <w14:noFill/>
            <w14:prstDash w14:val="solid"/>
            <w14:miter w14:lim="400000"/>
          </w14:textOutline>
        </w:rPr>
        <w:t xml:space="preserve"> e difuso</w:t>
      </w:r>
      <w:r w:rsidRPr="2C8BBEA1">
        <w:rPr>
          <w:color w:val="auto"/>
          <w:lang w:val="en-US"/>
          <w14:textOutline w14:w="12700" w14:cap="flat" w14:cmpd="sng" w14:algn="ctr">
            <w14:noFill/>
            <w14:prstDash w14:val="solid"/>
            <w14:miter w14:lim="400000"/>
          </w14:textOutline>
        </w:rPr>
        <w:t>, atuando ao lado de insti</w:t>
      </w:r>
      <w:r w:rsidR="005237AF" w:rsidRPr="2C8BBEA1">
        <w:rPr>
          <w:color w:val="auto"/>
          <w:lang w:val="en-US"/>
          <w14:textOutline w14:w="12700" w14:cap="flat" w14:cmpd="sng" w14:algn="ctr">
            <w14:noFill/>
            <w14:prstDash w14:val="solid"/>
            <w14:miter w14:lim="400000"/>
          </w14:textOutline>
        </w:rPr>
        <w:t>tuições como a família, a escola e a igreja. Sua função vai além da transmissão de informação, pois ela atua como uma dimensão que conduz o modo de agir, pensar e se comportar dos indivíduos.</w:t>
      </w:r>
      <w:r w:rsidR="00A91B43" w:rsidRPr="2C8BBEA1">
        <w:rPr>
          <w:color w:val="auto"/>
          <w:lang w:val="en-US"/>
          <w14:textOutline w14:w="12700" w14:cap="flat" w14:cmpd="sng" w14:algn="ctr">
            <w14:noFill/>
            <w14:prstDash w14:val="solid"/>
            <w14:miter w14:lim="400000"/>
          </w14:textOutline>
        </w:rPr>
        <w:t xml:space="preserve"> Sendo esse processo difuso de construção de sentidos fundamental para a sua configuração como "Quarto Poder"</w:t>
      </w:r>
      <w:r w:rsidR="009C057A" w:rsidRPr="2C8BBEA1">
        <w:rPr>
          <w:color w:val="auto"/>
          <w:lang w:val="en-US"/>
          <w14:textOutline w14:w="12700" w14:cap="flat" w14:cmpd="sng" w14:algn="ctr">
            <w14:noFill/>
            <w14:prstDash w14:val="solid"/>
            <w14:miter w14:lim="400000"/>
          </w14:textOutline>
        </w:rPr>
        <w:t>.</w:t>
      </w:r>
    </w:p>
    <w:p w14:paraId="24D94292" w14:textId="31DEC892" w:rsidR="00505860" w:rsidRDefault="001D5681" w:rsidP="001A5EC7">
      <w:pPr>
        <w:pStyle w:val="Corpo"/>
        <w:spacing w:line="360" w:lineRule="auto"/>
        <w:ind w:firstLine="708"/>
        <w:jc w:val="both"/>
        <w:rPr>
          <w:color w:val="auto"/>
          <w:lang w:val="en-US"/>
          <w14:textOutline w14:w="12700" w14:cap="flat" w14:cmpd="sng" w14:algn="ctr">
            <w14:noFill/>
            <w14:prstDash w14:val="solid"/>
            <w14:miter w14:lim="400000"/>
          </w14:textOutline>
        </w:rPr>
      </w:pPr>
      <w:r w:rsidRPr="2C8BBEA1">
        <w:rPr>
          <w:color w:val="auto"/>
          <w:lang w:val="en-US"/>
          <w14:textOutline w14:w="12700" w14:cap="flat" w14:cmpd="sng" w14:algn="ctr">
            <w14:noFill/>
            <w14:prstDash w14:val="solid"/>
            <w14:miter w14:lim="400000"/>
          </w14:textOutline>
        </w:rPr>
        <w:t xml:space="preserve">A </w:t>
      </w:r>
      <w:r w:rsidR="00FA2D84" w:rsidRPr="2C8BBEA1">
        <w:rPr>
          <w:color w:val="auto"/>
          <w:lang w:val="en-US"/>
          <w14:textOutline w14:w="12700" w14:cap="flat" w14:cmpd="sng" w14:algn="ctr">
            <w14:noFill/>
            <w14:prstDash w14:val="solid"/>
            <w14:miter w14:lim="400000"/>
          </w14:textOutline>
        </w:rPr>
        <w:t xml:space="preserve">crítica teórica é essencial para compreender esse fenômeno. A </w:t>
      </w:r>
      <w:r w:rsidR="001836A4" w:rsidRPr="2C8BBEA1">
        <w:rPr>
          <w:color w:val="auto"/>
          <w:lang w:val="en-US"/>
          <w14:textOutline w14:w="12700" w14:cap="flat" w14:cmpd="sng" w14:algn="ctr">
            <w14:noFill/>
            <w14:prstDash w14:val="solid"/>
            <w14:miter w14:lim="400000"/>
          </w14:textOutline>
        </w:rPr>
        <w:t>leitura</w:t>
      </w:r>
      <w:r w:rsidRPr="2C8BBEA1">
        <w:rPr>
          <w:color w:val="auto"/>
          <w:lang w:val="en-US"/>
          <w14:textOutline w14:w="12700" w14:cap="flat" w14:cmpd="sng" w14:algn="ctr">
            <w14:noFill/>
            <w14:prstDash w14:val="solid"/>
            <w14:miter w14:lim="400000"/>
          </w14:textOutline>
        </w:rPr>
        <w:t xml:space="preserve"> de McLuhan </w:t>
      </w:r>
      <w:r w:rsidR="001836A4" w:rsidRPr="2C8BBEA1">
        <w:rPr>
          <w:color w:val="auto"/>
          <w:lang w:val="en-US"/>
          <w14:textOutline w14:w="12700" w14:cap="flat" w14:cmpd="sng" w14:algn="ctr">
            <w14:noFill/>
            <w14:prstDash w14:val="solid"/>
            <w14:miter w14:lim="400000"/>
          </w14:textOutline>
        </w:rPr>
        <w:t>dialoga diretamente e é</w:t>
      </w:r>
      <w:r w:rsidRPr="2C8BBEA1">
        <w:rPr>
          <w:color w:val="auto"/>
          <w:lang w:val="en-US"/>
          <w14:textOutline w14:w="12700" w14:cap="flat" w14:cmpd="sng" w14:algn="ctr">
            <w14:noFill/>
            <w14:prstDash w14:val="solid"/>
            <w14:miter w14:lim="400000"/>
          </w14:textOutline>
        </w:rPr>
        <w:t xml:space="preserve"> aprofundada por Guy Debord</w:t>
      </w:r>
      <w:r w:rsidR="00ED79EE" w:rsidRPr="2C8BBEA1">
        <w:rPr>
          <w:color w:val="auto"/>
          <w:lang w:val="en-US"/>
          <w14:textOutline w14:w="12700" w14:cap="flat" w14:cmpd="sng" w14:algn="ctr">
            <w14:noFill/>
            <w14:prstDash w14:val="solid"/>
            <w14:miter w14:lim="400000"/>
          </w14:textOutline>
        </w:rPr>
        <w:t xml:space="preserve">, </w:t>
      </w:r>
      <w:r w:rsidR="00FA2D84" w:rsidRPr="2C8BBEA1">
        <w:rPr>
          <w:color w:val="auto"/>
          <w:lang w:val="en-US"/>
          <w14:textOutline w14:w="12700" w14:cap="flat" w14:cmpd="sng" w14:algn="ctr">
            <w14:noFill/>
            <w14:prstDash w14:val="solid"/>
            <w14:miter w14:lim="400000"/>
          </w14:textOutline>
        </w:rPr>
        <w:t xml:space="preserve">se o primeiro demonstra que o meio molda percepções, o segundo evidencia como essas percepções </w:t>
      </w:r>
      <w:r w:rsidR="00056C22" w:rsidRPr="2C8BBEA1">
        <w:rPr>
          <w:color w:val="auto"/>
          <w:lang w:val="en-US"/>
          <w14:textOutline w14:w="12700" w14:cap="flat" w14:cmpd="sng" w14:algn="ctr">
            <w14:noFill/>
            <w14:prstDash w14:val="solid"/>
            <w14:miter w14:lim="400000"/>
          </w14:textOutline>
        </w:rPr>
        <w:t xml:space="preserve">moldadas </w:t>
      </w:r>
      <w:r w:rsidR="00ED79EE" w:rsidRPr="2C8BBEA1">
        <w:rPr>
          <w:color w:val="auto"/>
          <w:lang w:val="en-US"/>
          <w14:textOutline w14:w="12700" w14:cap="flat" w14:cmpd="sng" w14:algn="ctr">
            <w14:noFill/>
            <w14:prstDash w14:val="solid"/>
            <w14:miter w14:lim="400000"/>
          </w14:textOutline>
        </w:rPr>
        <w:t>transformam-se</w:t>
      </w:r>
      <w:r w:rsidR="00056C22" w:rsidRPr="2C8BBEA1">
        <w:rPr>
          <w:color w:val="auto"/>
          <w:lang w:val="en-US"/>
          <w14:textOutline w14:w="12700" w14:cap="flat" w14:cmpd="sng" w14:algn="ctr">
            <w14:noFill/>
            <w14:prstDash w14:val="solid"/>
            <w14:miter w14:lim="400000"/>
          </w14:textOutline>
        </w:rPr>
        <w:t xml:space="preserve"> em espetáculo. Debord </w:t>
      </w:r>
      <w:r w:rsidRPr="2C8BBEA1">
        <w:rPr>
          <w:color w:val="auto"/>
          <w:lang w:val="en-US"/>
          <w14:textOutline w14:w="12700" w14:cap="flat" w14:cmpd="sng" w14:algn="ctr">
            <w14:noFill/>
            <w14:prstDash w14:val="solid"/>
            <w14:miter w14:lim="400000"/>
          </w14:textOutline>
        </w:rPr>
        <w:t xml:space="preserve">afirma que, na sociedade contemporânea, a realidade é constantemente convertida em espetáculo, e o espetáculo, por sua vez, molda o modo como a realidade é compreendida. Nessa dinâmica, o que aparece nos meios de comunicação adquire força de verdade, mesmo que seja filtrado, editado ou distorcido. Segundo Debord (1997, p. 16): </w:t>
      </w:r>
      <w:r w:rsidR="00505860" w:rsidRPr="2C8BBEA1">
        <w:rPr>
          <w:color w:val="auto"/>
          <w:lang w:val="en-US"/>
          <w14:textOutline w14:w="12700" w14:cap="flat" w14:cmpd="sng" w14:algn="ctr">
            <w14:noFill/>
            <w14:prstDash w14:val="solid"/>
            <w14:miter w14:lim="400000"/>
          </w14:textOutline>
        </w:rPr>
        <w:t>“</w:t>
      </w:r>
      <w:r w:rsidRPr="2C8BBEA1">
        <w:rPr>
          <w:color w:val="auto"/>
          <w:lang w:val="en-US"/>
          <w14:textOutline w14:w="12700" w14:cap="flat" w14:cmpd="sng" w14:algn="ctr">
            <w14:noFill/>
            <w14:prstDash w14:val="solid"/>
            <w14:miter w14:lim="400000"/>
          </w14:textOutline>
        </w:rPr>
        <w:t>A realidade objetiva está presente nos dois lados. O alvo é passar para o lado oposto: a realidade surge no espetáculo, e espetáculo no real. esta alienação recíproca é a essência e o sustento da sociedade existente.</w:t>
      </w:r>
      <w:r w:rsidR="00505860" w:rsidRPr="2C8BBEA1">
        <w:rPr>
          <w:color w:val="auto"/>
          <w:lang w:val="en-US"/>
          <w14:textOutline w14:w="12700" w14:cap="flat" w14:cmpd="sng" w14:algn="ctr">
            <w14:noFill/>
            <w14:prstDash w14:val="solid"/>
            <w14:miter w14:lim="400000"/>
          </w14:textOutline>
        </w:rPr>
        <w:t>”</w:t>
      </w:r>
    </w:p>
    <w:p w14:paraId="1EC33236" w14:textId="01ADE7C8" w:rsidR="00FD5617" w:rsidRPr="00505860" w:rsidRDefault="003409E1" w:rsidP="001A5EC7">
      <w:pPr>
        <w:pStyle w:val="Corpo"/>
        <w:spacing w:line="360" w:lineRule="auto"/>
        <w:ind w:firstLine="708"/>
        <w:jc w:val="both"/>
        <w:rPr>
          <w:color w:val="auto"/>
          <w:lang w:val="en-US"/>
          <w14:textOutline w14:w="12700" w14:cap="flat" w14:cmpd="sng" w14:algn="ctr">
            <w14:noFill/>
            <w14:prstDash w14:val="solid"/>
            <w14:miter w14:lim="400000"/>
          </w14:textOutline>
        </w:rPr>
      </w:pPr>
      <w:r w:rsidRPr="2C8BBEA1">
        <w:rPr>
          <w:rStyle w:val="s1"/>
          <w:lang w:val="en-US"/>
        </w:rPr>
        <w:t>Entender essa</w:t>
      </w:r>
      <w:r w:rsidR="001D5681" w:rsidRPr="2C8BBEA1">
        <w:rPr>
          <w:rStyle w:val="s1"/>
          <w:lang w:val="en-US"/>
        </w:rPr>
        <w:t xml:space="preserve"> lógica </w:t>
      </w:r>
      <w:r w:rsidRPr="2C8BBEA1">
        <w:rPr>
          <w:rStyle w:val="s1"/>
          <w:lang w:val="en-US"/>
        </w:rPr>
        <w:t>de espetacularização</w:t>
      </w:r>
      <w:r w:rsidR="001D5681" w:rsidRPr="2C8BBEA1">
        <w:rPr>
          <w:rStyle w:val="s1"/>
          <w:lang w:val="en-US"/>
        </w:rPr>
        <w:t xml:space="preserve"> é crucial para compreender </w:t>
      </w:r>
      <w:r w:rsidR="00AD1855" w:rsidRPr="2C8BBEA1">
        <w:rPr>
          <w:rStyle w:val="s1"/>
          <w:lang w:val="en-US"/>
        </w:rPr>
        <w:t>que ao</w:t>
      </w:r>
      <w:r w:rsidR="001D5681" w:rsidRPr="2C8BBEA1">
        <w:rPr>
          <w:rStyle w:val="s1"/>
          <w:lang w:val="en-US"/>
        </w:rPr>
        <w:t xml:space="preserve"> noticiar, os veículos podem incorrer na propagação de informações sem análise da veracidade dos fatos, muitas vezes preocupados apenas em </w:t>
      </w:r>
      <w:r w:rsidR="00F41292" w:rsidRPr="2C8BBEA1">
        <w:rPr>
          <w:rStyle w:val="s1"/>
          <w:lang w:val="en-US"/>
        </w:rPr>
        <w:t>passar</w:t>
      </w:r>
      <w:r w:rsidR="001D5681" w:rsidRPr="2C8BBEA1">
        <w:rPr>
          <w:rStyle w:val="s1"/>
          <w:lang w:val="en-US"/>
        </w:rPr>
        <w:t xml:space="preserve"> a notícia em tempo real, com uma linguagem sensacionalista que busca o envolvimento emocional.</w:t>
      </w:r>
      <w:r w:rsidR="00F41292" w:rsidRPr="2C8BBEA1">
        <w:rPr>
          <w:rStyle w:val="s1"/>
          <w:lang w:val="en-US"/>
        </w:rPr>
        <w:t xml:space="preserve"> </w:t>
      </w:r>
      <w:r w:rsidR="007055C0">
        <w:rPr>
          <w:rStyle w:val="s1"/>
          <w:lang w:val="en-US"/>
        </w:rPr>
        <w:t>Pode-se observer, em determinados contextos, um processo de degrada</w:t>
      </w:r>
      <w:r w:rsidR="007D2B5A">
        <w:rPr>
          <w:rStyle w:val="s1"/>
          <w:lang w:val="en-US"/>
        </w:rPr>
        <w:t>ção da imprensa</w:t>
      </w:r>
      <w:r w:rsidR="00F41292" w:rsidRPr="2C8BBEA1">
        <w:rPr>
          <w:rStyle w:val="s1"/>
          <w:lang w:val="en-US"/>
        </w:rPr>
        <w:t>, já advertida por Rui Barbosa (2019, p. 40):</w:t>
      </w:r>
      <w:r w:rsidR="00F3283D" w:rsidRPr="2C8BBEA1">
        <w:rPr>
          <w:rStyle w:val="s1"/>
          <w:lang w:val="en-US"/>
        </w:rPr>
        <w:t xml:space="preserve"> </w:t>
      </w:r>
      <w:r w:rsidR="001C56A1" w:rsidRPr="2C8BBEA1">
        <w:rPr>
          <w:color w:val="auto"/>
          <w:lang w:val="en-US"/>
          <w14:textOutline w14:w="12700" w14:cap="flat" w14:cmpd="sng" w14:algn="ctr">
            <w14:noFill/>
            <w14:prstDash w14:val="solid"/>
            <w14:miter w14:lim="400000"/>
          </w14:textOutline>
        </w:rPr>
        <w:t>“Não há, para qualquer sociedade, maior desgraça que a de uma imprensa deteriorada, servilizada ou mercantilizada.”</w:t>
      </w:r>
      <w:r w:rsidR="001C56A1" w:rsidRPr="2C8BBEA1">
        <w:rPr>
          <w:color w:val="auto"/>
          <w:sz w:val="20"/>
          <w:szCs w:val="20"/>
          <w:lang w:val="en-US"/>
          <w14:textOutline w14:w="12700" w14:cap="flat" w14:cmpd="sng" w14:algn="ctr">
            <w14:noFill/>
            <w14:prstDash w14:val="solid"/>
            <w14:miter w14:lim="400000"/>
          </w14:textOutline>
        </w:rPr>
        <w:t xml:space="preserve"> </w:t>
      </w:r>
    </w:p>
    <w:p w14:paraId="6EDB0376" w14:textId="5201BA00" w:rsidR="00A11AE5" w:rsidRDefault="00FD5617" w:rsidP="001A5EC7">
      <w:pPr>
        <w:pStyle w:val="p1"/>
        <w:spacing w:before="0" w:beforeAutospacing="0" w:after="0" w:afterAutospacing="0" w:line="360" w:lineRule="auto"/>
        <w:ind w:firstLine="708"/>
        <w:jc w:val="both"/>
      </w:pPr>
      <w:r>
        <w:t>Sua crítica, apesar de feita em outro contexto histórico continua atual, pois, na busca por audiência e visualizações, parte da mídia troca o trabalho crítico por mercadoria, privilegiando impacto em detrimento da precisão.</w:t>
      </w:r>
      <w:r w:rsidR="00A11AE5">
        <w:t xml:space="preserve"> </w:t>
      </w:r>
    </w:p>
    <w:p w14:paraId="4CE9EA2D" w14:textId="5276D2D7" w:rsidR="001C56A1" w:rsidRDefault="009612B0" w:rsidP="001A5EC7">
      <w:pPr>
        <w:pStyle w:val="p1"/>
        <w:spacing w:before="0" w:beforeAutospacing="0" w:line="360" w:lineRule="auto"/>
        <w:ind w:firstLine="708"/>
        <w:jc w:val="both"/>
      </w:pPr>
      <w:r>
        <w:rPr>
          <w:rStyle w:val="s1"/>
        </w:rPr>
        <w:t xml:space="preserve">Essa preocupação é </w:t>
      </w:r>
      <w:r w:rsidR="002D574B">
        <w:rPr>
          <w:rStyle w:val="s1"/>
        </w:rPr>
        <w:t xml:space="preserve">também </w:t>
      </w:r>
      <w:r w:rsidR="00307EC1">
        <w:rPr>
          <w:rStyle w:val="s1"/>
        </w:rPr>
        <w:t>percebida</w:t>
      </w:r>
      <w:r>
        <w:rPr>
          <w:rStyle w:val="s1"/>
        </w:rPr>
        <w:t xml:space="preserve"> por </w:t>
      </w:r>
      <w:r w:rsidR="00361BC8" w:rsidRPr="00361BC8">
        <w:rPr>
          <w:rStyle w:val="s1"/>
        </w:rPr>
        <w:t>Ramonet, citado por Garcia (2015, p. 75</w:t>
      </w:r>
      <w:r w:rsidR="00307EC1" w:rsidRPr="00361BC8">
        <w:rPr>
          <w:rStyle w:val="s1"/>
        </w:rPr>
        <w:t>), ao</w:t>
      </w:r>
      <w:r w:rsidR="00361BC8" w:rsidRPr="00361BC8">
        <w:rPr>
          <w:rStyle w:val="s1"/>
        </w:rPr>
        <w:t xml:space="preserve"> </w:t>
      </w:r>
      <w:r w:rsidR="00DB7805">
        <w:rPr>
          <w:rStyle w:val="s1"/>
        </w:rPr>
        <w:t>afirmar</w:t>
      </w:r>
      <w:r w:rsidR="00361BC8" w:rsidRPr="00361BC8">
        <w:rPr>
          <w:rStyle w:val="s1"/>
        </w:rPr>
        <w:t xml:space="preserve"> que: </w:t>
      </w:r>
    </w:p>
    <w:p w14:paraId="03330BE0" w14:textId="62B778D4" w:rsidR="001C56A1" w:rsidRDefault="001C56A1" w:rsidP="00D907D8">
      <w:pPr>
        <w:pStyle w:val="p1"/>
        <w:spacing w:before="0" w:beforeAutospacing="0" w:after="0" w:afterAutospacing="0"/>
        <w:ind w:left="2268"/>
        <w:jc w:val="both"/>
        <w:rPr>
          <w:sz w:val="20"/>
          <w:szCs w:val="20"/>
        </w:rPr>
      </w:pPr>
      <w:r w:rsidRPr="00DF7194">
        <w:rPr>
          <w:sz w:val="20"/>
          <w:szCs w:val="20"/>
        </w:rPr>
        <w:t>A mídia, então, assume um caráter manipulador ao representar um fenômeno que atinge</w:t>
      </w:r>
      <w:r w:rsidR="00307EC1">
        <w:rPr>
          <w:sz w:val="20"/>
          <w:szCs w:val="20"/>
        </w:rPr>
        <w:t>,</w:t>
      </w:r>
      <w:r w:rsidRPr="00DF7194">
        <w:rPr>
          <w:sz w:val="20"/>
          <w:szCs w:val="20"/>
        </w:rPr>
        <w:t xml:space="preserve"> ou melhor</w:t>
      </w:r>
      <w:r w:rsidR="00307EC1">
        <w:rPr>
          <w:sz w:val="20"/>
          <w:szCs w:val="20"/>
        </w:rPr>
        <w:t>,</w:t>
      </w:r>
      <w:r w:rsidRPr="00DF7194">
        <w:rPr>
          <w:sz w:val="20"/>
          <w:szCs w:val="20"/>
        </w:rPr>
        <w:t xml:space="preserve"> invade</w:t>
      </w:r>
      <w:r w:rsidR="00307EC1">
        <w:rPr>
          <w:sz w:val="20"/>
          <w:szCs w:val="20"/>
        </w:rPr>
        <w:t xml:space="preserve"> </w:t>
      </w:r>
      <w:r w:rsidRPr="00DF7194">
        <w:rPr>
          <w:sz w:val="20"/>
          <w:szCs w:val="20"/>
        </w:rPr>
        <w:t xml:space="preserve">a todos, estabelecendo formas e normas sociais e fazendo com que muitas pessoas enxerguem o mundo segundo o seu próprio ponto de vista. Indo mais além, a mídia pode e é utilizada como instrumento de manipulação a serviço de interesses e lucros particulares, reordenando percepções e fazendo emergir novos modos de subjetividade, o que </w:t>
      </w:r>
      <w:r w:rsidR="00514ECE" w:rsidRPr="00DF7194">
        <w:rPr>
          <w:sz w:val="20"/>
          <w:szCs w:val="20"/>
        </w:rPr>
        <w:t>traz</w:t>
      </w:r>
      <w:r w:rsidRPr="00DF7194">
        <w:rPr>
          <w:sz w:val="20"/>
          <w:szCs w:val="20"/>
        </w:rPr>
        <w:t xml:space="preserve"> vantagens e/ou desvantagens, tanto no aspecto individual como no aspecto social.</w:t>
      </w:r>
    </w:p>
    <w:p w14:paraId="27D18E1A" w14:textId="77777777" w:rsidR="00514ECE" w:rsidRDefault="00514ECE" w:rsidP="00514ECE">
      <w:pPr>
        <w:pStyle w:val="p1"/>
        <w:spacing w:before="0" w:beforeAutospacing="0" w:after="0" w:afterAutospacing="0" w:line="360" w:lineRule="auto"/>
        <w:ind w:left="2880"/>
        <w:jc w:val="both"/>
        <w:rPr>
          <w:sz w:val="20"/>
          <w:szCs w:val="20"/>
        </w:rPr>
      </w:pPr>
    </w:p>
    <w:p w14:paraId="624EF701" w14:textId="42A43A9A" w:rsidR="007F40B2" w:rsidRDefault="00514ECE" w:rsidP="001A5EC7">
      <w:pPr>
        <w:pStyle w:val="p1"/>
        <w:spacing w:before="0" w:beforeAutospacing="0" w:after="0" w:afterAutospacing="0" w:line="360" w:lineRule="auto"/>
        <w:ind w:firstLine="708"/>
        <w:jc w:val="both"/>
      </w:pPr>
      <w:r>
        <w:t xml:space="preserve">Portanto, </w:t>
      </w:r>
      <w:r w:rsidR="00F113E4" w:rsidRPr="00F113E4">
        <w:t xml:space="preserve">a evolução dos meios de comunicação ampliou o acesso à informação, </w:t>
      </w:r>
      <w:r w:rsidR="00781D15">
        <w:t>como</w:t>
      </w:r>
      <w:r w:rsidR="00F113E4" w:rsidRPr="00F113E4">
        <w:t xml:space="preserve"> também consolidou novos mecanismos de poder, baseados na capacidade de selecionar, enquadrar e espetacularizar acontecimentos.</w:t>
      </w:r>
    </w:p>
    <w:p w14:paraId="51A37865" w14:textId="21921BF0" w:rsidR="00514ECE" w:rsidRDefault="007F40B2" w:rsidP="001A5EC7">
      <w:pPr>
        <w:pStyle w:val="p1"/>
        <w:spacing w:before="0" w:beforeAutospacing="0" w:after="0" w:afterAutospacing="0" w:line="360" w:lineRule="auto"/>
        <w:ind w:firstLine="708"/>
        <w:jc w:val="both"/>
      </w:pPr>
      <w:r w:rsidRPr="007F40B2">
        <w:t>Compreender essas dinâmicas simbólicas e estruturais é essencial para o desenvolvimento dos próximos tópicos</w:t>
      </w:r>
      <w:r w:rsidR="00781D15">
        <w:t xml:space="preserve"> da pesquisa</w:t>
      </w:r>
      <w:r w:rsidRPr="007F40B2">
        <w:t>. Ao reconhecer que a mídia exerce controle social e poder simbólico, torna-se possível compreender como ela influencia instituições, práticas jurídicas e percepções coletivas. Ess</w:t>
      </w:r>
      <w:r w:rsidR="007E253C">
        <w:t>a</w:t>
      </w:r>
      <w:r w:rsidRPr="007F40B2">
        <w:t xml:space="preserve"> </w:t>
      </w:r>
      <w:r w:rsidR="00000D32">
        <w:t>relação</w:t>
      </w:r>
      <w:r w:rsidRPr="007F40B2">
        <w:t xml:space="preserve"> será determinante para analisar, adiante, os impactos desse poder no Estado Democrático de Direito, </w:t>
      </w:r>
      <w:r w:rsidR="008F4BD1" w:rsidRPr="007F40B2">
        <w:t>no funcionamento</w:t>
      </w:r>
      <w:r w:rsidR="008F4BD1">
        <w:t xml:space="preserve"> do devido processo penal, e</w:t>
      </w:r>
      <w:r w:rsidRPr="007F40B2">
        <w:t xml:space="preserve"> especialmente no Tribunal do Júri.</w:t>
      </w:r>
    </w:p>
    <w:p w14:paraId="6E45C453" w14:textId="77777777" w:rsidR="00514ECE" w:rsidRDefault="00514ECE" w:rsidP="00514ECE">
      <w:pPr>
        <w:pStyle w:val="p1"/>
        <w:spacing w:before="0" w:beforeAutospacing="0" w:after="0" w:afterAutospacing="0" w:line="360" w:lineRule="auto"/>
        <w:rPr>
          <w:rStyle w:val="s1"/>
        </w:rPr>
      </w:pPr>
    </w:p>
    <w:p w14:paraId="55065845" w14:textId="6AC4D5CD" w:rsidR="009600C0" w:rsidRPr="00EF48BD" w:rsidRDefault="009600C0" w:rsidP="00EF48BD">
      <w:pPr>
        <w:pStyle w:val="Ttulo2"/>
        <w:spacing w:line="360" w:lineRule="auto"/>
        <w:jc w:val="both"/>
        <w:rPr>
          <w:rFonts w:ascii="Times New Roman" w:hAnsi="Times New Roman" w:cs="Times New Roman"/>
          <w:color w:val="auto"/>
          <w:sz w:val="24"/>
          <w:szCs w:val="24"/>
        </w:rPr>
      </w:pPr>
      <w:bookmarkStart w:id="4" w:name="_Toc229076362"/>
      <w:r w:rsidRPr="00661CBB">
        <w:rPr>
          <w:rStyle w:val="s1"/>
          <w:rFonts w:ascii="Times New Roman" w:hAnsi="Times New Roman" w:cs="Times New Roman"/>
          <w:color w:val="auto"/>
          <w:sz w:val="24"/>
          <w:szCs w:val="24"/>
        </w:rPr>
        <w:t>1.</w:t>
      </w:r>
      <w:r w:rsidR="00361BC8" w:rsidRPr="00661CBB">
        <w:rPr>
          <w:rStyle w:val="s1"/>
          <w:rFonts w:ascii="Times New Roman" w:hAnsi="Times New Roman" w:cs="Times New Roman"/>
          <w:color w:val="auto"/>
          <w:sz w:val="24"/>
          <w:szCs w:val="24"/>
        </w:rPr>
        <w:t>1</w:t>
      </w:r>
      <w:r w:rsidRPr="00661CBB">
        <w:rPr>
          <w:rStyle w:val="s1"/>
          <w:rFonts w:ascii="Times New Roman" w:hAnsi="Times New Roman" w:cs="Times New Roman"/>
          <w:color w:val="auto"/>
          <w:sz w:val="24"/>
          <w:szCs w:val="24"/>
        </w:rPr>
        <w:t xml:space="preserve"> O PAPEL DA MÍDIA NO ESTADO DEMOCRÁTICO DE DIREITO E A CONFIGURAÇÃO DO “QUARTO PODER”</w:t>
      </w:r>
      <w:bookmarkEnd w:id="4"/>
    </w:p>
    <w:p w14:paraId="0DD8D8D8" w14:textId="2C6629F2" w:rsidR="00E974E5" w:rsidRDefault="00361BC8" w:rsidP="009600C0">
      <w:pPr>
        <w:pStyle w:val="Corpo"/>
        <w:spacing w:line="360" w:lineRule="auto"/>
        <w:ind w:firstLine="720"/>
        <w:jc w:val="both"/>
        <w:rPr>
          <w:rStyle w:val="Nenhum"/>
          <w:color w:val="auto"/>
          <w:lang w:val="en-US"/>
        </w:rPr>
      </w:pPr>
      <w:r w:rsidRPr="2C8BBEA1">
        <w:rPr>
          <w:rStyle w:val="Nenhum"/>
          <w:color w:val="auto"/>
          <w:lang w:val="en-US"/>
        </w:rPr>
        <w:t xml:space="preserve">No Estado Democrático de Direito brasileiro, a </w:t>
      </w:r>
      <w:r w:rsidR="00E974E5" w:rsidRPr="2C8BBEA1">
        <w:rPr>
          <w:rStyle w:val="Nenhum"/>
          <w:color w:val="auto"/>
          <w:lang w:val="en-US"/>
        </w:rPr>
        <w:t xml:space="preserve">mídia desempenha papel essencial de fiscalização, transparência e pluralização do debate público, funções judicialmente asseguradas pela Constituição de 1988, que garantem a liberdade de expressão, a liberdade de imprensa e </w:t>
      </w:r>
      <w:r w:rsidR="00BD586E" w:rsidRPr="2C8BBEA1">
        <w:rPr>
          <w:rStyle w:val="Nenhum"/>
          <w:color w:val="auto"/>
          <w:lang w:val="en-US"/>
        </w:rPr>
        <w:t>veda</w:t>
      </w:r>
      <w:r w:rsidR="00E974E5" w:rsidRPr="2C8BBEA1">
        <w:rPr>
          <w:rStyle w:val="Nenhum"/>
          <w:color w:val="auto"/>
          <w:lang w:val="en-US"/>
        </w:rPr>
        <w:t xml:space="preserve"> qualquer forma de censura.</w:t>
      </w:r>
      <w:r w:rsidR="00053CA0" w:rsidRPr="2C8BBEA1">
        <w:rPr>
          <w:rStyle w:val="Nenhum"/>
          <w:color w:val="auto"/>
          <w:lang w:val="en-US"/>
        </w:rPr>
        <w:t xml:space="preserve"> A atuação midiática</w:t>
      </w:r>
      <w:r w:rsidR="00756071" w:rsidRPr="2C8BBEA1">
        <w:rPr>
          <w:rStyle w:val="Nenhum"/>
          <w:color w:val="auto"/>
          <w:lang w:val="en-US"/>
        </w:rPr>
        <w:t xml:space="preserve"> </w:t>
      </w:r>
      <w:r w:rsidR="00053CA0" w:rsidRPr="2C8BBEA1">
        <w:rPr>
          <w:rStyle w:val="Nenhum"/>
          <w:color w:val="auto"/>
          <w:lang w:val="en-US"/>
        </w:rPr>
        <w:t>quando comprometida com a ética e a verdade, fortalece a democracia e amplia o controle social sobre o poder estatal.</w:t>
      </w:r>
    </w:p>
    <w:p w14:paraId="14AC5B53" w14:textId="77777777" w:rsidR="00A11AE5" w:rsidRDefault="00EA37A7" w:rsidP="00A11AE5">
      <w:pPr>
        <w:pStyle w:val="Corpo"/>
        <w:spacing w:line="360" w:lineRule="auto"/>
        <w:ind w:firstLine="720"/>
        <w:jc w:val="both"/>
        <w:rPr>
          <w:rStyle w:val="Nenhum"/>
          <w:color w:val="auto"/>
          <w:lang w:val="en-US"/>
        </w:rPr>
      </w:pPr>
      <w:r w:rsidRPr="2C8BBEA1">
        <w:rPr>
          <w:rStyle w:val="Nenhum"/>
          <w:color w:val="auto"/>
          <w:lang w:val="en-US"/>
        </w:rPr>
        <w:t xml:space="preserve">Rui Barbosa (2019, p. 23), </w:t>
      </w:r>
      <w:r w:rsidR="00FA42A8" w:rsidRPr="2C8BBEA1">
        <w:rPr>
          <w:rStyle w:val="Nenhum"/>
          <w:color w:val="auto"/>
          <w:lang w:val="en-US"/>
        </w:rPr>
        <w:t xml:space="preserve">sintetiza </w:t>
      </w:r>
      <w:r w:rsidRPr="2C8BBEA1">
        <w:rPr>
          <w:rStyle w:val="Nenhum"/>
          <w:color w:val="auto"/>
          <w:lang w:val="en-US"/>
        </w:rPr>
        <w:t>essa função ao afirmar que:</w:t>
      </w:r>
      <w:r w:rsidR="00A11AE5" w:rsidRPr="2C8BBEA1">
        <w:rPr>
          <w:rStyle w:val="Nenhum"/>
          <w:color w:val="auto"/>
          <w:lang w:val="en-US"/>
        </w:rPr>
        <w:t xml:space="preserve"> </w:t>
      </w:r>
      <w:r w:rsidRPr="2C8BBEA1">
        <w:rPr>
          <w:rStyle w:val="Nenhum"/>
          <w:color w:val="auto"/>
          <w:lang w:val="en-US"/>
        </w:rPr>
        <w:t>“A imprensa é a vista da Nação. Por ela é que a Nação acompanha o que lhe passa ao perto e ao longe.”</w:t>
      </w:r>
    </w:p>
    <w:p w14:paraId="50EF2783" w14:textId="721B1974" w:rsidR="00EA37A7" w:rsidRDefault="00750BC3" w:rsidP="00A11AE5">
      <w:pPr>
        <w:pStyle w:val="Corpo"/>
        <w:spacing w:line="360" w:lineRule="auto"/>
        <w:ind w:firstLine="720"/>
        <w:jc w:val="both"/>
        <w:rPr>
          <w:rStyle w:val="Nenhum"/>
          <w:color w:val="auto"/>
          <w:lang w:val="en-US"/>
        </w:rPr>
      </w:pPr>
      <w:r w:rsidRPr="2C8BBEA1">
        <w:rPr>
          <w:rStyle w:val="Nenhum"/>
          <w:color w:val="auto"/>
          <w:lang w:val="en-US"/>
        </w:rPr>
        <w:t>O político e jurista busca</w:t>
      </w:r>
      <w:r w:rsidR="00EA37A7" w:rsidRPr="2C8BBEA1">
        <w:rPr>
          <w:rStyle w:val="Nenhum"/>
          <w:color w:val="auto"/>
          <w:lang w:val="en-US"/>
        </w:rPr>
        <w:t xml:space="preserve"> reforçar a ideia de que a imprensa</w:t>
      </w:r>
      <w:r w:rsidRPr="2C8BBEA1">
        <w:rPr>
          <w:rStyle w:val="Nenhum"/>
          <w:color w:val="auto"/>
          <w:lang w:val="en-US"/>
        </w:rPr>
        <w:t xml:space="preserve"> pode</w:t>
      </w:r>
      <w:r w:rsidR="00EA37A7" w:rsidRPr="2C8BBEA1">
        <w:rPr>
          <w:rStyle w:val="Nenhum"/>
          <w:color w:val="auto"/>
          <w:lang w:val="en-US"/>
        </w:rPr>
        <w:t xml:space="preserve"> opera</w:t>
      </w:r>
      <w:r w:rsidRPr="2C8BBEA1">
        <w:rPr>
          <w:rStyle w:val="Nenhum"/>
          <w:color w:val="auto"/>
          <w:lang w:val="en-US"/>
        </w:rPr>
        <w:t>r</w:t>
      </w:r>
      <w:r w:rsidR="00EA37A7" w:rsidRPr="2C8BBEA1">
        <w:rPr>
          <w:rStyle w:val="Nenhum"/>
          <w:color w:val="auto"/>
          <w:lang w:val="en-US"/>
        </w:rPr>
        <w:t xml:space="preserve"> como instrumento</w:t>
      </w:r>
      <w:r w:rsidR="00B1648C" w:rsidRPr="2C8BBEA1">
        <w:rPr>
          <w:rStyle w:val="Nenhum"/>
          <w:color w:val="auto"/>
          <w:lang w:val="en-US"/>
        </w:rPr>
        <w:t xml:space="preserve"> da democracia</w:t>
      </w:r>
      <w:r w:rsidR="00EA37A7" w:rsidRPr="2C8BBEA1">
        <w:rPr>
          <w:rStyle w:val="Nenhum"/>
          <w:color w:val="auto"/>
          <w:lang w:val="en-US"/>
        </w:rPr>
        <w:t xml:space="preserve"> por meio do qual a sociedade observa, examina e </w:t>
      </w:r>
      <w:r w:rsidRPr="2C8BBEA1">
        <w:rPr>
          <w:rStyle w:val="Nenhum"/>
          <w:color w:val="auto"/>
          <w:lang w:val="en-US"/>
        </w:rPr>
        <w:t>define</w:t>
      </w:r>
      <w:r w:rsidR="00EA37A7" w:rsidRPr="2C8BBEA1">
        <w:rPr>
          <w:rStyle w:val="Nenhum"/>
          <w:color w:val="auto"/>
          <w:lang w:val="en-US"/>
        </w:rPr>
        <w:t xml:space="preserve"> os fatos de interesse público.</w:t>
      </w:r>
    </w:p>
    <w:p w14:paraId="76C237A6" w14:textId="44774798" w:rsidR="00896341" w:rsidRDefault="00593F25" w:rsidP="00006B84">
      <w:pPr>
        <w:pStyle w:val="Corpo"/>
        <w:spacing w:line="360" w:lineRule="auto"/>
        <w:ind w:firstLine="720"/>
        <w:jc w:val="both"/>
        <w:rPr>
          <w:rStyle w:val="Nenhum"/>
          <w:color w:val="auto"/>
          <w:lang w:val="en-US"/>
        </w:rPr>
      </w:pPr>
      <w:r w:rsidRPr="2C8BBEA1">
        <w:rPr>
          <w:rStyle w:val="Nenhum"/>
          <w:color w:val="auto"/>
          <w:lang w:val="en-US"/>
        </w:rPr>
        <w:t>É nessa</w:t>
      </w:r>
      <w:r w:rsidR="002F4235" w:rsidRPr="2C8BBEA1">
        <w:rPr>
          <w:rStyle w:val="Nenhum"/>
          <w:color w:val="auto"/>
          <w:lang w:val="en-US"/>
        </w:rPr>
        <w:t xml:space="preserve"> importância</w:t>
      </w:r>
      <w:r w:rsidR="00B1648C" w:rsidRPr="2C8BBEA1">
        <w:rPr>
          <w:rStyle w:val="Nenhum"/>
          <w:color w:val="auto"/>
          <w:lang w:val="en-US"/>
        </w:rPr>
        <w:t xml:space="preserve"> </w:t>
      </w:r>
      <w:r w:rsidR="00361BC8" w:rsidRPr="2C8BBEA1">
        <w:rPr>
          <w:rStyle w:val="Nenhum"/>
          <w:color w:val="auto"/>
          <w:lang w:val="en-US"/>
        </w:rPr>
        <w:t>dos meios midiáticos</w:t>
      </w:r>
      <w:r w:rsidR="002F4235" w:rsidRPr="2C8BBEA1">
        <w:rPr>
          <w:rStyle w:val="Nenhum"/>
          <w:color w:val="auto"/>
          <w:lang w:val="en-US"/>
        </w:rPr>
        <w:t xml:space="preserve">, que se </w:t>
      </w:r>
      <w:r w:rsidR="00361BC8" w:rsidRPr="2C8BBEA1">
        <w:rPr>
          <w:rStyle w:val="Nenhum"/>
          <w:color w:val="auto"/>
          <w:lang w:val="en-US"/>
        </w:rPr>
        <w:t>consolida a mídia como um fator fundamental na estrutura social emergente, levando-a a ser frequentemente reconhecida como o “Quarto Poder”</w:t>
      </w:r>
      <w:r w:rsidR="009600C0" w:rsidRPr="2C8BBEA1">
        <w:rPr>
          <w:rStyle w:val="Nenhum"/>
          <w:color w:val="auto"/>
          <w:lang w:val="en-US"/>
        </w:rPr>
        <w:t>.</w:t>
      </w:r>
      <w:r w:rsidR="008977A1" w:rsidRPr="2C8BBEA1">
        <w:rPr>
          <w:rStyle w:val="Nenhum"/>
          <w:color w:val="auto"/>
          <w:lang w:val="en-US"/>
        </w:rPr>
        <w:t xml:space="preserve"> Embora não possua legitimidade institucional como os poderes Executivo, Legislativo e Judiciário, </w:t>
      </w:r>
      <w:r w:rsidR="00F8097F" w:rsidRPr="2C8BBEA1">
        <w:rPr>
          <w:rStyle w:val="Nenhum"/>
          <w:color w:val="auto"/>
          <w:lang w:val="en-US"/>
        </w:rPr>
        <w:t>tem a</w:t>
      </w:r>
      <w:r w:rsidR="004012E4" w:rsidRPr="2C8BBEA1">
        <w:rPr>
          <w:rStyle w:val="Nenhum"/>
          <w:color w:val="auto"/>
          <w:lang w:val="en-US"/>
        </w:rPr>
        <w:t xml:space="preserve"> capacidade de controle social de forma informal e difusa, como já mencionado</w:t>
      </w:r>
      <w:r w:rsidR="00F8097F" w:rsidRPr="2C8BBEA1">
        <w:rPr>
          <w:rStyle w:val="Nenhum"/>
          <w:color w:val="auto"/>
          <w:lang w:val="en-US"/>
        </w:rPr>
        <w:t>,</w:t>
      </w:r>
      <w:r w:rsidR="00922354" w:rsidRPr="2C8BBEA1">
        <w:rPr>
          <w:rStyle w:val="Nenhum"/>
          <w:color w:val="auto"/>
          <w:lang w:val="en-US"/>
        </w:rPr>
        <w:t xml:space="preserve"> e simbólico,</w:t>
      </w:r>
      <w:r w:rsidR="00F8097F" w:rsidRPr="2C8BBEA1">
        <w:rPr>
          <w:rStyle w:val="Nenhum"/>
          <w:color w:val="auto"/>
          <w:lang w:val="en-US"/>
        </w:rPr>
        <w:t xml:space="preserve"> </w:t>
      </w:r>
      <w:r w:rsidR="009F7240" w:rsidRPr="2C8BBEA1">
        <w:rPr>
          <w:rStyle w:val="Nenhum"/>
          <w:color w:val="auto"/>
          <w:lang w:val="en-US"/>
        </w:rPr>
        <w:t xml:space="preserve">sua força de influenciar </w:t>
      </w:r>
      <w:r w:rsidR="00245834" w:rsidRPr="2C8BBEA1">
        <w:rPr>
          <w:rStyle w:val="Nenhum"/>
          <w:color w:val="auto"/>
          <w:lang w:val="en-US"/>
        </w:rPr>
        <w:t>opiniões</w:t>
      </w:r>
      <w:r w:rsidR="009F7240" w:rsidRPr="2C8BBEA1">
        <w:rPr>
          <w:rStyle w:val="Nenhum"/>
          <w:color w:val="auto"/>
          <w:lang w:val="en-US"/>
        </w:rPr>
        <w:t xml:space="preserve"> coletivas a torna uma força social concreta. </w:t>
      </w:r>
      <w:r w:rsidR="00006B84" w:rsidRPr="2C8BBEA1">
        <w:rPr>
          <w:rStyle w:val="Nenhum"/>
          <w:color w:val="auto"/>
          <w:lang w:val="en-US"/>
        </w:rPr>
        <w:t>Lima Barreto, de modo crítico e satírico, já reconhecia esse fenômeno, ao referir-se à imprensa como "a Onipotente Imprensa, o quarto poder fora da Constituição!" (</w:t>
      </w:r>
      <w:r w:rsidR="00006B84" w:rsidRPr="2C8BBEA1">
        <w:rPr>
          <w:rStyle w:val="Nenhum"/>
          <w:i/>
          <w:color w:val="auto"/>
          <w:lang w:val="en-US"/>
        </w:rPr>
        <w:t>apud</w:t>
      </w:r>
      <w:r w:rsidR="00006B84" w:rsidRPr="2C8BBEA1">
        <w:rPr>
          <w:rStyle w:val="Nenhum"/>
          <w:color w:val="auto"/>
          <w:lang w:val="en-US"/>
        </w:rPr>
        <w:t xml:space="preserve"> NAVARRO, 2019, p. 179).</w:t>
      </w:r>
    </w:p>
    <w:p w14:paraId="4CA99E5F" w14:textId="05FF3DF4" w:rsidR="00956CC9" w:rsidRDefault="00B003A6" w:rsidP="2C8BBEA1">
      <w:pPr>
        <w:pStyle w:val="Corpo"/>
        <w:spacing w:line="360" w:lineRule="auto"/>
        <w:ind w:firstLine="720"/>
        <w:jc w:val="both"/>
        <w:rPr>
          <w:rStyle w:val="Nenhum"/>
          <w:color w:val="auto"/>
          <w:lang w:val="en-US"/>
        </w:rPr>
      </w:pPr>
      <w:r w:rsidRPr="24E2A33A">
        <w:rPr>
          <w:rStyle w:val="Nenhum"/>
          <w:color w:val="auto"/>
          <w:lang w:val="en-US"/>
        </w:rPr>
        <w:t>A distinção entre poder institucional e poder simbólico é essencial</w:t>
      </w:r>
      <w:r w:rsidR="514386DA" w:rsidRPr="24E2A33A">
        <w:rPr>
          <w:rStyle w:val="Nenhum"/>
          <w:color w:val="auto"/>
          <w:lang w:val="en-US"/>
        </w:rPr>
        <w:t xml:space="preserve"> para adentrar mais </w:t>
      </w:r>
      <w:r w:rsidR="2487200A" w:rsidRPr="24E2A33A">
        <w:rPr>
          <w:rStyle w:val="Nenhum"/>
          <w:color w:val="auto"/>
          <w:lang w:val="en-US"/>
        </w:rPr>
        <w:t xml:space="preserve">profundamente </w:t>
      </w:r>
      <w:r w:rsidR="514386DA" w:rsidRPr="24E2A33A">
        <w:rPr>
          <w:rStyle w:val="Nenhum"/>
          <w:color w:val="auto"/>
          <w:lang w:val="en-US"/>
        </w:rPr>
        <w:t>na atuação da imprensa</w:t>
      </w:r>
      <w:r w:rsidRPr="24E2A33A">
        <w:rPr>
          <w:rStyle w:val="Nenhum"/>
          <w:color w:val="auto"/>
          <w:lang w:val="en-US"/>
        </w:rPr>
        <w:t>. Enquanto o primeiro decorre da estrutura jurídica</w:t>
      </w:r>
      <w:r w:rsidR="1351CE1B" w:rsidRPr="24E2A33A">
        <w:rPr>
          <w:rStyle w:val="Nenhum"/>
          <w:color w:val="auto"/>
          <w:lang w:val="en-US"/>
        </w:rPr>
        <w:t xml:space="preserve"> formalmente estabelecida</w:t>
      </w:r>
      <w:r w:rsidRPr="24E2A33A">
        <w:rPr>
          <w:rStyle w:val="Nenhum"/>
          <w:color w:val="auto"/>
          <w:lang w:val="en-US"/>
        </w:rPr>
        <w:t>, o segundo decorre da capacidade de produzir legitimidade e reconhecimento</w:t>
      </w:r>
      <w:r w:rsidR="29ABCA45" w:rsidRPr="24E2A33A">
        <w:rPr>
          <w:rStyle w:val="Nenhum"/>
          <w:color w:val="auto"/>
          <w:lang w:val="en-US"/>
        </w:rPr>
        <w:t xml:space="preserve"> social</w:t>
      </w:r>
      <w:r w:rsidRPr="24E2A33A">
        <w:rPr>
          <w:rStyle w:val="Nenhum"/>
          <w:color w:val="auto"/>
          <w:lang w:val="en-US"/>
        </w:rPr>
        <w:t xml:space="preserve">. </w:t>
      </w:r>
      <w:r w:rsidR="0A5B8D8C" w:rsidRPr="24E2A33A">
        <w:rPr>
          <w:rStyle w:val="Nenhum"/>
          <w:color w:val="auto"/>
          <w:lang w:val="en-US"/>
        </w:rPr>
        <w:t xml:space="preserve">Conforme </w:t>
      </w:r>
      <w:r w:rsidR="1EAD18AB" w:rsidRPr="24E2A33A">
        <w:rPr>
          <w:rStyle w:val="Nenhum"/>
          <w:color w:val="auto"/>
          <w:lang w:val="en-US"/>
        </w:rPr>
        <w:t xml:space="preserve">Pierre </w:t>
      </w:r>
      <w:r w:rsidR="7B784866" w:rsidRPr="24E2A33A">
        <w:rPr>
          <w:rStyle w:val="Nenhum"/>
          <w:color w:val="auto"/>
          <w:lang w:val="en-US"/>
        </w:rPr>
        <w:t>Bo</w:t>
      </w:r>
      <w:r w:rsidR="627118CF" w:rsidRPr="24E2A33A">
        <w:rPr>
          <w:rStyle w:val="Nenhum"/>
          <w:color w:val="auto"/>
          <w:lang w:val="en-US"/>
        </w:rPr>
        <w:t>u</w:t>
      </w:r>
      <w:r w:rsidR="7B784866" w:rsidRPr="24E2A33A">
        <w:rPr>
          <w:rStyle w:val="Nenhum"/>
          <w:color w:val="auto"/>
          <w:lang w:val="en-US"/>
        </w:rPr>
        <w:t>rdieu (</w:t>
      </w:r>
      <w:r w:rsidR="00690C39" w:rsidRPr="24E2A33A">
        <w:rPr>
          <w:rStyle w:val="Nenhum"/>
          <w:color w:val="auto"/>
          <w:lang w:val="en-US"/>
        </w:rPr>
        <w:t>1989</w:t>
      </w:r>
      <w:r w:rsidR="546EA3D7" w:rsidRPr="24E2A33A">
        <w:rPr>
          <w:rStyle w:val="Nenhum"/>
          <w:color w:val="auto"/>
          <w:lang w:val="en-US"/>
        </w:rPr>
        <w:t xml:space="preserve">, </w:t>
      </w:r>
      <w:r w:rsidR="7B784866" w:rsidRPr="24E2A33A">
        <w:rPr>
          <w:rStyle w:val="Nenhum"/>
          <w:color w:val="auto"/>
          <w:lang w:val="en-US"/>
        </w:rPr>
        <w:t>p.14)</w:t>
      </w:r>
      <w:r w:rsidR="203B06AE" w:rsidRPr="24E2A33A">
        <w:rPr>
          <w:rStyle w:val="Nenhum"/>
          <w:color w:val="auto"/>
          <w:lang w:val="en-US"/>
        </w:rPr>
        <w:t>,</w:t>
      </w:r>
      <w:r w:rsidR="7B784866" w:rsidRPr="24E2A33A">
        <w:rPr>
          <w:rStyle w:val="Nenhum"/>
          <w:color w:val="auto"/>
          <w:lang w:val="en-US"/>
        </w:rPr>
        <w:t xml:space="preserve"> “</w:t>
      </w:r>
      <w:r w:rsidR="1F23A4CA" w:rsidRPr="24E2A33A">
        <w:rPr>
          <w:rStyle w:val="Nenhum"/>
          <w:color w:val="auto"/>
          <w:lang w:val="en-US"/>
        </w:rPr>
        <w:t>o</w:t>
      </w:r>
      <w:r w:rsidR="7B784866" w:rsidRPr="24E2A33A">
        <w:rPr>
          <w:rStyle w:val="Nenhum"/>
          <w:color w:val="auto"/>
          <w:lang w:val="en-US"/>
        </w:rPr>
        <w:t>s sistemas simbólicos devem a sua força ao facto de as re</w:t>
      </w:r>
      <w:r w:rsidR="35F9BFD6" w:rsidRPr="24E2A33A">
        <w:rPr>
          <w:rStyle w:val="Nenhum"/>
          <w:color w:val="auto"/>
          <w:lang w:val="en-US"/>
        </w:rPr>
        <w:t>l</w:t>
      </w:r>
      <w:r w:rsidR="7B784866" w:rsidRPr="24E2A33A">
        <w:rPr>
          <w:rStyle w:val="Nenhum"/>
          <w:color w:val="auto"/>
          <w:lang w:val="en-US"/>
        </w:rPr>
        <w:t>ações de força que neles se expr</w:t>
      </w:r>
      <w:r w:rsidR="48CCA55B" w:rsidRPr="24E2A33A">
        <w:rPr>
          <w:rStyle w:val="Nenhum"/>
          <w:color w:val="auto"/>
          <w:lang w:val="en-US"/>
        </w:rPr>
        <w:t>imem só se manifestarem neles em forma irreconhecível de relações de sentido.</w:t>
      </w:r>
      <w:r w:rsidR="7B784866" w:rsidRPr="24E2A33A">
        <w:rPr>
          <w:rStyle w:val="Nenhum"/>
          <w:color w:val="auto"/>
          <w:lang w:val="en-US"/>
        </w:rPr>
        <w:t>”</w:t>
      </w:r>
    </w:p>
    <w:p w14:paraId="69264683" w14:textId="6324DD23" w:rsidR="00956CC9" w:rsidRDefault="08674F61" w:rsidP="00956CC9">
      <w:pPr>
        <w:pStyle w:val="Corpo"/>
        <w:spacing w:line="360" w:lineRule="auto"/>
        <w:ind w:firstLine="720"/>
        <w:jc w:val="both"/>
        <w:rPr>
          <w:rStyle w:val="Nenhum"/>
          <w:color w:val="auto"/>
          <w:lang w:val="en-US"/>
        </w:rPr>
      </w:pPr>
      <w:r w:rsidRPr="4A6A6817">
        <w:rPr>
          <w:rStyle w:val="Nenhum"/>
          <w:color w:val="auto"/>
          <w:lang w:val="en-US"/>
        </w:rPr>
        <w:t>Em vista disso</w:t>
      </w:r>
      <w:r w:rsidR="7601D6D6" w:rsidRPr="4A6A6817">
        <w:rPr>
          <w:rStyle w:val="Nenhum"/>
          <w:color w:val="auto"/>
          <w:lang w:val="en-US"/>
        </w:rPr>
        <w:t>, o poder da</w:t>
      </w:r>
      <w:r w:rsidR="00B003A6" w:rsidRPr="4A6A6817">
        <w:rPr>
          <w:rStyle w:val="Nenhum"/>
          <w:color w:val="auto"/>
          <w:lang w:val="en-US"/>
        </w:rPr>
        <w:t xml:space="preserve"> mídia </w:t>
      </w:r>
      <w:r w:rsidR="761A7B17" w:rsidRPr="4A6A6817">
        <w:rPr>
          <w:rStyle w:val="Nenhum"/>
          <w:color w:val="auto"/>
          <w:lang w:val="en-US"/>
        </w:rPr>
        <w:t>s</w:t>
      </w:r>
      <w:r w:rsidR="02723668" w:rsidRPr="4A6A6817">
        <w:rPr>
          <w:rStyle w:val="Nenhum"/>
          <w:color w:val="auto"/>
          <w:lang w:val="en-US"/>
        </w:rPr>
        <w:t xml:space="preserve">e concretiza </w:t>
      </w:r>
      <w:r w:rsidR="5C8B2A07" w:rsidRPr="4A6A6817">
        <w:rPr>
          <w:rStyle w:val="Nenhum"/>
          <w:color w:val="auto"/>
          <w:lang w:val="en-US"/>
        </w:rPr>
        <w:t>na medida em que é reconhecida socialmente</w:t>
      </w:r>
      <w:r w:rsidR="761A7B17" w:rsidRPr="4A6A6817">
        <w:rPr>
          <w:rStyle w:val="Nenhum"/>
          <w:color w:val="auto"/>
          <w:lang w:val="en-US"/>
        </w:rPr>
        <w:t>. A</w:t>
      </w:r>
      <w:r w:rsidR="00B003A6" w:rsidRPr="4A6A6817">
        <w:rPr>
          <w:rStyle w:val="Nenhum"/>
          <w:color w:val="auto"/>
          <w:lang w:val="en-US"/>
        </w:rPr>
        <w:t xml:space="preserve">o </w:t>
      </w:r>
      <w:r w:rsidR="005003D0" w:rsidRPr="4A6A6817">
        <w:rPr>
          <w:rStyle w:val="Nenhum"/>
          <w:color w:val="auto"/>
          <w:lang w:val="en-US"/>
        </w:rPr>
        <w:t>favorecer</w:t>
      </w:r>
      <w:r w:rsidR="00B003A6" w:rsidRPr="4A6A6817">
        <w:rPr>
          <w:rStyle w:val="Nenhum"/>
          <w:color w:val="auto"/>
          <w:lang w:val="en-US"/>
        </w:rPr>
        <w:t xml:space="preserve"> narrativas, enquadrar fatos e de</w:t>
      </w:r>
      <w:r w:rsidR="719BD22F" w:rsidRPr="4A6A6817">
        <w:rPr>
          <w:rStyle w:val="Nenhum"/>
          <w:color w:val="auto"/>
          <w:lang w:val="en-US"/>
        </w:rPr>
        <w:t>finir</w:t>
      </w:r>
      <w:r w:rsidR="00B003A6" w:rsidRPr="4A6A6817">
        <w:rPr>
          <w:rStyle w:val="Nenhum"/>
          <w:color w:val="auto"/>
          <w:lang w:val="en-US"/>
        </w:rPr>
        <w:t xml:space="preserve"> o que será debatido na esfera pública</w:t>
      </w:r>
      <w:r w:rsidR="4172BE72" w:rsidRPr="4A6A6817">
        <w:rPr>
          <w:rStyle w:val="Nenhum"/>
          <w:color w:val="auto"/>
          <w:lang w:val="en-US"/>
        </w:rPr>
        <w:t xml:space="preserve">, </w:t>
      </w:r>
      <w:r w:rsidR="427A6617" w:rsidRPr="4A6A6817">
        <w:rPr>
          <w:rStyle w:val="Nenhum"/>
          <w:color w:val="auto"/>
          <w:lang w:val="en-US"/>
        </w:rPr>
        <w:t xml:space="preserve">ela </w:t>
      </w:r>
      <w:r w:rsidR="499A8E27" w:rsidRPr="4A6A6817">
        <w:rPr>
          <w:rStyle w:val="Nenhum"/>
          <w:color w:val="auto"/>
          <w:lang w:val="en-US"/>
        </w:rPr>
        <w:t>exerce a capacidade de</w:t>
      </w:r>
      <w:r w:rsidR="427A6617" w:rsidRPr="4A6A6817">
        <w:rPr>
          <w:rStyle w:val="Nenhum"/>
          <w:color w:val="auto"/>
          <w:lang w:val="en-US"/>
        </w:rPr>
        <w:t xml:space="preserve"> “faz ver e faz crer</w:t>
      </w:r>
      <w:r w:rsidR="1C7F0341" w:rsidRPr="4A6A6817">
        <w:rPr>
          <w:rStyle w:val="Nenhum"/>
          <w:color w:val="auto"/>
          <w:lang w:val="en-US"/>
        </w:rPr>
        <w:t>”</w:t>
      </w:r>
      <w:r w:rsidR="03401D6D" w:rsidRPr="4A6A6817">
        <w:rPr>
          <w:rStyle w:val="Nenhum"/>
          <w:color w:val="auto"/>
          <w:lang w:val="en-US"/>
        </w:rPr>
        <w:t xml:space="preserve">, </w:t>
      </w:r>
      <w:r w:rsidR="36A5B485" w:rsidRPr="4A6A6817">
        <w:rPr>
          <w:rStyle w:val="Nenhum"/>
          <w:color w:val="auto"/>
          <w:lang w:val="en-US"/>
        </w:rPr>
        <w:t>habilidade</w:t>
      </w:r>
      <w:r w:rsidR="2A0B39C6" w:rsidRPr="4A6A6817">
        <w:rPr>
          <w:rStyle w:val="Nenhum"/>
          <w:color w:val="auto"/>
          <w:lang w:val="en-US"/>
        </w:rPr>
        <w:t xml:space="preserve"> na qual</w:t>
      </w:r>
      <w:r w:rsidR="36A5B485" w:rsidRPr="4A6A6817">
        <w:rPr>
          <w:rStyle w:val="Nenhum"/>
          <w:color w:val="auto"/>
          <w:lang w:val="en-US"/>
        </w:rPr>
        <w:t xml:space="preserve">, segundo </w:t>
      </w:r>
      <w:r w:rsidR="03401D6D" w:rsidRPr="4A6A6817">
        <w:rPr>
          <w:rStyle w:val="Nenhum"/>
          <w:color w:val="auto"/>
          <w:lang w:val="en-US"/>
        </w:rPr>
        <w:t>Bo</w:t>
      </w:r>
      <w:r w:rsidR="1631C144" w:rsidRPr="4A6A6817">
        <w:rPr>
          <w:rStyle w:val="Nenhum"/>
          <w:color w:val="auto"/>
          <w:lang w:val="en-US"/>
        </w:rPr>
        <w:t>u</w:t>
      </w:r>
      <w:r w:rsidR="03401D6D" w:rsidRPr="4A6A6817">
        <w:rPr>
          <w:rStyle w:val="Nenhum"/>
          <w:color w:val="auto"/>
          <w:lang w:val="en-US"/>
        </w:rPr>
        <w:t>rdieu</w:t>
      </w:r>
      <w:r w:rsidR="788B423B" w:rsidRPr="4A6A6817">
        <w:rPr>
          <w:rStyle w:val="Nenhum"/>
          <w:color w:val="auto"/>
          <w:lang w:val="en-US"/>
        </w:rPr>
        <w:t>,</w:t>
      </w:r>
      <w:r w:rsidR="03401D6D" w:rsidRPr="4A6A6817">
        <w:rPr>
          <w:rStyle w:val="Nenhum"/>
          <w:color w:val="auto"/>
          <w:lang w:val="en-US"/>
        </w:rPr>
        <w:t xml:space="preserve"> reside a força do sistema simbólico</w:t>
      </w:r>
      <w:r w:rsidR="00B003A6" w:rsidRPr="4A6A6817">
        <w:rPr>
          <w:rStyle w:val="Nenhum"/>
          <w:color w:val="auto"/>
          <w:lang w:val="en-US"/>
        </w:rPr>
        <w:t>.</w:t>
      </w:r>
      <w:r w:rsidR="7780C32E" w:rsidRPr="4A6A6817">
        <w:rPr>
          <w:rStyle w:val="Nenhum"/>
          <w:color w:val="auto"/>
          <w:lang w:val="en-US"/>
        </w:rPr>
        <w:t xml:space="preserve"> </w:t>
      </w:r>
      <w:r w:rsidR="4FB0A7F9" w:rsidRPr="4A6A6817">
        <w:rPr>
          <w:lang w:val="en-US"/>
        </w:rPr>
        <w:t>Dessa forma, sua influência não se impõe pela coerção direta, como é o caso do poder institucional, mas pela naturalização de sentidos que orientam percepções, interpretações e práticas sociais</w:t>
      </w:r>
      <w:r w:rsidR="00B003A6" w:rsidRPr="4A6A6817">
        <w:rPr>
          <w:lang w:val="en-US"/>
        </w:rPr>
        <w:t>.</w:t>
      </w:r>
    </w:p>
    <w:p w14:paraId="3E269CA9" w14:textId="65E32060" w:rsidR="004B7BAC" w:rsidRDefault="004B7BAC" w:rsidP="004B7BAC">
      <w:pPr>
        <w:pStyle w:val="Corpo"/>
        <w:spacing w:line="360" w:lineRule="auto"/>
        <w:ind w:firstLine="720"/>
        <w:jc w:val="both"/>
        <w:rPr>
          <w:rStyle w:val="Nenhum"/>
          <w:color w:val="auto"/>
          <w:lang w:val="en-US"/>
        </w:rPr>
      </w:pPr>
      <w:r w:rsidRPr="2C8BBEA1">
        <w:rPr>
          <w:rStyle w:val="Nenhum"/>
          <w:color w:val="auto"/>
          <w:lang w:val="en-US"/>
        </w:rPr>
        <w:t>A espetacularização, intensificada pelas redes sociais e sua dinâmica algorítmica, atua diretamente na formação de opinião. A mídia seleciona o que será divulgado e como será divulgado, determinando prioridades públicas e criando convicções. Nesse ambiente, a informação não é apenas noticiada, ela é construída, editada e enquadrada, muitas vezes direcionando a compreensão social sobre questões jurídicas, políticas ou criminais. Essa capacidade de transformar fatos em espetáculos é, conforme Debord (</w:t>
      </w:r>
      <w:r w:rsidRPr="00B95CA3">
        <w:rPr>
          <w:rStyle w:val="Nenhum"/>
          <w:color w:val="auto"/>
          <w:lang w:val="en-US"/>
        </w:rPr>
        <w:t>1997</w:t>
      </w:r>
      <w:r w:rsidR="00B917E4" w:rsidRPr="00B95CA3">
        <w:rPr>
          <w:rStyle w:val="Nenhum"/>
          <w:color w:val="auto"/>
          <w:lang w:val="en-US"/>
        </w:rPr>
        <w:t>, p.</w:t>
      </w:r>
      <w:r w:rsidR="00B95CA3" w:rsidRPr="00B95CA3">
        <w:rPr>
          <w:rStyle w:val="Nenhum"/>
          <w:color w:val="auto"/>
          <w:lang w:val="en-US"/>
        </w:rPr>
        <w:t xml:space="preserve"> 21-22</w:t>
      </w:r>
      <w:r w:rsidRPr="00B95CA3">
        <w:rPr>
          <w:rStyle w:val="Nenhum"/>
          <w:color w:val="auto"/>
          <w:lang w:val="en-US"/>
        </w:rPr>
        <w:t>),</w:t>
      </w:r>
      <w:r w:rsidRPr="2C8BBEA1">
        <w:rPr>
          <w:rStyle w:val="Nenhum"/>
          <w:color w:val="auto"/>
          <w:lang w:val="en-US"/>
        </w:rPr>
        <w:t xml:space="preserve"> a base para a ampliação da influência simbólica da mídia.</w:t>
      </w:r>
    </w:p>
    <w:p w14:paraId="085907CE" w14:textId="40CB65E5" w:rsidR="00C73913" w:rsidRPr="00C73913" w:rsidRDefault="00C73913" w:rsidP="00C73913">
      <w:pPr>
        <w:pStyle w:val="Corpo"/>
        <w:spacing w:line="360" w:lineRule="auto"/>
        <w:ind w:firstLine="720"/>
        <w:jc w:val="both"/>
        <w:rPr>
          <w:rStyle w:val="Nenhum"/>
          <w:color w:val="auto"/>
          <w:lang w:val="en-US"/>
        </w:rPr>
      </w:pPr>
      <w:r w:rsidRPr="2C8BBEA1">
        <w:rPr>
          <w:rStyle w:val="Nenhum"/>
          <w:color w:val="auto"/>
          <w:lang w:val="en-US"/>
        </w:rPr>
        <w:t xml:space="preserve">A ascensão do </w:t>
      </w:r>
      <w:r w:rsidR="003D7282" w:rsidRPr="2C8BBEA1">
        <w:rPr>
          <w:rStyle w:val="Nenhum"/>
          <w:color w:val="auto"/>
          <w:lang w:val="en-US"/>
        </w:rPr>
        <w:t>dos veículos</w:t>
      </w:r>
      <w:r w:rsidRPr="2C8BBEA1">
        <w:rPr>
          <w:rStyle w:val="Nenhum"/>
          <w:color w:val="auto"/>
          <w:lang w:val="en-US"/>
        </w:rPr>
        <w:t xml:space="preserve"> informaciona</w:t>
      </w:r>
      <w:r w:rsidR="003D7282" w:rsidRPr="2C8BBEA1">
        <w:rPr>
          <w:rStyle w:val="Nenhum"/>
          <w:color w:val="auto"/>
          <w:lang w:val="en-US"/>
        </w:rPr>
        <w:t>is</w:t>
      </w:r>
      <w:r w:rsidRPr="2C8BBEA1">
        <w:rPr>
          <w:rStyle w:val="Nenhum"/>
          <w:color w:val="auto"/>
          <w:lang w:val="en-US"/>
        </w:rPr>
        <w:t xml:space="preserve"> fez com que a prática da política se deslocasse </w:t>
      </w:r>
      <w:r w:rsidR="00B34B55" w:rsidRPr="2C8BBEA1">
        <w:rPr>
          <w:rStyle w:val="Nenhum"/>
          <w:color w:val="auto"/>
          <w:lang w:val="en-US"/>
        </w:rPr>
        <w:t>gradualmente</w:t>
      </w:r>
      <w:r w:rsidRPr="2C8BBEA1">
        <w:rPr>
          <w:rStyle w:val="Nenhum"/>
          <w:color w:val="auto"/>
          <w:lang w:val="en-US"/>
        </w:rPr>
        <w:t xml:space="preserve"> para o espaço da mídia, onde a liderança é personalizada e a formação da imagem pública gera poder. A mídia atua como um produto </w:t>
      </w:r>
      <w:r w:rsidR="00A62CCB" w:rsidRPr="2C8BBEA1">
        <w:rPr>
          <w:rStyle w:val="Nenhum"/>
          <w:color w:val="auto"/>
          <w:lang w:val="en-US"/>
        </w:rPr>
        <w:t xml:space="preserve">da evolução </w:t>
      </w:r>
      <w:r w:rsidRPr="2C8BBEA1">
        <w:rPr>
          <w:rStyle w:val="Nenhum"/>
          <w:color w:val="auto"/>
          <w:lang w:val="en-US"/>
        </w:rPr>
        <w:t xml:space="preserve">que reflete e, simultaneamente, cria visões de mundo. No entanto, as representações nela presentes não devem ser compreendidas como um </w:t>
      </w:r>
      <w:r w:rsidR="00A62CCB" w:rsidRPr="2C8BBEA1">
        <w:rPr>
          <w:rStyle w:val="Nenhum"/>
          <w:color w:val="auto"/>
          <w:lang w:val="en-US"/>
        </w:rPr>
        <w:t>espelho</w:t>
      </w:r>
      <w:r w:rsidRPr="2C8BBEA1">
        <w:rPr>
          <w:rStyle w:val="Nenhum"/>
          <w:color w:val="auto"/>
          <w:lang w:val="en-US"/>
        </w:rPr>
        <w:t xml:space="preserve"> </w:t>
      </w:r>
      <w:r w:rsidR="00A62CCB" w:rsidRPr="2C8BBEA1">
        <w:rPr>
          <w:rStyle w:val="Nenhum"/>
          <w:color w:val="auto"/>
          <w:lang w:val="en-US"/>
        </w:rPr>
        <w:t>da</w:t>
      </w:r>
      <w:r w:rsidRPr="2C8BBEA1">
        <w:rPr>
          <w:rStyle w:val="Nenhum"/>
          <w:color w:val="auto"/>
          <w:lang w:val="en-US"/>
        </w:rPr>
        <w:t xml:space="preserve"> verdade, mas sim como </w:t>
      </w:r>
      <w:r w:rsidR="004B7BAC" w:rsidRPr="2C8BBEA1">
        <w:rPr>
          <w:rStyle w:val="Nenhum"/>
          <w:color w:val="auto"/>
          <w:lang w:val="en-US"/>
        </w:rPr>
        <w:t>um reflexo</w:t>
      </w:r>
      <w:r w:rsidRPr="2C8BBEA1">
        <w:rPr>
          <w:rStyle w:val="Nenhum"/>
          <w:color w:val="auto"/>
          <w:lang w:val="en-US"/>
        </w:rPr>
        <w:t xml:space="preserve"> entre tant</w:t>
      </w:r>
      <w:r w:rsidR="00380A62" w:rsidRPr="2C8BBEA1">
        <w:rPr>
          <w:rStyle w:val="Nenhum"/>
          <w:color w:val="auto"/>
          <w:lang w:val="en-US"/>
        </w:rPr>
        <w:t>os</w:t>
      </w:r>
      <w:r w:rsidRPr="2C8BBEA1">
        <w:rPr>
          <w:rStyle w:val="Nenhum"/>
          <w:color w:val="auto"/>
          <w:lang w:val="en-US"/>
        </w:rPr>
        <w:t xml:space="preserve"> outr</w:t>
      </w:r>
      <w:r w:rsidR="00380A62" w:rsidRPr="2C8BBEA1">
        <w:rPr>
          <w:rStyle w:val="Nenhum"/>
          <w:color w:val="auto"/>
          <w:lang w:val="en-US"/>
        </w:rPr>
        <w:t>os</w:t>
      </w:r>
      <w:r w:rsidRPr="2C8BBEA1">
        <w:rPr>
          <w:rStyle w:val="Nenhum"/>
          <w:color w:val="auto"/>
          <w:lang w:val="en-US"/>
        </w:rPr>
        <w:t>, com uma força social capaz de persuadir espectadores de que o real corresponde ao que elas mostram.</w:t>
      </w:r>
    </w:p>
    <w:p w14:paraId="14EB3102" w14:textId="1953D240" w:rsidR="00C73913" w:rsidRPr="00C73913" w:rsidRDefault="00C73913" w:rsidP="00C00DC1">
      <w:pPr>
        <w:pStyle w:val="Corpo"/>
        <w:spacing w:line="360" w:lineRule="auto"/>
        <w:ind w:firstLine="720"/>
        <w:jc w:val="both"/>
        <w:rPr>
          <w:rStyle w:val="Nenhum"/>
          <w:color w:val="auto"/>
          <w:lang w:val="en-US"/>
        </w:rPr>
      </w:pPr>
      <w:r w:rsidRPr="2C8BBEA1">
        <w:rPr>
          <w:rStyle w:val="Nenhum"/>
          <w:color w:val="auto"/>
          <w:lang w:val="en-US"/>
        </w:rPr>
        <w:t xml:space="preserve">Especialmente a partir da massificação da comunicação digital, a mídia amplia seu campo de influência, mas também seus vieses. </w:t>
      </w:r>
      <w:r w:rsidR="00B562ED" w:rsidRPr="2C8BBEA1">
        <w:rPr>
          <w:rStyle w:val="Nenhum"/>
          <w:color w:val="auto"/>
          <w:lang w:val="en-US"/>
        </w:rPr>
        <w:t xml:space="preserve">Isso porque, se antes a </w:t>
      </w:r>
      <w:r w:rsidR="0044014B" w:rsidRPr="2C8BBEA1">
        <w:rPr>
          <w:rStyle w:val="Nenhum"/>
          <w:color w:val="auto"/>
          <w:lang w:val="en-US"/>
        </w:rPr>
        <w:t>imprensa atuava como um instrumento da democracia, a</w:t>
      </w:r>
      <w:r w:rsidRPr="2C8BBEA1">
        <w:rPr>
          <w:rStyle w:val="Nenhum"/>
          <w:color w:val="auto"/>
          <w:lang w:val="en-US"/>
        </w:rPr>
        <w:t xml:space="preserve"> concentração dos meios de produção de conteúdo e a lógica de mercado </w:t>
      </w:r>
      <w:r w:rsidR="0044014B" w:rsidRPr="2C8BBEA1">
        <w:rPr>
          <w:rStyle w:val="Nenhum"/>
          <w:color w:val="auto"/>
          <w:lang w:val="en-US"/>
        </w:rPr>
        <w:t>passam a dificultar</w:t>
      </w:r>
      <w:r w:rsidRPr="2C8BBEA1">
        <w:rPr>
          <w:rStyle w:val="Nenhum"/>
          <w:color w:val="auto"/>
          <w:lang w:val="en-US"/>
        </w:rPr>
        <w:t xml:space="preserve"> a democratização da comunicação. </w:t>
      </w:r>
      <w:r w:rsidR="00C00DC1" w:rsidRPr="2C8BBEA1">
        <w:rPr>
          <w:rStyle w:val="Nenhum"/>
          <w:color w:val="auto"/>
          <w:lang w:val="en-US"/>
        </w:rPr>
        <w:t xml:space="preserve">A </w:t>
      </w:r>
      <w:r w:rsidRPr="2C8BBEA1">
        <w:rPr>
          <w:rStyle w:val="Nenhum"/>
          <w:color w:val="auto"/>
          <w:lang w:val="en-US"/>
        </w:rPr>
        <w:t xml:space="preserve">espetacularização midiática pode atuar de forma </w:t>
      </w:r>
      <w:r w:rsidR="00B34B55" w:rsidRPr="2C8BBEA1">
        <w:rPr>
          <w:rStyle w:val="Nenhum"/>
          <w:color w:val="auto"/>
          <w:lang w:val="en-US"/>
        </w:rPr>
        <w:t>prejudicial</w:t>
      </w:r>
      <w:r w:rsidRPr="2C8BBEA1">
        <w:rPr>
          <w:rStyle w:val="Nenhum"/>
          <w:color w:val="auto"/>
          <w:lang w:val="en-US"/>
        </w:rPr>
        <w:t xml:space="preserve"> no processo penal. A ampla exposição pode transformar casos criminais de grande repercussão em verdadeiros shows, distorcendo fatos para torná-los um produto vendável à massa.</w:t>
      </w:r>
    </w:p>
    <w:p w14:paraId="7E1F58FA" w14:textId="5C1B4784" w:rsidR="00C73913" w:rsidRPr="00C73913" w:rsidRDefault="00C73913" w:rsidP="00C73913">
      <w:pPr>
        <w:pStyle w:val="Corpo"/>
        <w:spacing w:line="360" w:lineRule="auto"/>
        <w:ind w:firstLine="720"/>
        <w:jc w:val="both"/>
        <w:rPr>
          <w:rStyle w:val="Nenhum"/>
          <w:color w:val="auto"/>
          <w:lang w:val="en-US"/>
        </w:rPr>
      </w:pPr>
      <w:r w:rsidRPr="2C8BBEA1">
        <w:rPr>
          <w:rStyle w:val="Nenhum"/>
          <w:color w:val="auto"/>
          <w:lang w:val="en-US"/>
        </w:rPr>
        <w:t>Esse poder midiático,</w:t>
      </w:r>
      <w:r w:rsidR="006A48AF" w:rsidRPr="2C8BBEA1">
        <w:rPr>
          <w:rStyle w:val="Nenhum"/>
          <w:color w:val="auto"/>
          <w:lang w:val="en-US"/>
        </w:rPr>
        <w:t xml:space="preserve"> embora indispensável ao funcionamento democrático</w:t>
      </w:r>
      <w:r w:rsidR="002B7585" w:rsidRPr="2C8BBEA1">
        <w:rPr>
          <w:rStyle w:val="Nenhum"/>
          <w:color w:val="auto"/>
          <w:lang w:val="en-US"/>
        </w:rPr>
        <w:t xml:space="preserve">, </w:t>
      </w:r>
      <w:r w:rsidRPr="2C8BBEA1">
        <w:rPr>
          <w:rStyle w:val="Nenhum"/>
          <w:color w:val="auto"/>
          <w:lang w:val="en-US"/>
        </w:rPr>
        <w:t xml:space="preserve">deve ser equilibrado com as garantias constitucionais e com a necessidade de preservação da imparcialidade das instituições públicas. Quando a </w:t>
      </w:r>
      <w:r w:rsidR="002B7585" w:rsidRPr="2C8BBEA1">
        <w:rPr>
          <w:rStyle w:val="Nenhum"/>
          <w:color w:val="auto"/>
          <w:lang w:val="en-US"/>
        </w:rPr>
        <w:t xml:space="preserve">imprensa ultrapassa seu papel informativo e ao invés </w:t>
      </w:r>
      <w:r w:rsidRPr="2C8BBEA1">
        <w:rPr>
          <w:rStyle w:val="Nenhum"/>
          <w:color w:val="auto"/>
          <w:lang w:val="en-US"/>
        </w:rPr>
        <w:t>de informar, assume o papel de julgadora, cria-se um ambiente de pressão que pode comprometer a presunção de inocência, influenciar jurados e pressionar magistrados, afetando a credibilidade do sistema de justiça.</w:t>
      </w:r>
    </w:p>
    <w:p w14:paraId="12FF0F5E" w14:textId="678DE4B9" w:rsidR="009600C0" w:rsidRDefault="002D1CA6" w:rsidP="00C73913">
      <w:pPr>
        <w:pStyle w:val="Corpo"/>
        <w:spacing w:line="360" w:lineRule="auto"/>
        <w:ind w:firstLine="720"/>
        <w:jc w:val="both"/>
        <w:rPr>
          <w:rStyle w:val="Nenhum"/>
          <w:color w:val="auto"/>
          <w:lang w:val="en-US"/>
        </w:rPr>
      </w:pPr>
      <w:r w:rsidRPr="2C8BBEA1">
        <w:rPr>
          <w:rStyle w:val="Nenhum"/>
          <w:color w:val="auto"/>
          <w:lang w:val="en-US"/>
        </w:rPr>
        <w:t>Portanto</w:t>
      </w:r>
      <w:r w:rsidR="00C73913" w:rsidRPr="2C8BBEA1">
        <w:rPr>
          <w:rStyle w:val="Nenhum"/>
          <w:color w:val="auto"/>
          <w:lang w:val="en-US"/>
        </w:rPr>
        <w:t>, compreender a mídia como "quarto poder" é reconhecer a centralidade ambivalente que ela ocupa na sociedade contemporânea</w:t>
      </w:r>
      <w:r w:rsidRPr="2C8BBEA1">
        <w:rPr>
          <w:rStyle w:val="Nenhum"/>
          <w:color w:val="auto"/>
          <w:lang w:val="en-US"/>
        </w:rPr>
        <w:t xml:space="preserve">, na medida </w:t>
      </w:r>
      <w:r w:rsidR="00EA2825">
        <w:rPr>
          <w:rStyle w:val="Nenhum"/>
          <w:color w:val="auto"/>
          <w:lang w:val="en-US"/>
        </w:rPr>
        <w:t xml:space="preserve">em </w:t>
      </w:r>
      <w:r w:rsidRPr="2C8BBEA1">
        <w:rPr>
          <w:rStyle w:val="Nenhum"/>
          <w:color w:val="auto"/>
          <w:lang w:val="en-US"/>
        </w:rPr>
        <w:t>que</w:t>
      </w:r>
      <w:r w:rsidR="00C73913" w:rsidRPr="2C8BBEA1">
        <w:rPr>
          <w:rStyle w:val="Nenhum"/>
          <w:color w:val="auto"/>
          <w:lang w:val="en-US"/>
        </w:rPr>
        <w:t xml:space="preserve"> ela fortalecer o debate democrático e fiscalizar o poder, </w:t>
      </w:r>
      <w:r w:rsidR="00942739" w:rsidRPr="2C8BBEA1">
        <w:rPr>
          <w:rStyle w:val="Nenhum"/>
          <w:color w:val="auto"/>
          <w:lang w:val="en-US"/>
        </w:rPr>
        <w:t>mas também pode</w:t>
      </w:r>
      <w:r w:rsidR="00C73913" w:rsidRPr="2C8BBEA1">
        <w:rPr>
          <w:rStyle w:val="Nenhum"/>
          <w:color w:val="auto"/>
          <w:lang w:val="en-US"/>
        </w:rPr>
        <w:t xml:space="preserve"> ameaçar direitos fundamentais e a imparcialidade do Judiciário quando exercida sem a devida responsabilidade e ética.</w:t>
      </w:r>
    </w:p>
    <w:p w14:paraId="1B3E0B21" w14:textId="6A6FB8FA" w:rsidR="00942739" w:rsidRDefault="00942739" w:rsidP="00C73913">
      <w:pPr>
        <w:pStyle w:val="Corpo"/>
        <w:spacing w:line="360" w:lineRule="auto"/>
        <w:ind w:firstLine="720"/>
        <w:jc w:val="both"/>
        <w:rPr>
          <w:rStyle w:val="Nenhum"/>
          <w:color w:val="auto"/>
          <w:lang w:val="en-US"/>
        </w:rPr>
      </w:pPr>
      <w:r w:rsidRPr="2C8BBEA1">
        <w:rPr>
          <w:rStyle w:val="Nenhum"/>
          <w:color w:val="auto"/>
          <w:lang w:val="en-US"/>
        </w:rPr>
        <w:t>Essas reflexões serão fundamentais para a análise desenvolvida nos próximos capítulos</w:t>
      </w:r>
      <w:r w:rsidR="00A11AE5" w:rsidRPr="2C8BBEA1">
        <w:rPr>
          <w:rStyle w:val="Nenhum"/>
          <w:color w:val="auto"/>
          <w:lang w:val="en-US"/>
        </w:rPr>
        <w:t>.</w:t>
      </w:r>
    </w:p>
    <w:p w14:paraId="6F401E0E" w14:textId="77777777" w:rsidR="00F86B5D" w:rsidRDefault="00F86B5D" w:rsidP="001C56A1"/>
    <w:p w14:paraId="5E9B154C" w14:textId="4BB0C517" w:rsidR="00E97F51" w:rsidRPr="00FB6CA0" w:rsidRDefault="00E97F51" w:rsidP="00FB6CA0">
      <w:pPr>
        <w:pStyle w:val="Ttulo1"/>
        <w:spacing w:line="360" w:lineRule="auto"/>
        <w:jc w:val="both"/>
        <w:rPr>
          <w:rFonts w:ascii="Times New Roman" w:hAnsi="Times New Roman" w:cs="Times New Roman"/>
          <w:b/>
          <w:bCs/>
          <w:i/>
          <w:iCs/>
          <w:color w:val="auto"/>
          <w:sz w:val="24"/>
          <w:szCs w:val="24"/>
        </w:rPr>
      </w:pPr>
      <w:bookmarkStart w:id="5" w:name="_Toc229076363"/>
      <w:r w:rsidRPr="00661CBB">
        <w:rPr>
          <w:rFonts w:ascii="Times New Roman" w:hAnsi="Times New Roman" w:cs="Times New Roman"/>
          <w:b/>
          <w:bCs/>
          <w:color w:val="auto"/>
          <w:sz w:val="24"/>
          <w:szCs w:val="24"/>
        </w:rPr>
        <w:t xml:space="preserve">2 </w:t>
      </w:r>
      <w:r w:rsidR="002F7FA9" w:rsidRPr="00661CBB">
        <w:rPr>
          <w:rFonts w:ascii="Times New Roman" w:hAnsi="Times New Roman" w:cs="Times New Roman"/>
          <w:b/>
          <w:bCs/>
          <w:color w:val="auto"/>
          <w:sz w:val="24"/>
          <w:szCs w:val="24"/>
        </w:rPr>
        <w:t>A INFLUÊNCIA MIDIÁTICA NO PROCESSO PENAL</w:t>
      </w:r>
      <w:bookmarkEnd w:id="5"/>
    </w:p>
    <w:p w14:paraId="27F521B8" w14:textId="0089CD00" w:rsidR="00182286" w:rsidRDefault="005B4027" w:rsidP="00AB424D">
      <w:pPr>
        <w:spacing w:line="360" w:lineRule="auto"/>
        <w:ind w:firstLine="708"/>
        <w:jc w:val="both"/>
      </w:pPr>
      <w:r w:rsidRPr="005B4027">
        <w:t>A consolidação da mídia como instrumento de poder simbólico e mecanismo de controle social produz efeitos relevantes no âmbito da justiça criminal. Se anteriormente foi demonstrado que os meios de comunicação influenciam diretamente a formação da opinião pública, torna-se necessário analisar, neste momento, de que forma essa atuação repercute especificamente no processo penal, podendo comprometer a efetividade das garantias fundamentais.</w:t>
      </w:r>
    </w:p>
    <w:p w14:paraId="34D193F7" w14:textId="5C17472B" w:rsidR="0096333B" w:rsidRDefault="004657F2" w:rsidP="00AB424D">
      <w:pPr>
        <w:spacing w:line="360" w:lineRule="auto"/>
        <w:ind w:firstLine="708"/>
        <w:jc w:val="both"/>
      </w:pPr>
      <w:r w:rsidRPr="004657F2">
        <w:t>No contexto do Estado Democrático de Direito, o processo penal não possui apenas finalidade punitiva, mas também função garantidora, atuando como mecanismo de limitação do poder estatal e de proteção dos direitos fundamentais do acusado, especialmente o contraditório, a ampla defesa e a presunção de inocência</w:t>
      </w:r>
      <w:r w:rsidR="0096333B">
        <w:t xml:space="preserve">. Entretanto, quando a lógica midiática, que se caracteriza pela velocidade, repetição e dramatização, sobrepõe-se à racionalidade jurídica, cria-se um ambiente propenso à distorção dessas garantias, </w:t>
      </w:r>
      <w:r w:rsidR="001523C4">
        <w:t>que</w:t>
      </w:r>
      <w:r w:rsidR="002E67A2">
        <w:t xml:space="preserve"> </w:t>
      </w:r>
      <w:r w:rsidR="001523C4">
        <w:t>prioriza</w:t>
      </w:r>
      <w:r w:rsidR="002E67A2">
        <w:t xml:space="preserve"> a urgência informativ</w:t>
      </w:r>
      <w:r w:rsidR="00F8025A">
        <w:t>a</w:t>
      </w:r>
      <w:r w:rsidR="002E67A2">
        <w:t xml:space="preserve"> sobre a deliberação técnica</w:t>
      </w:r>
      <w:r w:rsidR="00DB4281">
        <w:t xml:space="preserve"> que é necessária no processo penal</w:t>
      </w:r>
      <w:r w:rsidR="002E67A2">
        <w:t>.</w:t>
      </w:r>
    </w:p>
    <w:p w14:paraId="6E701646" w14:textId="45FE602F" w:rsidR="00D1575F" w:rsidRDefault="00D1575F" w:rsidP="00AB424D">
      <w:pPr>
        <w:spacing w:line="360" w:lineRule="auto"/>
        <w:ind w:firstLine="708"/>
        <w:jc w:val="both"/>
      </w:pPr>
      <w:r>
        <w:t>Pierre Bourdieu compreende esse fenômeno como expressão do poder simbólico, definido como um “poder invisível que só pode exercer-se com a cumplicidade daqueles que não querem saber que lhe estão sujeitos ou mesmo que o exercem” (B</w:t>
      </w:r>
      <w:r w:rsidR="00326F21">
        <w:t>ourdieu</w:t>
      </w:r>
      <w:r>
        <w:t xml:space="preserve">, 1989, p. 7-8). Trata-se, portanto, de uma forma de dominação que opera de maneira sutil, </w:t>
      </w:r>
      <w:r w:rsidR="00A31617">
        <w:t>i</w:t>
      </w:r>
      <w:r>
        <w:t>mpondo significados sem recorrer à coerção direta.</w:t>
      </w:r>
    </w:p>
    <w:p w14:paraId="5D1370B1" w14:textId="77777777" w:rsidR="00D1575F" w:rsidRDefault="00D1575F" w:rsidP="00AB424D">
      <w:pPr>
        <w:spacing w:line="360" w:lineRule="auto"/>
        <w:ind w:firstLine="708"/>
        <w:jc w:val="both"/>
      </w:pPr>
    </w:p>
    <w:p w14:paraId="501FB4E7" w14:textId="085211F0" w:rsidR="00D1575F" w:rsidRPr="005B4027" w:rsidRDefault="00D1575F" w:rsidP="005B4027">
      <w:pPr>
        <w:spacing w:line="360" w:lineRule="auto"/>
        <w:ind w:firstLine="708"/>
        <w:jc w:val="both"/>
        <w:rPr>
          <w:lang w:val="pt-BR"/>
        </w:rPr>
      </w:pPr>
      <w:r>
        <w:t>N</w:t>
      </w:r>
      <w:r w:rsidR="005B4027" w:rsidRPr="005B4027">
        <w:rPr>
          <w:lang w:val="pt-BR"/>
        </w:rPr>
        <w:t>o processo penal, essa dinâmica torna-se evidente quando narrativas construídas pela mídia passam a ser assimiladas socialmente como verdade antes mesmo da produção das provas em juízo. Com isso, a reconstrução dos fatos deixa de ocorrer exclusivamente dentro dos limites do devido processo legal e passa a ser antecipada no espaço público, marcado pela ampla circulação e repetição de versões dos acontecimentos.</w:t>
      </w:r>
    </w:p>
    <w:p w14:paraId="520DE462" w14:textId="543C2C27" w:rsidR="00D1575F" w:rsidRPr="005B4027" w:rsidRDefault="005B4027" w:rsidP="005B4027">
      <w:pPr>
        <w:spacing w:line="360" w:lineRule="auto"/>
        <w:ind w:firstLine="708"/>
        <w:jc w:val="both"/>
        <w:rPr>
          <w:lang w:val="pt-BR"/>
        </w:rPr>
      </w:pPr>
      <w:r w:rsidRPr="005B4027">
        <w:rPr>
          <w:lang w:val="pt-BR"/>
        </w:rPr>
        <w:t xml:space="preserve">Nesse cenário, desenvolve-se o fenômeno conhecido como </w:t>
      </w:r>
      <w:r w:rsidRPr="005B4027">
        <w:rPr>
          <w:i/>
          <w:iCs/>
          <w:lang w:val="pt-BR"/>
        </w:rPr>
        <w:t>trial by media</w:t>
      </w:r>
      <w:r w:rsidRPr="005B4027">
        <w:rPr>
          <w:lang w:val="pt-BR"/>
        </w:rPr>
        <w:t>, ou julgamento midiático, em que a percepção de culpabilidade é socialmente construída antes da conclusão da instrução processual. Como consequência, a influência dessas narrativas pode repercutir não apenas sobre o andamento das investigações, mas também sobre a formação do convencimento judicial e sobre a efetividade das garantias fundamentais asseguradas ao acusado.</w:t>
      </w:r>
    </w:p>
    <w:p w14:paraId="57F4A2D7" w14:textId="77777777" w:rsidR="004657F2" w:rsidRDefault="004657F2" w:rsidP="00D1575F">
      <w:pPr>
        <w:spacing w:line="360" w:lineRule="auto"/>
        <w:ind w:firstLine="708"/>
        <w:jc w:val="both"/>
      </w:pPr>
    </w:p>
    <w:p w14:paraId="77E7F1DA" w14:textId="3853707B" w:rsidR="00E97F51" w:rsidRPr="00661CBB" w:rsidRDefault="00A43844" w:rsidP="00661CBB">
      <w:pPr>
        <w:pStyle w:val="Ttulo2"/>
        <w:spacing w:line="360" w:lineRule="auto"/>
        <w:jc w:val="both"/>
        <w:rPr>
          <w:rFonts w:ascii="Times New Roman" w:hAnsi="Times New Roman" w:cs="Times New Roman"/>
          <w:color w:val="auto"/>
          <w:sz w:val="24"/>
          <w:szCs w:val="24"/>
        </w:rPr>
      </w:pPr>
      <w:bookmarkStart w:id="6" w:name="_Toc229076364"/>
      <w:r w:rsidRPr="00661CBB">
        <w:rPr>
          <w:rFonts w:ascii="Times New Roman" w:hAnsi="Times New Roman" w:cs="Times New Roman"/>
          <w:color w:val="auto"/>
          <w:sz w:val="24"/>
          <w:szCs w:val="24"/>
        </w:rPr>
        <w:t xml:space="preserve">2.1 </w:t>
      </w:r>
      <w:r w:rsidR="00E97F51" w:rsidRPr="00661CBB">
        <w:rPr>
          <w:rFonts w:ascii="Times New Roman" w:hAnsi="Times New Roman" w:cs="Times New Roman"/>
          <w:color w:val="auto"/>
          <w:sz w:val="24"/>
          <w:szCs w:val="24"/>
        </w:rPr>
        <w:t>O FENÔMENO DO JULGAMENTO MIDIÁTICO</w:t>
      </w:r>
      <w:bookmarkEnd w:id="6"/>
    </w:p>
    <w:p w14:paraId="2301BA01" w14:textId="544DE972" w:rsidR="00E25AD6" w:rsidRPr="005F5336" w:rsidRDefault="00404BB9" w:rsidP="00AB424D">
      <w:pPr>
        <w:spacing w:line="360" w:lineRule="auto"/>
        <w:ind w:firstLine="708"/>
        <w:jc w:val="both"/>
      </w:pPr>
      <w:r w:rsidRPr="00404BB9">
        <w:t>O julgamento midiátic</w:t>
      </w:r>
      <w:r w:rsidR="0007418A">
        <w:t xml:space="preserve">o </w:t>
      </w:r>
      <w:r w:rsidRPr="00404BB9">
        <w:t>caracteriza-se pela antecipação de um veredito social que ignora o rito processual e as garantias do acusado. Nilo Batista (</w:t>
      </w:r>
      <w:r w:rsidR="00CF7475" w:rsidRPr="0052245D">
        <w:t>2003</w:t>
      </w:r>
      <w:r w:rsidR="004D0385" w:rsidRPr="0052245D">
        <w:t>, p</w:t>
      </w:r>
      <w:r w:rsidR="004D0385">
        <w:t>.</w:t>
      </w:r>
      <w:r w:rsidR="0052245D">
        <w:t xml:space="preserve"> 5-6</w:t>
      </w:r>
      <w:r w:rsidRPr="00404BB9">
        <w:t>) observa que a narrativa jornalistica frequentemente opera um julgamento sem defesa, onde a condenação pública precede qualquer instrução probatória. Esse processo é alimentado por uma lógica de mercado que transforma o crime em um objeto de consumo espetacularizado.</w:t>
      </w:r>
    </w:p>
    <w:p w14:paraId="54A35B11" w14:textId="0B41FA71" w:rsidR="0096482B" w:rsidRDefault="00FF6995" w:rsidP="00AB424D">
      <w:pPr>
        <w:spacing w:line="360" w:lineRule="auto"/>
        <w:ind w:firstLine="708"/>
        <w:jc w:val="both"/>
      </w:pPr>
      <w:r>
        <w:t>Ocorre</w:t>
      </w:r>
      <w:r w:rsidR="0096482B">
        <w:t xml:space="preserve"> o que Salo Carvalho (2015, p. 355) denomina “hiperbolia sensacionalista”, na qual a mídia explora detalhes mórbidos e </w:t>
      </w:r>
      <w:r w:rsidR="000C49EA">
        <w:t>extremos</w:t>
      </w:r>
      <w:r w:rsidR="0096482B">
        <w:t xml:space="preserve"> para manter índices de audiência, </w:t>
      </w:r>
      <w:r w:rsidR="00BA3537">
        <w:t xml:space="preserve">o que resulta </w:t>
      </w:r>
      <w:r w:rsidR="000C49EA">
        <w:t>em</w:t>
      </w:r>
      <w:r w:rsidR="006B7BEF">
        <w:t xml:space="preserve"> </w:t>
      </w:r>
      <w:r w:rsidR="000C49EA">
        <w:t>u</w:t>
      </w:r>
      <w:r w:rsidR="006B7BEF">
        <w:t xml:space="preserve">ma </w:t>
      </w:r>
      <w:r w:rsidR="000C49EA">
        <w:t>“</w:t>
      </w:r>
      <w:r w:rsidR="006B7BEF">
        <w:t>anemia sociológica</w:t>
      </w:r>
      <w:r w:rsidR="000C49EA">
        <w:t>”</w:t>
      </w:r>
      <w:r w:rsidR="006B7BEF">
        <w:t xml:space="preserve"> sobre as causas do desvio e estigmatiza o réu antes de sua oitiva judicial. Isso compromete a presunção da inocência</w:t>
      </w:r>
      <w:r w:rsidR="00E17F18">
        <w:t xml:space="preserve">, prevista no art. 5º, LVII, da Constituição Federal de 1988, que ninguém será considerado culpado até o trânsito em julgado de sentença pena condenatória; </w:t>
      </w:r>
      <w:r w:rsidR="00894F10">
        <w:t xml:space="preserve">Aury </w:t>
      </w:r>
      <w:r w:rsidR="00E17F18">
        <w:t>Lopes Jr. e Badaró (</w:t>
      </w:r>
      <w:r w:rsidR="00E17F18" w:rsidRPr="005F50AB">
        <w:t>2016</w:t>
      </w:r>
      <w:r w:rsidR="0002158A" w:rsidRPr="005F50AB">
        <w:t>, p</w:t>
      </w:r>
      <w:r w:rsidR="0002158A">
        <w:t>.</w:t>
      </w:r>
      <w:r w:rsidR="005F50AB">
        <w:t xml:space="preserve"> 8-9</w:t>
      </w:r>
      <w:r w:rsidR="00E17F18">
        <w:t>) enfatizam que se trata de</w:t>
      </w:r>
      <w:r w:rsidR="005B4D7A">
        <w:t xml:space="preserve"> uma regra de tratamento e julgamento durante todo o processo.</w:t>
      </w:r>
    </w:p>
    <w:p w14:paraId="38C69873" w14:textId="18F3F7B8" w:rsidR="00404BB9" w:rsidRDefault="0096482B" w:rsidP="00AB424D">
      <w:pPr>
        <w:spacing w:line="360" w:lineRule="auto"/>
        <w:ind w:firstLine="708"/>
        <w:jc w:val="both"/>
      </w:pPr>
      <w:r>
        <w:t>Todavia, quando a mídia categóricamente apresenta o investigado como culpado, estabelece-se um tribunal informal, no qual a condenação social precede a decisão judicial. Essa exp</w:t>
      </w:r>
      <w:r w:rsidR="00D60BDE">
        <w:t>o</w:t>
      </w:r>
      <w:r w:rsidR="00357EDA">
        <w:t>s</w:t>
      </w:r>
      <w:r>
        <w:t xml:space="preserve">ição pode influenciar a percepção pública e exercer pressão sobre magistrados e operadores do direito, invertendo a lógica constitucional: </w:t>
      </w:r>
      <w:r w:rsidR="00516C4E" w:rsidRPr="00516C4E">
        <w:t>o processo deixa de atuar como um instrumento de apuração imparcial da responsabilidade penal e passa a funcionar como um mecanismo de validação de uma culpabilidade previamente construída e difundida no âmbito midiático</w:t>
      </w:r>
    </w:p>
    <w:p w14:paraId="7941CEC7" w14:textId="77777777" w:rsidR="00A43844" w:rsidRDefault="00A43844" w:rsidP="00AB424D">
      <w:pPr>
        <w:spacing w:line="360" w:lineRule="auto"/>
        <w:ind w:firstLine="708"/>
        <w:jc w:val="both"/>
      </w:pPr>
    </w:p>
    <w:p w14:paraId="59E04322" w14:textId="7AD12B65" w:rsidR="00144D5B" w:rsidRPr="00FB6CA0" w:rsidRDefault="00A43844" w:rsidP="00FB6CA0">
      <w:pPr>
        <w:pStyle w:val="Ttulo2"/>
        <w:spacing w:line="360" w:lineRule="auto"/>
        <w:jc w:val="both"/>
        <w:rPr>
          <w:rFonts w:ascii="Times New Roman" w:hAnsi="Times New Roman" w:cs="Times New Roman"/>
          <w:i/>
          <w:iCs/>
          <w:color w:val="auto"/>
          <w:sz w:val="24"/>
          <w:szCs w:val="24"/>
        </w:rPr>
      </w:pPr>
      <w:bookmarkStart w:id="7" w:name="_Toc229076365"/>
      <w:r w:rsidRPr="00661CBB">
        <w:rPr>
          <w:rFonts w:ascii="Times New Roman" w:hAnsi="Times New Roman" w:cs="Times New Roman"/>
          <w:color w:val="auto"/>
          <w:sz w:val="24"/>
          <w:szCs w:val="24"/>
        </w:rPr>
        <w:t>2.2 INTERFERÊNCIAS NO INQUÉRITO POLICIAL E NA CONDUÇÃO DE INVESTIGAÇÕES</w:t>
      </w:r>
      <w:bookmarkEnd w:id="7"/>
    </w:p>
    <w:p w14:paraId="01CFDC19" w14:textId="12F89A84" w:rsidR="00E61E19" w:rsidRDefault="00E61E19" w:rsidP="0003328D">
      <w:pPr>
        <w:spacing w:line="360" w:lineRule="auto"/>
        <w:ind w:firstLine="708"/>
        <w:jc w:val="both"/>
      </w:pPr>
      <w:r>
        <w:t>A fase investigativa revela-se especialmente vulnerável à mídia devido à ausência de contraditório pleno no inquérito policial, permitindo que divulgações precipitadas de informações comprometam a imparcialidade e gerem demandas por respostas imediatas. Aury Lopes Jr. (2019, p. 780) adverte que a espetacularização de prisões e o marketing policial podem contaminar a condução das apurações, pautando as agências estatais e levando a atropelos legais.</w:t>
      </w:r>
    </w:p>
    <w:p w14:paraId="64C1B279" w14:textId="66BEBAE6" w:rsidR="00E61E19" w:rsidRDefault="00E61E19" w:rsidP="0003328D">
      <w:pPr>
        <w:spacing w:line="360" w:lineRule="auto"/>
        <w:ind w:firstLine="708"/>
        <w:jc w:val="both"/>
      </w:pPr>
      <w:r>
        <w:t>A mídia, nesse contexto, desloca o foco da investigação técnica para a satisfação da opinião pública, estendendo sua influência à percepção social e, potencialmente, à atuação dos próprios agentes estatais, criando pré-julgamentos dissociados do devido processo legal. Alerta Schünemann, citado por Aury Lopes Jr. (2019, p. 80), que “o juiz tende a apegar-se à imagem do fato que lhe foi transmitida pelos autos da investigação preliminar, sendo informações dissonantes frequentemente ignoradas ou menosprezadas”.</w:t>
      </w:r>
    </w:p>
    <w:p w14:paraId="58348FF5" w14:textId="77777777" w:rsidR="004657F2" w:rsidRDefault="00E61E19" w:rsidP="0003328D">
      <w:pPr>
        <w:spacing w:line="360" w:lineRule="auto"/>
        <w:ind w:firstLine="708"/>
        <w:jc w:val="both"/>
      </w:pPr>
      <w:r>
        <w:t xml:space="preserve">Nesse cenário, ganha relevância a compreensão da chamada lógica neoinquisitorial. Trata-se da permanência de </w:t>
      </w:r>
      <w:r w:rsidR="004657F2" w:rsidRPr="004657F2">
        <w:t>traços inquisitoriais no processo penal contemporâneo, mesmo após a Constituição Federal ter consagrado, formalmente, o sistema acusatório. Embora haja previsão de separação entre as funções de investigar, acusar e julgar, verifica-se, na prática, que os elementos produzidos durante a fase investigativa exercem significativa influência na formação do convencimento do magistrado.</w:t>
      </w:r>
    </w:p>
    <w:p w14:paraId="055F123F" w14:textId="480F3319" w:rsidR="00682D3C" w:rsidRPr="00682D3C" w:rsidRDefault="00682D3C" w:rsidP="00682D3C">
      <w:pPr>
        <w:spacing w:line="360" w:lineRule="auto"/>
        <w:ind w:firstLine="708"/>
        <w:jc w:val="both"/>
        <w:rPr>
          <w:lang w:val="pt-BR"/>
        </w:rPr>
      </w:pPr>
      <w:r w:rsidRPr="00682D3C">
        <w:rPr>
          <w:lang w:val="pt-BR"/>
        </w:rPr>
        <w:t>Nesse sentido, Aury Lopes Jr. sustenta que, apesar de o sistema processual penal brasileiro ser tradicionalmente classificado como misto, a estrutura processual mantém traços inquisitivos relevantes, especialmente em razão da concentração da gestão probatória nas mãos do magistrado, circunstância que compromete a plena efetivação do modelo acusatório (LOPES JR., 2019, p. 62).</w:t>
      </w:r>
    </w:p>
    <w:p w14:paraId="464D4210" w14:textId="2B4BA320" w:rsidR="00E61E19" w:rsidRDefault="00E61E19" w:rsidP="0003328D">
      <w:pPr>
        <w:spacing w:line="360" w:lineRule="auto"/>
        <w:ind w:firstLine="708"/>
        <w:jc w:val="both"/>
      </w:pPr>
      <w:r>
        <w:t>Essa dinâmica é intensificada pela construção inicial de imagens mentais a partir do inquérito policial, frequentemente amplificadas pela mídia. Tais representações tendem a persistir ao longo da instrução processual, influenciando a percepção do julgador e dificultando a análise imparcial das provas produzidas em juízo.</w:t>
      </w:r>
    </w:p>
    <w:p w14:paraId="52099589" w14:textId="61B3055E" w:rsidR="00E61E19" w:rsidRDefault="00E61E19" w:rsidP="004657F2">
      <w:pPr>
        <w:spacing w:line="360" w:lineRule="auto"/>
        <w:ind w:firstLine="708"/>
        <w:jc w:val="both"/>
      </w:pPr>
      <w:r>
        <w:t xml:space="preserve">Dessa forma, a lógica neoinquisitorial manifesta-se quando, apesar da adoção formal do sistema acusatório, o processo penal passa a operar com traços inquisitórios, especialmente pela valorização excessiva dos elementos investigativos e pela influência de narrativas midiáticas. Esse cenário compromete </w:t>
      </w:r>
      <w:r w:rsidR="004657F2" w:rsidRPr="004657F2">
        <w:t>a imparcialidade do julgador e enfraquece a efetividade de garantias fundamentais, como o devido processo legal, o contraditório e a presunção de inocência. Além disso, favorece a intensificação do clamor social e contribui para o fortalecimento do poder punitivo estatal.</w:t>
      </w:r>
    </w:p>
    <w:p w14:paraId="260F2861" w14:textId="77777777" w:rsidR="004657F2" w:rsidRDefault="004657F2" w:rsidP="004657F2">
      <w:pPr>
        <w:spacing w:line="360" w:lineRule="auto"/>
        <w:ind w:firstLine="708"/>
        <w:jc w:val="both"/>
      </w:pPr>
    </w:p>
    <w:p w14:paraId="780DC374" w14:textId="4B5F48ED" w:rsidR="00144D5B" w:rsidRPr="00661CBB" w:rsidRDefault="00144D5B" w:rsidP="00661CBB">
      <w:pPr>
        <w:pStyle w:val="Ttulo2"/>
        <w:spacing w:line="360" w:lineRule="auto"/>
        <w:jc w:val="both"/>
        <w:rPr>
          <w:rFonts w:ascii="Times New Roman" w:hAnsi="Times New Roman" w:cs="Times New Roman"/>
          <w:color w:val="auto"/>
          <w:sz w:val="24"/>
          <w:szCs w:val="24"/>
        </w:rPr>
      </w:pPr>
      <w:bookmarkStart w:id="8" w:name="_Toc229076366"/>
      <w:r w:rsidRPr="00661CBB">
        <w:rPr>
          <w:rFonts w:ascii="Times New Roman" w:hAnsi="Times New Roman" w:cs="Times New Roman"/>
          <w:color w:val="auto"/>
          <w:sz w:val="24"/>
          <w:szCs w:val="24"/>
        </w:rPr>
        <w:t>2.3 A RELAÇÃO ENTRE MÍDIA, PODER PUNITIVO E CLAMOR SOCIAL</w:t>
      </w:r>
      <w:bookmarkEnd w:id="8"/>
    </w:p>
    <w:p w14:paraId="63ECD46B" w14:textId="197F10AF" w:rsidR="00315A0C" w:rsidRPr="00315A0C" w:rsidRDefault="009E1086" w:rsidP="00151614">
      <w:pPr>
        <w:spacing w:line="360" w:lineRule="auto"/>
        <w:ind w:firstLine="708"/>
        <w:jc w:val="both"/>
      </w:pPr>
      <w:r w:rsidRPr="009E1086">
        <w:t>A relação entre comunicação e punitividade fundamenta-se na exploração da insegurança. Zygmunt Bauman (2008</w:t>
      </w:r>
      <w:r w:rsidR="00F30668">
        <w:t>, p. 8</w:t>
      </w:r>
      <w:r w:rsidRPr="009E1086">
        <w:t xml:space="preserve">) descreve a modernidade como marcada por um "medo </w:t>
      </w:r>
      <w:r w:rsidR="00F30668">
        <w:t>indistinto</w:t>
      </w:r>
      <w:r w:rsidRPr="009E1086">
        <w:t>", uma ansiedade constante gerada pela fragilidade dos laços sociais. A mídia atua como catalisadora desse medo, convertendo o sentimento de vulnerabilidade em demanda por populismo punitivo.</w:t>
      </w:r>
    </w:p>
    <w:p w14:paraId="5999B49A" w14:textId="70A16FC0" w:rsidR="00274978" w:rsidRDefault="00274978" w:rsidP="0015161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8"/>
        <w:jc w:val="both"/>
        <w:rPr>
          <w:rFonts w:eastAsiaTheme="minorEastAsia"/>
          <w:bdr w:val="none" w:sz="0" w:space="0" w:color="auto"/>
          <w:lang w:val="pt-BR" w:eastAsia="pt-BR"/>
        </w:rPr>
      </w:pPr>
      <w:r w:rsidRPr="00274978">
        <w:rPr>
          <w:rFonts w:eastAsiaTheme="minorEastAsia"/>
          <w:bdr w:val="none" w:sz="0" w:space="0" w:color="auto"/>
          <w:lang w:val="pt-BR" w:eastAsia="pt-BR"/>
        </w:rPr>
        <w:t>O discurso midiático reforça a ideia de que a "impunidade" é a causa da violência, pressionando o Judiciário a adotar a prisão cautelar como regra. Loïc Wacquant (</w:t>
      </w:r>
      <w:r w:rsidR="00021729">
        <w:rPr>
          <w:rFonts w:eastAsiaTheme="minorEastAsia"/>
          <w:bdr w:val="none" w:sz="0" w:space="0" w:color="auto"/>
          <w:lang w:val="pt-BR" w:eastAsia="pt-BR"/>
        </w:rPr>
        <w:t>20</w:t>
      </w:r>
      <w:r w:rsidR="00212990">
        <w:rPr>
          <w:rFonts w:eastAsiaTheme="minorEastAsia"/>
          <w:bdr w:val="none" w:sz="0" w:space="0" w:color="auto"/>
          <w:lang w:val="pt-BR" w:eastAsia="pt-BR"/>
        </w:rPr>
        <w:t>0</w:t>
      </w:r>
      <w:r w:rsidR="00021729">
        <w:rPr>
          <w:rFonts w:eastAsiaTheme="minorEastAsia"/>
          <w:bdr w:val="none" w:sz="0" w:space="0" w:color="auto"/>
          <w:lang w:val="pt-BR" w:eastAsia="pt-BR"/>
        </w:rPr>
        <w:t>1</w:t>
      </w:r>
      <w:r w:rsidR="00C14014">
        <w:rPr>
          <w:rFonts w:eastAsiaTheme="minorEastAsia"/>
          <w:bdr w:val="none" w:sz="0" w:space="0" w:color="auto"/>
          <w:lang w:val="pt-BR" w:eastAsia="pt-BR"/>
        </w:rPr>
        <w:t xml:space="preserve">, </w:t>
      </w:r>
      <w:r w:rsidR="00704CDB">
        <w:rPr>
          <w:rFonts w:eastAsiaTheme="minorEastAsia"/>
          <w:bdr w:val="none" w:sz="0" w:space="0" w:color="auto"/>
          <w:lang w:val="pt-BR" w:eastAsia="pt-BR"/>
        </w:rPr>
        <w:t>p. 11</w:t>
      </w:r>
      <w:r w:rsidRPr="00274978">
        <w:rPr>
          <w:rFonts w:eastAsiaTheme="minorEastAsia"/>
          <w:bdr w:val="none" w:sz="0" w:space="0" w:color="auto"/>
          <w:lang w:val="pt-BR" w:eastAsia="pt-BR"/>
        </w:rPr>
        <w:t xml:space="preserve">) argumenta que </w:t>
      </w:r>
      <w:r w:rsidR="00704CDB">
        <w:rPr>
          <w:rFonts w:eastAsiaTheme="minorEastAsia"/>
          <w:bdr w:val="none" w:sz="0" w:space="0" w:color="auto"/>
          <w:lang w:val="pt-BR" w:eastAsia="pt-BR"/>
        </w:rPr>
        <w:t>“</w:t>
      </w:r>
      <w:r w:rsidRPr="00274978">
        <w:rPr>
          <w:rFonts w:eastAsiaTheme="minorEastAsia"/>
          <w:bdr w:val="none" w:sz="0" w:space="0" w:color="auto"/>
          <w:lang w:val="pt-BR" w:eastAsia="pt-BR"/>
        </w:rPr>
        <w:t>esse novo senso comum penal visa criminalizar a miséria</w:t>
      </w:r>
      <w:r w:rsidR="00704CDB">
        <w:rPr>
          <w:rFonts w:eastAsiaTheme="minorEastAsia"/>
          <w:bdr w:val="none" w:sz="0" w:space="0" w:color="auto"/>
          <w:lang w:val="pt-BR" w:eastAsia="pt-BR"/>
        </w:rPr>
        <w:t>”</w:t>
      </w:r>
      <w:r w:rsidRPr="00274978">
        <w:rPr>
          <w:rFonts w:eastAsiaTheme="minorEastAsia"/>
          <w:bdr w:val="none" w:sz="0" w:space="0" w:color="auto"/>
          <w:lang w:val="pt-BR" w:eastAsia="pt-BR"/>
        </w:rPr>
        <w:t>, utilizando o sistema penal para gerir a insegurança social decorrente do modelo econômico neoliberal. A mídia, ao rotular grupos marginalizados como o "mal", legitima a expansão do Estado penal em detrimento das garantias do Estado social.</w:t>
      </w:r>
    </w:p>
    <w:p w14:paraId="25F1FB11" w14:textId="5C4B41FA" w:rsidR="007E0A94" w:rsidRPr="00214DEB" w:rsidRDefault="007E0A94" w:rsidP="0015161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firstLine="708"/>
        <w:jc w:val="both"/>
        <w:rPr>
          <w:rFonts w:eastAsiaTheme="minorEastAsia"/>
          <w:bdr w:val="none" w:sz="0" w:space="0" w:color="auto"/>
          <w:lang w:val="pt-BR" w:eastAsia="pt-BR"/>
        </w:rPr>
      </w:pPr>
      <w:r w:rsidRPr="007E0A94">
        <w:rPr>
          <w:rFonts w:eastAsiaTheme="minorEastAsia"/>
          <w:bdr w:val="none" w:sz="0" w:space="0" w:color="auto"/>
          <w:lang w:val="pt-BR" w:eastAsia="pt-BR"/>
        </w:rPr>
        <w:t>Nesse contexto, o clamor social alimentado pela cobertura midiática pode pressionar o sistema de justiça a adotar medidas mais severas, deslocando o processo penal de sua função garantidora para uma função meramente satisfativa da indignação coletiva.</w:t>
      </w:r>
      <w:r w:rsidR="00035CAF">
        <w:rPr>
          <w:rFonts w:eastAsiaTheme="minorEastAsia"/>
          <w:bdr w:val="none" w:sz="0" w:space="0" w:color="auto"/>
          <w:lang w:val="pt-BR" w:eastAsia="pt-BR"/>
        </w:rPr>
        <w:t xml:space="preserve"> </w:t>
      </w:r>
      <w:r w:rsidRPr="007E0A94">
        <w:rPr>
          <w:rFonts w:eastAsiaTheme="minorEastAsia"/>
          <w:bdr w:val="none" w:sz="0" w:space="0" w:color="auto"/>
          <w:lang w:val="pt-BR" w:eastAsia="pt-BR"/>
        </w:rPr>
        <w:t>O risco reside na consolidação de um modelo de justiça orientado pela emoção e pela visibilidade, em detrimento da racionalidade jurídica e do devido processo legal.</w:t>
      </w:r>
    </w:p>
    <w:p w14:paraId="718C37C9" w14:textId="77777777" w:rsidR="009E1086" w:rsidRPr="00315A0C" w:rsidRDefault="009E1086" w:rsidP="00315A0C"/>
    <w:p w14:paraId="1E47E408" w14:textId="187F4872" w:rsidR="008519D4" w:rsidRPr="008519D4" w:rsidRDefault="00315A0C" w:rsidP="2C8BBEA1">
      <w:pPr>
        <w:pStyle w:val="Ttulo2"/>
        <w:spacing w:line="360" w:lineRule="auto"/>
        <w:jc w:val="both"/>
        <w:rPr>
          <w:rFonts w:ascii="Times New Roman" w:hAnsi="Times New Roman" w:cs="Times New Roman"/>
          <w:i/>
          <w:color w:val="auto"/>
          <w:sz w:val="24"/>
          <w:szCs w:val="24"/>
        </w:rPr>
      </w:pPr>
      <w:bookmarkStart w:id="9" w:name="_Toc229076367"/>
      <w:r w:rsidRPr="00661CBB">
        <w:rPr>
          <w:rFonts w:ascii="Times New Roman" w:hAnsi="Times New Roman" w:cs="Times New Roman"/>
          <w:color w:val="auto"/>
          <w:sz w:val="24"/>
          <w:szCs w:val="24"/>
        </w:rPr>
        <w:t>2.4 A VIOLAÇÃO DE DIREITOS FUNDAMENTAIS</w:t>
      </w:r>
      <w:bookmarkEnd w:id="9"/>
    </w:p>
    <w:p w14:paraId="639351E9" w14:textId="10789029" w:rsidR="002574D3" w:rsidRDefault="002574D3" w:rsidP="00151614">
      <w:pPr>
        <w:spacing w:line="360" w:lineRule="auto"/>
        <w:ind w:firstLine="708"/>
        <w:jc w:val="both"/>
      </w:pPr>
      <w:r>
        <w:t>A atuação midiática desprovida de limites éticos e jurídicos pode resultar em violações significativas de direitos fundamentais assegurados pela Constituição Federal de 1988.</w:t>
      </w:r>
    </w:p>
    <w:p w14:paraId="76D1E822" w14:textId="23A896DD" w:rsidR="002574D3" w:rsidRDefault="002574D3" w:rsidP="00151614">
      <w:pPr>
        <w:spacing w:line="360" w:lineRule="auto"/>
        <w:ind w:firstLine="708"/>
        <w:jc w:val="both"/>
      </w:pPr>
      <w:r>
        <w:t>O princípio da presunção de inocência é diretamente afetado quando o investigado é exposto como culpado antes da formação de sentença definitiva. Além disso, a divulgação de imagens, informações pessoais e detalhes íntimos pode violar os direitos à honra, à imagem e à intimidade, previstos no art. 5º, X, da Constituição Federal.</w:t>
      </w:r>
    </w:p>
    <w:p w14:paraId="7A22A75A" w14:textId="6071C243" w:rsidR="002574D3" w:rsidRDefault="002574D3" w:rsidP="00151614">
      <w:pPr>
        <w:spacing w:line="360" w:lineRule="auto"/>
        <w:ind w:firstLine="708"/>
        <w:jc w:val="both"/>
      </w:pPr>
      <w:r>
        <w:t xml:space="preserve">Embora a liberdade de expressão e de imprensa esteja igualmente protegida </w:t>
      </w:r>
      <w:r w:rsidR="00CA22B3">
        <w:t xml:space="preserve">no </w:t>
      </w:r>
      <w:r>
        <w:t>art. 5º, IX, e art. 220 da Constituição Federal, tais direitos não possuem caráter absoluto. Em um Estado Democrático de Direito, deve haver ponderação entre a liberdade de informar e a proteção das garantias individuais.</w:t>
      </w:r>
    </w:p>
    <w:p w14:paraId="73FBC837" w14:textId="496EFA9E" w:rsidR="002574D3" w:rsidRDefault="00AE7401" w:rsidP="00151614">
      <w:pPr>
        <w:spacing w:line="360" w:lineRule="auto"/>
        <w:ind w:firstLine="708"/>
        <w:jc w:val="both"/>
      </w:pPr>
      <w:r>
        <w:t>O</w:t>
      </w:r>
      <w:r w:rsidR="002574D3">
        <w:t xml:space="preserve"> grande desafio contemporâneo consiste em equilibrar o direito coletivo à informação com o direito individual a um julgamento justo e imparcial. Quando a imprensa ultrapassa o papel informativo e assume função acusatória, compromete a credibilidade do sistema de justiça e ameaça a própria estrutura democrática.</w:t>
      </w:r>
    </w:p>
    <w:p w14:paraId="7F2F4EDE" w14:textId="672601AD" w:rsidR="00825B4C" w:rsidRDefault="002574D3" w:rsidP="00151614">
      <w:pPr>
        <w:spacing w:line="360" w:lineRule="auto"/>
        <w:ind w:firstLine="708"/>
        <w:jc w:val="both"/>
      </w:pPr>
      <w:r>
        <w:t>Portanto, a influência midiática no processo penal revela-se fenômeno ambivalente: ao mesmo tempo em que fortalece a transparência e o controle social, pode, quando exercida de forma irresponsável, fragilizar direitos fundamentais e comprometer a imparcialidade jurisdicional</w:t>
      </w:r>
      <w:r w:rsidR="00BE17C2">
        <w:t>.</w:t>
      </w:r>
    </w:p>
    <w:p w14:paraId="06D978AD" w14:textId="0CC1ACE9" w:rsidR="00095E78" w:rsidRDefault="00095E78" w:rsidP="2C8BBEA1">
      <w:pPr>
        <w:pStyle w:val="Ttulo1"/>
        <w:spacing w:line="360" w:lineRule="auto"/>
        <w:jc w:val="both"/>
        <w:rPr>
          <w:rFonts w:ascii="Times New Roman" w:hAnsi="Times New Roman" w:cs="Times New Roman"/>
          <w:b/>
          <w:color w:val="auto"/>
          <w:sz w:val="24"/>
          <w:szCs w:val="24"/>
        </w:rPr>
      </w:pPr>
      <w:bookmarkStart w:id="10" w:name="_Toc229076368"/>
      <w:r w:rsidRPr="00661CBB">
        <w:rPr>
          <w:rFonts w:ascii="Times New Roman" w:hAnsi="Times New Roman" w:cs="Times New Roman"/>
          <w:b/>
          <w:bCs/>
          <w:color w:val="auto"/>
          <w:sz w:val="24"/>
          <w:szCs w:val="24"/>
        </w:rPr>
        <w:t>3 O IMPACTO DA OPINIÃO PÚBLICA NA IMPARCIALIDADE DO TRIBUNAL DO JÚRI</w:t>
      </w:r>
      <w:bookmarkEnd w:id="10"/>
    </w:p>
    <w:p w14:paraId="238FF259" w14:textId="77777777" w:rsidR="00C7228B" w:rsidRPr="00C7228B" w:rsidRDefault="00C7228B" w:rsidP="00151614">
      <w:pPr>
        <w:spacing w:line="360" w:lineRule="auto"/>
        <w:ind w:firstLine="708"/>
        <w:jc w:val="both"/>
      </w:pPr>
      <w:r w:rsidRPr="00C7228B">
        <w:t>O Tribunal do Júri, assegurado pelo art. 5º, inciso XXXVIII, da Constituição Federal de 1988, constitui uma das mais relevantes garantias democráticas do processo penal brasileiro, ao permitir a participação direta da sociedade no julgamento dos crimes dolosos contra a vida. Contudo, essa característica, que fortalece a legitimidade do sistema, também o torna particularmente sensível às influências externas, sobretudo à atuação da mídia e à formação da opinião pública.</w:t>
      </w:r>
    </w:p>
    <w:p w14:paraId="35FE06E9" w14:textId="1C328C0A" w:rsidR="001F0AC1" w:rsidRDefault="00C7228B" w:rsidP="00151614">
      <w:pPr>
        <w:spacing w:line="360" w:lineRule="auto"/>
        <w:ind w:firstLine="708"/>
        <w:jc w:val="both"/>
      </w:pPr>
      <w:r w:rsidRPr="00C7228B">
        <w:t xml:space="preserve">Nesse contexto, a imparcialidade, elemento essencial do devido processo legal, passa a ser tensionada por fatores extraprocessuais. Como </w:t>
      </w:r>
      <w:r w:rsidRPr="00781269">
        <w:t>destaca John B. Thompson (1998</w:t>
      </w:r>
      <w:r w:rsidR="008C3F80">
        <w:t>, p. 7-8</w:t>
      </w:r>
      <w:r w:rsidRPr="00781269">
        <w:t>)</w:t>
      </w:r>
      <w:r w:rsidRPr="00C7228B">
        <w:t>, os meios de comunicação não apenas informam, mas estruturam a percepção social dos acontecimentos, influenciando a forma como os indivíduos compreendem a realidade.</w:t>
      </w:r>
    </w:p>
    <w:p w14:paraId="645108C9" w14:textId="329EB41F" w:rsidR="00C7228B" w:rsidRPr="00C7228B" w:rsidRDefault="004657F2" w:rsidP="00151614">
      <w:pPr>
        <w:spacing w:line="360" w:lineRule="auto"/>
        <w:ind w:firstLine="708"/>
        <w:jc w:val="both"/>
      </w:pPr>
      <w:r w:rsidRPr="004657F2">
        <w:t>Dessa forma, o julgamento criminal, sobretudo no âmbito do Tribunal do Júri, deixa de se desenvolver em um ambiente plenamente neutro, passando a ser precedido por narrativas midiáticas capazes de influenciar previamente a percepção social e a opinião pública acerca da culpabilidade do acusado.</w:t>
      </w:r>
    </w:p>
    <w:p w14:paraId="77698325" w14:textId="77777777" w:rsidR="00095E78" w:rsidRDefault="00095E78" w:rsidP="00095E78">
      <w:pPr>
        <w:pStyle w:val="Titlo10"/>
      </w:pPr>
    </w:p>
    <w:p w14:paraId="7793166E" w14:textId="6B5A93D5" w:rsidR="008519D4" w:rsidRDefault="008519D4" w:rsidP="00661CBB">
      <w:pPr>
        <w:pStyle w:val="Ttulo2"/>
        <w:spacing w:line="360" w:lineRule="auto"/>
        <w:jc w:val="both"/>
        <w:rPr>
          <w:rFonts w:ascii="Times New Roman" w:hAnsi="Times New Roman" w:cs="Times New Roman"/>
          <w:color w:val="auto"/>
          <w:sz w:val="24"/>
          <w:szCs w:val="24"/>
        </w:rPr>
      </w:pPr>
      <w:bookmarkStart w:id="11" w:name="_Toc229076369"/>
      <w:r w:rsidRPr="00661CBB">
        <w:rPr>
          <w:rFonts w:ascii="Times New Roman" w:hAnsi="Times New Roman" w:cs="Times New Roman"/>
          <w:color w:val="auto"/>
          <w:sz w:val="24"/>
          <w:szCs w:val="24"/>
        </w:rPr>
        <w:t>3.1 A PRESSÃO SOCIAL E A IMPARCIALIDADE DO JULGAMENTO</w:t>
      </w:r>
      <w:bookmarkEnd w:id="11"/>
    </w:p>
    <w:p w14:paraId="59FADD7F" w14:textId="77777777" w:rsidR="002F032C" w:rsidRDefault="000C5B9C" w:rsidP="00151614">
      <w:pPr>
        <w:spacing w:line="360" w:lineRule="auto"/>
        <w:ind w:firstLine="708"/>
        <w:jc w:val="both"/>
      </w:pPr>
      <w:r>
        <w:t>A instituição do júri, embora reconhecida como garantia fundamental, apresenta peculiaridades que a tornam vulnerável à influência da opinião pública. Diferentemente dos magistrados togados, os jurados são cidadãos leigos que decidem com base na íntima convicção, não sendo obrigados a fundamentar suas decisões</w:t>
      </w:r>
      <w:r w:rsidR="00044A6F">
        <w:t xml:space="preserve">, conforme </w:t>
      </w:r>
      <w:r w:rsidR="00B63B98">
        <w:t>disserta Nucci</w:t>
      </w:r>
      <w:r w:rsidR="002A09AB">
        <w:t xml:space="preserve"> (</w:t>
      </w:r>
      <w:r w:rsidR="00B63B98">
        <w:t>2015, p.</w:t>
      </w:r>
      <w:r w:rsidR="00DD418B">
        <w:t xml:space="preserve"> 290-291</w:t>
      </w:r>
      <w:r w:rsidR="002A09AB">
        <w:t>):</w:t>
      </w:r>
      <w:r w:rsidR="00DD418B">
        <w:t xml:space="preserve"> </w:t>
      </w:r>
    </w:p>
    <w:p w14:paraId="5F0CE422" w14:textId="4D9C511F" w:rsidR="00DD418B" w:rsidRDefault="00C36CDD" w:rsidP="002F032C">
      <w:pPr>
        <w:ind w:left="2829"/>
        <w:jc w:val="both"/>
      </w:pPr>
      <w:r w:rsidRPr="002F032C">
        <w:rPr>
          <w:sz w:val="20"/>
          <w:szCs w:val="20"/>
        </w:rPr>
        <w:t>Nunca é demais ressaltar que os juízes leigos prometem decidir a causa de acordo com parâmetros calcados na consciência e nos ditames da justiça e jamais na lei.</w:t>
      </w:r>
      <w:r w:rsidR="00C058E2" w:rsidRPr="002F032C">
        <w:rPr>
          <w:sz w:val="20"/>
          <w:szCs w:val="20"/>
        </w:rPr>
        <w:t xml:space="preserve"> Os jurados precisam decidir com base em princípios próprios de justiça e bom senso. Com isso, seguem o que lhes determinou a consciência</w:t>
      </w:r>
      <w:r w:rsidR="002F032C" w:rsidRPr="002F032C">
        <w:t>.</w:t>
      </w:r>
    </w:p>
    <w:p w14:paraId="4F2A9A7D" w14:textId="77777777" w:rsidR="002F032C" w:rsidRDefault="002F032C" w:rsidP="002F032C">
      <w:pPr>
        <w:ind w:left="2829"/>
        <w:jc w:val="both"/>
      </w:pPr>
    </w:p>
    <w:p w14:paraId="390E7442" w14:textId="003DB95C" w:rsidR="000C5B9C" w:rsidRDefault="000C5B9C" w:rsidP="00567FE8">
      <w:pPr>
        <w:spacing w:line="360" w:lineRule="auto"/>
        <w:ind w:firstLine="708"/>
        <w:jc w:val="both"/>
      </w:pPr>
      <w:r>
        <w:t>Essa característica, embora reforce a soberania dos veredictos, amplia o risco de decisões influenciadas por fatores externos ao processo.</w:t>
      </w:r>
    </w:p>
    <w:p w14:paraId="53242702" w14:textId="318C1102" w:rsidR="000C5B9C" w:rsidRDefault="000C5B9C" w:rsidP="00567FE8">
      <w:pPr>
        <w:spacing w:line="360" w:lineRule="auto"/>
        <w:ind w:firstLine="708"/>
        <w:jc w:val="both"/>
      </w:pPr>
      <w:r>
        <w:t>A atuação midiática, especialmente em casos de grande repercussão, contribui para a formação de julgamentos paralelos, fenômeno no qual a culpa do acusado é socialmente construída antes da produção das provas em juízo. Conforme observa Aury Lopes Jr. (2019, p. 378), a espetacularização do processo penal gera uma “contaminação cognitiva” dos julgadores, que passam a interpretar os fatos a partir de uma narrativa previamente consolidada.</w:t>
      </w:r>
    </w:p>
    <w:p w14:paraId="32B43085" w14:textId="57D79320" w:rsidR="000B68A0" w:rsidRDefault="000B68A0" w:rsidP="00567FE8">
      <w:pPr>
        <w:spacing w:line="360" w:lineRule="auto"/>
        <w:ind w:firstLine="708"/>
        <w:jc w:val="both"/>
      </w:pPr>
      <w:r w:rsidRPr="000B68A0">
        <w:t>Essa dinâmica pode ser compreendida à luz da teoria da dissonância cognitiva, desenvolvida por Leon Festinger (197</w:t>
      </w:r>
      <w:r>
        <w:t>5</w:t>
      </w:r>
      <w:r w:rsidRPr="000B68A0">
        <w:t>, p. 15), segundo a qual os indivíduos tendem a buscar coerência entre suas crenças e percepções, valorizando informações que confirmem convicções previamente formadas e rejeitando aquelas que as contrariem. Aplicada ao Tribunal do Júri, essa teoria permite compreender como a cobertura midiática pode influenciar previamente a percepção dos jurados acerca do caso, favorecendo a consolidação de juízos antecipados e comprometendo a análise imparcial das provas produzidas em juízo.</w:t>
      </w:r>
    </w:p>
    <w:p w14:paraId="532F308F" w14:textId="3EA7494F" w:rsidR="000C5B9C" w:rsidRDefault="000C5B9C" w:rsidP="00567FE8">
      <w:pPr>
        <w:spacing w:line="360" w:lineRule="auto"/>
        <w:ind w:firstLine="708"/>
        <w:jc w:val="both"/>
      </w:pPr>
      <w:r>
        <w:t xml:space="preserve">Além disso, a mídia frequentemente apresenta o acusado como culpado antes mesmo da conclusão do processo, o que fragiliza o princípio da presunção de inocência. Para Luigi </w:t>
      </w:r>
      <w:r w:rsidRPr="004B7991">
        <w:t>Ferrajoli (2002</w:t>
      </w:r>
      <w:r w:rsidR="00F243DE" w:rsidRPr="004B7991">
        <w:t xml:space="preserve">, </w:t>
      </w:r>
      <w:r w:rsidR="004B7991" w:rsidRPr="004B7991">
        <w:t>p. 32-33</w:t>
      </w:r>
      <w:r w:rsidRPr="004B7991">
        <w:t>), o garantismo penal impõe limites ao poder punitivo estatal, exigindo que a culpa seja comprovada medi</w:t>
      </w:r>
      <w:r>
        <w:t>ante um processo regular, com observância das garantias fundamentais. A antecipação de juízos pela opinião pública viola esse paradigma, substituindo a racionalidade jurídica por percepções sociais.</w:t>
      </w:r>
    </w:p>
    <w:p w14:paraId="5734E5CA" w14:textId="42B3B891" w:rsidR="00C71484" w:rsidRDefault="00C71484" w:rsidP="00567FE8">
      <w:pPr>
        <w:pStyle w:val="Titlo10"/>
        <w:spacing w:line="360" w:lineRule="auto"/>
        <w:ind w:firstLine="708"/>
        <w:jc w:val="both"/>
      </w:pPr>
      <w:r>
        <w:t>Nesse contexto, a plenitude de defesa, garantia específica do Tribunal do Júri, assume papel central como mecanismo de proteção do acusado. Conforme leciona Marcos Bandeira (2010, p. 176-178), no júri a defesa não pode ser apenas ampla, mas plena, completa e cabal, em razão das peculiaridades do julgamento por jurados leigos, que decidem com base na íntima convicção e sem a necessidade de fundamentação de suas decisões.</w:t>
      </w:r>
    </w:p>
    <w:p w14:paraId="3AF8AD6B" w14:textId="23605EAF" w:rsidR="008519D4" w:rsidRDefault="00C71484" w:rsidP="00567FE8">
      <w:pPr>
        <w:pStyle w:val="Titlo10"/>
        <w:spacing w:line="360" w:lineRule="auto"/>
        <w:ind w:firstLine="708"/>
        <w:jc w:val="both"/>
      </w:pPr>
      <w:r>
        <w:t>Assim, a exigência de uma defesa reforçada decorre justamente da maior vulnerabilidade do acusado diante da influência de fatores extraprocessuais, como a mídia e o clamor social, cabendo à atuação defensiva não apenas enfrentar os elementos probatórios, mas também as narrativas previamente construídas no espaço público.</w:t>
      </w:r>
    </w:p>
    <w:p w14:paraId="703F82BE" w14:textId="77777777" w:rsidR="00C71484" w:rsidRDefault="00C71484" w:rsidP="009B0039">
      <w:pPr>
        <w:pStyle w:val="Titlo10"/>
        <w:spacing w:line="360" w:lineRule="auto"/>
        <w:ind w:firstLine="708"/>
        <w:jc w:val="both"/>
      </w:pPr>
    </w:p>
    <w:p w14:paraId="0FE47739" w14:textId="66AFC903" w:rsidR="008519D4" w:rsidRDefault="008519D4" w:rsidP="00661CBB">
      <w:pPr>
        <w:pStyle w:val="Ttulo2"/>
        <w:spacing w:line="360" w:lineRule="auto"/>
        <w:jc w:val="both"/>
        <w:rPr>
          <w:rFonts w:ascii="Times New Roman" w:hAnsi="Times New Roman" w:cs="Times New Roman"/>
          <w:color w:val="auto"/>
          <w:sz w:val="24"/>
          <w:szCs w:val="24"/>
        </w:rPr>
      </w:pPr>
      <w:bookmarkStart w:id="12" w:name="_Toc229076370"/>
      <w:r w:rsidRPr="00661CBB">
        <w:rPr>
          <w:rFonts w:ascii="Times New Roman" w:hAnsi="Times New Roman" w:cs="Times New Roman"/>
          <w:color w:val="auto"/>
          <w:sz w:val="24"/>
          <w:szCs w:val="24"/>
        </w:rPr>
        <w:t>3.2 ANÁLISE DE CASOS DE GRANDE REPERCUSSÃO</w:t>
      </w:r>
      <w:bookmarkEnd w:id="12"/>
    </w:p>
    <w:p w14:paraId="67E375A3" w14:textId="3CEBD27B" w:rsidR="00164112" w:rsidRDefault="00DB78F3" w:rsidP="00164112">
      <w:pPr>
        <w:spacing w:line="360" w:lineRule="auto"/>
        <w:ind w:firstLine="709"/>
        <w:jc w:val="both"/>
        <w:rPr>
          <w:lang w:val="pt-BR"/>
        </w:rPr>
      </w:pPr>
      <w:r w:rsidRPr="00DB78F3">
        <w:rPr>
          <w:lang w:val="pt-BR"/>
        </w:rPr>
        <w:t>A influência da mídia e da opinião pública sobre o Tribunal do Júri torna-se especialmente perceptível em casos de grande repercussão nacional, nos quais a intensa divulgação dos fatos contribui para a formação antecipada de juízos de valor acerca da culpabilidade dos acusados. Em muitos desses casos, a cobertura midiática ultrapassa a função meramente informativa e passa a construir narrativas marcadas por forte apelo emocional, capazes de influenciar a percepção coletiva antes da conclusão do processo judicial.</w:t>
      </w:r>
    </w:p>
    <w:p w14:paraId="78DA2156" w14:textId="63B547CA" w:rsidR="00DB78F3" w:rsidRDefault="00DB78F3" w:rsidP="00164112">
      <w:pPr>
        <w:spacing w:line="360" w:lineRule="auto"/>
        <w:ind w:firstLine="709"/>
        <w:jc w:val="both"/>
        <w:rPr>
          <w:lang w:val="pt-BR"/>
        </w:rPr>
      </w:pPr>
      <w:r w:rsidRPr="00DB78F3">
        <w:rPr>
          <w:lang w:val="pt-BR"/>
        </w:rPr>
        <w:t>Nesse contexto, algun</w:t>
      </w:r>
      <w:r w:rsidR="00834F87">
        <w:rPr>
          <w:lang w:val="pt-BR"/>
        </w:rPr>
        <w:t>s casos</w:t>
      </w:r>
      <w:r w:rsidRPr="00DB78F3">
        <w:rPr>
          <w:lang w:val="pt-BR"/>
        </w:rPr>
        <w:t xml:space="preserve"> </w:t>
      </w:r>
      <w:r w:rsidR="00B0096C">
        <w:rPr>
          <w:lang w:val="pt-BR"/>
        </w:rPr>
        <w:t>tornaram-se emblemáticos</w:t>
      </w:r>
      <w:r w:rsidRPr="00DB78F3">
        <w:rPr>
          <w:lang w:val="pt-BR"/>
        </w:rPr>
        <w:t xml:space="preserve"> no cenário brasileiro e evidenciam como a exposição excessiva pode impactar a imparcialidade do julgamento.</w:t>
      </w:r>
    </w:p>
    <w:p w14:paraId="51303AFA" w14:textId="77777777" w:rsidR="00F92DDB" w:rsidRDefault="00F92DDB" w:rsidP="00164112">
      <w:pPr>
        <w:spacing w:line="360" w:lineRule="auto"/>
        <w:ind w:firstLine="709"/>
        <w:jc w:val="both"/>
        <w:rPr>
          <w:lang w:val="pt-BR"/>
        </w:rPr>
      </w:pPr>
    </w:p>
    <w:p w14:paraId="5EA09415" w14:textId="2632B68E" w:rsidR="00834F87" w:rsidRPr="00F92DDB" w:rsidRDefault="002442B7" w:rsidP="00F92DDB">
      <w:pPr>
        <w:pStyle w:val="Ttulo3"/>
        <w:rPr>
          <w:rFonts w:ascii="Times New Roman" w:hAnsi="Times New Roman" w:cs="Times New Roman"/>
          <w:color w:val="auto"/>
          <w:sz w:val="24"/>
          <w:szCs w:val="24"/>
          <w:lang w:val="pt-BR"/>
        </w:rPr>
      </w:pPr>
      <w:bookmarkStart w:id="13" w:name="_Toc229076371"/>
      <w:r w:rsidRPr="00F92DDB">
        <w:rPr>
          <w:rFonts w:ascii="Times New Roman" w:hAnsi="Times New Roman" w:cs="Times New Roman"/>
          <w:color w:val="auto"/>
          <w:sz w:val="24"/>
          <w:szCs w:val="24"/>
          <w:lang w:val="pt-BR"/>
        </w:rPr>
        <w:t>3.2.1</w:t>
      </w:r>
      <w:r w:rsidR="00504635" w:rsidRPr="00F92DDB">
        <w:rPr>
          <w:rFonts w:ascii="Times New Roman" w:hAnsi="Times New Roman" w:cs="Times New Roman"/>
          <w:color w:val="auto"/>
          <w:sz w:val="24"/>
          <w:szCs w:val="24"/>
          <w:lang w:val="pt-BR"/>
        </w:rPr>
        <w:t xml:space="preserve"> Caso Escola Base</w:t>
      </w:r>
      <w:bookmarkEnd w:id="13"/>
    </w:p>
    <w:p w14:paraId="1C1A77CF" w14:textId="56FC19EF" w:rsidR="00EB639E" w:rsidRDefault="00EB639E" w:rsidP="00EB639E">
      <w:pPr>
        <w:spacing w:line="360" w:lineRule="auto"/>
        <w:ind w:firstLine="708"/>
        <w:jc w:val="both"/>
      </w:pPr>
      <w:r>
        <w:t>As acusações surgiram após denúncias formuladas por mães de alunos à autoridade policial, baseadas em relatos das próprias crianças. Mesmo sem a existência de provas concretas e antes da conclusão das investigações, informações preliminares passaram a ser divulgadas pela imprensa de maneira sensacionalista. A situação foi agravada por declarações precipitadas do delegado responsável pelo caso, que afirmou à imprensa haver grande possibilidade de veracidade das acusações.</w:t>
      </w:r>
    </w:p>
    <w:p w14:paraId="5ADE46D0" w14:textId="38409570" w:rsidR="00EB639E" w:rsidRDefault="00EB639E" w:rsidP="00EB639E">
      <w:pPr>
        <w:spacing w:line="360" w:lineRule="auto"/>
        <w:ind w:firstLine="708"/>
        <w:jc w:val="both"/>
      </w:pPr>
      <w:r>
        <w:t>A partir disso, diversos veículos de comunicação passaram a tratar os investigados como culpados, divulgando manchetes apelativas e reproduzindo narrativas que associavam a escola à prática de crimes sexuais e supostas “orgias” envolvendo menores. A repercussão foi imediata e devastadora: a escola foi depredada, posteriormente fechada, e os acusados passaram a sofrer ameaças, agressões e intensa exposição pública. Suas imagens e identidades foram amplamente divulgadas sem qualquer cautela quanto à preservação da honra, da intimidade e da presunção de inocência.</w:t>
      </w:r>
    </w:p>
    <w:p w14:paraId="2F6703F4" w14:textId="38027DA9" w:rsidR="00EB639E" w:rsidRDefault="00EB639E" w:rsidP="00EB639E">
      <w:pPr>
        <w:spacing w:line="360" w:lineRule="auto"/>
        <w:ind w:firstLine="708"/>
        <w:jc w:val="both"/>
      </w:pPr>
      <w:r>
        <w:t>Com o avanço das investigações, verificou-se a inexistência de provas dos crimes narrados. O inquérito policial foi arquivado e os investigados foram formalmente inocentados. Contudo, os danos já eram irreversíveis. Os envolvidos enfrentaram graves consequências psicológicas, sociais e financeiras, incluindo falência, adoecimento e destruição de vínculos familiares e profissionais.</w:t>
      </w:r>
    </w:p>
    <w:p w14:paraId="6D629FC0" w14:textId="3D81C711" w:rsidR="00063792" w:rsidRDefault="00EB639E" w:rsidP="00EB639E">
      <w:pPr>
        <w:spacing w:line="360" w:lineRule="auto"/>
        <w:ind w:firstLine="708"/>
        <w:jc w:val="both"/>
      </w:pPr>
      <w:r>
        <w:t>Sob a perspectiva jurídica, o caso evidencia de forma paradigmática o fenômeno do julgamento midiático, no qual a condenação social antecede a própria atuação jurisdicional. Embora não tenha havido julgamento pelo Tribunal do Júri, o episódio demonstra como a mídia pode produzir efeitos sancionatórios concretos antes mesmo da formação da verdade processual, comprometendo direitos fundamentais e substituindo a racionalidade jurídica pela lógica do espetáculo e do clamor público.</w:t>
      </w:r>
    </w:p>
    <w:p w14:paraId="699A5D07" w14:textId="77777777" w:rsidR="00EB639E" w:rsidRDefault="00EB639E" w:rsidP="00EB639E">
      <w:pPr>
        <w:spacing w:line="360" w:lineRule="auto"/>
        <w:ind w:firstLine="708"/>
        <w:jc w:val="both"/>
      </w:pPr>
    </w:p>
    <w:p w14:paraId="7F230DBF" w14:textId="7368E3DB" w:rsidR="00063792" w:rsidRPr="00DE6B9C" w:rsidRDefault="007819AD" w:rsidP="00DE6B9C">
      <w:pPr>
        <w:pStyle w:val="Ttulo3"/>
        <w:rPr>
          <w:rFonts w:ascii="Times New Roman" w:hAnsi="Times New Roman" w:cs="Times New Roman"/>
          <w:color w:val="auto"/>
          <w:sz w:val="24"/>
          <w:szCs w:val="24"/>
        </w:rPr>
      </w:pPr>
      <w:bookmarkStart w:id="14" w:name="_Toc229076372"/>
      <w:r w:rsidRPr="00DE6B9C">
        <w:rPr>
          <w:rFonts w:ascii="Times New Roman" w:hAnsi="Times New Roman" w:cs="Times New Roman"/>
          <w:color w:val="auto"/>
          <w:sz w:val="24"/>
          <w:szCs w:val="24"/>
        </w:rPr>
        <w:t xml:space="preserve">3.2.2 Caso </w:t>
      </w:r>
      <w:r w:rsidR="00EF69B0" w:rsidRPr="00DE6B9C">
        <w:rPr>
          <w:rFonts w:ascii="Times New Roman" w:hAnsi="Times New Roman" w:cs="Times New Roman"/>
          <w:color w:val="auto"/>
          <w:sz w:val="24"/>
          <w:szCs w:val="24"/>
        </w:rPr>
        <w:t>Fabiane Maria de Jesus</w:t>
      </w:r>
      <w:bookmarkEnd w:id="14"/>
    </w:p>
    <w:p w14:paraId="7C05FDF9" w14:textId="7898F9AD" w:rsidR="00A11E2D" w:rsidRDefault="00A11E2D" w:rsidP="00A11E2D">
      <w:pPr>
        <w:spacing w:line="360" w:lineRule="auto"/>
        <w:ind w:firstLine="709"/>
        <w:jc w:val="both"/>
      </w:pPr>
      <w:r>
        <w:t>Outro caso emblemático relacionado ao impacto da opinião pública e da disseminação irresponsável de informações ocorreu em 2014, na cidade de Guarujá, em São Paulo, envolvendo Fabiane Maria de Jesus.</w:t>
      </w:r>
    </w:p>
    <w:p w14:paraId="030942BC" w14:textId="337009FD" w:rsidR="00A11E2D" w:rsidRDefault="00A11E2D" w:rsidP="00A11E2D">
      <w:pPr>
        <w:spacing w:line="360" w:lineRule="auto"/>
        <w:ind w:firstLine="709"/>
        <w:jc w:val="both"/>
      </w:pPr>
      <w:r>
        <w:t>Fabiane, dona de casa e mãe de dois filhos, passou a ser associada a boatos divulgados em uma página da rede social Facebook, segundo os quais uma mulher estaria sequestrando crianças para a realização de rituais de magia negra. A publicação continha o retrato falado de uma suposta criminosa e rapidamente se espalhou pela internet, gerando forte comoção social entre os moradores da região.</w:t>
      </w:r>
    </w:p>
    <w:p w14:paraId="012D6652" w14:textId="619ED6FA" w:rsidR="00A11E2D" w:rsidRDefault="00A11E2D" w:rsidP="00A11E2D">
      <w:pPr>
        <w:spacing w:line="360" w:lineRule="auto"/>
        <w:ind w:firstLine="709"/>
        <w:jc w:val="both"/>
      </w:pPr>
      <w:r>
        <w:t>No dia 3 de maio de 2014, Fabiane foi confundida com a mulher retratada na publicação enquanto caminhava pelo bairro Morrinhos. A partir disso, foi cercada por dezenas de pessoas, agredida violentamente, amarrada e arrastada pelas ruas, em um verdadeiro linchamento público ocorrido diante de diversos moradores que assistiam e incentivavam as agressões. Parte da violência foi registrada em vídeos e amplamente compartilhada nas redes sociais, intensificando ainda mais a repercussão do caso.</w:t>
      </w:r>
    </w:p>
    <w:p w14:paraId="35DF6807" w14:textId="7E47D9F2" w:rsidR="00A11E2D" w:rsidRDefault="00A11E2D" w:rsidP="00A11E2D">
      <w:pPr>
        <w:spacing w:line="360" w:lineRule="auto"/>
        <w:ind w:firstLine="709"/>
        <w:jc w:val="both"/>
      </w:pPr>
      <w:r>
        <w:t>Fabiane sofreu traumatismo craniano grave e faleceu dois dias depois em decorrência das lesões sofridas. Posteriormente, a polícia confirmou que não havia qualquer registro oficial de sequestro de crianças na região, demonstrando que toda a violência foi motivada exclusivamente por boatos e informações falsas disseminadas no ambiente digital.</w:t>
      </w:r>
    </w:p>
    <w:p w14:paraId="54D2C7E2" w14:textId="1E96F859" w:rsidR="00A11E2D" w:rsidRDefault="00A11E2D" w:rsidP="00A11E2D">
      <w:pPr>
        <w:spacing w:line="360" w:lineRule="auto"/>
        <w:ind w:firstLine="709"/>
        <w:jc w:val="both"/>
      </w:pPr>
      <w:r>
        <w:t>Embora o caso não envolva diretamente julgamento perante o Tribunal do Júri influenciado pela mídia, ele se mostra relevante para a presente pesquisa por evidenciar a força do chamado “tribunal da opinião pública”. A repercussão social e a propagação descontrolada de informações produziram uma espécie de condenação coletiva instantânea, sem investigação prévia, contraditório ou possibilidade de defesa.</w:t>
      </w:r>
    </w:p>
    <w:p w14:paraId="77299C3F" w14:textId="354B0ACF" w:rsidR="00087F75" w:rsidRDefault="00A11E2D" w:rsidP="00A11E2D">
      <w:pPr>
        <w:spacing w:line="360" w:lineRule="auto"/>
        <w:ind w:firstLine="709"/>
        <w:jc w:val="both"/>
      </w:pPr>
      <w:r>
        <w:t>Sob a ótica jurídica, o episódio demonstra como a circulação irresponsável de narrativas no espaço midiático e digital pode gerar consequências irreversíveis, inclusive a supressão do próprio devido processo legal. O caso tornou-se símbolo dos perigos da desinformação e do poder de mobilização social exercido pelas redes sociais, evidenciando que a influência midiática não afeta apenas o julgamento formal realizado pelo Estado, mas também a própria percepção coletiva sobre culpa e punição.</w:t>
      </w:r>
    </w:p>
    <w:p w14:paraId="70C3E4E5" w14:textId="77777777" w:rsidR="00087F75" w:rsidRDefault="00087F75" w:rsidP="007819AD">
      <w:pPr>
        <w:spacing w:line="360" w:lineRule="auto"/>
        <w:jc w:val="both"/>
      </w:pPr>
    </w:p>
    <w:p w14:paraId="288CCCC4" w14:textId="1128D99B" w:rsidR="00EF69B0" w:rsidRPr="00DE6B9C" w:rsidRDefault="00EF69B0" w:rsidP="00DE6B9C">
      <w:pPr>
        <w:pStyle w:val="Ttulo3"/>
        <w:rPr>
          <w:rFonts w:ascii="Times New Roman" w:hAnsi="Times New Roman" w:cs="Times New Roman"/>
          <w:color w:val="auto"/>
          <w:sz w:val="24"/>
          <w:szCs w:val="24"/>
        </w:rPr>
      </w:pPr>
      <w:bookmarkStart w:id="15" w:name="_Toc229076373"/>
      <w:r w:rsidRPr="00DE6B9C">
        <w:rPr>
          <w:rFonts w:ascii="Times New Roman" w:hAnsi="Times New Roman" w:cs="Times New Roman"/>
          <w:color w:val="auto"/>
          <w:sz w:val="24"/>
          <w:szCs w:val="24"/>
        </w:rPr>
        <w:t>3.2.3 Caso Suzane Von Richtofen</w:t>
      </w:r>
      <w:bookmarkEnd w:id="15"/>
    </w:p>
    <w:p w14:paraId="36D4EBC4" w14:textId="40DDF632" w:rsidR="00EB26A0" w:rsidRDefault="00EB26A0" w:rsidP="00EB26A0">
      <w:pPr>
        <w:pStyle w:val="Titlo10"/>
        <w:spacing w:line="360" w:lineRule="auto"/>
        <w:ind w:firstLine="709"/>
        <w:jc w:val="both"/>
      </w:pPr>
      <w:r>
        <w:t>Outro caso de grande repercussão analisado foi o de Suzane von Richthofen, ocorrido em 2002, considerado um dos crimes mais midiáticos da história recente do Brasil. O caso ganhou enorme atenção nacional não apenas pela brutalidade dos fatos, mas também pelas circunstâncias envolvendo a participação da própria filha das vítimas no planejamento e execução do crime.</w:t>
      </w:r>
    </w:p>
    <w:p w14:paraId="52474701" w14:textId="185FCB66" w:rsidR="00EB26A0" w:rsidRDefault="00EB26A0" w:rsidP="00EB26A0">
      <w:pPr>
        <w:pStyle w:val="Titlo10"/>
        <w:spacing w:line="360" w:lineRule="auto"/>
        <w:ind w:firstLine="709"/>
        <w:jc w:val="both"/>
      </w:pPr>
      <w:r>
        <w:t>Na madrugada de 31 de outubro de 2002, o engenheiro Manfred Albert von Richthofen e a psiquiatra Marísia von Richthofen foram assassinados dentro da própria residência, em São Paulo, enquanto dormiam. As vítimas foram mortas com golpes de barra de ferro desferidos por Daniel Cravinhos e Cristian Cravinhos, com participação de Suzane von Richthofen, filha do casal e então namorada de Daniel.</w:t>
      </w:r>
    </w:p>
    <w:p w14:paraId="0DFBC967" w14:textId="0E321B4C" w:rsidR="00EB26A0" w:rsidRDefault="00EB26A0" w:rsidP="00EB26A0">
      <w:pPr>
        <w:pStyle w:val="Titlo10"/>
        <w:spacing w:line="360" w:lineRule="auto"/>
        <w:ind w:firstLine="709"/>
        <w:jc w:val="both"/>
      </w:pPr>
      <w:r>
        <w:t>Inicialmente, o crime foi apresentado como possível latrocínio, já que a cena foi alterada para simular um roubo seguido de morte. Contudo, inconsistências nos depoimentos e elementos obtidos durante a investigação levaram a polícia a suspeitar dos próprios familiares. Cerca de uma semana após o crime, Suzane e os irmãos Cravinhos confessaram participação no homicídio.</w:t>
      </w:r>
    </w:p>
    <w:p w14:paraId="794F4DEB" w14:textId="4203E374" w:rsidR="00EB26A0" w:rsidRDefault="00EB26A0" w:rsidP="009F0ED8">
      <w:pPr>
        <w:pStyle w:val="Titlo10"/>
        <w:spacing w:line="360" w:lineRule="auto"/>
        <w:ind w:firstLine="709"/>
        <w:jc w:val="both"/>
      </w:pPr>
      <w:r>
        <w:t>A partir da descoberta da autoria, o caso passou a receber cobertura midiática intensa e praticamente ininterrupta. Os principais veículos de comunicação acompanharam diariamente todas as fases das investigações, das prisões e do julgamento. A mídia passou a explorar não apenas os aspectos jurídicos do caso, mas também elementos pessoais, emocionais e psicológicos dos envolvidos, especialmente de Suzane, frequentemente retratada como uma figura fria, manipuladora e calculista.</w:t>
      </w:r>
    </w:p>
    <w:p w14:paraId="5ECB4D28" w14:textId="24680016" w:rsidR="00EB26A0" w:rsidRDefault="00EB26A0" w:rsidP="009F0ED8">
      <w:pPr>
        <w:pStyle w:val="Titlo10"/>
        <w:spacing w:line="360" w:lineRule="auto"/>
        <w:ind w:firstLine="709"/>
        <w:jc w:val="both"/>
      </w:pPr>
      <w:r>
        <w:t>A exposição foi ampliada por entrevistas, reconstituições do crime, debates televisivos e reportagens especiais. Um dos episódios de maior repercussão ocorreu em 2006, quando Suzane concedeu entrevista ao programa Fantástico antes do julgamento, ocasião em que foram divulgadas imagens em que ela supostamente ensaiava reações emocionais orientadas por seus advogados. A ampla divulgação do conteúdo reforçou ainda mais a construção de uma imagem negativa da acusada perante a opinião pública.</w:t>
      </w:r>
    </w:p>
    <w:p w14:paraId="35427DC5" w14:textId="39A27ADC" w:rsidR="00EB26A0" w:rsidRDefault="00EB26A0" w:rsidP="009F0ED8">
      <w:pPr>
        <w:pStyle w:val="Titlo10"/>
        <w:spacing w:line="360" w:lineRule="auto"/>
        <w:ind w:firstLine="709"/>
        <w:jc w:val="both"/>
      </w:pPr>
      <w:r>
        <w:t>Além dos acusados, pessoas próximas também sofreram consequências decorrentes da intensa exposição midiática. Andreas von Richthofen, irmão mais novo de Suzane e filho das vítimas, teve sua vida privada amplamente exposta pela imprensa desde a adolescência, sendo constantemente associado ao caso e submetido a reiterada invasão de intimidade, mesmo sem qualquer participação no crime. O episódio demonstra que a repercussão midiática de casos penais frequentemente ultrapassa os limites da responsabilização individual, atingindo terceiros vinculados aos fatos.</w:t>
      </w:r>
    </w:p>
    <w:p w14:paraId="6EE14666" w14:textId="59E500B3" w:rsidR="00EB26A0" w:rsidRDefault="00EB26A0" w:rsidP="009F0ED8">
      <w:pPr>
        <w:pStyle w:val="Titlo10"/>
        <w:spacing w:line="360" w:lineRule="auto"/>
        <w:ind w:firstLine="709"/>
        <w:jc w:val="both"/>
      </w:pPr>
      <w:r>
        <w:t>No âmbito processual, Suzane von Richthofen, Daniel Cravinhos e Cristian Cravinhos foram denunciados por duplo homicídio triplamente qualificado. O julgamento ocorreu em julho de 2006, perante o Tribunal do Júri da Barra Funda, em São Paulo, sem pedido de desaforamento acolhido, apesar da enorme repercussão social do caso. Ao final, Suzane e Daniel foram condenados a 39 anos de reclusão, enquanto Cristian foi condenado a 38 anos.</w:t>
      </w:r>
    </w:p>
    <w:p w14:paraId="3DB353E7" w14:textId="5566D259" w:rsidR="00EB26A0" w:rsidRDefault="00EB26A0" w:rsidP="009F0ED8">
      <w:pPr>
        <w:pStyle w:val="Titlo10"/>
        <w:spacing w:line="360" w:lineRule="auto"/>
        <w:ind w:firstLine="709"/>
        <w:jc w:val="both"/>
      </w:pPr>
      <w:r>
        <w:t>Contudo, o fato de ter havido condenação definitiva não afasta a problemática jurídica relacionada à atuação da mídia. O ponto central não consiste em discutir a autoria ou a materialidade do crime, mas sim demonstrar como a intensa exposição midiática contribuiu para a formação prévia de juízos de culpabilidade perante a sociedade antes mesmo da realização do julgamento. Em um sistema que assegura a presunção de inocência e a imparcialidade do julgador, a construção antecipada de narrativas condenatórias representa risco significativo às garantias processuais, especialmente no Tribunal do Júri, em que os jurados decidem por íntima convicção.</w:t>
      </w:r>
    </w:p>
    <w:p w14:paraId="494CF9DD" w14:textId="77777777" w:rsidR="00EB26A0" w:rsidRDefault="00EB26A0" w:rsidP="00EB26A0">
      <w:pPr>
        <w:pStyle w:val="Titlo10"/>
      </w:pPr>
    </w:p>
    <w:p w14:paraId="0EECEFB7" w14:textId="0D817B3C" w:rsidR="005376FE" w:rsidRPr="00525A58" w:rsidRDefault="008519D4" w:rsidP="00525A58">
      <w:pPr>
        <w:pStyle w:val="Ttulo2"/>
        <w:spacing w:line="360" w:lineRule="auto"/>
        <w:jc w:val="both"/>
        <w:rPr>
          <w:rFonts w:ascii="Times New Roman" w:hAnsi="Times New Roman" w:cs="Times New Roman"/>
          <w:color w:val="auto"/>
          <w:sz w:val="24"/>
          <w:szCs w:val="24"/>
        </w:rPr>
      </w:pPr>
      <w:bookmarkStart w:id="16" w:name="_Toc229076374"/>
      <w:r w:rsidRPr="00661CBB">
        <w:rPr>
          <w:rFonts w:ascii="Times New Roman" w:hAnsi="Times New Roman" w:cs="Times New Roman"/>
          <w:color w:val="auto"/>
          <w:sz w:val="24"/>
          <w:szCs w:val="24"/>
        </w:rPr>
        <w:t>3</w:t>
      </w:r>
      <w:r w:rsidR="000D74A2" w:rsidRPr="00661CBB">
        <w:rPr>
          <w:rFonts w:ascii="Times New Roman" w:hAnsi="Times New Roman" w:cs="Times New Roman"/>
          <w:color w:val="auto"/>
          <w:sz w:val="24"/>
          <w:szCs w:val="24"/>
        </w:rPr>
        <w:t>.3 MECANISMOS DE CONTENÇÃO DA INFLUÊNCIA MIDIÁTICA NO JUDICIÁRIO</w:t>
      </w:r>
      <w:bookmarkEnd w:id="16"/>
    </w:p>
    <w:p w14:paraId="5745C50D" w14:textId="5F2CD746" w:rsidR="004A1551" w:rsidRDefault="00682D3C" w:rsidP="00567FE8">
      <w:pPr>
        <w:pStyle w:val="Titlo10"/>
        <w:spacing w:line="360" w:lineRule="auto"/>
        <w:ind w:firstLine="708"/>
        <w:jc w:val="both"/>
      </w:pPr>
      <w:r w:rsidRPr="00682D3C">
        <w:t>Diante dos impactos decorrentes da influência midiática sobre o processo penal, especialmente no Tribunal do Júri, o ordenamento jurídico brasileiro estabelece instrumentos destinados à preservação da imparcialidade do julgamento e à proteção das garantias fundamentais do acusado.</w:t>
      </w:r>
    </w:p>
    <w:p w14:paraId="73B9009F" w14:textId="6078D8A6" w:rsidR="00682D3C" w:rsidRDefault="00682D3C" w:rsidP="00567FE8">
      <w:pPr>
        <w:pStyle w:val="Titlo10"/>
        <w:spacing w:line="360" w:lineRule="auto"/>
        <w:ind w:firstLine="708"/>
        <w:jc w:val="both"/>
      </w:pPr>
      <w:r w:rsidRPr="00682D3C">
        <w:t xml:space="preserve">Entre esses mecanismos, destaca-se o desaforamento, previsto no art. 427 do Código de Processo Penal, que autoriza a transferência do julgamento para outra comarca quando houver dúvida quanto à imparcialidade dos jurados, risco à segurança do réu ou relevante interesse da ordem pública. Trata-se de medida excepcional, aplicada sobretudo em situações de grande repercussão social e intensa exposição midiática, nas quais a pressão externa possa comprometer a neutralidade do julgamento. </w:t>
      </w:r>
    </w:p>
    <w:p w14:paraId="45F3F9EF" w14:textId="1E71EA9D" w:rsidR="003B166D" w:rsidRDefault="00682D3C" w:rsidP="00567FE8">
      <w:pPr>
        <w:pStyle w:val="Titlo10"/>
        <w:spacing w:line="360" w:lineRule="auto"/>
        <w:ind w:firstLine="708"/>
        <w:jc w:val="both"/>
        <w:rPr>
          <w:highlight w:val="yellow"/>
        </w:rPr>
      </w:pPr>
      <w:r w:rsidRPr="00682D3C">
        <w:t>A jurisprudência dos tribunais superiores reconhece o desaforamento como instrumento legítimo de proteção à imparcialidade das decisões do Tribunal do Júri, sem que isso implique afronta ao princípio do juiz natural. Nesse sentido, o Superior Tribunal de Justiça, ao julgar o</w:t>
      </w:r>
      <w:r w:rsidR="004A1551" w:rsidRPr="004A1551">
        <w:t xml:space="preserve"> HC n. 811.245/PR, de relatoria do Ministro Ribeiro Dantas, entendeu ser cabível o desaforamento em razão da ampla repercussão midiática e da forte comoção social presentes na comarca, circunstâncias consideradas suficientes para gerar fundada dúvida acerca da imparcialidade dos jurados</w:t>
      </w:r>
      <w:r w:rsidR="00435523" w:rsidRPr="00435523">
        <w:t>:</w:t>
      </w:r>
    </w:p>
    <w:p w14:paraId="196238E7" w14:textId="77777777" w:rsidR="005C5B02" w:rsidRPr="00435523" w:rsidRDefault="005C5B02" w:rsidP="00435523">
      <w:pPr>
        <w:pStyle w:val="Titlo10"/>
        <w:ind w:left="2832"/>
        <w:jc w:val="both"/>
        <w:rPr>
          <w:sz w:val="20"/>
          <w:szCs w:val="20"/>
        </w:rPr>
      </w:pPr>
      <w:r w:rsidRPr="00435523">
        <w:rPr>
          <w:sz w:val="20"/>
          <w:szCs w:val="20"/>
        </w:rPr>
        <w:t>HABEAS CORPUS. HOMICÍDIO QUALIFICADO. OCULTAÇÃO DE CADÁVER E FALSIDADE IDEOLÓGICA. DESAFORAMENTO. ARTS. 427 E 428 DO CPP. PLEITO INDEFERIDO PELO TRIBUNAL DE ORIGEM. DÚVIDA FUNDADA EM RELAÇÃO À IMPARCIALIDADE DOS JURADOS. RELEVÂNCIA DA OPINIÃO DO JUÍZO SINGULAR QUE PRESIDE A CAUSA. MOTIVOS CONCRETOS E RELEVANTES QUE COMPROMETEM O JULGAMENTO POPULAR. WRIT NÃO CONHECIDO. ORDEM CONCEDIDA DE OFÍCIO.</w:t>
      </w:r>
    </w:p>
    <w:p w14:paraId="682DC63D" w14:textId="77777777" w:rsidR="005C5B02" w:rsidRPr="00435523" w:rsidRDefault="005C5B02" w:rsidP="00435523">
      <w:pPr>
        <w:pStyle w:val="Titlo10"/>
        <w:ind w:left="2832"/>
        <w:jc w:val="both"/>
        <w:rPr>
          <w:sz w:val="20"/>
          <w:szCs w:val="20"/>
        </w:rPr>
      </w:pPr>
      <w:r w:rsidRPr="00435523">
        <w:rPr>
          <w:sz w:val="20"/>
          <w:szCs w:val="20"/>
        </w:rPr>
        <w:t>1. Esta Corte - HC 535.063, Terceira Seção, Rel. Ministro Sebastião Reis Junior, julgado em 10/6/2020 - e o Supremo Tribunal Federal - AgRg no HC 180.365, Primeira Turma, Rel. Min. Rosa Weber, julgado em 27/3/2020; AgRg no HC 147.210, Segunda Turma, Rel. Min. Edson Fachin, julgado em 30/10/2018 -, pacificaram orientação no sentido de que não cabe habeas corpus substitutivo do recurso legalmente previsto para a hipótese, impondo-se o não conhecimento da impetração, salvo quando constatada a existência de flagrante ilegalidade no ato judicial impugnado.</w:t>
      </w:r>
    </w:p>
    <w:p w14:paraId="27EF5211" w14:textId="77777777" w:rsidR="00435523" w:rsidRDefault="005C5B02" w:rsidP="00435523">
      <w:pPr>
        <w:pStyle w:val="Titlo10"/>
        <w:ind w:left="2832"/>
        <w:jc w:val="both"/>
        <w:rPr>
          <w:sz w:val="20"/>
          <w:szCs w:val="20"/>
          <w:lang w:val="pt-BR"/>
        </w:rPr>
      </w:pPr>
      <w:r w:rsidRPr="00435523">
        <w:rPr>
          <w:sz w:val="20"/>
          <w:szCs w:val="20"/>
        </w:rPr>
        <w:t>2. Consoante o art. 427 do CPC, "se o interesse da ordem pública o reclamar ou houver dúvida sobre a imparcialidade do júri ou a segurança pessoal do acusado</w:t>
      </w:r>
      <w:r w:rsidRPr="00435523">
        <w:rPr>
          <w:sz w:val="20"/>
          <w:szCs w:val="20"/>
          <w:lang w:val="pt-BR"/>
        </w:rPr>
        <w:t>, o Tribunal, a requerimento do Ministério Público, do assistente, do querelante ou do acusado ou mediante representação do juiz competente, poderá determinar o desaforamento do julgamento para outra comarca da mesma região, onde não existem aqueles motivos, preferindo-se as mais próximas".</w:t>
      </w:r>
    </w:p>
    <w:p w14:paraId="04798F93" w14:textId="178D6F30" w:rsidR="005C5B02" w:rsidRPr="00435523" w:rsidRDefault="005C5B02" w:rsidP="00435523">
      <w:pPr>
        <w:pStyle w:val="Titlo10"/>
        <w:ind w:left="2832"/>
        <w:jc w:val="both"/>
        <w:rPr>
          <w:sz w:val="20"/>
          <w:szCs w:val="20"/>
          <w:lang w:val="pt-BR"/>
        </w:rPr>
      </w:pPr>
      <w:r w:rsidRPr="00435523">
        <w:rPr>
          <w:sz w:val="20"/>
          <w:szCs w:val="20"/>
          <w:lang w:val="pt-BR"/>
        </w:rPr>
        <w:t>3. Este Superior Tribunal de Justiça possui julgados no sentido de que "a opinião do Magistrado de Primeiro Grau acerca dos fatos e peculiaridades do caso desempenha papel fundamental na decisão sobre o desaforamento, uma vez que ele se encontra mais próximo dos fatos e, por isso, é capaz de melhor avaliar a necessidade da adoção da medida ora em discussão" (HC 488.528/PB, Relator Ministro Reynaldo Soares da Fonseca, Quinta Turma, julgado em 6/8/2019, DJe de 22/8/2019).</w:t>
      </w:r>
    </w:p>
    <w:p w14:paraId="11FE8E87" w14:textId="77777777" w:rsidR="00E947D4" w:rsidRPr="00435523" w:rsidRDefault="005C5B02" w:rsidP="00435523">
      <w:pPr>
        <w:pStyle w:val="Titlo10"/>
        <w:ind w:left="2832"/>
        <w:jc w:val="both"/>
        <w:rPr>
          <w:sz w:val="20"/>
          <w:szCs w:val="20"/>
          <w:lang w:val="pt-BR"/>
        </w:rPr>
      </w:pPr>
      <w:r w:rsidRPr="00435523">
        <w:rPr>
          <w:sz w:val="20"/>
          <w:szCs w:val="20"/>
          <w:lang w:val="pt-BR"/>
        </w:rPr>
        <w:t xml:space="preserve">4. Na hipótese, foram apresentados elementos concretos e relevantes aptos a configurar a dúvida fundada sobre a parcialidade dos jurados, mormente pelo </w:t>
      </w:r>
      <w:r w:rsidR="00E947D4" w:rsidRPr="00435523">
        <w:rPr>
          <w:sz w:val="20"/>
          <w:szCs w:val="20"/>
          <w:lang w:val="pt-BR"/>
        </w:rPr>
        <w:t>juiz processante, pessoa mais habilitada para constatar a presença dos requisitos que autorizam o desaforamento.</w:t>
      </w:r>
    </w:p>
    <w:p w14:paraId="6DAE8378" w14:textId="77777777" w:rsidR="00E947D4" w:rsidRPr="00435523" w:rsidRDefault="00E947D4" w:rsidP="00435523">
      <w:pPr>
        <w:pStyle w:val="Titlo10"/>
        <w:ind w:left="2832"/>
        <w:jc w:val="both"/>
        <w:rPr>
          <w:sz w:val="20"/>
          <w:szCs w:val="20"/>
          <w:lang w:val="pt-BR"/>
        </w:rPr>
      </w:pPr>
      <w:r w:rsidRPr="00435523">
        <w:rPr>
          <w:sz w:val="20"/>
          <w:szCs w:val="20"/>
          <w:lang w:val="pt-BR"/>
        </w:rPr>
        <w:t xml:space="preserve">Certamente, </w:t>
      </w:r>
      <w:r w:rsidRPr="00810CB0">
        <w:rPr>
          <w:b/>
          <w:bCs/>
          <w:sz w:val="20"/>
          <w:szCs w:val="20"/>
          <w:lang w:val="pt-BR"/>
        </w:rPr>
        <w:t>a reação da comunidade local, a repercussão ainda atual do delito na mídia</w:t>
      </w:r>
      <w:r w:rsidRPr="00435523">
        <w:rPr>
          <w:sz w:val="20"/>
          <w:szCs w:val="20"/>
          <w:lang w:val="pt-BR"/>
        </w:rPr>
        <w:t xml:space="preserve">, o fato de os acusados e a vítima serem de família pioneira e conhecida na cidade de Rolândia/PR, que tem aproximadamente 70 mil habitantes, bem como a instituição da Lei Municipal n. 3.925/2019, de 4 de novembro de 2019, em homenagem à vítima, que criou o "Dia Municipal do Amor e Proteção às Crianças", </w:t>
      </w:r>
      <w:r w:rsidRPr="00810CB0">
        <w:rPr>
          <w:b/>
          <w:bCs/>
          <w:sz w:val="20"/>
          <w:szCs w:val="20"/>
          <w:lang w:val="pt-BR"/>
        </w:rPr>
        <w:t>justificam o deslocamento do julgamento, a fim de se assegurar a observância da garantia constitucional da plenitude de defesa</w:t>
      </w:r>
      <w:r w:rsidRPr="00435523">
        <w:rPr>
          <w:sz w:val="20"/>
          <w:szCs w:val="20"/>
          <w:lang w:val="pt-BR"/>
        </w:rPr>
        <w:t>.</w:t>
      </w:r>
    </w:p>
    <w:p w14:paraId="5AF675CC" w14:textId="77777777" w:rsidR="00E947D4" w:rsidRPr="00435523" w:rsidRDefault="00E947D4" w:rsidP="00435523">
      <w:pPr>
        <w:pStyle w:val="Titlo10"/>
        <w:ind w:left="2832"/>
        <w:jc w:val="both"/>
        <w:rPr>
          <w:sz w:val="20"/>
          <w:szCs w:val="20"/>
          <w:lang w:val="pt-BR"/>
        </w:rPr>
      </w:pPr>
      <w:r w:rsidRPr="00435523">
        <w:rPr>
          <w:sz w:val="20"/>
          <w:szCs w:val="20"/>
          <w:lang w:val="pt-BR"/>
        </w:rPr>
        <w:t xml:space="preserve">5. Habeas corpus não conhecido. </w:t>
      </w:r>
      <w:r w:rsidRPr="00810CB0">
        <w:rPr>
          <w:b/>
          <w:bCs/>
          <w:sz w:val="20"/>
          <w:szCs w:val="20"/>
          <w:lang w:val="pt-BR"/>
        </w:rPr>
        <w:t>Ordem concedida de ofício para determinar o desaforamento</w:t>
      </w:r>
      <w:r w:rsidRPr="00435523">
        <w:rPr>
          <w:sz w:val="20"/>
          <w:szCs w:val="20"/>
          <w:lang w:val="pt-BR"/>
        </w:rPr>
        <w:t xml:space="preserve"> do julgamento dos Autos n. 0003684-89.2019.8.16.0148, devendo o Tribunal de Justiça do Estado do Paraná definir a Comarca para a qual o processo deverá ser desaforado.</w:t>
      </w:r>
    </w:p>
    <w:p w14:paraId="4685A9E8" w14:textId="3C11FFD5" w:rsidR="005C5B02" w:rsidRPr="00435523" w:rsidRDefault="00E947D4" w:rsidP="00435523">
      <w:pPr>
        <w:pStyle w:val="Titlo10"/>
        <w:ind w:left="2832"/>
        <w:jc w:val="both"/>
        <w:rPr>
          <w:sz w:val="20"/>
          <w:szCs w:val="20"/>
          <w:lang w:val="pt-BR"/>
        </w:rPr>
      </w:pPr>
      <w:r w:rsidRPr="00435523">
        <w:rPr>
          <w:sz w:val="20"/>
          <w:szCs w:val="20"/>
          <w:lang w:val="pt-BR"/>
        </w:rPr>
        <w:t>(HC n. 811.245/PR, relator Ministro Ribeiro Dantas, Quinta Turma, julgado em 27/6/2023, DJe de 30/6/2023.)</w:t>
      </w:r>
    </w:p>
    <w:p w14:paraId="7FF02882" w14:textId="77777777" w:rsidR="00933B68" w:rsidRDefault="00933B68" w:rsidP="003B166D">
      <w:pPr>
        <w:pStyle w:val="Titlo10"/>
        <w:spacing w:line="360" w:lineRule="auto"/>
        <w:ind w:firstLine="708"/>
        <w:jc w:val="both"/>
      </w:pPr>
    </w:p>
    <w:p w14:paraId="0269BD46" w14:textId="57695BB6" w:rsidR="006B3370" w:rsidRDefault="006B3370" w:rsidP="003B166D">
      <w:pPr>
        <w:pStyle w:val="Titlo10"/>
        <w:spacing w:line="360" w:lineRule="auto"/>
        <w:ind w:firstLine="708"/>
        <w:jc w:val="both"/>
      </w:pPr>
      <w:r w:rsidRPr="006B3370">
        <w:t>No referido caso, o STJ determinou o deslocamento do julgamento para outra comarca em razão da intensa repercussão do crime na cidade de origem, destacando que a influência exercida pela mídia e pelo clamor social poderia comprometer a neutralidade dos jurados.</w:t>
      </w:r>
    </w:p>
    <w:p w14:paraId="720DE232" w14:textId="01054204" w:rsidR="006B3370" w:rsidRDefault="006B3370" w:rsidP="003B166D">
      <w:pPr>
        <w:pStyle w:val="Titlo10"/>
        <w:spacing w:line="360" w:lineRule="auto"/>
        <w:ind w:firstLine="708"/>
        <w:jc w:val="both"/>
      </w:pPr>
      <w:r w:rsidRPr="006B3370">
        <w:t>No mesmo sentido, o Supremo Tribunal Federal também reconheceu que a dúvida fundada quanto à imparcialidade do Conselho de Sentença é suficiente para justificar o desaforamento. No HC 109023/SP, de relatoria do Ministro Dias Toffoli, a Corte entendeu que a ampla repercussão local dos fatos e a manifestação favorável das partes e do juízo processante demonstravam a necessidade de transferência do julgamento:</w:t>
      </w:r>
    </w:p>
    <w:p w14:paraId="2C96710E" w14:textId="13677114" w:rsidR="003B166D" w:rsidRPr="00114070" w:rsidRDefault="003B166D" w:rsidP="00114070">
      <w:pPr>
        <w:pStyle w:val="Titlo10"/>
        <w:ind w:left="2832"/>
        <w:jc w:val="both"/>
        <w:rPr>
          <w:sz w:val="20"/>
          <w:szCs w:val="20"/>
        </w:rPr>
      </w:pPr>
      <w:r w:rsidRPr="00114070">
        <w:rPr>
          <w:sz w:val="20"/>
          <w:szCs w:val="20"/>
        </w:rPr>
        <w:t xml:space="preserve">EMENTA Habeas corpus. Desaforamento. Dúvida fundada sobre a parcialidade dos jurados. Manifestação favorável de ambas as partes e do Juízo local pelo acolhimento da proposta, com indicação de fatos concretos indicativos da parcialidade dos jurados. Ordem concedida. 1. Segundo a jurisprudência do Supremo Tribunal, a definição dos fatos indicativos da necessidade de deslocamento para a realização do júri - desaforamento - dá-se segundo a apuração feita pelos que vivem no local. </w:t>
      </w:r>
      <w:r w:rsidRPr="00114070">
        <w:rPr>
          <w:b/>
          <w:bCs/>
          <w:sz w:val="20"/>
          <w:szCs w:val="20"/>
        </w:rPr>
        <w:t>Não se faz mister a certeza da parcialidade que pode submeter os jurados, mas tão somente fundada dúvida quanto a tal ocorrência.</w:t>
      </w:r>
      <w:r w:rsidRPr="00114070">
        <w:rPr>
          <w:sz w:val="20"/>
          <w:szCs w:val="20"/>
        </w:rPr>
        <w:t xml:space="preserve"> 2. A circunstância de as partes e o Juízo local se manifestarem favoráveis ao desaforamento, apontando-se fato "notório" na comunidade local apto a configurar dúvida fundada sobre a parcialidade dos jurados, justifica o desaforamento do processo (Código de Processo Penal, art. 424). 3</w:t>
      </w:r>
      <w:r w:rsidRPr="00114070">
        <w:rPr>
          <w:b/>
          <w:bCs/>
          <w:sz w:val="20"/>
          <w:szCs w:val="20"/>
        </w:rPr>
        <w:t>. Ordem concedida para determinar o desaforamento para outra</w:t>
      </w:r>
      <w:r w:rsidRPr="00114070">
        <w:rPr>
          <w:sz w:val="20"/>
          <w:szCs w:val="20"/>
        </w:rPr>
        <w:t xml:space="preserve"> Comarca da mesma região onde não subsistam os motivos pertinentes (CPP, art. 429), adotando-se, no caso, a mesma solução dada para casos anteriores relativos ao paciente, qual seja, o desaforamento para o Tribunal do Júri da Comarca de Jundiaí/SP.</w:t>
      </w:r>
    </w:p>
    <w:p w14:paraId="71519A70" w14:textId="227BE82D" w:rsidR="003B166D" w:rsidRPr="00114070" w:rsidRDefault="003B166D" w:rsidP="00114070">
      <w:pPr>
        <w:pStyle w:val="Titlo10"/>
        <w:ind w:left="2832"/>
        <w:jc w:val="both"/>
        <w:rPr>
          <w:sz w:val="20"/>
          <w:szCs w:val="20"/>
        </w:rPr>
      </w:pPr>
      <w:r w:rsidRPr="00114070">
        <w:rPr>
          <w:sz w:val="20"/>
          <w:szCs w:val="20"/>
        </w:rPr>
        <w:t>(HC 109023, Relator(a): DIAS TOFFOLI, Primeira Turma, julgado em 13-12-2011, PROCESSO ELETRÔNICO DJe-039 DIVULG 24-02-2012 PUBLIC 27-02-2012)</w:t>
      </w:r>
    </w:p>
    <w:p w14:paraId="33135BFA" w14:textId="77777777" w:rsidR="00886091" w:rsidRDefault="00886091" w:rsidP="00567FE8">
      <w:pPr>
        <w:pStyle w:val="Titlo10"/>
        <w:spacing w:line="360" w:lineRule="auto"/>
        <w:ind w:firstLine="708"/>
        <w:jc w:val="both"/>
      </w:pPr>
    </w:p>
    <w:p w14:paraId="360E5983" w14:textId="3ACF0584" w:rsidR="00F50FBF" w:rsidRDefault="00F50FBF" w:rsidP="00567FE8">
      <w:pPr>
        <w:pStyle w:val="Titlo10"/>
        <w:spacing w:line="360" w:lineRule="auto"/>
        <w:ind w:firstLine="708"/>
        <w:jc w:val="both"/>
      </w:pPr>
      <w:r w:rsidRPr="00F50FBF">
        <w:t>Esses precedentes demonstram que o desaforamento funciona como importante instrumento de contenção da influência da opinião pública, buscando assegurar condições mínimas de imparcialidade ao julgamento pelo Tribunal do Júri.</w:t>
      </w:r>
    </w:p>
    <w:p w14:paraId="2F3C5934" w14:textId="600B5735" w:rsidR="00525A58" w:rsidRDefault="00525A58" w:rsidP="00567FE8">
      <w:pPr>
        <w:pStyle w:val="Titlo10"/>
        <w:spacing w:line="360" w:lineRule="auto"/>
        <w:ind w:firstLine="708"/>
        <w:jc w:val="both"/>
      </w:pPr>
      <w:r>
        <w:t xml:space="preserve">Outro mecanismo relevante é o sigilo das votações, previsto no art. 485 do Código de Processo Penal, que assegura aos jurados liberdade para decidir sem </w:t>
      </w:r>
      <w:r w:rsidR="00F50FBF">
        <w:t xml:space="preserve">sofrer </w:t>
      </w:r>
      <w:r>
        <w:t>pressões externas. Ao permitir que a decisão seja tomada em ambiente reservado, busca-se reduzir a influência imediata do público e das expectativas sociais</w:t>
      </w:r>
      <w:r w:rsidR="004F725A">
        <w:t xml:space="preserve"> ou da exposição midiática do caso</w:t>
      </w:r>
      <w:r>
        <w:t>.</w:t>
      </w:r>
    </w:p>
    <w:p w14:paraId="7F7EE4B7" w14:textId="77777777" w:rsidR="008C4A14" w:rsidRDefault="008C4A14" w:rsidP="00567FE8">
      <w:pPr>
        <w:pStyle w:val="Titlo10"/>
        <w:spacing w:line="360" w:lineRule="auto"/>
        <w:ind w:firstLine="708"/>
        <w:jc w:val="both"/>
      </w:pPr>
      <w:r w:rsidRPr="008C4A14">
        <w:t>Além disso, o art. 478 do Código de Processo Penal estabelece limitações à atuação das partes em plenário, vedando referências à decisão de pronúncia, ao uso de algemas ou ao silêncio do acusado como argumentos de autoridade capazes de influenciar indevidamente os jurados. A finalidade da norma é evitar a formação de preconceitos ou convicções prévias dissociadas das provas efetivamente produzidas durante o julgamento.</w:t>
      </w:r>
    </w:p>
    <w:p w14:paraId="660246A7" w14:textId="3498AA8E" w:rsidR="72A7D82C" w:rsidRDefault="00835D08" w:rsidP="00FB371F">
      <w:pPr>
        <w:pStyle w:val="Titlo10"/>
        <w:spacing w:line="360" w:lineRule="auto"/>
        <w:ind w:firstLine="708"/>
        <w:jc w:val="both"/>
      </w:pPr>
      <w:r w:rsidRPr="00835D08">
        <w:t>Por fim, é necessário reconhecer que a liberdade de imprensa, embora fundamental, não pode se sobrepor às garantias processuais. Conforme adverte Noam Chomsky (2014, p. 8), os meios de comunicação exercem papel central na construção do consenso e na formação da opinião pública, sendo capazes de direcionar percepções sociais por meio de mecanismos de propaganda e controle informacional</w:t>
      </w:r>
      <w:r w:rsidR="00FB371F">
        <w:t>.</w:t>
      </w:r>
    </w:p>
    <w:p w14:paraId="3A18A506" w14:textId="77777777" w:rsidR="000933F1" w:rsidRDefault="000933F1" w:rsidP="00FB371F">
      <w:pPr>
        <w:pStyle w:val="Titlo10"/>
        <w:spacing w:line="360" w:lineRule="auto"/>
        <w:ind w:firstLine="708"/>
        <w:jc w:val="both"/>
      </w:pPr>
    </w:p>
    <w:p w14:paraId="6055A56A" w14:textId="77777777" w:rsidR="000933F1" w:rsidRDefault="000933F1" w:rsidP="00FB371F">
      <w:pPr>
        <w:pStyle w:val="Titlo10"/>
        <w:spacing w:line="360" w:lineRule="auto"/>
        <w:ind w:firstLine="708"/>
        <w:jc w:val="both"/>
      </w:pPr>
    </w:p>
    <w:p w14:paraId="7966A138" w14:textId="77777777" w:rsidR="000933F1" w:rsidRDefault="000933F1" w:rsidP="00FB371F">
      <w:pPr>
        <w:pStyle w:val="Titlo10"/>
        <w:spacing w:line="360" w:lineRule="auto"/>
        <w:ind w:firstLine="708"/>
        <w:jc w:val="both"/>
      </w:pPr>
    </w:p>
    <w:p w14:paraId="0CAB7769" w14:textId="77777777" w:rsidR="000933F1" w:rsidRDefault="000933F1" w:rsidP="00FB371F">
      <w:pPr>
        <w:pStyle w:val="Titlo10"/>
        <w:spacing w:line="360" w:lineRule="auto"/>
        <w:ind w:firstLine="708"/>
        <w:jc w:val="both"/>
      </w:pPr>
    </w:p>
    <w:p w14:paraId="04DFDA7B" w14:textId="77777777" w:rsidR="000933F1" w:rsidRDefault="000933F1" w:rsidP="00FB371F">
      <w:pPr>
        <w:pStyle w:val="Titlo10"/>
        <w:spacing w:line="360" w:lineRule="auto"/>
        <w:ind w:firstLine="708"/>
        <w:jc w:val="both"/>
      </w:pPr>
    </w:p>
    <w:p w14:paraId="1306C081" w14:textId="77777777" w:rsidR="000933F1" w:rsidRDefault="000933F1" w:rsidP="00FB371F">
      <w:pPr>
        <w:pStyle w:val="Titlo10"/>
        <w:spacing w:line="360" w:lineRule="auto"/>
        <w:ind w:firstLine="708"/>
        <w:jc w:val="both"/>
      </w:pPr>
    </w:p>
    <w:p w14:paraId="7130D628" w14:textId="77777777" w:rsidR="000933F1" w:rsidRDefault="000933F1" w:rsidP="00FB371F">
      <w:pPr>
        <w:pStyle w:val="Titlo10"/>
        <w:spacing w:line="360" w:lineRule="auto"/>
        <w:ind w:firstLine="708"/>
        <w:jc w:val="both"/>
      </w:pPr>
    </w:p>
    <w:p w14:paraId="59F12DE1" w14:textId="77777777" w:rsidR="000933F1" w:rsidRDefault="000933F1" w:rsidP="00FB371F">
      <w:pPr>
        <w:pStyle w:val="Titlo10"/>
        <w:spacing w:line="360" w:lineRule="auto"/>
        <w:ind w:firstLine="708"/>
        <w:jc w:val="both"/>
      </w:pPr>
    </w:p>
    <w:p w14:paraId="6DE6DB3E" w14:textId="77777777" w:rsidR="000933F1" w:rsidRDefault="000933F1" w:rsidP="00FB371F">
      <w:pPr>
        <w:pStyle w:val="Titlo10"/>
        <w:spacing w:line="360" w:lineRule="auto"/>
        <w:ind w:firstLine="708"/>
        <w:jc w:val="both"/>
      </w:pPr>
    </w:p>
    <w:p w14:paraId="3F8F3239" w14:textId="77777777" w:rsidR="000933F1" w:rsidRDefault="000933F1" w:rsidP="00FB371F">
      <w:pPr>
        <w:pStyle w:val="Titlo10"/>
        <w:spacing w:line="360" w:lineRule="auto"/>
        <w:ind w:firstLine="708"/>
        <w:jc w:val="both"/>
      </w:pPr>
    </w:p>
    <w:p w14:paraId="55387F19" w14:textId="77777777" w:rsidR="000933F1" w:rsidRDefault="000933F1" w:rsidP="00FB371F">
      <w:pPr>
        <w:pStyle w:val="Titlo10"/>
        <w:spacing w:line="360" w:lineRule="auto"/>
        <w:ind w:firstLine="708"/>
        <w:jc w:val="both"/>
      </w:pPr>
    </w:p>
    <w:p w14:paraId="059B71ED" w14:textId="77777777" w:rsidR="000933F1" w:rsidRDefault="000933F1" w:rsidP="00FB371F">
      <w:pPr>
        <w:pStyle w:val="Titlo10"/>
        <w:spacing w:line="360" w:lineRule="auto"/>
        <w:ind w:firstLine="708"/>
        <w:jc w:val="both"/>
      </w:pPr>
    </w:p>
    <w:p w14:paraId="41909802" w14:textId="77777777" w:rsidR="000933F1" w:rsidRDefault="000933F1" w:rsidP="00FB371F">
      <w:pPr>
        <w:pStyle w:val="Titlo10"/>
        <w:spacing w:line="360" w:lineRule="auto"/>
        <w:ind w:firstLine="708"/>
        <w:jc w:val="both"/>
      </w:pPr>
    </w:p>
    <w:p w14:paraId="73716A95" w14:textId="77777777" w:rsidR="000933F1" w:rsidRDefault="000933F1" w:rsidP="00FB371F">
      <w:pPr>
        <w:pStyle w:val="Titlo10"/>
        <w:spacing w:line="360" w:lineRule="auto"/>
        <w:ind w:firstLine="708"/>
        <w:jc w:val="both"/>
      </w:pPr>
    </w:p>
    <w:p w14:paraId="02F57274" w14:textId="77777777" w:rsidR="000933F1" w:rsidRDefault="000933F1" w:rsidP="00FB371F">
      <w:pPr>
        <w:pStyle w:val="Titlo10"/>
        <w:spacing w:line="360" w:lineRule="auto"/>
        <w:ind w:firstLine="708"/>
        <w:jc w:val="both"/>
      </w:pPr>
    </w:p>
    <w:p w14:paraId="7C05B18E" w14:textId="77777777" w:rsidR="000933F1" w:rsidRDefault="000933F1" w:rsidP="00FB371F">
      <w:pPr>
        <w:pStyle w:val="Titlo10"/>
        <w:spacing w:line="360" w:lineRule="auto"/>
        <w:ind w:firstLine="708"/>
        <w:jc w:val="both"/>
      </w:pPr>
    </w:p>
    <w:p w14:paraId="734658A9" w14:textId="77777777" w:rsidR="000933F1" w:rsidRDefault="000933F1" w:rsidP="00FB371F">
      <w:pPr>
        <w:pStyle w:val="Titlo10"/>
        <w:spacing w:line="360" w:lineRule="auto"/>
        <w:ind w:firstLine="708"/>
        <w:jc w:val="both"/>
      </w:pPr>
    </w:p>
    <w:p w14:paraId="67C21F7B" w14:textId="77777777" w:rsidR="000933F1" w:rsidRDefault="000933F1" w:rsidP="00FB371F">
      <w:pPr>
        <w:pStyle w:val="Titlo10"/>
        <w:spacing w:line="360" w:lineRule="auto"/>
        <w:ind w:firstLine="708"/>
        <w:jc w:val="both"/>
      </w:pPr>
    </w:p>
    <w:p w14:paraId="2801047B" w14:textId="77777777" w:rsidR="000933F1" w:rsidRDefault="000933F1" w:rsidP="00FB371F">
      <w:pPr>
        <w:pStyle w:val="Titlo10"/>
        <w:spacing w:line="360" w:lineRule="auto"/>
        <w:ind w:firstLine="708"/>
        <w:jc w:val="both"/>
      </w:pPr>
    </w:p>
    <w:p w14:paraId="0697848E" w14:textId="77777777" w:rsidR="000933F1" w:rsidRDefault="000933F1" w:rsidP="00FB371F">
      <w:pPr>
        <w:pStyle w:val="Titlo10"/>
        <w:spacing w:line="360" w:lineRule="auto"/>
        <w:ind w:firstLine="708"/>
        <w:jc w:val="both"/>
      </w:pPr>
    </w:p>
    <w:p w14:paraId="0C0CA756" w14:textId="77777777" w:rsidR="000933F1" w:rsidRDefault="000933F1" w:rsidP="00FB371F">
      <w:pPr>
        <w:pStyle w:val="Titlo10"/>
        <w:spacing w:line="360" w:lineRule="auto"/>
        <w:ind w:firstLine="708"/>
        <w:jc w:val="both"/>
      </w:pPr>
    </w:p>
    <w:p w14:paraId="09A767BE" w14:textId="77777777" w:rsidR="000933F1" w:rsidRDefault="000933F1" w:rsidP="00FB371F">
      <w:pPr>
        <w:pStyle w:val="Titlo10"/>
        <w:spacing w:line="360" w:lineRule="auto"/>
        <w:ind w:firstLine="708"/>
        <w:jc w:val="both"/>
      </w:pPr>
    </w:p>
    <w:p w14:paraId="2B635E6D" w14:textId="77777777" w:rsidR="000933F1" w:rsidRDefault="000933F1" w:rsidP="00FB371F">
      <w:pPr>
        <w:pStyle w:val="Titlo10"/>
        <w:spacing w:line="360" w:lineRule="auto"/>
        <w:ind w:firstLine="708"/>
        <w:jc w:val="both"/>
      </w:pPr>
    </w:p>
    <w:p w14:paraId="0F5F571F" w14:textId="77777777" w:rsidR="000933F1" w:rsidRDefault="000933F1" w:rsidP="00FB371F">
      <w:pPr>
        <w:pStyle w:val="Titlo10"/>
        <w:spacing w:line="360" w:lineRule="auto"/>
        <w:ind w:firstLine="708"/>
        <w:jc w:val="both"/>
      </w:pPr>
    </w:p>
    <w:p w14:paraId="0FF029FE" w14:textId="77777777" w:rsidR="000933F1" w:rsidRDefault="000933F1" w:rsidP="00FB371F">
      <w:pPr>
        <w:pStyle w:val="Titlo10"/>
        <w:spacing w:line="360" w:lineRule="auto"/>
        <w:ind w:firstLine="708"/>
        <w:jc w:val="both"/>
      </w:pPr>
    </w:p>
    <w:p w14:paraId="44C298B3" w14:textId="77777777" w:rsidR="000933F1" w:rsidRDefault="000933F1" w:rsidP="00FB371F">
      <w:pPr>
        <w:pStyle w:val="Titlo10"/>
        <w:spacing w:line="360" w:lineRule="auto"/>
        <w:ind w:firstLine="708"/>
        <w:jc w:val="both"/>
      </w:pPr>
    </w:p>
    <w:p w14:paraId="228C9200" w14:textId="77777777" w:rsidR="000933F1" w:rsidRDefault="000933F1" w:rsidP="00FB371F">
      <w:pPr>
        <w:pStyle w:val="Titlo10"/>
        <w:spacing w:line="360" w:lineRule="auto"/>
        <w:ind w:firstLine="708"/>
        <w:jc w:val="both"/>
      </w:pPr>
    </w:p>
    <w:p w14:paraId="3F4F0494" w14:textId="77777777" w:rsidR="000933F1" w:rsidRDefault="000933F1" w:rsidP="00FB371F">
      <w:pPr>
        <w:pStyle w:val="Titlo10"/>
        <w:spacing w:line="360" w:lineRule="auto"/>
        <w:ind w:firstLine="708"/>
        <w:jc w:val="both"/>
      </w:pPr>
    </w:p>
    <w:p w14:paraId="33E750B0" w14:textId="0AA062B3" w:rsidR="000D74A2" w:rsidRPr="00661CBB" w:rsidRDefault="000D74A2" w:rsidP="00661CBB">
      <w:pPr>
        <w:pStyle w:val="Ttulo1"/>
        <w:spacing w:line="360" w:lineRule="auto"/>
        <w:jc w:val="both"/>
        <w:rPr>
          <w:rFonts w:ascii="Times New Roman" w:hAnsi="Times New Roman" w:cs="Times New Roman"/>
          <w:b/>
          <w:bCs/>
          <w:color w:val="auto"/>
          <w:sz w:val="24"/>
          <w:szCs w:val="24"/>
        </w:rPr>
      </w:pPr>
      <w:bookmarkStart w:id="17" w:name="_Toc229076375"/>
      <w:r w:rsidRPr="00661CBB">
        <w:rPr>
          <w:rFonts w:ascii="Times New Roman" w:hAnsi="Times New Roman" w:cs="Times New Roman"/>
          <w:b/>
          <w:bCs/>
          <w:color w:val="auto"/>
          <w:sz w:val="24"/>
          <w:szCs w:val="24"/>
        </w:rPr>
        <w:t>CONCLUSÃO</w:t>
      </w:r>
      <w:bookmarkEnd w:id="17"/>
    </w:p>
    <w:p w14:paraId="13A5F7BB" w14:textId="4DE3CD32" w:rsidR="006B599F" w:rsidRDefault="006B599F" w:rsidP="00D53BE8">
      <w:pPr>
        <w:pStyle w:val="Titlo10"/>
        <w:spacing w:line="360" w:lineRule="auto"/>
        <w:ind w:firstLine="709"/>
        <w:jc w:val="both"/>
      </w:pPr>
      <w:r>
        <w:t xml:space="preserve">A imprensa exerce função essencial no Estado Democrático de Direito, especialmente por possibilitar a circulação de informações, a fiscalização social das instituições públicas e a ampliação do debate democrático. </w:t>
      </w:r>
      <w:r w:rsidR="00C34920" w:rsidRPr="00C34920">
        <w:t>Entretanto, para que essa atuação efetivamente contribua para a preservação da democracia e da justiça, é imprescindível que o exercício da liberdade de imprensa ocorra de maneira ética, responsável e comprometida com a veracidade dos fatos. A informação, quando transmitida de forma equilibrada e respeitosa às garantias constitucionais, fortalece a formação crítica da sociedade e contribui para a consolidação de uma justiça pautada na legalidade, na dignidade da pessoa humana e na proteção dos direitos fundamentais.</w:t>
      </w:r>
    </w:p>
    <w:p w14:paraId="7EA2C918" w14:textId="6720C4AF" w:rsidR="0056599B" w:rsidRDefault="0056599B" w:rsidP="00D53BE8">
      <w:pPr>
        <w:pStyle w:val="Titlo10"/>
        <w:spacing w:line="360" w:lineRule="auto"/>
        <w:ind w:firstLine="709"/>
        <w:jc w:val="both"/>
      </w:pPr>
      <w:r>
        <w:t>A presente pesquisa demonstrou que a mídia, ao ultrapassar sua função meramente informativa e adotar práticas marcadas pelo sensacionalismo, pela dramatização e pela espetacularização do processo penal, pode influenciar significativamente a formação da opinião pública e comprometer a imparcialidade do Tribunal do Júri. Nesse contexto, consolida-se o fenômeno do julgamento midiático, em que a construção social da culpa antecede a própria formação da prova em juízo, produzindo verdadeira condenação pública antecipada e fragilizando garantias fundamentais como a presunção de inocência, o contraditório, a ampla defesa e o devido processo legal.</w:t>
      </w:r>
    </w:p>
    <w:p w14:paraId="774EA75C" w14:textId="75B06C4B" w:rsidR="0056599B" w:rsidRDefault="0056599B" w:rsidP="00D53BE8">
      <w:pPr>
        <w:pStyle w:val="Titlo10"/>
        <w:spacing w:line="360" w:lineRule="auto"/>
        <w:ind w:firstLine="709"/>
        <w:jc w:val="both"/>
      </w:pPr>
      <w:r>
        <w:t>A pesquisa evidenciou que essa influência se torna ainda mais sensível no âmbito do Tribunal do Júri em razão das peculiaridades do Conselho de Sentença. Diferentemente dos magistrados togados, os jurados são cidadãos leigos, sem formação jurídica e sem obrigação de fundamentar suas decisões, julgando com base na íntima convicção. Embora tal característica represente importante manifestação democrática da participação popular na justiça criminal, ela também amplia a vulnerabilidade do julgamento às pressões sociais, ao clamor público e às narrativas previamente construídas pelos meios de comunicação.</w:t>
      </w:r>
    </w:p>
    <w:p w14:paraId="441297D6" w14:textId="6CFE32AA" w:rsidR="0056599B" w:rsidRDefault="0056599B" w:rsidP="00D53BE8">
      <w:pPr>
        <w:pStyle w:val="Titlo10"/>
        <w:spacing w:line="360" w:lineRule="auto"/>
        <w:ind w:firstLine="709"/>
        <w:jc w:val="both"/>
      </w:pPr>
      <w:r>
        <w:t>Os casos analisados ao longo do trabalho demonstram concretamente essa problemática. O Caso Escola Base revelou como a atuação irresponsável da imprensa pode produzir consequências sociais e jurídicas devastadoras, mesmo diante da posterior comprovação da inocência dos investigados. O Caso Fabiane Maria de Jesus evidenciou os efeitos extremos da disseminação descontrolada de informações e da atuação do chamado “tribunal da opinião pública”, no qual a punição coletiva ocorre sem qualquer observância ao devido processo legal. Já o Caso Suzane von Richthofen demonstrou como a intensa cobertura midiática pode construir previamente imagens de culpabilidade capazes de influenciar a percepção social e potencialmente comprometer a imparcialidade do julgamento pelo Tribunal do Júri, ainda que tenha havido condenação definitiva dos acusados.</w:t>
      </w:r>
    </w:p>
    <w:p w14:paraId="17D48752" w14:textId="77777777" w:rsidR="00CD07CD" w:rsidRDefault="00CD07CD" w:rsidP="00D53BE8">
      <w:pPr>
        <w:pStyle w:val="Titlo10"/>
        <w:spacing w:line="360" w:lineRule="auto"/>
        <w:ind w:firstLine="709"/>
        <w:jc w:val="both"/>
      </w:pPr>
      <w:r w:rsidRPr="00CD07CD">
        <w:t>Verificou-se, ainda, que o ordenamento jurídico brasileiro dispõe de mecanismos destinados à contenção da influência midiática sobre o Tribunal do Júri, dentre os quais se destacam o sigilo das votações e o desaforamento. Este último, inclusive, tem sido reconhecido pela jurisprudência do Supremo Tribunal Federal e do Superior Tribunal de Justiça como instrumento legítimo de preservação da imparcialidade do Conselho de Sentença em hipóteses de intensa repercussão midiática e elevado clamor social, especialmente quando presentes elementos concretos capazes de comprometer a isenção dos jurados e a garantia de um julgamento justo.</w:t>
      </w:r>
    </w:p>
    <w:p w14:paraId="6A3C2A93" w14:textId="03675763" w:rsidR="0056599B" w:rsidRDefault="0056599B" w:rsidP="00D53BE8">
      <w:pPr>
        <w:pStyle w:val="Titlo10"/>
        <w:spacing w:line="360" w:lineRule="auto"/>
        <w:ind w:firstLine="709"/>
        <w:jc w:val="both"/>
      </w:pPr>
      <w:r>
        <w:t>Entretanto, a atual estrutura da comunicação digital e a velocidade de propagação das informações intensificam significativamente os impactos da influência midiática sobre o processo penal. Nesse cenário, a prática criminosa, sobretudo nos crimes dolosos contra a vida, associada ao forte apelo emocional explorado pelos meios de comunicação, transforma-se em instrumento de mobilização social e de pressão sobre a atuação jurisdicional.</w:t>
      </w:r>
    </w:p>
    <w:p w14:paraId="213A2844" w14:textId="5756BEFB" w:rsidR="0056599B" w:rsidRDefault="0056599B" w:rsidP="00D53BE8">
      <w:pPr>
        <w:pStyle w:val="Titlo10"/>
        <w:spacing w:line="360" w:lineRule="auto"/>
        <w:ind w:firstLine="709"/>
        <w:jc w:val="both"/>
      </w:pPr>
      <w:r>
        <w:t>Diante disso, conclui-se que a preservação da imparcialidade do Tribunal do Júri exige não apenas a aplicação dos mecanismos já previstos no ordenamento jurídico, mas também a constante busca pelo aperfeiçoamento de medidas institucionais, legislativas e administrativas voltadas à proteção das garantias fundamentais frente às novas dinâmicas comunicacionais da sociedade contemporânea. No âmbito jurisprudencial, mostra-se necessária a construção de critérios mais objetivos para o reconhecimento da contaminação do julgamento pela repercussão midiática, conferindo maior efetividade a instrumentos como o desaforamento. Já na esfera administrativa e institucional, revela-se fundamental a adoção de protocolos mais rigorosos de comunicação por autoridades policiais, membros do Ministério Público e órgãos do Poder Judiciário, especialmente quanto à divulgação de informações durante a fase investigativa, a fim de evitar vazamentos, exposição indevida de investigados e antecipação pública de juízos de culpabilidade.</w:t>
      </w:r>
    </w:p>
    <w:p w14:paraId="76F7A022" w14:textId="18C2D04B" w:rsidR="0056599B" w:rsidRDefault="0056599B" w:rsidP="00D53BE8">
      <w:pPr>
        <w:pStyle w:val="Titlo10"/>
        <w:spacing w:line="360" w:lineRule="auto"/>
        <w:ind w:firstLine="709"/>
        <w:jc w:val="both"/>
      </w:pPr>
      <w:r>
        <w:t>Também se mostra relevante o fortalecimento de iniciativas voltadas à educação midiática e jurídica da população, permitindo maior conscientização acerca da função do processo penal, da presunção de inocência e dos limites éticos da atuação da imprensa. Nesse sentido, revela-se pertinente a elaboração de materiais educativos e diretrizes institucionais destinadas tanto aos profissionais da comunicação quanto à sociedade em geral, com o objetivo de ampliar a compreensão acerca das garantias processuais penais e dos impactos decorrentes da propagação irresponsável de informações</w:t>
      </w:r>
    </w:p>
    <w:p w14:paraId="269364A5" w14:textId="7B7B5482" w:rsidR="006B599F" w:rsidRDefault="001E0F5E" w:rsidP="00D53BE8">
      <w:pPr>
        <w:pStyle w:val="Titlo10"/>
        <w:spacing w:line="360" w:lineRule="auto"/>
        <w:ind w:firstLine="709"/>
        <w:jc w:val="both"/>
      </w:pPr>
      <w:r w:rsidRPr="001E0F5E">
        <w:t>Desse modo, a presente pesquisa não propõe qualquer restrição indevida à atividade jornalística, mas defende a necessidade de que o exercício da liberdade de informação observe os limites impostos pela própria ordem constitucional democrática. A atuação da imprensa, embora indispensável à transparência pública e ao controle social das instituições, não pode se transformar em instrumento de antecipação de culpa ou de pressão sobre a atividade jurisdicional. Em um processo penal orientado por garantias fundamentais, a busca pela informação deve coexistir com a preservação da dignidade da pessoa humana, da presunção de inocência e da imparcialidade do julgador.</w:t>
      </w:r>
      <w:r>
        <w:t xml:space="preserve"> </w:t>
      </w:r>
      <w:r w:rsidR="0056599B">
        <w:t>Assim, somente por meio do equilíbrio entre liberdade informativa e proteção das garantias fundamentais será possível preservar a legitimidade do Tribunal do Júri, a credibilidade do sistema de justiça criminal e a efetividade do Estado Democrático de Direito.</w:t>
      </w:r>
    </w:p>
    <w:p w14:paraId="653A9452" w14:textId="77777777" w:rsidR="0056599B" w:rsidRDefault="0056599B" w:rsidP="0056599B">
      <w:pPr>
        <w:pStyle w:val="Titlo10"/>
        <w:spacing w:line="360" w:lineRule="auto"/>
        <w:jc w:val="both"/>
      </w:pPr>
    </w:p>
    <w:p w14:paraId="5E4FE3B3" w14:textId="77777777" w:rsidR="00FB371F" w:rsidRDefault="00FB371F" w:rsidP="0056599B">
      <w:pPr>
        <w:pStyle w:val="Titlo10"/>
        <w:spacing w:line="360" w:lineRule="auto"/>
        <w:jc w:val="both"/>
      </w:pPr>
    </w:p>
    <w:p w14:paraId="434FAC37" w14:textId="77777777" w:rsidR="00FB371F" w:rsidRDefault="00FB371F" w:rsidP="0056599B">
      <w:pPr>
        <w:pStyle w:val="Titlo10"/>
        <w:spacing w:line="360" w:lineRule="auto"/>
        <w:jc w:val="both"/>
      </w:pPr>
    </w:p>
    <w:p w14:paraId="0FD892D9" w14:textId="77777777" w:rsidR="00FB371F" w:rsidRDefault="00FB371F" w:rsidP="0056599B">
      <w:pPr>
        <w:pStyle w:val="Titlo10"/>
        <w:spacing w:line="360" w:lineRule="auto"/>
        <w:jc w:val="both"/>
      </w:pPr>
    </w:p>
    <w:p w14:paraId="746E1993" w14:textId="77777777" w:rsidR="00FB371F" w:rsidRDefault="00FB371F" w:rsidP="0056599B">
      <w:pPr>
        <w:pStyle w:val="Titlo10"/>
        <w:spacing w:line="360" w:lineRule="auto"/>
        <w:jc w:val="both"/>
      </w:pPr>
    </w:p>
    <w:p w14:paraId="01FCA3F0" w14:textId="77777777" w:rsidR="00FB371F" w:rsidRDefault="00FB371F" w:rsidP="0056599B">
      <w:pPr>
        <w:pStyle w:val="Titlo10"/>
        <w:spacing w:line="360" w:lineRule="auto"/>
        <w:jc w:val="both"/>
      </w:pPr>
    </w:p>
    <w:p w14:paraId="66A61E37" w14:textId="77777777" w:rsidR="00FB371F" w:rsidRDefault="00FB371F" w:rsidP="0056599B">
      <w:pPr>
        <w:pStyle w:val="Titlo10"/>
        <w:spacing w:line="360" w:lineRule="auto"/>
        <w:jc w:val="both"/>
      </w:pPr>
    </w:p>
    <w:p w14:paraId="3268AC3D" w14:textId="77777777" w:rsidR="00FB371F" w:rsidRDefault="00FB371F" w:rsidP="0056599B">
      <w:pPr>
        <w:pStyle w:val="Titlo10"/>
        <w:spacing w:line="360" w:lineRule="auto"/>
        <w:jc w:val="both"/>
      </w:pPr>
    </w:p>
    <w:p w14:paraId="61798B3E" w14:textId="77777777" w:rsidR="00FB371F" w:rsidRDefault="00FB371F" w:rsidP="0056599B">
      <w:pPr>
        <w:pStyle w:val="Titlo10"/>
        <w:spacing w:line="360" w:lineRule="auto"/>
        <w:jc w:val="both"/>
      </w:pPr>
    </w:p>
    <w:p w14:paraId="397BBF8E" w14:textId="77777777" w:rsidR="00FB371F" w:rsidRDefault="00FB371F" w:rsidP="0056599B">
      <w:pPr>
        <w:pStyle w:val="Titlo10"/>
        <w:spacing w:line="360" w:lineRule="auto"/>
        <w:jc w:val="both"/>
      </w:pPr>
    </w:p>
    <w:p w14:paraId="04FCEDA3" w14:textId="77777777" w:rsidR="00FB371F" w:rsidRDefault="00FB371F" w:rsidP="0056599B">
      <w:pPr>
        <w:pStyle w:val="Titlo10"/>
        <w:spacing w:line="360" w:lineRule="auto"/>
        <w:jc w:val="both"/>
      </w:pPr>
    </w:p>
    <w:p w14:paraId="74577CEF" w14:textId="77777777" w:rsidR="00FB371F" w:rsidRDefault="00FB371F" w:rsidP="0056599B">
      <w:pPr>
        <w:pStyle w:val="Titlo10"/>
        <w:spacing w:line="360" w:lineRule="auto"/>
        <w:jc w:val="both"/>
      </w:pPr>
    </w:p>
    <w:p w14:paraId="2C293D05" w14:textId="77777777" w:rsidR="00FB371F" w:rsidRDefault="00FB371F" w:rsidP="0056599B">
      <w:pPr>
        <w:pStyle w:val="Titlo10"/>
        <w:spacing w:line="360" w:lineRule="auto"/>
        <w:jc w:val="both"/>
      </w:pPr>
    </w:p>
    <w:p w14:paraId="10B5CC91" w14:textId="77777777" w:rsidR="00FB371F" w:rsidRDefault="00FB371F" w:rsidP="0056599B">
      <w:pPr>
        <w:pStyle w:val="Titlo10"/>
        <w:spacing w:line="360" w:lineRule="auto"/>
        <w:jc w:val="both"/>
      </w:pPr>
    </w:p>
    <w:p w14:paraId="1DA0A793" w14:textId="77777777" w:rsidR="00FB371F" w:rsidRDefault="00FB371F" w:rsidP="0056599B">
      <w:pPr>
        <w:pStyle w:val="Titlo10"/>
        <w:spacing w:line="360" w:lineRule="auto"/>
        <w:jc w:val="both"/>
      </w:pPr>
    </w:p>
    <w:p w14:paraId="1862BD0E" w14:textId="77777777" w:rsidR="00FB371F" w:rsidRDefault="00FB371F" w:rsidP="0056599B">
      <w:pPr>
        <w:pStyle w:val="Titlo10"/>
        <w:spacing w:line="360" w:lineRule="auto"/>
        <w:jc w:val="both"/>
      </w:pPr>
    </w:p>
    <w:p w14:paraId="33521F06" w14:textId="77777777" w:rsidR="00FB371F" w:rsidRDefault="00FB371F" w:rsidP="0056599B">
      <w:pPr>
        <w:pStyle w:val="Titlo10"/>
        <w:spacing w:line="360" w:lineRule="auto"/>
        <w:jc w:val="both"/>
      </w:pPr>
    </w:p>
    <w:p w14:paraId="05BBD612" w14:textId="77777777" w:rsidR="00FB371F" w:rsidRDefault="00FB371F" w:rsidP="0056599B">
      <w:pPr>
        <w:pStyle w:val="Titlo10"/>
        <w:spacing w:line="360" w:lineRule="auto"/>
        <w:jc w:val="both"/>
      </w:pPr>
    </w:p>
    <w:p w14:paraId="11CF2D48" w14:textId="77777777" w:rsidR="00FB371F" w:rsidRDefault="00FB371F" w:rsidP="0056599B">
      <w:pPr>
        <w:pStyle w:val="Titlo10"/>
        <w:spacing w:line="360" w:lineRule="auto"/>
        <w:jc w:val="both"/>
      </w:pPr>
    </w:p>
    <w:p w14:paraId="73104BA8" w14:textId="77777777" w:rsidR="00FB371F" w:rsidRDefault="00FB371F" w:rsidP="0056599B">
      <w:pPr>
        <w:pStyle w:val="Titlo10"/>
        <w:spacing w:line="360" w:lineRule="auto"/>
        <w:jc w:val="both"/>
      </w:pPr>
    </w:p>
    <w:p w14:paraId="63AB5B9A" w14:textId="77777777" w:rsidR="00FB371F" w:rsidRDefault="00FB371F" w:rsidP="0056599B">
      <w:pPr>
        <w:pStyle w:val="Titlo10"/>
        <w:spacing w:line="360" w:lineRule="auto"/>
        <w:jc w:val="both"/>
      </w:pPr>
    </w:p>
    <w:p w14:paraId="3152F611" w14:textId="77777777" w:rsidR="000933F1" w:rsidRDefault="000933F1" w:rsidP="0056599B">
      <w:pPr>
        <w:pStyle w:val="Titlo10"/>
        <w:spacing w:line="360" w:lineRule="auto"/>
        <w:jc w:val="both"/>
      </w:pPr>
    </w:p>
    <w:p w14:paraId="3C00A555" w14:textId="77777777" w:rsidR="000933F1" w:rsidRDefault="000933F1" w:rsidP="0056599B">
      <w:pPr>
        <w:pStyle w:val="Titlo10"/>
        <w:spacing w:line="360" w:lineRule="auto"/>
        <w:jc w:val="both"/>
      </w:pPr>
    </w:p>
    <w:p w14:paraId="4419D5D4" w14:textId="1E17FAB9" w:rsidR="00F86B5D" w:rsidRPr="00F86B5D" w:rsidRDefault="000D74A2" w:rsidP="00F86B5D">
      <w:pPr>
        <w:pStyle w:val="Titlo10"/>
        <w:spacing w:line="360" w:lineRule="auto"/>
        <w:jc w:val="both"/>
      </w:pPr>
      <w:r w:rsidRPr="00661CBB">
        <w:rPr>
          <w:b/>
          <w:bCs/>
        </w:rPr>
        <w:t>REFERÊNCIAS</w:t>
      </w:r>
    </w:p>
    <w:p w14:paraId="7B6E614B" w14:textId="01B91D71" w:rsidR="00882E00" w:rsidRDefault="00882E00" w:rsidP="2C8BBEA1">
      <w:pPr>
        <w:pStyle w:val="NormalWeb"/>
        <w:shd w:val="clear" w:color="auto" w:fill="FFFFFF" w:themeFill="background1"/>
        <w:spacing w:line="360" w:lineRule="auto"/>
        <w:jc w:val="both"/>
        <w:rPr>
          <w:rFonts w:eastAsia="Times New Roman"/>
          <w:color w:val="000000" w:themeColor="text1"/>
        </w:rPr>
      </w:pPr>
      <w:r w:rsidRPr="00882E00">
        <w:rPr>
          <w:rFonts w:eastAsia="Times New Roman"/>
          <w:color w:val="000000" w:themeColor="text1"/>
        </w:rPr>
        <w:t xml:space="preserve">BANDEIRA, Marcos. </w:t>
      </w:r>
      <w:r w:rsidRPr="00882E00">
        <w:rPr>
          <w:rFonts w:eastAsia="Times New Roman"/>
          <w:i/>
          <w:iCs/>
          <w:color w:val="000000" w:themeColor="text1"/>
        </w:rPr>
        <w:t>Tribunal do Júri</w:t>
      </w:r>
      <w:r w:rsidRPr="00882E00">
        <w:rPr>
          <w:rFonts w:eastAsia="Times New Roman"/>
          <w:color w:val="000000" w:themeColor="text1"/>
        </w:rPr>
        <w:t>. Ilhéus, BA: Editus, 2010.</w:t>
      </w:r>
    </w:p>
    <w:p w14:paraId="2DFB0DB5" w14:textId="015A2C9E" w:rsidR="2C8BBEA1" w:rsidRDefault="00F86B5D" w:rsidP="2C8BBEA1">
      <w:pPr>
        <w:pStyle w:val="NormalWeb"/>
        <w:shd w:val="clear" w:color="auto" w:fill="FFFFFF" w:themeFill="background1"/>
        <w:spacing w:line="360" w:lineRule="auto"/>
        <w:jc w:val="both"/>
        <w:rPr>
          <w:rFonts w:eastAsia="Times New Roman"/>
          <w:color w:val="000000" w:themeColor="text1"/>
        </w:rPr>
      </w:pPr>
      <w:r w:rsidRPr="00F86B5D">
        <w:rPr>
          <w:rFonts w:eastAsia="Times New Roman"/>
          <w:color w:val="000000" w:themeColor="text1"/>
        </w:rPr>
        <w:t xml:space="preserve">BARBOSA, Rui. </w:t>
      </w:r>
      <w:r w:rsidRPr="00F86B5D">
        <w:rPr>
          <w:rFonts w:eastAsia="Times New Roman"/>
          <w:i/>
          <w:iCs/>
          <w:color w:val="000000" w:themeColor="text1"/>
        </w:rPr>
        <w:t>A imprensa e o dever da verdade</w:t>
      </w:r>
      <w:r w:rsidRPr="00F86B5D">
        <w:rPr>
          <w:rFonts w:eastAsia="Times New Roman"/>
          <w:color w:val="000000" w:themeColor="text1"/>
        </w:rPr>
        <w:t>. Brasília: Senado Federal, 2019. v. 272. </w:t>
      </w:r>
    </w:p>
    <w:p w14:paraId="4E15BCA4" w14:textId="224892C1" w:rsidR="008960D2" w:rsidRDefault="008960D2" w:rsidP="2C8BBEA1">
      <w:pPr>
        <w:pStyle w:val="NormalWeb"/>
        <w:shd w:val="clear" w:color="auto" w:fill="FFFFFF" w:themeFill="background1"/>
        <w:spacing w:line="360" w:lineRule="auto"/>
        <w:jc w:val="both"/>
        <w:rPr>
          <w:rFonts w:eastAsia="Times New Roman"/>
          <w:color w:val="000000" w:themeColor="text1"/>
        </w:rPr>
      </w:pPr>
      <w:r w:rsidRPr="008960D2">
        <w:rPr>
          <w:rFonts w:eastAsia="Times New Roman"/>
          <w:color w:val="000000" w:themeColor="text1"/>
        </w:rPr>
        <w:t xml:space="preserve">BATISTA, Nilo. </w:t>
      </w:r>
      <w:r w:rsidRPr="008960D2">
        <w:rPr>
          <w:rFonts w:eastAsia="Times New Roman"/>
          <w:i/>
          <w:iCs/>
          <w:color w:val="000000" w:themeColor="text1"/>
        </w:rPr>
        <w:t>Mídia e Sistema Penal no Capitalismo Tardio</w:t>
      </w:r>
      <w:r w:rsidRPr="008960D2">
        <w:rPr>
          <w:rFonts w:eastAsia="Times New Roman"/>
          <w:color w:val="000000" w:themeColor="text1"/>
        </w:rPr>
        <w:t xml:space="preserve">. </w:t>
      </w:r>
      <w:r w:rsidR="00C3489C">
        <w:rPr>
          <w:rFonts w:eastAsia="Times New Roman"/>
          <w:color w:val="000000" w:themeColor="text1"/>
        </w:rPr>
        <w:t>Discursos Sediciosos Crime</w:t>
      </w:r>
      <w:r w:rsidR="0044438A">
        <w:rPr>
          <w:rFonts w:eastAsia="Times New Roman"/>
          <w:color w:val="000000" w:themeColor="text1"/>
        </w:rPr>
        <w:t>, Direito e Sociedade, Rio de Janeiro</w:t>
      </w:r>
      <w:r w:rsidR="00761D96">
        <w:rPr>
          <w:rFonts w:eastAsia="Times New Roman"/>
          <w:color w:val="000000" w:themeColor="text1"/>
        </w:rPr>
        <w:t>, v. 8, n. 12, p. 271-289, 2002</w:t>
      </w:r>
      <w:r w:rsidRPr="008960D2">
        <w:rPr>
          <w:rFonts w:eastAsia="Times New Roman"/>
          <w:color w:val="000000" w:themeColor="text1"/>
        </w:rPr>
        <w:t xml:space="preserve">. </w:t>
      </w:r>
    </w:p>
    <w:p w14:paraId="569C6E43" w14:textId="04D5FD5C" w:rsidR="002A1C98" w:rsidRDefault="6C503E20" w:rsidP="2C8BBEA1">
      <w:pPr>
        <w:pStyle w:val="NormalWeb"/>
        <w:shd w:val="clear" w:color="auto" w:fill="FFFFFF" w:themeFill="background1"/>
        <w:spacing w:line="360" w:lineRule="auto"/>
        <w:jc w:val="both"/>
        <w:rPr>
          <w:rFonts w:eastAsia="Times New Roman"/>
          <w:color w:val="000000" w:themeColor="text1"/>
        </w:rPr>
      </w:pPr>
      <w:r w:rsidRPr="2C8BBEA1">
        <w:rPr>
          <w:rFonts w:eastAsia="Times New Roman"/>
          <w:color w:val="000000" w:themeColor="text1"/>
        </w:rPr>
        <w:t xml:space="preserve">BOURDIEU, Pierre. </w:t>
      </w:r>
      <w:r w:rsidRPr="2C8BBEA1">
        <w:rPr>
          <w:rFonts w:eastAsia="Times New Roman"/>
          <w:i/>
          <w:iCs/>
          <w:color w:val="000000" w:themeColor="text1"/>
        </w:rPr>
        <w:t>O Poder Simbólico</w:t>
      </w:r>
      <w:r w:rsidRPr="2C8BBEA1">
        <w:rPr>
          <w:rFonts w:eastAsia="Times New Roman"/>
          <w:color w:val="000000" w:themeColor="text1"/>
        </w:rPr>
        <w:t xml:space="preserve">. Rio de Janeiro: Bertrand Brasil, </w:t>
      </w:r>
      <w:r w:rsidR="00823B7B">
        <w:rPr>
          <w:rFonts w:eastAsia="Times New Roman"/>
          <w:color w:val="000000" w:themeColor="text1"/>
        </w:rPr>
        <w:t>1989</w:t>
      </w:r>
      <w:r w:rsidRPr="2C8BBEA1">
        <w:rPr>
          <w:rFonts w:eastAsia="Times New Roman"/>
          <w:color w:val="000000" w:themeColor="text1"/>
        </w:rPr>
        <w:t>.</w:t>
      </w:r>
    </w:p>
    <w:p w14:paraId="67C49C89" w14:textId="7DBD24A9" w:rsidR="007175EB" w:rsidRDefault="002A1C98" w:rsidP="2C8BBEA1">
      <w:pPr>
        <w:pStyle w:val="NormalWeb"/>
        <w:shd w:val="clear" w:color="auto" w:fill="FFFFFF" w:themeFill="background1"/>
        <w:spacing w:line="360" w:lineRule="auto"/>
        <w:jc w:val="both"/>
        <w:rPr>
          <w:rFonts w:eastAsia="Times New Roman"/>
          <w:color w:val="000000" w:themeColor="text1"/>
        </w:rPr>
      </w:pPr>
      <w:r w:rsidRPr="002A1C98">
        <w:rPr>
          <w:rFonts w:eastAsia="Times New Roman"/>
          <w:color w:val="000000" w:themeColor="text1"/>
        </w:rPr>
        <w:t>B</w:t>
      </w:r>
      <w:r w:rsidR="00210FA8">
        <w:rPr>
          <w:rFonts w:eastAsia="Times New Roman"/>
          <w:color w:val="000000" w:themeColor="text1"/>
        </w:rPr>
        <w:t>A</w:t>
      </w:r>
      <w:r w:rsidRPr="002A1C98">
        <w:rPr>
          <w:rFonts w:eastAsia="Times New Roman"/>
          <w:color w:val="000000" w:themeColor="text1"/>
        </w:rPr>
        <w:t xml:space="preserve">UMAN, Zygmunt. </w:t>
      </w:r>
      <w:r w:rsidRPr="002A1C98">
        <w:rPr>
          <w:rFonts w:eastAsia="Times New Roman"/>
          <w:i/>
          <w:iCs/>
          <w:color w:val="000000" w:themeColor="text1"/>
        </w:rPr>
        <w:t>Medo Líquido.</w:t>
      </w:r>
      <w:r w:rsidRPr="002A1C98">
        <w:rPr>
          <w:rFonts w:eastAsia="Times New Roman"/>
          <w:color w:val="000000" w:themeColor="text1"/>
        </w:rPr>
        <w:t xml:space="preserve"> Rio de Janeiro: Zahar, 2008. </w:t>
      </w:r>
    </w:p>
    <w:p w14:paraId="7D90901A" w14:textId="3B4F09CC" w:rsidR="00F86B5D" w:rsidRDefault="007175EB" w:rsidP="00F86B5D">
      <w:pPr>
        <w:pStyle w:val="NormalWeb"/>
        <w:shd w:val="clear" w:color="auto" w:fill="FFFFFF" w:themeFill="background1"/>
        <w:spacing w:line="360" w:lineRule="auto"/>
        <w:jc w:val="both"/>
        <w:rPr>
          <w:rFonts w:eastAsia="Times New Roman"/>
          <w:color w:val="000000" w:themeColor="text1"/>
        </w:rPr>
      </w:pPr>
      <w:r w:rsidRPr="2C8BBEA1">
        <w:rPr>
          <w:rStyle w:val="Nenhum"/>
          <w:rFonts w:eastAsia="Times New Roman"/>
          <w:color w:val="000000" w:themeColor="text1"/>
        </w:rPr>
        <w:t>BRASIL. [Constituição (1988)]. Constituição da República Federativa do Brasil de 1988. Brasília, DF: Presidente da República, [2016]. Disponível em: http://www.planalto.gov.br/ccivil_03/constituicao/constituicao.htm. Acesso em 12 de dez. 2025.</w:t>
      </w:r>
    </w:p>
    <w:p w14:paraId="1F5C97C1" w14:textId="7EB9B867" w:rsidR="00933B68" w:rsidRDefault="00933B68" w:rsidP="00933B68">
      <w:pPr>
        <w:pStyle w:val="Titlo10"/>
        <w:spacing w:line="360" w:lineRule="auto"/>
        <w:jc w:val="both"/>
      </w:pPr>
      <w:r w:rsidRPr="00CF3214">
        <w:t>BRASIL</w:t>
      </w:r>
      <w:r>
        <w:t xml:space="preserve">. </w:t>
      </w:r>
      <w:r w:rsidR="00B770F7">
        <w:t>Superior Tribunal de Justiça</w:t>
      </w:r>
      <w:r>
        <w:t>. Habeas Corpus n. 811.245/PR. Relator: Ministro Ribeiro Dantas. Quinta Turma, julgado em 27 de jun. 2023. DJe de 30 de jun. de 20</w:t>
      </w:r>
      <w:r w:rsidR="00BA1EA3">
        <w:t>2</w:t>
      </w:r>
      <w:r w:rsidR="002D7BBB">
        <w:t xml:space="preserve">3. </w:t>
      </w:r>
      <w:r>
        <w:t>Disponível</w:t>
      </w:r>
      <w:r w:rsidR="00BA1EA3">
        <w:t xml:space="preserve"> </w:t>
      </w:r>
      <w:r>
        <w:t>em</w:t>
      </w:r>
      <w:r w:rsidR="00763C0B">
        <w:t xml:space="preserve">: </w:t>
      </w:r>
      <w:r w:rsidR="001F3CA6" w:rsidRPr="001F3CA6">
        <w:t>https://scon.stj.jus.br/SCON/GetInteiroTeorDoAcordao?num_registro=202300976400&amp;dt_publicacao=30/06/2023</w:t>
      </w:r>
      <w:r w:rsidR="00830642">
        <w:t>.</w:t>
      </w:r>
      <w:r w:rsidR="00B7115E">
        <w:t xml:space="preserve"> Acesso em 09 de maio </w:t>
      </w:r>
      <w:r w:rsidR="0048379D">
        <w:t>2026.</w:t>
      </w:r>
    </w:p>
    <w:p w14:paraId="20CC7765" w14:textId="77777777" w:rsidR="009614FF" w:rsidRDefault="009614FF" w:rsidP="00933B68">
      <w:pPr>
        <w:pStyle w:val="Titlo10"/>
        <w:spacing w:line="360" w:lineRule="auto"/>
        <w:jc w:val="both"/>
      </w:pPr>
    </w:p>
    <w:p w14:paraId="336BE0C5" w14:textId="6FA4DA1E" w:rsidR="00886091" w:rsidRDefault="00886091" w:rsidP="00886091">
      <w:pPr>
        <w:pStyle w:val="Titlo10"/>
        <w:spacing w:line="360" w:lineRule="auto"/>
        <w:jc w:val="both"/>
        <w:rPr>
          <w:highlight w:val="yellow"/>
        </w:rPr>
      </w:pPr>
      <w:r w:rsidRPr="00CF3214">
        <w:t>BRASIL</w:t>
      </w:r>
      <w:r>
        <w:t>. Supremo Tribunal Federal. Habeas Corpus n. 109</w:t>
      </w:r>
      <w:r w:rsidR="00723C78">
        <w:t>.</w:t>
      </w:r>
      <w:r>
        <w:t>023</w:t>
      </w:r>
      <w:r w:rsidR="00723C78">
        <w:t>/</w:t>
      </w:r>
      <w:r w:rsidR="00347A9B">
        <w:t>SP</w:t>
      </w:r>
      <w:r>
        <w:t>. Relator: Ministro Dias Toffoli. Primeira Turma, julgado em 13 de dez. 2011. DJe-039. Disponível em:</w:t>
      </w:r>
      <w:r w:rsidR="00347A9B">
        <w:t xml:space="preserve"> </w:t>
      </w:r>
      <w:hyperlink r:id="rId12" w:history="1">
        <w:r w:rsidR="00347A9B" w:rsidRPr="00F13283">
          <w:rPr>
            <w:rStyle w:val="Hyperlink"/>
          </w:rPr>
          <w:t>https://redir.stf.jus.br/paginadorpub/paginador.jsp?docTP=TP&amp;docID=1759622</w:t>
        </w:r>
      </w:hyperlink>
      <w:r w:rsidR="00347A9B">
        <w:t>. Acesso em 09 de maio de 2026.</w:t>
      </w:r>
    </w:p>
    <w:p w14:paraId="166323E0" w14:textId="2982F0CC" w:rsidR="00F86B5D" w:rsidRDefault="00F86B5D" w:rsidP="00422338">
      <w:pPr>
        <w:pStyle w:val="NormalWeb"/>
        <w:shd w:val="clear" w:color="auto" w:fill="FFFFFF" w:themeFill="background1"/>
        <w:spacing w:line="360" w:lineRule="auto"/>
        <w:jc w:val="both"/>
        <w:rPr>
          <w:rStyle w:val="Nenhum"/>
          <w:rFonts w:eastAsia="Times New Roman"/>
          <w:color w:val="000000" w:themeColor="text1"/>
        </w:rPr>
      </w:pPr>
      <w:r w:rsidRPr="2C8BBEA1">
        <w:rPr>
          <w:rStyle w:val="Nenhum"/>
          <w:rFonts w:eastAsia="Times New Roman"/>
          <w:color w:val="000000" w:themeColor="text1"/>
        </w:rPr>
        <w:t xml:space="preserve">CASTELLS, Manuel. </w:t>
      </w:r>
      <w:r w:rsidRPr="2C8BBEA1">
        <w:rPr>
          <w:rStyle w:val="Nenhum"/>
          <w:rFonts w:eastAsia="Times New Roman"/>
          <w:i/>
          <w:color w:val="000000" w:themeColor="text1"/>
        </w:rPr>
        <w:t>A Sociedade em Rede</w:t>
      </w:r>
      <w:r w:rsidRPr="2C8BBEA1">
        <w:rPr>
          <w:rStyle w:val="Nenhum"/>
          <w:rFonts w:eastAsia="Times New Roman"/>
          <w:color w:val="000000" w:themeColor="text1"/>
        </w:rPr>
        <w:t>. 6. ed. São Paulo: Paz e Terra, 2002. v. 1.</w:t>
      </w:r>
    </w:p>
    <w:p w14:paraId="299B1C13" w14:textId="7A2203B8" w:rsidR="00D73189" w:rsidRPr="00422338" w:rsidRDefault="00D73189" w:rsidP="00422338">
      <w:pPr>
        <w:pStyle w:val="NormalWeb"/>
        <w:shd w:val="clear" w:color="auto" w:fill="FFFFFF" w:themeFill="background1"/>
        <w:spacing w:line="360" w:lineRule="auto"/>
        <w:jc w:val="both"/>
        <w:rPr>
          <w:rFonts w:eastAsia="Times New Roman"/>
          <w:color w:val="000000"/>
        </w:rPr>
      </w:pPr>
      <w:r w:rsidRPr="00D73189">
        <w:rPr>
          <w:rFonts w:eastAsia="Times New Roman"/>
          <w:color w:val="000000"/>
        </w:rPr>
        <w:t xml:space="preserve">CHOMSKY, Noam. </w:t>
      </w:r>
      <w:r w:rsidRPr="00D73189">
        <w:rPr>
          <w:rFonts w:eastAsia="Times New Roman"/>
          <w:i/>
          <w:iCs/>
          <w:color w:val="000000"/>
        </w:rPr>
        <w:t>Mídia: Propagada Política e Manipulação.</w:t>
      </w:r>
      <w:r w:rsidRPr="00D73189">
        <w:rPr>
          <w:rFonts w:eastAsia="Times New Roman"/>
          <w:color w:val="000000"/>
        </w:rPr>
        <w:t xml:space="preserve"> São Paulo: WMF Martins Fontes, 2014.</w:t>
      </w:r>
    </w:p>
    <w:p w14:paraId="3D344FAD" w14:textId="67416F0D" w:rsidR="00F86B5D" w:rsidRPr="000C3A7B" w:rsidRDefault="00F86B5D" w:rsidP="00643C65">
      <w:pPr>
        <w:pStyle w:val="Corpo"/>
        <w:rPr>
          <w:rFonts w:eastAsia="Times New Roman" w:cs="Times New Roman"/>
          <w:b/>
          <w:lang w:val="en-US"/>
          <w14:textOutline w14:w="12700" w14:cap="flat" w14:cmpd="sng" w14:algn="ctr">
            <w14:noFill/>
            <w14:prstDash w14:val="solid"/>
            <w14:miter w14:lim="400000"/>
          </w14:textOutline>
        </w:rPr>
      </w:pPr>
      <w:r w:rsidRPr="000C3A7B">
        <w:rPr>
          <w:rFonts w:eastAsia="Times New Roman" w:cs="Times New Roman"/>
          <w:lang w:val="en-US"/>
        </w:rPr>
        <w:t>DEBORD, Guy.</w:t>
      </w:r>
      <w:r w:rsidRPr="000C3A7B">
        <w:rPr>
          <w:rStyle w:val="apple-converted-space"/>
          <w:rFonts w:eastAsia="Times New Roman" w:cs="Times New Roman"/>
          <w:lang w:val="en-US"/>
        </w:rPr>
        <w:t> </w:t>
      </w:r>
      <w:r w:rsidRPr="000C3A7B">
        <w:rPr>
          <w:rFonts w:eastAsia="Times New Roman" w:cs="Times New Roman"/>
          <w:i/>
          <w:lang w:val="en-US"/>
        </w:rPr>
        <w:t>A Sociedade do Espetácul</w:t>
      </w:r>
      <w:r w:rsidR="004A6F7C" w:rsidRPr="000C3A7B">
        <w:rPr>
          <w:rFonts w:eastAsia="Times New Roman" w:cs="Times New Roman"/>
          <w:i/>
          <w:lang w:val="en-US"/>
        </w:rPr>
        <w:t>o</w:t>
      </w:r>
      <w:r w:rsidRPr="000C3A7B">
        <w:rPr>
          <w:rFonts w:eastAsia="Times New Roman" w:cs="Times New Roman"/>
          <w:lang w:val="en-US"/>
        </w:rPr>
        <w:t>.</w:t>
      </w:r>
      <w:r w:rsidR="00385B93" w:rsidRPr="000C3A7B">
        <w:rPr>
          <w:rFonts w:eastAsia="Times New Roman" w:cs="Times New Roman"/>
          <w:lang w:val="en-US"/>
        </w:rPr>
        <w:t xml:space="preserve"> </w:t>
      </w:r>
      <w:r w:rsidR="009E52AF" w:rsidRPr="000C3A7B">
        <w:rPr>
          <w:rFonts w:eastAsia="Times New Roman" w:cs="Times New Roman"/>
          <w:lang w:val="en-US"/>
        </w:rPr>
        <w:t>Traduzido</w:t>
      </w:r>
      <w:r w:rsidR="00385B93" w:rsidRPr="000C3A7B">
        <w:rPr>
          <w:rFonts w:eastAsia="Times New Roman" w:cs="Times New Roman"/>
          <w:lang w:val="en-US"/>
        </w:rPr>
        <w:t xml:space="preserve"> </w:t>
      </w:r>
      <w:r w:rsidR="009E52AF" w:rsidRPr="000C3A7B">
        <w:rPr>
          <w:rFonts w:eastAsia="Times New Roman" w:cs="Times New Roman"/>
          <w:lang w:val="en-US"/>
        </w:rPr>
        <w:t>por R</w:t>
      </w:r>
      <w:r w:rsidR="00385B93" w:rsidRPr="000C3A7B">
        <w:rPr>
          <w:rFonts w:eastAsia="Times New Roman" w:cs="Times New Roman"/>
          <w:lang w:val="en-US"/>
        </w:rPr>
        <w:t>ailton Sousa Guedes.</w:t>
      </w:r>
      <w:r w:rsidRPr="000C3A7B">
        <w:rPr>
          <w:rFonts w:eastAsia="Times New Roman" w:cs="Times New Roman"/>
          <w:lang w:val="en-US"/>
        </w:rPr>
        <w:t xml:space="preserve"> São Paulo: </w:t>
      </w:r>
      <w:r w:rsidR="00D93BEA" w:rsidRPr="000C3A7B">
        <w:rPr>
          <w:rFonts w:eastAsia="Times New Roman" w:cs="Times New Roman"/>
          <w:lang w:val="en-US"/>
        </w:rPr>
        <w:t>Coletivo periferia</w:t>
      </w:r>
      <w:r w:rsidRPr="000C3A7B">
        <w:rPr>
          <w:rFonts w:eastAsia="Times New Roman" w:cs="Times New Roman"/>
          <w:lang w:val="en-US"/>
        </w:rPr>
        <w:t xml:space="preserve">, </w:t>
      </w:r>
      <w:r w:rsidR="00DF3701" w:rsidRPr="000C3A7B">
        <w:rPr>
          <w:rFonts w:eastAsia="Times New Roman" w:cs="Times New Roman"/>
          <w:lang w:val="en-US"/>
        </w:rPr>
        <w:t>2003</w:t>
      </w:r>
      <w:r w:rsidR="001358D4" w:rsidRPr="000C3A7B">
        <w:rPr>
          <w:rFonts w:eastAsia="Times New Roman" w:cs="Times New Roman"/>
          <w:lang w:val="en-US"/>
        </w:rPr>
        <w:t>. E</w:t>
      </w:r>
      <w:r w:rsidR="00320021" w:rsidRPr="000C3A7B">
        <w:rPr>
          <w:rFonts w:eastAsia="Times New Roman" w:cs="Times New Roman"/>
          <w:lang w:val="en-US"/>
        </w:rPr>
        <w:t>-book (</w:t>
      </w:r>
      <w:r w:rsidR="004F3CD8" w:rsidRPr="000C3A7B">
        <w:rPr>
          <w:rFonts w:eastAsia="Times New Roman" w:cs="Times New Roman"/>
          <w:lang w:val="en-US"/>
        </w:rPr>
        <w:t>PDF</w:t>
      </w:r>
      <w:r w:rsidR="00320021" w:rsidRPr="000C3A7B">
        <w:rPr>
          <w:rFonts w:eastAsia="Times New Roman" w:cs="Times New Roman"/>
          <w:lang w:val="en-US"/>
        </w:rPr>
        <w:t>)</w:t>
      </w:r>
      <w:r w:rsidRPr="000C3A7B">
        <w:rPr>
          <w:rFonts w:eastAsia="Times New Roman" w:cs="Times New Roman"/>
          <w:lang w:val="en-US"/>
        </w:rPr>
        <w:t>.</w:t>
      </w:r>
      <w:r w:rsidR="004F3CD8" w:rsidRPr="000C3A7B">
        <w:rPr>
          <w:rFonts w:eastAsia="Times New Roman" w:cs="Times New Roman"/>
          <w:lang w:val="en-US"/>
        </w:rPr>
        <w:t xml:space="preserve"> Disponível em</w:t>
      </w:r>
      <w:r w:rsidR="000C3A7B">
        <w:rPr>
          <w:rFonts w:eastAsia="Times New Roman" w:cs="Times New Roman"/>
          <w:lang w:val="en-US"/>
        </w:rPr>
        <w:t xml:space="preserve">: </w:t>
      </w:r>
      <w:r w:rsidR="000C3A7B" w:rsidRPr="000C3A7B">
        <w:rPr>
          <w:rFonts w:eastAsia="Times New Roman" w:cs="Times New Roman"/>
          <w:lang w:val="en-US"/>
        </w:rPr>
        <w:t>https://www.marxists.org/portugues/debord/1967/11/sociedade.pdf</w:t>
      </w:r>
      <w:r w:rsidR="004F3CD8" w:rsidRPr="000C3A7B">
        <w:rPr>
          <w:rFonts w:eastAsia="Times New Roman" w:cs="Times New Roman"/>
          <w:lang w:val="en-US"/>
        </w:rPr>
        <w:t xml:space="preserve">. Acesso em 12 de </w:t>
      </w:r>
      <w:r w:rsidR="00FA35D4" w:rsidRPr="000C3A7B">
        <w:rPr>
          <w:rFonts w:eastAsia="Times New Roman" w:cs="Times New Roman"/>
          <w:lang w:val="en-US"/>
        </w:rPr>
        <w:t>set. 2025.</w:t>
      </w:r>
      <w:r w:rsidRPr="000C3A7B">
        <w:rPr>
          <w:rStyle w:val="apple-converted-space"/>
          <w:rFonts w:eastAsia="Times New Roman" w:cs="Times New Roman"/>
          <w:lang w:val="en-US"/>
        </w:rPr>
        <w:t> </w:t>
      </w:r>
      <w:r w:rsidRPr="000C3A7B">
        <w:rPr>
          <w:rFonts w:eastAsia="Times New Roman" w:cs="Times New Roman"/>
          <w:lang w:val="en-US"/>
        </w:rPr>
        <w:t>‌</w:t>
      </w:r>
    </w:p>
    <w:p w14:paraId="42BFAEDF" w14:textId="0CEF51C8" w:rsidR="008F4C3B" w:rsidRPr="00422338" w:rsidRDefault="008F4C3B" w:rsidP="00F86B5D">
      <w:pPr>
        <w:pStyle w:val="NormalWeb"/>
        <w:spacing w:line="360" w:lineRule="auto"/>
        <w:jc w:val="both"/>
        <w:rPr>
          <w:rFonts w:eastAsia="Times New Roman"/>
        </w:rPr>
      </w:pPr>
      <w:r w:rsidRPr="008F4C3B">
        <w:rPr>
          <w:rFonts w:eastAsia="Times New Roman"/>
        </w:rPr>
        <w:t xml:space="preserve">DE CARVALHO, Salo. </w:t>
      </w:r>
      <w:r w:rsidRPr="008F4C3B">
        <w:rPr>
          <w:rFonts w:eastAsia="Times New Roman"/>
          <w:i/>
          <w:iCs/>
        </w:rPr>
        <w:t>Antimanual de Criminologia.</w:t>
      </w:r>
      <w:r w:rsidRPr="008F4C3B">
        <w:rPr>
          <w:rFonts w:eastAsia="Times New Roman"/>
        </w:rPr>
        <w:t xml:space="preserve"> 6. ed. São Paulo: Saraiva, 2015. </w:t>
      </w:r>
    </w:p>
    <w:p w14:paraId="548DC30F" w14:textId="12AEA619" w:rsidR="00F86B5D" w:rsidRDefault="00F86B5D" w:rsidP="00F86B5D">
      <w:pPr>
        <w:pStyle w:val="NormalWeb"/>
        <w:shd w:val="clear" w:color="auto" w:fill="FFFFFF" w:themeFill="background1"/>
        <w:spacing w:line="360" w:lineRule="auto"/>
        <w:jc w:val="both"/>
        <w:rPr>
          <w:rStyle w:val="apple-converted-space"/>
          <w:rFonts w:eastAsia="Times New Roman"/>
          <w:color w:val="000000" w:themeColor="text1"/>
        </w:rPr>
      </w:pPr>
      <w:r w:rsidRPr="00F86B5D">
        <w:rPr>
          <w:rFonts w:eastAsia="Times New Roman"/>
          <w:color w:val="000000" w:themeColor="text1"/>
        </w:rPr>
        <w:t>ECO, Umberto.</w:t>
      </w:r>
      <w:r w:rsidRPr="00F86B5D">
        <w:rPr>
          <w:rStyle w:val="apple-converted-space"/>
          <w:rFonts w:eastAsia="Times New Roman"/>
          <w:color w:val="000000" w:themeColor="text1"/>
        </w:rPr>
        <w:t> </w:t>
      </w:r>
      <w:r w:rsidRPr="00F86B5D">
        <w:rPr>
          <w:rFonts w:eastAsia="Times New Roman"/>
          <w:i/>
          <w:color w:val="000000" w:themeColor="text1"/>
        </w:rPr>
        <w:t>Apocalípticos e Integrados</w:t>
      </w:r>
      <w:r w:rsidRPr="00F86B5D">
        <w:rPr>
          <w:rFonts w:eastAsia="Times New Roman"/>
          <w:color w:val="000000" w:themeColor="text1"/>
        </w:rPr>
        <w:t>. Espanha: Lumen, 1965. v. 272.</w:t>
      </w:r>
      <w:r w:rsidRPr="00F86B5D">
        <w:rPr>
          <w:rStyle w:val="apple-converted-space"/>
          <w:rFonts w:eastAsia="Times New Roman"/>
          <w:color w:val="000000" w:themeColor="text1"/>
        </w:rPr>
        <w:t> </w:t>
      </w:r>
    </w:p>
    <w:p w14:paraId="42475FBC" w14:textId="7A22B592" w:rsidR="006A6E0E" w:rsidRDefault="00AD36D9" w:rsidP="00F86B5D">
      <w:pPr>
        <w:pStyle w:val="NormalWeb"/>
        <w:shd w:val="clear" w:color="auto" w:fill="FFFFFF" w:themeFill="background1"/>
        <w:spacing w:line="360" w:lineRule="auto"/>
        <w:jc w:val="both"/>
        <w:rPr>
          <w:rStyle w:val="apple-converted-space"/>
          <w:rFonts w:eastAsia="Times New Roman"/>
          <w:color w:val="000000"/>
        </w:rPr>
      </w:pPr>
      <w:r w:rsidRPr="00AD36D9">
        <w:rPr>
          <w:rStyle w:val="apple-converted-space"/>
          <w:rFonts w:eastAsia="Times New Roman"/>
          <w:color w:val="000000"/>
        </w:rPr>
        <w:t xml:space="preserve">FERRAJOLI, Luigi. </w:t>
      </w:r>
      <w:r w:rsidRPr="00AD36D9">
        <w:rPr>
          <w:rStyle w:val="apple-converted-space"/>
          <w:rFonts w:eastAsia="Times New Roman"/>
          <w:i/>
          <w:iCs/>
          <w:color w:val="000000"/>
        </w:rPr>
        <w:t>Direito e Razão: Teoria do Garantismo Penal</w:t>
      </w:r>
      <w:r w:rsidRPr="00AD36D9">
        <w:rPr>
          <w:rStyle w:val="apple-converted-space"/>
          <w:rFonts w:eastAsia="Times New Roman"/>
          <w:color w:val="000000"/>
        </w:rPr>
        <w:t>. 3. ed. São Paulo: Revista dos Tribunais, 2002.</w:t>
      </w:r>
    </w:p>
    <w:p w14:paraId="2230E6B9" w14:textId="290F7E9F" w:rsidR="009307E3" w:rsidRPr="00422338" w:rsidRDefault="009307E3" w:rsidP="00F86B5D">
      <w:pPr>
        <w:pStyle w:val="NormalWeb"/>
        <w:shd w:val="clear" w:color="auto" w:fill="FFFFFF" w:themeFill="background1"/>
        <w:spacing w:line="360" w:lineRule="auto"/>
        <w:jc w:val="both"/>
        <w:rPr>
          <w:rStyle w:val="apple-converted-space"/>
          <w:rFonts w:eastAsia="Times New Roman"/>
          <w:color w:val="000000"/>
        </w:rPr>
      </w:pPr>
      <w:r w:rsidRPr="009307E3">
        <w:rPr>
          <w:rFonts w:eastAsia="Times New Roman"/>
          <w:color w:val="000000"/>
        </w:rPr>
        <w:t xml:space="preserve">FESTINGER, Leon. </w:t>
      </w:r>
      <w:r w:rsidRPr="009307E3">
        <w:rPr>
          <w:rFonts w:eastAsia="Times New Roman"/>
          <w:i/>
          <w:iCs/>
          <w:color w:val="000000"/>
        </w:rPr>
        <w:t>Teoria da Dissonância Cognitiva</w:t>
      </w:r>
      <w:r w:rsidRPr="009307E3">
        <w:rPr>
          <w:rFonts w:eastAsia="Times New Roman"/>
          <w:color w:val="000000"/>
        </w:rPr>
        <w:t xml:space="preserve">. 4. ed. Rio de Janeiro: Zahar, 1975. </w:t>
      </w:r>
    </w:p>
    <w:p w14:paraId="2FCE588C" w14:textId="1CD814C5" w:rsidR="00F86B5D" w:rsidRPr="00422338" w:rsidRDefault="00F86B5D" w:rsidP="00F86B5D">
      <w:pPr>
        <w:pStyle w:val="NormalWeb"/>
        <w:shd w:val="clear" w:color="auto" w:fill="FFFFFF" w:themeFill="background1"/>
        <w:spacing w:line="360" w:lineRule="auto"/>
        <w:jc w:val="both"/>
        <w:rPr>
          <w:rStyle w:val="apple-converted-space"/>
          <w:rFonts w:eastAsia="Times New Roman"/>
          <w:color w:val="000000"/>
        </w:rPr>
      </w:pPr>
      <w:r w:rsidRPr="00F86B5D">
        <w:rPr>
          <w:rStyle w:val="Nenhum"/>
          <w:rFonts w:eastAsia="Times New Roman"/>
          <w:color w:val="000000"/>
        </w:rPr>
        <w:t xml:space="preserve">GARCIA, Naiara Diniz. </w:t>
      </w:r>
      <w:r w:rsidRPr="00F86B5D">
        <w:rPr>
          <w:rStyle w:val="Nenhum"/>
          <w:rFonts w:eastAsia="Times New Roman"/>
          <w:i/>
          <w:iCs/>
          <w:color w:val="000000"/>
        </w:rPr>
        <w:t>A mídia versus o poder judiciário: a influência da mídia no processo penal brasileiro e a decisão do juiz</w:t>
      </w:r>
      <w:r w:rsidRPr="00F86B5D">
        <w:rPr>
          <w:rStyle w:val="Nenhum"/>
          <w:rFonts w:eastAsia="Times New Roman"/>
          <w:color w:val="000000"/>
        </w:rPr>
        <w:t>- Pouso Alegre, 1ª ed, p.73 – MG: FDSM, 2015. Dissertação (Mestrado) – Faculdade de Direito do Sul de Minas.</w:t>
      </w:r>
    </w:p>
    <w:p w14:paraId="12BDA4F3" w14:textId="1B5ACB85" w:rsidR="002B28F7" w:rsidRDefault="00F86B5D" w:rsidP="00F86B5D">
      <w:pPr>
        <w:pStyle w:val="NormalWeb"/>
        <w:shd w:val="clear" w:color="auto" w:fill="FFFFFF" w:themeFill="background1"/>
        <w:spacing w:line="360" w:lineRule="auto"/>
        <w:jc w:val="both"/>
        <w:rPr>
          <w:rStyle w:val="Nenhum"/>
          <w:rFonts w:eastAsia="Times New Roman"/>
          <w:color w:val="000000" w:themeColor="text1"/>
        </w:rPr>
      </w:pPr>
      <w:r w:rsidRPr="00F86B5D">
        <w:rPr>
          <w:rStyle w:val="Nenhum"/>
          <w:rFonts w:eastAsia="Times New Roman"/>
          <w:color w:val="000000" w:themeColor="text1"/>
        </w:rPr>
        <w:t xml:space="preserve">LOPES JUNIOR, Aury; BADARÓ, Gustavo Henrique. </w:t>
      </w:r>
      <w:r w:rsidRPr="00F86B5D">
        <w:rPr>
          <w:rStyle w:val="Nenhum"/>
          <w:rFonts w:eastAsia="Times New Roman"/>
          <w:i/>
          <w:color w:val="000000" w:themeColor="text1"/>
        </w:rPr>
        <w:t>Presunção de inocência: Do conceito de trânsito em julgado da sentença penal condenatória.</w:t>
      </w:r>
      <w:r w:rsidRPr="00F86B5D">
        <w:rPr>
          <w:rStyle w:val="Nenhum"/>
          <w:rFonts w:eastAsia="Times New Roman"/>
          <w:color w:val="000000" w:themeColor="text1"/>
        </w:rPr>
        <w:t xml:space="preserve"> Conjur, 2016. Disponível em: https://www.conjur.com.br/wp-content/uploads/2023/09/parecer-antecipacao-pena.pdf. Acesso em: 18 set. 2025.</w:t>
      </w:r>
    </w:p>
    <w:p w14:paraId="03355D87" w14:textId="0E4C4037" w:rsidR="00F86B5D" w:rsidRPr="00422338" w:rsidRDefault="002B28F7" w:rsidP="00F86B5D">
      <w:pPr>
        <w:pStyle w:val="NormalWeb"/>
        <w:shd w:val="clear" w:color="auto" w:fill="FFFFFF" w:themeFill="background1"/>
        <w:spacing w:line="360" w:lineRule="auto"/>
        <w:jc w:val="both"/>
        <w:rPr>
          <w:rStyle w:val="Nenhum"/>
          <w:rFonts w:eastAsia="Times New Roman"/>
          <w:color w:val="000000" w:themeColor="text1"/>
        </w:rPr>
      </w:pPr>
      <w:r w:rsidRPr="002B28F7">
        <w:rPr>
          <w:rFonts w:eastAsia="Times New Roman"/>
          <w:color w:val="000000" w:themeColor="text1"/>
        </w:rPr>
        <w:t xml:space="preserve">LOPES JUNIOR, Aury. </w:t>
      </w:r>
      <w:r w:rsidRPr="002B28F7">
        <w:rPr>
          <w:rFonts w:eastAsia="Times New Roman"/>
          <w:i/>
          <w:iCs/>
          <w:color w:val="000000" w:themeColor="text1"/>
        </w:rPr>
        <w:t>Direito Processual Penal.</w:t>
      </w:r>
      <w:r w:rsidRPr="002B28F7">
        <w:rPr>
          <w:rFonts w:eastAsia="Times New Roman"/>
          <w:color w:val="000000" w:themeColor="text1"/>
        </w:rPr>
        <w:t xml:space="preserve"> 16. ed. São Paulo: Saraiva, 2019. </w:t>
      </w:r>
    </w:p>
    <w:p w14:paraId="45E71A38" w14:textId="39619677" w:rsidR="00F86B5D" w:rsidRPr="00F86B5D" w:rsidRDefault="00F86B5D" w:rsidP="00F86B5D">
      <w:pPr>
        <w:pStyle w:val="NormalWeb"/>
        <w:shd w:val="clear" w:color="auto" w:fill="FFFFFF" w:themeFill="background1"/>
        <w:spacing w:line="360" w:lineRule="auto"/>
        <w:jc w:val="both"/>
        <w:rPr>
          <w:rStyle w:val="Nenhum"/>
          <w:rFonts w:eastAsia="Times New Roman"/>
          <w:color w:val="000000"/>
        </w:rPr>
      </w:pPr>
      <w:r w:rsidRPr="00F86B5D">
        <w:rPr>
          <w:rStyle w:val="Nenhum"/>
          <w:rFonts w:eastAsia="Times New Roman"/>
          <w:color w:val="000000"/>
        </w:rPr>
        <w:t xml:space="preserve">MCLUHAN, Marshall. </w:t>
      </w:r>
      <w:r w:rsidRPr="00F86B5D">
        <w:rPr>
          <w:rStyle w:val="Nenhum"/>
          <w:rFonts w:eastAsia="Times New Roman"/>
          <w:i/>
          <w:iCs/>
          <w:color w:val="000000"/>
        </w:rPr>
        <w:t xml:space="preserve">Os meios de comunicação como extensões do homem. </w:t>
      </w:r>
      <w:r w:rsidRPr="00F86B5D">
        <w:rPr>
          <w:rStyle w:val="Nenhum"/>
          <w:rFonts w:eastAsia="Times New Roman"/>
          <w:color w:val="000000"/>
        </w:rPr>
        <w:t>São Paulo: Cultrix, 2002.</w:t>
      </w:r>
    </w:p>
    <w:p w14:paraId="4651BF90" w14:textId="05B7AFA1" w:rsidR="00001674" w:rsidRDefault="00F86B5D" w:rsidP="00F86B5D">
      <w:pPr>
        <w:pStyle w:val="NormalWeb"/>
        <w:shd w:val="clear" w:color="auto" w:fill="FFFFFF" w:themeFill="background1"/>
        <w:spacing w:line="360" w:lineRule="auto"/>
        <w:jc w:val="both"/>
        <w:rPr>
          <w:rStyle w:val="Nenhum"/>
          <w:rFonts w:eastAsia="Times New Roman"/>
          <w:color w:val="000000"/>
        </w:rPr>
      </w:pPr>
      <w:r w:rsidRPr="00F86B5D">
        <w:rPr>
          <w:rStyle w:val="Nenhum"/>
          <w:rFonts w:eastAsia="Times New Roman"/>
          <w:color w:val="000000"/>
        </w:rPr>
        <w:t xml:space="preserve">NAVARRO, Luciane Pereira. </w:t>
      </w:r>
      <w:r w:rsidRPr="00F86B5D">
        <w:rPr>
          <w:rStyle w:val="Nenhum"/>
          <w:rFonts w:eastAsia="Times New Roman"/>
          <w:i/>
          <w:iCs/>
          <w:color w:val="000000"/>
        </w:rPr>
        <w:t xml:space="preserve">Bibliografia: história da mídia e da imprensa. </w:t>
      </w:r>
      <w:r w:rsidRPr="00F86B5D">
        <w:rPr>
          <w:rStyle w:val="Nenhum"/>
          <w:rFonts w:eastAsia="Times New Roman"/>
          <w:color w:val="000000"/>
        </w:rPr>
        <w:t>Belo Horizonte: Atena, 2019.</w:t>
      </w:r>
    </w:p>
    <w:p w14:paraId="2894EE90" w14:textId="3BD94F44" w:rsidR="000A0BB2" w:rsidRDefault="000A0BB2" w:rsidP="00F86B5D">
      <w:pPr>
        <w:pStyle w:val="NormalWeb"/>
        <w:shd w:val="clear" w:color="auto" w:fill="FFFFFF" w:themeFill="background1"/>
        <w:spacing w:line="360" w:lineRule="auto"/>
        <w:jc w:val="both"/>
        <w:rPr>
          <w:rStyle w:val="Nenhum"/>
          <w:rFonts w:eastAsia="Times New Roman"/>
          <w:color w:val="000000"/>
        </w:rPr>
      </w:pPr>
      <w:r w:rsidRPr="000A0BB2">
        <w:rPr>
          <w:rStyle w:val="Nenhum"/>
          <w:rFonts w:eastAsia="Times New Roman"/>
          <w:color w:val="000000"/>
        </w:rPr>
        <w:t xml:space="preserve">NUCCI, Guilherme De Souza. </w:t>
      </w:r>
      <w:r w:rsidRPr="000A0BB2">
        <w:rPr>
          <w:rStyle w:val="Nenhum"/>
          <w:rFonts w:eastAsia="Times New Roman"/>
          <w:i/>
          <w:iCs/>
          <w:color w:val="000000"/>
        </w:rPr>
        <w:t>Tribunal do Júri.</w:t>
      </w:r>
      <w:r w:rsidRPr="000A0BB2">
        <w:rPr>
          <w:rStyle w:val="Nenhum"/>
          <w:rFonts w:eastAsia="Times New Roman"/>
          <w:color w:val="000000"/>
        </w:rPr>
        <w:t xml:space="preserve"> 6. ed. Rio de Janeiro: Forense, 2015.</w:t>
      </w:r>
    </w:p>
    <w:p w14:paraId="665D6C66" w14:textId="18AAC61D" w:rsidR="00A60486" w:rsidRDefault="00A60486" w:rsidP="00F86B5D">
      <w:pPr>
        <w:pStyle w:val="NormalWeb"/>
        <w:shd w:val="clear" w:color="auto" w:fill="FFFFFF" w:themeFill="background1"/>
        <w:spacing w:line="360" w:lineRule="auto"/>
        <w:jc w:val="both"/>
        <w:rPr>
          <w:rStyle w:val="Nenhum"/>
          <w:rFonts w:eastAsia="Times New Roman"/>
          <w:color w:val="000000"/>
        </w:rPr>
      </w:pPr>
      <w:r w:rsidRPr="00A60486">
        <w:rPr>
          <w:rStyle w:val="Nenhum"/>
          <w:rFonts w:eastAsia="Times New Roman"/>
          <w:color w:val="000000"/>
        </w:rPr>
        <w:t xml:space="preserve">THOMPSON, John B. </w:t>
      </w:r>
      <w:r w:rsidRPr="00A60486">
        <w:rPr>
          <w:rStyle w:val="Nenhum"/>
          <w:rFonts w:eastAsia="Times New Roman"/>
          <w:i/>
          <w:iCs/>
          <w:color w:val="000000"/>
        </w:rPr>
        <w:t>A Mídia e a Modernidade: Uma Teoria Social da Mídia</w:t>
      </w:r>
      <w:r w:rsidRPr="00A60486">
        <w:rPr>
          <w:rStyle w:val="Nenhum"/>
          <w:rFonts w:eastAsia="Times New Roman"/>
          <w:color w:val="000000"/>
        </w:rPr>
        <w:t>. 5. ed. Petrópolis, RJ: Vozes, 1998.</w:t>
      </w:r>
    </w:p>
    <w:p w14:paraId="1D3FB2A8" w14:textId="3DD5431B" w:rsidR="00001674" w:rsidRPr="00F86B5D" w:rsidRDefault="00001674" w:rsidP="00F86B5D">
      <w:pPr>
        <w:pStyle w:val="NormalWeb"/>
        <w:shd w:val="clear" w:color="auto" w:fill="FFFFFF" w:themeFill="background1"/>
        <w:spacing w:line="360" w:lineRule="auto"/>
        <w:jc w:val="both"/>
        <w:rPr>
          <w:rStyle w:val="Nenhum"/>
          <w:rFonts w:eastAsia="Times New Roman"/>
          <w:color w:val="000000"/>
        </w:rPr>
      </w:pPr>
      <w:r w:rsidRPr="00001674">
        <w:rPr>
          <w:rFonts w:eastAsia="Times New Roman"/>
          <w:color w:val="000000"/>
        </w:rPr>
        <w:t xml:space="preserve">WACQUANT, Loïc. </w:t>
      </w:r>
      <w:r w:rsidRPr="00001674">
        <w:rPr>
          <w:rFonts w:eastAsia="Times New Roman"/>
          <w:i/>
          <w:iCs/>
          <w:color w:val="000000"/>
        </w:rPr>
        <w:t>As Prisões da Miséria</w:t>
      </w:r>
      <w:r w:rsidRPr="00001674">
        <w:rPr>
          <w:rFonts w:eastAsia="Times New Roman"/>
          <w:color w:val="000000"/>
        </w:rPr>
        <w:t xml:space="preserve">. 2. ed. São Paulo: Zahar, 2001. </w:t>
      </w:r>
    </w:p>
    <w:p w14:paraId="2983DDC4" w14:textId="77777777" w:rsidR="00F86B5D" w:rsidRPr="00F86B5D" w:rsidRDefault="00F86B5D" w:rsidP="00F86B5D">
      <w:pPr>
        <w:pStyle w:val="NormalWeb"/>
        <w:shd w:val="clear" w:color="auto" w:fill="FFFFFF" w:themeFill="background1"/>
        <w:spacing w:line="360" w:lineRule="auto"/>
        <w:jc w:val="both"/>
        <w:rPr>
          <w:rStyle w:val="Nenhum"/>
          <w:rFonts w:eastAsia="Times New Roman"/>
          <w:color w:val="000000"/>
        </w:rPr>
      </w:pPr>
    </w:p>
    <w:p w14:paraId="0F95FF53" w14:textId="77777777" w:rsidR="00F86B5D" w:rsidRPr="00F86B5D" w:rsidRDefault="00F86B5D" w:rsidP="00F86B5D">
      <w:pPr>
        <w:pStyle w:val="NormalWeb"/>
        <w:shd w:val="clear" w:color="auto" w:fill="FFFFFF" w:themeFill="background1"/>
        <w:spacing w:line="360" w:lineRule="auto"/>
        <w:jc w:val="both"/>
        <w:rPr>
          <w:rStyle w:val="Nenhum"/>
          <w:rFonts w:eastAsia="Times New Roman"/>
          <w:color w:val="000000"/>
        </w:rPr>
      </w:pPr>
    </w:p>
    <w:p w14:paraId="0E8B8FCE" w14:textId="77777777" w:rsidR="00F86B5D" w:rsidRPr="00095E78" w:rsidRDefault="00F86B5D" w:rsidP="00095E78">
      <w:pPr>
        <w:pStyle w:val="Titlo10"/>
      </w:pPr>
    </w:p>
    <w:sectPr w:rsidR="00F86B5D" w:rsidRPr="00095E78" w:rsidSect="00AB59DE">
      <w:headerReference w:type="default" r:id="rId13"/>
      <w:type w:val="continuous"/>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4941A" w14:textId="77777777" w:rsidR="004C1FC6" w:rsidRDefault="004C1FC6" w:rsidP="000A08FC">
      <w:r>
        <w:separator/>
      </w:r>
    </w:p>
  </w:endnote>
  <w:endnote w:type="continuationSeparator" w:id="0">
    <w:p w14:paraId="120AA4C7" w14:textId="77777777" w:rsidR="004C1FC6" w:rsidRDefault="004C1FC6" w:rsidP="000A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93544" w14:textId="77777777" w:rsidR="004C1FC6" w:rsidRDefault="004C1FC6" w:rsidP="000A08FC">
      <w:r>
        <w:separator/>
      </w:r>
    </w:p>
  </w:footnote>
  <w:footnote w:type="continuationSeparator" w:id="0">
    <w:p w14:paraId="6CC05F6B" w14:textId="77777777" w:rsidR="004C1FC6" w:rsidRDefault="004C1FC6" w:rsidP="000A0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781545"/>
      <w:docPartObj>
        <w:docPartGallery w:val="Page Numbers (Top of Page)"/>
        <w:docPartUnique/>
      </w:docPartObj>
    </w:sdtPr>
    <w:sdtContent>
      <w:p w14:paraId="3C8597AA" w14:textId="18B7B778" w:rsidR="00AB59DE" w:rsidRDefault="00AB59DE">
        <w:pPr>
          <w:pStyle w:val="Cabealho"/>
          <w:jc w:val="right"/>
        </w:pPr>
        <w:r>
          <w:fldChar w:fldCharType="begin"/>
        </w:r>
        <w:r>
          <w:instrText>PAGE   \* MERGEFORMAT</w:instrText>
        </w:r>
        <w:r>
          <w:fldChar w:fldCharType="separate"/>
        </w:r>
        <w:r>
          <w:rPr>
            <w:lang w:val="pt-BR"/>
          </w:rPr>
          <w:t>2</w:t>
        </w:r>
        <w:r>
          <w:fldChar w:fldCharType="end"/>
        </w:r>
      </w:p>
    </w:sdtContent>
  </w:sdt>
  <w:p w14:paraId="0DA2E05A" w14:textId="77777777" w:rsidR="00AB59DE" w:rsidRDefault="00AB59D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F5A7D"/>
    <w:multiLevelType w:val="multilevel"/>
    <w:tmpl w:val="FB581168"/>
    <w:styleLink w:val="sumrio"/>
    <w:lvl w:ilvl="0">
      <w:start w:val="1"/>
      <w:numFmt w:val="decimal"/>
      <w:lvlText w:val="%1"/>
      <w:lvlJc w:val="left"/>
      <w:pPr>
        <w:ind w:left="360" w:hanging="360"/>
      </w:pPr>
      <w:rPr>
        <w:rFonts w:ascii="Times New Roman" w:hAnsi="Times New Roman" w:hint="default"/>
        <w:sz w:val="24"/>
      </w:rPr>
    </w:lvl>
    <w:lvl w:ilvl="1">
      <w:start w:val="1"/>
      <w:numFmt w:val="none"/>
      <w:lvlText w:val="1.1"/>
      <w:lvlJc w:val="left"/>
      <w:pPr>
        <w:ind w:left="720" w:hanging="360"/>
      </w:pPr>
      <w:rPr>
        <w:rFonts w:hint="default"/>
      </w:rPr>
    </w:lvl>
    <w:lvl w:ilvl="2">
      <w:start w:val="1"/>
      <w:numFmt w:val="decimal"/>
      <w:lvlText w:val="%3.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5197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FC"/>
    <w:rsid w:val="000006CC"/>
    <w:rsid w:val="00000D32"/>
    <w:rsid w:val="00001674"/>
    <w:rsid w:val="00006B84"/>
    <w:rsid w:val="00012070"/>
    <w:rsid w:val="0002158A"/>
    <w:rsid w:val="00021729"/>
    <w:rsid w:val="000238EC"/>
    <w:rsid w:val="00026189"/>
    <w:rsid w:val="00027DDB"/>
    <w:rsid w:val="0003328D"/>
    <w:rsid w:val="00033E54"/>
    <w:rsid w:val="0003447D"/>
    <w:rsid w:val="00035CAF"/>
    <w:rsid w:val="00044A6F"/>
    <w:rsid w:val="00046474"/>
    <w:rsid w:val="0005000F"/>
    <w:rsid w:val="000508B7"/>
    <w:rsid w:val="000515A7"/>
    <w:rsid w:val="00051AB7"/>
    <w:rsid w:val="00053CA0"/>
    <w:rsid w:val="00056C22"/>
    <w:rsid w:val="000630DE"/>
    <w:rsid w:val="00063652"/>
    <w:rsid w:val="00063792"/>
    <w:rsid w:val="000729E5"/>
    <w:rsid w:val="0007418A"/>
    <w:rsid w:val="000748DB"/>
    <w:rsid w:val="00077180"/>
    <w:rsid w:val="00083B5D"/>
    <w:rsid w:val="00084D3B"/>
    <w:rsid w:val="00087F75"/>
    <w:rsid w:val="000933F1"/>
    <w:rsid w:val="00095E78"/>
    <w:rsid w:val="00097F34"/>
    <w:rsid w:val="000A08FC"/>
    <w:rsid w:val="000A0BB2"/>
    <w:rsid w:val="000A182E"/>
    <w:rsid w:val="000A52D6"/>
    <w:rsid w:val="000B3BB5"/>
    <w:rsid w:val="000B68A0"/>
    <w:rsid w:val="000C09B6"/>
    <w:rsid w:val="000C3A7B"/>
    <w:rsid w:val="000C4611"/>
    <w:rsid w:val="000C49EA"/>
    <w:rsid w:val="000C5B9C"/>
    <w:rsid w:val="000D5DC8"/>
    <w:rsid w:val="000D74A2"/>
    <w:rsid w:val="000E1171"/>
    <w:rsid w:val="000F16D5"/>
    <w:rsid w:val="000F2C99"/>
    <w:rsid w:val="00114070"/>
    <w:rsid w:val="001141BE"/>
    <w:rsid w:val="001342F9"/>
    <w:rsid w:val="001350F2"/>
    <w:rsid w:val="001358D4"/>
    <w:rsid w:val="00142C46"/>
    <w:rsid w:val="00144D5B"/>
    <w:rsid w:val="00146BF6"/>
    <w:rsid w:val="00151614"/>
    <w:rsid w:val="001523C4"/>
    <w:rsid w:val="00157114"/>
    <w:rsid w:val="00157973"/>
    <w:rsid w:val="00163C85"/>
    <w:rsid w:val="00164112"/>
    <w:rsid w:val="0016486C"/>
    <w:rsid w:val="00164B35"/>
    <w:rsid w:val="001669A0"/>
    <w:rsid w:val="001707A3"/>
    <w:rsid w:val="00182286"/>
    <w:rsid w:val="001836A4"/>
    <w:rsid w:val="00185B5B"/>
    <w:rsid w:val="00192034"/>
    <w:rsid w:val="00194763"/>
    <w:rsid w:val="001959DB"/>
    <w:rsid w:val="00196372"/>
    <w:rsid w:val="001A3168"/>
    <w:rsid w:val="001A51FF"/>
    <w:rsid w:val="001A5EC7"/>
    <w:rsid w:val="001B1EAE"/>
    <w:rsid w:val="001B34DD"/>
    <w:rsid w:val="001B425B"/>
    <w:rsid w:val="001B6ADC"/>
    <w:rsid w:val="001C33B6"/>
    <w:rsid w:val="001C3681"/>
    <w:rsid w:val="001C56A1"/>
    <w:rsid w:val="001D0E1C"/>
    <w:rsid w:val="001D4851"/>
    <w:rsid w:val="001D5681"/>
    <w:rsid w:val="001E0F5E"/>
    <w:rsid w:val="001F0AC1"/>
    <w:rsid w:val="001F3993"/>
    <w:rsid w:val="001F3CA6"/>
    <w:rsid w:val="0020447A"/>
    <w:rsid w:val="00210FA8"/>
    <w:rsid w:val="0021259F"/>
    <w:rsid w:val="00212990"/>
    <w:rsid w:val="00214DEB"/>
    <w:rsid w:val="00215CEE"/>
    <w:rsid w:val="002161EF"/>
    <w:rsid w:val="00223984"/>
    <w:rsid w:val="002247B1"/>
    <w:rsid w:val="002270A5"/>
    <w:rsid w:val="00233466"/>
    <w:rsid w:val="00240BD6"/>
    <w:rsid w:val="002442B7"/>
    <w:rsid w:val="00245834"/>
    <w:rsid w:val="002500E4"/>
    <w:rsid w:val="002574D3"/>
    <w:rsid w:val="00261BF8"/>
    <w:rsid w:val="002626CA"/>
    <w:rsid w:val="00262B14"/>
    <w:rsid w:val="00263689"/>
    <w:rsid w:val="00264843"/>
    <w:rsid w:val="00267155"/>
    <w:rsid w:val="00267515"/>
    <w:rsid w:val="00271A52"/>
    <w:rsid w:val="00273A90"/>
    <w:rsid w:val="002747E7"/>
    <w:rsid w:val="00274978"/>
    <w:rsid w:val="00275C70"/>
    <w:rsid w:val="00280297"/>
    <w:rsid w:val="00280F8B"/>
    <w:rsid w:val="002825AA"/>
    <w:rsid w:val="00294633"/>
    <w:rsid w:val="00294CA1"/>
    <w:rsid w:val="00294F98"/>
    <w:rsid w:val="00295ED2"/>
    <w:rsid w:val="00296514"/>
    <w:rsid w:val="002979DF"/>
    <w:rsid w:val="002A09AB"/>
    <w:rsid w:val="002A1097"/>
    <w:rsid w:val="002A1C98"/>
    <w:rsid w:val="002A2A28"/>
    <w:rsid w:val="002A666D"/>
    <w:rsid w:val="002A7BD3"/>
    <w:rsid w:val="002B10AC"/>
    <w:rsid w:val="002B28F7"/>
    <w:rsid w:val="002B4633"/>
    <w:rsid w:val="002B4EFA"/>
    <w:rsid w:val="002B617B"/>
    <w:rsid w:val="002B7585"/>
    <w:rsid w:val="002C2DAF"/>
    <w:rsid w:val="002C35BC"/>
    <w:rsid w:val="002D1CA6"/>
    <w:rsid w:val="002D4FA6"/>
    <w:rsid w:val="002D574B"/>
    <w:rsid w:val="002D7BBB"/>
    <w:rsid w:val="002E67A2"/>
    <w:rsid w:val="002F032C"/>
    <w:rsid w:val="002F0444"/>
    <w:rsid w:val="002F4235"/>
    <w:rsid w:val="002F4FA6"/>
    <w:rsid w:val="002F7FA9"/>
    <w:rsid w:val="00307EC1"/>
    <w:rsid w:val="00315A0C"/>
    <w:rsid w:val="00320021"/>
    <w:rsid w:val="00320FA9"/>
    <w:rsid w:val="003215A5"/>
    <w:rsid w:val="00326F21"/>
    <w:rsid w:val="00327016"/>
    <w:rsid w:val="003277DB"/>
    <w:rsid w:val="00331C10"/>
    <w:rsid w:val="00336932"/>
    <w:rsid w:val="003409E1"/>
    <w:rsid w:val="00347A9B"/>
    <w:rsid w:val="003511DC"/>
    <w:rsid w:val="00353485"/>
    <w:rsid w:val="00355568"/>
    <w:rsid w:val="00357EDA"/>
    <w:rsid w:val="003617B8"/>
    <w:rsid w:val="00361BC8"/>
    <w:rsid w:val="003638E8"/>
    <w:rsid w:val="00363FF2"/>
    <w:rsid w:val="00366683"/>
    <w:rsid w:val="00380A62"/>
    <w:rsid w:val="0038388A"/>
    <w:rsid w:val="00385B93"/>
    <w:rsid w:val="00386D5C"/>
    <w:rsid w:val="0038752F"/>
    <w:rsid w:val="00387911"/>
    <w:rsid w:val="00394608"/>
    <w:rsid w:val="003966A0"/>
    <w:rsid w:val="003A3E4C"/>
    <w:rsid w:val="003A4586"/>
    <w:rsid w:val="003B166D"/>
    <w:rsid w:val="003B5A5E"/>
    <w:rsid w:val="003B77A0"/>
    <w:rsid w:val="003C1E16"/>
    <w:rsid w:val="003D1CAA"/>
    <w:rsid w:val="003D5A4C"/>
    <w:rsid w:val="003D674B"/>
    <w:rsid w:val="003D7282"/>
    <w:rsid w:val="003E0D04"/>
    <w:rsid w:val="003E32D9"/>
    <w:rsid w:val="003E3D88"/>
    <w:rsid w:val="003E69DD"/>
    <w:rsid w:val="003F1E66"/>
    <w:rsid w:val="003F7658"/>
    <w:rsid w:val="003F79B5"/>
    <w:rsid w:val="00400097"/>
    <w:rsid w:val="004012E4"/>
    <w:rsid w:val="00401E4D"/>
    <w:rsid w:val="00402792"/>
    <w:rsid w:val="00404BB9"/>
    <w:rsid w:val="004078F0"/>
    <w:rsid w:val="00412DBB"/>
    <w:rsid w:val="00412EA6"/>
    <w:rsid w:val="00417B7A"/>
    <w:rsid w:val="00422338"/>
    <w:rsid w:val="004267D9"/>
    <w:rsid w:val="004267FB"/>
    <w:rsid w:val="00427A82"/>
    <w:rsid w:val="00431123"/>
    <w:rsid w:val="004345DA"/>
    <w:rsid w:val="00435523"/>
    <w:rsid w:val="0044014B"/>
    <w:rsid w:val="0044438A"/>
    <w:rsid w:val="004444AF"/>
    <w:rsid w:val="00446DC5"/>
    <w:rsid w:val="004508E4"/>
    <w:rsid w:val="00452E73"/>
    <w:rsid w:val="00455322"/>
    <w:rsid w:val="00455BDB"/>
    <w:rsid w:val="004571C2"/>
    <w:rsid w:val="00464C3C"/>
    <w:rsid w:val="004657F2"/>
    <w:rsid w:val="00470911"/>
    <w:rsid w:val="004748C4"/>
    <w:rsid w:val="0048379D"/>
    <w:rsid w:val="00485D9D"/>
    <w:rsid w:val="004900DA"/>
    <w:rsid w:val="00497B16"/>
    <w:rsid w:val="004A058E"/>
    <w:rsid w:val="004A1551"/>
    <w:rsid w:val="004A6F7C"/>
    <w:rsid w:val="004B1586"/>
    <w:rsid w:val="004B7991"/>
    <w:rsid w:val="004B7BAC"/>
    <w:rsid w:val="004C0E36"/>
    <w:rsid w:val="004C1616"/>
    <w:rsid w:val="004C1FC6"/>
    <w:rsid w:val="004D0385"/>
    <w:rsid w:val="004D1865"/>
    <w:rsid w:val="004E2050"/>
    <w:rsid w:val="004E31F3"/>
    <w:rsid w:val="004E7178"/>
    <w:rsid w:val="004F3B02"/>
    <w:rsid w:val="004F3CD8"/>
    <w:rsid w:val="004F725A"/>
    <w:rsid w:val="004F76DE"/>
    <w:rsid w:val="005003D0"/>
    <w:rsid w:val="0050097B"/>
    <w:rsid w:val="005012DD"/>
    <w:rsid w:val="00504635"/>
    <w:rsid w:val="00505860"/>
    <w:rsid w:val="005108CD"/>
    <w:rsid w:val="00514ECE"/>
    <w:rsid w:val="00516C4E"/>
    <w:rsid w:val="005200B7"/>
    <w:rsid w:val="00520D60"/>
    <w:rsid w:val="0052245D"/>
    <w:rsid w:val="005237AF"/>
    <w:rsid w:val="00525A58"/>
    <w:rsid w:val="00526CBD"/>
    <w:rsid w:val="0053418F"/>
    <w:rsid w:val="00534983"/>
    <w:rsid w:val="005376FE"/>
    <w:rsid w:val="00542182"/>
    <w:rsid w:val="005431FF"/>
    <w:rsid w:val="00543230"/>
    <w:rsid w:val="00543637"/>
    <w:rsid w:val="00543BC0"/>
    <w:rsid w:val="00544013"/>
    <w:rsid w:val="00547A46"/>
    <w:rsid w:val="00551646"/>
    <w:rsid w:val="00557C7F"/>
    <w:rsid w:val="0056283A"/>
    <w:rsid w:val="0056599B"/>
    <w:rsid w:val="00567FE8"/>
    <w:rsid w:val="005779E0"/>
    <w:rsid w:val="00584404"/>
    <w:rsid w:val="005845C6"/>
    <w:rsid w:val="00585F3A"/>
    <w:rsid w:val="0058751D"/>
    <w:rsid w:val="00587D01"/>
    <w:rsid w:val="00590DC3"/>
    <w:rsid w:val="0059389C"/>
    <w:rsid w:val="005938A4"/>
    <w:rsid w:val="00593F25"/>
    <w:rsid w:val="00594E0F"/>
    <w:rsid w:val="005A1975"/>
    <w:rsid w:val="005A495C"/>
    <w:rsid w:val="005B4027"/>
    <w:rsid w:val="005B4D7A"/>
    <w:rsid w:val="005C0A88"/>
    <w:rsid w:val="005C2A7D"/>
    <w:rsid w:val="005C5B02"/>
    <w:rsid w:val="005D2689"/>
    <w:rsid w:val="005D32D2"/>
    <w:rsid w:val="005E09F5"/>
    <w:rsid w:val="005E480C"/>
    <w:rsid w:val="005F50AB"/>
    <w:rsid w:val="005F5336"/>
    <w:rsid w:val="00604210"/>
    <w:rsid w:val="006258A6"/>
    <w:rsid w:val="00627BEC"/>
    <w:rsid w:val="006305FA"/>
    <w:rsid w:val="00640976"/>
    <w:rsid w:val="00643C65"/>
    <w:rsid w:val="00644124"/>
    <w:rsid w:val="00651EB8"/>
    <w:rsid w:val="006532C0"/>
    <w:rsid w:val="00656F27"/>
    <w:rsid w:val="00661CBB"/>
    <w:rsid w:val="00661E3E"/>
    <w:rsid w:val="00671C57"/>
    <w:rsid w:val="00671DD9"/>
    <w:rsid w:val="0067298C"/>
    <w:rsid w:val="0067320D"/>
    <w:rsid w:val="006755B9"/>
    <w:rsid w:val="00676DC1"/>
    <w:rsid w:val="00681449"/>
    <w:rsid w:val="006829A7"/>
    <w:rsid w:val="00682D3C"/>
    <w:rsid w:val="00687659"/>
    <w:rsid w:val="006878F2"/>
    <w:rsid w:val="00690C39"/>
    <w:rsid w:val="00691625"/>
    <w:rsid w:val="006A05A4"/>
    <w:rsid w:val="006A48AF"/>
    <w:rsid w:val="006A6E0E"/>
    <w:rsid w:val="006B3370"/>
    <w:rsid w:val="006B3B6D"/>
    <w:rsid w:val="006B3BB7"/>
    <w:rsid w:val="006B599F"/>
    <w:rsid w:val="006B7BEF"/>
    <w:rsid w:val="006C4CBB"/>
    <w:rsid w:val="006C6B1F"/>
    <w:rsid w:val="006C71C8"/>
    <w:rsid w:val="006D2EA4"/>
    <w:rsid w:val="006E0ACE"/>
    <w:rsid w:val="006F0720"/>
    <w:rsid w:val="006F0AB0"/>
    <w:rsid w:val="006F0F7F"/>
    <w:rsid w:val="006F4DBE"/>
    <w:rsid w:val="006F7B11"/>
    <w:rsid w:val="0070269C"/>
    <w:rsid w:val="00703E51"/>
    <w:rsid w:val="00704CDB"/>
    <w:rsid w:val="007055C0"/>
    <w:rsid w:val="007075CA"/>
    <w:rsid w:val="007175EB"/>
    <w:rsid w:val="00721D8C"/>
    <w:rsid w:val="00723C78"/>
    <w:rsid w:val="00723E29"/>
    <w:rsid w:val="00727E91"/>
    <w:rsid w:val="00747AB9"/>
    <w:rsid w:val="00750BC3"/>
    <w:rsid w:val="00751906"/>
    <w:rsid w:val="007519FC"/>
    <w:rsid w:val="00755B99"/>
    <w:rsid w:val="00755BF4"/>
    <w:rsid w:val="00756071"/>
    <w:rsid w:val="00761D96"/>
    <w:rsid w:val="00763B4C"/>
    <w:rsid w:val="00763C0B"/>
    <w:rsid w:val="00765421"/>
    <w:rsid w:val="00765702"/>
    <w:rsid w:val="00775322"/>
    <w:rsid w:val="007769E9"/>
    <w:rsid w:val="00777F60"/>
    <w:rsid w:val="00781055"/>
    <w:rsid w:val="00781269"/>
    <w:rsid w:val="007819AD"/>
    <w:rsid w:val="00781D15"/>
    <w:rsid w:val="00781D9B"/>
    <w:rsid w:val="00783CAC"/>
    <w:rsid w:val="00786B1B"/>
    <w:rsid w:val="00790883"/>
    <w:rsid w:val="00791FE3"/>
    <w:rsid w:val="00793217"/>
    <w:rsid w:val="007979DD"/>
    <w:rsid w:val="007A161B"/>
    <w:rsid w:val="007A4994"/>
    <w:rsid w:val="007A4E49"/>
    <w:rsid w:val="007A7275"/>
    <w:rsid w:val="007D1681"/>
    <w:rsid w:val="007D2B5A"/>
    <w:rsid w:val="007D443D"/>
    <w:rsid w:val="007E0A94"/>
    <w:rsid w:val="007E253C"/>
    <w:rsid w:val="007E510F"/>
    <w:rsid w:val="007E5EC3"/>
    <w:rsid w:val="007F0F2D"/>
    <w:rsid w:val="007F341D"/>
    <w:rsid w:val="007F40B2"/>
    <w:rsid w:val="007F45A3"/>
    <w:rsid w:val="007F6FD7"/>
    <w:rsid w:val="00803CB0"/>
    <w:rsid w:val="00806499"/>
    <w:rsid w:val="00807B27"/>
    <w:rsid w:val="008109ED"/>
    <w:rsid w:val="00810CB0"/>
    <w:rsid w:val="008114F3"/>
    <w:rsid w:val="0081792E"/>
    <w:rsid w:val="00822976"/>
    <w:rsid w:val="00823B7B"/>
    <w:rsid w:val="00825B4C"/>
    <w:rsid w:val="0082678C"/>
    <w:rsid w:val="00830642"/>
    <w:rsid w:val="0083176E"/>
    <w:rsid w:val="0083436A"/>
    <w:rsid w:val="00834F87"/>
    <w:rsid w:val="00835D08"/>
    <w:rsid w:val="00836C45"/>
    <w:rsid w:val="00837F63"/>
    <w:rsid w:val="00841A5F"/>
    <w:rsid w:val="00847E91"/>
    <w:rsid w:val="008519D4"/>
    <w:rsid w:val="00851F32"/>
    <w:rsid w:val="00852458"/>
    <w:rsid w:val="008607CC"/>
    <w:rsid w:val="00876868"/>
    <w:rsid w:val="008808D0"/>
    <w:rsid w:val="00882E00"/>
    <w:rsid w:val="00886091"/>
    <w:rsid w:val="0089036C"/>
    <w:rsid w:val="00894F10"/>
    <w:rsid w:val="008960D2"/>
    <w:rsid w:val="00896341"/>
    <w:rsid w:val="008977A1"/>
    <w:rsid w:val="008A18FC"/>
    <w:rsid w:val="008B376C"/>
    <w:rsid w:val="008B5A83"/>
    <w:rsid w:val="008C193C"/>
    <w:rsid w:val="008C3F80"/>
    <w:rsid w:val="008C4A14"/>
    <w:rsid w:val="008C587E"/>
    <w:rsid w:val="008C5F3D"/>
    <w:rsid w:val="008C7934"/>
    <w:rsid w:val="008D23A7"/>
    <w:rsid w:val="008D66BA"/>
    <w:rsid w:val="008E11C3"/>
    <w:rsid w:val="008E1718"/>
    <w:rsid w:val="008F4BD1"/>
    <w:rsid w:val="008F4C3B"/>
    <w:rsid w:val="008F55C2"/>
    <w:rsid w:val="00905D85"/>
    <w:rsid w:val="00913232"/>
    <w:rsid w:val="009134B9"/>
    <w:rsid w:val="009208A2"/>
    <w:rsid w:val="00922354"/>
    <w:rsid w:val="009307E3"/>
    <w:rsid w:val="00933B68"/>
    <w:rsid w:val="00935A66"/>
    <w:rsid w:val="00942739"/>
    <w:rsid w:val="00956CC9"/>
    <w:rsid w:val="009600C0"/>
    <w:rsid w:val="009604E5"/>
    <w:rsid w:val="009612B0"/>
    <w:rsid w:val="009614FF"/>
    <w:rsid w:val="00962EB5"/>
    <w:rsid w:val="0096333B"/>
    <w:rsid w:val="00964439"/>
    <w:rsid w:val="0096482B"/>
    <w:rsid w:val="009671CB"/>
    <w:rsid w:val="00970EB2"/>
    <w:rsid w:val="00974514"/>
    <w:rsid w:val="00983265"/>
    <w:rsid w:val="009840B4"/>
    <w:rsid w:val="009918C7"/>
    <w:rsid w:val="009955A8"/>
    <w:rsid w:val="009A4FB3"/>
    <w:rsid w:val="009A7E3B"/>
    <w:rsid w:val="009B0039"/>
    <w:rsid w:val="009B00C7"/>
    <w:rsid w:val="009B0316"/>
    <w:rsid w:val="009B4627"/>
    <w:rsid w:val="009B5B2F"/>
    <w:rsid w:val="009B6EAC"/>
    <w:rsid w:val="009C057A"/>
    <w:rsid w:val="009C1405"/>
    <w:rsid w:val="009C4391"/>
    <w:rsid w:val="009C4EAE"/>
    <w:rsid w:val="009D2A5A"/>
    <w:rsid w:val="009D58C2"/>
    <w:rsid w:val="009E1086"/>
    <w:rsid w:val="009E52AF"/>
    <w:rsid w:val="009F0ED8"/>
    <w:rsid w:val="009F14B7"/>
    <w:rsid w:val="009F45EE"/>
    <w:rsid w:val="009F70D2"/>
    <w:rsid w:val="009F7240"/>
    <w:rsid w:val="00A00431"/>
    <w:rsid w:val="00A00992"/>
    <w:rsid w:val="00A00DF3"/>
    <w:rsid w:val="00A068A1"/>
    <w:rsid w:val="00A075CB"/>
    <w:rsid w:val="00A11AE5"/>
    <w:rsid w:val="00A11E2D"/>
    <w:rsid w:val="00A1338C"/>
    <w:rsid w:val="00A31617"/>
    <w:rsid w:val="00A331E2"/>
    <w:rsid w:val="00A43081"/>
    <w:rsid w:val="00A43844"/>
    <w:rsid w:val="00A50477"/>
    <w:rsid w:val="00A5428A"/>
    <w:rsid w:val="00A543F4"/>
    <w:rsid w:val="00A56456"/>
    <w:rsid w:val="00A60486"/>
    <w:rsid w:val="00A61286"/>
    <w:rsid w:val="00A62CCB"/>
    <w:rsid w:val="00A64177"/>
    <w:rsid w:val="00A646E7"/>
    <w:rsid w:val="00A73913"/>
    <w:rsid w:val="00A73E24"/>
    <w:rsid w:val="00A74C66"/>
    <w:rsid w:val="00A8289A"/>
    <w:rsid w:val="00A868C5"/>
    <w:rsid w:val="00A91B43"/>
    <w:rsid w:val="00A91F52"/>
    <w:rsid w:val="00A94AED"/>
    <w:rsid w:val="00A9665B"/>
    <w:rsid w:val="00AA0A50"/>
    <w:rsid w:val="00AA532E"/>
    <w:rsid w:val="00AA5890"/>
    <w:rsid w:val="00AA71B7"/>
    <w:rsid w:val="00AB1E74"/>
    <w:rsid w:val="00AB424D"/>
    <w:rsid w:val="00AB59DE"/>
    <w:rsid w:val="00AB6157"/>
    <w:rsid w:val="00AC112E"/>
    <w:rsid w:val="00AC3C90"/>
    <w:rsid w:val="00AC5F0B"/>
    <w:rsid w:val="00AD1855"/>
    <w:rsid w:val="00AD2813"/>
    <w:rsid w:val="00AD36D9"/>
    <w:rsid w:val="00AE0B30"/>
    <w:rsid w:val="00AE3234"/>
    <w:rsid w:val="00AE3310"/>
    <w:rsid w:val="00AE7401"/>
    <w:rsid w:val="00AF0A71"/>
    <w:rsid w:val="00AF45BE"/>
    <w:rsid w:val="00AF4E25"/>
    <w:rsid w:val="00AF7A3C"/>
    <w:rsid w:val="00B003A6"/>
    <w:rsid w:val="00B0096C"/>
    <w:rsid w:val="00B00FAB"/>
    <w:rsid w:val="00B07C15"/>
    <w:rsid w:val="00B121DB"/>
    <w:rsid w:val="00B15848"/>
    <w:rsid w:val="00B1648C"/>
    <w:rsid w:val="00B23878"/>
    <w:rsid w:val="00B33BD8"/>
    <w:rsid w:val="00B34B55"/>
    <w:rsid w:val="00B35A76"/>
    <w:rsid w:val="00B441D3"/>
    <w:rsid w:val="00B47F9C"/>
    <w:rsid w:val="00B51994"/>
    <w:rsid w:val="00B528F6"/>
    <w:rsid w:val="00B562ED"/>
    <w:rsid w:val="00B60980"/>
    <w:rsid w:val="00B61577"/>
    <w:rsid w:val="00B633EA"/>
    <w:rsid w:val="00B63B98"/>
    <w:rsid w:val="00B64E38"/>
    <w:rsid w:val="00B675AB"/>
    <w:rsid w:val="00B70FDC"/>
    <w:rsid w:val="00B7115E"/>
    <w:rsid w:val="00B770F7"/>
    <w:rsid w:val="00B824D4"/>
    <w:rsid w:val="00B85228"/>
    <w:rsid w:val="00B917E4"/>
    <w:rsid w:val="00B95CA3"/>
    <w:rsid w:val="00B966CA"/>
    <w:rsid w:val="00B9693A"/>
    <w:rsid w:val="00BA1EA3"/>
    <w:rsid w:val="00BA3537"/>
    <w:rsid w:val="00BA4A26"/>
    <w:rsid w:val="00BB07CD"/>
    <w:rsid w:val="00BC37C8"/>
    <w:rsid w:val="00BC589C"/>
    <w:rsid w:val="00BD0089"/>
    <w:rsid w:val="00BD4B55"/>
    <w:rsid w:val="00BD586E"/>
    <w:rsid w:val="00BE17C2"/>
    <w:rsid w:val="00BE423A"/>
    <w:rsid w:val="00BF408B"/>
    <w:rsid w:val="00BF4DAA"/>
    <w:rsid w:val="00C00DC1"/>
    <w:rsid w:val="00C058E2"/>
    <w:rsid w:val="00C05D99"/>
    <w:rsid w:val="00C129FA"/>
    <w:rsid w:val="00C13547"/>
    <w:rsid w:val="00C14014"/>
    <w:rsid w:val="00C15A3C"/>
    <w:rsid w:val="00C16973"/>
    <w:rsid w:val="00C2056D"/>
    <w:rsid w:val="00C24BB7"/>
    <w:rsid w:val="00C27B55"/>
    <w:rsid w:val="00C3104A"/>
    <w:rsid w:val="00C3489C"/>
    <w:rsid w:val="00C34920"/>
    <w:rsid w:val="00C36CDD"/>
    <w:rsid w:val="00C440ED"/>
    <w:rsid w:val="00C45EF2"/>
    <w:rsid w:val="00C548F6"/>
    <w:rsid w:val="00C558A4"/>
    <w:rsid w:val="00C55978"/>
    <w:rsid w:val="00C71484"/>
    <w:rsid w:val="00C7228B"/>
    <w:rsid w:val="00C72877"/>
    <w:rsid w:val="00C73913"/>
    <w:rsid w:val="00C756E0"/>
    <w:rsid w:val="00C76CC8"/>
    <w:rsid w:val="00C809B3"/>
    <w:rsid w:val="00C85DE6"/>
    <w:rsid w:val="00C92AAF"/>
    <w:rsid w:val="00C9360D"/>
    <w:rsid w:val="00C95F08"/>
    <w:rsid w:val="00C96443"/>
    <w:rsid w:val="00CA22B3"/>
    <w:rsid w:val="00CB76D5"/>
    <w:rsid w:val="00CC51FB"/>
    <w:rsid w:val="00CD07CD"/>
    <w:rsid w:val="00CD09AB"/>
    <w:rsid w:val="00CD51EE"/>
    <w:rsid w:val="00CE3AF4"/>
    <w:rsid w:val="00CE7593"/>
    <w:rsid w:val="00CE7DFB"/>
    <w:rsid w:val="00CF027C"/>
    <w:rsid w:val="00CF3214"/>
    <w:rsid w:val="00CF4082"/>
    <w:rsid w:val="00CF4A1B"/>
    <w:rsid w:val="00CF630A"/>
    <w:rsid w:val="00CF7475"/>
    <w:rsid w:val="00D037AF"/>
    <w:rsid w:val="00D14C6D"/>
    <w:rsid w:val="00D1575F"/>
    <w:rsid w:val="00D17A43"/>
    <w:rsid w:val="00D23BA0"/>
    <w:rsid w:val="00D32A91"/>
    <w:rsid w:val="00D32E39"/>
    <w:rsid w:val="00D34CDF"/>
    <w:rsid w:val="00D51560"/>
    <w:rsid w:val="00D535B7"/>
    <w:rsid w:val="00D53BE8"/>
    <w:rsid w:val="00D60540"/>
    <w:rsid w:val="00D60BDE"/>
    <w:rsid w:val="00D73189"/>
    <w:rsid w:val="00D7347C"/>
    <w:rsid w:val="00D759BA"/>
    <w:rsid w:val="00D76758"/>
    <w:rsid w:val="00D80B2F"/>
    <w:rsid w:val="00D907D8"/>
    <w:rsid w:val="00D93BEA"/>
    <w:rsid w:val="00DA05BA"/>
    <w:rsid w:val="00DA07E9"/>
    <w:rsid w:val="00DA1D01"/>
    <w:rsid w:val="00DA5A61"/>
    <w:rsid w:val="00DA621A"/>
    <w:rsid w:val="00DB0781"/>
    <w:rsid w:val="00DB4281"/>
    <w:rsid w:val="00DB7805"/>
    <w:rsid w:val="00DB78F3"/>
    <w:rsid w:val="00DC0FB2"/>
    <w:rsid w:val="00DC1A77"/>
    <w:rsid w:val="00DD254B"/>
    <w:rsid w:val="00DD3761"/>
    <w:rsid w:val="00DD3AD3"/>
    <w:rsid w:val="00DD418B"/>
    <w:rsid w:val="00DD7783"/>
    <w:rsid w:val="00DE2381"/>
    <w:rsid w:val="00DE50ED"/>
    <w:rsid w:val="00DE6B9C"/>
    <w:rsid w:val="00DF2A8E"/>
    <w:rsid w:val="00DF3701"/>
    <w:rsid w:val="00E063BD"/>
    <w:rsid w:val="00E07F63"/>
    <w:rsid w:val="00E14BD6"/>
    <w:rsid w:val="00E17F18"/>
    <w:rsid w:val="00E20A4E"/>
    <w:rsid w:val="00E25AD6"/>
    <w:rsid w:val="00E26320"/>
    <w:rsid w:val="00E27F36"/>
    <w:rsid w:val="00E36E3B"/>
    <w:rsid w:val="00E37C19"/>
    <w:rsid w:val="00E4167D"/>
    <w:rsid w:val="00E4189A"/>
    <w:rsid w:val="00E44CD1"/>
    <w:rsid w:val="00E53EA9"/>
    <w:rsid w:val="00E56500"/>
    <w:rsid w:val="00E5692D"/>
    <w:rsid w:val="00E570F6"/>
    <w:rsid w:val="00E57592"/>
    <w:rsid w:val="00E6130A"/>
    <w:rsid w:val="00E61E19"/>
    <w:rsid w:val="00E62290"/>
    <w:rsid w:val="00E63001"/>
    <w:rsid w:val="00E63F92"/>
    <w:rsid w:val="00E64D34"/>
    <w:rsid w:val="00E70B61"/>
    <w:rsid w:val="00E75405"/>
    <w:rsid w:val="00E76ABB"/>
    <w:rsid w:val="00E76ADA"/>
    <w:rsid w:val="00E77490"/>
    <w:rsid w:val="00E8060F"/>
    <w:rsid w:val="00E81C71"/>
    <w:rsid w:val="00E947D4"/>
    <w:rsid w:val="00E974E5"/>
    <w:rsid w:val="00E97F51"/>
    <w:rsid w:val="00EA2825"/>
    <w:rsid w:val="00EA37A7"/>
    <w:rsid w:val="00EA6A6C"/>
    <w:rsid w:val="00EB2136"/>
    <w:rsid w:val="00EB26A0"/>
    <w:rsid w:val="00EB2754"/>
    <w:rsid w:val="00EB341F"/>
    <w:rsid w:val="00EB639E"/>
    <w:rsid w:val="00EB7B9B"/>
    <w:rsid w:val="00EC1536"/>
    <w:rsid w:val="00EC2055"/>
    <w:rsid w:val="00ED0E2C"/>
    <w:rsid w:val="00ED2D69"/>
    <w:rsid w:val="00ED6097"/>
    <w:rsid w:val="00ED6B31"/>
    <w:rsid w:val="00ED79EE"/>
    <w:rsid w:val="00EF0750"/>
    <w:rsid w:val="00EF0C14"/>
    <w:rsid w:val="00EF382C"/>
    <w:rsid w:val="00EF48BD"/>
    <w:rsid w:val="00EF63AE"/>
    <w:rsid w:val="00EF69B0"/>
    <w:rsid w:val="00F113E4"/>
    <w:rsid w:val="00F21066"/>
    <w:rsid w:val="00F243DE"/>
    <w:rsid w:val="00F30668"/>
    <w:rsid w:val="00F3283D"/>
    <w:rsid w:val="00F330F3"/>
    <w:rsid w:val="00F34F10"/>
    <w:rsid w:val="00F41292"/>
    <w:rsid w:val="00F43622"/>
    <w:rsid w:val="00F440F8"/>
    <w:rsid w:val="00F5007A"/>
    <w:rsid w:val="00F50FBF"/>
    <w:rsid w:val="00F62388"/>
    <w:rsid w:val="00F70CA5"/>
    <w:rsid w:val="00F711B9"/>
    <w:rsid w:val="00F8025A"/>
    <w:rsid w:val="00F8097F"/>
    <w:rsid w:val="00F84559"/>
    <w:rsid w:val="00F86B5D"/>
    <w:rsid w:val="00F90001"/>
    <w:rsid w:val="00F909C0"/>
    <w:rsid w:val="00F9156F"/>
    <w:rsid w:val="00F92DDB"/>
    <w:rsid w:val="00F97F5A"/>
    <w:rsid w:val="00FA2D84"/>
    <w:rsid w:val="00FA35D4"/>
    <w:rsid w:val="00FA42A8"/>
    <w:rsid w:val="00FB2C21"/>
    <w:rsid w:val="00FB371F"/>
    <w:rsid w:val="00FB6CA0"/>
    <w:rsid w:val="00FC0F58"/>
    <w:rsid w:val="00FC170F"/>
    <w:rsid w:val="00FC4433"/>
    <w:rsid w:val="00FC77AD"/>
    <w:rsid w:val="00FD0AB5"/>
    <w:rsid w:val="00FD27C1"/>
    <w:rsid w:val="00FD545A"/>
    <w:rsid w:val="00FD5617"/>
    <w:rsid w:val="00FD5780"/>
    <w:rsid w:val="00FD5922"/>
    <w:rsid w:val="00FD7751"/>
    <w:rsid w:val="00FD7AC2"/>
    <w:rsid w:val="00FF1179"/>
    <w:rsid w:val="00FF6995"/>
    <w:rsid w:val="02723668"/>
    <w:rsid w:val="03401D6D"/>
    <w:rsid w:val="043D5017"/>
    <w:rsid w:val="070AD4FE"/>
    <w:rsid w:val="0819CAD1"/>
    <w:rsid w:val="08674F61"/>
    <w:rsid w:val="0A16F74B"/>
    <w:rsid w:val="0A5B8D8C"/>
    <w:rsid w:val="0D18881E"/>
    <w:rsid w:val="1078344E"/>
    <w:rsid w:val="131B19BE"/>
    <w:rsid w:val="1351CE1B"/>
    <w:rsid w:val="138A152D"/>
    <w:rsid w:val="1631C144"/>
    <w:rsid w:val="16DA9D36"/>
    <w:rsid w:val="17DF8ADF"/>
    <w:rsid w:val="18A4789F"/>
    <w:rsid w:val="1924DDF2"/>
    <w:rsid w:val="1AEC4A83"/>
    <w:rsid w:val="1B6F52CF"/>
    <w:rsid w:val="1C7F0341"/>
    <w:rsid w:val="1EAD18AB"/>
    <w:rsid w:val="1F23A4CA"/>
    <w:rsid w:val="203B06AE"/>
    <w:rsid w:val="22924DC7"/>
    <w:rsid w:val="2412FDCB"/>
    <w:rsid w:val="24290E70"/>
    <w:rsid w:val="2487200A"/>
    <w:rsid w:val="24E2A33A"/>
    <w:rsid w:val="259CA25E"/>
    <w:rsid w:val="271B7E5D"/>
    <w:rsid w:val="29ABCA45"/>
    <w:rsid w:val="2A0B39C6"/>
    <w:rsid w:val="2AAA81A8"/>
    <w:rsid w:val="2C5FE969"/>
    <w:rsid w:val="2C8BBEA1"/>
    <w:rsid w:val="2D2E3BBE"/>
    <w:rsid w:val="2D31F08A"/>
    <w:rsid w:val="2EC0113F"/>
    <w:rsid w:val="2F4582AA"/>
    <w:rsid w:val="30F65630"/>
    <w:rsid w:val="32B81AD2"/>
    <w:rsid w:val="3374A727"/>
    <w:rsid w:val="34754AA9"/>
    <w:rsid w:val="359C3AA9"/>
    <w:rsid w:val="35F9BFD6"/>
    <w:rsid w:val="36A5B485"/>
    <w:rsid w:val="393C2C83"/>
    <w:rsid w:val="3F307851"/>
    <w:rsid w:val="4172BE72"/>
    <w:rsid w:val="427A6617"/>
    <w:rsid w:val="42A7D897"/>
    <w:rsid w:val="42CD2F4B"/>
    <w:rsid w:val="434F2883"/>
    <w:rsid w:val="43554BD4"/>
    <w:rsid w:val="43D26C4C"/>
    <w:rsid w:val="44C4BEDD"/>
    <w:rsid w:val="454F0A79"/>
    <w:rsid w:val="4584BA30"/>
    <w:rsid w:val="466AA9DC"/>
    <w:rsid w:val="4850101C"/>
    <w:rsid w:val="48CCA55B"/>
    <w:rsid w:val="499A8E27"/>
    <w:rsid w:val="4A6A6817"/>
    <w:rsid w:val="4C3BB640"/>
    <w:rsid w:val="4CC334E4"/>
    <w:rsid w:val="4D827FC2"/>
    <w:rsid w:val="4FB0A7F9"/>
    <w:rsid w:val="4FFFC3EF"/>
    <w:rsid w:val="511B0A48"/>
    <w:rsid w:val="514386DA"/>
    <w:rsid w:val="5231FB44"/>
    <w:rsid w:val="546EA3D7"/>
    <w:rsid w:val="5AAC599E"/>
    <w:rsid w:val="5BA4B4C4"/>
    <w:rsid w:val="5C8B2A07"/>
    <w:rsid w:val="5D6D9A91"/>
    <w:rsid w:val="5E1EDFD3"/>
    <w:rsid w:val="5EA433BF"/>
    <w:rsid w:val="627118CF"/>
    <w:rsid w:val="66AF4938"/>
    <w:rsid w:val="69827318"/>
    <w:rsid w:val="69B3240D"/>
    <w:rsid w:val="6B044D28"/>
    <w:rsid w:val="6C503E20"/>
    <w:rsid w:val="6DBA0EFF"/>
    <w:rsid w:val="6EF17095"/>
    <w:rsid w:val="6FEF598D"/>
    <w:rsid w:val="70F2B8AF"/>
    <w:rsid w:val="719BD22F"/>
    <w:rsid w:val="71C9335A"/>
    <w:rsid w:val="72A7D82C"/>
    <w:rsid w:val="739DCAE1"/>
    <w:rsid w:val="73CABA1F"/>
    <w:rsid w:val="75132B8B"/>
    <w:rsid w:val="758D20B0"/>
    <w:rsid w:val="7601D6D6"/>
    <w:rsid w:val="761A7B17"/>
    <w:rsid w:val="7780C32E"/>
    <w:rsid w:val="788B423B"/>
    <w:rsid w:val="7B784866"/>
    <w:rsid w:val="7DEB4CB4"/>
    <w:rsid w:val="7E5DB777"/>
    <w:rsid w:val="7F140B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00111"/>
  <w15:chartTrackingRefBased/>
  <w15:docId w15:val="{6BFAF2E9-3BDA-4DE2-B4F3-74713ACE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 ABNT"/>
    <w:qFormat/>
    <w:rsid w:val="000A08F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Ttulo1">
    <w:name w:val="heading 1"/>
    <w:basedOn w:val="Normal"/>
    <w:next w:val="Normal"/>
    <w:link w:val="Ttulo1Char"/>
    <w:uiPriority w:val="9"/>
    <w:qFormat/>
    <w:rsid w:val="000A08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0A08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0A08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har"/>
    <w:uiPriority w:val="9"/>
    <w:unhideWhenUsed/>
    <w:qFormat/>
    <w:rsid w:val="000A08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har"/>
    <w:uiPriority w:val="9"/>
    <w:unhideWhenUsed/>
    <w:qFormat/>
    <w:rsid w:val="000A08FC"/>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har"/>
    <w:uiPriority w:val="9"/>
    <w:unhideWhenUsed/>
    <w:qFormat/>
    <w:rsid w:val="000A08FC"/>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unhideWhenUsed/>
    <w:qFormat/>
    <w:rsid w:val="000A08FC"/>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unhideWhenUsed/>
    <w:qFormat/>
    <w:rsid w:val="000A08FC"/>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unhideWhenUsed/>
    <w:qFormat/>
    <w:rsid w:val="000A08FC"/>
    <w:pPr>
      <w:keepNext/>
      <w:keepLines/>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sumrio">
    <w:name w:val="sumário"/>
    <w:basedOn w:val="Semlista"/>
    <w:uiPriority w:val="99"/>
    <w:rsid w:val="003215A5"/>
    <w:pPr>
      <w:numPr>
        <w:numId w:val="1"/>
      </w:numPr>
    </w:pPr>
  </w:style>
  <w:style w:type="character" w:customStyle="1" w:styleId="Ttulo1Char">
    <w:name w:val="Título 1 Char"/>
    <w:basedOn w:val="Fontepargpadro"/>
    <w:link w:val="Ttulo1"/>
    <w:uiPriority w:val="9"/>
    <w:rsid w:val="000A08FC"/>
    <w:rPr>
      <w:rFonts w:asciiTheme="majorHAnsi" w:eastAsiaTheme="majorEastAsia" w:hAnsiTheme="majorHAnsi" w:cstheme="majorBidi"/>
      <w:color w:val="0F4761" w:themeColor="accent1" w:themeShade="BF"/>
      <w:sz w:val="40"/>
      <w:szCs w:val="40"/>
      <w:lang w:val="pt-PT"/>
    </w:rPr>
  </w:style>
  <w:style w:type="character" w:customStyle="1" w:styleId="Ttulo2Char">
    <w:name w:val="Título 2 Char"/>
    <w:basedOn w:val="Fontepargpadro"/>
    <w:link w:val="Ttulo2"/>
    <w:uiPriority w:val="9"/>
    <w:rsid w:val="000A08FC"/>
    <w:rPr>
      <w:rFonts w:asciiTheme="majorHAnsi" w:eastAsiaTheme="majorEastAsia" w:hAnsiTheme="majorHAnsi" w:cstheme="majorBidi"/>
      <w:color w:val="0F4761" w:themeColor="accent1" w:themeShade="BF"/>
      <w:sz w:val="32"/>
      <w:szCs w:val="32"/>
      <w:lang w:val="pt-PT"/>
    </w:rPr>
  </w:style>
  <w:style w:type="character" w:customStyle="1" w:styleId="Ttulo3Char">
    <w:name w:val="Título 3 Char"/>
    <w:basedOn w:val="Fontepargpadro"/>
    <w:link w:val="Ttulo3"/>
    <w:uiPriority w:val="9"/>
    <w:rsid w:val="000A08FC"/>
    <w:rPr>
      <w:rFonts w:eastAsiaTheme="majorEastAsia" w:cstheme="majorBidi"/>
      <w:color w:val="0F4761" w:themeColor="accent1" w:themeShade="BF"/>
      <w:sz w:val="28"/>
      <w:szCs w:val="28"/>
      <w:lang w:val="pt-PT"/>
    </w:rPr>
  </w:style>
  <w:style w:type="character" w:customStyle="1" w:styleId="Ttulo4Char">
    <w:name w:val="Título 4 Char"/>
    <w:basedOn w:val="Fontepargpadro"/>
    <w:link w:val="Ttulo4"/>
    <w:uiPriority w:val="9"/>
    <w:rsid w:val="000A08FC"/>
    <w:rPr>
      <w:rFonts w:eastAsiaTheme="majorEastAsia" w:cstheme="majorBidi"/>
      <w:i/>
      <w:iCs/>
      <w:color w:val="0F4761" w:themeColor="accent1" w:themeShade="BF"/>
      <w:sz w:val="24"/>
      <w:lang w:val="pt-PT"/>
    </w:rPr>
  </w:style>
  <w:style w:type="character" w:customStyle="1" w:styleId="Ttulo5Char">
    <w:name w:val="Título 5 Char"/>
    <w:basedOn w:val="Fontepargpadro"/>
    <w:link w:val="Ttulo5"/>
    <w:uiPriority w:val="9"/>
    <w:rsid w:val="000A08FC"/>
    <w:rPr>
      <w:rFonts w:eastAsiaTheme="majorEastAsia" w:cstheme="majorBidi"/>
      <w:color w:val="0F4761" w:themeColor="accent1" w:themeShade="BF"/>
      <w:sz w:val="24"/>
      <w:lang w:val="pt-PT"/>
    </w:rPr>
  </w:style>
  <w:style w:type="character" w:customStyle="1" w:styleId="Ttulo6Char">
    <w:name w:val="Título 6 Char"/>
    <w:basedOn w:val="Fontepargpadro"/>
    <w:link w:val="Ttulo6"/>
    <w:uiPriority w:val="9"/>
    <w:rsid w:val="000A08FC"/>
    <w:rPr>
      <w:rFonts w:eastAsiaTheme="majorEastAsia" w:cstheme="majorBidi"/>
      <w:i/>
      <w:iCs/>
      <w:color w:val="595959" w:themeColor="text1" w:themeTint="A6"/>
      <w:sz w:val="24"/>
      <w:lang w:val="pt-PT"/>
    </w:rPr>
  </w:style>
  <w:style w:type="character" w:customStyle="1" w:styleId="Ttulo7Char">
    <w:name w:val="Título 7 Char"/>
    <w:basedOn w:val="Fontepargpadro"/>
    <w:link w:val="Ttulo7"/>
    <w:uiPriority w:val="9"/>
    <w:rsid w:val="000A08FC"/>
    <w:rPr>
      <w:rFonts w:eastAsiaTheme="majorEastAsia" w:cstheme="majorBidi"/>
      <w:color w:val="595959" w:themeColor="text1" w:themeTint="A6"/>
      <w:sz w:val="24"/>
      <w:lang w:val="pt-PT"/>
    </w:rPr>
  </w:style>
  <w:style w:type="character" w:customStyle="1" w:styleId="Ttulo8Char">
    <w:name w:val="Título 8 Char"/>
    <w:basedOn w:val="Fontepargpadro"/>
    <w:link w:val="Ttulo8"/>
    <w:uiPriority w:val="9"/>
    <w:rsid w:val="000A08FC"/>
    <w:rPr>
      <w:rFonts w:eastAsiaTheme="majorEastAsia" w:cstheme="majorBidi"/>
      <w:i/>
      <w:iCs/>
      <w:color w:val="272727" w:themeColor="text1" w:themeTint="D8"/>
      <w:sz w:val="24"/>
      <w:lang w:val="pt-PT"/>
    </w:rPr>
  </w:style>
  <w:style w:type="character" w:customStyle="1" w:styleId="Ttulo9Char">
    <w:name w:val="Título 9 Char"/>
    <w:basedOn w:val="Fontepargpadro"/>
    <w:link w:val="Ttulo9"/>
    <w:uiPriority w:val="9"/>
    <w:rsid w:val="000A08FC"/>
    <w:rPr>
      <w:rFonts w:eastAsiaTheme="majorEastAsia" w:cstheme="majorBidi"/>
      <w:color w:val="272727" w:themeColor="text1" w:themeTint="D8"/>
      <w:sz w:val="24"/>
      <w:lang w:val="pt-PT"/>
    </w:rPr>
  </w:style>
  <w:style w:type="paragraph" w:styleId="Ttulo">
    <w:name w:val="Title"/>
    <w:basedOn w:val="Normal"/>
    <w:next w:val="Normal"/>
    <w:link w:val="TtuloChar"/>
    <w:uiPriority w:val="10"/>
    <w:qFormat/>
    <w:rsid w:val="000A08FC"/>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A08FC"/>
    <w:rPr>
      <w:rFonts w:asciiTheme="majorHAnsi" w:eastAsiaTheme="majorEastAsia" w:hAnsiTheme="majorHAnsi" w:cstheme="majorBidi"/>
      <w:spacing w:val="-10"/>
      <w:kern w:val="28"/>
      <w:sz w:val="56"/>
      <w:szCs w:val="56"/>
      <w:lang w:val="pt-PT"/>
    </w:rPr>
  </w:style>
  <w:style w:type="paragraph" w:styleId="Subttulo">
    <w:name w:val="Subtitle"/>
    <w:basedOn w:val="Normal"/>
    <w:next w:val="Normal"/>
    <w:link w:val="SubttuloChar"/>
    <w:uiPriority w:val="11"/>
    <w:qFormat/>
    <w:rsid w:val="000A08FC"/>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A08FC"/>
    <w:rPr>
      <w:rFonts w:eastAsiaTheme="majorEastAsia" w:cstheme="majorBidi"/>
      <w:color w:val="595959" w:themeColor="text1" w:themeTint="A6"/>
      <w:spacing w:val="15"/>
      <w:sz w:val="28"/>
      <w:szCs w:val="28"/>
      <w:lang w:val="pt-PT"/>
    </w:rPr>
  </w:style>
  <w:style w:type="paragraph" w:styleId="Citao">
    <w:name w:val="Quote"/>
    <w:basedOn w:val="Normal"/>
    <w:next w:val="Normal"/>
    <w:link w:val="CitaoChar"/>
    <w:uiPriority w:val="29"/>
    <w:qFormat/>
    <w:rsid w:val="000A08FC"/>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0A08FC"/>
    <w:rPr>
      <w:rFonts w:ascii="Times New Roman" w:hAnsi="Times New Roman" w:cs="Arial"/>
      <w:i/>
      <w:iCs/>
      <w:color w:val="404040" w:themeColor="text1" w:themeTint="BF"/>
      <w:sz w:val="24"/>
      <w:lang w:val="pt-PT"/>
    </w:rPr>
  </w:style>
  <w:style w:type="paragraph" w:styleId="PargrafodaLista">
    <w:name w:val="List Paragraph"/>
    <w:basedOn w:val="Normal"/>
    <w:uiPriority w:val="34"/>
    <w:qFormat/>
    <w:rsid w:val="000A08FC"/>
    <w:pPr>
      <w:ind w:left="720"/>
      <w:contextualSpacing/>
    </w:pPr>
  </w:style>
  <w:style w:type="character" w:styleId="nfaseIntensa">
    <w:name w:val="Intense Emphasis"/>
    <w:basedOn w:val="Fontepargpadro"/>
    <w:uiPriority w:val="21"/>
    <w:qFormat/>
    <w:rsid w:val="000A08FC"/>
    <w:rPr>
      <w:i/>
      <w:iCs/>
      <w:color w:val="0F4761" w:themeColor="accent1" w:themeShade="BF"/>
    </w:rPr>
  </w:style>
  <w:style w:type="paragraph" w:styleId="CitaoIntensa">
    <w:name w:val="Intense Quote"/>
    <w:basedOn w:val="Normal"/>
    <w:next w:val="Normal"/>
    <w:link w:val="CitaoIntensaChar"/>
    <w:uiPriority w:val="30"/>
    <w:qFormat/>
    <w:rsid w:val="000A08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A08FC"/>
    <w:rPr>
      <w:rFonts w:ascii="Times New Roman" w:hAnsi="Times New Roman" w:cs="Arial"/>
      <w:i/>
      <w:iCs/>
      <w:color w:val="0F4761" w:themeColor="accent1" w:themeShade="BF"/>
      <w:sz w:val="24"/>
      <w:lang w:val="pt-PT"/>
    </w:rPr>
  </w:style>
  <w:style w:type="character" w:styleId="RefernciaIntensa">
    <w:name w:val="Intense Reference"/>
    <w:basedOn w:val="Fontepargpadro"/>
    <w:uiPriority w:val="32"/>
    <w:qFormat/>
    <w:rsid w:val="000A08FC"/>
    <w:rPr>
      <w:b/>
      <w:bCs/>
      <w:smallCaps/>
      <w:color w:val="0F4761" w:themeColor="accent1" w:themeShade="BF"/>
      <w:spacing w:val="5"/>
    </w:rPr>
  </w:style>
  <w:style w:type="paragraph" w:styleId="Cabealho">
    <w:name w:val="header"/>
    <w:basedOn w:val="Normal"/>
    <w:link w:val="CabealhoChar"/>
    <w:uiPriority w:val="99"/>
    <w:unhideWhenUsed/>
    <w:rsid w:val="000A08FC"/>
    <w:pPr>
      <w:tabs>
        <w:tab w:val="center" w:pos="4252"/>
        <w:tab w:val="right" w:pos="8504"/>
      </w:tabs>
    </w:pPr>
  </w:style>
  <w:style w:type="character" w:customStyle="1" w:styleId="CabealhoChar">
    <w:name w:val="Cabeçalho Char"/>
    <w:basedOn w:val="Fontepargpadro"/>
    <w:link w:val="Cabealho"/>
    <w:uiPriority w:val="99"/>
    <w:rsid w:val="000A08FC"/>
    <w:rPr>
      <w:rFonts w:ascii="Times New Roman" w:hAnsi="Times New Roman" w:cs="Arial"/>
      <w:sz w:val="24"/>
      <w:lang w:val="pt-PT"/>
    </w:rPr>
  </w:style>
  <w:style w:type="paragraph" w:styleId="Rodap">
    <w:name w:val="footer"/>
    <w:basedOn w:val="Normal"/>
    <w:link w:val="RodapChar"/>
    <w:uiPriority w:val="99"/>
    <w:unhideWhenUsed/>
    <w:rsid w:val="000A08FC"/>
    <w:pPr>
      <w:tabs>
        <w:tab w:val="center" w:pos="4252"/>
        <w:tab w:val="right" w:pos="8504"/>
      </w:tabs>
    </w:pPr>
  </w:style>
  <w:style w:type="character" w:customStyle="1" w:styleId="RodapChar">
    <w:name w:val="Rodapé Char"/>
    <w:basedOn w:val="Fontepargpadro"/>
    <w:link w:val="Rodap"/>
    <w:uiPriority w:val="99"/>
    <w:rsid w:val="000A08FC"/>
    <w:rPr>
      <w:rFonts w:ascii="Times New Roman" w:hAnsi="Times New Roman" w:cs="Arial"/>
      <w:sz w:val="24"/>
      <w:lang w:val="pt-PT"/>
    </w:rPr>
  </w:style>
  <w:style w:type="paragraph" w:customStyle="1" w:styleId="Corpo">
    <w:name w:val="Corpo"/>
    <w:rsid w:val="000A08F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t-BR"/>
      <w14:textOutline w14:w="0" w14:cap="flat" w14:cmpd="sng" w14:algn="ctr">
        <w14:noFill/>
        <w14:prstDash w14:val="solid"/>
        <w14:bevel/>
      </w14:textOutline>
    </w:rPr>
  </w:style>
  <w:style w:type="character" w:customStyle="1" w:styleId="Nenhum">
    <w:name w:val="Nenhum"/>
    <w:rsid w:val="000A08FC"/>
  </w:style>
  <w:style w:type="paragraph" w:styleId="CabealhodoSumrio">
    <w:name w:val="TOC Heading"/>
    <w:basedOn w:val="Ttulo1"/>
    <w:next w:val="Normal"/>
    <w:uiPriority w:val="39"/>
    <w:unhideWhenUsed/>
    <w:qFormat/>
    <w:rsid w:val="00786B1B"/>
    <w:pPr>
      <w:spacing w:before="240" w:after="0" w:line="259" w:lineRule="auto"/>
      <w:outlineLvl w:val="9"/>
    </w:pPr>
    <w:rPr>
      <w:sz w:val="32"/>
      <w:szCs w:val="32"/>
      <w:lang w:val="pt-BR" w:eastAsia="pt-BR"/>
    </w:rPr>
  </w:style>
  <w:style w:type="paragraph" w:styleId="Sumrio2">
    <w:name w:val="toc 2"/>
    <w:basedOn w:val="Normal"/>
    <w:next w:val="Normal"/>
    <w:autoRedefine/>
    <w:uiPriority w:val="39"/>
    <w:unhideWhenUsed/>
    <w:rsid w:val="00661CBB"/>
    <w:pPr>
      <w:tabs>
        <w:tab w:val="right" w:pos="9061"/>
      </w:tabs>
      <w:spacing w:before="240"/>
    </w:pPr>
    <w:rPr>
      <w:noProof/>
      <w:sz w:val="20"/>
      <w:szCs w:val="20"/>
    </w:rPr>
  </w:style>
  <w:style w:type="paragraph" w:styleId="Sumrio1">
    <w:name w:val="toc 1"/>
    <w:basedOn w:val="Normal"/>
    <w:next w:val="Normal"/>
    <w:autoRedefine/>
    <w:uiPriority w:val="39"/>
    <w:unhideWhenUsed/>
    <w:rsid w:val="00B70FDC"/>
    <w:pPr>
      <w:tabs>
        <w:tab w:val="right" w:leader="dot" w:pos="9061"/>
      </w:tabs>
      <w:spacing w:before="360"/>
      <w:jc w:val="both"/>
    </w:pPr>
    <w:rPr>
      <w:rFonts w:asciiTheme="majorHAnsi" w:hAnsiTheme="majorHAnsi"/>
      <w:b/>
      <w:bCs/>
      <w:caps/>
    </w:rPr>
  </w:style>
  <w:style w:type="paragraph" w:styleId="Sumrio3">
    <w:name w:val="toc 3"/>
    <w:basedOn w:val="Normal"/>
    <w:next w:val="Normal"/>
    <w:autoRedefine/>
    <w:uiPriority w:val="39"/>
    <w:unhideWhenUsed/>
    <w:rsid w:val="00587D01"/>
    <w:pPr>
      <w:tabs>
        <w:tab w:val="right" w:leader="dot" w:pos="9061"/>
      </w:tabs>
    </w:pPr>
    <w:rPr>
      <w:noProof/>
      <w:lang w:val="pt-BR"/>
    </w:rPr>
  </w:style>
  <w:style w:type="paragraph" w:customStyle="1" w:styleId="p1">
    <w:name w:val="p1"/>
    <w:basedOn w:val="Normal"/>
    <w:rsid w:val="00A9665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pt-BR" w:eastAsia="pt-BR"/>
    </w:rPr>
  </w:style>
  <w:style w:type="character" w:customStyle="1" w:styleId="s1">
    <w:name w:val="s1"/>
    <w:basedOn w:val="Fontepargpadro"/>
    <w:rsid w:val="00A9665B"/>
  </w:style>
  <w:style w:type="character" w:styleId="Hyperlink">
    <w:name w:val="Hyperlink"/>
    <w:basedOn w:val="Fontepargpadro"/>
    <w:uiPriority w:val="99"/>
    <w:unhideWhenUsed/>
    <w:rsid w:val="001C56A1"/>
    <w:rPr>
      <w:color w:val="467886" w:themeColor="hyperlink"/>
      <w:u w:val="single"/>
    </w:rPr>
  </w:style>
  <w:style w:type="character" w:customStyle="1" w:styleId="s2">
    <w:name w:val="s2"/>
    <w:basedOn w:val="Fontepargpadro"/>
    <w:rsid w:val="001C56A1"/>
  </w:style>
  <w:style w:type="paragraph" w:styleId="Sumrio4">
    <w:name w:val="toc 4"/>
    <w:basedOn w:val="Normal"/>
    <w:next w:val="Normal"/>
    <w:autoRedefine/>
    <w:uiPriority w:val="39"/>
    <w:unhideWhenUsed/>
    <w:rsid w:val="00FD5780"/>
    <w:pPr>
      <w:ind w:left="480"/>
    </w:pPr>
    <w:rPr>
      <w:rFonts w:asciiTheme="minorHAnsi" w:hAnsiTheme="minorHAnsi"/>
      <w:sz w:val="20"/>
      <w:szCs w:val="20"/>
    </w:rPr>
  </w:style>
  <w:style w:type="paragraph" w:styleId="Sumrio5">
    <w:name w:val="toc 5"/>
    <w:basedOn w:val="Normal"/>
    <w:next w:val="Normal"/>
    <w:autoRedefine/>
    <w:uiPriority w:val="39"/>
    <w:unhideWhenUsed/>
    <w:rsid w:val="00FD5780"/>
    <w:pPr>
      <w:ind w:left="720"/>
    </w:pPr>
    <w:rPr>
      <w:rFonts w:asciiTheme="minorHAnsi" w:hAnsiTheme="minorHAnsi"/>
      <w:sz w:val="20"/>
      <w:szCs w:val="20"/>
    </w:rPr>
  </w:style>
  <w:style w:type="paragraph" w:styleId="Sumrio6">
    <w:name w:val="toc 6"/>
    <w:basedOn w:val="Normal"/>
    <w:next w:val="Normal"/>
    <w:autoRedefine/>
    <w:uiPriority w:val="39"/>
    <w:unhideWhenUsed/>
    <w:rsid w:val="00FD5780"/>
    <w:pPr>
      <w:ind w:left="960"/>
    </w:pPr>
    <w:rPr>
      <w:rFonts w:asciiTheme="minorHAnsi" w:hAnsiTheme="minorHAnsi"/>
      <w:sz w:val="20"/>
      <w:szCs w:val="20"/>
    </w:rPr>
  </w:style>
  <w:style w:type="paragraph" w:styleId="Sumrio7">
    <w:name w:val="toc 7"/>
    <w:basedOn w:val="Normal"/>
    <w:next w:val="Normal"/>
    <w:autoRedefine/>
    <w:uiPriority w:val="39"/>
    <w:unhideWhenUsed/>
    <w:rsid w:val="00FD5780"/>
    <w:pPr>
      <w:ind w:left="1200"/>
    </w:pPr>
    <w:rPr>
      <w:rFonts w:asciiTheme="minorHAnsi" w:hAnsiTheme="minorHAnsi"/>
      <w:sz w:val="20"/>
      <w:szCs w:val="20"/>
    </w:rPr>
  </w:style>
  <w:style w:type="paragraph" w:styleId="Sumrio8">
    <w:name w:val="toc 8"/>
    <w:basedOn w:val="Normal"/>
    <w:next w:val="Normal"/>
    <w:autoRedefine/>
    <w:uiPriority w:val="39"/>
    <w:unhideWhenUsed/>
    <w:rsid w:val="00FD5780"/>
    <w:pPr>
      <w:ind w:left="1440"/>
    </w:pPr>
    <w:rPr>
      <w:rFonts w:asciiTheme="minorHAnsi" w:hAnsiTheme="minorHAnsi"/>
      <w:sz w:val="20"/>
      <w:szCs w:val="20"/>
    </w:rPr>
  </w:style>
  <w:style w:type="paragraph" w:styleId="Sumrio9">
    <w:name w:val="toc 9"/>
    <w:basedOn w:val="Normal"/>
    <w:next w:val="Normal"/>
    <w:autoRedefine/>
    <w:uiPriority w:val="39"/>
    <w:unhideWhenUsed/>
    <w:rsid w:val="00FD5780"/>
    <w:pPr>
      <w:ind w:left="1680"/>
    </w:pPr>
    <w:rPr>
      <w:rFonts w:asciiTheme="minorHAnsi" w:hAnsiTheme="minorHAnsi"/>
      <w:sz w:val="20"/>
      <w:szCs w:val="20"/>
    </w:rPr>
  </w:style>
  <w:style w:type="paragraph" w:customStyle="1" w:styleId="Titlo10">
    <w:name w:val="Titúlo 10"/>
    <w:basedOn w:val="Normal"/>
    <w:link w:val="Titlo10Char"/>
    <w:rsid w:val="00095E78"/>
  </w:style>
  <w:style w:type="character" w:customStyle="1" w:styleId="Titlo10Char">
    <w:name w:val="Titúlo 10 Char"/>
    <w:basedOn w:val="Fontepargpadro"/>
    <w:link w:val="Titlo10"/>
    <w:rsid w:val="00095E78"/>
    <w:rPr>
      <w:rFonts w:ascii="Times New Roman" w:eastAsia="Arial Unicode MS" w:hAnsi="Times New Roman" w:cs="Times New Roman"/>
      <w:sz w:val="24"/>
      <w:szCs w:val="24"/>
      <w:bdr w:val="nil"/>
      <w:lang w:val="en-US"/>
    </w:rPr>
  </w:style>
  <w:style w:type="character" w:customStyle="1" w:styleId="apple-converted-space">
    <w:name w:val="apple-converted-space"/>
    <w:basedOn w:val="Fontepargpadro"/>
    <w:rsid w:val="00F86B5D"/>
  </w:style>
  <w:style w:type="paragraph" w:styleId="NormalWeb">
    <w:name w:val="Normal (Web)"/>
    <w:basedOn w:val="Normal"/>
    <w:uiPriority w:val="99"/>
    <w:unhideWhenUsed/>
    <w:rsid w:val="00F86B5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pt-BR" w:eastAsia="pt-BR"/>
    </w:rPr>
  </w:style>
  <w:style w:type="character" w:styleId="HiperlinkVisitado">
    <w:name w:val="FollowedHyperlink"/>
    <w:basedOn w:val="Fontepargpadro"/>
    <w:uiPriority w:val="99"/>
    <w:semiHidden/>
    <w:unhideWhenUsed/>
    <w:rsid w:val="00E20A4E"/>
    <w:rPr>
      <w:color w:val="96607D" w:themeColor="followedHyperlink"/>
      <w:u w:val="single"/>
    </w:rPr>
  </w:style>
  <w:style w:type="paragraph" w:styleId="Textodecomentrio">
    <w:name w:val="annotation text"/>
    <w:basedOn w:val="Normal"/>
    <w:link w:val="TextodecomentrioChar"/>
    <w:uiPriority w:val="99"/>
    <w:unhideWhenUsed/>
    <w:rsid w:val="00E75405"/>
    <w:rPr>
      <w:sz w:val="20"/>
      <w:szCs w:val="20"/>
    </w:rPr>
  </w:style>
  <w:style w:type="character" w:customStyle="1" w:styleId="TextodecomentrioChar">
    <w:name w:val="Texto de comentário Char"/>
    <w:basedOn w:val="Fontepargpadro"/>
    <w:link w:val="Textodecomentrio"/>
    <w:uiPriority w:val="99"/>
    <w:rsid w:val="00E75405"/>
    <w:rPr>
      <w:rFonts w:ascii="Times New Roman" w:eastAsia="Arial Unicode MS" w:hAnsi="Times New Roman" w:cs="Times New Roman"/>
      <w:sz w:val="20"/>
      <w:szCs w:val="20"/>
      <w:bdr w:val="nil"/>
      <w:lang w:val="en-US"/>
    </w:rPr>
  </w:style>
  <w:style w:type="character" w:styleId="Refdecomentrio">
    <w:name w:val="annotation reference"/>
    <w:basedOn w:val="Fontepargpadro"/>
    <w:uiPriority w:val="99"/>
    <w:semiHidden/>
    <w:unhideWhenUsed/>
    <w:rsid w:val="00E75405"/>
    <w:rPr>
      <w:sz w:val="16"/>
      <w:szCs w:val="16"/>
    </w:rPr>
  </w:style>
  <w:style w:type="paragraph" w:styleId="Assuntodocomentrio">
    <w:name w:val="annotation subject"/>
    <w:basedOn w:val="Textodecomentrio"/>
    <w:next w:val="Textodecomentrio"/>
    <w:link w:val="AssuntodocomentrioChar"/>
    <w:uiPriority w:val="99"/>
    <w:semiHidden/>
    <w:unhideWhenUsed/>
    <w:rsid w:val="002A7BD3"/>
    <w:rPr>
      <w:b/>
      <w:bCs/>
    </w:rPr>
  </w:style>
  <w:style w:type="character" w:customStyle="1" w:styleId="AssuntodocomentrioChar">
    <w:name w:val="Assunto do comentário Char"/>
    <w:basedOn w:val="TextodecomentrioChar"/>
    <w:link w:val="Assuntodocomentrio"/>
    <w:uiPriority w:val="99"/>
    <w:semiHidden/>
    <w:rsid w:val="002A7BD3"/>
    <w:rPr>
      <w:rFonts w:ascii="Times New Roman" w:eastAsia="Arial Unicode MS" w:hAnsi="Times New Roman" w:cs="Times New Roman"/>
      <w:b/>
      <w:bCs/>
      <w:sz w:val="20"/>
      <w:szCs w:val="20"/>
      <w:bdr w:val="nil"/>
      <w:lang w:val="en-US"/>
    </w:rPr>
  </w:style>
  <w:style w:type="character" w:styleId="MenoPendente">
    <w:name w:val="Unresolved Mention"/>
    <w:basedOn w:val="Fontepargpadro"/>
    <w:uiPriority w:val="99"/>
    <w:semiHidden/>
    <w:unhideWhenUsed/>
    <w:rsid w:val="00721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ir.stf.jus.br/paginadorpub/paginador.jsp?docTP=TP&amp;docID=175962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8E719728091A248961136F8379C2EEE" ma:contentTypeVersion="8" ma:contentTypeDescription="Crie um novo documento." ma:contentTypeScope="" ma:versionID="3378e8063615d290c78b946ae4f023de">
  <xsd:schema xmlns:xsd="http://www.w3.org/2001/XMLSchema" xmlns:xs="http://www.w3.org/2001/XMLSchema" xmlns:p="http://schemas.microsoft.com/office/2006/metadata/properties" xmlns:ns3="b4068f99-712a-4374-9a22-20207ec32662" targetNamespace="http://schemas.microsoft.com/office/2006/metadata/properties" ma:root="true" ma:fieldsID="f06a773895e04aa359c298eee223d97a" ns3:_="">
    <xsd:import namespace="b4068f99-712a-4374-9a22-20207ec326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DateTake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68f99-712a-4374-9a22-20207ec32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4068f99-712a-4374-9a22-20207ec3266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6945F-C04D-4073-95AD-05150F2C1B4C}">
  <ds:schemaRefs>
    <ds:schemaRef ds:uri="http://schemas.microsoft.com/sharepoint/v3/contenttype/forms"/>
  </ds:schemaRefs>
</ds:datastoreItem>
</file>

<file path=customXml/itemProps2.xml><?xml version="1.0" encoding="utf-8"?>
<ds:datastoreItem xmlns:ds="http://schemas.openxmlformats.org/officeDocument/2006/customXml" ds:itemID="{FECE96D2-DE5C-447D-A55C-D81155E1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68f99-712a-4374-9a22-20207ec32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5F7514-A37A-4FCC-8652-15F2D68CFB64}">
  <ds:schemaRefs>
    <ds:schemaRef ds:uri="http://schemas.microsoft.com/office/2006/metadata/properties"/>
    <ds:schemaRef ds:uri="http://schemas.microsoft.com/office/infopath/2007/PartnerControls"/>
    <ds:schemaRef ds:uri="b4068f99-712a-4374-9a22-20207ec32662"/>
  </ds:schemaRefs>
</ds:datastoreItem>
</file>

<file path=customXml/itemProps4.xml><?xml version="1.0" encoding="utf-8"?>
<ds:datastoreItem xmlns:ds="http://schemas.openxmlformats.org/officeDocument/2006/customXml" ds:itemID="{C1F0D34C-9CC4-43A1-AE05-9FDD06D30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9894</Words>
  <Characters>53433</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63201</CharactersWithSpaces>
  <SharedDoc>false</SharedDoc>
  <HLinks>
    <vt:vector size="90" baseType="variant">
      <vt:variant>
        <vt:i4>1310782</vt:i4>
      </vt:variant>
      <vt:variant>
        <vt:i4>86</vt:i4>
      </vt:variant>
      <vt:variant>
        <vt:i4>0</vt:i4>
      </vt:variant>
      <vt:variant>
        <vt:i4>5</vt:i4>
      </vt:variant>
      <vt:variant>
        <vt:lpwstr/>
      </vt:variant>
      <vt:variant>
        <vt:lpwstr>_Toc214809839</vt:lpwstr>
      </vt:variant>
      <vt:variant>
        <vt:i4>1310782</vt:i4>
      </vt:variant>
      <vt:variant>
        <vt:i4>80</vt:i4>
      </vt:variant>
      <vt:variant>
        <vt:i4>0</vt:i4>
      </vt:variant>
      <vt:variant>
        <vt:i4>5</vt:i4>
      </vt:variant>
      <vt:variant>
        <vt:lpwstr/>
      </vt:variant>
      <vt:variant>
        <vt:lpwstr>_Toc214809838</vt:lpwstr>
      </vt:variant>
      <vt:variant>
        <vt:i4>1310782</vt:i4>
      </vt:variant>
      <vt:variant>
        <vt:i4>74</vt:i4>
      </vt:variant>
      <vt:variant>
        <vt:i4>0</vt:i4>
      </vt:variant>
      <vt:variant>
        <vt:i4>5</vt:i4>
      </vt:variant>
      <vt:variant>
        <vt:lpwstr/>
      </vt:variant>
      <vt:variant>
        <vt:lpwstr>_Toc214809837</vt:lpwstr>
      </vt:variant>
      <vt:variant>
        <vt:i4>1310782</vt:i4>
      </vt:variant>
      <vt:variant>
        <vt:i4>68</vt:i4>
      </vt:variant>
      <vt:variant>
        <vt:i4>0</vt:i4>
      </vt:variant>
      <vt:variant>
        <vt:i4>5</vt:i4>
      </vt:variant>
      <vt:variant>
        <vt:lpwstr/>
      </vt:variant>
      <vt:variant>
        <vt:lpwstr>_Toc214809836</vt:lpwstr>
      </vt:variant>
      <vt:variant>
        <vt:i4>1310782</vt:i4>
      </vt:variant>
      <vt:variant>
        <vt:i4>62</vt:i4>
      </vt:variant>
      <vt:variant>
        <vt:i4>0</vt:i4>
      </vt:variant>
      <vt:variant>
        <vt:i4>5</vt:i4>
      </vt:variant>
      <vt:variant>
        <vt:lpwstr/>
      </vt:variant>
      <vt:variant>
        <vt:lpwstr>_Toc214809835</vt:lpwstr>
      </vt:variant>
      <vt:variant>
        <vt:i4>1310782</vt:i4>
      </vt:variant>
      <vt:variant>
        <vt:i4>56</vt:i4>
      </vt:variant>
      <vt:variant>
        <vt:i4>0</vt:i4>
      </vt:variant>
      <vt:variant>
        <vt:i4>5</vt:i4>
      </vt:variant>
      <vt:variant>
        <vt:lpwstr/>
      </vt:variant>
      <vt:variant>
        <vt:lpwstr>_Toc214809834</vt:lpwstr>
      </vt:variant>
      <vt:variant>
        <vt:i4>1310782</vt:i4>
      </vt:variant>
      <vt:variant>
        <vt:i4>50</vt:i4>
      </vt:variant>
      <vt:variant>
        <vt:i4>0</vt:i4>
      </vt:variant>
      <vt:variant>
        <vt:i4>5</vt:i4>
      </vt:variant>
      <vt:variant>
        <vt:lpwstr/>
      </vt:variant>
      <vt:variant>
        <vt:lpwstr>_Toc214809833</vt:lpwstr>
      </vt:variant>
      <vt:variant>
        <vt:i4>1310782</vt:i4>
      </vt:variant>
      <vt:variant>
        <vt:i4>44</vt:i4>
      </vt:variant>
      <vt:variant>
        <vt:i4>0</vt:i4>
      </vt:variant>
      <vt:variant>
        <vt:i4>5</vt:i4>
      </vt:variant>
      <vt:variant>
        <vt:lpwstr/>
      </vt:variant>
      <vt:variant>
        <vt:lpwstr>_Toc214809832</vt:lpwstr>
      </vt:variant>
      <vt:variant>
        <vt:i4>1310782</vt:i4>
      </vt:variant>
      <vt:variant>
        <vt:i4>38</vt:i4>
      </vt:variant>
      <vt:variant>
        <vt:i4>0</vt:i4>
      </vt:variant>
      <vt:variant>
        <vt:i4>5</vt:i4>
      </vt:variant>
      <vt:variant>
        <vt:lpwstr/>
      </vt:variant>
      <vt:variant>
        <vt:lpwstr>_Toc214809831</vt:lpwstr>
      </vt:variant>
      <vt:variant>
        <vt:i4>1310782</vt:i4>
      </vt:variant>
      <vt:variant>
        <vt:i4>32</vt:i4>
      </vt:variant>
      <vt:variant>
        <vt:i4>0</vt:i4>
      </vt:variant>
      <vt:variant>
        <vt:i4>5</vt:i4>
      </vt:variant>
      <vt:variant>
        <vt:lpwstr/>
      </vt:variant>
      <vt:variant>
        <vt:lpwstr>_Toc214809830</vt:lpwstr>
      </vt:variant>
      <vt:variant>
        <vt:i4>1376318</vt:i4>
      </vt:variant>
      <vt:variant>
        <vt:i4>26</vt:i4>
      </vt:variant>
      <vt:variant>
        <vt:i4>0</vt:i4>
      </vt:variant>
      <vt:variant>
        <vt:i4>5</vt:i4>
      </vt:variant>
      <vt:variant>
        <vt:lpwstr/>
      </vt:variant>
      <vt:variant>
        <vt:lpwstr>_Toc214809829</vt:lpwstr>
      </vt:variant>
      <vt:variant>
        <vt:i4>1376318</vt:i4>
      </vt:variant>
      <vt:variant>
        <vt:i4>20</vt:i4>
      </vt:variant>
      <vt:variant>
        <vt:i4>0</vt:i4>
      </vt:variant>
      <vt:variant>
        <vt:i4>5</vt:i4>
      </vt:variant>
      <vt:variant>
        <vt:lpwstr/>
      </vt:variant>
      <vt:variant>
        <vt:lpwstr>_Toc214809828</vt:lpwstr>
      </vt:variant>
      <vt:variant>
        <vt:i4>1376318</vt:i4>
      </vt:variant>
      <vt:variant>
        <vt:i4>14</vt:i4>
      </vt:variant>
      <vt:variant>
        <vt:i4>0</vt:i4>
      </vt:variant>
      <vt:variant>
        <vt:i4>5</vt:i4>
      </vt:variant>
      <vt:variant>
        <vt:lpwstr/>
      </vt:variant>
      <vt:variant>
        <vt:lpwstr>_Toc214809827</vt:lpwstr>
      </vt:variant>
      <vt:variant>
        <vt:i4>1376318</vt:i4>
      </vt:variant>
      <vt:variant>
        <vt:i4>8</vt:i4>
      </vt:variant>
      <vt:variant>
        <vt:i4>0</vt:i4>
      </vt:variant>
      <vt:variant>
        <vt:i4>5</vt:i4>
      </vt:variant>
      <vt:variant>
        <vt:lpwstr/>
      </vt:variant>
      <vt:variant>
        <vt:lpwstr>_Toc214809826</vt:lpwstr>
      </vt:variant>
      <vt:variant>
        <vt:i4>1376318</vt:i4>
      </vt:variant>
      <vt:variant>
        <vt:i4>2</vt:i4>
      </vt:variant>
      <vt:variant>
        <vt:i4>0</vt:i4>
      </vt:variant>
      <vt:variant>
        <vt:i4>5</vt:i4>
      </vt:variant>
      <vt:variant>
        <vt:lpwstr/>
      </vt:variant>
      <vt:variant>
        <vt:lpwstr>_Toc214809825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BETHÂNIA REZENDE GONÇALVES</dc:creator>
  <cp:keywords/>
  <dc:description/>
  <cp:lastModifiedBy>FATIMA DE PAULA FERREIRA</cp:lastModifiedBy>
  <cp:revision>2</cp:revision>
  <cp:lastPrinted>2026-05-30T20:46:00Z</cp:lastPrinted>
  <dcterms:created xsi:type="dcterms:W3CDTF">2026-06-16T18:37:00Z</dcterms:created>
  <dcterms:modified xsi:type="dcterms:W3CDTF">2026-06-16T18:37:00Z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0x010100D8E719728091A248961136F8379C2EEE</vt:lpwstr>
  </property>
</Properties>
</file>