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F10FF" w14:textId="77777777" w:rsidR="00183013" w:rsidRDefault="00711982">
      <w:pPr>
        <w:pStyle w:val="Corpodetexto"/>
        <w:ind w:left="3560"/>
        <w:rPr>
          <w:sz w:val="20"/>
        </w:rPr>
      </w:pPr>
      <w:r>
        <w:rPr>
          <w:noProof/>
          <w:sz w:val="20"/>
        </w:rPr>
        <w:drawing>
          <wp:inline distT="0" distB="0" distL="0" distR="0" wp14:anchorId="72A8A6EA" wp14:editId="4B18608F">
            <wp:extent cx="1767947" cy="1033272"/>
            <wp:effectExtent l="0" t="0" r="0" b="0"/>
            <wp:docPr id="1" name="Image 1" descr="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agem 3"/>
                    <pic:cNvPicPr/>
                  </pic:nvPicPr>
                  <pic:blipFill>
                    <a:blip r:embed="rId8" cstate="print"/>
                    <a:stretch>
                      <a:fillRect/>
                    </a:stretch>
                  </pic:blipFill>
                  <pic:spPr>
                    <a:xfrm>
                      <a:off x="0" y="0"/>
                      <a:ext cx="1767947" cy="1033272"/>
                    </a:xfrm>
                    <a:prstGeom prst="rect">
                      <a:avLst/>
                    </a:prstGeom>
                  </pic:spPr>
                </pic:pic>
              </a:graphicData>
            </a:graphic>
          </wp:inline>
        </w:drawing>
      </w:r>
    </w:p>
    <w:p w14:paraId="3A9BE69F" w14:textId="77777777" w:rsidR="00183013" w:rsidRDefault="00183013">
      <w:pPr>
        <w:pStyle w:val="Corpodetexto"/>
        <w:spacing w:before="17"/>
      </w:pPr>
    </w:p>
    <w:p w14:paraId="09EB2F64" w14:textId="77777777" w:rsidR="00183013" w:rsidRPr="00F64747" w:rsidRDefault="00711982">
      <w:pPr>
        <w:spacing w:line="480" w:lineRule="auto"/>
        <w:ind w:left="2104" w:right="2667" w:hanging="5"/>
        <w:jc w:val="center"/>
        <w:rPr>
          <w:rFonts w:ascii="Arial" w:hAnsi="Arial" w:cs="Arial"/>
          <w:sz w:val="24"/>
        </w:rPr>
      </w:pPr>
      <w:r w:rsidRPr="00F64747">
        <w:rPr>
          <w:rFonts w:ascii="Arial" w:hAnsi="Arial" w:cs="Arial"/>
          <w:sz w:val="24"/>
        </w:rPr>
        <w:t>PONTIFÍCIA UNIVERSIDADE CATÓLICA DE GOIÁS ESCOLA</w:t>
      </w:r>
      <w:r w:rsidRPr="00F64747">
        <w:rPr>
          <w:rFonts w:ascii="Arial" w:hAnsi="Arial" w:cs="Arial"/>
          <w:spacing w:val="-15"/>
          <w:sz w:val="24"/>
        </w:rPr>
        <w:t xml:space="preserve"> </w:t>
      </w:r>
      <w:r w:rsidRPr="00F64747">
        <w:rPr>
          <w:rFonts w:ascii="Arial" w:hAnsi="Arial" w:cs="Arial"/>
          <w:sz w:val="24"/>
        </w:rPr>
        <w:t>DE</w:t>
      </w:r>
      <w:r w:rsidRPr="00F64747">
        <w:rPr>
          <w:rFonts w:ascii="Arial" w:hAnsi="Arial" w:cs="Arial"/>
          <w:spacing w:val="-15"/>
          <w:sz w:val="24"/>
        </w:rPr>
        <w:t xml:space="preserve"> </w:t>
      </w:r>
      <w:r w:rsidRPr="00F64747">
        <w:rPr>
          <w:rFonts w:ascii="Arial" w:hAnsi="Arial" w:cs="Arial"/>
          <w:sz w:val="24"/>
        </w:rPr>
        <w:t>DIREITO,</w:t>
      </w:r>
      <w:r w:rsidRPr="00F64747">
        <w:rPr>
          <w:rFonts w:ascii="Arial" w:hAnsi="Arial" w:cs="Arial"/>
          <w:spacing w:val="-15"/>
          <w:sz w:val="24"/>
        </w:rPr>
        <w:t xml:space="preserve"> </w:t>
      </w:r>
      <w:r w:rsidRPr="00F64747">
        <w:rPr>
          <w:rFonts w:ascii="Arial" w:hAnsi="Arial" w:cs="Arial"/>
          <w:sz w:val="24"/>
        </w:rPr>
        <w:t>NEGÓCIOS</w:t>
      </w:r>
      <w:r w:rsidRPr="00F64747">
        <w:rPr>
          <w:rFonts w:ascii="Arial" w:hAnsi="Arial" w:cs="Arial"/>
          <w:spacing w:val="-15"/>
          <w:sz w:val="24"/>
        </w:rPr>
        <w:t xml:space="preserve"> </w:t>
      </w:r>
      <w:r w:rsidRPr="00F64747">
        <w:rPr>
          <w:rFonts w:ascii="Arial" w:hAnsi="Arial" w:cs="Arial"/>
          <w:sz w:val="24"/>
        </w:rPr>
        <w:t>E</w:t>
      </w:r>
      <w:r w:rsidRPr="00F64747">
        <w:rPr>
          <w:rFonts w:ascii="Arial" w:hAnsi="Arial" w:cs="Arial"/>
          <w:spacing w:val="-15"/>
          <w:sz w:val="24"/>
        </w:rPr>
        <w:t xml:space="preserve"> </w:t>
      </w:r>
      <w:r w:rsidRPr="00F64747">
        <w:rPr>
          <w:rFonts w:ascii="Arial" w:hAnsi="Arial" w:cs="Arial"/>
          <w:sz w:val="24"/>
        </w:rPr>
        <w:t>COMUNICAÇÃO NÚCLEO DE PRÁTICA JURÍDICA</w:t>
      </w:r>
    </w:p>
    <w:p w14:paraId="1E85C9B3" w14:textId="77777777" w:rsidR="00183013" w:rsidRPr="00F64747" w:rsidRDefault="00711982">
      <w:pPr>
        <w:spacing w:line="480" w:lineRule="auto"/>
        <w:ind w:left="1704" w:right="2266"/>
        <w:jc w:val="center"/>
        <w:rPr>
          <w:rFonts w:ascii="Arial" w:hAnsi="Arial" w:cs="Arial"/>
          <w:sz w:val="24"/>
        </w:rPr>
      </w:pPr>
      <w:r w:rsidRPr="6D90E6ED">
        <w:rPr>
          <w:rFonts w:ascii="Arial" w:hAnsi="Arial" w:cs="Arial"/>
          <w:sz w:val="24"/>
          <w:szCs w:val="24"/>
        </w:rPr>
        <w:t>COORDENAÇÃO</w:t>
      </w:r>
      <w:r w:rsidRPr="6D90E6ED">
        <w:rPr>
          <w:rFonts w:ascii="Arial" w:hAnsi="Arial" w:cs="Arial"/>
          <w:spacing w:val="-14"/>
          <w:sz w:val="24"/>
          <w:szCs w:val="24"/>
        </w:rPr>
        <w:t xml:space="preserve"> </w:t>
      </w:r>
      <w:r w:rsidRPr="6D90E6ED">
        <w:rPr>
          <w:rFonts w:ascii="Arial" w:hAnsi="Arial" w:cs="Arial"/>
          <w:sz w:val="24"/>
          <w:szCs w:val="24"/>
        </w:rPr>
        <w:t>ADJUNTA</w:t>
      </w:r>
      <w:r w:rsidRPr="6D90E6ED">
        <w:rPr>
          <w:rFonts w:ascii="Arial" w:hAnsi="Arial" w:cs="Arial"/>
          <w:spacing w:val="-14"/>
          <w:sz w:val="24"/>
          <w:szCs w:val="24"/>
        </w:rPr>
        <w:t xml:space="preserve"> </w:t>
      </w:r>
      <w:r w:rsidRPr="6D90E6ED">
        <w:rPr>
          <w:rFonts w:ascii="Arial" w:hAnsi="Arial" w:cs="Arial"/>
          <w:sz w:val="24"/>
          <w:szCs w:val="24"/>
        </w:rPr>
        <w:t>DE</w:t>
      </w:r>
      <w:r w:rsidRPr="6D90E6ED">
        <w:rPr>
          <w:rFonts w:ascii="Arial" w:hAnsi="Arial" w:cs="Arial"/>
          <w:spacing w:val="-12"/>
          <w:sz w:val="24"/>
          <w:szCs w:val="24"/>
        </w:rPr>
        <w:t xml:space="preserve"> </w:t>
      </w:r>
      <w:r w:rsidRPr="6D90E6ED">
        <w:rPr>
          <w:rFonts w:ascii="Arial" w:hAnsi="Arial" w:cs="Arial"/>
          <w:sz w:val="24"/>
          <w:szCs w:val="24"/>
        </w:rPr>
        <w:t>TRABALHO</w:t>
      </w:r>
      <w:r w:rsidRPr="6D90E6ED">
        <w:rPr>
          <w:rFonts w:ascii="Arial" w:hAnsi="Arial" w:cs="Arial"/>
          <w:spacing w:val="-8"/>
          <w:sz w:val="24"/>
          <w:szCs w:val="24"/>
        </w:rPr>
        <w:t xml:space="preserve"> </w:t>
      </w:r>
      <w:r w:rsidRPr="6D90E6ED">
        <w:rPr>
          <w:rFonts w:ascii="Arial" w:hAnsi="Arial" w:cs="Arial"/>
          <w:sz w:val="24"/>
          <w:szCs w:val="24"/>
        </w:rPr>
        <w:t>DE CONCLUSÃO DE CURSO</w:t>
      </w:r>
    </w:p>
    <w:p w14:paraId="0CACA48F" w14:textId="77777777" w:rsidR="00183013" w:rsidRPr="00F64747" w:rsidRDefault="00183013">
      <w:pPr>
        <w:pStyle w:val="Corpodetexto"/>
        <w:rPr>
          <w:rFonts w:ascii="Arial" w:hAnsi="Arial" w:cs="Arial"/>
        </w:rPr>
      </w:pPr>
    </w:p>
    <w:p w14:paraId="5631CC47" w14:textId="77777777" w:rsidR="00183013" w:rsidRPr="00F64747" w:rsidRDefault="00183013">
      <w:pPr>
        <w:pStyle w:val="Corpodetexto"/>
        <w:rPr>
          <w:rFonts w:ascii="Arial" w:hAnsi="Arial" w:cs="Arial"/>
        </w:rPr>
      </w:pPr>
    </w:p>
    <w:p w14:paraId="4F76A0D3" w14:textId="77777777" w:rsidR="00183013" w:rsidRPr="00F64747" w:rsidRDefault="00183013">
      <w:pPr>
        <w:pStyle w:val="Corpodetexto"/>
        <w:rPr>
          <w:rFonts w:ascii="Arial" w:hAnsi="Arial" w:cs="Arial"/>
        </w:rPr>
      </w:pPr>
    </w:p>
    <w:p w14:paraId="1504A11C" w14:textId="77777777" w:rsidR="00183013" w:rsidRPr="00F64747" w:rsidRDefault="00183013">
      <w:pPr>
        <w:pStyle w:val="Corpodetexto"/>
        <w:rPr>
          <w:rFonts w:ascii="Arial" w:hAnsi="Arial" w:cs="Arial"/>
        </w:rPr>
      </w:pPr>
    </w:p>
    <w:p w14:paraId="6DA57C92" w14:textId="77777777" w:rsidR="00183013" w:rsidRPr="00F64747" w:rsidRDefault="00183013">
      <w:pPr>
        <w:pStyle w:val="Corpodetexto"/>
        <w:rPr>
          <w:rFonts w:ascii="Arial" w:hAnsi="Arial" w:cs="Arial"/>
        </w:rPr>
      </w:pPr>
    </w:p>
    <w:p w14:paraId="00A8DF3C" w14:textId="77777777" w:rsidR="00183013" w:rsidRPr="00F64747" w:rsidRDefault="00183013">
      <w:pPr>
        <w:pStyle w:val="Corpodetexto"/>
        <w:rPr>
          <w:rFonts w:ascii="Arial" w:hAnsi="Arial" w:cs="Arial"/>
        </w:rPr>
      </w:pPr>
    </w:p>
    <w:p w14:paraId="6988AD61" w14:textId="77777777" w:rsidR="00183013" w:rsidRPr="00F64747" w:rsidRDefault="00183013">
      <w:pPr>
        <w:pStyle w:val="Corpodetexto"/>
        <w:rPr>
          <w:rFonts w:ascii="Arial" w:hAnsi="Arial" w:cs="Arial"/>
        </w:rPr>
      </w:pPr>
    </w:p>
    <w:p w14:paraId="3B703F00" w14:textId="77777777" w:rsidR="00183013" w:rsidRPr="00F64747" w:rsidRDefault="00183013">
      <w:pPr>
        <w:pStyle w:val="Corpodetexto"/>
        <w:rPr>
          <w:rFonts w:ascii="Arial" w:hAnsi="Arial" w:cs="Arial"/>
        </w:rPr>
      </w:pPr>
    </w:p>
    <w:p w14:paraId="1FCD92AA" w14:textId="0864E2B6" w:rsidR="00B6268B" w:rsidRPr="00B6268B" w:rsidRDefault="00B6268B" w:rsidP="00C472D4">
      <w:pPr>
        <w:pStyle w:val="Ttulo1"/>
        <w:spacing w:line="360" w:lineRule="auto"/>
        <w:ind w:right="560"/>
        <w:jc w:val="center"/>
        <w:rPr>
          <w:rFonts w:ascii="Arial" w:hAnsi="Arial" w:cs="Arial"/>
          <w:spacing w:val="-2"/>
        </w:rPr>
      </w:pPr>
      <w:bookmarkStart w:id="0" w:name="_Toc227148701"/>
      <w:bookmarkStart w:id="1" w:name="_Hlk213174151"/>
      <w:bookmarkStart w:id="2" w:name="_Hlk213174290"/>
      <w:r w:rsidRPr="00B6268B">
        <w:rPr>
          <w:rFonts w:ascii="Arial" w:hAnsi="Arial" w:cs="Arial"/>
          <w:spacing w:val="-2"/>
        </w:rPr>
        <w:t>O IMPACTO DAS REDES SOCIAIS QUANTOS AO RESULTADOS DOS</w:t>
      </w:r>
      <w:bookmarkEnd w:id="0"/>
      <w:r w:rsidRPr="00B6268B">
        <w:rPr>
          <w:rFonts w:ascii="Arial" w:hAnsi="Arial" w:cs="Arial"/>
          <w:spacing w:val="-2"/>
        </w:rPr>
        <w:t xml:space="preserve"> </w:t>
      </w:r>
    </w:p>
    <w:p w14:paraId="0B7F892C" w14:textId="7C5FFB9D" w:rsidR="00183013" w:rsidRPr="00C472D4" w:rsidRDefault="00B6268B" w:rsidP="00C472D4">
      <w:pPr>
        <w:pStyle w:val="Ttulo1"/>
        <w:spacing w:line="360" w:lineRule="auto"/>
        <w:ind w:right="560"/>
        <w:jc w:val="center"/>
        <w:rPr>
          <w:rFonts w:ascii="Arial" w:hAnsi="Arial" w:cs="Arial"/>
          <w:spacing w:val="-2"/>
        </w:rPr>
      </w:pPr>
      <w:bookmarkStart w:id="3" w:name="_Toc227148702"/>
      <w:r w:rsidRPr="00B6268B">
        <w:rPr>
          <w:rFonts w:ascii="Arial" w:hAnsi="Arial" w:cs="Arial"/>
          <w:spacing w:val="-2"/>
        </w:rPr>
        <w:t>PROCESSOS CRIMINAIS</w:t>
      </w:r>
      <w:r>
        <w:rPr>
          <w:rFonts w:ascii="Arial" w:hAnsi="Arial" w:cs="Arial"/>
          <w:spacing w:val="-2"/>
        </w:rPr>
        <w:t>:</w:t>
      </w:r>
      <w:bookmarkStart w:id="4" w:name="_Hlk213174413"/>
      <w:bookmarkEnd w:id="1"/>
      <w:bookmarkEnd w:id="2"/>
      <w:r w:rsidR="00C472D4">
        <w:rPr>
          <w:rFonts w:ascii="Arial" w:hAnsi="Arial" w:cs="Arial"/>
          <w:spacing w:val="-2"/>
        </w:rPr>
        <w:t xml:space="preserve"> </w:t>
      </w:r>
      <w:r w:rsidR="00C472D4" w:rsidRPr="00C472D4">
        <w:rPr>
          <w:rFonts w:ascii="Arial" w:hAnsi="Arial" w:cs="Arial"/>
          <w:b w:val="0"/>
          <w:bCs w:val="0"/>
          <w:spacing w:val="-2"/>
        </w:rPr>
        <w:t>UMA ANÁLISE EM ESPECIAL SOBRE OS CASOS DE FEMINICÍDIO E A INTERCORRÊNCIA DA INTERNET</w:t>
      </w:r>
      <w:bookmarkEnd w:id="3"/>
    </w:p>
    <w:bookmarkEnd w:id="4"/>
    <w:p w14:paraId="36BE2571" w14:textId="77777777" w:rsidR="00183013" w:rsidRPr="00F64747" w:rsidRDefault="00183013">
      <w:pPr>
        <w:pStyle w:val="Corpodetexto"/>
        <w:rPr>
          <w:rFonts w:ascii="Arial" w:hAnsi="Arial" w:cs="Arial"/>
        </w:rPr>
      </w:pPr>
    </w:p>
    <w:p w14:paraId="37AF2C54" w14:textId="77777777" w:rsidR="00183013" w:rsidRPr="00F64747" w:rsidRDefault="00183013">
      <w:pPr>
        <w:pStyle w:val="Corpodetexto"/>
        <w:rPr>
          <w:rFonts w:ascii="Arial" w:hAnsi="Arial" w:cs="Arial"/>
        </w:rPr>
      </w:pPr>
    </w:p>
    <w:p w14:paraId="564468E8" w14:textId="77777777" w:rsidR="00183013" w:rsidRPr="00F64747" w:rsidRDefault="00183013">
      <w:pPr>
        <w:pStyle w:val="Corpodetexto"/>
        <w:rPr>
          <w:rFonts w:ascii="Arial" w:hAnsi="Arial" w:cs="Arial"/>
        </w:rPr>
      </w:pPr>
    </w:p>
    <w:p w14:paraId="197976AF" w14:textId="77777777" w:rsidR="00183013" w:rsidRPr="00F64747" w:rsidRDefault="00183013">
      <w:pPr>
        <w:pStyle w:val="Corpodetexto"/>
        <w:rPr>
          <w:rFonts w:ascii="Arial" w:hAnsi="Arial" w:cs="Arial"/>
        </w:rPr>
      </w:pPr>
    </w:p>
    <w:p w14:paraId="63CAC85A" w14:textId="77777777" w:rsidR="00183013" w:rsidRPr="00F64747" w:rsidRDefault="00183013">
      <w:pPr>
        <w:pStyle w:val="Corpodetexto"/>
        <w:rPr>
          <w:rFonts w:ascii="Arial" w:hAnsi="Arial" w:cs="Arial"/>
        </w:rPr>
      </w:pPr>
    </w:p>
    <w:p w14:paraId="7575080C" w14:textId="77777777" w:rsidR="00183013" w:rsidRPr="00F64747" w:rsidRDefault="00183013">
      <w:pPr>
        <w:pStyle w:val="Corpodetexto"/>
        <w:rPr>
          <w:rFonts w:ascii="Arial" w:hAnsi="Arial" w:cs="Arial"/>
        </w:rPr>
      </w:pPr>
    </w:p>
    <w:p w14:paraId="249B0297" w14:textId="394F092A" w:rsidR="00F64747" w:rsidRDefault="00711982" w:rsidP="00F64747">
      <w:pPr>
        <w:spacing w:before="1" w:line="480" w:lineRule="auto"/>
        <w:ind w:right="1911" w:firstLine="1404"/>
        <w:jc w:val="center"/>
        <w:rPr>
          <w:rFonts w:ascii="Arial" w:hAnsi="Arial" w:cs="Arial"/>
          <w:sz w:val="24"/>
        </w:rPr>
      </w:pPr>
      <w:r w:rsidRPr="00F64747">
        <w:rPr>
          <w:rFonts w:ascii="Arial" w:hAnsi="Arial" w:cs="Arial"/>
          <w:sz w:val="24"/>
        </w:rPr>
        <w:t xml:space="preserve">ORIENTANDO (A): </w:t>
      </w:r>
      <w:bookmarkStart w:id="5" w:name="_Hlk227146431"/>
      <w:r w:rsidR="00C472D4" w:rsidRPr="00C472D4">
        <w:rPr>
          <w:rFonts w:ascii="Arial" w:hAnsi="Arial" w:cs="Arial"/>
          <w:sz w:val="24"/>
        </w:rPr>
        <w:t>ANA LUIZA PORTELLI MOREIRA MORAES</w:t>
      </w:r>
      <w:bookmarkEnd w:id="5"/>
    </w:p>
    <w:p w14:paraId="25C2AF05" w14:textId="304E1BF0" w:rsidR="00183013" w:rsidRPr="00F64747" w:rsidRDefault="00711982" w:rsidP="00C472D4">
      <w:pPr>
        <w:spacing w:before="1" w:line="480" w:lineRule="auto"/>
        <w:ind w:right="1911" w:firstLine="1404"/>
        <w:jc w:val="center"/>
        <w:rPr>
          <w:rFonts w:ascii="Arial" w:hAnsi="Arial" w:cs="Arial"/>
          <w:sz w:val="24"/>
          <w:szCs w:val="24"/>
        </w:rPr>
      </w:pPr>
      <w:r w:rsidRPr="6D90E6ED">
        <w:rPr>
          <w:rFonts w:ascii="Arial" w:hAnsi="Arial" w:cs="Arial"/>
          <w:sz w:val="24"/>
          <w:szCs w:val="24"/>
        </w:rPr>
        <w:t>ORIENTADOR</w:t>
      </w:r>
      <w:r w:rsidRPr="6D90E6ED">
        <w:rPr>
          <w:rFonts w:ascii="Arial" w:hAnsi="Arial" w:cs="Arial"/>
          <w:spacing w:val="-10"/>
          <w:sz w:val="24"/>
          <w:szCs w:val="24"/>
        </w:rPr>
        <w:t xml:space="preserve"> </w:t>
      </w:r>
      <w:r w:rsidRPr="6D90E6ED">
        <w:rPr>
          <w:rFonts w:ascii="Arial" w:hAnsi="Arial" w:cs="Arial"/>
          <w:sz w:val="24"/>
          <w:szCs w:val="24"/>
        </w:rPr>
        <w:t>(A):</w:t>
      </w:r>
      <w:r w:rsidRPr="6D90E6ED">
        <w:rPr>
          <w:rFonts w:ascii="Arial" w:hAnsi="Arial" w:cs="Arial"/>
          <w:spacing w:val="-11"/>
          <w:sz w:val="24"/>
          <w:szCs w:val="24"/>
        </w:rPr>
        <w:t xml:space="preserve"> </w:t>
      </w:r>
      <w:r w:rsidRPr="6D90E6ED">
        <w:rPr>
          <w:rFonts w:ascii="Arial" w:hAnsi="Arial" w:cs="Arial"/>
          <w:sz w:val="24"/>
          <w:szCs w:val="24"/>
        </w:rPr>
        <w:t>PROF.</w:t>
      </w:r>
      <w:r w:rsidRPr="6D90E6ED">
        <w:rPr>
          <w:rFonts w:ascii="Arial" w:hAnsi="Arial" w:cs="Arial"/>
          <w:spacing w:val="-11"/>
          <w:sz w:val="24"/>
          <w:szCs w:val="24"/>
        </w:rPr>
        <w:t xml:space="preserve"> </w:t>
      </w:r>
      <w:r w:rsidRPr="6D90E6ED">
        <w:rPr>
          <w:rFonts w:ascii="Arial" w:hAnsi="Arial" w:cs="Arial"/>
          <w:sz w:val="24"/>
          <w:szCs w:val="24"/>
        </w:rPr>
        <w:t>(A):</w:t>
      </w:r>
      <w:r w:rsidRPr="6D90E6ED">
        <w:rPr>
          <w:rFonts w:ascii="Arial" w:hAnsi="Arial" w:cs="Arial"/>
          <w:spacing w:val="-11"/>
          <w:sz w:val="24"/>
          <w:szCs w:val="24"/>
        </w:rPr>
        <w:t xml:space="preserve"> </w:t>
      </w:r>
      <w:r w:rsidR="008D7A7D" w:rsidRPr="6D90E6ED">
        <w:rPr>
          <w:rFonts w:ascii="Arial" w:hAnsi="Arial" w:cs="Arial"/>
          <w:spacing w:val="-11"/>
          <w:sz w:val="24"/>
          <w:szCs w:val="24"/>
        </w:rPr>
        <w:t>DR</w:t>
      </w:r>
      <w:bookmarkStart w:id="6" w:name="_Hlk213174261"/>
      <w:r w:rsidR="008D7A7D" w:rsidRPr="6D90E6ED">
        <w:rPr>
          <w:rFonts w:ascii="Arial" w:hAnsi="Arial" w:cs="Arial"/>
          <w:spacing w:val="-11"/>
          <w:sz w:val="24"/>
          <w:szCs w:val="24"/>
        </w:rPr>
        <w:t>ª</w:t>
      </w:r>
      <w:bookmarkEnd w:id="6"/>
      <w:r w:rsidR="008D7A7D" w:rsidRPr="6D90E6ED">
        <w:rPr>
          <w:rFonts w:ascii="Arial" w:hAnsi="Arial" w:cs="Arial"/>
          <w:spacing w:val="-11"/>
          <w:sz w:val="24"/>
          <w:szCs w:val="24"/>
        </w:rPr>
        <w:t xml:space="preserve">. </w:t>
      </w:r>
      <w:r w:rsidR="006070C0">
        <w:rPr>
          <w:rFonts w:ascii="Arial" w:hAnsi="Arial" w:cs="Arial"/>
          <w:spacing w:val="-11"/>
          <w:sz w:val="24"/>
          <w:szCs w:val="24"/>
        </w:rPr>
        <w:t>FÁTIMA DE PAULA FERREIRA</w:t>
      </w:r>
    </w:p>
    <w:p w14:paraId="38C113A1" w14:textId="77777777" w:rsidR="00183013" w:rsidRPr="00F64747" w:rsidRDefault="00183013">
      <w:pPr>
        <w:pStyle w:val="Corpodetexto"/>
        <w:rPr>
          <w:rFonts w:ascii="Arial" w:hAnsi="Arial" w:cs="Arial"/>
        </w:rPr>
      </w:pPr>
    </w:p>
    <w:p w14:paraId="621AE5E5" w14:textId="77777777" w:rsidR="00183013" w:rsidRPr="00F64747" w:rsidRDefault="00183013">
      <w:pPr>
        <w:pStyle w:val="Corpodetexto"/>
        <w:rPr>
          <w:rFonts w:ascii="Arial" w:hAnsi="Arial" w:cs="Arial"/>
        </w:rPr>
      </w:pPr>
    </w:p>
    <w:p w14:paraId="3CF27D4D" w14:textId="77777777" w:rsidR="00183013" w:rsidRPr="00F64747" w:rsidRDefault="00183013">
      <w:pPr>
        <w:pStyle w:val="Corpodetexto"/>
        <w:rPr>
          <w:rFonts w:ascii="Arial" w:hAnsi="Arial" w:cs="Arial"/>
        </w:rPr>
      </w:pPr>
    </w:p>
    <w:p w14:paraId="3DBDB728" w14:textId="77777777" w:rsidR="00183013" w:rsidRPr="00F64747" w:rsidRDefault="00183013">
      <w:pPr>
        <w:pStyle w:val="Corpodetexto"/>
        <w:rPr>
          <w:rFonts w:ascii="Arial" w:hAnsi="Arial" w:cs="Arial"/>
        </w:rPr>
      </w:pPr>
    </w:p>
    <w:p w14:paraId="32285E9C" w14:textId="77777777" w:rsidR="00183013" w:rsidRPr="00F64747" w:rsidRDefault="00183013">
      <w:pPr>
        <w:pStyle w:val="Corpodetexto"/>
        <w:rPr>
          <w:rFonts w:ascii="Arial" w:hAnsi="Arial" w:cs="Arial"/>
        </w:rPr>
      </w:pPr>
    </w:p>
    <w:p w14:paraId="51C261C9" w14:textId="77777777" w:rsidR="00183013" w:rsidRPr="00F64747" w:rsidRDefault="00183013">
      <w:pPr>
        <w:pStyle w:val="Corpodetexto"/>
        <w:rPr>
          <w:rFonts w:ascii="Arial" w:hAnsi="Arial" w:cs="Arial"/>
        </w:rPr>
      </w:pPr>
    </w:p>
    <w:p w14:paraId="292E3111" w14:textId="77777777" w:rsidR="00183013" w:rsidRPr="00F64747" w:rsidRDefault="00183013">
      <w:pPr>
        <w:pStyle w:val="Corpodetexto"/>
        <w:rPr>
          <w:rFonts w:ascii="Arial" w:hAnsi="Arial" w:cs="Arial"/>
        </w:rPr>
      </w:pPr>
    </w:p>
    <w:p w14:paraId="6C1D12DE" w14:textId="77777777" w:rsidR="00183013" w:rsidRPr="00F64747" w:rsidRDefault="00183013">
      <w:pPr>
        <w:pStyle w:val="Corpodetexto"/>
        <w:rPr>
          <w:rFonts w:ascii="Arial" w:hAnsi="Arial" w:cs="Arial"/>
        </w:rPr>
      </w:pPr>
    </w:p>
    <w:p w14:paraId="3269C99B" w14:textId="77777777" w:rsidR="00183013" w:rsidRPr="00F64747" w:rsidRDefault="00183013">
      <w:pPr>
        <w:pStyle w:val="Corpodetexto"/>
        <w:rPr>
          <w:rFonts w:ascii="Arial" w:hAnsi="Arial" w:cs="Arial"/>
        </w:rPr>
      </w:pPr>
    </w:p>
    <w:p w14:paraId="1F681BFF" w14:textId="77777777" w:rsidR="00183013" w:rsidRPr="00F64747" w:rsidRDefault="00183013">
      <w:pPr>
        <w:pStyle w:val="Corpodetexto"/>
        <w:rPr>
          <w:rFonts w:ascii="Arial" w:hAnsi="Arial" w:cs="Arial"/>
        </w:rPr>
      </w:pPr>
    </w:p>
    <w:p w14:paraId="7806D38F" w14:textId="77777777" w:rsidR="00183013" w:rsidRPr="00F64747" w:rsidRDefault="00183013">
      <w:pPr>
        <w:pStyle w:val="Corpodetexto"/>
        <w:rPr>
          <w:rFonts w:ascii="Arial" w:hAnsi="Arial" w:cs="Arial"/>
        </w:rPr>
      </w:pPr>
    </w:p>
    <w:p w14:paraId="38EF118E" w14:textId="77777777" w:rsidR="00183013" w:rsidRPr="00F64747" w:rsidRDefault="00183013">
      <w:pPr>
        <w:pStyle w:val="Corpodetexto"/>
        <w:rPr>
          <w:rFonts w:ascii="Arial" w:hAnsi="Arial" w:cs="Arial"/>
        </w:rPr>
      </w:pPr>
    </w:p>
    <w:p w14:paraId="4681511F" w14:textId="1F9755ED" w:rsidR="00183013" w:rsidRDefault="00711982">
      <w:pPr>
        <w:ind w:left="4020" w:right="4583"/>
        <w:jc w:val="center"/>
        <w:rPr>
          <w:rFonts w:ascii="Arial" w:hAnsi="Arial" w:cs="Arial"/>
          <w:spacing w:val="-4"/>
          <w:sz w:val="24"/>
        </w:rPr>
      </w:pPr>
      <w:r w:rsidRPr="00F64747">
        <w:rPr>
          <w:rFonts w:ascii="Arial" w:hAnsi="Arial" w:cs="Arial"/>
          <w:spacing w:val="-4"/>
          <w:sz w:val="24"/>
        </w:rPr>
        <w:t>GOIÂNIA-GO</w:t>
      </w:r>
    </w:p>
    <w:p w14:paraId="1AAD9FAD" w14:textId="220CD042" w:rsidR="00F64747" w:rsidRPr="00F64747" w:rsidRDefault="00F64747">
      <w:pPr>
        <w:ind w:left="4020" w:right="4583"/>
        <w:jc w:val="center"/>
        <w:rPr>
          <w:rFonts w:ascii="Arial" w:hAnsi="Arial" w:cs="Arial"/>
          <w:sz w:val="24"/>
        </w:rPr>
      </w:pPr>
      <w:r>
        <w:rPr>
          <w:rFonts w:ascii="Arial" w:hAnsi="Arial" w:cs="Arial"/>
          <w:spacing w:val="-4"/>
          <w:sz w:val="24"/>
        </w:rPr>
        <w:t>202</w:t>
      </w:r>
      <w:r w:rsidR="00C472D4">
        <w:rPr>
          <w:rFonts w:ascii="Arial" w:hAnsi="Arial" w:cs="Arial"/>
          <w:spacing w:val="-4"/>
          <w:sz w:val="24"/>
        </w:rPr>
        <w:t>6</w:t>
      </w:r>
    </w:p>
    <w:p w14:paraId="6A11F89D" w14:textId="77777777" w:rsidR="00183013" w:rsidRPr="00F64747" w:rsidRDefault="00183013">
      <w:pPr>
        <w:jc w:val="center"/>
        <w:rPr>
          <w:rFonts w:ascii="Arial" w:hAnsi="Arial" w:cs="Arial"/>
          <w:sz w:val="24"/>
        </w:rPr>
        <w:sectPr w:rsidR="00183013" w:rsidRPr="00F64747">
          <w:type w:val="continuous"/>
          <w:pgSz w:w="11900" w:h="16860"/>
          <w:pgMar w:top="960" w:right="425" w:bottom="280" w:left="992" w:header="720" w:footer="720" w:gutter="0"/>
          <w:cols w:space="720"/>
        </w:sectPr>
      </w:pPr>
    </w:p>
    <w:p w14:paraId="4E7B7D85" w14:textId="04D0ABAE" w:rsidR="00183013" w:rsidRPr="00F64747" w:rsidRDefault="00C472D4" w:rsidP="00F64747">
      <w:pPr>
        <w:pStyle w:val="Corpodetexto"/>
        <w:jc w:val="center"/>
        <w:rPr>
          <w:rFonts w:ascii="Arial" w:hAnsi="Arial" w:cs="Arial"/>
        </w:rPr>
      </w:pPr>
      <w:r w:rsidRPr="00C472D4">
        <w:rPr>
          <w:rFonts w:ascii="Arial" w:hAnsi="Arial" w:cs="Arial"/>
        </w:rPr>
        <w:lastRenderedPageBreak/>
        <w:t>ANA LUIZA PORTELLI MOREIRA MORAES</w:t>
      </w:r>
    </w:p>
    <w:p w14:paraId="728B3307" w14:textId="77777777" w:rsidR="00183013" w:rsidRPr="00F64747" w:rsidRDefault="00183013">
      <w:pPr>
        <w:pStyle w:val="Corpodetexto"/>
        <w:rPr>
          <w:rFonts w:ascii="Arial" w:hAnsi="Arial" w:cs="Arial"/>
        </w:rPr>
      </w:pPr>
    </w:p>
    <w:p w14:paraId="613179F8" w14:textId="77777777" w:rsidR="00183013" w:rsidRPr="00F64747" w:rsidRDefault="00183013">
      <w:pPr>
        <w:pStyle w:val="Corpodetexto"/>
        <w:rPr>
          <w:rFonts w:ascii="Arial" w:hAnsi="Arial" w:cs="Arial"/>
        </w:rPr>
      </w:pPr>
    </w:p>
    <w:p w14:paraId="4221049F" w14:textId="77777777" w:rsidR="00183013" w:rsidRPr="00F64747" w:rsidRDefault="00183013">
      <w:pPr>
        <w:pStyle w:val="Corpodetexto"/>
        <w:rPr>
          <w:rFonts w:ascii="Arial" w:hAnsi="Arial" w:cs="Arial"/>
        </w:rPr>
      </w:pPr>
    </w:p>
    <w:p w14:paraId="07BB2653" w14:textId="77777777" w:rsidR="00183013" w:rsidRPr="00F64747" w:rsidRDefault="00183013">
      <w:pPr>
        <w:pStyle w:val="Corpodetexto"/>
        <w:rPr>
          <w:rFonts w:ascii="Arial" w:hAnsi="Arial" w:cs="Arial"/>
        </w:rPr>
      </w:pPr>
    </w:p>
    <w:p w14:paraId="31B9FA79" w14:textId="77777777" w:rsidR="00183013" w:rsidRPr="00F64747" w:rsidRDefault="00183013">
      <w:pPr>
        <w:pStyle w:val="Corpodetexto"/>
        <w:rPr>
          <w:rFonts w:ascii="Arial" w:hAnsi="Arial" w:cs="Arial"/>
        </w:rPr>
      </w:pPr>
    </w:p>
    <w:p w14:paraId="46CAAFE6" w14:textId="77777777" w:rsidR="00183013" w:rsidRPr="00F64747" w:rsidRDefault="00183013">
      <w:pPr>
        <w:pStyle w:val="Corpodetexto"/>
        <w:rPr>
          <w:rFonts w:ascii="Arial" w:hAnsi="Arial" w:cs="Arial"/>
        </w:rPr>
      </w:pPr>
    </w:p>
    <w:p w14:paraId="68CAF061" w14:textId="77777777" w:rsidR="00183013" w:rsidRPr="00F64747" w:rsidRDefault="00183013">
      <w:pPr>
        <w:pStyle w:val="Corpodetexto"/>
        <w:rPr>
          <w:rFonts w:ascii="Arial" w:hAnsi="Arial" w:cs="Arial"/>
        </w:rPr>
      </w:pPr>
    </w:p>
    <w:p w14:paraId="4C74B3AC" w14:textId="77777777" w:rsidR="00183013" w:rsidRPr="00F64747" w:rsidRDefault="00183013">
      <w:pPr>
        <w:pStyle w:val="Corpodetexto"/>
        <w:rPr>
          <w:rFonts w:ascii="Arial" w:hAnsi="Arial" w:cs="Arial"/>
        </w:rPr>
      </w:pPr>
    </w:p>
    <w:p w14:paraId="341D9FAF" w14:textId="77777777" w:rsidR="00183013" w:rsidRPr="00F64747" w:rsidRDefault="00183013">
      <w:pPr>
        <w:pStyle w:val="Corpodetexto"/>
        <w:rPr>
          <w:rFonts w:ascii="Arial" w:hAnsi="Arial" w:cs="Arial"/>
        </w:rPr>
      </w:pPr>
    </w:p>
    <w:p w14:paraId="6F83BA03" w14:textId="77777777" w:rsidR="00183013" w:rsidRDefault="00183013">
      <w:pPr>
        <w:pStyle w:val="Corpodetexto"/>
        <w:rPr>
          <w:rFonts w:ascii="Arial" w:hAnsi="Arial" w:cs="Arial"/>
        </w:rPr>
      </w:pPr>
    </w:p>
    <w:p w14:paraId="20D28425" w14:textId="77777777" w:rsidR="00874C5E" w:rsidRDefault="00874C5E">
      <w:pPr>
        <w:pStyle w:val="Corpodetexto"/>
        <w:rPr>
          <w:rFonts w:ascii="Arial" w:hAnsi="Arial" w:cs="Arial"/>
        </w:rPr>
      </w:pPr>
    </w:p>
    <w:p w14:paraId="53C7C746" w14:textId="77777777" w:rsidR="00874C5E" w:rsidRDefault="00874C5E">
      <w:pPr>
        <w:pStyle w:val="Corpodetexto"/>
        <w:rPr>
          <w:rFonts w:ascii="Arial" w:hAnsi="Arial" w:cs="Arial"/>
        </w:rPr>
      </w:pPr>
    </w:p>
    <w:p w14:paraId="297B54A5" w14:textId="77777777" w:rsidR="00874C5E" w:rsidRDefault="00874C5E">
      <w:pPr>
        <w:pStyle w:val="Corpodetexto"/>
        <w:rPr>
          <w:rFonts w:ascii="Arial" w:hAnsi="Arial" w:cs="Arial"/>
        </w:rPr>
      </w:pPr>
    </w:p>
    <w:p w14:paraId="5257750C" w14:textId="77777777" w:rsidR="00874C5E" w:rsidRDefault="00874C5E">
      <w:pPr>
        <w:pStyle w:val="Corpodetexto"/>
        <w:rPr>
          <w:rFonts w:ascii="Arial" w:hAnsi="Arial" w:cs="Arial"/>
        </w:rPr>
      </w:pPr>
    </w:p>
    <w:p w14:paraId="22B4378F" w14:textId="77777777" w:rsidR="00874C5E" w:rsidRDefault="00874C5E">
      <w:pPr>
        <w:pStyle w:val="Corpodetexto"/>
        <w:rPr>
          <w:rFonts w:ascii="Arial" w:hAnsi="Arial" w:cs="Arial"/>
        </w:rPr>
      </w:pPr>
    </w:p>
    <w:p w14:paraId="5ECDC746" w14:textId="77777777" w:rsidR="00874C5E" w:rsidRDefault="00874C5E">
      <w:pPr>
        <w:pStyle w:val="Corpodetexto"/>
        <w:rPr>
          <w:rFonts w:ascii="Arial" w:hAnsi="Arial" w:cs="Arial"/>
        </w:rPr>
      </w:pPr>
    </w:p>
    <w:p w14:paraId="3DB305D8" w14:textId="77777777" w:rsidR="00874C5E" w:rsidRDefault="00874C5E">
      <w:pPr>
        <w:pStyle w:val="Corpodetexto"/>
        <w:rPr>
          <w:rFonts w:ascii="Arial" w:hAnsi="Arial" w:cs="Arial"/>
        </w:rPr>
      </w:pPr>
    </w:p>
    <w:p w14:paraId="0597CA16" w14:textId="77777777" w:rsidR="00874C5E" w:rsidRDefault="00874C5E">
      <w:pPr>
        <w:pStyle w:val="Corpodetexto"/>
        <w:rPr>
          <w:rFonts w:ascii="Arial" w:hAnsi="Arial" w:cs="Arial"/>
        </w:rPr>
      </w:pPr>
    </w:p>
    <w:p w14:paraId="79269520" w14:textId="77777777" w:rsidR="00874C5E" w:rsidRDefault="00874C5E">
      <w:pPr>
        <w:pStyle w:val="Corpodetexto"/>
        <w:rPr>
          <w:rFonts w:ascii="Arial" w:hAnsi="Arial" w:cs="Arial"/>
        </w:rPr>
      </w:pPr>
    </w:p>
    <w:p w14:paraId="5B2291FC" w14:textId="77777777" w:rsidR="00874C5E" w:rsidRPr="00F64747" w:rsidRDefault="00874C5E">
      <w:pPr>
        <w:pStyle w:val="Corpodetexto"/>
        <w:rPr>
          <w:rFonts w:ascii="Arial" w:hAnsi="Arial" w:cs="Arial"/>
        </w:rPr>
      </w:pPr>
    </w:p>
    <w:p w14:paraId="2B840332" w14:textId="77777777" w:rsidR="00183013" w:rsidRPr="00F64747" w:rsidRDefault="00183013">
      <w:pPr>
        <w:pStyle w:val="Corpodetexto"/>
        <w:rPr>
          <w:rFonts w:ascii="Arial" w:hAnsi="Arial" w:cs="Arial"/>
        </w:rPr>
      </w:pPr>
    </w:p>
    <w:p w14:paraId="027B639E" w14:textId="77777777" w:rsidR="00183013" w:rsidRPr="00F64747" w:rsidRDefault="00183013">
      <w:pPr>
        <w:pStyle w:val="Corpodetexto"/>
        <w:spacing w:before="246"/>
        <w:rPr>
          <w:rFonts w:ascii="Arial" w:hAnsi="Arial" w:cs="Arial"/>
        </w:rPr>
      </w:pPr>
    </w:p>
    <w:p w14:paraId="5EA5BECE" w14:textId="723F7B2A" w:rsidR="00C472D4" w:rsidRPr="00B6268B" w:rsidRDefault="00C472D4" w:rsidP="00C472D4">
      <w:pPr>
        <w:pStyle w:val="Ttulo1"/>
        <w:spacing w:line="360" w:lineRule="auto"/>
        <w:ind w:right="560"/>
        <w:jc w:val="center"/>
        <w:rPr>
          <w:rFonts w:ascii="Arial" w:hAnsi="Arial" w:cs="Arial"/>
          <w:spacing w:val="-2"/>
        </w:rPr>
      </w:pPr>
      <w:bookmarkStart w:id="7" w:name="_Toc227148703"/>
      <w:r w:rsidRPr="00B6268B">
        <w:rPr>
          <w:rFonts w:ascii="Arial" w:hAnsi="Arial" w:cs="Arial"/>
          <w:spacing w:val="-2"/>
        </w:rPr>
        <w:t>O IMPACTO DAS REDES SOCIAIS QUANTO AOS RESULTADOS DOS</w:t>
      </w:r>
      <w:bookmarkEnd w:id="7"/>
      <w:r w:rsidRPr="00B6268B">
        <w:rPr>
          <w:rFonts w:ascii="Arial" w:hAnsi="Arial" w:cs="Arial"/>
          <w:spacing w:val="-2"/>
        </w:rPr>
        <w:t xml:space="preserve"> </w:t>
      </w:r>
    </w:p>
    <w:p w14:paraId="1795D262" w14:textId="77777777" w:rsidR="00C472D4" w:rsidRPr="00C472D4" w:rsidRDefault="00C472D4" w:rsidP="00C472D4">
      <w:pPr>
        <w:pStyle w:val="Ttulo1"/>
        <w:spacing w:line="360" w:lineRule="auto"/>
        <w:ind w:right="560"/>
        <w:jc w:val="center"/>
        <w:rPr>
          <w:rFonts w:ascii="Arial" w:hAnsi="Arial" w:cs="Arial"/>
          <w:spacing w:val="-2"/>
        </w:rPr>
      </w:pPr>
      <w:bookmarkStart w:id="8" w:name="_Toc227148704"/>
      <w:r w:rsidRPr="00B6268B">
        <w:rPr>
          <w:rFonts w:ascii="Arial" w:hAnsi="Arial" w:cs="Arial"/>
          <w:spacing w:val="-2"/>
        </w:rPr>
        <w:t>PROCESSOS CRIMINAIS</w:t>
      </w:r>
      <w:r>
        <w:rPr>
          <w:rFonts w:ascii="Arial" w:hAnsi="Arial" w:cs="Arial"/>
          <w:spacing w:val="-2"/>
        </w:rPr>
        <w:t xml:space="preserve">: </w:t>
      </w:r>
      <w:r w:rsidRPr="00C472D4">
        <w:rPr>
          <w:rFonts w:ascii="Arial" w:hAnsi="Arial" w:cs="Arial"/>
          <w:b w:val="0"/>
          <w:bCs w:val="0"/>
          <w:spacing w:val="-2"/>
        </w:rPr>
        <w:t>UMA ANÁLISE EM ESPECIAL SOBRE OS CASOS DE FEMINICÍDIO E A INTERCORRÊNCIA DA INTERNET</w:t>
      </w:r>
      <w:bookmarkEnd w:id="8"/>
    </w:p>
    <w:p w14:paraId="5D55EDB9" w14:textId="77777777" w:rsidR="00183013" w:rsidRPr="00F64747" w:rsidRDefault="00183013">
      <w:pPr>
        <w:pStyle w:val="Corpodetexto"/>
        <w:rPr>
          <w:rFonts w:ascii="Arial" w:hAnsi="Arial" w:cs="Arial"/>
        </w:rPr>
      </w:pPr>
    </w:p>
    <w:p w14:paraId="448DB796" w14:textId="77777777" w:rsidR="00183013" w:rsidRDefault="00183013">
      <w:pPr>
        <w:pStyle w:val="Corpodetexto"/>
        <w:rPr>
          <w:rFonts w:ascii="Arial" w:hAnsi="Arial" w:cs="Arial"/>
        </w:rPr>
      </w:pPr>
    </w:p>
    <w:p w14:paraId="4502C6D9" w14:textId="77777777" w:rsidR="00874C5E" w:rsidRDefault="00874C5E">
      <w:pPr>
        <w:pStyle w:val="Corpodetexto"/>
        <w:rPr>
          <w:rFonts w:ascii="Arial" w:hAnsi="Arial" w:cs="Arial"/>
        </w:rPr>
      </w:pPr>
    </w:p>
    <w:p w14:paraId="2C784E14" w14:textId="77777777" w:rsidR="00874C5E" w:rsidRDefault="00874C5E">
      <w:pPr>
        <w:pStyle w:val="Corpodetexto"/>
        <w:rPr>
          <w:rFonts w:ascii="Arial" w:hAnsi="Arial" w:cs="Arial"/>
        </w:rPr>
      </w:pPr>
    </w:p>
    <w:p w14:paraId="37BAD47E" w14:textId="77777777" w:rsidR="00874C5E" w:rsidRDefault="00874C5E">
      <w:pPr>
        <w:pStyle w:val="Corpodetexto"/>
        <w:rPr>
          <w:rFonts w:ascii="Arial" w:hAnsi="Arial" w:cs="Arial"/>
        </w:rPr>
      </w:pPr>
    </w:p>
    <w:p w14:paraId="03B688D9" w14:textId="77777777" w:rsidR="00874C5E" w:rsidRPr="00F64747" w:rsidRDefault="00874C5E">
      <w:pPr>
        <w:pStyle w:val="Corpodetexto"/>
        <w:rPr>
          <w:rFonts w:ascii="Arial" w:hAnsi="Arial" w:cs="Arial"/>
        </w:rPr>
      </w:pPr>
    </w:p>
    <w:p w14:paraId="0BC8C61E" w14:textId="77777777" w:rsidR="00183013" w:rsidRPr="00F64747" w:rsidRDefault="00183013">
      <w:pPr>
        <w:pStyle w:val="Corpodetexto"/>
        <w:rPr>
          <w:rFonts w:ascii="Arial" w:hAnsi="Arial" w:cs="Arial"/>
        </w:rPr>
      </w:pPr>
    </w:p>
    <w:p w14:paraId="30653176" w14:textId="68F6CC7D" w:rsidR="00183013" w:rsidRPr="00F64747" w:rsidRDefault="00711982">
      <w:pPr>
        <w:pStyle w:val="Corpodetexto"/>
        <w:ind w:left="4677" w:right="697"/>
        <w:jc w:val="both"/>
        <w:rPr>
          <w:rFonts w:ascii="Arial" w:hAnsi="Arial" w:cs="Arial"/>
        </w:rPr>
      </w:pPr>
      <w:r w:rsidRPr="00F64747">
        <w:rPr>
          <w:rFonts w:ascii="Arial" w:hAnsi="Arial" w:cs="Arial"/>
        </w:rPr>
        <w:t>Artigo Científico apresentado à disciplina Trabalho de Curso II, da Escola de Direito, Negócios e Comunicação</w:t>
      </w:r>
      <w:r w:rsidRPr="00F64747">
        <w:rPr>
          <w:rFonts w:ascii="Arial" w:hAnsi="Arial" w:cs="Arial"/>
          <w:spacing w:val="-3"/>
        </w:rPr>
        <w:t xml:space="preserve"> </w:t>
      </w:r>
      <w:r w:rsidRPr="00F64747">
        <w:rPr>
          <w:rFonts w:ascii="Arial" w:hAnsi="Arial" w:cs="Arial"/>
        </w:rPr>
        <w:t>da</w:t>
      </w:r>
      <w:r w:rsidRPr="00F64747">
        <w:rPr>
          <w:rFonts w:ascii="Arial" w:hAnsi="Arial" w:cs="Arial"/>
          <w:spacing w:val="-4"/>
        </w:rPr>
        <w:t xml:space="preserve"> </w:t>
      </w:r>
      <w:r w:rsidRPr="00F64747">
        <w:rPr>
          <w:rFonts w:ascii="Arial" w:hAnsi="Arial" w:cs="Arial"/>
        </w:rPr>
        <w:t>Pontifícia</w:t>
      </w:r>
      <w:r w:rsidRPr="00F64747">
        <w:rPr>
          <w:rFonts w:ascii="Arial" w:hAnsi="Arial" w:cs="Arial"/>
          <w:spacing w:val="-3"/>
        </w:rPr>
        <w:t xml:space="preserve"> </w:t>
      </w:r>
      <w:r w:rsidRPr="00F64747">
        <w:rPr>
          <w:rFonts w:ascii="Arial" w:hAnsi="Arial" w:cs="Arial"/>
        </w:rPr>
        <w:t>Universidade</w:t>
      </w:r>
      <w:r w:rsidRPr="00F64747">
        <w:rPr>
          <w:rFonts w:ascii="Arial" w:hAnsi="Arial" w:cs="Arial"/>
          <w:spacing w:val="-4"/>
        </w:rPr>
        <w:t xml:space="preserve"> </w:t>
      </w:r>
      <w:r w:rsidRPr="00F64747">
        <w:rPr>
          <w:rFonts w:ascii="Arial" w:hAnsi="Arial" w:cs="Arial"/>
        </w:rPr>
        <w:t>Católica</w:t>
      </w:r>
      <w:r w:rsidRPr="00F64747">
        <w:rPr>
          <w:rFonts w:ascii="Arial" w:hAnsi="Arial" w:cs="Arial"/>
          <w:spacing w:val="-4"/>
        </w:rPr>
        <w:t xml:space="preserve"> </w:t>
      </w:r>
      <w:r w:rsidRPr="00F64747">
        <w:rPr>
          <w:rFonts w:ascii="Arial" w:hAnsi="Arial" w:cs="Arial"/>
        </w:rPr>
        <w:t xml:space="preserve">de Goiás Prof. (a) Orientador (a): </w:t>
      </w:r>
      <w:r w:rsidR="008D7A7D">
        <w:rPr>
          <w:rFonts w:ascii="Arial" w:hAnsi="Arial" w:cs="Arial"/>
        </w:rPr>
        <w:t>Dr</w:t>
      </w:r>
      <w:r w:rsidR="008D7A7D" w:rsidRPr="008D7A7D">
        <w:rPr>
          <w:rFonts w:ascii="Arial" w:hAnsi="Arial" w:cs="Arial"/>
        </w:rPr>
        <w:t>ª</w:t>
      </w:r>
      <w:r w:rsidR="008D7A7D">
        <w:rPr>
          <w:rFonts w:ascii="Arial" w:hAnsi="Arial" w:cs="Arial"/>
        </w:rPr>
        <w:t xml:space="preserve">. </w:t>
      </w:r>
      <w:r w:rsidR="006070C0">
        <w:rPr>
          <w:rFonts w:ascii="Arial" w:hAnsi="Arial" w:cs="Arial"/>
        </w:rPr>
        <w:t>Fátima de Paula Ferreira.</w:t>
      </w:r>
    </w:p>
    <w:p w14:paraId="35273710" w14:textId="77777777" w:rsidR="00183013" w:rsidRPr="00F64747" w:rsidRDefault="00183013">
      <w:pPr>
        <w:pStyle w:val="Corpodetexto"/>
        <w:rPr>
          <w:rFonts w:ascii="Arial" w:hAnsi="Arial" w:cs="Arial"/>
        </w:rPr>
      </w:pPr>
    </w:p>
    <w:p w14:paraId="3C782752" w14:textId="77777777" w:rsidR="00183013" w:rsidRPr="00F64747" w:rsidRDefault="00183013">
      <w:pPr>
        <w:pStyle w:val="Corpodetexto"/>
        <w:rPr>
          <w:rFonts w:ascii="Arial" w:hAnsi="Arial" w:cs="Arial"/>
        </w:rPr>
      </w:pPr>
    </w:p>
    <w:p w14:paraId="29422CDD" w14:textId="77777777" w:rsidR="00183013" w:rsidRPr="00F64747" w:rsidRDefault="00183013">
      <w:pPr>
        <w:pStyle w:val="Corpodetexto"/>
        <w:rPr>
          <w:rFonts w:ascii="Arial" w:hAnsi="Arial" w:cs="Arial"/>
        </w:rPr>
      </w:pPr>
    </w:p>
    <w:p w14:paraId="6ABFD7CD" w14:textId="77777777" w:rsidR="00183013" w:rsidRPr="00F64747" w:rsidRDefault="00183013">
      <w:pPr>
        <w:pStyle w:val="Corpodetexto"/>
        <w:rPr>
          <w:rFonts w:ascii="Arial" w:hAnsi="Arial" w:cs="Arial"/>
        </w:rPr>
      </w:pPr>
    </w:p>
    <w:p w14:paraId="5CC6B22E" w14:textId="77777777" w:rsidR="00183013" w:rsidRPr="00F64747" w:rsidRDefault="00183013">
      <w:pPr>
        <w:pStyle w:val="Corpodetexto"/>
        <w:rPr>
          <w:rFonts w:ascii="Arial" w:hAnsi="Arial" w:cs="Arial"/>
        </w:rPr>
      </w:pPr>
    </w:p>
    <w:p w14:paraId="4DAE7F54" w14:textId="77777777" w:rsidR="00183013" w:rsidRPr="00F64747" w:rsidRDefault="00183013">
      <w:pPr>
        <w:pStyle w:val="Corpodetexto"/>
        <w:rPr>
          <w:rFonts w:ascii="Arial" w:hAnsi="Arial" w:cs="Arial"/>
        </w:rPr>
      </w:pPr>
    </w:p>
    <w:p w14:paraId="3A579395" w14:textId="77777777" w:rsidR="00183013" w:rsidRPr="00F64747" w:rsidRDefault="00183013">
      <w:pPr>
        <w:pStyle w:val="Corpodetexto"/>
        <w:rPr>
          <w:rFonts w:ascii="Arial" w:hAnsi="Arial" w:cs="Arial"/>
        </w:rPr>
      </w:pPr>
    </w:p>
    <w:p w14:paraId="26E824FD" w14:textId="77777777" w:rsidR="00183013" w:rsidRPr="00F64747" w:rsidRDefault="00183013">
      <w:pPr>
        <w:pStyle w:val="Corpodetexto"/>
        <w:rPr>
          <w:rFonts w:ascii="Arial" w:hAnsi="Arial" w:cs="Arial"/>
        </w:rPr>
      </w:pPr>
    </w:p>
    <w:p w14:paraId="32DFBF19" w14:textId="77777777" w:rsidR="00183013" w:rsidRPr="00F64747" w:rsidRDefault="00183013">
      <w:pPr>
        <w:pStyle w:val="Corpodetexto"/>
        <w:rPr>
          <w:rFonts w:ascii="Arial" w:hAnsi="Arial" w:cs="Arial"/>
        </w:rPr>
      </w:pPr>
    </w:p>
    <w:p w14:paraId="4CB2FCF8" w14:textId="77777777" w:rsidR="00183013" w:rsidRDefault="00183013">
      <w:pPr>
        <w:pStyle w:val="Corpodetexto"/>
        <w:spacing w:before="11"/>
        <w:rPr>
          <w:rFonts w:ascii="Arial" w:hAnsi="Arial" w:cs="Arial"/>
        </w:rPr>
      </w:pPr>
    </w:p>
    <w:p w14:paraId="43157CEC" w14:textId="77777777" w:rsidR="00C472D4" w:rsidRPr="00F64747" w:rsidRDefault="00C472D4">
      <w:pPr>
        <w:pStyle w:val="Corpodetexto"/>
        <w:spacing w:before="11"/>
        <w:rPr>
          <w:rFonts w:ascii="Arial" w:hAnsi="Arial" w:cs="Arial"/>
        </w:rPr>
      </w:pPr>
    </w:p>
    <w:p w14:paraId="099F9C99" w14:textId="7D99714C" w:rsidR="00183013" w:rsidRDefault="00711982">
      <w:pPr>
        <w:ind w:left="4021" w:right="4582"/>
        <w:jc w:val="center"/>
        <w:rPr>
          <w:rFonts w:ascii="Arial" w:hAnsi="Arial" w:cs="Arial"/>
          <w:spacing w:val="-4"/>
          <w:sz w:val="24"/>
        </w:rPr>
      </w:pPr>
      <w:r w:rsidRPr="00F64747">
        <w:rPr>
          <w:rFonts w:ascii="Arial" w:hAnsi="Arial" w:cs="Arial"/>
          <w:spacing w:val="-4"/>
          <w:sz w:val="24"/>
        </w:rPr>
        <w:t>GOIÂNIA-GO</w:t>
      </w:r>
    </w:p>
    <w:p w14:paraId="4B475FA4" w14:textId="528F4AE6" w:rsidR="00183013" w:rsidRPr="00F64747" w:rsidRDefault="00F64747" w:rsidP="00874C5E">
      <w:pPr>
        <w:ind w:left="4021" w:right="4582"/>
        <w:jc w:val="center"/>
        <w:rPr>
          <w:rFonts w:ascii="Arial" w:hAnsi="Arial" w:cs="Arial"/>
          <w:sz w:val="24"/>
        </w:rPr>
        <w:sectPr w:rsidR="00183013" w:rsidRPr="00F64747">
          <w:headerReference w:type="default" r:id="rId9"/>
          <w:pgSz w:w="11900" w:h="16860"/>
          <w:pgMar w:top="1240" w:right="425" w:bottom="280" w:left="992" w:header="991" w:footer="0" w:gutter="0"/>
          <w:cols w:space="720"/>
        </w:sectPr>
      </w:pPr>
      <w:r>
        <w:rPr>
          <w:rFonts w:ascii="Arial" w:hAnsi="Arial" w:cs="Arial"/>
          <w:spacing w:val="-4"/>
          <w:sz w:val="24"/>
        </w:rPr>
        <w:t>202</w:t>
      </w:r>
      <w:r w:rsidR="00C472D4">
        <w:rPr>
          <w:rFonts w:ascii="Arial" w:hAnsi="Arial" w:cs="Arial"/>
          <w:spacing w:val="-4"/>
          <w:sz w:val="24"/>
        </w:rPr>
        <w:t>6</w:t>
      </w:r>
    </w:p>
    <w:p w14:paraId="2768D0ED" w14:textId="77777777" w:rsidR="00183013" w:rsidRPr="00F64747" w:rsidRDefault="00183013">
      <w:pPr>
        <w:pStyle w:val="Corpodetexto"/>
        <w:rPr>
          <w:rFonts w:ascii="Arial" w:hAnsi="Arial" w:cs="Arial"/>
        </w:rPr>
      </w:pPr>
    </w:p>
    <w:p w14:paraId="7B23CA44" w14:textId="77777777" w:rsidR="00183013" w:rsidRPr="00F64747" w:rsidRDefault="00183013">
      <w:pPr>
        <w:pStyle w:val="Corpodetexto"/>
        <w:spacing w:before="243"/>
        <w:rPr>
          <w:rFonts w:ascii="Arial" w:hAnsi="Arial" w:cs="Arial"/>
        </w:rPr>
      </w:pPr>
    </w:p>
    <w:p w14:paraId="7C6BF177" w14:textId="215A1BB0" w:rsidR="004A2D9F" w:rsidRPr="00B6268B" w:rsidRDefault="004A2D9F" w:rsidP="004A2D9F">
      <w:pPr>
        <w:pStyle w:val="Ttulo1"/>
        <w:spacing w:line="360" w:lineRule="auto"/>
        <w:ind w:right="560"/>
        <w:jc w:val="center"/>
        <w:rPr>
          <w:rFonts w:ascii="Arial" w:hAnsi="Arial" w:cs="Arial"/>
          <w:spacing w:val="-2"/>
        </w:rPr>
      </w:pPr>
      <w:bookmarkStart w:id="9" w:name="_Toc227148705"/>
      <w:r w:rsidRPr="00B6268B">
        <w:rPr>
          <w:rFonts w:ascii="Arial" w:hAnsi="Arial" w:cs="Arial"/>
          <w:spacing w:val="-2"/>
        </w:rPr>
        <w:t>O IMPACTO DAS REDES SOCIAIS QUANTO AOS RESULTADOS DOS</w:t>
      </w:r>
      <w:bookmarkEnd w:id="9"/>
      <w:r w:rsidRPr="00B6268B">
        <w:rPr>
          <w:rFonts w:ascii="Arial" w:hAnsi="Arial" w:cs="Arial"/>
          <w:spacing w:val="-2"/>
        </w:rPr>
        <w:t xml:space="preserve"> </w:t>
      </w:r>
    </w:p>
    <w:p w14:paraId="541B625B" w14:textId="77777777" w:rsidR="004A2D9F" w:rsidRPr="00C472D4" w:rsidRDefault="004A2D9F" w:rsidP="004A2D9F">
      <w:pPr>
        <w:pStyle w:val="Ttulo1"/>
        <w:spacing w:line="360" w:lineRule="auto"/>
        <w:ind w:right="560"/>
        <w:jc w:val="center"/>
        <w:rPr>
          <w:rFonts w:ascii="Arial" w:hAnsi="Arial" w:cs="Arial"/>
          <w:spacing w:val="-2"/>
        </w:rPr>
      </w:pPr>
      <w:bookmarkStart w:id="10" w:name="_Toc227148706"/>
      <w:r w:rsidRPr="00B6268B">
        <w:rPr>
          <w:rFonts w:ascii="Arial" w:hAnsi="Arial" w:cs="Arial"/>
          <w:spacing w:val="-2"/>
        </w:rPr>
        <w:t>PROCESSOS CRIMINAIS</w:t>
      </w:r>
      <w:r>
        <w:rPr>
          <w:rFonts w:ascii="Arial" w:hAnsi="Arial" w:cs="Arial"/>
          <w:spacing w:val="-2"/>
        </w:rPr>
        <w:t xml:space="preserve">: </w:t>
      </w:r>
      <w:r w:rsidRPr="00C472D4">
        <w:rPr>
          <w:rFonts w:ascii="Arial" w:hAnsi="Arial" w:cs="Arial"/>
          <w:b w:val="0"/>
          <w:bCs w:val="0"/>
          <w:spacing w:val="-2"/>
        </w:rPr>
        <w:t>UMA ANÁLISE EM ESPECIAL SOBRE OS CASOS DE FEMINICÍDIO E A INTERCORRÊNCIA DA INTERNET</w:t>
      </w:r>
      <w:bookmarkEnd w:id="10"/>
    </w:p>
    <w:p w14:paraId="5CE17FC6" w14:textId="77777777" w:rsidR="00183013" w:rsidRPr="00F64747" w:rsidRDefault="00183013">
      <w:pPr>
        <w:pStyle w:val="Corpodetexto"/>
        <w:rPr>
          <w:rFonts w:ascii="Arial" w:hAnsi="Arial" w:cs="Arial"/>
        </w:rPr>
      </w:pPr>
    </w:p>
    <w:p w14:paraId="71F6C082" w14:textId="77777777" w:rsidR="00183013" w:rsidRDefault="00183013">
      <w:pPr>
        <w:pStyle w:val="Corpodetexto"/>
        <w:rPr>
          <w:rFonts w:ascii="Arial" w:hAnsi="Arial" w:cs="Arial"/>
        </w:rPr>
      </w:pPr>
    </w:p>
    <w:p w14:paraId="574F6F01" w14:textId="77777777" w:rsidR="00874C5E" w:rsidRPr="00F64747" w:rsidRDefault="00874C5E">
      <w:pPr>
        <w:pStyle w:val="Corpodetexto"/>
        <w:rPr>
          <w:rFonts w:ascii="Arial" w:hAnsi="Arial" w:cs="Arial"/>
        </w:rPr>
      </w:pPr>
    </w:p>
    <w:p w14:paraId="2244210E" w14:textId="77777777" w:rsidR="00183013" w:rsidRPr="00F64747" w:rsidRDefault="00183013">
      <w:pPr>
        <w:pStyle w:val="Corpodetexto"/>
        <w:rPr>
          <w:rFonts w:ascii="Arial" w:hAnsi="Arial" w:cs="Arial"/>
        </w:rPr>
      </w:pPr>
    </w:p>
    <w:p w14:paraId="2AB4EA3B" w14:textId="77777777" w:rsidR="00183013" w:rsidRPr="00F64747" w:rsidRDefault="00183013">
      <w:pPr>
        <w:pStyle w:val="Corpodetexto"/>
        <w:spacing w:before="3"/>
        <w:rPr>
          <w:rFonts w:ascii="Arial" w:hAnsi="Arial" w:cs="Arial"/>
        </w:rPr>
      </w:pPr>
    </w:p>
    <w:p w14:paraId="798AB298" w14:textId="77777777" w:rsidR="00183013" w:rsidRPr="00F64747" w:rsidRDefault="00711982">
      <w:pPr>
        <w:pStyle w:val="Corpodetexto"/>
        <w:tabs>
          <w:tab w:val="left" w:pos="2123"/>
          <w:tab w:val="left" w:pos="3674"/>
          <w:tab w:val="left" w:pos="4915"/>
        </w:tabs>
        <w:ind w:left="-1" w:right="451"/>
        <w:jc w:val="center"/>
        <w:rPr>
          <w:rFonts w:ascii="Arial" w:hAnsi="Arial" w:cs="Arial"/>
        </w:rPr>
      </w:pPr>
      <w:r w:rsidRPr="00F64747">
        <w:rPr>
          <w:rFonts w:ascii="Arial" w:hAnsi="Arial" w:cs="Arial"/>
        </w:rPr>
        <w:t xml:space="preserve">Data da Defesa: </w:t>
      </w:r>
      <w:r w:rsidRPr="00F64747">
        <w:rPr>
          <w:rFonts w:ascii="Arial" w:hAnsi="Arial" w:cs="Arial"/>
          <w:u w:val="single"/>
        </w:rPr>
        <w:tab/>
      </w:r>
      <w:r w:rsidRPr="00F64747">
        <w:rPr>
          <w:rFonts w:ascii="Arial" w:hAnsi="Arial" w:cs="Arial"/>
        </w:rPr>
        <w:t xml:space="preserve">de </w:t>
      </w:r>
      <w:r w:rsidRPr="00F64747">
        <w:rPr>
          <w:rFonts w:ascii="Arial" w:hAnsi="Arial" w:cs="Arial"/>
          <w:u w:val="single"/>
        </w:rPr>
        <w:tab/>
      </w:r>
      <w:r w:rsidRPr="00F64747">
        <w:rPr>
          <w:rFonts w:ascii="Arial" w:hAnsi="Arial" w:cs="Arial"/>
        </w:rPr>
        <w:t xml:space="preserve">de </w:t>
      </w:r>
      <w:r w:rsidRPr="00F64747">
        <w:rPr>
          <w:rFonts w:ascii="Arial" w:hAnsi="Arial" w:cs="Arial"/>
          <w:u w:val="single"/>
        </w:rPr>
        <w:tab/>
      </w:r>
    </w:p>
    <w:p w14:paraId="58F27744" w14:textId="77777777" w:rsidR="00183013" w:rsidRPr="00F64747" w:rsidRDefault="00183013">
      <w:pPr>
        <w:pStyle w:val="Corpodetexto"/>
        <w:rPr>
          <w:rFonts w:ascii="Arial" w:hAnsi="Arial" w:cs="Arial"/>
        </w:rPr>
      </w:pPr>
    </w:p>
    <w:p w14:paraId="68D643E4" w14:textId="77777777" w:rsidR="00183013" w:rsidRPr="00F64747" w:rsidRDefault="00183013">
      <w:pPr>
        <w:pStyle w:val="Corpodetexto"/>
        <w:rPr>
          <w:rFonts w:ascii="Arial" w:hAnsi="Arial" w:cs="Arial"/>
        </w:rPr>
      </w:pPr>
    </w:p>
    <w:p w14:paraId="7EF77A02" w14:textId="77777777" w:rsidR="00183013" w:rsidRPr="00F64747" w:rsidRDefault="00183013">
      <w:pPr>
        <w:pStyle w:val="Corpodetexto"/>
        <w:rPr>
          <w:rFonts w:ascii="Arial" w:hAnsi="Arial" w:cs="Arial"/>
        </w:rPr>
      </w:pPr>
    </w:p>
    <w:p w14:paraId="7710AC6A" w14:textId="77777777" w:rsidR="00183013" w:rsidRDefault="00183013">
      <w:pPr>
        <w:pStyle w:val="Corpodetexto"/>
        <w:rPr>
          <w:rFonts w:ascii="Arial" w:hAnsi="Arial" w:cs="Arial"/>
        </w:rPr>
      </w:pPr>
    </w:p>
    <w:p w14:paraId="60F09A1F" w14:textId="77777777" w:rsidR="00874C5E" w:rsidRPr="00F64747" w:rsidRDefault="00874C5E">
      <w:pPr>
        <w:pStyle w:val="Corpodetexto"/>
        <w:rPr>
          <w:rFonts w:ascii="Arial" w:hAnsi="Arial" w:cs="Arial"/>
        </w:rPr>
      </w:pPr>
    </w:p>
    <w:p w14:paraId="55B34AEE" w14:textId="77777777" w:rsidR="00183013" w:rsidRPr="00F64747" w:rsidRDefault="00183013">
      <w:pPr>
        <w:pStyle w:val="Corpodetexto"/>
        <w:rPr>
          <w:rFonts w:ascii="Arial" w:hAnsi="Arial" w:cs="Arial"/>
        </w:rPr>
      </w:pPr>
    </w:p>
    <w:p w14:paraId="5A4E6001" w14:textId="77777777" w:rsidR="00183013" w:rsidRPr="00F64747" w:rsidRDefault="00711982">
      <w:pPr>
        <w:ind w:left="1705" w:right="2266"/>
        <w:jc w:val="center"/>
        <w:rPr>
          <w:rFonts w:ascii="Arial" w:hAnsi="Arial" w:cs="Arial"/>
          <w:sz w:val="24"/>
        </w:rPr>
      </w:pPr>
      <w:r w:rsidRPr="00F64747">
        <w:rPr>
          <w:rFonts w:ascii="Arial" w:hAnsi="Arial" w:cs="Arial"/>
          <w:sz w:val="24"/>
        </w:rPr>
        <w:t>BANCA</w:t>
      </w:r>
      <w:r w:rsidRPr="00F64747">
        <w:rPr>
          <w:rFonts w:ascii="Arial" w:hAnsi="Arial" w:cs="Arial"/>
          <w:spacing w:val="-5"/>
          <w:sz w:val="24"/>
        </w:rPr>
        <w:t xml:space="preserve"> </w:t>
      </w:r>
      <w:r w:rsidRPr="00F64747">
        <w:rPr>
          <w:rFonts w:ascii="Arial" w:hAnsi="Arial" w:cs="Arial"/>
          <w:spacing w:val="-2"/>
          <w:sz w:val="24"/>
        </w:rPr>
        <w:t>EXAMINADORA</w:t>
      </w:r>
    </w:p>
    <w:p w14:paraId="0BC5F483" w14:textId="77777777" w:rsidR="00183013" w:rsidRPr="00F64747" w:rsidRDefault="00183013">
      <w:pPr>
        <w:pStyle w:val="Corpodetexto"/>
        <w:rPr>
          <w:rFonts w:ascii="Arial" w:hAnsi="Arial" w:cs="Arial"/>
          <w:sz w:val="20"/>
        </w:rPr>
      </w:pPr>
    </w:p>
    <w:p w14:paraId="4441F984" w14:textId="77777777" w:rsidR="00183013" w:rsidRPr="00F64747" w:rsidRDefault="00183013">
      <w:pPr>
        <w:pStyle w:val="Corpodetexto"/>
        <w:rPr>
          <w:rFonts w:ascii="Arial" w:hAnsi="Arial" w:cs="Arial"/>
          <w:sz w:val="20"/>
        </w:rPr>
      </w:pPr>
    </w:p>
    <w:p w14:paraId="320E1213" w14:textId="77777777" w:rsidR="00183013" w:rsidRPr="00F64747" w:rsidRDefault="00183013">
      <w:pPr>
        <w:pStyle w:val="Corpodetexto"/>
        <w:rPr>
          <w:rFonts w:ascii="Arial" w:hAnsi="Arial" w:cs="Arial"/>
          <w:sz w:val="20"/>
        </w:rPr>
      </w:pPr>
    </w:p>
    <w:p w14:paraId="60D82390" w14:textId="77777777" w:rsidR="00183013" w:rsidRPr="00F64747" w:rsidRDefault="00183013">
      <w:pPr>
        <w:pStyle w:val="Corpodetexto"/>
        <w:rPr>
          <w:rFonts w:ascii="Arial" w:hAnsi="Arial" w:cs="Arial"/>
          <w:sz w:val="20"/>
        </w:rPr>
      </w:pPr>
    </w:p>
    <w:p w14:paraId="5ED94226" w14:textId="77777777" w:rsidR="00183013" w:rsidRDefault="00183013">
      <w:pPr>
        <w:pStyle w:val="Corpodetexto"/>
        <w:rPr>
          <w:rFonts w:ascii="Arial" w:hAnsi="Arial" w:cs="Arial"/>
          <w:sz w:val="20"/>
        </w:rPr>
      </w:pPr>
    </w:p>
    <w:p w14:paraId="33BD740D" w14:textId="77777777" w:rsidR="00874C5E" w:rsidRDefault="00874C5E">
      <w:pPr>
        <w:pStyle w:val="Corpodetexto"/>
        <w:rPr>
          <w:rFonts w:ascii="Arial" w:hAnsi="Arial" w:cs="Arial"/>
          <w:sz w:val="20"/>
        </w:rPr>
      </w:pPr>
    </w:p>
    <w:p w14:paraId="29B072B2" w14:textId="77777777" w:rsidR="00874C5E" w:rsidRDefault="00874C5E">
      <w:pPr>
        <w:pStyle w:val="Corpodetexto"/>
        <w:rPr>
          <w:rFonts w:ascii="Arial" w:hAnsi="Arial" w:cs="Arial"/>
          <w:sz w:val="20"/>
        </w:rPr>
      </w:pPr>
    </w:p>
    <w:p w14:paraId="6321E166" w14:textId="77777777" w:rsidR="00874C5E" w:rsidRDefault="00874C5E">
      <w:pPr>
        <w:pStyle w:val="Corpodetexto"/>
        <w:rPr>
          <w:rFonts w:ascii="Arial" w:hAnsi="Arial" w:cs="Arial"/>
          <w:sz w:val="20"/>
        </w:rPr>
      </w:pPr>
    </w:p>
    <w:p w14:paraId="594124D4" w14:textId="77777777" w:rsidR="00874C5E" w:rsidRDefault="00874C5E">
      <w:pPr>
        <w:pStyle w:val="Corpodetexto"/>
        <w:rPr>
          <w:rFonts w:ascii="Arial" w:hAnsi="Arial" w:cs="Arial"/>
          <w:sz w:val="20"/>
        </w:rPr>
      </w:pPr>
    </w:p>
    <w:p w14:paraId="224E04B2" w14:textId="77777777" w:rsidR="00874C5E" w:rsidRDefault="00874C5E">
      <w:pPr>
        <w:pStyle w:val="Corpodetexto"/>
        <w:rPr>
          <w:rFonts w:ascii="Arial" w:hAnsi="Arial" w:cs="Arial"/>
          <w:sz w:val="20"/>
        </w:rPr>
      </w:pPr>
    </w:p>
    <w:p w14:paraId="2EB85A6B" w14:textId="77777777" w:rsidR="00874C5E" w:rsidRDefault="00874C5E">
      <w:pPr>
        <w:pStyle w:val="Corpodetexto"/>
        <w:rPr>
          <w:rFonts w:ascii="Arial" w:hAnsi="Arial" w:cs="Arial"/>
          <w:sz w:val="20"/>
        </w:rPr>
      </w:pPr>
    </w:p>
    <w:p w14:paraId="2CFE4051" w14:textId="77777777" w:rsidR="00874C5E" w:rsidRPr="00F64747" w:rsidRDefault="00874C5E">
      <w:pPr>
        <w:pStyle w:val="Corpodetexto"/>
        <w:rPr>
          <w:rFonts w:ascii="Arial" w:hAnsi="Arial" w:cs="Arial"/>
          <w:sz w:val="20"/>
        </w:rPr>
      </w:pPr>
    </w:p>
    <w:p w14:paraId="4FCB88CA" w14:textId="77777777" w:rsidR="00183013" w:rsidRPr="00F64747" w:rsidRDefault="00183013">
      <w:pPr>
        <w:pStyle w:val="Corpodetexto"/>
        <w:rPr>
          <w:rFonts w:ascii="Arial" w:hAnsi="Arial" w:cs="Arial"/>
          <w:sz w:val="20"/>
        </w:rPr>
      </w:pPr>
    </w:p>
    <w:p w14:paraId="4E4B972E" w14:textId="77777777" w:rsidR="00183013" w:rsidRPr="00F64747" w:rsidRDefault="00711982">
      <w:pPr>
        <w:pStyle w:val="Corpodetexto"/>
        <w:spacing w:before="16"/>
        <w:rPr>
          <w:rFonts w:ascii="Arial" w:hAnsi="Arial" w:cs="Arial"/>
          <w:sz w:val="20"/>
        </w:rPr>
      </w:pPr>
      <w:r w:rsidRPr="00F64747">
        <w:rPr>
          <w:rFonts w:ascii="Arial" w:hAnsi="Arial" w:cs="Arial"/>
          <w:noProof/>
          <w:sz w:val="20"/>
        </w:rPr>
        <mc:AlternateContent>
          <mc:Choice Requires="wps">
            <w:drawing>
              <wp:anchor distT="0" distB="0" distL="0" distR="0" simplePos="0" relativeHeight="487587840" behindDoc="1" locked="0" layoutInCell="1" allowOverlap="1" wp14:anchorId="013D2A0A" wp14:editId="22827E2D">
                <wp:simplePos x="0" y="0"/>
                <wp:positionH relativeFrom="page">
                  <wp:posOffset>1718945</wp:posOffset>
                </wp:positionH>
                <wp:positionV relativeFrom="paragraph">
                  <wp:posOffset>171443</wp:posOffset>
                </wp:positionV>
                <wp:extent cx="4114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9B0563" id="Graphic 3" o:spid="_x0000_s1026" style="position:absolute;margin-left:135.35pt;margin-top:13.5pt;width:32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" path="m,l4114800,e" filled="f" strokeweight=".17183mm">
                <v:path arrowok="t"/>
                <w10:wrap type="topAndBottom" anchorx="page"/>
              </v:shape>
            </w:pict>
          </mc:Fallback>
        </mc:AlternateContent>
      </w:r>
    </w:p>
    <w:p w14:paraId="44F3ABD5" w14:textId="06F79FC0" w:rsidR="00183013" w:rsidRPr="00F64747" w:rsidRDefault="00711982">
      <w:pPr>
        <w:pStyle w:val="Corpodetexto"/>
        <w:tabs>
          <w:tab w:val="left" w:pos="7129"/>
        </w:tabs>
        <w:ind w:right="559"/>
        <w:jc w:val="center"/>
        <w:rPr>
          <w:rFonts w:ascii="Arial" w:hAnsi="Arial" w:cs="Arial"/>
        </w:rPr>
      </w:pPr>
      <w:r w:rsidRPr="00F64747">
        <w:rPr>
          <w:rFonts w:ascii="Arial" w:hAnsi="Arial" w:cs="Arial"/>
        </w:rPr>
        <w:t>Orientador</w:t>
      </w:r>
      <w:r w:rsidRPr="00F64747">
        <w:rPr>
          <w:rFonts w:ascii="Arial" w:hAnsi="Arial" w:cs="Arial"/>
          <w:spacing w:val="-5"/>
        </w:rPr>
        <w:t xml:space="preserve"> </w:t>
      </w:r>
      <w:r w:rsidRPr="00F64747">
        <w:rPr>
          <w:rFonts w:ascii="Arial" w:hAnsi="Arial" w:cs="Arial"/>
        </w:rPr>
        <w:t>(a):</w:t>
      </w:r>
      <w:r w:rsidRPr="00F64747">
        <w:rPr>
          <w:rFonts w:ascii="Arial" w:hAnsi="Arial" w:cs="Arial"/>
          <w:spacing w:val="-1"/>
        </w:rPr>
        <w:t xml:space="preserve"> </w:t>
      </w:r>
      <w:r w:rsidRPr="00F64747">
        <w:rPr>
          <w:rFonts w:ascii="Arial" w:hAnsi="Arial" w:cs="Arial"/>
        </w:rPr>
        <w:t>Prof.</w:t>
      </w:r>
      <w:r w:rsidRPr="00F64747">
        <w:rPr>
          <w:rFonts w:ascii="Arial" w:hAnsi="Arial" w:cs="Arial"/>
          <w:spacing w:val="-2"/>
        </w:rPr>
        <w:t xml:space="preserve"> </w:t>
      </w:r>
      <w:r w:rsidRPr="00F64747">
        <w:rPr>
          <w:rFonts w:ascii="Arial" w:hAnsi="Arial" w:cs="Arial"/>
        </w:rPr>
        <w:t xml:space="preserve">(a): </w:t>
      </w:r>
      <w:r w:rsidR="008D7A7D">
        <w:rPr>
          <w:rFonts w:ascii="Arial" w:hAnsi="Arial" w:cs="Arial"/>
        </w:rPr>
        <w:t>Dr</w:t>
      </w:r>
      <w:r w:rsidR="008D7A7D" w:rsidRPr="008D7A7D">
        <w:rPr>
          <w:rFonts w:ascii="Arial" w:hAnsi="Arial" w:cs="Arial"/>
        </w:rPr>
        <w:t>ª</w:t>
      </w:r>
      <w:r w:rsidR="008D7A7D">
        <w:rPr>
          <w:rFonts w:ascii="Arial" w:hAnsi="Arial" w:cs="Arial"/>
        </w:rPr>
        <w:t xml:space="preserve">. </w:t>
      </w:r>
      <w:r w:rsidRPr="00F64747">
        <w:rPr>
          <w:rFonts w:ascii="Arial" w:hAnsi="Arial" w:cs="Arial"/>
        </w:rPr>
        <w:tab/>
      </w:r>
      <w:r w:rsidRPr="00F64747">
        <w:rPr>
          <w:rFonts w:ascii="Arial" w:hAnsi="Arial" w:cs="Arial"/>
          <w:spacing w:val="-4"/>
        </w:rPr>
        <w:t>Nota</w:t>
      </w:r>
    </w:p>
    <w:p w14:paraId="5313E857" w14:textId="77777777" w:rsidR="00183013" w:rsidRPr="00F64747" w:rsidRDefault="00183013">
      <w:pPr>
        <w:pStyle w:val="Corpodetexto"/>
        <w:rPr>
          <w:rFonts w:ascii="Arial" w:hAnsi="Arial" w:cs="Arial"/>
          <w:sz w:val="20"/>
        </w:rPr>
      </w:pPr>
    </w:p>
    <w:p w14:paraId="3DC522E7" w14:textId="77777777" w:rsidR="00183013" w:rsidRPr="00F64747" w:rsidRDefault="00183013">
      <w:pPr>
        <w:pStyle w:val="Corpodetexto"/>
        <w:rPr>
          <w:rFonts w:ascii="Arial" w:hAnsi="Arial" w:cs="Arial"/>
          <w:sz w:val="20"/>
        </w:rPr>
      </w:pPr>
    </w:p>
    <w:p w14:paraId="4ED8D4D4" w14:textId="77777777" w:rsidR="00183013" w:rsidRPr="00F64747" w:rsidRDefault="00183013">
      <w:pPr>
        <w:pStyle w:val="Corpodetexto"/>
        <w:rPr>
          <w:rFonts w:ascii="Arial" w:hAnsi="Arial" w:cs="Arial"/>
          <w:sz w:val="20"/>
        </w:rPr>
      </w:pPr>
    </w:p>
    <w:p w14:paraId="6F69ABD8" w14:textId="77777777" w:rsidR="00183013" w:rsidRDefault="00183013">
      <w:pPr>
        <w:pStyle w:val="Corpodetexto"/>
        <w:rPr>
          <w:rFonts w:ascii="Arial" w:hAnsi="Arial" w:cs="Arial"/>
          <w:sz w:val="20"/>
        </w:rPr>
      </w:pPr>
    </w:p>
    <w:p w14:paraId="70293BED" w14:textId="77777777" w:rsidR="00874C5E" w:rsidRDefault="00874C5E">
      <w:pPr>
        <w:pStyle w:val="Corpodetexto"/>
        <w:rPr>
          <w:rFonts w:ascii="Arial" w:hAnsi="Arial" w:cs="Arial"/>
          <w:sz w:val="20"/>
        </w:rPr>
      </w:pPr>
    </w:p>
    <w:p w14:paraId="59FF7F42" w14:textId="77777777" w:rsidR="00874C5E" w:rsidRDefault="00874C5E">
      <w:pPr>
        <w:pStyle w:val="Corpodetexto"/>
        <w:rPr>
          <w:rFonts w:ascii="Arial" w:hAnsi="Arial" w:cs="Arial"/>
          <w:sz w:val="20"/>
        </w:rPr>
      </w:pPr>
    </w:p>
    <w:p w14:paraId="61279D93" w14:textId="77777777" w:rsidR="00874C5E" w:rsidRDefault="00874C5E">
      <w:pPr>
        <w:pStyle w:val="Corpodetexto"/>
        <w:rPr>
          <w:rFonts w:ascii="Arial" w:hAnsi="Arial" w:cs="Arial"/>
          <w:sz w:val="20"/>
        </w:rPr>
      </w:pPr>
    </w:p>
    <w:p w14:paraId="5081034B" w14:textId="77777777" w:rsidR="00874C5E" w:rsidRPr="00F64747" w:rsidRDefault="00874C5E">
      <w:pPr>
        <w:pStyle w:val="Corpodetexto"/>
        <w:rPr>
          <w:rFonts w:ascii="Arial" w:hAnsi="Arial" w:cs="Arial"/>
          <w:sz w:val="20"/>
        </w:rPr>
      </w:pPr>
    </w:p>
    <w:p w14:paraId="43F26DB6" w14:textId="77777777" w:rsidR="00183013" w:rsidRPr="00F64747" w:rsidRDefault="00183013">
      <w:pPr>
        <w:pStyle w:val="Corpodetexto"/>
        <w:rPr>
          <w:rFonts w:ascii="Arial" w:hAnsi="Arial" w:cs="Arial"/>
          <w:sz w:val="20"/>
        </w:rPr>
      </w:pPr>
    </w:p>
    <w:p w14:paraId="4667BCDA" w14:textId="77777777" w:rsidR="00183013" w:rsidRPr="00F64747" w:rsidRDefault="00183013">
      <w:pPr>
        <w:pStyle w:val="Corpodetexto"/>
        <w:rPr>
          <w:rFonts w:ascii="Arial" w:hAnsi="Arial" w:cs="Arial"/>
          <w:sz w:val="20"/>
        </w:rPr>
      </w:pPr>
    </w:p>
    <w:p w14:paraId="14C4D9F4" w14:textId="77777777" w:rsidR="00183013" w:rsidRPr="00F64747" w:rsidRDefault="00711982">
      <w:pPr>
        <w:pStyle w:val="Corpodetexto"/>
        <w:spacing w:before="14"/>
        <w:rPr>
          <w:rFonts w:ascii="Arial" w:hAnsi="Arial" w:cs="Arial"/>
          <w:sz w:val="20"/>
        </w:rPr>
      </w:pPr>
      <w:r w:rsidRPr="00F64747">
        <w:rPr>
          <w:rFonts w:ascii="Arial" w:hAnsi="Arial" w:cs="Arial"/>
          <w:noProof/>
          <w:sz w:val="20"/>
        </w:rPr>
        <mc:AlternateContent>
          <mc:Choice Requires="wps">
            <w:drawing>
              <wp:anchor distT="0" distB="0" distL="0" distR="0" simplePos="0" relativeHeight="487588352" behindDoc="1" locked="0" layoutInCell="1" allowOverlap="1" wp14:anchorId="032F5533" wp14:editId="49E44421">
                <wp:simplePos x="0" y="0"/>
                <wp:positionH relativeFrom="page">
                  <wp:posOffset>1718945</wp:posOffset>
                </wp:positionH>
                <wp:positionV relativeFrom="paragraph">
                  <wp:posOffset>170351</wp:posOffset>
                </wp:positionV>
                <wp:extent cx="4114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C84103" id="Graphic 4" o:spid="_x0000_s1026" style="position:absolute;margin-left:135.35pt;margin-top:13.4pt;width:32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" path="m,l4114800,e" filled="f" strokeweight=".17183mm">
                <v:path arrowok="t"/>
                <w10:wrap type="topAndBottom" anchorx="page"/>
              </v:shape>
            </w:pict>
          </mc:Fallback>
        </mc:AlternateContent>
      </w:r>
    </w:p>
    <w:p w14:paraId="5EEA288D" w14:textId="77777777" w:rsidR="00183013" w:rsidRPr="00F64747" w:rsidRDefault="00711982">
      <w:pPr>
        <w:pStyle w:val="Corpodetexto"/>
        <w:tabs>
          <w:tab w:val="left" w:pos="7381"/>
        </w:tabs>
        <w:ind w:right="561"/>
        <w:jc w:val="center"/>
        <w:rPr>
          <w:rFonts w:ascii="Arial" w:hAnsi="Arial" w:cs="Arial"/>
        </w:rPr>
      </w:pPr>
      <w:r w:rsidRPr="00F64747">
        <w:rPr>
          <w:rFonts w:ascii="Arial" w:hAnsi="Arial" w:cs="Arial"/>
        </w:rPr>
        <w:t>Examinador</w:t>
      </w:r>
      <w:r w:rsidRPr="00F64747">
        <w:rPr>
          <w:rFonts w:ascii="Arial" w:hAnsi="Arial" w:cs="Arial"/>
          <w:spacing w:val="-6"/>
        </w:rPr>
        <w:t xml:space="preserve"> </w:t>
      </w:r>
      <w:r w:rsidRPr="00F64747">
        <w:rPr>
          <w:rFonts w:ascii="Arial" w:hAnsi="Arial" w:cs="Arial"/>
        </w:rPr>
        <w:t>(a)</w:t>
      </w:r>
      <w:r w:rsidRPr="00F64747">
        <w:rPr>
          <w:rFonts w:ascii="Arial" w:hAnsi="Arial" w:cs="Arial"/>
          <w:spacing w:val="-1"/>
        </w:rPr>
        <w:t xml:space="preserve"> </w:t>
      </w:r>
      <w:r w:rsidRPr="00F64747">
        <w:rPr>
          <w:rFonts w:ascii="Arial" w:hAnsi="Arial" w:cs="Arial"/>
        </w:rPr>
        <w:t>Convidado</w:t>
      </w:r>
      <w:r w:rsidRPr="00F64747">
        <w:rPr>
          <w:rFonts w:ascii="Arial" w:hAnsi="Arial" w:cs="Arial"/>
          <w:spacing w:val="-2"/>
        </w:rPr>
        <w:t xml:space="preserve"> </w:t>
      </w:r>
      <w:r w:rsidRPr="00F64747">
        <w:rPr>
          <w:rFonts w:ascii="Arial" w:hAnsi="Arial" w:cs="Arial"/>
        </w:rPr>
        <w:t>(a):</w:t>
      </w:r>
      <w:r w:rsidRPr="00F64747">
        <w:rPr>
          <w:rFonts w:ascii="Arial" w:hAnsi="Arial" w:cs="Arial"/>
          <w:spacing w:val="-4"/>
        </w:rPr>
        <w:t xml:space="preserve"> </w:t>
      </w:r>
      <w:r w:rsidRPr="00F64747">
        <w:rPr>
          <w:rFonts w:ascii="Arial" w:hAnsi="Arial" w:cs="Arial"/>
        </w:rPr>
        <w:t>Prof. (a):</w:t>
      </w:r>
      <w:r w:rsidRPr="00F64747">
        <w:rPr>
          <w:rFonts w:ascii="Arial" w:hAnsi="Arial" w:cs="Arial"/>
          <w:spacing w:val="-1"/>
        </w:rPr>
        <w:t xml:space="preserve"> </w:t>
      </w:r>
      <w:r w:rsidRPr="00F64747">
        <w:rPr>
          <w:rFonts w:ascii="Arial" w:hAnsi="Arial" w:cs="Arial"/>
        </w:rPr>
        <w:t>Titulação</w:t>
      </w:r>
      <w:r w:rsidRPr="00F64747">
        <w:rPr>
          <w:rFonts w:ascii="Arial" w:hAnsi="Arial" w:cs="Arial"/>
          <w:spacing w:val="-1"/>
        </w:rPr>
        <w:t xml:space="preserve"> </w:t>
      </w:r>
      <w:r w:rsidRPr="00F64747">
        <w:rPr>
          <w:rFonts w:ascii="Arial" w:hAnsi="Arial" w:cs="Arial"/>
        </w:rPr>
        <w:t>e</w:t>
      </w:r>
      <w:r w:rsidRPr="00F64747">
        <w:rPr>
          <w:rFonts w:ascii="Arial" w:hAnsi="Arial" w:cs="Arial"/>
          <w:spacing w:val="-5"/>
        </w:rPr>
        <w:t xml:space="preserve"> </w:t>
      </w:r>
      <w:r w:rsidRPr="00F64747">
        <w:rPr>
          <w:rFonts w:ascii="Arial" w:hAnsi="Arial" w:cs="Arial"/>
        </w:rPr>
        <w:t>Nome</w:t>
      </w:r>
      <w:r w:rsidRPr="00F64747">
        <w:rPr>
          <w:rFonts w:ascii="Arial" w:hAnsi="Arial" w:cs="Arial"/>
          <w:spacing w:val="-2"/>
        </w:rPr>
        <w:t xml:space="preserve"> Completo</w:t>
      </w:r>
      <w:r w:rsidRPr="00F64747">
        <w:rPr>
          <w:rFonts w:ascii="Arial" w:hAnsi="Arial" w:cs="Arial"/>
        </w:rPr>
        <w:tab/>
      </w:r>
      <w:r w:rsidRPr="00F64747">
        <w:rPr>
          <w:rFonts w:ascii="Arial" w:hAnsi="Arial" w:cs="Arial"/>
          <w:spacing w:val="-4"/>
        </w:rPr>
        <w:t>Nota</w:t>
      </w:r>
    </w:p>
    <w:p w14:paraId="43F0F096" w14:textId="77777777" w:rsidR="00183013" w:rsidRDefault="00183013">
      <w:pPr>
        <w:pStyle w:val="Corpodetexto"/>
        <w:jc w:val="center"/>
        <w:rPr>
          <w:rFonts w:ascii="Arial" w:hAnsi="Arial" w:cs="Arial"/>
        </w:rPr>
      </w:pPr>
    </w:p>
    <w:p w14:paraId="7BEF2323" w14:textId="77777777" w:rsidR="00B63260" w:rsidRDefault="00B63260">
      <w:pPr>
        <w:pStyle w:val="Corpodetexto"/>
        <w:jc w:val="center"/>
        <w:rPr>
          <w:rFonts w:ascii="Arial" w:hAnsi="Arial" w:cs="Arial"/>
        </w:rPr>
      </w:pPr>
    </w:p>
    <w:p w14:paraId="1EF4463E" w14:textId="77777777" w:rsidR="00B63260" w:rsidRDefault="00B63260">
      <w:pPr>
        <w:pStyle w:val="Corpodetexto"/>
        <w:jc w:val="center"/>
        <w:rPr>
          <w:rFonts w:ascii="Arial" w:hAnsi="Arial" w:cs="Arial"/>
        </w:rPr>
      </w:pPr>
    </w:p>
    <w:p w14:paraId="14E9712B" w14:textId="77777777" w:rsidR="00B63260" w:rsidRDefault="00B63260">
      <w:pPr>
        <w:pStyle w:val="Corpodetexto"/>
        <w:jc w:val="center"/>
        <w:rPr>
          <w:rFonts w:ascii="Arial" w:hAnsi="Arial" w:cs="Arial"/>
        </w:rPr>
      </w:pPr>
    </w:p>
    <w:p w14:paraId="5A95E220" w14:textId="77777777" w:rsidR="00B63260" w:rsidRDefault="00B63260">
      <w:pPr>
        <w:pStyle w:val="Corpodetexto"/>
        <w:jc w:val="center"/>
        <w:rPr>
          <w:rFonts w:ascii="Arial" w:hAnsi="Arial" w:cs="Arial"/>
        </w:rPr>
      </w:pPr>
    </w:p>
    <w:p w14:paraId="7531E287" w14:textId="77777777" w:rsidR="00B63260" w:rsidRDefault="00B63260">
      <w:pPr>
        <w:pStyle w:val="Corpodetexto"/>
        <w:jc w:val="center"/>
        <w:rPr>
          <w:rFonts w:ascii="Arial" w:hAnsi="Arial" w:cs="Arial"/>
        </w:rPr>
      </w:pPr>
    </w:p>
    <w:p w14:paraId="5A28CCA1" w14:textId="77777777" w:rsidR="00B63260" w:rsidRDefault="00B63260">
      <w:pPr>
        <w:pStyle w:val="Corpodetexto"/>
        <w:jc w:val="center"/>
        <w:rPr>
          <w:rFonts w:ascii="Arial" w:hAnsi="Arial" w:cs="Arial"/>
        </w:rPr>
      </w:pPr>
    </w:p>
    <w:p w14:paraId="15AC53A0" w14:textId="77777777" w:rsidR="00B63260" w:rsidRDefault="00B63260">
      <w:pPr>
        <w:pStyle w:val="Corpodetexto"/>
        <w:jc w:val="center"/>
        <w:rPr>
          <w:rFonts w:ascii="Arial" w:hAnsi="Arial" w:cs="Arial"/>
        </w:rPr>
      </w:pPr>
    </w:p>
    <w:p w14:paraId="13A4CA87" w14:textId="77777777" w:rsidR="00B63260" w:rsidRDefault="00B63260">
      <w:pPr>
        <w:pStyle w:val="Corpodetexto"/>
        <w:jc w:val="center"/>
        <w:rPr>
          <w:rFonts w:ascii="Arial" w:hAnsi="Arial" w:cs="Arial"/>
        </w:rPr>
      </w:pPr>
    </w:p>
    <w:p w14:paraId="23718131" w14:textId="77777777" w:rsidR="00B63260" w:rsidRDefault="00B63260">
      <w:pPr>
        <w:pStyle w:val="Corpodetexto"/>
        <w:jc w:val="center"/>
        <w:rPr>
          <w:rFonts w:ascii="Arial" w:hAnsi="Arial" w:cs="Arial"/>
        </w:rPr>
      </w:pPr>
    </w:p>
    <w:p w14:paraId="4BF20B3B" w14:textId="77777777" w:rsidR="00B63260" w:rsidRDefault="00B63260">
      <w:pPr>
        <w:pStyle w:val="Corpodetexto"/>
        <w:jc w:val="center"/>
        <w:rPr>
          <w:rFonts w:ascii="Arial" w:hAnsi="Arial" w:cs="Arial"/>
        </w:rPr>
      </w:pPr>
    </w:p>
    <w:p w14:paraId="317F6994" w14:textId="77777777" w:rsidR="00B63260" w:rsidRDefault="00B63260">
      <w:pPr>
        <w:pStyle w:val="Corpodetexto"/>
        <w:jc w:val="center"/>
        <w:rPr>
          <w:rFonts w:ascii="Arial" w:hAnsi="Arial" w:cs="Arial"/>
        </w:rPr>
      </w:pPr>
    </w:p>
    <w:p w14:paraId="6CACFC8A" w14:textId="77777777" w:rsidR="00B63260" w:rsidRDefault="00B63260">
      <w:pPr>
        <w:pStyle w:val="Corpodetexto"/>
        <w:jc w:val="center"/>
        <w:rPr>
          <w:rFonts w:ascii="Arial" w:hAnsi="Arial" w:cs="Arial"/>
        </w:rPr>
      </w:pPr>
    </w:p>
    <w:p w14:paraId="43613CF6" w14:textId="77777777" w:rsidR="00B63260" w:rsidRDefault="00B63260" w:rsidP="00B63260">
      <w:pPr>
        <w:pStyle w:val="Corpodetexto"/>
        <w:jc w:val="center"/>
        <w:rPr>
          <w:rFonts w:ascii="Arial" w:hAnsi="Arial" w:cs="Arial"/>
          <w:b/>
          <w:bCs/>
        </w:rPr>
      </w:pPr>
    </w:p>
    <w:p w14:paraId="046C7054" w14:textId="77777777" w:rsidR="00B63260" w:rsidRDefault="00B63260" w:rsidP="00B63260">
      <w:pPr>
        <w:pStyle w:val="Corpodetexto"/>
        <w:jc w:val="center"/>
        <w:rPr>
          <w:rFonts w:ascii="Arial" w:hAnsi="Arial" w:cs="Arial"/>
          <w:b/>
          <w:bCs/>
        </w:rPr>
      </w:pPr>
      <w:r>
        <w:rPr>
          <w:rFonts w:ascii="Arial" w:hAnsi="Arial" w:cs="Arial"/>
          <w:b/>
          <w:bCs/>
        </w:rPr>
        <w:t>SUMÁRIO</w:t>
      </w:r>
    </w:p>
    <w:p w14:paraId="4F1DFA84" w14:textId="77777777" w:rsidR="00B63260" w:rsidRDefault="00B63260" w:rsidP="00B63260">
      <w:pPr>
        <w:pStyle w:val="Corpodetexto"/>
        <w:jc w:val="center"/>
        <w:rPr>
          <w:rFonts w:ascii="Arial" w:hAnsi="Arial" w:cs="Arial"/>
          <w:b/>
          <w:bCs/>
        </w:rPr>
      </w:pPr>
    </w:p>
    <w:sdt>
      <w:sdtPr>
        <w:rPr>
          <w:rFonts w:ascii="Times New Roman" w:eastAsia="Times New Roman" w:hAnsi="Times New Roman" w:cs="Times New Roman"/>
          <w:color w:val="auto"/>
          <w:sz w:val="22"/>
          <w:szCs w:val="22"/>
          <w:lang w:val="pt-PT" w:eastAsia="en-US"/>
        </w:rPr>
        <w:id w:val="1374191905"/>
        <w:docPartObj>
          <w:docPartGallery w:val="Table of Contents"/>
          <w:docPartUnique/>
        </w:docPartObj>
      </w:sdtPr>
      <w:sdtEndPr>
        <w:rPr>
          <w:b/>
          <w:bCs/>
        </w:rPr>
      </w:sdtEndPr>
      <w:sdtContent>
        <w:p w14:paraId="4C20760A" w14:textId="77777777" w:rsidR="00B63260" w:rsidRPr="00062821" w:rsidRDefault="00B63260" w:rsidP="00B63260">
          <w:pPr>
            <w:pStyle w:val="CabealhodoSumrio"/>
          </w:pPr>
          <w:r>
            <w:fldChar w:fldCharType="begin"/>
          </w:r>
          <w:r>
            <w:instrText xml:space="preserve"> TOC \o "1-3" \h \z \u </w:instrText>
          </w:r>
          <w:r>
            <w:fldChar w:fldCharType="separate"/>
          </w:r>
          <w:hyperlink w:anchor="_Toc227148704" w:history="1"/>
        </w:p>
        <w:p w14:paraId="145D408B" w14:textId="77777777" w:rsidR="00B63260" w:rsidRPr="00062821" w:rsidRDefault="00B63260" w:rsidP="00B63260">
          <w:pPr>
            <w:pStyle w:val="Sumrio1"/>
            <w:rPr>
              <w:rFonts w:eastAsiaTheme="minorEastAsia"/>
              <w:kern w:val="2"/>
              <w:lang w:val="pt-BR" w:eastAsia="pt-BR"/>
              <w14:ligatures w14:val="standardContextual"/>
            </w:rPr>
          </w:pPr>
          <w:hyperlink w:anchor="_Toc227148709" w:history="1">
            <w:r w:rsidRPr="00062821">
              <w:rPr>
                <w:rStyle w:val="Hyperlink"/>
                <w:b/>
                <w:bCs/>
              </w:rPr>
              <w:t>INTRODUÇÃO</w:t>
            </w:r>
          </w:hyperlink>
        </w:p>
        <w:p w14:paraId="5881BEFB" w14:textId="77777777" w:rsidR="00B63260" w:rsidRPr="00062821" w:rsidRDefault="00B63260" w:rsidP="00B63260">
          <w:pPr>
            <w:pStyle w:val="Sumrio2"/>
            <w:tabs>
              <w:tab w:val="left" w:pos="660"/>
              <w:tab w:val="right" w:leader="dot" w:pos="9055"/>
            </w:tabs>
            <w:rPr>
              <w:rStyle w:val="Hyperlink"/>
              <w:rFonts w:ascii="Arial" w:hAnsi="Arial" w:cs="Arial"/>
              <w:noProof/>
              <w:sz w:val="24"/>
              <w:szCs w:val="24"/>
            </w:rPr>
          </w:pPr>
          <w:hyperlink w:anchor="_Toc227148710" w:history="1">
            <w:r w:rsidRPr="00062821">
              <w:rPr>
                <w:rStyle w:val="Hyperlink"/>
                <w:rFonts w:ascii="Arial" w:hAnsi="Arial" w:cs="Arial"/>
                <w:noProof/>
                <w:sz w:val="24"/>
                <w:szCs w:val="24"/>
              </w:rPr>
              <w:t>1</w:t>
            </w:r>
            <w:r w:rsidRPr="00062821">
              <w:rPr>
                <w:rFonts w:ascii="Arial" w:eastAsiaTheme="minorEastAsia" w:hAnsi="Arial" w:cs="Arial"/>
                <w:noProof/>
                <w:kern w:val="2"/>
                <w:sz w:val="24"/>
                <w:szCs w:val="24"/>
                <w:lang w:val="pt-BR" w:eastAsia="pt-BR"/>
                <w14:ligatures w14:val="standardContextual"/>
              </w:rPr>
              <w:tab/>
            </w:r>
            <w:r w:rsidRPr="00062821">
              <w:rPr>
                <w:rStyle w:val="Hyperlink"/>
                <w:rFonts w:ascii="Arial" w:hAnsi="Arial" w:cs="Arial"/>
                <w:b/>
                <w:bCs/>
                <w:noProof/>
                <w:sz w:val="24"/>
                <w:szCs w:val="24"/>
              </w:rPr>
              <w:t>O CONFLITO ENTRE A LIBERDADE DE INFORMAÇÃO E O DEVIDO PROCESSO LEGAL</w:t>
            </w:r>
            <w:r w:rsidRPr="00062821">
              <w:rPr>
                <w:rFonts w:ascii="Arial" w:hAnsi="Arial" w:cs="Arial"/>
                <w:noProof/>
                <w:webHidden/>
                <w:sz w:val="24"/>
                <w:szCs w:val="24"/>
              </w:rPr>
              <w:tab/>
            </w:r>
            <w:r w:rsidRPr="00062821">
              <w:rPr>
                <w:rFonts w:ascii="Arial" w:hAnsi="Arial" w:cs="Arial"/>
                <w:noProof/>
                <w:webHidden/>
                <w:sz w:val="24"/>
                <w:szCs w:val="24"/>
              </w:rPr>
              <w:fldChar w:fldCharType="begin"/>
            </w:r>
            <w:r w:rsidRPr="00062821">
              <w:rPr>
                <w:rFonts w:ascii="Arial" w:hAnsi="Arial" w:cs="Arial"/>
                <w:noProof/>
                <w:webHidden/>
                <w:sz w:val="24"/>
                <w:szCs w:val="24"/>
              </w:rPr>
              <w:instrText xml:space="preserve"> PAGEREF _Toc227148710 \h </w:instrText>
            </w:r>
            <w:r w:rsidRPr="00062821">
              <w:rPr>
                <w:rFonts w:ascii="Arial" w:hAnsi="Arial" w:cs="Arial"/>
                <w:noProof/>
                <w:webHidden/>
                <w:sz w:val="24"/>
                <w:szCs w:val="24"/>
              </w:rPr>
            </w:r>
            <w:r w:rsidRPr="00062821">
              <w:rPr>
                <w:rFonts w:ascii="Arial" w:hAnsi="Arial" w:cs="Arial"/>
                <w:noProof/>
                <w:webHidden/>
                <w:sz w:val="24"/>
                <w:szCs w:val="24"/>
              </w:rPr>
              <w:fldChar w:fldCharType="separate"/>
            </w:r>
            <w:r w:rsidRPr="00062821">
              <w:rPr>
                <w:rFonts w:ascii="Arial" w:hAnsi="Arial" w:cs="Arial"/>
                <w:noProof/>
                <w:webHidden/>
                <w:sz w:val="24"/>
                <w:szCs w:val="24"/>
              </w:rPr>
              <w:t>9</w:t>
            </w:r>
            <w:r w:rsidRPr="00062821">
              <w:rPr>
                <w:rFonts w:ascii="Arial" w:hAnsi="Arial" w:cs="Arial"/>
                <w:noProof/>
                <w:webHidden/>
                <w:sz w:val="24"/>
                <w:szCs w:val="24"/>
              </w:rPr>
              <w:fldChar w:fldCharType="end"/>
            </w:r>
          </w:hyperlink>
        </w:p>
        <w:p w14:paraId="04887CA7" w14:textId="77777777" w:rsidR="00B63260" w:rsidRPr="00062821" w:rsidRDefault="00B63260" w:rsidP="00B63260">
          <w:pPr>
            <w:spacing w:line="360" w:lineRule="auto"/>
            <w:rPr>
              <w:rFonts w:ascii="Arial" w:hAnsi="Arial" w:cs="Arial"/>
              <w:sz w:val="24"/>
              <w:szCs w:val="24"/>
            </w:rPr>
          </w:pPr>
          <w:r w:rsidRPr="00062821">
            <w:rPr>
              <w:rFonts w:ascii="Arial" w:eastAsiaTheme="minorEastAsia" w:hAnsi="Arial" w:cs="Arial"/>
              <w:sz w:val="24"/>
              <w:szCs w:val="24"/>
            </w:rPr>
            <w:t xml:space="preserve">1.1 A </w:t>
          </w:r>
          <w:r w:rsidRPr="00062821">
            <w:rPr>
              <w:rFonts w:ascii="Arial" w:hAnsi="Arial" w:cs="Arial"/>
              <w:sz w:val="24"/>
              <w:szCs w:val="24"/>
            </w:rPr>
            <w:t>EVOLUÇÃO DA "MÍDIA TRADICIONAL" PARA O "TRIBUNAL DA INTERNET": VELOCIDADE E VIRALIZAÇÃO</w:t>
          </w:r>
          <w:r>
            <w:rPr>
              <w:rFonts w:ascii="Arial" w:hAnsi="Arial" w:cs="Arial"/>
              <w:sz w:val="24"/>
              <w:szCs w:val="24"/>
            </w:rPr>
            <w:t>.............................................................9</w:t>
          </w:r>
        </w:p>
        <w:p w14:paraId="0322C181" w14:textId="77777777" w:rsidR="00B63260" w:rsidRPr="00062821" w:rsidRDefault="00B63260" w:rsidP="00B63260">
          <w:pPr>
            <w:spacing w:line="360" w:lineRule="auto"/>
            <w:rPr>
              <w:rFonts w:ascii="Arial" w:hAnsi="Arial" w:cs="Arial"/>
              <w:sz w:val="24"/>
              <w:szCs w:val="24"/>
              <w:lang w:val="pt-BR"/>
            </w:rPr>
          </w:pPr>
          <w:r w:rsidRPr="00062821">
            <w:rPr>
              <w:rFonts w:ascii="Arial" w:hAnsi="Arial" w:cs="Arial"/>
              <w:sz w:val="24"/>
              <w:szCs w:val="24"/>
            </w:rPr>
            <w:t xml:space="preserve">1.2 </w:t>
          </w:r>
          <w:r w:rsidRPr="00062821">
            <w:rPr>
              <w:rFonts w:ascii="Arial" w:hAnsi="Arial" w:cs="Arial"/>
              <w:sz w:val="24"/>
              <w:szCs w:val="24"/>
              <w:lang w:val="pt-BR"/>
            </w:rPr>
            <w:t>PRINCÍPIOS CONSTITUCIONAIS EM XEQUE: PRESUNÇÃO DE INOCÊNCIA E IMPARCIALIDADE DO JULGADOR</w:t>
          </w:r>
          <w:r>
            <w:rPr>
              <w:rFonts w:ascii="Arial" w:hAnsi="Arial" w:cs="Arial"/>
              <w:sz w:val="24"/>
              <w:szCs w:val="24"/>
              <w:lang w:val="pt-BR"/>
            </w:rPr>
            <w:t>.......................................................................10</w:t>
          </w:r>
        </w:p>
        <w:p w14:paraId="67661321" w14:textId="77777777" w:rsidR="00B63260" w:rsidRPr="00062821" w:rsidRDefault="00B63260" w:rsidP="00B63260">
          <w:pPr>
            <w:spacing w:line="360" w:lineRule="auto"/>
            <w:rPr>
              <w:rFonts w:ascii="Arial" w:hAnsi="Arial" w:cs="Arial"/>
              <w:sz w:val="24"/>
              <w:szCs w:val="24"/>
            </w:rPr>
          </w:pPr>
          <w:r w:rsidRPr="00062821">
            <w:rPr>
              <w:rFonts w:ascii="Arial" w:hAnsi="Arial" w:cs="Arial"/>
              <w:sz w:val="24"/>
              <w:szCs w:val="24"/>
              <w:lang w:val="pt-BR"/>
            </w:rPr>
            <w:t>1.3 O FENÔMENO DO TRIAL BY MEDIA (JULGAMENTO PELA MÍDIA) NA ERA DIGITAL</w:t>
          </w:r>
          <w:r>
            <w:rPr>
              <w:rFonts w:ascii="Arial" w:hAnsi="Arial" w:cs="Arial"/>
              <w:sz w:val="24"/>
              <w:szCs w:val="24"/>
              <w:lang w:val="pt-BR"/>
            </w:rPr>
            <w:t>.....................................................................................................................11</w:t>
          </w:r>
        </w:p>
        <w:p w14:paraId="51F8CBB4" w14:textId="77777777" w:rsidR="00B63260" w:rsidRPr="00062821" w:rsidRDefault="00B63260" w:rsidP="00B63260">
          <w:pPr>
            <w:rPr>
              <w:rFonts w:ascii="Arial" w:eastAsiaTheme="minorEastAsia" w:hAnsi="Arial" w:cs="Arial"/>
              <w:sz w:val="24"/>
              <w:szCs w:val="24"/>
              <w:lang w:val="pt-BR"/>
            </w:rPr>
          </w:pPr>
        </w:p>
        <w:p w14:paraId="50ABACC1" w14:textId="77777777" w:rsidR="00B63260" w:rsidRPr="00062821" w:rsidRDefault="00B63260" w:rsidP="00B63260">
          <w:pPr>
            <w:pStyle w:val="Sumrio2"/>
            <w:tabs>
              <w:tab w:val="left" w:pos="660"/>
              <w:tab w:val="right" w:leader="dot" w:pos="9055"/>
            </w:tabs>
            <w:spacing w:line="360" w:lineRule="auto"/>
            <w:rPr>
              <w:rStyle w:val="Hyperlink"/>
              <w:rFonts w:ascii="Arial" w:hAnsi="Arial" w:cs="Arial"/>
              <w:noProof/>
              <w:sz w:val="24"/>
              <w:szCs w:val="24"/>
            </w:rPr>
          </w:pPr>
          <w:hyperlink w:anchor="_Toc227148711" w:history="1">
            <w:r w:rsidRPr="00062821">
              <w:rPr>
                <w:rStyle w:val="Hyperlink"/>
                <w:rFonts w:ascii="Arial" w:hAnsi="Arial" w:cs="Arial"/>
                <w:noProof/>
                <w:sz w:val="24"/>
                <w:szCs w:val="24"/>
              </w:rPr>
              <w:t>2</w:t>
            </w:r>
            <w:r w:rsidRPr="00062821">
              <w:rPr>
                <w:rFonts w:ascii="Arial" w:eastAsiaTheme="minorEastAsia" w:hAnsi="Arial" w:cs="Arial"/>
                <w:noProof/>
                <w:kern w:val="2"/>
                <w:sz w:val="24"/>
                <w:szCs w:val="24"/>
                <w:lang w:val="pt-BR" w:eastAsia="pt-BR"/>
                <w14:ligatures w14:val="standardContextual"/>
              </w:rPr>
              <w:tab/>
            </w:r>
            <w:r w:rsidRPr="00062821">
              <w:rPr>
                <w:rStyle w:val="Hyperlink"/>
                <w:rFonts w:ascii="Arial" w:hAnsi="Arial" w:cs="Arial"/>
                <w:b/>
                <w:bCs/>
                <w:noProof/>
                <w:sz w:val="24"/>
                <w:szCs w:val="24"/>
              </w:rPr>
              <w:t>O FEMINICÍDIO NA ERA DAS REDES SOCIAIS</w:t>
            </w:r>
            <w:r w:rsidRPr="00062821">
              <w:rPr>
                <w:rFonts w:ascii="Arial" w:hAnsi="Arial" w:cs="Arial"/>
                <w:noProof/>
                <w:webHidden/>
                <w:sz w:val="24"/>
                <w:szCs w:val="24"/>
              </w:rPr>
              <w:tab/>
            </w:r>
            <w:r w:rsidRPr="00062821">
              <w:rPr>
                <w:rFonts w:ascii="Arial" w:hAnsi="Arial" w:cs="Arial"/>
                <w:noProof/>
                <w:webHidden/>
                <w:sz w:val="24"/>
                <w:szCs w:val="24"/>
              </w:rPr>
              <w:fldChar w:fldCharType="begin"/>
            </w:r>
            <w:r w:rsidRPr="00062821">
              <w:rPr>
                <w:rFonts w:ascii="Arial" w:hAnsi="Arial" w:cs="Arial"/>
                <w:noProof/>
                <w:webHidden/>
                <w:sz w:val="24"/>
                <w:szCs w:val="24"/>
              </w:rPr>
              <w:instrText xml:space="preserve"> PAGEREF _Toc227148711 \h </w:instrText>
            </w:r>
            <w:r w:rsidRPr="00062821">
              <w:rPr>
                <w:rFonts w:ascii="Arial" w:hAnsi="Arial" w:cs="Arial"/>
                <w:noProof/>
                <w:webHidden/>
                <w:sz w:val="24"/>
                <w:szCs w:val="24"/>
              </w:rPr>
            </w:r>
            <w:r w:rsidRPr="00062821">
              <w:rPr>
                <w:rFonts w:ascii="Arial" w:hAnsi="Arial" w:cs="Arial"/>
                <w:noProof/>
                <w:webHidden/>
                <w:sz w:val="24"/>
                <w:szCs w:val="24"/>
              </w:rPr>
              <w:fldChar w:fldCharType="separate"/>
            </w:r>
            <w:r w:rsidRPr="00062821">
              <w:rPr>
                <w:rFonts w:ascii="Arial" w:hAnsi="Arial" w:cs="Arial"/>
                <w:noProof/>
                <w:webHidden/>
                <w:sz w:val="24"/>
                <w:szCs w:val="24"/>
              </w:rPr>
              <w:t>13</w:t>
            </w:r>
            <w:r w:rsidRPr="00062821">
              <w:rPr>
                <w:rFonts w:ascii="Arial" w:hAnsi="Arial" w:cs="Arial"/>
                <w:noProof/>
                <w:webHidden/>
                <w:sz w:val="24"/>
                <w:szCs w:val="24"/>
              </w:rPr>
              <w:fldChar w:fldCharType="end"/>
            </w:r>
          </w:hyperlink>
        </w:p>
        <w:p w14:paraId="650F4552" w14:textId="77777777" w:rsidR="00B63260" w:rsidRPr="00062821" w:rsidRDefault="00B63260" w:rsidP="00B63260">
          <w:pPr>
            <w:spacing w:line="360" w:lineRule="auto"/>
            <w:rPr>
              <w:rFonts w:ascii="Arial" w:hAnsi="Arial" w:cs="Arial"/>
              <w:sz w:val="24"/>
              <w:szCs w:val="24"/>
            </w:rPr>
          </w:pPr>
          <w:r w:rsidRPr="00062821">
            <w:rPr>
              <w:rFonts w:ascii="Arial" w:eastAsiaTheme="minorEastAsia" w:hAnsi="Arial" w:cs="Arial"/>
              <w:sz w:val="24"/>
              <w:szCs w:val="24"/>
            </w:rPr>
            <w:t xml:space="preserve">2.1 </w:t>
          </w:r>
          <w:r w:rsidRPr="00062821">
            <w:rPr>
              <w:rFonts w:ascii="Arial" w:hAnsi="Arial" w:cs="Arial"/>
              <w:sz w:val="24"/>
              <w:szCs w:val="24"/>
            </w:rPr>
            <w:t>FEMINICÍDIO NO BRASIL: BREVE CONTEXTO LEGAL E SOCIAL</w:t>
          </w:r>
          <w:r>
            <w:rPr>
              <w:rFonts w:ascii="Arial" w:hAnsi="Arial" w:cs="Arial"/>
              <w:sz w:val="24"/>
              <w:szCs w:val="24"/>
            </w:rPr>
            <w:t>..................13</w:t>
          </w:r>
        </w:p>
        <w:p w14:paraId="15E3597F" w14:textId="77777777" w:rsidR="00B63260" w:rsidRPr="00062821" w:rsidRDefault="00B63260" w:rsidP="00B63260">
          <w:pPr>
            <w:spacing w:line="360" w:lineRule="auto"/>
            <w:rPr>
              <w:rFonts w:ascii="Arial" w:hAnsi="Arial" w:cs="Arial"/>
              <w:sz w:val="24"/>
              <w:szCs w:val="24"/>
            </w:rPr>
          </w:pPr>
          <w:r w:rsidRPr="00062821">
            <w:rPr>
              <w:rFonts w:ascii="Arial" w:hAnsi="Arial" w:cs="Arial"/>
              <w:sz w:val="24"/>
              <w:szCs w:val="24"/>
            </w:rPr>
            <w:t>2.2 A INTERNET COMO FERRAMENTA DE DENÚNCIA E PRESSÃO POR JUSTIÇA</w:t>
          </w:r>
          <w:r>
            <w:rPr>
              <w:rFonts w:ascii="Arial" w:hAnsi="Arial" w:cs="Arial"/>
              <w:sz w:val="24"/>
              <w:szCs w:val="24"/>
            </w:rPr>
            <w:t>....................................................................................................................15</w:t>
          </w:r>
        </w:p>
        <w:p w14:paraId="4DED1688" w14:textId="77777777" w:rsidR="00B63260" w:rsidRPr="00062821" w:rsidRDefault="00B63260" w:rsidP="00B63260">
          <w:pPr>
            <w:spacing w:line="360" w:lineRule="auto"/>
            <w:rPr>
              <w:rFonts w:ascii="Arial" w:hAnsi="Arial" w:cs="Arial"/>
              <w:sz w:val="24"/>
              <w:szCs w:val="24"/>
            </w:rPr>
          </w:pPr>
          <w:r w:rsidRPr="00062821">
            <w:rPr>
              <w:rFonts w:ascii="Arial" w:hAnsi="Arial" w:cs="Arial"/>
              <w:sz w:val="24"/>
              <w:szCs w:val="24"/>
            </w:rPr>
            <w:t>2.3 LINCHAMENTO VIRTUAL E A ANTECIPAÇÃO DA CULPA: OS RISCOS PARA A DEFESA E PARA O RÉU</w:t>
          </w:r>
          <w:r>
            <w:rPr>
              <w:rFonts w:ascii="Arial" w:hAnsi="Arial" w:cs="Arial"/>
              <w:sz w:val="24"/>
              <w:szCs w:val="24"/>
            </w:rPr>
            <w:t>.......................................................................................17</w:t>
          </w:r>
        </w:p>
        <w:p w14:paraId="1B863E7E" w14:textId="77777777" w:rsidR="00B63260" w:rsidRPr="00062821" w:rsidRDefault="00B63260" w:rsidP="00B63260">
          <w:pPr>
            <w:rPr>
              <w:rFonts w:ascii="Arial" w:eastAsiaTheme="minorEastAsia" w:hAnsi="Arial" w:cs="Arial"/>
              <w:sz w:val="24"/>
              <w:szCs w:val="24"/>
            </w:rPr>
          </w:pPr>
        </w:p>
        <w:p w14:paraId="08182E82" w14:textId="77777777" w:rsidR="00B63260" w:rsidRPr="00062821" w:rsidRDefault="00B63260" w:rsidP="00B63260">
          <w:pPr>
            <w:pStyle w:val="Sumrio2"/>
            <w:tabs>
              <w:tab w:val="left" w:pos="660"/>
              <w:tab w:val="right" w:leader="dot" w:pos="9055"/>
            </w:tabs>
            <w:spacing w:line="360" w:lineRule="auto"/>
            <w:rPr>
              <w:rStyle w:val="Hyperlink"/>
              <w:rFonts w:ascii="Arial" w:hAnsi="Arial" w:cs="Arial"/>
              <w:noProof/>
              <w:sz w:val="24"/>
              <w:szCs w:val="24"/>
            </w:rPr>
          </w:pPr>
          <w:hyperlink w:anchor="_Toc227148712" w:history="1">
            <w:r w:rsidRPr="00062821">
              <w:rPr>
                <w:rStyle w:val="Hyperlink"/>
                <w:rFonts w:ascii="Arial" w:hAnsi="Arial" w:cs="Arial"/>
                <w:noProof/>
                <w:sz w:val="24"/>
                <w:szCs w:val="24"/>
              </w:rPr>
              <w:t>3</w:t>
            </w:r>
            <w:r w:rsidRPr="00062821">
              <w:rPr>
                <w:rFonts w:ascii="Arial" w:eastAsiaTheme="minorEastAsia" w:hAnsi="Arial" w:cs="Arial"/>
                <w:noProof/>
                <w:kern w:val="2"/>
                <w:sz w:val="24"/>
                <w:szCs w:val="24"/>
                <w:lang w:val="pt-BR" w:eastAsia="pt-BR"/>
                <w14:ligatures w14:val="standardContextual"/>
              </w:rPr>
              <w:tab/>
            </w:r>
            <w:r w:rsidRPr="003242FF">
              <w:rPr>
                <w:rStyle w:val="Hyperlink"/>
                <w:rFonts w:ascii="Arial" w:hAnsi="Arial" w:cs="Arial"/>
                <w:b/>
                <w:bCs/>
                <w:noProof/>
                <w:sz w:val="24"/>
                <w:szCs w:val="24"/>
              </w:rPr>
              <w:t>ESTUDO DE CASOS: A MÍDIA COMO ESCUDO DA VÍTIMA E O RISCO DA ESPETACULARIZAÇÃO</w:t>
            </w:r>
            <w:r w:rsidRPr="00062821">
              <w:rPr>
                <w:rFonts w:ascii="Arial" w:hAnsi="Arial" w:cs="Arial"/>
                <w:noProof/>
                <w:webHidden/>
                <w:sz w:val="24"/>
                <w:szCs w:val="24"/>
              </w:rPr>
              <w:tab/>
            </w:r>
            <w:r w:rsidRPr="00062821">
              <w:rPr>
                <w:rFonts w:ascii="Arial" w:hAnsi="Arial" w:cs="Arial"/>
                <w:noProof/>
                <w:webHidden/>
                <w:sz w:val="24"/>
                <w:szCs w:val="24"/>
              </w:rPr>
              <w:fldChar w:fldCharType="begin"/>
            </w:r>
            <w:r w:rsidRPr="00062821">
              <w:rPr>
                <w:rFonts w:ascii="Arial" w:hAnsi="Arial" w:cs="Arial"/>
                <w:noProof/>
                <w:webHidden/>
                <w:sz w:val="24"/>
                <w:szCs w:val="24"/>
              </w:rPr>
              <w:instrText xml:space="preserve"> PAGEREF _Toc227148712 \h </w:instrText>
            </w:r>
            <w:r w:rsidRPr="00062821">
              <w:rPr>
                <w:rFonts w:ascii="Arial" w:hAnsi="Arial" w:cs="Arial"/>
                <w:noProof/>
                <w:webHidden/>
                <w:sz w:val="24"/>
                <w:szCs w:val="24"/>
              </w:rPr>
            </w:r>
            <w:r w:rsidRPr="00062821">
              <w:rPr>
                <w:rFonts w:ascii="Arial" w:hAnsi="Arial" w:cs="Arial"/>
                <w:noProof/>
                <w:webHidden/>
                <w:sz w:val="24"/>
                <w:szCs w:val="24"/>
              </w:rPr>
              <w:fldChar w:fldCharType="separate"/>
            </w:r>
            <w:r w:rsidRPr="00062821">
              <w:rPr>
                <w:rFonts w:ascii="Arial" w:hAnsi="Arial" w:cs="Arial"/>
                <w:noProof/>
                <w:webHidden/>
                <w:sz w:val="24"/>
                <w:szCs w:val="24"/>
              </w:rPr>
              <w:t>19</w:t>
            </w:r>
            <w:r w:rsidRPr="00062821">
              <w:rPr>
                <w:rFonts w:ascii="Arial" w:hAnsi="Arial" w:cs="Arial"/>
                <w:noProof/>
                <w:webHidden/>
                <w:sz w:val="24"/>
                <w:szCs w:val="24"/>
              </w:rPr>
              <w:fldChar w:fldCharType="end"/>
            </w:r>
          </w:hyperlink>
        </w:p>
        <w:p w14:paraId="22BCF6B0" w14:textId="77777777" w:rsidR="00B63260" w:rsidRPr="00062821" w:rsidRDefault="00B63260" w:rsidP="00B63260">
          <w:pPr>
            <w:spacing w:line="360" w:lineRule="auto"/>
            <w:rPr>
              <w:rFonts w:ascii="Arial" w:hAnsi="Arial" w:cs="Arial"/>
              <w:sz w:val="24"/>
              <w:szCs w:val="24"/>
              <w:lang w:val="pt-BR"/>
            </w:rPr>
          </w:pPr>
          <w:r w:rsidRPr="00062821">
            <w:rPr>
              <w:rFonts w:ascii="Arial" w:eastAsiaTheme="minorEastAsia" w:hAnsi="Arial" w:cs="Arial"/>
              <w:sz w:val="24"/>
              <w:szCs w:val="24"/>
            </w:rPr>
            <w:t xml:space="preserve">3.1 </w:t>
          </w:r>
          <w:r w:rsidRPr="00062821">
            <w:rPr>
              <w:rFonts w:ascii="Arial" w:hAnsi="Arial" w:cs="Arial"/>
              <w:sz w:val="24"/>
              <w:szCs w:val="24"/>
              <w:lang w:val="pt-BR"/>
            </w:rPr>
            <w:t>CASO MARIANA FERRER: A INTERNET CONTRA A REVITIMIZAÇÃO INSTITUCIONAL</w:t>
          </w:r>
          <w:r>
            <w:rPr>
              <w:rFonts w:ascii="Arial" w:hAnsi="Arial" w:cs="Arial"/>
              <w:sz w:val="24"/>
              <w:szCs w:val="24"/>
              <w:lang w:val="pt-BR"/>
            </w:rPr>
            <w:t>........................................................................................................20</w:t>
          </w:r>
        </w:p>
        <w:p w14:paraId="46508006" w14:textId="77777777" w:rsidR="00B63260" w:rsidRPr="00062821" w:rsidRDefault="00B63260" w:rsidP="00B63260">
          <w:pPr>
            <w:spacing w:line="360" w:lineRule="auto"/>
            <w:rPr>
              <w:rFonts w:ascii="Arial" w:hAnsi="Arial" w:cs="Arial"/>
              <w:sz w:val="24"/>
              <w:szCs w:val="24"/>
              <w:lang w:val="pt-BR"/>
            </w:rPr>
          </w:pPr>
          <w:r w:rsidRPr="00062821">
            <w:rPr>
              <w:rFonts w:ascii="Arial" w:hAnsi="Arial" w:cs="Arial"/>
              <w:sz w:val="24"/>
              <w:szCs w:val="24"/>
              <w:lang w:val="pt-BR"/>
            </w:rPr>
            <w:t>3.2 O CASO TATIANE SPITZNER: A PROVA EM VÍDEO E O CLAMOR PÚBLICO NO TRIBUNAL DO JÚRI</w:t>
          </w:r>
          <w:r>
            <w:rPr>
              <w:rFonts w:ascii="Arial" w:hAnsi="Arial" w:cs="Arial"/>
              <w:sz w:val="24"/>
              <w:szCs w:val="24"/>
              <w:lang w:val="pt-BR"/>
            </w:rPr>
            <w:t>............................................................................................21</w:t>
          </w:r>
        </w:p>
        <w:p w14:paraId="194C47F7" w14:textId="77777777" w:rsidR="00B63260" w:rsidRPr="00062821" w:rsidRDefault="00B63260" w:rsidP="00B63260">
          <w:pPr>
            <w:spacing w:line="360" w:lineRule="auto"/>
            <w:rPr>
              <w:rFonts w:ascii="Arial" w:hAnsi="Arial" w:cs="Arial"/>
              <w:sz w:val="24"/>
              <w:szCs w:val="24"/>
              <w:lang w:val="pt-BR"/>
            </w:rPr>
          </w:pPr>
          <w:r w:rsidRPr="00062821">
            <w:rPr>
              <w:rFonts w:ascii="Arial" w:hAnsi="Arial" w:cs="Arial"/>
              <w:sz w:val="24"/>
              <w:szCs w:val="24"/>
              <w:lang w:val="pt-BR"/>
            </w:rPr>
            <w:t>3.3 A GARANTIA DO DEVIDO PROCESSO LEGAL COMO VERDADEIRA JUSTIÇA PARA AS VÍTIMAS DE FEMINICÍDIO</w:t>
          </w:r>
          <w:r>
            <w:rPr>
              <w:rFonts w:ascii="Arial" w:hAnsi="Arial" w:cs="Arial"/>
              <w:sz w:val="24"/>
              <w:szCs w:val="24"/>
              <w:lang w:val="pt-BR"/>
            </w:rPr>
            <w:t>.......................................................................23</w:t>
          </w:r>
        </w:p>
        <w:p w14:paraId="1E7183C8" w14:textId="77777777" w:rsidR="00B63260" w:rsidRPr="00062821" w:rsidRDefault="00B63260" w:rsidP="00B63260">
          <w:pPr>
            <w:rPr>
              <w:rFonts w:ascii="Arial" w:eastAsiaTheme="minorEastAsia" w:hAnsi="Arial" w:cs="Arial"/>
              <w:sz w:val="24"/>
              <w:szCs w:val="24"/>
            </w:rPr>
          </w:pPr>
        </w:p>
        <w:p w14:paraId="03D95A37" w14:textId="77777777" w:rsidR="00B63260" w:rsidRPr="003242FF" w:rsidRDefault="00B63260" w:rsidP="00B63260">
          <w:pPr>
            <w:pStyle w:val="Sumrio1"/>
            <w:rPr>
              <w:rFonts w:eastAsiaTheme="minorEastAsia"/>
              <w:kern w:val="2"/>
              <w:lang w:val="pt-BR" w:eastAsia="pt-BR"/>
              <w14:ligatures w14:val="standardContextual"/>
            </w:rPr>
          </w:pPr>
          <w:hyperlink w:anchor="_Toc227148713" w:history="1">
            <w:r w:rsidRPr="003242FF">
              <w:rPr>
                <w:rStyle w:val="Hyperlink"/>
                <w:b/>
                <w:bCs/>
              </w:rPr>
              <w:t>CONCLUSÃO</w:t>
            </w:r>
            <w:r w:rsidRPr="003242FF">
              <w:rPr>
                <w:webHidden/>
              </w:rPr>
              <w:tab/>
            </w:r>
            <w:r w:rsidRPr="003242FF">
              <w:rPr>
                <w:webHidden/>
              </w:rPr>
              <w:fldChar w:fldCharType="begin"/>
            </w:r>
            <w:r w:rsidRPr="003242FF">
              <w:rPr>
                <w:webHidden/>
              </w:rPr>
              <w:instrText xml:space="preserve"> PAGEREF _Toc227148713 \h </w:instrText>
            </w:r>
            <w:r w:rsidRPr="003242FF">
              <w:rPr>
                <w:webHidden/>
              </w:rPr>
            </w:r>
            <w:r w:rsidRPr="003242FF">
              <w:rPr>
                <w:webHidden/>
              </w:rPr>
              <w:fldChar w:fldCharType="separate"/>
            </w:r>
            <w:r w:rsidRPr="003242FF">
              <w:rPr>
                <w:webHidden/>
              </w:rPr>
              <w:t>25</w:t>
            </w:r>
            <w:r w:rsidRPr="003242FF">
              <w:rPr>
                <w:webHidden/>
              </w:rPr>
              <w:fldChar w:fldCharType="end"/>
            </w:r>
          </w:hyperlink>
        </w:p>
        <w:p w14:paraId="44669931" w14:textId="77777777" w:rsidR="00B63260" w:rsidRDefault="00B63260" w:rsidP="00B63260">
          <w:r>
            <w:rPr>
              <w:b/>
              <w:bCs/>
            </w:rPr>
            <w:fldChar w:fldCharType="end"/>
          </w:r>
        </w:p>
      </w:sdtContent>
    </w:sdt>
    <w:p w14:paraId="2F0FC2E5" w14:textId="77777777" w:rsidR="00B63260" w:rsidRPr="00062821" w:rsidRDefault="00B63260" w:rsidP="00B63260">
      <w:pPr>
        <w:pStyle w:val="Corpodetexto"/>
        <w:jc w:val="center"/>
        <w:rPr>
          <w:rFonts w:ascii="Arial" w:hAnsi="Arial" w:cs="Arial"/>
          <w:b/>
          <w:bCs/>
          <w:lang w:val="pt-BR"/>
        </w:rPr>
      </w:pPr>
    </w:p>
    <w:p w14:paraId="0AB499B8" w14:textId="77777777" w:rsidR="00B63260" w:rsidRDefault="00B63260" w:rsidP="00B63260">
      <w:pPr>
        <w:pStyle w:val="Corpodetexto"/>
        <w:jc w:val="center"/>
        <w:rPr>
          <w:rFonts w:ascii="Arial" w:hAnsi="Arial" w:cs="Arial"/>
          <w:b/>
          <w:bCs/>
        </w:rPr>
      </w:pPr>
    </w:p>
    <w:p w14:paraId="58228AEE" w14:textId="77777777" w:rsidR="00B63260" w:rsidRPr="00F64747" w:rsidRDefault="00B63260">
      <w:pPr>
        <w:pStyle w:val="Corpodetexto"/>
        <w:jc w:val="center"/>
        <w:rPr>
          <w:rFonts w:ascii="Arial" w:hAnsi="Arial" w:cs="Arial"/>
        </w:rPr>
        <w:sectPr w:rsidR="00B63260" w:rsidRPr="00F64747">
          <w:pgSz w:w="11900" w:h="16860"/>
          <w:pgMar w:top="1240" w:right="425" w:bottom="280" w:left="992" w:header="991" w:footer="0" w:gutter="0"/>
          <w:cols w:space="720"/>
        </w:sectPr>
      </w:pPr>
    </w:p>
    <w:p w14:paraId="324D0599" w14:textId="18E4F1ED" w:rsidR="004A2D9F" w:rsidRPr="00B6268B" w:rsidRDefault="004A2D9F" w:rsidP="004A2D9F">
      <w:pPr>
        <w:pStyle w:val="Ttulo1"/>
        <w:spacing w:line="360" w:lineRule="auto"/>
        <w:ind w:right="560"/>
        <w:jc w:val="center"/>
        <w:rPr>
          <w:rFonts w:ascii="Arial" w:hAnsi="Arial" w:cs="Arial"/>
          <w:spacing w:val="-2"/>
        </w:rPr>
      </w:pPr>
      <w:bookmarkStart w:id="11" w:name="_Toc227148707"/>
      <w:r w:rsidRPr="00B6268B">
        <w:rPr>
          <w:rFonts w:ascii="Arial" w:hAnsi="Arial" w:cs="Arial"/>
          <w:spacing w:val="-2"/>
        </w:rPr>
        <w:lastRenderedPageBreak/>
        <w:t>O IMPACTO DAS REDES SOCIAIS QUANTO AOS RESULTADOS DOS</w:t>
      </w:r>
      <w:bookmarkEnd w:id="11"/>
      <w:r w:rsidRPr="00B6268B">
        <w:rPr>
          <w:rFonts w:ascii="Arial" w:hAnsi="Arial" w:cs="Arial"/>
          <w:spacing w:val="-2"/>
        </w:rPr>
        <w:t xml:space="preserve"> </w:t>
      </w:r>
    </w:p>
    <w:p w14:paraId="25BB3034" w14:textId="53D24BFF" w:rsidR="00183013" w:rsidRPr="004A2D9F" w:rsidRDefault="004A2D9F" w:rsidP="004A2D9F">
      <w:pPr>
        <w:pStyle w:val="Ttulo1"/>
        <w:spacing w:line="360" w:lineRule="auto"/>
        <w:ind w:right="560"/>
        <w:jc w:val="center"/>
        <w:rPr>
          <w:rFonts w:ascii="Arial" w:hAnsi="Arial" w:cs="Arial"/>
          <w:spacing w:val="-2"/>
        </w:rPr>
      </w:pPr>
      <w:bookmarkStart w:id="12" w:name="_Toc227148708"/>
      <w:r w:rsidRPr="00B6268B">
        <w:rPr>
          <w:rFonts w:ascii="Arial" w:hAnsi="Arial" w:cs="Arial"/>
          <w:spacing w:val="-2"/>
        </w:rPr>
        <w:t>PROCESSOS CRIMINAIS</w:t>
      </w:r>
      <w:r>
        <w:rPr>
          <w:rFonts w:ascii="Arial" w:hAnsi="Arial" w:cs="Arial"/>
          <w:spacing w:val="-2"/>
        </w:rPr>
        <w:t xml:space="preserve">: </w:t>
      </w:r>
      <w:r w:rsidRPr="00C472D4">
        <w:rPr>
          <w:rFonts w:ascii="Arial" w:hAnsi="Arial" w:cs="Arial"/>
          <w:b w:val="0"/>
          <w:bCs w:val="0"/>
          <w:spacing w:val="-2"/>
        </w:rPr>
        <w:t>UMA ANÁLISE EM ESPECIAL SOBRE OS CASOS DE FEMINICÍDIO E A INTERCORRÊNCIA DA INTERNET</w:t>
      </w:r>
      <w:bookmarkEnd w:id="12"/>
    </w:p>
    <w:p w14:paraId="0AF3CA2A" w14:textId="77777777" w:rsidR="00874C5E" w:rsidRDefault="00874C5E" w:rsidP="00874C5E">
      <w:pPr>
        <w:pStyle w:val="Corpodetexto"/>
        <w:rPr>
          <w:rFonts w:ascii="Arial" w:hAnsi="Arial" w:cs="Arial"/>
        </w:rPr>
      </w:pPr>
      <w:r>
        <w:rPr>
          <w:rFonts w:ascii="Arial" w:hAnsi="Arial" w:cs="Arial"/>
        </w:rPr>
        <w:t xml:space="preserve">                                                              </w:t>
      </w:r>
    </w:p>
    <w:p w14:paraId="2481A507" w14:textId="0708C646" w:rsidR="00183013" w:rsidRPr="00F464B3" w:rsidRDefault="00874C5E" w:rsidP="00874C5E">
      <w:pPr>
        <w:pStyle w:val="Corpodetexto"/>
        <w:rPr>
          <w:rFonts w:ascii="Arial" w:hAnsi="Arial" w:cs="Arial"/>
          <w:sz w:val="20"/>
          <w:szCs w:val="20"/>
        </w:rPr>
      </w:pPr>
      <w:r>
        <w:rPr>
          <w:rFonts w:ascii="Arial" w:hAnsi="Arial" w:cs="Arial"/>
        </w:rPr>
        <w:t xml:space="preserve">                                                                                         </w:t>
      </w:r>
      <w:r w:rsidR="00F464B3" w:rsidRPr="00F464B3">
        <w:rPr>
          <w:rFonts w:ascii="Arial" w:hAnsi="Arial" w:cs="Arial"/>
          <w:sz w:val="20"/>
          <w:szCs w:val="20"/>
        </w:rPr>
        <w:t>Ana Luiza Portelli Moreira Moraes</w:t>
      </w:r>
    </w:p>
    <w:p w14:paraId="1CA4CAA6" w14:textId="77777777" w:rsidR="00183013" w:rsidRPr="00F64747" w:rsidRDefault="00183013">
      <w:pPr>
        <w:pStyle w:val="Corpodetexto"/>
        <w:rPr>
          <w:rFonts w:ascii="Arial" w:hAnsi="Arial" w:cs="Arial"/>
        </w:rPr>
      </w:pPr>
    </w:p>
    <w:p w14:paraId="78FEF241" w14:textId="77777777" w:rsidR="00183013" w:rsidRPr="00F64747" w:rsidRDefault="00183013">
      <w:pPr>
        <w:pStyle w:val="Corpodetexto"/>
        <w:rPr>
          <w:rFonts w:ascii="Arial" w:hAnsi="Arial" w:cs="Arial"/>
        </w:rPr>
      </w:pPr>
    </w:p>
    <w:p w14:paraId="67A0B168" w14:textId="77777777" w:rsidR="00183013" w:rsidRPr="00F64747" w:rsidRDefault="00183013">
      <w:pPr>
        <w:pStyle w:val="Corpodetexto"/>
        <w:rPr>
          <w:rFonts w:ascii="Arial" w:hAnsi="Arial" w:cs="Arial"/>
        </w:rPr>
      </w:pPr>
    </w:p>
    <w:p w14:paraId="3C046ED9" w14:textId="13A7E7B7" w:rsidR="00183013" w:rsidRDefault="00F464B3" w:rsidP="00F464B3">
      <w:pPr>
        <w:pStyle w:val="Corpodetexto"/>
        <w:spacing w:before="3"/>
        <w:jc w:val="both"/>
        <w:rPr>
          <w:rFonts w:ascii="Arial" w:hAnsi="Arial" w:cs="Arial"/>
        </w:rPr>
      </w:pPr>
      <w:r w:rsidRPr="00F464B3">
        <w:rPr>
          <w:rFonts w:ascii="Arial" w:hAnsi="Arial" w:cs="Arial"/>
        </w:rPr>
        <w:t>O trabalho investigou a interferência das redes sociais nos julgamentos do Tribunal do Júri em casos de feminicídio e o efeito do linchamento virtual sobre o mesmo Tribunal. A investigação se deu através de uma pesquisa descritiva e qualitativa, embasada em uma revisão bibliográfica e documental, que analisou doutrinas do direito processual penal e decisões judiciais relevantes, com a intenção de estudar a influência da mídia e da autotutela digital na imparcialidade dos jurados e no devido processo legal. A análise demonstrou que a internet teve uma função ambivalente, sendo um escudo contra a revitimização institucional e, ao mesmo tempo, um fator de espetacularização que contaminou a convicção do conselho de sentença. A pesquisa chegou à conclusão de que abrir mão das garantias processuais por causa da pressão popular causou instabilidade jurídica e risco de nulidade do processo, e é possível afirmar que defender com firmeza o devido processo legal não evitou a impunidade do agressor, mas assegurou a estabilidade da condenação, caracterizando a verdadeira justiça para as vítimas de violência de gênero.</w:t>
      </w:r>
    </w:p>
    <w:p w14:paraId="2AF7A817" w14:textId="77777777" w:rsidR="00F464B3" w:rsidRPr="00F64747" w:rsidRDefault="00F464B3">
      <w:pPr>
        <w:pStyle w:val="Corpodetexto"/>
        <w:spacing w:before="3"/>
        <w:rPr>
          <w:rFonts w:ascii="Arial" w:hAnsi="Arial" w:cs="Arial"/>
        </w:rPr>
      </w:pPr>
    </w:p>
    <w:p w14:paraId="7D555600" w14:textId="58F092AA" w:rsidR="00062821" w:rsidRPr="00B63260" w:rsidRDefault="00711982" w:rsidP="00B63260">
      <w:pPr>
        <w:rPr>
          <w:rFonts w:ascii="Arial" w:hAnsi="Arial" w:cs="Arial"/>
          <w:sz w:val="24"/>
          <w:szCs w:val="24"/>
        </w:rPr>
      </w:pPr>
      <w:r w:rsidRPr="005C4273">
        <w:rPr>
          <w:rFonts w:ascii="Arial" w:hAnsi="Arial" w:cs="Arial"/>
          <w:b/>
          <w:sz w:val="24"/>
          <w:szCs w:val="24"/>
        </w:rPr>
        <w:t>Palavras-chave</w:t>
      </w:r>
      <w:r w:rsidRPr="005C4273">
        <w:rPr>
          <w:rFonts w:ascii="Arial" w:hAnsi="Arial" w:cs="Arial"/>
          <w:sz w:val="24"/>
          <w:szCs w:val="24"/>
        </w:rPr>
        <w:t>:</w:t>
      </w:r>
      <w:r w:rsidRPr="005C4273">
        <w:rPr>
          <w:rFonts w:ascii="Arial" w:hAnsi="Arial" w:cs="Arial"/>
          <w:spacing w:val="-5"/>
          <w:sz w:val="24"/>
          <w:szCs w:val="24"/>
        </w:rPr>
        <w:t xml:space="preserve"> </w:t>
      </w:r>
      <w:r w:rsidR="00F464B3" w:rsidRPr="005C4273">
        <w:rPr>
          <w:rFonts w:ascii="Arial" w:hAnsi="Arial" w:cs="Arial"/>
          <w:sz w:val="24"/>
          <w:szCs w:val="24"/>
        </w:rPr>
        <w:t>Redes sociais; Feminicídio; Tribunal do Júri; Devido processo legal; Linchamento virtual</w:t>
      </w:r>
    </w:p>
    <w:p w14:paraId="6E6ECCAB" w14:textId="77777777" w:rsidR="00062821" w:rsidRDefault="00062821" w:rsidP="008D7A7D">
      <w:pPr>
        <w:pStyle w:val="Corpodetexto"/>
        <w:jc w:val="center"/>
        <w:rPr>
          <w:rFonts w:ascii="Arial" w:hAnsi="Arial" w:cs="Arial"/>
          <w:b/>
          <w:bCs/>
        </w:rPr>
      </w:pPr>
    </w:p>
    <w:p w14:paraId="4C8F8E94" w14:textId="77777777" w:rsidR="003242FF" w:rsidRDefault="003242FF" w:rsidP="008D7A7D">
      <w:pPr>
        <w:pStyle w:val="Corpodetexto"/>
        <w:jc w:val="center"/>
        <w:rPr>
          <w:rFonts w:ascii="Arial" w:hAnsi="Arial" w:cs="Arial"/>
          <w:b/>
          <w:bCs/>
        </w:rPr>
      </w:pPr>
    </w:p>
    <w:p w14:paraId="255CDD63" w14:textId="08DE2073" w:rsidR="00183013" w:rsidRPr="008D7A7D" w:rsidRDefault="008D7A7D" w:rsidP="008D7A7D">
      <w:pPr>
        <w:pStyle w:val="Corpodetexto"/>
        <w:jc w:val="center"/>
        <w:rPr>
          <w:rFonts w:ascii="Arial" w:hAnsi="Arial" w:cs="Arial"/>
          <w:b/>
          <w:bCs/>
        </w:rPr>
      </w:pPr>
      <w:r w:rsidRPr="008D7A7D">
        <w:rPr>
          <w:rFonts w:ascii="Arial" w:hAnsi="Arial" w:cs="Arial"/>
          <w:b/>
          <w:bCs/>
        </w:rPr>
        <w:t>INTRODUÇÃO</w:t>
      </w:r>
    </w:p>
    <w:p w14:paraId="76A5EEC3" w14:textId="77777777" w:rsidR="00183013" w:rsidRPr="00F64747" w:rsidRDefault="00183013">
      <w:pPr>
        <w:pStyle w:val="Corpodetexto"/>
        <w:spacing w:before="26"/>
        <w:rPr>
          <w:rFonts w:ascii="Arial" w:hAnsi="Arial" w:cs="Arial"/>
          <w:sz w:val="22"/>
        </w:rPr>
      </w:pPr>
    </w:p>
    <w:p w14:paraId="42E71CDD" w14:textId="4182A838" w:rsidR="006B6B96" w:rsidRPr="006720DA" w:rsidRDefault="00885EEC" w:rsidP="0019400F">
      <w:pPr>
        <w:spacing w:line="360" w:lineRule="auto"/>
        <w:jc w:val="both"/>
        <w:rPr>
          <w:rFonts w:ascii="Arial" w:hAnsi="Arial" w:cs="Arial"/>
          <w:sz w:val="24"/>
          <w:szCs w:val="24"/>
          <w:lang w:val="pt-BR"/>
        </w:rPr>
      </w:pPr>
      <w:r>
        <w:rPr>
          <w:rFonts w:ascii="Arial" w:hAnsi="Arial" w:cs="Arial"/>
          <w:sz w:val="24"/>
          <w:szCs w:val="24"/>
        </w:rPr>
        <w:tab/>
      </w:r>
      <w:r w:rsidR="0019400F" w:rsidRPr="006720DA">
        <w:rPr>
          <w:rFonts w:ascii="Arial" w:hAnsi="Arial" w:cs="Arial"/>
          <w:sz w:val="24"/>
          <w:szCs w:val="24"/>
        </w:rPr>
        <w:t>A contemporaneidade assiste a uma revolução ímpar na produção e na fruição de informações, dando início ao "Tribunal da Internet". O símbolo da racionalidade e da busca pela verdade real, o Processo Penal, agora se vê às voltas com uma questão que lhe é imposta pela celeridade e pela paixão dos julgamentos que acontecem na internet, sobretudo em relação a crimes que atraem a atenção do público. A tipificação do feminicídio (Lei nº 13.104/2015) trouxe a necessária visibilidade à violência de gênero, mas, em contrapartida, colocou esses casos no centro de acalorados debates nas redes sociais. Assim, evidencia-se a tensão entre a liberdade de expressão e os princípios constitucionais do devido processo legal, em um ambiente onde o clamor público frequentemente se sobrepõe à técnica que deveria reger os autos</w:t>
      </w:r>
      <w:r w:rsidRPr="006720DA">
        <w:rPr>
          <w:rFonts w:ascii="Arial" w:hAnsi="Arial" w:cs="Arial"/>
          <w:sz w:val="24"/>
          <w:szCs w:val="24"/>
          <w:lang w:val="pt-BR"/>
        </w:rPr>
        <w:t>.</w:t>
      </w:r>
    </w:p>
    <w:p w14:paraId="254ABB08" w14:textId="7BD82722" w:rsidR="00164F31" w:rsidRPr="006720DA" w:rsidRDefault="00164F31" w:rsidP="0019400F">
      <w:pPr>
        <w:spacing w:line="360" w:lineRule="auto"/>
        <w:jc w:val="both"/>
        <w:rPr>
          <w:rFonts w:ascii="Arial" w:hAnsi="Arial" w:cs="Arial"/>
          <w:sz w:val="24"/>
          <w:szCs w:val="24"/>
        </w:rPr>
      </w:pPr>
      <w:r w:rsidRPr="006720DA">
        <w:rPr>
          <w:rFonts w:ascii="Arial" w:hAnsi="Arial" w:cs="Arial"/>
          <w:sz w:val="24"/>
          <w:szCs w:val="24"/>
        </w:rPr>
        <w:tab/>
        <w:t xml:space="preserve">Justifica-se a escolha desse tema pela necessidade premente de discutir a influência da pressão popular digital na segurança jurídica e na integridade do sistema de justiça criminal. Assim, esta pesquisa busca, de maneira geral, avaliar como as </w:t>
      </w:r>
      <w:r w:rsidRPr="006720DA">
        <w:rPr>
          <w:rFonts w:ascii="Arial" w:hAnsi="Arial" w:cs="Arial"/>
          <w:sz w:val="24"/>
          <w:szCs w:val="24"/>
        </w:rPr>
        <w:lastRenderedPageBreak/>
        <w:t>redes sociais influenciam os desfechos de processos criminais, com um foco especial em feminicídios. Para alcançá-lo, definiram-se os seguintes objetivos específicos: compreender o conflito entre a liberdade de informação e o devido processo legal; examinar a dualidade da internet, que atua simultaneamente como ferramenta fundamental de denúncia contra a impunidade e como palco de julgamentos paralelos; e verificar a vulnerabilidade dos jurados no Tribunal do Júri frente à repercussão midiática.</w:t>
      </w:r>
    </w:p>
    <w:p w14:paraId="4B8E6F63" w14:textId="4B15FD6E" w:rsidR="00DB4D87" w:rsidRDefault="00DB4D87" w:rsidP="0019400F">
      <w:pPr>
        <w:spacing w:line="360" w:lineRule="auto"/>
        <w:jc w:val="both"/>
        <w:rPr>
          <w:rFonts w:ascii="Arial" w:hAnsi="Arial" w:cs="Arial"/>
          <w:sz w:val="24"/>
          <w:szCs w:val="24"/>
        </w:rPr>
      </w:pPr>
      <w:r w:rsidRPr="006720DA">
        <w:rPr>
          <w:rFonts w:ascii="Arial" w:hAnsi="Arial" w:cs="Arial"/>
          <w:sz w:val="24"/>
          <w:szCs w:val="24"/>
        </w:rPr>
        <w:tab/>
        <w:t>Os questionamentos que impulsionam esta pesquisa nasceram da constatação prática de que, no ambiente digital, a intensa mobilização online pode impactar a crença dos julgadores ainda antes da apreciação das provas. Autores como Rubens Casara (2015, p. 15) e Aury Lopes Jr. (2020, p. 54) alertam para o "Processo Penal do Espetáculo", fenômeno que desafia a imparcialidade necessária para o ato de julgar. Ainda que o risco não se restrinja à violação de garantias individuais, mas comprometa, inclusive, a própria eficácia da prestação jurisdicional, uma vez que um julgamento maculado por qualquer tipo de pressão externa pode ser declarado nulo, frustrando, assim, a resposta do Estado e, por conseguinte, as próprias vítimas, surge, então, a questão-problema: de que forma a pressão das redes sociais afeta a imparcialidade do Tribunal do Júri e o normal andamento processual penal nos crimes de feminicídio?</w:t>
      </w:r>
    </w:p>
    <w:p w14:paraId="5581E992" w14:textId="6D389F2B" w:rsidR="006720DA" w:rsidRPr="006720DA" w:rsidRDefault="006720DA" w:rsidP="0019400F">
      <w:pPr>
        <w:spacing w:line="360" w:lineRule="auto"/>
        <w:jc w:val="both"/>
        <w:rPr>
          <w:rFonts w:ascii="Arial" w:hAnsi="Arial" w:cs="Arial"/>
          <w:sz w:val="24"/>
          <w:szCs w:val="24"/>
        </w:rPr>
      </w:pPr>
      <w:r>
        <w:rPr>
          <w:rFonts w:ascii="Arial" w:hAnsi="Arial" w:cs="Arial"/>
          <w:sz w:val="24"/>
          <w:szCs w:val="24"/>
        </w:rPr>
        <w:tab/>
      </w:r>
      <w:r w:rsidRPr="006720DA">
        <w:rPr>
          <w:rFonts w:ascii="Arial" w:hAnsi="Arial" w:cs="Arial"/>
          <w:sz w:val="24"/>
          <w:szCs w:val="24"/>
        </w:rPr>
        <w:t>Para tanto, a metodologia que se aplica é uma pesquisa qualitativa, de natureza descritiva, que foi realizada através de uma revisão bibliográfica e documental, embasada em doutrinas processuais penais, legislações e na observação de casos concretos que tiveram grande repercussão. O trabalho se divide em três capítulos cruciais: o primeiro se debruça sobre o embate teórico entre a liberdade informativa e o devido processo legal; o segundo analisa a particularidade do feminicídio na era das redes sociais, discutindo o ativismo digital como uma forma de se obter justiça e os riscos dos julgamentos paralelos; e, por fim, o terceiro capítulo investiga a interferência direta desse fenômeno no Tribunal do Júri, à luz de casos recentes, ponderando sobre os meios de preservar a integridade técnica dos julgamentos no contexto atual.</w:t>
      </w:r>
    </w:p>
    <w:p w14:paraId="587AFC35" w14:textId="77777777" w:rsidR="006B6B96" w:rsidRDefault="006B6B96">
      <w:pPr>
        <w:pStyle w:val="Corpodetexto"/>
        <w:spacing w:before="125"/>
        <w:rPr>
          <w:rFonts w:ascii="Arial" w:hAnsi="Arial" w:cs="Arial"/>
          <w:sz w:val="22"/>
          <w:lang w:val="pt-BR"/>
        </w:rPr>
      </w:pPr>
    </w:p>
    <w:p w14:paraId="2C6B16B0" w14:textId="77777777" w:rsidR="006720DA" w:rsidRPr="006B6B96" w:rsidRDefault="006720DA">
      <w:pPr>
        <w:pStyle w:val="Corpodetexto"/>
        <w:spacing w:before="125"/>
        <w:rPr>
          <w:rFonts w:ascii="Arial" w:hAnsi="Arial" w:cs="Arial"/>
          <w:sz w:val="22"/>
          <w:lang w:val="pt-BR"/>
        </w:rPr>
      </w:pPr>
    </w:p>
    <w:p w14:paraId="1C3D4DFF" w14:textId="139DF6B7" w:rsidR="00183013" w:rsidRPr="004949E2" w:rsidRDefault="006B6B96" w:rsidP="004949E2">
      <w:pPr>
        <w:pStyle w:val="Ttulo2"/>
        <w:numPr>
          <w:ilvl w:val="0"/>
          <w:numId w:val="2"/>
        </w:numPr>
        <w:tabs>
          <w:tab w:val="left" w:pos="321"/>
        </w:tabs>
        <w:spacing w:before="1" w:line="360" w:lineRule="auto"/>
        <w:rPr>
          <w:rFonts w:ascii="Arial" w:hAnsi="Arial" w:cs="Arial"/>
        </w:rPr>
      </w:pPr>
      <w:bookmarkStart w:id="13" w:name="_Toc227148710"/>
      <w:r w:rsidRPr="006B6B96">
        <w:rPr>
          <w:rFonts w:ascii="Arial" w:hAnsi="Arial" w:cs="Arial"/>
        </w:rPr>
        <w:t>O CONFLITO ENTRE A LIBERDADE DE INFORMAÇÃO E O DEVIDO PROCESSO LEGAL</w:t>
      </w:r>
      <w:bookmarkEnd w:id="13"/>
    </w:p>
    <w:p w14:paraId="6EE9B00D" w14:textId="146DC9FE" w:rsidR="00147B01" w:rsidRPr="00147B01" w:rsidRDefault="00147B01" w:rsidP="00147B01">
      <w:pPr>
        <w:spacing w:line="360" w:lineRule="auto"/>
        <w:jc w:val="both"/>
        <w:rPr>
          <w:rFonts w:ascii="Arial" w:hAnsi="Arial" w:cs="Arial"/>
          <w:sz w:val="24"/>
          <w:szCs w:val="24"/>
          <w:lang w:val="pt-BR"/>
        </w:rPr>
      </w:pPr>
      <w:r>
        <w:rPr>
          <w:rFonts w:ascii="Arial" w:hAnsi="Arial" w:cs="Arial"/>
          <w:sz w:val="24"/>
          <w:szCs w:val="24"/>
          <w:lang w:val="pt-BR"/>
        </w:rPr>
        <w:tab/>
      </w:r>
      <w:r w:rsidRPr="00147B01">
        <w:rPr>
          <w:rFonts w:ascii="Arial" w:hAnsi="Arial" w:cs="Arial"/>
          <w:sz w:val="24"/>
          <w:szCs w:val="24"/>
          <w:lang w:val="pt-BR"/>
        </w:rPr>
        <w:t xml:space="preserve">A Constituição Federal de 1988, em seu artigo 5º, assegura tanto a liberdade </w:t>
      </w:r>
      <w:r w:rsidRPr="00147B01">
        <w:rPr>
          <w:rFonts w:ascii="Arial" w:hAnsi="Arial" w:cs="Arial"/>
          <w:sz w:val="24"/>
          <w:szCs w:val="24"/>
          <w:lang w:val="pt-BR"/>
        </w:rPr>
        <w:lastRenderedPageBreak/>
        <w:t>de expressão e de informação (incisos IV, IX e XIV) quanto as garantias individuais do acusado, notadamente a presunção de inocência (inciso LVII) e o devido processo legal (inciso LIV). Em tese, esses direitos deveriam coexistir harmonicamente em um Estado Democrático de Direito. A publicidade dos atos processuais, prevista no artigo 93, IX, da Carta Magna, serve como instrumento de controle democrático sobre o Poder Judiciário, impedindo julgamentos secretos e arbitrários.</w:t>
      </w:r>
    </w:p>
    <w:p w14:paraId="02EE0CCA" w14:textId="7A1D536A" w:rsidR="00147B01" w:rsidRPr="00147B01" w:rsidRDefault="00147B01" w:rsidP="00147B01">
      <w:pPr>
        <w:spacing w:line="360" w:lineRule="auto"/>
        <w:jc w:val="both"/>
        <w:rPr>
          <w:rFonts w:ascii="Arial" w:hAnsi="Arial" w:cs="Arial"/>
          <w:sz w:val="24"/>
          <w:szCs w:val="24"/>
          <w:lang w:val="pt-BR"/>
        </w:rPr>
      </w:pPr>
      <w:r>
        <w:rPr>
          <w:rFonts w:ascii="Arial" w:hAnsi="Arial" w:cs="Arial"/>
          <w:sz w:val="24"/>
          <w:szCs w:val="24"/>
          <w:lang w:val="pt-BR"/>
        </w:rPr>
        <w:tab/>
      </w:r>
      <w:r w:rsidRPr="00147B01">
        <w:rPr>
          <w:rFonts w:ascii="Arial" w:hAnsi="Arial" w:cs="Arial"/>
          <w:sz w:val="24"/>
          <w:szCs w:val="24"/>
          <w:lang w:val="pt-BR"/>
        </w:rPr>
        <w:t>Contudo, a prática forense contemporânea revela uma colisão frequente entre esses princípios. Quando a publicidade processual deixa de ser um instrumento de transparência e passa a servir como ferramenta de escândalo e exploração comercial da dor alheia, ocorre o que a doutrina denomina de "publicidade opressiva".</w:t>
      </w:r>
    </w:p>
    <w:p w14:paraId="098E0F73" w14:textId="4AA90DE8" w:rsidR="00147B01" w:rsidRPr="00147B01" w:rsidRDefault="00147B01" w:rsidP="00147B01">
      <w:pPr>
        <w:pStyle w:val="Corpodetexto"/>
        <w:spacing w:line="360" w:lineRule="auto"/>
        <w:jc w:val="both"/>
        <w:rPr>
          <w:rFonts w:ascii="Arial" w:hAnsi="Arial" w:cs="Arial"/>
          <w:lang w:val="pt-BR"/>
        </w:rPr>
      </w:pPr>
      <w:r>
        <w:rPr>
          <w:rFonts w:ascii="Arial" w:hAnsi="Arial" w:cs="Arial"/>
          <w:lang w:val="pt-BR"/>
        </w:rPr>
        <w:tab/>
      </w:r>
      <w:r w:rsidRPr="00147B01">
        <w:rPr>
          <w:rFonts w:ascii="Arial" w:hAnsi="Arial" w:cs="Arial"/>
          <w:lang w:val="pt-BR"/>
        </w:rPr>
        <w:t>Nesse sentido, Nilo Batista (2002, p. 265) alerta que a mídia, ao selecionar e dramatizar determinados crimes, atua como uma agência de controle social informal, muitas vezes mais poderosa que o próprio sistema penal. O autor destaca que a "criminologia midiática" constrói estereótipos de criminosos e vítimas, criando um ambiente onde a absolvição de um réu "midiático" é vista pela sociedade como uma falha da Justiça, e não como o resultado de um processo legal regular.</w:t>
      </w:r>
    </w:p>
    <w:p w14:paraId="6EB94503" w14:textId="46B4948C" w:rsidR="00183013" w:rsidRDefault="00147B01" w:rsidP="00147B01">
      <w:pPr>
        <w:pStyle w:val="Corpodetexto"/>
        <w:spacing w:line="360" w:lineRule="auto"/>
        <w:jc w:val="both"/>
        <w:rPr>
          <w:rFonts w:ascii="Arial" w:hAnsi="Arial" w:cs="Arial"/>
          <w:lang w:val="pt-BR"/>
        </w:rPr>
      </w:pPr>
      <w:r>
        <w:rPr>
          <w:rFonts w:ascii="Arial" w:hAnsi="Arial" w:cs="Arial"/>
          <w:lang w:val="pt-BR"/>
        </w:rPr>
        <w:tab/>
      </w:r>
      <w:r w:rsidRPr="00147B01">
        <w:rPr>
          <w:rFonts w:ascii="Arial" w:hAnsi="Arial" w:cs="Arial"/>
          <w:lang w:val="pt-BR"/>
        </w:rPr>
        <w:t>Portanto, o conflito se estabelece quando a liberdade de informar atropela a dignidade do acusado, transformando o processo em um espetáculo onde a verdade processual (aquela construída nos autos, sob o crivo do contraditório) perde espaço para a "verdade midiática", construída com base em fragmentos de informação e apelo emocional.</w:t>
      </w:r>
    </w:p>
    <w:p w14:paraId="79686550" w14:textId="77777777" w:rsidR="00147B01" w:rsidRPr="004949E2" w:rsidRDefault="00147B01" w:rsidP="00147B01">
      <w:pPr>
        <w:pStyle w:val="Corpodetexto"/>
        <w:rPr>
          <w:rFonts w:ascii="Arial" w:hAnsi="Arial" w:cs="Arial"/>
          <w:lang w:val="pt-BR"/>
        </w:rPr>
      </w:pPr>
    </w:p>
    <w:p w14:paraId="549973CF" w14:textId="77777777" w:rsidR="00183013" w:rsidRPr="008D7A7D" w:rsidRDefault="00183013">
      <w:pPr>
        <w:pStyle w:val="Corpodetexto"/>
        <w:rPr>
          <w:rFonts w:ascii="Arial" w:hAnsi="Arial" w:cs="Arial"/>
        </w:rPr>
      </w:pPr>
    </w:p>
    <w:p w14:paraId="7F7DAAAF" w14:textId="1D7A2739" w:rsidR="00183013" w:rsidRPr="004949E2" w:rsidRDefault="00147B01" w:rsidP="004949E2">
      <w:pPr>
        <w:pStyle w:val="PargrafodaLista"/>
        <w:numPr>
          <w:ilvl w:val="1"/>
          <w:numId w:val="2"/>
        </w:numPr>
        <w:tabs>
          <w:tab w:val="left" w:pos="499"/>
        </w:tabs>
        <w:spacing w:line="360" w:lineRule="auto"/>
        <w:ind w:left="499" w:hanging="358"/>
        <w:rPr>
          <w:rFonts w:ascii="Arial" w:hAnsi="Arial" w:cs="Arial"/>
          <w:sz w:val="24"/>
        </w:rPr>
      </w:pPr>
      <w:r w:rsidRPr="00147B01">
        <w:rPr>
          <w:rFonts w:ascii="Arial" w:hAnsi="Arial" w:cs="Arial"/>
          <w:sz w:val="24"/>
        </w:rPr>
        <w:t xml:space="preserve">A </w:t>
      </w:r>
      <w:bookmarkStart w:id="14" w:name="_Hlk227148799"/>
      <w:r w:rsidRPr="00147B01">
        <w:rPr>
          <w:rFonts w:ascii="Arial" w:hAnsi="Arial" w:cs="Arial"/>
          <w:sz w:val="24"/>
        </w:rPr>
        <w:t>EVOLUÇÃO DA "MÍDIA TRADICIONAL" PARA O "TRIBUNAL DA INTERNET": VELOCIDADE E VIRALIZAÇÃO</w:t>
      </w:r>
      <w:bookmarkEnd w:id="14"/>
    </w:p>
    <w:p w14:paraId="342BA940" w14:textId="20D8A142" w:rsidR="00147B01" w:rsidRPr="00147B01" w:rsidRDefault="00147B01" w:rsidP="00147B01">
      <w:pPr>
        <w:spacing w:line="360" w:lineRule="auto"/>
        <w:jc w:val="both"/>
        <w:rPr>
          <w:rFonts w:ascii="Arial" w:hAnsi="Arial" w:cs="Arial"/>
          <w:sz w:val="24"/>
          <w:szCs w:val="24"/>
        </w:rPr>
      </w:pPr>
      <w:r>
        <w:rPr>
          <w:rFonts w:ascii="Arial" w:hAnsi="Arial" w:cs="Arial"/>
          <w:sz w:val="24"/>
          <w:szCs w:val="24"/>
        </w:rPr>
        <w:tab/>
      </w:r>
      <w:r w:rsidRPr="00147B01">
        <w:rPr>
          <w:rFonts w:ascii="Arial" w:hAnsi="Arial" w:cs="Arial"/>
          <w:sz w:val="24"/>
          <w:szCs w:val="24"/>
        </w:rPr>
        <w:t>Historicamente, a influência da mídia nos processos criminais era exercida pelos meios de comunicação de massa tradicionais: jornais impressos, rádio e televisão. Nesses veículos, embora houvesse (e ainda haja) sensacionalismo, existia a figura do editor</w:t>
      </w:r>
      <w:r>
        <w:rPr>
          <w:rFonts w:ascii="Arial" w:hAnsi="Arial" w:cs="Arial"/>
          <w:sz w:val="24"/>
          <w:szCs w:val="24"/>
        </w:rPr>
        <w:t>,</w:t>
      </w:r>
      <w:r w:rsidRPr="00147B01">
        <w:rPr>
          <w:rFonts w:ascii="Arial" w:hAnsi="Arial" w:cs="Arial"/>
          <w:sz w:val="24"/>
          <w:szCs w:val="24"/>
        </w:rPr>
        <w:t xml:space="preserve"> um filtro profissional que, em tese, selecionava o que seria publicado. Ocorre que, com o advento da internet e a massificação das redes sociais, essa dinâmica sofreu uma ruptura drástica.</w:t>
      </w:r>
    </w:p>
    <w:p w14:paraId="7FFCF47C" w14:textId="68595ADB" w:rsidR="00147B01" w:rsidRPr="00147B01" w:rsidRDefault="00147B01" w:rsidP="00147B01">
      <w:pPr>
        <w:pStyle w:val="Corpodetexto"/>
        <w:spacing w:line="360" w:lineRule="auto"/>
        <w:jc w:val="both"/>
        <w:rPr>
          <w:rFonts w:ascii="Arial" w:hAnsi="Arial" w:cs="Arial"/>
          <w:lang w:val="pt-BR"/>
        </w:rPr>
      </w:pPr>
      <w:r>
        <w:rPr>
          <w:rFonts w:ascii="Arial" w:hAnsi="Arial" w:cs="Arial"/>
          <w:lang w:val="pt-BR"/>
        </w:rPr>
        <w:tab/>
      </w:r>
      <w:r w:rsidRPr="00147B01">
        <w:rPr>
          <w:rFonts w:ascii="Arial" w:hAnsi="Arial" w:cs="Arial"/>
          <w:lang w:val="pt-BR"/>
        </w:rPr>
        <w:t>A era digital inaugurou a descentralização da informação. Hoje, qualquer cidadão munido de um smartphone é um potencial produtor de conteúdo e, simultaneamente, um juiz em potencial. A velocidade com que uma informação</w:t>
      </w:r>
      <w:r>
        <w:rPr>
          <w:rFonts w:ascii="Arial" w:hAnsi="Arial" w:cs="Arial"/>
          <w:lang w:val="pt-BR"/>
        </w:rPr>
        <w:t>,</w:t>
      </w:r>
      <w:r w:rsidRPr="00147B01">
        <w:rPr>
          <w:rFonts w:ascii="Arial" w:hAnsi="Arial" w:cs="Arial"/>
          <w:lang w:val="pt-BR"/>
        </w:rPr>
        <w:t xml:space="preserve"> </w:t>
      </w:r>
      <w:r w:rsidRPr="00147B01">
        <w:rPr>
          <w:rFonts w:ascii="Arial" w:hAnsi="Arial" w:cs="Arial"/>
          <w:lang w:val="pt-BR"/>
        </w:rPr>
        <w:lastRenderedPageBreak/>
        <w:t>verdadeira ou falsa</w:t>
      </w:r>
      <w:r>
        <w:rPr>
          <w:rFonts w:ascii="Arial" w:hAnsi="Arial" w:cs="Arial"/>
          <w:lang w:val="pt-BR"/>
        </w:rPr>
        <w:t>,</w:t>
      </w:r>
      <w:r w:rsidRPr="00147B01">
        <w:rPr>
          <w:rFonts w:ascii="Arial" w:hAnsi="Arial" w:cs="Arial"/>
          <w:lang w:val="pt-BR"/>
        </w:rPr>
        <w:t xml:space="preserve"> se propaga nas redes sociais (fenômeno da viralização) torna impossível o controle da narrativa pela defesa técnica do acusado.</w:t>
      </w:r>
    </w:p>
    <w:p w14:paraId="5E735AE5" w14:textId="5EAAA246" w:rsidR="00147B01" w:rsidRDefault="00147B01" w:rsidP="00147B01">
      <w:pPr>
        <w:pStyle w:val="Corpodetexto"/>
        <w:spacing w:line="360" w:lineRule="auto"/>
        <w:jc w:val="both"/>
        <w:rPr>
          <w:rFonts w:ascii="Arial" w:hAnsi="Arial" w:cs="Arial"/>
          <w:lang w:val="pt-BR"/>
        </w:rPr>
      </w:pPr>
      <w:r>
        <w:rPr>
          <w:rFonts w:ascii="Arial" w:hAnsi="Arial" w:cs="Arial"/>
          <w:lang w:val="pt-BR"/>
        </w:rPr>
        <w:tab/>
      </w:r>
      <w:r w:rsidRPr="00147B01">
        <w:rPr>
          <w:rFonts w:ascii="Arial" w:hAnsi="Arial" w:cs="Arial"/>
          <w:lang w:val="pt-BR"/>
        </w:rPr>
        <w:t>Sobre essa transformação do processo em entretenimento de massa, Rubens Casara é categórico ao afirmar</w:t>
      </w:r>
      <w:r>
        <w:rPr>
          <w:rFonts w:ascii="Arial" w:hAnsi="Arial" w:cs="Arial"/>
          <w:lang w:val="pt-BR"/>
        </w:rPr>
        <w:t>:</w:t>
      </w:r>
      <w:r w:rsidR="004949E2">
        <w:rPr>
          <w:rFonts w:ascii="Arial" w:hAnsi="Arial" w:cs="Arial"/>
          <w:lang w:val="pt-BR"/>
        </w:rPr>
        <w:tab/>
      </w:r>
    </w:p>
    <w:p w14:paraId="54091B04" w14:textId="41B9BAC4" w:rsidR="00147B01" w:rsidRPr="00147B01" w:rsidRDefault="00147B01" w:rsidP="00147B01">
      <w:pPr>
        <w:pStyle w:val="Corpodetexto"/>
        <w:spacing w:line="360" w:lineRule="auto"/>
        <w:ind w:left="2268"/>
        <w:jc w:val="both"/>
        <w:rPr>
          <w:rFonts w:ascii="Arial" w:hAnsi="Arial" w:cs="Arial"/>
          <w:sz w:val="20"/>
          <w:szCs w:val="20"/>
          <w:lang w:val="pt-BR"/>
        </w:rPr>
      </w:pPr>
      <w:r w:rsidRPr="00147B01">
        <w:rPr>
          <w:rFonts w:ascii="Arial" w:hAnsi="Arial" w:cs="Arial"/>
          <w:sz w:val="20"/>
          <w:szCs w:val="20"/>
          <w:lang w:val="pt-BR"/>
        </w:rPr>
        <w:t>O espetáculo, na sociedade contemporânea, não é um conjunto de imagens, mas uma relação social entre pessoas, mediada por imagens. No Processo Penal do Espetáculo, a busca pela verdade é substituída pela busca de aplausos, e o julgamento técnico cede lugar à satisfação dos desejos de vingança da plateia. (CASARA, 2015, p. 22).</w:t>
      </w:r>
    </w:p>
    <w:p w14:paraId="449E9615" w14:textId="72679CE0" w:rsidR="00147B01" w:rsidRPr="00147B01" w:rsidRDefault="00147B01" w:rsidP="00147B01">
      <w:pPr>
        <w:spacing w:line="360" w:lineRule="auto"/>
        <w:jc w:val="both"/>
        <w:rPr>
          <w:rFonts w:ascii="Arial" w:hAnsi="Arial" w:cs="Arial"/>
          <w:sz w:val="24"/>
          <w:szCs w:val="24"/>
          <w:lang w:val="pt-BR"/>
        </w:rPr>
      </w:pPr>
      <w:r>
        <w:rPr>
          <w:rFonts w:ascii="Arial" w:hAnsi="Arial" w:cs="Arial"/>
          <w:sz w:val="24"/>
          <w:szCs w:val="24"/>
          <w:lang w:val="pt-BR"/>
        </w:rPr>
        <w:tab/>
      </w:r>
      <w:r w:rsidRPr="00147B01">
        <w:rPr>
          <w:rFonts w:ascii="Arial" w:hAnsi="Arial" w:cs="Arial"/>
          <w:sz w:val="24"/>
          <w:szCs w:val="24"/>
          <w:lang w:val="pt-BR"/>
        </w:rPr>
        <w:t xml:space="preserve">Dessa forma, o antigo "quarto poder" (a imprensa) cede espaço para o que se poderia chamar de "quinto poder": a opinião pública digital. Diferente da mídia tradicional, que pautava o debate, as redes sociais permitem o linchamento virtual instantâneo. O réu </w:t>
      </w:r>
      <w:r w:rsidR="00DD5866">
        <w:rPr>
          <w:rFonts w:ascii="Arial" w:hAnsi="Arial" w:cs="Arial"/>
          <w:sz w:val="24"/>
          <w:szCs w:val="24"/>
          <w:lang w:val="pt-BR"/>
        </w:rPr>
        <w:t>sofre</w:t>
      </w:r>
      <w:r w:rsidRPr="00147B01">
        <w:rPr>
          <w:rFonts w:ascii="Arial" w:hAnsi="Arial" w:cs="Arial"/>
          <w:sz w:val="24"/>
          <w:szCs w:val="24"/>
          <w:lang w:val="pt-BR"/>
        </w:rPr>
        <w:t xml:space="preserve"> </w:t>
      </w:r>
      <w:r w:rsidR="00DD5866">
        <w:rPr>
          <w:rFonts w:ascii="Arial" w:hAnsi="Arial" w:cs="Arial"/>
          <w:sz w:val="24"/>
          <w:szCs w:val="24"/>
          <w:lang w:val="pt-BR"/>
        </w:rPr>
        <w:t>condenação social antecipada,</w:t>
      </w:r>
      <w:r w:rsidRPr="00147B01">
        <w:rPr>
          <w:rFonts w:ascii="Arial" w:hAnsi="Arial" w:cs="Arial"/>
          <w:sz w:val="24"/>
          <w:szCs w:val="24"/>
          <w:lang w:val="pt-BR"/>
        </w:rPr>
        <w:t xml:space="preserve"> minutos após a divulgação do fato, muito antes de qualquer instrução processual.</w:t>
      </w:r>
    </w:p>
    <w:p w14:paraId="0C3D3238" w14:textId="77777777" w:rsidR="00147B01" w:rsidRPr="00147B01" w:rsidRDefault="00147B01" w:rsidP="00147B01">
      <w:pPr>
        <w:spacing w:line="360" w:lineRule="auto"/>
        <w:jc w:val="both"/>
        <w:rPr>
          <w:rFonts w:ascii="Arial" w:hAnsi="Arial" w:cs="Arial"/>
          <w:sz w:val="24"/>
          <w:szCs w:val="24"/>
          <w:lang w:val="pt-BR"/>
        </w:rPr>
      </w:pPr>
      <w:r>
        <w:rPr>
          <w:rFonts w:ascii="Arial" w:hAnsi="Arial" w:cs="Arial"/>
          <w:sz w:val="24"/>
          <w:szCs w:val="24"/>
          <w:lang w:val="pt-BR"/>
        </w:rPr>
        <w:tab/>
      </w:r>
      <w:r w:rsidRPr="00147B01">
        <w:rPr>
          <w:rFonts w:ascii="Arial" w:hAnsi="Arial" w:cs="Arial"/>
          <w:sz w:val="24"/>
          <w:szCs w:val="24"/>
          <w:lang w:val="pt-BR"/>
        </w:rPr>
        <w:t>Aury Lopes Jr. (2020, p. 89) complementa esse raciocínio ao discorrer sobre a "pena processual". Para o autor, o simples fato de estar sendo processado já constitui uma punição em si, gerando estigmatização e sofrimento. Com a internet, essa pena processual é exponencializada: a imagem do acusado, associada ao crime, fica eternizada nos mecanismos de busca, criando uma espécie de "antecedente criminal digital" que nenhuma sentença absolutória posterior é capaz de apagar completamente.</w:t>
      </w:r>
      <w:r>
        <w:rPr>
          <w:rFonts w:ascii="Arial" w:hAnsi="Arial" w:cs="Arial"/>
          <w:sz w:val="24"/>
          <w:szCs w:val="24"/>
          <w:lang w:val="pt-BR"/>
        </w:rPr>
        <w:t xml:space="preserve"> </w:t>
      </w:r>
      <w:r w:rsidRPr="00147B01">
        <w:rPr>
          <w:rFonts w:ascii="Arial" w:hAnsi="Arial" w:cs="Arial"/>
          <w:sz w:val="24"/>
          <w:szCs w:val="24"/>
          <w:lang w:val="pt-BR"/>
        </w:rPr>
        <w:t>Assim, a viralização nas redes sociais cria um "Tribunal da Internet" que opera sem regras de competência, sem contraditório e sem prazos, onde a sentença é dada por likes, compartilhamentos e comentários de ódio, desafiando a lógica temporal e garantista do Processo Penal.</w:t>
      </w:r>
    </w:p>
    <w:p w14:paraId="0C3D5012" w14:textId="77777777" w:rsidR="00A96B7F" w:rsidRDefault="00A96B7F" w:rsidP="004949E2">
      <w:pPr>
        <w:pStyle w:val="Corpodetexto"/>
        <w:spacing w:line="360" w:lineRule="auto"/>
        <w:jc w:val="both"/>
        <w:rPr>
          <w:rFonts w:ascii="Arial" w:hAnsi="Arial" w:cs="Arial"/>
          <w:lang w:val="pt-BR"/>
        </w:rPr>
      </w:pPr>
    </w:p>
    <w:p w14:paraId="1BCD21D4" w14:textId="3316023D" w:rsidR="00A96B7F" w:rsidRPr="00A96B7F" w:rsidRDefault="00147B01" w:rsidP="00A96B7F">
      <w:pPr>
        <w:pStyle w:val="Corpodetexto"/>
        <w:numPr>
          <w:ilvl w:val="1"/>
          <w:numId w:val="2"/>
        </w:numPr>
        <w:spacing w:line="360" w:lineRule="auto"/>
        <w:rPr>
          <w:rFonts w:ascii="Arial" w:hAnsi="Arial" w:cs="Arial"/>
          <w:lang w:val="pt-BR"/>
        </w:rPr>
      </w:pPr>
      <w:r w:rsidRPr="00147B01">
        <w:rPr>
          <w:rFonts w:ascii="Arial" w:hAnsi="Arial" w:cs="Arial"/>
          <w:lang w:val="pt-BR"/>
        </w:rPr>
        <w:t>PRINCÍPIOS CONSTITUCIONAIS EM XEQUE: PRESUNÇÃO DE INOCÊNCIA E IMPARCIALIDADE DO JULGADOR</w:t>
      </w:r>
    </w:p>
    <w:p w14:paraId="7E3FD265" w14:textId="42405E78" w:rsidR="00A96B7F" w:rsidRPr="00147B01" w:rsidRDefault="00A96B7F" w:rsidP="00147B01">
      <w:pPr>
        <w:spacing w:line="360" w:lineRule="auto"/>
        <w:jc w:val="both"/>
        <w:rPr>
          <w:rFonts w:ascii="Arial" w:hAnsi="Arial" w:cs="Arial"/>
          <w:sz w:val="24"/>
          <w:szCs w:val="24"/>
          <w:lang w:val="pt-BR" w:eastAsia="pt-BR"/>
        </w:rPr>
      </w:pPr>
      <w:r>
        <w:rPr>
          <w:rFonts w:ascii="Arial" w:hAnsi="Arial" w:cs="Arial"/>
          <w:sz w:val="24"/>
          <w:szCs w:val="24"/>
          <w:lang w:val="pt-BR" w:eastAsia="pt-BR"/>
        </w:rPr>
        <w:tab/>
      </w:r>
      <w:r w:rsidR="00147B01" w:rsidRPr="00147B01">
        <w:rPr>
          <w:rFonts w:ascii="Arial" w:hAnsi="Arial" w:cs="Arial"/>
          <w:sz w:val="24"/>
          <w:szCs w:val="24"/>
          <w:lang w:val="pt-BR" w:eastAsia="pt-BR"/>
        </w:rPr>
        <w:t>A Constituição Federal de 1988 erigiu a presunção de inocência (art. 5º, LVII) como um dos pilares do Estado Democrático de Direito. Mais do que uma regra de tratamento</w:t>
      </w:r>
      <w:r w:rsidR="00147B01">
        <w:rPr>
          <w:rFonts w:ascii="Arial" w:hAnsi="Arial" w:cs="Arial"/>
          <w:sz w:val="24"/>
          <w:szCs w:val="24"/>
          <w:lang w:val="pt-BR" w:eastAsia="pt-BR"/>
        </w:rPr>
        <w:t>,</w:t>
      </w:r>
      <w:r w:rsidR="00147B01" w:rsidRPr="00147B01">
        <w:rPr>
          <w:rFonts w:ascii="Arial" w:hAnsi="Arial" w:cs="Arial"/>
          <w:sz w:val="24"/>
          <w:szCs w:val="24"/>
          <w:lang w:val="pt-BR" w:eastAsia="pt-BR"/>
        </w:rPr>
        <w:t xml:space="preserve"> que impede que o acusado seja tratado como culpado antes da sentença definitiva, trata-se de uma regra de julgamento, impondo ao Estado o ônus da prova. Contudo, a dinâmica das redes sociais opera em sentido diametralmente oposto, instaurando uma verdadeira "presunção de culpa".</w:t>
      </w:r>
    </w:p>
    <w:p w14:paraId="128A99DE" w14:textId="642A2319" w:rsidR="00147B01" w:rsidRPr="00147B01" w:rsidRDefault="00147B01" w:rsidP="00147B01">
      <w:pPr>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147B01">
        <w:rPr>
          <w:rFonts w:ascii="Arial" w:hAnsi="Arial" w:cs="Arial"/>
          <w:sz w:val="24"/>
          <w:szCs w:val="24"/>
          <w:lang w:val="pt-BR" w:eastAsia="pt-BR"/>
        </w:rPr>
        <w:t xml:space="preserve">Na lógica do algoritmo e do engajamento, a notícia do crime viraliza instantaneamente, enquanto a versão da defesa, muitas vezes técnica e morosa, não </w:t>
      </w:r>
      <w:r w:rsidRPr="00147B01">
        <w:rPr>
          <w:rFonts w:ascii="Arial" w:hAnsi="Arial" w:cs="Arial"/>
          <w:sz w:val="24"/>
          <w:szCs w:val="24"/>
          <w:lang w:val="pt-BR" w:eastAsia="pt-BR"/>
        </w:rPr>
        <w:lastRenderedPageBreak/>
        <w:t>alcança a mesma repercussão. Aury Lopes Jr. (2020, p. 112) adverte que essa assimetria informativa gera uma estigmatização precoce do acusado, que passa a ser visto pela sociedade como um "inimigo" a ser neutralizado, independentemente das provas dos autos.</w:t>
      </w:r>
    </w:p>
    <w:p w14:paraId="5FE8521C" w14:textId="67CA67EE" w:rsidR="00F524AD" w:rsidRPr="00F524AD" w:rsidRDefault="00F524AD" w:rsidP="00F524AD">
      <w:pPr>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F524AD">
        <w:rPr>
          <w:rFonts w:ascii="Arial" w:hAnsi="Arial" w:cs="Arial"/>
          <w:sz w:val="24"/>
          <w:szCs w:val="24"/>
          <w:lang w:val="pt-BR" w:eastAsia="pt-BR"/>
        </w:rPr>
        <w:t>Além da presunção de inocência, a imparcialidade do julgador é severamente ameaçada. O juiz, embora togado e tecnicamente preparado, é um ser humano inserido no meio social e, portanto, permeável às influências externas. A pressão exercida por hashtags, abaixo-assinados online e a mobilização de influenciadores digitais cria um ambiente de constrangimento para o magistrado.</w:t>
      </w:r>
    </w:p>
    <w:p w14:paraId="440AE4D4" w14:textId="687346ED" w:rsidR="00A96B7F" w:rsidRDefault="00A96B7F" w:rsidP="00F524AD">
      <w:pPr>
        <w:rPr>
          <w:rFonts w:ascii="Arial" w:hAnsi="Arial" w:cs="Arial"/>
          <w:sz w:val="24"/>
          <w:szCs w:val="24"/>
          <w:lang w:val="pt-BR" w:eastAsia="pt-BR"/>
        </w:rPr>
      </w:pPr>
      <w:r>
        <w:rPr>
          <w:rFonts w:ascii="Arial" w:hAnsi="Arial" w:cs="Arial"/>
          <w:sz w:val="24"/>
          <w:szCs w:val="24"/>
          <w:lang w:val="pt-BR" w:eastAsia="pt-BR"/>
        </w:rPr>
        <w:tab/>
      </w:r>
      <w:r w:rsidR="00F524AD" w:rsidRPr="00F524AD">
        <w:rPr>
          <w:rFonts w:ascii="Arial" w:hAnsi="Arial" w:cs="Arial"/>
          <w:sz w:val="24"/>
          <w:szCs w:val="24"/>
          <w:lang w:val="pt-BR" w:eastAsia="pt-BR"/>
        </w:rPr>
        <w:t>Sobre a contaminação do julgador pela mídia, Aury Lopes Jr. é enfático:</w:t>
      </w:r>
    </w:p>
    <w:p w14:paraId="5E5078F4" w14:textId="77777777" w:rsidR="00885EEC" w:rsidRDefault="00885EEC" w:rsidP="00F524AD">
      <w:pPr>
        <w:rPr>
          <w:rFonts w:ascii="Arial" w:hAnsi="Arial" w:cs="Arial"/>
          <w:sz w:val="24"/>
          <w:szCs w:val="24"/>
          <w:lang w:val="pt-BR" w:eastAsia="pt-BR"/>
        </w:rPr>
      </w:pPr>
    </w:p>
    <w:p w14:paraId="2C82C2BF" w14:textId="3B202C44" w:rsidR="00F524AD" w:rsidRPr="00F524AD" w:rsidRDefault="00F524AD" w:rsidP="00F524AD">
      <w:pPr>
        <w:pStyle w:val="PargrafodaLista"/>
        <w:widowControl/>
        <w:autoSpaceDE/>
        <w:autoSpaceDN/>
        <w:spacing w:line="360" w:lineRule="auto"/>
        <w:ind w:left="2268" w:firstLine="0"/>
        <w:jc w:val="both"/>
        <w:rPr>
          <w:rFonts w:ascii="Arial" w:hAnsi="Arial" w:cs="Arial"/>
          <w:sz w:val="24"/>
          <w:szCs w:val="24"/>
          <w:lang w:val="pt-BR" w:eastAsia="pt-BR"/>
        </w:rPr>
      </w:pPr>
      <w:r w:rsidRPr="00F524AD">
        <w:rPr>
          <w:rFonts w:ascii="Arial" w:hAnsi="Arial" w:cs="Arial"/>
          <w:sz w:val="20"/>
          <w:szCs w:val="20"/>
          <w:lang w:val="pt-BR" w:eastAsia="pt-BR"/>
        </w:rPr>
        <w:t>A publicidade opressiva (mass media) gera um pré-julgamento que é devastador para a imparcialidade. O juiz, bombardeado por informações unilaterais e sensacionalistas, sofre uma dissonância cognitiva: ele tende a buscar no processo apenas os elementos que confirmem a 'verdade' já estabelecida pela mídia, ignorando as teses defensivas. (LOPES JR., 2020, p. 56).</w:t>
      </w:r>
    </w:p>
    <w:p w14:paraId="08C496A9" w14:textId="7FA68EEE" w:rsidR="00B551F0" w:rsidRDefault="00F524AD" w:rsidP="00F524AD">
      <w:pPr>
        <w:spacing w:line="360" w:lineRule="auto"/>
        <w:jc w:val="both"/>
        <w:rPr>
          <w:rFonts w:ascii="Arial" w:hAnsi="Arial" w:cs="Arial"/>
          <w:sz w:val="24"/>
          <w:szCs w:val="24"/>
          <w:lang w:val="pt-BR" w:eastAsia="pt-BR"/>
        </w:rPr>
      </w:pPr>
      <w:r>
        <w:rPr>
          <w:rFonts w:ascii="Arial" w:hAnsi="Arial" w:cs="Arial"/>
          <w:sz w:val="24"/>
          <w:szCs w:val="24"/>
          <w:lang w:val="pt-BR" w:eastAsia="pt-BR"/>
        </w:rPr>
        <w:tab/>
      </w:r>
      <w:r w:rsidRPr="00F524AD">
        <w:rPr>
          <w:rFonts w:ascii="Arial" w:hAnsi="Arial" w:cs="Arial"/>
          <w:sz w:val="24"/>
          <w:szCs w:val="24"/>
          <w:lang w:val="pt-BR" w:eastAsia="pt-BR"/>
        </w:rPr>
        <w:t>No Tribunal do Júri, essa vulnerabilidade é ainda maior, pois os jurados decidem por íntima convicção, sem necessidade de fundamentar suas decisões, sendo, portanto, alvos fáceis da manipulação emocional promovida nas redes sociais.</w:t>
      </w:r>
    </w:p>
    <w:p w14:paraId="657D4D89" w14:textId="77777777" w:rsidR="00B551F0" w:rsidRDefault="00B551F0" w:rsidP="00BC1231">
      <w:pPr>
        <w:widowControl/>
        <w:autoSpaceDE/>
        <w:autoSpaceDN/>
        <w:spacing w:line="360" w:lineRule="auto"/>
        <w:jc w:val="both"/>
        <w:rPr>
          <w:rFonts w:ascii="Arial" w:hAnsi="Arial" w:cs="Arial"/>
          <w:sz w:val="24"/>
          <w:szCs w:val="24"/>
          <w:lang w:val="pt-BR" w:eastAsia="pt-BR"/>
        </w:rPr>
      </w:pPr>
    </w:p>
    <w:p w14:paraId="612A5569" w14:textId="33893767" w:rsidR="00BC1231" w:rsidRPr="00B551F0" w:rsidRDefault="00F524AD" w:rsidP="00B551F0">
      <w:pPr>
        <w:pStyle w:val="Corpodetexto"/>
        <w:numPr>
          <w:ilvl w:val="1"/>
          <w:numId w:val="2"/>
        </w:numPr>
        <w:spacing w:line="360" w:lineRule="auto"/>
        <w:rPr>
          <w:rFonts w:ascii="Arial" w:hAnsi="Arial" w:cs="Arial"/>
          <w:lang w:val="pt-BR"/>
        </w:rPr>
      </w:pPr>
      <w:bookmarkStart w:id="15" w:name="_Hlk227148878"/>
      <w:r w:rsidRPr="00F524AD">
        <w:rPr>
          <w:rFonts w:ascii="Arial" w:hAnsi="Arial" w:cs="Arial"/>
          <w:lang w:val="pt-BR"/>
        </w:rPr>
        <w:t>O FENÔMENO DO TRIAL BY MEDIA (JULGAMENTO PELA MÍDIA) NA ERA DIGITAL</w:t>
      </w:r>
    </w:p>
    <w:bookmarkEnd w:id="15"/>
    <w:p w14:paraId="06AE223D" w14:textId="7B1D194C" w:rsidR="00F524AD" w:rsidRPr="00F524AD" w:rsidRDefault="00F524AD" w:rsidP="00F524AD">
      <w:pPr>
        <w:spacing w:line="360" w:lineRule="auto"/>
        <w:jc w:val="both"/>
        <w:rPr>
          <w:rFonts w:ascii="Arial" w:hAnsi="Arial" w:cs="Arial"/>
          <w:sz w:val="24"/>
          <w:szCs w:val="24"/>
          <w:lang w:val="pt-BR"/>
        </w:rPr>
      </w:pPr>
      <w:r>
        <w:rPr>
          <w:rFonts w:ascii="Arial" w:hAnsi="Arial" w:cs="Arial"/>
          <w:sz w:val="24"/>
          <w:szCs w:val="24"/>
          <w:lang w:val="pt-BR"/>
        </w:rPr>
        <w:tab/>
      </w:r>
      <w:r w:rsidRPr="00F524AD">
        <w:rPr>
          <w:rFonts w:ascii="Arial" w:hAnsi="Arial" w:cs="Arial"/>
          <w:sz w:val="24"/>
          <w:szCs w:val="24"/>
          <w:lang w:val="pt-BR"/>
        </w:rPr>
        <w:t>O Trial by Media, ou Julgamento pela Mídia, refere-se à realização de um julgamento paralelo pela opinião pública, que corre à margem do devido processo legal e, frequentemente, chega a um veredito muito antes do Poder Judiciário. Se na era da televisão esse fenômeno já era preocupante, na era digital ele se tornou incontrolável e onipresente.</w:t>
      </w:r>
    </w:p>
    <w:p w14:paraId="5C90040F" w14:textId="3466D699" w:rsidR="00F524AD" w:rsidRPr="00F524AD" w:rsidRDefault="00F524AD" w:rsidP="00F524AD">
      <w:pPr>
        <w:spacing w:line="360" w:lineRule="auto"/>
        <w:jc w:val="both"/>
        <w:rPr>
          <w:rFonts w:ascii="Arial" w:hAnsi="Arial" w:cs="Arial"/>
          <w:sz w:val="24"/>
          <w:szCs w:val="24"/>
          <w:lang w:val="pt-BR"/>
        </w:rPr>
      </w:pPr>
      <w:r>
        <w:rPr>
          <w:rFonts w:ascii="Arial" w:hAnsi="Arial" w:cs="Arial"/>
          <w:sz w:val="24"/>
          <w:szCs w:val="24"/>
          <w:lang w:val="pt-BR"/>
        </w:rPr>
        <w:tab/>
      </w:r>
      <w:r w:rsidRPr="00F524AD">
        <w:rPr>
          <w:rFonts w:ascii="Arial" w:hAnsi="Arial" w:cs="Arial"/>
          <w:sz w:val="24"/>
          <w:szCs w:val="24"/>
          <w:lang w:val="pt-BR"/>
        </w:rPr>
        <w:t>Nesse tribunal paralelo, não há contraditório, ampla defesa ou regras de competência. A acusação é feita por manchetes sensacionalistas e posts virais; a defesa é silenciada ou ridicularizada nos comentários; e a sentença é o "cancelamento" ou linchamento virtual.</w:t>
      </w:r>
    </w:p>
    <w:p w14:paraId="6A9B4A9E" w14:textId="7483B4A4" w:rsidR="00F524AD" w:rsidRPr="00F524AD" w:rsidRDefault="00F524AD" w:rsidP="00F524AD">
      <w:pPr>
        <w:spacing w:line="360" w:lineRule="auto"/>
        <w:jc w:val="both"/>
        <w:rPr>
          <w:rFonts w:ascii="Arial" w:hAnsi="Arial" w:cs="Arial"/>
          <w:sz w:val="24"/>
          <w:szCs w:val="24"/>
          <w:lang w:val="pt-BR"/>
        </w:rPr>
      </w:pPr>
      <w:r>
        <w:rPr>
          <w:rFonts w:ascii="Arial" w:hAnsi="Arial" w:cs="Arial"/>
          <w:sz w:val="24"/>
          <w:szCs w:val="24"/>
          <w:lang w:val="pt-BR"/>
        </w:rPr>
        <w:tab/>
      </w:r>
      <w:r w:rsidR="00DD5866" w:rsidRPr="00DD5866">
        <w:rPr>
          <w:rFonts w:ascii="Arial" w:hAnsi="Arial" w:cs="Arial"/>
          <w:sz w:val="24"/>
          <w:szCs w:val="24"/>
          <w:lang w:val="pt-BR"/>
        </w:rPr>
        <w:t>Rubens Casara (2015, p. 34)</w:t>
      </w:r>
      <w:r w:rsidR="00DD5866">
        <w:rPr>
          <w:rFonts w:ascii="Arial" w:hAnsi="Arial" w:cs="Arial"/>
          <w:sz w:val="24"/>
          <w:szCs w:val="24"/>
          <w:lang w:val="pt-BR"/>
        </w:rPr>
        <w:t xml:space="preserve"> </w:t>
      </w:r>
      <w:r w:rsidRPr="00F524AD">
        <w:rPr>
          <w:rFonts w:ascii="Arial" w:hAnsi="Arial" w:cs="Arial"/>
          <w:sz w:val="24"/>
          <w:szCs w:val="24"/>
          <w:lang w:val="pt-BR"/>
        </w:rPr>
        <w:t xml:space="preserve">explica que esse fenômeno transforma o processo penal em um espetáculo de entretenimento, onde a racionalidade jurídica é substituída pela emoção punitivista. O autor destaca que a sociedade, amedrontada </w:t>
      </w:r>
      <w:r w:rsidRPr="00F524AD">
        <w:rPr>
          <w:rFonts w:ascii="Arial" w:hAnsi="Arial" w:cs="Arial"/>
          <w:sz w:val="24"/>
          <w:szCs w:val="24"/>
          <w:lang w:val="pt-BR"/>
        </w:rPr>
        <w:lastRenderedPageBreak/>
        <w:t>pela violência urbana, busca na punição exemplar do "monstro da vez" uma falsa sensação de segurança.</w:t>
      </w:r>
    </w:p>
    <w:p w14:paraId="4F135022" w14:textId="58160615" w:rsidR="00F524AD" w:rsidRDefault="00F524AD" w:rsidP="00F524AD">
      <w:pPr>
        <w:spacing w:line="360" w:lineRule="auto"/>
        <w:jc w:val="both"/>
        <w:rPr>
          <w:rFonts w:ascii="Arial" w:hAnsi="Arial" w:cs="Arial"/>
          <w:sz w:val="24"/>
          <w:szCs w:val="24"/>
          <w:lang w:val="pt-BR"/>
        </w:rPr>
      </w:pPr>
      <w:r>
        <w:rPr>
          <w:rFonts w:ascii="Arial" w:hAnsi="Arial" w:cs="Arial"/>
          <w:sz w:val="24"/>
          <w:szCs w:val="24"/>
          <w:lang w:val="pt-BR"/>
        </w:rPr>
        <w:tab/>
      </w:r>
      <w:r w:rsidRPr="00F524AD">
        <w:rPr>
          <w:rFonts w:ascii="Arial" w:hAnsi="Arial" w:cs="Arial"/>
          <w:sz w:val="24"/>
          <w:szCs w:val="24"/>
          <w:lang w:val="pt-BR"/>
        </w:rPr>
        <w:t>Nilo Batista (2003), ao analisar a relação entre mídia e sistema penal, aponta que os meios de comunicação atuam como "aparelhos ideológicos" que selecionam quem deve ser punido. Em suas palavras:</w:t>
      </w:r>
    </w:p>
    <w:p w14:paraId="22056C27" w14:textId="77777777" w:rsidR="00885EEC" w:rsidRPr="00F524AD" w:rsidRDefault="00885EEC" w:rsidP="00F524AD">
      <w:pPr>
        <w:spacing w:line="360" w:lineRule="auto"/>
        <w:jc w:val="both"/>
        <w:rPr>
          <w:rFonts w:ascii="Arial" w:hAnsi="Arial" w:cs="Arial"/>
          <w:sz w:val="24"/>
          <w:szCs w:val="24"/>
          <w:lang w:val="pt-BR"/>
        </w:rPr>
      </w:pPr>
    </w:p>
    <w:p w14:paraId="58D50BCF" w14:textId="4F5E5CD0" w:rsidR="00F524AD" w:rsidRPr="00F524AD" w:rsidRDefault="00F524AD" w:rsidP="00F524AD">
      <w:pPr>
        <w:pStyle w:val="Corpodetexto"/>
        <w:spacing w:line="360" w:lineRule="auto"/>
        <w:ind w:left="2268"/>
        <w:jc w:val="both"/>
        <w:rPr>
          <w:rFonts w:ascii="Arial" w:hAnsi="Arial" w:cs="Arial"/>
          <w:sz w:val="20"/>
          <w:szCs w:val="20"/>
          <w:lang w:val="pt-BR"/>
        </w:rPr>
      </w:pPr>
      <w:r w:rsidRPr="00F524AD">
        <w:rPr>
          <w:rFonts w:ascii="Arial" w:hAnsi="Arial" w:cs="Arial"/>
          <w:sz w:val="20"/>
          <w:szCs w:val="20"/>
          <w:lang w:val="pt-BR"/>
        </w:rPr>
        <w:t>A mídia não apenas relata o crime, mas constrói a realidade criminal. Ela seleciona os fatos, define os estereótipos de criminoso e vítima, e dita a pauta do sistema penal, pressionando as agências de controle (polícia, Ministério Público e Judiciário) a darem uma resposta rápida, muitas vezes atropelando garantias fundamentais. (BATISTA, 2003, p. 28).</w:t>
      </w:r>
    </w:p>
    <w:p w14:paraId="6AD4D454" w14:textId="04163353" w:rsidR="00F524AD" w:rsidRDefault="00F524AD" w:rsidP="00F524AD">
      <w:pPr>
        <w:spacing w:line="360" w:lineRule="auto"/>
        <w:jc w:val="both"/>
        <w:rPr>
          <w:rFonts w:ascii="Arial" w:hAnsi="Arial" w:cs="Arial"/>
          <w:sz w:val="24"/>
          <w:szCs w:val="24"/>
          <w:lang w:val="pt-BR"/>
        </w:rPr>
      </w:pPr>
      <w:r>
        <w:rPr>
          <w:rFonts w:ascii="Arial" w:hAnsi="Arial" w:cs="Arial"/>
          <w:sz w:val="24"/>
          <w:szCs w:val="24"/>
          <w:lang w:val="pt-BR"/>
        </w:rPr>
        <w:tab/>
      </w:r>
      <w:r w:rsidRPr="00F524AD">
        <w:rPr>
          <w:rFonts w:ascii="Arial" w:hAnsi="Arial" w:cs="Arial"/>
          <w:sz w:val="24"/>
          <w:szCs w:val="24"/>
          <w:lang w:val="pt-BR"/>
        </w:rPr>
        <w:t>Na era digital, o Trial by Media ganha uma nova dimensão: a perenidade. A condenação social na internet deixa rastros digitais eternos. Mesmo que o réu seja absolvido no processo judicial anos depois, a "verdade" construída nas redes sociais (a de que ele é culpado) permanece acessível em qualquer busca no Google, perpetuando a pena de infâmia e dificultando a ressocialização.</w:t>
      </w:r>
    </w:p>
    <w:p w14:paraId="1A5F407C" w14:textId="746E4042" w:rsidR="00AD2CEC" w:rsidRDefault="00AD2CEC" w:rsidP="00F524AD">
      <w:pPr>
        <w:spacing w:line="360" w:lineRule="auto"/>
        <w:jc w:val="both"/>
        <w:rPr>
          <w:rFonts w:ascii="Arial" w:hAnsi="Arial" w:cs="Arial"/>
          <w:sz w:val="24"/>
          <w:szCs w:val="24"/>
        </w:rPr>
      </w:pPr>
      <w:r>
        <w:rPr>
          <w:rFonts w:ascii="Arial" w:hAnsi="Arial" w:cs="Arial"/>
          <w:sz w:val="24"/>
          <w:szCs w:val="24"/>
        </w:rPr>
        <w:tab/>
      </w:r>
      <w:r w:rsidRPr="00AD2CEC">
        <w:rPr>
          <w:rFonts w:ascii="Arial" w:hAnsi="Arial" w:cs="Arial"/>
          <w:sz w:val="24"/>
          <w:szCs w:val="24"/>
        </w:rPr>
        <w:t>Apesar de a doutrina clássica do processo penal direcionar suas críticas majoritariamente aos prejuízos que o Trial by Media inflige ao acusado, é urgente que se faça uma releitura desse fenômeno sob a perspectiva da proteção à vítima e da eficiência na prestação jurisdicional. O "Processo Penal do Espetáculo" não é um risco apenas para o réu; ele é, fundamentalmente, uma ameaça à segurança jurídica da própria condenação.</w:t>
      </w:r>
    </w:p>
    <w:p w14:paraId="12D8FA0B" w14:textId="4B5E4EEA" w:rsidR="00AD2CEC" w:rsidRDefault="00AD2CEC" w:rsidP="00AD2CEC">
      <w:pPr>
        <w:spacing w:line="360" w:lineRule="auto"/>
        <w:jc w:val="both"/>
        <w:rPr>
          <w:rFonts w:ascii="Arial" w:hAnsi="Arial" w:cs="Arial"/>
          <w:sz w:val="24"/>
          <w:szCs w:val="24"/>
          <w:lang w:val="pt-BR"/>
        </w:rPr>
      </w:pPr>
      <w:r>
        <w:rPr>
          <w:rFonts w:ascii="Arial" w:hAnsi="Arial" w:cs="Arial"/>
          <w:sz w:val="24"/>
          <w:szCs w:val="24"/>
          <w:lang w:val="pt-BR"/>
        </w:rPr>
        <w:tab/>
      </w:r>
      <w:r w:rsidRPr="00AD2CEC">
        <w:rPr>
          <w:rFonts w:ascii="Arial" w:hAnsi="Arial" w:cs="Arial"/>
          <w:sz w:val="24"/>
          <w:szCs w:val="24"/>
          <w:lang w:val="pt-BR"/>
        </w:rPr>
        <w:t>Quando a pressão midiática e o linchamento virtual contaminam a imparcialidade dos julgadores</w:t>
      </w:r>
      <w:r>
        <w:rPr>
          <w:rFonts w:ascii="Arial" w:hAnsi="Arial" w:cs="Arial"/>
          <w:sz w:val="24"/>
          <w:szCs w:val="24"/>
          <w:lang w:val="pt-BR"/>
        </w:rPr>
        <w:t>,</w:t>
      </w:r>
      <w:r w:rsidRPr="00AD2CEC">
        <w:rPr>
          <w:rFonts w:ascii="Arial" w:hAnsi="Arial" w:cs="Arial"/>
          <w:sz w:val="24"/>
          <w:szCs w:val="24"/>
          <w:lang w:val="pt-BR"/>
        </w:rPr>
        <w:t xml:space="preserve"> especialmente os jurados leigos no Tribunal do Júri, cria-se um cenário de extrema fragilidade processual. Uma condenação motivada pelo clamor público e pela espetacularização do caso, em detrimento do rigor técnico das provas, torna-se altamente suscetível a decretações de nulidade pelos tribunais superiores. Consequentemente, o processo é anulado e devolvido à estaca zero, submetendo a família da vítima à dor da revitimização institucional em um novo julgamento e prolongando a sensação de impunidade.</w:t>
      </w:r>
    </w:p>
    <w:p w14:paraId="66DEF81C" w14:textId="7CACE260" w:rsidR="00AD2CEC" w:rsidRPr="00AD2CEC" w:rsidRDefault="00AD2CEC" w:rsidP="00F524AD">
      <w:pPr>
        <w:spacing w:line="360" w:lineRule="auto"/>
        <w:jc w:val="both"/>
        <w:rPr>
          <w:rFonts w:ascii="Arial" w:hAnsi="Arial" w:cs="Arial"/>
          <w:sz w:val="24"/>
          <w:szCs w:val="24"/>
        </w:rPr>
      </w:pPr>
      <w:r>
        <w:rPr>
          <w:rFonts w:ascii="Arial" w:hAnsi="Arial" w:cs="Arial"/>
          <w:sz w:val="24"/>
          <w:szCs w:val="24"/>
        </w:rPr>
        <w:tab/>
      </w:r>
      <w:r w:rsidRPr="00AD2CEC">
        <w:rPr>
          <w:rFonts w:ascii="Arial" w:hAnsi="Arial" w:cs="Arial"/>
          <w:sz w:val="24"/>
          <w:szCs w:val="24"/>
        </w:rPr>
        <w:t xml:space="preserve">Nesse sentido, a defesa intransigente do devido processo legal, da presunção de inocência e da imparcialidade não significa adotar uma postura de leniência para com o agressor. Pelo contrário: garantir que o julgamento ocorra blindado de interferências externas é a única forma de assegurar que a resposta estatal seja válida, definitiva e inquestionável. Para as vítimas de feminicídio, a verdadeira justiça </w:t>
      </w:r>
      <w:r w:rsidRPr="00AD2CEC">
        <w:rPr>
          <w:rFonts w:ascii="Arial" w:hAnsi="Arial" w:cs="Arial"/>
          <w:sz w:val="24"/>
          <w:szCs w:val="24"/>
        </w:rPr>
        <w:lastRenderedPageBreak/>
        <w:t>não reside no justiçamento sumário e volátil da internet, mas sim em uma condenação técnica e firme, capaz de encerrar o ciclo de violência sem deixar margens para retrocessos processuais.</w:t>
      </w:r>
    </w:p>
    <w:p w14:paraId="1DC90A5E" w14:textId="284171C6" w:rsidR="00F524AD" w:rsidRPr="00F524AD" w:rsidRDefault="00BC1231" w:rsidP="00F524AD">
      <w:pPr>
        <w:pStyle w:val="Corpodetexto"/>
        <w:spacing w:line="360" w:lineRule="auto"/>
        <w:jc w:val="both"/>
        <w:rPr>
          <w:rFonts w:ascii="Arial" w:hAnsi="Arial" w:cs="Arial"/>
          <w:lang w:val="pt-BR"/>
        </w:rPr>
      </w:pPr>
      <w:r>
        <w:rPr>
          <w:rFonts w:ascii="Arial" w:hAnsi="Arial" w:cs="Arial"/>
          <w:lang w:val="pt-BR"/>
        </w:rPr>
        <w:tab/>
      </w:r>
    </w:p>
    <w:p w14:paraId="315EBA43" w14:textId="62F79C1C" w:rsidR="00183013" w:rsidRDefault="009B345B" w:rsidP="009B345B">
      <w:pPr>
        <w:pStyle w:val="Ttulo2"/>
        <w:numPr>
          <w:ilvl w:val="0"/>
          <w:numId w:val="2"/>
        </w:numPr>
        <w:tabs>
          <w:tab w:val="left" w:pos="321"/>
        </w:tabs>
        <w:spacing w:line="360" w:lineRule="auto"/>
        <w:rPr>
          <w:rFonts w:ascii="Arial" w:hAnsi="Arial" w:cs="Arial"/>
        </w:rPr>
      </w:pPr>
      <w:bookmarkStart w:id="16" w:name="_Toc227148711"/>
      <w:r w:rsidRPr="009B345B">
        <w:rPr>
          <w:rFonts w:ascii="Arial" w:hAnsi="Arial" w:cs="Arial"/>
        </w:rPr>
        <w:t>O FEMINICÍDIO NA ERA DAS REDES SOCIAIS</w:t>
      </w:r>
      <w:bookmarkEnd w:id="16"/>
    </w:p>
    <w:p w14:paraId="0BF2C54A" w14:textId="0D4D9EF9" w:rsidR="009B345B" w:rsidRDefault="009B345B" w:rsidP="009B345B">
      <w:pPr>
        <w:spacing w:line="360" w:lineRule="auto"/>
        <w:jc w:val="both"/>
        <w:rPr>
          <w:rFonts w:ascii="Arial" w:hAnsi="Arial" w:cs="Arial"/>
          <w:sz w:val="24"/>
          <w:szCs w:val="24"/>
          <w:lang w:val="pt-BR"/>
        </w:rPr>
      </w:pPr>
      <w:r>
        <w:rPr>
          <w:rFonts w:ascii="Arial" w:hAnsi="Arial" w:cs="Arial"/>
          <w:sz w:val="24"/>
          <w:szCs w:val="24"/>
          <w:lang w:val="pt-BR"/>
        </w:rPr>
        <w:tab/>
      </w:r>
      <w:r w:rsidRPr="009B345B">
        <w:rPr>
          <w:rFonts w:ascii="Arial" w:hAnsi="Arial" w:cs="Arial"/>
          <w:sz w:val="24"/>
          <w:szCs w:val="24"/>
          <w:lang w:val="pt-BR"/>
        </w:rPr>
        <w:t>O feminicídio ocupa uma posição singular no ordenamento jurídico e no imaginário social brasileiro. Diferente de outros tipos penais, ele carrega consigo uma dimensão histórica e estrutural que transcende o fato criminoso isolado: é a expressão mais extrema de uma violência que se enraíza na desigualdade de gênero, no patriarcado e na naturalização da dominação masculina sobre a mulher. Por essa razão, quando um caso de feminicídio ganha visibilidade, a reação social não é meramente de indignação pontual, mas de reconhecimento coletivo de uma violência que milhões de mulheres vivenciam cotidianamente em graus variados.</w:t>
      </w:r>
    </w:p>
    <w:p w14:paraId="13664AE8" w14:textId="062B78C8" w:rsidR="009B345B" w:rsidRPr="009B345B" w:rsidRDefault="009B345B" w:rsidP="009B345B">
      <w:pPr>
        <w:spacing w:line="360" w:lineRule="auto"/>
        <w:jc w:val="both"/>
        <w:rPr>
          <w:rFonts w:ascii="Arial" w:hAnsi="Arial" w:cs="Arial"/>
          <w:sz w:val="24"/>
          <w:szCs w:val="24"/>
          <w:lang w:val="pt-BR"/>
        </w:rPr>
      </w:pPr>
      <w:r>
        <w:rPr>
          <w:rFonts w:ascii="Arial" w:hAnsi="Arial" w:cs="Arial"/>
          <w:sz w:val="24"/>
          <w:szCs w:val="24"/>
          <w:lang w:val="pt-BR"/>
        </w:rPr>
        <w:tab/>
      </w:r>
      <w:r w:rsidRPr="009B345B">
        <w:rPr>
          <w:rFonts w:ascii="Arial" w:hAnsi="Arial" w:cs="Arial"/>
          <w:sz w:val="24"/>
          <w:szCs w:val="24"/>
          <w:lang w:val="pt-BR"/>
        </w:rPr>
        <w:t>É precisamente essa carga simbólica que torna o feminicídio um terreno especialmente fértil para a atuação das redes sociais. A internet se tornou, simultaneamente, um espaço de denúncia e combate à violência de gênero e um palco de julgamentos precipitados que podem comprometer as garantias processuais dos acusados. Compreender essa dualidade é o objetivo central deste capítulo.</w:t>
      </w:r>
    </w:p>
    <w:p w14:paraId="59E8ABAC" w14:textId="77777777" w:rsidR="009B345B" w:rsidRPr="009B345B" w:rsidRDefault="009B345B" w:rsidP="009B345B">
      <w:pPr>
        <w:spacing w:line="360" w:lineRule="auto"/>
        <w:jc w:val="both"/>
        <w:rPr>
          <w:rFonts w:ascii="Arial" w:hAnsi="Arial" w:cs="Arial"/>
          <w:sz w:val="24"/>
          <w:szCs w:val="24"/>
          <w:lang w:val="pt-BR"/>
        </w:rPr>
      </w:pPr>
    </w:p>
    <w:p w14:paraId="44F0B3C0" w14:textId="4B004B1A" w:rsidR="009B345B" w:rsidRPr="004949E2" w:rsidRDefault="009B345B" w:rsidP="009B345B">
      <w:pPr>
        <w:pStyle w:val="PargrafodaLista"/>
        <w:numPr>
          <w:ilvl w:val="1"/>
          <w:numId w:val="2"/>
        </w:numPr>
        <w:tabs>
          <w:tab w:val="left" w:pos="499"/>
        </w:tabs>
        <w:spacing w:line="360" w:lineRule="auto"/>
        <w:ind w:left="499" w:hanging="358"/>
        <w:rPr>
          <w:rFonts w:ascii="Arial" w:hAnsi="Arial" w:cs="Arial"/>
          <w:sz w:val="24"/>
        </w:rPr>
      </w:pPr>
      <w:r w:rsidRPr="009B345B">
        <w:rPr>
          <w:rFonts w:ascii="Arial" w:hAnsi="Arial" w:cs="Arial"/>
          <w:sz w:val="24"/>
        </w:rPr>
        <w:t>O FEMINICÍDIO NO BRASIL: BREVE CONTEXTO LEGAL E SOCIAL</w:t>
      </w:r>
    </w:p>
    <w:p w14:paraId="3D5CB3A9" w14:textId="1DC06BCD" w:rsidR="009B345B" w:rsidRDefault="009B345B" w:rsidP="009B345B">
      <w:pPr>
        <w:spacing w:line="360" w:lineRule="auto"/>
        <w:jc w:val="both"/>
        <w:rPr>
          <w:rFonts w:ascii="Arial" w:hAnsi="Arial" w:cs="Arial"/>
          <w:sz w:val="24"/>
          <w:szCs w:val="24"/>
          <w:lang w:val="pt-BR"/>
        </w:rPr>
      </w:pPr>
      <w:r>
        <w:rPr>
          <w:rFonts w:ascii="Arial" w:hAnsi="Arial" w:cs="Arial"/>
          <w:sz w:val="24"/>
          <w:szCs w:val="24"/>
          <w:lang w:val="pt-BR"/>
        </w:rPr>
        <w:tab/>
      </w:r>
      <w:r w:rsidRPr="009B345B">
        <w:rPr>
          <w:rFonts w:ascii="Arial" w:hAnsi="Arial" w:cs="Arial"/>
          <w:sz w:val="24"/>
          <w:szCs w:val="24"/>
          <w:lang w:val="pt-BR"/>
        </w:rPr>
        <w:t>O feminicídio, enquanto categoria jurídica no Brasil, é relativamente recente. Antes da Lei nº 13.104/2015, o assassinato de mulheres em razão de seu gênero era frequentemente enquadrado como homicídio simples ou, quando muito, homicídio qualificado por motivo torpe, sem qualquer referência expressa à motivação de gênero. Essa lacuna legislativa não era meramente técnica: ela refletia uma invisibilidade estrutural da violência contra a mulher dentro do próprio sistema de justiça.</w:t>
      </w:r>
    </w:p>
    <w:p w14:paraId="16954152" w14:textId="6B5324F3" w:rsidR="009B345B" w:rsidRDefault="009B345B" w:rsidP="009B345B">
      <w:pPr>
        <w:spacing w:line="360" w:lineRule="auto"/>
        <w:jc w:val="both"/>
        <w:rPr>
          <w:rFonts w:ascii="Arial" w:hAnsi="Arial" w:cs="Arial"/>
          <w:sz w:val="24"/>
          <w:szCs w:val="24"/>
          <w:lang w:val="pt-BR"/>
        </w:rPr>
      </w:pPr>
      <w:r>
        <w:rPr>
          <w:rFonts w:ascii="Arial" w:hAnsi="Arial" w:cs="Arial"/>
          <w:sz w:val="24"/>
          <w:szCs w:val="24"/>
          <w:lang w:val="pt-BR"/>
        </w:rPr>
        <w:tab/>
      </w:r>
      <w:r w:rsidRPr="009B345B">
        <w:rPr>
          <w:rFonts w:ascii="Arial" w:hAnsi="Arial" w:cs="Arial"/>
          <w:sz w:val="24"/>
          <w:szCs w:val="24"/>
          <w:lang w:val="pt-BR"/>
        </w:rPr>
        <w:t>A tipificação do feminicídio como qualificadora do homicídio (art. 121, §2º, VI, do Código Penal) representa um marco simbólico e prático. Simbolicamente, o Estado reconhece que mulheres são mortas por serem mulheres — e que isso exige uma resposta penal diferenciada. Praticamente, a pena passa a variar de doze a trinta anos de reclusão, podendo ser ainda majorada quando o crime é cometido durante a gestação, contra menor de 14 anos, na presença de descendentes ou ascendentes da vítima, ou em situação de vulnerabilidade.</w:t>
      </w:r>
    </w:p>
    <w:p w14:paraId="22751219" w14:textId="6511B36B" w:rsidR="009B345B" w:rsidRDefault="009B345B" w:rsidP="009B345B">
      <w:pPr>
        <w:spacing w:line="360" w:lineRule="auto"/>
        <w:jc w:val="both"/>
        <w:rPr>
          <w:rFonts w:ascii="Arial" w:hAnsi="Arial" w:cs="Arial"/>
          <w:sz w:val="24"/>
          <w:szCs w:val="24"/>
          <w:lang w:val="pt-BR"/>
        </w:rPr>
      </w:pPr>
      <w:r>
        <w:rPr>
          <w:rFonts w:ascii="Arial" w:hAnsi="Arial" w:cs="Arial"/>
          <w:sz w:val="24"/>
          <w:szCs w:val="24"/>
          <w:lang w:val="pt-BR"/>
        </w:rPr>
        <w:lastRenderedPageBreak/>
        <w:tab/>
      </w:r>
      <w:r w:rsidRPr="009B345B">
        <w:rPr>
          <w:rFonts w:ascii="Arial" w:hAnsi="Arial" w:cs="Arial"/>
          <w:sz w:val="24"/>
          <w:szCs w:val="24"/>
          <w:lang w:val="pt-BR"/>
        </w:rPr>
        <w:t>Alice Bianchini (2018, p. 187) explica que o feminicídio se caracteriza quando o homicídio é praticado em razão da condição de sexo feminino, abrangendo duas hipóteses: a violência doméstica e familiar, e o menosprezo ou discriminação à condição de mulher. Para a autora, a tipificação não cria um "privilégio" feminino, mas corrige uma histórica distorção do sistema punitivo, que por décadas tratou a violência de gênero como questão privada e de menor gravidade.</w:t>
      </w:r>
    </w:p>
    <w:p w14:paraId="0A985E0C" w14:textId="60BEE0FE" w:rsidR="009B345B" w:rsidRPr="009B345B" w:rsidRDefault="009B345B" w:rsidP="009B345B">
      <w:pPr>
        <w:spacing w:line="360" w:lineRule="auto"/>
        <w:jc w:val="both"/>
        <w:rPr>
          <w:rFonts w:ascii="Arial" w:hAnsi="Arial" w:cs="Arial"/>
          <w:sz w:val="24"/>
          <w:szCs w:val="24"/>
          <w:lang w:val="pt-BR"/>
        </w:rPr>
      </w:pPr>
      <w:r>
        <w:rPr>
          <w:rFonts w:ascii="Arial" w:hAnsi="Arial" w:cs="Arial"/>
          <w:sz w:val="24"/>
          <w:szCs w:val="24"/>
          <w:lang w:val="pt-BR"/>
        </w:rPr>
        <w:tab/>
      </w:r>
      <w:r w:rsidRPr="009B345B">
        <w:rPr>
          <w:rFonts w:ascii="Arial" w:hAnsi="Arial" w:cs="Arial"/>
          <w:sz w:val="24"/>
          <w:szCs w:val="24"/>
          <w:lang w:val="pt-BR"/>
        </w:rPr>
        <w:t>Do ponto de vista técnico-dogmático, Rogério Sanches Cunha (2020, p. 78) esclarece que o feminicídio é uma qualificadora de natureza objetiva, pois diz respeito ao modo de execução do crime (no contexto de violência doméstica) e não a motivos subjetivos do agente, o que impossibilita o reconhecimento simultâneo de privilégios subjetivos como o homicídio passional, questão que gera aceso debate doutrinário e jurisprudencial.</w:t>
      </w:r>
    </w:p>
    <w:p w14:paraId="074A34CE" w14:textId="15CA6145" w:rsidR="009B345B" w:rsidRPr="009B345B" w:rsidRDefault="009B345B" w:rsidP="009B345B">
      <w:pPr>
        <w:spacing w:line="360" w:lineRule="auto"/>
        <w:jc w:val="both"/>
        <w:rPr>
          <w:rFonts w:ascii="Arial" w:hAnsi="Arial" w:cs="Arial"/>
          <w:sz w:val="24"/>
          <w:szCs w:val="24"/>
          <w:lang w:val="pt-BR"/>
        </w:rPr>
      </w:pPr>
      <w:r>
        <w:rPr>
          <w:rFonts w:ascii="Arial" w:hAnsi="Arial" w:cs="Arial"/>
          <w:sz w:val="24"/>
          <w:szCs w:val="24"/>
          <w:lang w:val="pt-BR"/>
        </w:rPr>
        <w:tab/>
      </w:r>
      <w:r w:rsidRPr="009B345B">
        <w:rPr>
          <w:rFonts w:ascii="Arial" w:hAnsi="Arial" w:cs="Arial"/>
          <w:sz w:val="24"/>
          <w:szCs w:val="24"/>
          <w:lang w:val="pt-BR"/>
        </w:rPr>
        <w:t>No plano social, os números são alarmantes e justificam a mobilização que as redes sociais exercem em torno do tema. Segundo o Atlas da Violência (2021), o Brasil figurava como o 5º país com maior taxa de homicídio de mulheres no mundo, tendo essa média crescido mesmo após a promulgação das leis de proteção. Dados do Fórum Brasileiro de Segurança Pública apontam que, em média, uma mulher é assassinada a cada sete horas no país, e a grande maioria dos casos envolve parceiros ou ex-parceiros íntimos.</w:t>
      </w:r>
    </w:p>
    <w:p w14:paraId="38C88B12" w14:textId="10024440" w:rsidR="009B345B" w:rsidRDefault="009B345B" w:rsidP="009B345B">
      <w:pPr>
        <w:spacing w:line="360" w:lineRule="auto"/>
        <w:jc w:val="both"/>
        <w:rPr>
          <w:rFonts w:ascii="Arial" w:hAnsi="Arial" w:cs="Arial"/>
          <w:sz w:val="24"/>
          <w:szCs w:val="24"/>
          <w:lang w:val="pt-BR"/>
        </w:rPr>
      </w:pPr>
      <w:r>
        <w:rPr>
          <w:rFonts w:ascii="Arial" w:hAnsi="Arial" w:cs="Arial"/>
          <w:sz w:val="24"/>
          <w:szCs w:val="24"/>
          <w:lang w:val="pt-BR"/>
        </w:rPr>
        <w:tab/>
      </w:r>
      <w:r w:rsidRPr="009B345B">
        <w:rPr>
          <w:rFonts w:ascii="Arial" w:hAnsi="Arial" w:cs="Arial"/>
          <w:sz w:val="24"/>
          <w:szCs w:val="24"/>
          <w:lang w:val="pt-BR"/>
        </w:rPr>
        <w:t>Esse contexto de violência estrutural e subnotificação cria um ambiente onde a sociedade, especialmente os movimentos feministas, enxerga nas redes sociais um instrumento necessário de pressão e visibilidade. Como observa Soraia da Rosa Mendes (2020, p. 35), o sistema de justiça criminal historicamente falhou em proteger a mulher, seja pela morosidade processual, seja pela revitimização que ocorre durante as investigações e audiências. Diante dessa falha institucional, a internet emergiu como uma tribuna alternativa, onde vítimas e ativistas podem dar voz a casos que, de outro modo, seriam silenciados pelas páginas policiais dos jornais.</w:t>
      </w:r>
    </w:p>
    <w:p w14:paraId="58907064" w14:textId="77777777" w:rsidR="009B345B" w:rsidRDefault="009B345B" w:rsidP="009B345B">
      <w:pPr>
        <w:spacing w:line="360" w:lineRule="auto"/>
        <w:jc w:val="both"/>
        <w:rPr>
          <w:rFonts w:ascii="Arial" w:hAnsi="Arial" w:cs="Arial"/>
          <w:sz w:val="24"/>
          <w:szCs w:val="24"/>
          <w:lang w:val="pt-BR"/>
        </w:rPr>
      </w:pPr>
    </w:p>
    <w:p w14:paraId="5DD2EE06" w14:textId="09B38CB3" w:rsidR="009B345B" w:rsidRDefault="009B345B" w:rsidP="009B345B">
      <w:pPr>
        <w:pStyle w:val="PargrafodaLista"/>
        <w:numPr>
          <w:ilvl w:val="1"/>
          <w:numId w:val="2"/>
        </w:numPr>
        <w:tabs>
          <w:tab w:val="left" w:pos="499"/>
        </w:tabs>
        <w:spacing w:line="360" w:lineRule="auto"/>
        <w:rPr>
          <w:rFonts w:ascii="Arial" w:hAnsi="Arial" w:cs="Arial"/>
          <w:sz w:val="24"/>
        </w:rPr>
      </w:pPr>
      <w:r w:rsidRPr="009B345B">
        <w:rPr>
          <w:rFonts w:ascii="Arial" w:hAnsi="Arial" w:cs="Arial"/>
          <w:sz w:val="24"/>
        </w:rPr>
        <w:t>A INTERNET COMO FERRAMENTA DE DENÚNCIA E PRESSÃO POR JUSTIÇA</w:t>
      </w:r>
    </w:p>
    <w:p w14:paraId="5DE62B1C" w14:textId="1EA133C2" w:rsidR="009B345B" w:rsidRPr="009B345B" w:rsidRDefault="009B345B" w:rsidP="009B345B">
      <w:pPr>
        <w:tabs>
          <w:tab w:val="left" w:pos="499"/>
        </w:tabs>
        <w:spacing w:line="360" w:lineRule="auto"/>
        <w:jc w:val="both"/>
        <w:rPr>
          <w:rFonts w:ascii="Arial" w:hAnsi="Arial" w:cs="Arial"/>
          <w:sz w:val="24"/>
          <w:lang w:val="pt-BR"/>
        </w:rPr>
      </w:pPr>
      <w:r>
        <w:rPr>
          <w:rFonts w:ascii="Arial" w:hAnsi="Arial" w:cs="Arial"/>
          <w:sz w:val="24"/>
          <w:lang w:val="pt-BR"/>
        </w:rPr>
        <w:tab/>
      </w:r>
      <w:r w:rsidRPr="009B345B">
        <w:rPr>
          <w:rFonts w:ascii="Arial" w:hAnsi="Arial" w:cs="Arial"/>
          <w:sz w:val="24"/>
          <w:lang w:val="pt-BR"/>
        </w:rPr>
        <w:t>Se por um lado as redes sociais representam um risco ao devido processo legal, por outro, não se pode ignorar o papel histórico que a internet desempenhou</w:t>
      </w:r>
      <w:r>
        <w:rPr>
          <w:rFonts w:ascii="Arial" w:hAnsi="Arial" w:cs="Arial"/>
          <w:sz w:val="24"/>
          <w:lang w:val="pt-BR"/>
        </w:rPr>
        <w:t>,</w:t>
      </w:r>
      <w:r w:rsidRPr="009B345B">
        <w:rPr>
          <w:rFonts w:ascii="Arial" w:hAnsi="Arial" w:cs="Arial"/>
          <w:sz w:val="24"/>
          <w:lang w:val="pt-BR"/>
        </w:rPr>
        <w:t xml:space="preserve"> e continua desempenhando</w:t>
      </w:r>
      <w:r>
        <w:rPr>
          <w:rFonts w:ascii="Arial" w:hAnsi="Arial" w:cs="Arial"/>
          <w:sz w:val="24"/>
          <w:lang w:val="pt-BR"/>
        </w:rPr>
        <w:t>,</w:t>
      </w:r>
      <w:r w:rsidRPr="009B345B">
        <w:rPr>
          <w:rFonts w:ascii="Arial" w:hAnsi="Arial" w:cs="Arial"/>
          <w:sz w:val="24"/>
          <w:lang w:val="pt-BR"/>
        </w:rPr>
        <w:t xml:space="preserve"> na visibilização da violência de gênero no Brasil. Em um país onde o feminicídio ainda é subnotificado e onde o sistema de justiça </w:t>
      </w:r>
      <w:r w:rsidRPr="009B345B">
        <w:rPr>
          <w:rFonts w:ascii="Arial" w:hAnsi="Arial" w:cs="Arial"/>
          <w:sz w:val="24"/>
          <w:lang w:val="pt-BR"/>
        </w:rPr>
        <w:lastRenderedPageBreak/>
        <w:t>historicamente tratou a violência doméstica como questão do âmbito privado, as plataformas digitais emergiram como uma tribuna alternativa de denúncia, resistência e mobilização coletiva.</w:t>
      </w:r>
    </w:p>
    <w:p w14:paraId="777277FF" w14:textId="3173998E" w:rsidR="009B345B" w:rsidRDefault="009B345B" w:rsidP="009B345B">
      <w:pPr>
        <w:tabs>
          <w:tab w:val="left" w:pos="499"/>
        </w:tabs>
        <w:spacing w:line="360" w:lineRule="auto"/>
        <w:jc w:val="both"/>
        <w:rPr>
          <w:rFonts w:ascii="Arial" w:hAnsi="Arial" w:cs="Arial"/>
          <w:sz w:val="24"/>
          <w:lang w:val="pt-BR"/>
        </w:rPr>
      </w:pPr>
      <w:r>
        <w:rPr>
          <w:rFonts w:ascii="Arial" w:hAnsi="Arial" w:cs="Arial"/>
          <w:sz w:val="24"/>
          <w:lang w:val="pt-BR"/>
        </w:rPr>
        <w:tab/>
      </w:r>
      <w:r w:rsidRPr="009B345B">
        <w:rPr>
          <w:rFonts w:ascii="Arial" w:hAnsi="Arial" w:cs="Arial"/>
          <w:sz w:val="24"/>
          <w:lang w:val="pt-BR"/>
        </w:rPr>
        <w:t>O ciberativismo feminista encontrou nas redes sociais um instrumento poderoso de transformação da narrativa pública. Campanhas como "#EleNão", "#MeuAgressorSeChama" e "#ChegaDeEstupro mobilizaram milhões de mulheres em todo o país, tirando do silêncio histórias que jamais chegariam às páginas dos jornais ou aos corredores das delegacias. Como aponta Soraia da Rosa Mendes (2020, p. 62), o processo penal historicamente revitimizou a mulher, seja pela linguagem dos autos, seja pela postura dos operadores do direito, e as redes sociais funcionaram como um contrapeso a essa revitimização institucional, devolvendo à vítima o protagonismo de sua própria história.</w:t>
      </w:r>
    </w:p>
    <w:p w14:paraId="45949D7E" w14:textId="699E58C4" w:rsidR="007734DD" w:rsidRDefault="007734DD" w:rsidP="009B345B">
      <w:pPr>
        <w:tabs>
          <w:tab w:val="left" w:pos="499"/>
        </w:tabs>
        <w:spacing w:line="360" w:lineRule="auto"/>
        <w:jc w:val="both"/>
        <w:rPr>
          <w:rFonts w:ascii="Arial" w:hAnsi="Arial" w:cs="Arial"/>
          <w:sz w:val="24"/>
          <w:lang w:val="pt-BR"/>
        </w:rPr>
      </w:pPr>
      <w:r>
        <w:rPr>
          <w:rFonts w:ascii="Arial" w:hAnsi="Arial" w:cs="Arial"/>
          <w:sz w:val="24"/>
          <w:lang w:val="pt-BR"/>
        </w:rPr>
        <w:tab/>
      </w:r>
      <w:r w:rsidRPr="007734DD">
        <w:rPr>
          <w:rFonts w:ascii="Arial" w:hAnsi="Arial" w:cs="Arial"/>
          <w:sz w:val="24"/>
          <w:lang w:val="pt-BR"/>
        </w:rPr>
        <w:t xml:space="preserve">Pesquisas recentes confirmam essa relevância. </w:t>
      </w:r>
      <w:r w:rsidR="00DD5866" w:rsidRPr="00DD5866">
        <w:rPr>
          <w:rFonts w:ascii="Arial" w:hAnsi="Arial" w:cs="Arial"/>
          <w:sz w:val="24"/>
          <w:lang w:val="pt-BR"/>
        </w:rPr>
        <w:t>Segundo estudo publicado na Revista Convergências (MACHADO; TRIBOLI, 2023, p. 45)</w:t>
      </w:r>
      <w:r w:rsidRPr="007734DD">
        <w:rPr>
          <w:rFonts w:ascii="Arial" w:hAnsi="Arial" w:cs="Arial"/>
          <w:sz w:val="24"/>
          <w:lang w:val="pt-BR"/>
        </w:rPr>
        <w:t>, as redes sociais desempenham um papel crucial ao proporcionar um espaço para que vítimas e ativistas compartilhem relatos de violência, mobilizem o apoio da opinião pública e solicitem políticas mais eficazes. A divulgação de campanhas e a utilização de hashtags específicas têm exercido uma função essencial na conscientização da sociedade sobre o feminicídio, transformando o lamento pessoal em uma mobilização coletiva e exigindo mudanças estruturais.</w:t>
      </w:r>
    </w:p>
    <w:p w14:paraId="55E8C4CE" w14:textId="75CF9B7C" w:rsidR="009B345B" w:rsidRDefault="007734DD" w:rsidP="007734DD">
      <w:pPr>
        <w:tabs>
          <w:tab w:val="left" w:pos="499"/>
        </w:tabs>
        <w:spacing w:line="360" w:lineRule="auto"/>
        <w:jc w:val="both"/>
        <w:rPr>
          <w:rFonts w:ascii="Arial" w:hAnsi="Arial" w:cs="Arial"/>
          <w:sz w:val="24"/>
          <w:lang w:val="pt-BR"/>
        </w:rPr>
      </w:pPr>
      <w:r>
        <w:rPr>
          <w:rFonts w:ascii="Arial" w:hAnsi="Arial" w:cs="Arial"/>
          <w:sz w:val="24"/>
          <w:lang w:val="pt-BR"/>
        </w:rPr>
        <w:tab/>
      </w:r>
      <w:r w:rsidRPr="007734DD">
        <w:rPr>
          <w:rFonts w:ascii="Arial" w:hAnsi="Arial" w:cs="Arial"/>
          <w:sz w:val="24"/>
          <w:lang w:val="pt-BR"/>
        </w:rPr>
        <w:t>A capacidade de mobilização é especialmente significativa ao se levar em conta a ineficácia institucional do Estado. Informações do Mapa da Violência indicam que, no período de 2017 a 2022, apesar da implementação da Lei Maria da Penha e da Lei do Feminicídio, os registros de feminicídio no Brasil apresentaram um aumento de 37%, o que evidencia que a legislação, isoladamente, não é suficiente sem uma vigilância social efetiva. Nesse vazio de proteção governamental, as plataformas de redes sociais funcionam como um meio de pressão adicional, evidenciando situações de impunidade e exigindo respostas institucionais que, de outra forma, seriam desconsideradas.</w:t>
      </w:r>
    </w:p>
    <w:p w14:paraId="0D0F602D" w14:textId="0F4A6022" w:rsidR="007734DD" w:rsidRDefault="007734DD" w:rsidP="007734DD">
      <w:pPr>
        <w:tabs>
          <w:tab w:val="left" w:pos="499"/>
        </w:tabs>
        <w:spacing w:line="360" w:lineRule="auto"/>
        <w:jc w:val="both"/>
        <w:rPr>
          <w:rFonts w:ascii="Arial" w:hAnsi="Arial" w:cs="Arial"/>
          <w:sz w:val="24"/>
          <w:szCs w:val="24"/>
          <w:lang w:val="pt-BR"/>
        </w:rPr>
      </w:pPr>
      <w:r>
        <w:rPr>
          <w:rFonts w:ascii="Arial" w:hAnsi="Arial" w:cs="Arial"/>
          <w:sz w:val="24"/>
          <w:szCs w:val="24"/>
          <w:lang w:val="pt-BR"/>
        </w:rPr>
        <w:tab/>
      </w:r>
      <w:r w:rsidRPr="007734DD">
        <w:rPr>
          <w:rFonts w:ascii="Arial" w:hAnsi="Arial" w:cs="Arial"/>
          <w:sz w:val="24"/>
          <w:szCs w:val="24"/>
          <w:lang w:val="pt-BR"/>
        </w:rPr>
        <w:t xml:space="preserve">Um exemplo particular dessa função é o aplicativo "Maria da Penha Virtual", desenvolvido em 2020, inicialmente para o Estado do Rio de Janeiro, com o objetivo de facilitar denúncias de violência de gênero de forma mais segura e acessível. Desde a sua introdução, o aplicativo registrou mais de três mil pedidos de medidas protetivas, demonstrando que a tecnologia, quando empregada de maneira apropriada, pode </w:t>
      </w:r>
      <w:r w:rsidRPr="007734DD">
        <w:rPr>
          <w:rFonts w:ascii="Arial" w:hAnsi="Arial" w:cs="Arial"/>
          <w:sz w:val="24"/>
          <w:szCs w:val="24"/>
          <w:lang w:val="pt-BR"/>
        </w:rPr>
        <w:lastRenderedPageBreak/>
        <w:t>preservar vidas e vincular a vítima ao sistema de proteção.</w:t>
      </w:r>
    </w:p>
    <w:p w14:paraId="202A28C2" w14:textId="7F323E2E" w:rsidR="007734DD" w:rsidRDefault="007734DD" w:rsidP="007734DD">
      <w:pPr>
        <w:tabs>
          <w:tab w:val="left" w:pos="499"/>
        </w:tabs>
        <w:spacing w:line="360" w:lineRule="auto"/>
        <w:jc w:val="both"/>
        <w:rPr>
          <w:rFonts w:ascii="Arial" w:hAnsi="Arial" w:cs="Arial"/>
          <w:sz w:val="24"/>
          <w:szCs w:val="24"/>
          <w:lang w:val="pt-BR"/>
        </w:rPr>
      </w:pPr>
      <w:r>
        <w:rPr>
          <w:rFonts w:ascii="Arial" w:hAnsi="Arial" w:cs="Arial"/>
          <w:sz w:val="24"/>
          <w:szCs w:val="24"/>
          <w:lang w:val="pt-BR"/>
        </w:rPr>
        <w:tab/>
      </w:r>
      <w:r w:rsidRPr="007734DD">
        <w:rPr>
          <w:rFonts w:ascii="Arial" w:hAnsi="Arial" w:cs="Arial"/>
          <w:sz w:val="24"/>
          <w:szCs w:val="24"/>
          <w:lang w:val="pt-BR"/>
        </w:rPr>
        <w:t>Contudo, o mesmo ambiente digital que acolhe o ativismo também abriga o ódio. Segundo levantamento do Governo Federal, foram identificadas mais de cem contas em plataformas como YouTube e TikTok dedicadas a conteúdo misógino e machista, somando mais de oito milhões de seguidores e cerca de meio bilhão de visualizações. Entre essas comunidades destaca-se o chamado "movimento Red Pill", que propaga discurso de ódio contra as mulheres e prega a superioridade masculina, revelando que a internet é também um espaço de retroalimentação da cultura que alimenta o feminicídio.</w:t>
      </w:r>
    </w:p>
    <w:p w14:paraId="1AB464A0" w14:textId="2319FEC9" w:rsidR="007734DD" w:rsidRDefault="007734DD" w:rsidP="007734DD">
      <w:pPr>
        <w:tabs>
          <w:tab w:val="left" w:pos="499"/>
        </w:tabs>
        <w:spacing w:line="360" w:lineRule="auto"/>
        <w:jc w:val="both"/>
        <w:rPr>
          <w:rFonts w:ascii="Arial" w:hAnsi="Arial" w:cs="Arial"/>
          <w:sz w:val="24"/>
          <w:szCs w:val="24"/>
          <w:lang w:val="pt-BR"/>
        </w:rPr>
      </w:pPr>
      <w:r>
        <w:rPr>
          <w:rFonts w:ascii="Arial" w:hAnsi="Arial" w:cs="Arial"/>
          <w:sz w:val="24"/>
          <w:szCs w:val="24"/>
          <w:lang w:val="pt-BR"/>
        </w:rPr>
        <w:tab/>
      </w:r>
      <w:r w:rsidRPr="007734DD">
        <w:rPr>
          <w:rFonts w:ascii="Arial" w:hAnsi="Arial" w:cs="Arial"/>
          <w:sz w:val="24"/>
          <w:szCs w:val="24"/>
          <w:lang w:val="pt-BR"/>
        </w:rPr>
        <w:t xml:space="preserve">Nesse sentido, o conceito de "Feminicídio 2.0", cunhado por </w:t>
      </w:r>
      <w:r w:rsidR="00DD5866" w:rsidRPr="00DD5866">
        <w:rPr>
          <w:rFonts w:ascii="Arial" w:hAnsi="Arial" w:cs="Arial"/>
          <w:sz w:val="24"/>
          <w:szCs w:val="24"/>
          <w:lang w:val="pt-BR"/>
        </w:rPr>
        <w:t>Brunna Rosa (2021, p. 55)</w:t>
      </w:r>
      <w:r w:rsidRPr="007734DD">
        <w:rPr>
          <w:rFonts w:ascii="Arial" w:hAnsi="Arial" w:cs="Arial"/>
          <w:sz w:val="24"/>
          <w:szCs w:val="24"/>
          <w:lang w:val="pt-BR"/>
        </w:rPr>
        <w:t>, é esclarecedor: ao adicionar o sufixo "2.0" ao termo feminicídio, a autora aponta para uma forma de violência específica da era digital, onde a rapidez, o impacto e a amplificação das mídias sociais são utilizados para expor, humilhar e perseguir mulheres, muitas vezes como prelúdio da violência física. A "pornografia de vingança"</w:t>
      </w:r>
      <w:r>
        <w:rPr>
          <w:rFonts w:ascii="Arial" w:hAnsi="Arial" w:cs="Arial"/>
          <w:sz w:val="24"/>
          <w:szCs w:val="24"/>
          <w:lang w:val="pt-BR"/>
        </w:rPr>
        <w:t>, ou seja, a</w:t>
      </w:r>
      <w:r w:rsidRPr="007734DD">
        <w:rPr>
          <w:rFonts w:ascii="Arial" w:hAnsi="Arial" w:cs="Arial"/>
          <w:sz w:val="24"/>
          <w:szCs w:val="24"/>
          <w:lang w:val="pt-BR"/>
        </w:rPr>
        <w:t xml:space="preserve"> divulgação não consentida de imagens íntimas</w:t>
      </w:r>
      <w:r>
        <w:rPr>
          <w:rFonts w:ascii="Arial" w:hAnsi="Arial" w:cs="Arial"/>
          <w:sz w:val="24"/>
          <w:szCs w:val="24"/>
          <w:lang w:val="pt-BR"/>
        </w:rPr>
        <w:t>,</w:t>
      </w:r>
      <w:r w:rsidRPr="007734DD">
        <w:rPr>
          <w:rFonts w:ascii="Arial" w:hAnsi="Arial" w:cs="Arial"/>
          <w:sz w:val="24"/>
          <w:szCs w:val="24"/>
          <w:lang w:val="pt-BR"/>
        </w:rPr>
        <w:t xml:space="preserve"> é o exemplo mais emblemático desse fenômeno, atingindo predominantemente jovens mulheres entre 16 e 26 anos e gerando consequências devastadoras, incluindo casos de suicídio.</w:t>
      </w:r>
    </w:p>
    <w:p w14:paraId="25296812" w14:textId="007E71F9" w:rsidR="007734DD" w:rsidRPr="007734DD" w:rsidRDefault="007734DD" w:rsidP="007734DD">
      <w:pPr>
        <w:tabs>
          <w:tab w:val="left" w:pos="499"/>
        </w:tabs>
        <w:spacing w:line="360" w:lineRule="auto"/>
        <w:jc w:val="both"/>
        <w:rPr>
          <w:rFonts w:ascii="Arial" w:hAnsi="Arial" w:cs="Arial"/>
          <w:sz w:val="24"/>
          <w:szCs w:val="24"/>
          <w:lang w:val="pt-BR"/>
        </w:rPr>
      </w:pPr>
      <w:r>
        <w:rPr>
          <w:rFonts w:ascii="Arial" w:hAnsi="Arial" w:cs="Arial"/>
          <w:sz w:val="24"/>
          <w:szCs w:val="24"/>
          <w:lang w:val="pt-BR"/>
        </w:rPr>
        <w:tab/>
      </w:r>
      <w:r w:rsidRPr="007734DD">
        <w:rPr>
          <w:rFonts w:ascii="Arial" w:hAnsi="Arial" w:cs="Arial"/>
          <w:sz w:val="24"/>
          <w:szCs w:val="24"/>
          <w:lang w:val="pt-BR"/>
        </w:rPr>
        <w:t>Alice Bianchini (2018, p. 211) alerta que a violência contra a mulher na era digital não deve ser compreendida como um fenômeno isolado do mundo virtual, mas como uma extensão e amplificação da violência de gênero que já existia offline. A internet, nesse sentido, não cria a misoginia, mas a potencializa, dando ao agressor ferramentas de humilhação e controle sem precedentes na história.</w:t>
      </w:r>
    </w:p>
    <w:p w14:paraId="45D880B9" w14:textId="0DE72085" w:rsidR="007734DD" w:rsidRPr="007734DD" w:rsidRDefault="007734DD" w:rsidP="007734DD">
      <w:pPr>
        <w:tabs>
          <w:tab w:val="left" w:pos="499"/>
        </w:tabs>
        <w:spacing w:line="360" w:lineRule="auto"/>
        <w:jc w:val="both"/>
        <w:rPr>
          <w:rFonts w:ascii="Arial" w:hAnsi="Arial" w:cs="Arial"/>
          <w:sz w:val="24"/>
          <w:szCs w:val="24"/>
          <w:lang w:val="pt-BR"/>
        </w:rPr>
      </w:pPr>
      <w:r>
        <w:rPr>
          <w:rFonts w:ascii="Arial" w:hAnsi="Arial" w:cs="Arial"/>
          <w:sz w:val="24"/>
          <w:szCs w:val="24"/>
          <w:lang w:val="pt-BR"/>
        </w:rPr>
        <w:tab/>
      </w:r>
      <w:r w:rsidRPr="007734DD">
        <w:rPr>
          <w:rFonts w:ascii="Arial" w:hAnsi="Arial" w:cs="Arial"/>
          <w:sz w:val="24"/>
          <w:szCs w:val="24"/>
          <w:lang w:val="pt-BR"/>
        </w:rPr>
        <w:t>Portanto, a relação entre redes sociais e feminicídio é profundamente ambivalente: as mesmas plataformas que dão voz às vítimas e pressionam por justiça também servem como instrumentos de violência e perseguição. Essa dualidade será aprofundada no tópico seguinte, onde analisaremos os riscos do linchamento virtual e da antecipação da culpa para o devido processo legal.</w:t>
      </w:r>
    </w:p>
    <w:p w14:paraId="5311AD5C" w14:textId="77777777" w:rsidR="009B345B" w:rsidRPr="009B345B" w:rsidRDefault="009B345B" w:rsidP="009B345B">
      <w:pPr>
        <w:spacing w:line="360" w:lineRule="auto"/>
        <w:jc w:val="both"/>
        <w:rPr>
          <w:rFonts w:ascii="Arial" w:hAnsi="Arial" w:cs="Arial"/>
          <w:sz w:val="24"/>
          <w:szCs w:val="24"/>
          <w:lang w:val="pt-BR"/>
        </w:rPr>
      </w:pPr>
    </w:p>
    <w:p w14:paraId="3E486049" w14:textId="1FEB9F13" w:rsidR="007734DD" w:rsidRDefault="007734DD" w:rsidP="007734DD">
      <w:pPr>
        <w:pStyle w:val="PargrafodaLista"/>
        <w:numPr>
          <w:ilvl w:val="1"/>
          <w:numId w:val="2"/>
        </w:numPr>
        <w:tabs>
          <w:tab w:val="left" w:pos="499"/>
        </w:tabs>
        <w:spacing w:line="360" w:lineRule="auto"/>
        <w:rPr>
          <w:rFonts w:ascii="Arial" w:hAnsi="Arial" w:cs="Arial"/>
          <w:sz w:val="24"/>
        </w:rPr>
      </w:pPr>
      <w:r w:rsidRPr="007734DD">
        <w:rPr>
          <w:rFonts w:ascii="Arial" w:hAnsi="Arial" w:cs="Arial"/>
          <w:sz w:val="24"/>
        </w:rPr>
        <w:t>LINCHAMENTO VIRTUAL E A ANTECIPAÇÃO DA CULPA: OS RISCOS PARA A DEFESA E PARA O RÉU</w:t>
      </w:r>
    </w:p>
    <w:p w14:paraId="646D6817" w14:textId="44F5427F" w:rsidR="007734DD" w:rsidRDefault="007734DD" w:rsidP="007734DD">
      <w:pPr>
        <w:tabs>
          <w:tab w:val="left" w:pos="499"/>
        </w:tabs>
        <w:spacing w:line="360" w:lineRule="auto"/>
        <w:jc w:val="both"/>
        <w:rPr>
          <w:rFonts w:ascii="Arial" w:hAnsi="Arial" w:cs="Arial"/>
          <w:sz w:val="24"/>
        </w:rPr>
      </w:pPr>
      <w:r>
        <w:rPr>
          <w:rFonts w:ascii="Arial" w:hAnsi="Arial" w:cs="Arial"/>
          <w:sz w:val="24"/>
        </w:rPr>
        <w:tab/>
      </w:r>
      <w:r w:rsidRPr="007734DD">
        <w:rPr>
          <w:rFonts w:ascii="Arial" w:hAnsi="Arial" w:cs="Arial"/>
          <w:sz w:val="24"/>
        </w:rPr>
        <w:t xml:space="preserve">Se o tópico anterior demonstrou o potencial positivo das redes sociais na luta contra o feminicídio, é igualmente necessário confrontar os riscos que esse mesmo ambiente digital impõe ao Estado Democrático de Direito. O fenômeno do linchamento virtual representa, em sua essência, a negação dos princípios que sustentam o </w:t>
      </w:r>
      <w:r w:rsidRPr="007734DD">
        <w:rPr>
          <w:rFonts w:ascii="Arial" w:hAnsi="Arial" w:cs="Arial"/>
          <w:sz w:val="24"/>
        </w:rPr>
        <w:lastRenderedPageBreak/>
        <w:t>processo penal moderno: o contraditório, a ampla defesa e, sobretudo, a presunção de inocência.</w:t>
      </w:r>
    </w:p>
    <w:p w14:paraId="28073A02" w14:textId="0B342120" w:rsidR="007734DD" w:rsidRDefault="007734DD" w:rsidP="007734DD">
      <w:pPr>
        <w:tabs>
          <w:tab w:val="left" w:pos="499"/>
        </w:tabs>
        <w:spacing w:line="360" w:lineRule="auto"/>
        <w:jc w:val="both"/>
        <w:rPr>
          <w:rFonts w:ascii="Arial" w:hAnsi="Arial" w:cs="Arial"/>
          <w:sz w:val="24"/>
        </w:rPr>
      </w:pPr>
      <w:r>
        <w:rPr>
          <w:rFonts w:ascii="Arial" w:hAnsi="Arial" w:cs="Arial"/>
          <w:sz w:val="24"/>
        </w:rPr>
        <w:tab/>
      </w:r>
      <w:r w:rsidRPr="007734DD">
        <w:rPr>
          <w:rFonts w:ascii="Arial" w:hAnsi="Arial" w:cs="Arial"/>
          <w:sz w:val="24"/>
        </w:rPr>
        <w:t>O linchamento virtual pode ser definido como a prática coletiva de julgamento e condenação moral sumária de indivíduos nas redes sociais, muitas vezes com base em informações parciais, descontextualizadas ou francamente falsas, e sem qualquer possibilidade de defesa por parte do acusado. Trata-se de uma forma de autotutela digital, onde a multidão conectada assume para si o papel de acusador, juiz e algoz, substituindo o processo legal pela fúria do engajamento.</w:t>
      </w:r>
    </w:p>
    <w:p w14:paraId="6F9A73BF" w14:textId="774E5716" w:rsidR="004257FF" w:rsidRPr="004257FF" w:rsidRDefault="004257FF" w:rsidP="004257FF">
      <w:pPr>
        <w:tabs>
          <w:tab w:val="left" w:pos="499"/>
        </w:tabs>
        <w:spacing w:line="360" w:lineRule="auto"/>
        <w:jc w:val="both"/>
        <w:rPr>
          <w:rFonts w:ascii="Arial" w:hAnsi="Arial" w:cs="Arial"/>
          <w:sz w:val="24"/>
        </w:rPr>
      </w:pPr>
      <w:r>
        <w:rPr>
          <w:rFonts w:ascii="Arial" w:hAnsi="Arial" w:cs="Arial"/>
          <w:sz w:val="24"/>
        </w:rPr>
        <w:tab/>
      </w:r>
      <w:r w:rsidRPr="004257FF">
        <w:rPr>
          <w:rFonts w:ascii="Arial" w:hAnsi="Arial" w:cs="Arial"/>
          <w:sz w:val="24"/>
        </w:rPr>
        <w:t xml:space="preserve">A pesquisadora </w:t>
      </w:r>
      <w:r w:rsidR="00DD5866" w:rsidRPr="00DD5866">
        <w:rPr>
          <w:rFonts w:ascii="Arial" w:hAnsi="Arial" w:cs="Arial"/>
          <w:sz w:val="24"/>
        </w:rPr>
        <w:t>Karen Tank Mercuri Macedo (2020, p. 12)</w:t>
      </w:r>
      <w:r w:rsidRPr="004257FF">
        <w:rPr>
          <w:rFonts w:ascii="Arial" w:hAnsi="Arial" w:cs="Arial"/>
          <w:sz w:val="24"/>
        </w:rPr>
        <w:t>, ao analisar o fenômeno, aponta que os linchamentos virtuais colocam em xeque oposições que habitualmente regem o convívio social, como o público e o privado, o virtual e o real. Em suas palavras: "acusações e julgamentos ocorridos em redes sociais são deslocados para a vida das vítimas, trazendo consequências nas relações sociais fora da internet". Essa permeabilidade entre o mundo virtual e o mundo real é especialmente perigosa no contexto processual penal, pois a condenação social não fica confinada às telas: ela contamina testemunhos, influencia jurados e constrange magistrados.</w:t>
      </w:r>
    </w:p>
    <w:p w14:paraId="08A537B9" w14:textId="276C4903" w:rsidR="004257FF" w:rsidRDefault="004257FF" w:rsidP="004257FF">
      <w:pPr>
        <w:tabs>
          <w:tab w:val="left" w:pos="499"/>
        </w:tabs>
        <w:spacing w:line="360" w:lineRule="auto"/>
        <w:jc w:val="both"/>
        <w:rPr>
          <w:rFonts w:ascii="Arial" w:hAnsi="Arial" w:cs="Arial"/>
          <w:sz w:val="24"/>
        </w:rPr>
      </w:pPr>
      <w:r>
        <w:rPr>
          <w:rFonts w:ascii="Arial" w:hAnsi="Arial" w:cs="Arial"/>
          <w:sz w:val="24"/>
        </w:rPr>
        <w:tab/>
      </w:r>
      <w:r w:rsidRPr="004257FF">
        <w:rPr>
          <w:rFonts w:ascii="Arial" w:hAnsi="Arial" w:cs="Arial"/>
          <w:sz w:val="24"/>
        </w:rPr>
        <w:t>O caso de Fabiane Maria de Jesus, ocorrido em Guarujá (SP) em 2014, ilustra com brutalidade a dimensão letal que o linchamento virtual pode alcançar. A dona de casa de 33 anos foi espancada até a morte por moradores de seu bairro após ser confundida com uma sequestradora de crianças, cuja falsa descrição havia circulado nas redes sociais. O boato, iniciado em uma página local do Facebook, não passou por qualquer verificação antes de mobilizar uma multidão. Fabiane nunca foi ouvida, nunca teve direito à defesa, nunca existiu como sujeito naquele julgamento coletivo.</w:t>
      </w:r>
    </w:p>
    <w:p w14:paraId="5C9E1233" w14:textId="01AAAF63" w:rsidR="004257FF" w:rsidRDefault="004257FF" w:rsidP="004257FF">
      <w:pPr>
        <w:tabs>
          <w:tab w:val="left" w:pos="499"/>
        </w:tabs>
        <w:spacing w:line="360" w:lineRule="auto"/>
        <w:jc w:val="both"/>
        <w:rPr>
          <w:rFonts w:ascii="Arial" w:hAnsi="Arial" w:cs="Arial"/>
          <w:sz w:val="24"/>
        </w:rPr>
      </w:pPr>
      <w:r>
        <w:rPr>
          <w:rFonts w:ascii="Arial" w:hAnsi="Arial" w:cs="Arial"/>
          <w:sz w:val="24"/>
        </w:rPr>
        <w:tab/>
      </w:r>
      <w:r w:rsidRPr="004257FF">
        <w:rPr>
          <w:rFonts w:ascii="Arial" w:hAnsi="Arial" w:cs="Arial"/>
          <w:sz w:val="24"/>
        </w:rPr>
        <w:t>No plano jurídico, o linchamento virtual apresenta desafios normativos relevantes. Embora o ordenamento jurídico brasileiro já contemple dispositivos penais e civis aptos à responsabilização dos agressores</w:t>
      </w:r>
      <w:r w:rsidR="00AD2CEC">
        <w:rPr>
          <w:rFonts w:ascii="Arial" w:hAnsi="Arial" w:cs="Arial"/>
          <w:sz w:val="24"/>
        </w:rPr>
        <w:t>,</w:t>
      </w:r>
      <w:r w:rsidRPr="004257FF">
        <w:rPr>
          <w:rFonts w:ascii="Arial" w:hAnsi="Arial" w:cs="Arial"/>
          <w:sz w:val="24"/>
        </w:rPr>
        <w:t xml:space="preserve"> como os crimes contra a honra (arts. 138 a 140 do Código Penal), o Marco Civil da Internet (Lei nº 12.965/2014) e a Lei Geral de Proteção de Dados (Lei nº 13.709/2018), a natureza coletiva, reiterada e amplificada do linchamento virtual dificulta a responsabilização individual dos agressores. O anonimato, ou a simples diluição da responsabilidade em meio a milhares de comentários, cria uma sensação de impunidade que retroalimenta o fenômeno.</w:t>
      </w:r>
    </w:p>
    <w:p w14:paraId="450C4B13" w14:textId="2FB6CC3B" w:rsidR="004257FF" w:rsidRDefault="004257FF" w:rsidP="004257FF">
      <w:pPr>
        <w:tabs>
          <w:tab w:val="left" w:pos="499"/>
        </w:tabs>
        <w:spacing w:line="360" w:lineRule="auto"/>
        <w:jc w:val="both"/>
        <w:rPr>
          <w:rFonts w:ascii="Arial" w:hAnsi="Arial" w:cs="Arial"/>
          <w:sz w:val="24"/>
        </w:rPr>
      </w:pPr>
      <w:r>
        <w:rPr>
          <w:rFonts w:ascii="Arial" w:hAnsi="Arial" w:cs="Arial"/>
          <w:sz w:val="24"/>
        </w:rPr>
        <w:tab/>
      </w:r>
      <w:r w:rsidRPr="004257FF">
        <w:rPr>
          <w:rFonts w:ascii="Arial" w:hAnsi="Arial" w:cs="Arial"/>
          <w:sz w:val="24"/>
        </w:rPr>
        <w:t xml:space="preserve">Do ponto de vista processual penal, o risco maior reside no efeito que esse </w:t>
      </w:r>
      <w:r w:rsidRPr="004257FF">
        <w:rPr>
          <w:rFonts w:ascii="Arial" w:hAnsi="Arial" w:cs="Arial"/>
          <w:sz w:val="24"/>
        </w:rPr>
        <w:lastRenderedPageBreak/>
        <w:t xml:space="preserve">julgamento paralelo exerce sobre o Tribunal do Júri. Aury Lopes Jr. (2020, p. 143) adverte que o jurado, diferente do juiz togado, não possui formação técnica para separar a "verdade dos autos" da "verdade das redes". Expostos durante meses a uma narrativa construída pelo clamor popular </w:t>
      </w:r>
      <w:r w:rsidR="00AD2CEC">
        <w:rPr>
          <w:rFonts w:ascii="Arial" w:hAnsi="Arial" w:cs="Arial"/>
          <w:sz w:val="24"/>
        </w:rPr>
        <w:t>(</w:t>
      </w:r>
      <w:r w:rsidRPr="004257FF">
        <w:rPr>
          <w:rFonts w:ascii="Arial" w:hAnsi="Arial" w:cs="Arial"/>
          <w:sz w:val="24"/>
        </w:rPr>
        <w:t>hashtags, vídeos virais, matérias sensacionalistas</w:t>
      </w:r>
      <w:r w:rsidR="00AD2CEC">
        <w:rPr>
          <w:rFonts w:ascii="Arial" w:hAnsi="Arial" w:cs="Arial"/>
          <w:sz w:val="24"/>
        </w:rPr>
        <w:t>)</w:t>
      </w:r>
      <w:r w:rsidRPr="004257FF">
        <w:rPr>
          <w:rFonts w:ascii="Arial" w:hAnsi="Arial" w:cs="Arial"/>
          <w:sz w:val="24"/>
        </w:rPr>
        <w:t>, os jurados chegam à sessão de julgamento já com uma convicção formada, tornando o ato decisório uma mera formalidade de confirmação de um veredito social preexistente.</w:t>
      </w:r>
    </w:p>
    <w:p w14:paraId="2AFEE416" w14:textId="2E39EBAF" w:rsidR="004257FF" w:rsidRPr="004257FF" w:rsidRDefault="004257FF" w:rsidP="004257FF">
      <w:pPr>
        <w:tabs>
          <w:tab w:val="left" w:pos="499"/>
        </w:tabs>
        <w:spacing w:line="360" w:lineRule="auto"/>
        <w:jc w:val="both"/>
        <w:rPr>
          <w:rFonts w:ascii="Arial" w:hAnsi="Arial" w:cs="Arial"/>
          <w:sz w:val="24"/>
        </w:rPr>
      </w:pPr>
      <w:r>
        <w:rPr>
          <w:rFonts w:ascii="Arial" w:hAnsi="Arial" w:cs="Arial"/>
          <w:sz w:val="24"/>
        </w:rPr>
        <w:tab/>
      </w:r>
      <w:r w:rsidRPr="004257FF">
        <w:rPr>
          <w:rFonts w:ascii="Arial" w:hAnsi="Arial" w:cs="Arial"/>
          <w:sz w:val="24"/>
        </w:rPr>
        <w:t>Rubens Casara (2015, p. 47) denomina esse fenômeno de "pré-compreensão contaminada": antes mesmo de ver as provas nos autos, o julgador já carrega consigo uma narrativa sobre o caso absorvida do ambiente midiático. Para o autor, tentar neutralizar essa contaminação é um exercício de profunda honestidade intelectual que nem sempre o sistema consegue exigir de seus atores.</w:t>
      </w:r>
    </w:p>
    <w:p w14:paraId="4318036E" w14:textId="68296E13" w:rsidR="004257FF" w:rsidRPr="007734DD" w:rsidRDefault="004257FF" w:rsidP="004257FF">
      <w:pPr>
        <w:tabs>
          <w:tab w:val="left" w:pos="499"/>
        </w:tabs>
        <w:spacing w:line="360" w:lineRule="auto"/>
        <w:jc w:val="both"/>
        <w:rPr>
          <w:rFonts w:ascii="Arial" w:hAnsi="Arial" w:cs="Arial"/>
          <w:sz w:val="24"/>
        </w:rPr>
      </w:pPr>
      <w:r>
        <w:rPr>
          <w:rFonts w:ascii="Arial" w:hAnsi="Arial" w:cs="Arial"/>
          <w:sz w:val="24"/>
        </w:rPr>
        <w:tab/>
      </w:r>
      <w:r w:rsidRPr="004257FF">
        <w:rPr>
          <w:rFonts w:ascii="Arial" w:hAnsi="Arial" w:cs="Arial"/>
          <w:sz w:val="24"/>
        </w:rPr>
        <w:t xml:space="preserve">Soma-se a isso a questão da perenidade digital. Segundo </w:t>
      </w:r>
      <w:r w:rsidR="00DD5866" w:rsidRPr="00DD5866">
        <w:rPr>
          <w:rFonts w:ascii="Arial" w:hAnsi="Arial" w:cs="Arial"/>
          <w:sz w:val="24"/>
        </w:rPr>
        <w:t>Lisieanne Araújo Barberino (2017, p. 28)</w:t>
      </w:r>
      <w:r w:rsidRPr="004257FF">
        <w:rPr>
          <w:rFonts w:ascii="Arial" w:hAnsi="Arial" w:cs="Arial"/>
          <w:sz w:val="24"/>
        </w:rPr>
        <w:t>, o linchamento virtual se distingue do linchamento físico justamente pela permanência: enquanto a violência física deixa marcas no corpo, a violência simbólica digital deixa rastros nos servidores, nos mecanismos de busca e na memória coletiva da internet. Um réu absolvido pela Justiça continuará sendo "culpado" para quem o buscar no Google anos depois, fenômeno que Nilo Batista (2003, p. 42) enquadra como uma nova forma de "pena de infâmia", ressuscitada pela tecnologia.</w:t>
      </w:r>
    </w:p>
    <w:p w14:paraId="1177DE5D" w14:textId="14C9CDC7" w:rsidR="004257FF" w:rsidRPr="004257FF" w:rsidRDefault="004257FF" w:rsidP="004257FF">
      <w:pPr>
        <w:spacing w:line="360" w:lineRule="auto"/>
        <w:jc w:val="both"/>
        <w:rPr>
          <w:rFonts w:ascii="Arial" w:hAnsi="Arial" w:cs="Arial"/>
          <w:sz w:val="24"/>
          <w:szCs w:val="24"/>
        </w:rPr>
      </w:pPr>
      <w:r>
        <w:rPr>
          <w:rFonts w:ascii="Arial" w:hAnsi="Arial" w:cs="Arial"/>
          <w:sz w:val="24"/>
          <w:szCs w:val="24"/>
        </w:rPr>
        <w:tab/>
      </w:r>
      <w:r w:rsidRPr="004257FF">
        <w:rPr>
          <w:rFonts w:ascii="Arial" w:hAnsi="Arial" w:cs="Arial"/>
          <w:sz w:val="24"/>
          <w:szCs w:val="24"/>
        </w:rPr>
        <w:t>Por fim, é preciso destacar que nos casos de feminicídio, essa dinâmica adquire contornos ainda mais complexos. A justa indignação social com a violência de gênero</w:t>
      </w:r>
      <w:r>
        <w:rPr>
          <w:rFonts w:ascii="Arial" w:hAnsi="Arial" w:cs="Arial"/>
          <w:sz w:val="24"/>
          <w:szCs w:val="24"/>
        </w:rPr>
        <w:t>,</w:t>
      </w:r>
      <w:r w:rsidRPr="004257FF">
        <w:rPr>
          <w:rFonts w:ascii="Arial" w:hAnsi="Arial" w:cs="Arial"/>
          <w:sz w:val="24"/>
          <w:szCs w:val="24"/>
        </w:rPr>
        <w:t xml:space="preserve"> que é real, estrutural e documentada</w:t>
      </w:r>
      <w:r>
        <w:rPr>
          <w:rFonts w:ascii="Arial" w:hAnsi="Arial" w:cs="Arial"/>
          <w:sz w:val="24"/>
          <w:szCs w:val="24"/>
        </w:rPr>
        <w:t>,</w:t>
      </w:r>
      <w:r w:rsidRPr="004257FF">
        <w:rPr>
          <w:rFonts w:ascii="Arial" w:hAnsi="Arial" w:cs="Arial"/>
          <w:sz w:val="24"/>
          <w:szCs w:val="24"/>
        </w:rPr>
        <w:t xml:space="preserve"> cria um ambiente onde questionar o linchamento virtual de um acusado é frequentemente interpretado como cumplicidade com o agressor ou negação da violência sofrida pela vítima. Essa polarização dificulta o debate racional sobre as garantias processuais e coloca os operadores do direito em uma posição delicada: defender o devido processo legal sem parecer defender o feminicida. Como observa Soraia da Rosa Mendes (2020, p. 89), o desafio do processo penal feminista não é escolher entre punir o agressor e garantir seus direitos fundamentais, mas demonstrar que um Estado verdadeiramente comprometido com a proteção da mulher é exatamente aquele que não abre mão das garantias processuais, pois são essas mesmas garantias que um dia protegerão a mulher acusada injustamente.</w:t>
      </w:r>
    </w:p>
    <w:p w14:paraId="300B0E7D" w14:textId="77777777" w:rsidR="009B345B" w:rsidRPr="007734DD" w:rsidRDefault="009B345B" w:rsidP="009B345B">
      <w:pPr>
        <w:spacing w:line="360" w:lineRule="auto"/>
        <w:jc w:val="both"/>
        <w:rPr>
          <w:rFonts w:ascii="Arial" w:hAnsi="Arial" w:cs="Arial"/>
          <w:sz w:val="24"/>
          <w:szCs w:val="24"/>
        </w:rPr>
      </w:pPr>
    </w:p>
    <w:p w14:paraId="1FED2E77" w14:textId="77777777" w:rsidR="009B345B" w:rsidRPr="009B345B" w:rsidRDefault="009B345B" w:rsidP="009B345B">
      <w:pPr>
        <w:pStyle w:val="Ttulo2"/>
        <w:tabs>
          <w:tab w:val="left" w:pos="321"/>
        </w:tabs>
        <w:rPr>
          <w:rFonts w:ascii="Arial" w:hAnsi="Arial" w:cs="Arial"/>
          <w:b w:val="0"/>
          <w:bCs w:val="0"/>
          <w:lang w:val="pt-BR"/>
        </w:rPr>
      </w:pPr>
    </w:p>
    <w:p w14:paraId="3D5FD12D" w14:textId="77777777" w:rsidR="00183013" w:rsidRPr="008D7A7D" w:rsidRDefault="00183013">
      <w:pPr>
        <w:pStyle w:val="Corpodetexto"/>
        <w:spacing w:before="135"/>
        <w:rPr>
          <w:rFonts w:ascii="Arial" w:hAnsi="Arial" w:cs="Arial"/>
        </w:rPr>
      </w:pPr>
    </w:p>
    <w:p w14:paraId="36F14511" w14:textId="561AC69D" w:rsidR="00183013" w:rsidRPr="00AD2CEC" w:rsidRDefault="00AD2CEC" w:rsidP="00AD2CEC">
      <w:pPr>
        <w:pStyle w:val="Ttulo2"/>
        <w:numPr>
          <w:ilvl w:val="0"/>
          <w:numId w:val="2"/>
        </w:numPr>
        <w:tabs>
          <w:tab w:val="left" w:pos="321"/>
        </w:tabs>
        <w:spacing w:line="360" w:lineRule="auto"/>
        <w:rPr>
          <w:rFonts w:ascii="Arial" w:hAnsi="Arial" w:cs="Arial"/>
        </w:rPr>
      </w:pPr>
      <w:bookmarkStart w:id="17" w:name="_Toc227148712"/>
      <w:r w:rsidRPr="00AD2CEC">
        <w:rPr>
          <w:rFonts w:ascii="Arial" w:hAnsi="Arial" w:cs="Arial"/>
        </w:rPr>
        <w:t>ESTUDO DE CASOS: A MÍDIA COMO ESCUDO DA VÍTIMA E O RISCO DA ESPETACULARIZAÇÃO</w:t>
      </w:r>
      <w:bookmarkEnd w:id="17"/>
    </w:p>
    <w:p w14:paraId="75101E4E" w14:textId="501A644C" w:rsidR="00183013" w:rsidRDefault="00AD2CEC" w:rsidP="00AD2CEC">
      <w:pPr>
        <w:pStyle w:val="Corpodetexto"/>
        <w:spacing w:line="360" w:lineRule="auto"/>
        <w:jc w:val="both"/>
        <w:rPr>
          <w:rFonts w:ascii="Arial" w:hAnsi="Arial" w:cs="Arial"/>
        </w:rPr>
      </w:pPr>
      <w:r>
        <w:rPr>
          <w:rFonts w:ascii="Arial" w:hAnsi="Arial" w:cs="Arial"/>
        </w:rPr>
        <w:tab/>
      </w:r>
      <w:r w:rsidRPr="00AD2CEC">
        <w:rPr>
          <w:rFonts w:ascii="Arial" w:hAnsi="Arial" w:cs="Arial"/>
        </w:rPr>
        <w:t>Nos capítulos anteriores, estabeleceu-se a premissa teórica de que a internet atua de forma profundamente ambivalente nos crimes de violência de gênero. É preciso, portanto, investigar como esse fenômeno aparece na prática forense, e essa busca por casos concretos torna patente a luta entre a pressão popular e o respeito ao devido processo legal, demonstrando que a discussão acerca da mídia espetacular não é meramente teórica, mas um elemento influente que altera o resultado de determinados processos.</w:t>
      </w:r>
    </w:p>
    <w:p w14:paraId="0A52A5C3" w14:textId="15CA669F" w:rsidR="00AD2CEC" w:rsidRDefault="00AD2CEC" w:rsidP="00AD2CEC">
      <w:pPr>
        <w:pStyle w:val="Corpodetexto"/>
        <w:spacing w:line="360" w:lineRule="auto"/>
        <w:jc w:val="both"/>
        <w:rPr>
          <w:rFonts w:ascii="Arial" w:hAnsi="Arial" w:cs="Arial"/>
        </w:rPr>
      </w:pPr>
      <w:r>
        <w:rPr>
          <w:rFonts w:ascii="Arial" w:hAnsi="Arial" w:cs="Arial"/>
        </w:rPr>
        <w:tab/>
      </w:r>
      <w:r w:rsidRPr="00AD2CEC">
        <w:rPr>
          <w:rFonts w:ascii="Arial" w:hAnsi="Arial" w:cs="Arial"/>
        </w:rPr>
        <w:t>Nesta etapa do estudo, é imperativo reiterar a premissa central que norteia esta pesquisa: a defesa das garantias processuais e da imparcialidade do julgador não se confunde, em hipótese alguma, com a proteção do agressor. Pelo contrário, a integridade técnica do processo é a maior garantia da vítima. Quando a pressão das redes sociais contamina o julgamento</w:t>
      </w:r>
      <w:r>
        <w:rPr>
          <w:rFonts w:ascii="Arial" w:hAnsi="Arial" w:cs="Arial"/>
        </w:rPr>
        <w:t>,</w:t>
      </w:r>
      <w:r w:rsidRPr="00AD2CEC">
        <w:rPr>
          <w:rFonts w:ascii="Arial" w:hAnsi="Arial" w:cs="Arial"/>
        </w:rPr>
        <w:t xml:space="preserve"> especialmente a convicção dos jurados leigos no Tribunal do Júri, cria-se um cenário de fragilidade jurídica. Uma condenação pautada no espetáculo e não nas provas é um prato cheio para decretações de nulidade, o que obriga a realização de um novo julgamento, prolongando o sofrimento da família da vítima e flertando com a impunidade.</w:t>
      </w:r>
    </w:p>
    <w:p w14:paraId="091B3A20" w14:textId="587B9FE9" w:rsidR="00AD2CEC" w:rsidRDefault="00AD2CEC" w:rsidP="00AD2CEC">
      <w:pPr>
        <w:pStyle w:val="Corpodetexto"/>
        <w:spacing w:line="360" w:lineRule="auto"/>
        <w:jc w:val="both"/>
        <w:rPr>
          <w:rFonts w:ascii="Arial" w:hAnsi="Arial" w:cs="Arial"/>
        </w:rPr>
      </w:pPr>
      <w:r>
        <w:rPr>
          <w:rFonts w:ascii="Arial" w:hAnsi="Arial" w:cs="Arial"/>
        </w:rPr>
        <w:tab/>
      </w:r>
      <w:r w:rsidRPr="00AD2CEC">
        <w:rPr>
          <w:rFonts w:ascii="Arial" w:hAnsi="Arial" w:cs="Arial"/>
        </w:rPr>
        <w:t>Com isso, este capítulo se dedica a dois casos emblemáticos que mobilizaram o "Tribunal da Internet" no Brasil para ilustrar essa questão. O primeiro é o caso Mariana Ferrer, que, embora trate de crime contra a dignidade sexual e não de feminicídio consumado, tornou-se o maior símbolo recente de como a mobilização digital pode atuar como um escudo contra a violência institucional e a revitimização promovida pelo próprio sistema de justiça.</w:t>
      </w:r>
    </w:p>
    <w:p w14:paraId="5DBF57E3" w14:textId="64B50656" w:rsidR="00734BBF" w:rsidRPr="00734BBF" w:rsidRDefault="00734BBF" w:rsidP="00734BBF">
      <w:pPr>
        <w:pStyle w:val="Corpodetexto"/>
        <w:spacing w:line="360" w:lineRule="auto"/>
        <w:jc w:val="both"/>
        <w:rPr>
          <w:rFonts w:ascii="Arial" w:hAnsi="Arial" w:cs="Arial"/>
        </w:rPr>
      </w:pPr>
      <w:r>
        <w:rPr>
          <w:rFonts w:ascii="Arial" w:hAnsi="Arial" w:cs="Arial"/>
        </w:rPr>
        <w:tab/>
      </w:r>
      <w:r w:rsidRPr="00734BBF">
        <w:rPr>
          <w:rFonts w:ascii="Arial" w:hAnsi="Arial" w:cs="Arial"/>
        </w:rPr>
        <w:t>O segundo é o caso Tatiane Spitzner, um feminicídio cruel levado ao Tribunal do Júri, que evidencia como a superexposição midiática de provas em vídeo e a comoção nacional testam os limites da imparcialidade do conselho de sentença.</w:t>
      </w:r>
    </w:p>
    <w:p w14:paraId="1620CA8C" w14:textId="3428BE6A" w:rsidR="00734BBF" w:rsidRPr="008D7A7D" w:rsidRDefault="00734BBF" w:rsidP="00734BBF">
      <w:pPr>
        <w:pStyle w:val="Corpodetexto"/>
        <w:spacing w:line="360" w:lineRule="auto"/>
        <w:jc w:val="both"/>
        <w:rPr>
          <w:rFonts w:ascii="Arial" w:hAnsi="Arial" w:cs="Arial"/>
        </w:rPr>
      </w:pPr>
      <w:r>
        <w:rPr>
          <w:rFonts w:ascii="Arial" w:hAnsi="Arial" w:cs="Arial"/>
        </w:rPr>
        <w:tab/>
      </w:r>
      <w:r w:rsidRPr="00734BBF">
        <w:rPr>
          <w:rFonts w:ascii="Arial" w:hAnsi="Arial" w:cs="Arial"/>
        </w:rPr>
        <w:t>Com a análise desses casos, pretende-se mostrar que a justiça de fato para as mulheres que sofrem violência é um delicado equilíbrio: a sociedade deve vigiar nas redes, e o Estado deve assegurar que o julgamento ocorra sem a influência do circo midiático, garantindo uma resposta penal robusta, técnica e inquestionável.</w:t>
      </w:r>
    </w:p>
    <w:p w14:paraId="06679977" w14:textId="77777777" w:rsidR="00183013" w:rsidRPr="008D7A7D" w:rsidRDefault="00183013">
      <w:pPr>
        <w:pStyle w:val="Corpodetexto"/>
        <w:spacing w:before="3"/>
        <w:rPr>
          <w:rFonts w:ascii="Arial" w:hAnsi="Arial" w:cs="Arial"/>
        </w:rPr>
      </w:pPr>
    </w:p>
    <w:p w14:paraId="4CBA07FC" w14:textId="77777777" w:rsidR="00183013" w:rsidRDefault="00183013">
      <w:pPr>
        <w:pStyle w:val="Corpodetexto"/>
        <w:rPr>
          <w:rFonts w:ascii="Arial" w:hAnsi="Arial" w:cs="Arial"/>
        </w:rPr>
      </w:pPr>
    </w:p>
    <w:p w14:paraId="03EC140A" w14:textId="5F1B778A" w:rsidR="00734BBF" w:rsidRDefault="00734BBF" w:rsidP="00734BBF">
      <w:pPr>
        <w:pStyle w:val="Corpodetexto"/>
        <w:spacing w:line="360" w:lineRule="auto"/>
        <w:rPr>
          <w:rFonts w:ascii="Arial" w:hAnsi="Arial" w:cs="Arial"/>
          <w:lang w:val="pt-BR"/>
        </w:rPr>
      </w:pPr>
      <w:r w:rsidRPr="00734BBF">
        <w:rPr>
          <w:rFonts w:ascii="Arial" w:hAnsi="Arial" w:cs="Arial"/>
          <w:lang w:val="pt-BR"/>
        </w:rPr>
        <w:t>3.</w:t>
      </w:r>
      <w:r>
        <w:rPr>
          <w:rFonts w:ascii="Arial" w:hAnsi="Arial" w:cs="Arial"/>
          <w:lang w:val="pt-BR"/>
        </w:rPr>
        <w:t xml:space="preserve">1 </w:t>
      </w:r>
      <w:r w:rsidRPr="00734BBF">
        <w:rPr>
          <w:rFonts w:ascii="Arial" w:hAnsi="Arial" w:cs="Arial"/>
          <w:lang w:val="pt-BR"/>
        </w:rPr>
        <w:t xml:space="preserve">O </w:t>
      </w:r>
      <w:bookmarkStart w:id="18" w:name="_Hlk227148996"/>
      <w:r w:rsidRPr="00734BBF">
        <w:rPr>
          <w:rFonts w:ascii="Arial" w:hAnsi="Arial" w:cs="Arial"/>
          <w:lang w:val="pt-BR"/>
        </w:rPr>
        <w:t>CASO MARIANA FERRER: A INTERNET CONTRA A REVITIMIZAÇÃO INSTITUCIONAL</w:t>
      </w:r>
      <w:bookmarkEnd w:id="18"/>
    </w:p>
    <w:p w14:paraId="0040EE90" w14:textId="09C17FE8" w:rsidR="00734BBF" w:rsidRPr="00734BBF" w:rsidRDefault="00734BBF" w:rsidP="00734BBF">
      <w:pPr>
        <w:pStyle w:val="Corpodetexto"/>
        <w:spacing w:line="360" w:lineRule="auto"/>
        <w:jc w:val="both"/>
        <w:rPr>
          <w:rFonts w:ascii="Arial" w:hAnsi="Arial" w:cs="Arial"/>
          <w:lang w:val="pt-BR"/>
        </w:rPr>
      </w:pPr>
      <w:r>
        <w:rPr>
          <w:rFonts w:ascii="Arial" w:hAnsi="Arial" w:cs="Arial"/>
          <w:lang w:val="pt-BR"/>
        </w:rPr>
        <w:tab/>
      </w:r>
      <w:r w:rsidRPr="00734BBF">
        <w:rPr>
          <w:rFonts w:ascii="Arial" w:hAnsi="Arial" w:cs="Arial"/>
          <w:lang w:val="pt-BR"/>
        </w:rPr>
        <w:t>Mariana Ferrer, influenciadora digital que afirmou ter sido estuprada em um beach club em Florianópolis, em 2018, é um caso que ilustra bem a discussão sobre a violência de gênero dentro do sistema judiciário brasileiro. Apesar de não se tratar de um feminicídio, o que aconteceu depois e a forma como a mídia o acompanhou fazem desse caso um exemplo importante de como as redes sociais podem servir como um escudo para a vítima diante de um Estado que falha ou oprime.</w:t>
      </w:r>
    </w:p>
    <w:p w14:paraId="64F21EFB" w14:textId="55E46C51" w:rsidR="00734BBF" w:rsidRDefault="00734BBF" w:rsidP="00734BBF">
      <w:pPr>
        <w:pStyle w:val="Corpodetexto"/>
        <w:spacing w:line="360" w:lineRule="auto"/>
        <w:jc w:val="both"/>
        <w:rPr>
          <w:rFonts w:ascii="Arial" w:hAnsi="Arial" w:cs="Arial"/>
          <w:lang w:val="pt-BR"/>
        </w:rPr>
      </w:pPr>
      <w:r>
        <w:rPr>
          <w:rFonts w:ascii="Arial" w:hAnsi="Arial" w:cs="Arial"/>
          <w:lang w:val="pt-BR"/>
        </w:rPr>
        <w:tab/>
      </w:r>
      <w:r w:rsidRPr="00734BBF">
        <w:rPr>
          <w:rFonts w:ascii="Arial" w:hAnsi="Arial" w:cs="Arial"/>
          <w:lang w:val="pt-BR"/>
        </w:rPr>
        <w:t>O ponto de inflexão do caso ocorreu em 2020, quando o portal The Intercept Brasil divulgou trechos da audiência de instrução e julgamento. As imagens revelaram um cenário de profunda violência institucional: o advogado de defesa do acusado humilhou a vítima repetidas vezes, exibindo fotos pessoais de Mariana para questionar sua moralidade, enquanto o juiz e o promotor de justiça assistiam à cena com flagrante passividade. A reportagem também popularizou a expressão "estupro culposo"</w:t>
      </w:r>
      <w:r w:rsidR="00A14DBA">
        <w:rPr>
          <w:rFonts w:ascii="Arial" w:hAnsi="Arial" w:cs="Arial"/>
          <w:lang w:val="pt-BR"/>
        </w:rPr>
        <w:t>,</w:t>
      </w:r>
      <w:r w:rsidRPr="00734BBF">
        <w:rPr>
          <w:rFonts w:ascii="Arial" w:hAnsi="Arial" w:cs="Arial"/>
          <w:lang w:val="pt-BR"/>
        </w:rPr>
        <w:t xml:space="preserve"> uma simplificação jornalística da tese do Ministério Público de que não haveria como o réu saber da vulnerabilidade da vítima (ausência de dolo), mas que capturou perfeitamente a indignação popular diante da absolvição.</w:t>
      </w:r>
    </w:p>
    <w:p w14:paraId="509439F6" w14:textId="6178A3F3" w:rsidR="00A14DBA" w:rsidRDefault="00A14DBA" w:rsidP="00734BBF">
      <w:pPr>
        <w:pStyle w:val="Corpodetexto"/>
        <w:spacing w:line="360" w:lineRule="auto"/>
        <w:jc w:val="both"/>
        <w:rPr>
          <w:rFonts w:ascii="Arial" w:hAnsi="Arial" w:cs="Arial"/>
          <w:lang w:val="pt-BR"/>
        </w:rPr>
      </w:pPr>
      <w:r>
        <w:rPr>
          <w:rFonts w:ascii="Arial" w:hAnsi="Arial" w:cs="Arial"/>
          <w:lang w:val="pt-BR"/>
        </w:rPr>
        <w:tab/>
      </w:r>
      <w:r w:rsidRPr="00A14DBA">
        <w:rPr>
          <w:rFonts w:ascii="Arial" w:hAnsi="Arial" w:cs="Arial"/>
          <w:lang w:val="pt-BR"/>
        </w:rPr>
        <w:t>Foi nesse momento que o "Tribunal da Internet" exerceu sua faceta mais necessária e democrática. A hashtag #JustiçaPorMarianaFerrer dominou as redes sociais no Brasil e no mundo, mobilizando milhões de pessoas, desde cidadãos comuns até autoridades, artistas e ministros de tribunais superiores. Como leciona Soraia da Rosa Mendes (2020, p. 62), o processo penal foi historicamente forjado sob bases patriarcais, operando frequentemente como uma máquina de moer mulheres, onde a vítima de violência sexual é colocada no banco dos réus para ter sua vida pregressa e seu comportamento julgados. No caso Ferrer, a internet funcionou como um contrapeso a essa estrutura machista.</w:t>
      </w:r>
    </w:p>
    <w:p w14:paraId="056DCDEA" w14:textId="6F9F9BE2" w:rsidR="00A14DBA" w:rsidRDefault="00A14DBA" w:rsidP="00734BBF">
      <w:pPr>
        <w:pStyle w:val="Corpodetexto"/>
        <w:spacing w:line="360" w:lineRule="auto"/>
        <w:jc w:val="both"/>
        <w:rPr>
          <w:rFonts w:ascii="Arial" w:hAnsi="Arial" w:cs="Arial"/>
        </w:rPr>
      </w:pPr>
      <w:r>
        <w:rPr>
          <w:rFonts w:ascii="Arial" w:hAnsi="Arial" w:cs="Arial"/>
        </w:rPr>
        <w:tab/>
      </w:r>
      <w:r w:rsidRPr="00A14DBA">
        <w:rPr>
          <w:rFonts w:ascii="Arial" w:hAnsi="Arial" w:cs="Arial"/>
        </w:rPr>
        <w:t xml:space="preserve">A pressão digital foi tão avassaladora que transcendeu o ativismo virtual e gerou efeitos jurídicos concretos. O Conselho Nacional de Justiça (CNJ) abriu procedimentos disciplinares contra o magistrado, e o Congresso Nacional, impulsionado pelo clamor das redes, aprovou em tempo recorde a Lei nº 14.245/2021, batizada de "Lei Mariana Ferrer". A nova legislação alterou o Código de Processo Penal para criminalizar a conduta de ofender a dignidade da vítima ou das testemunhas durante as audiências, proibindo o uso de linguagem, informações ou </w:t>
      </w:r>
      <w:r w:rsidRPr="00A14DBA">
        <w:rPr>
          <w:rFonts w:ascii="Arial" w:hAnsi="Arial" w:cs="Arial"/>
        </w:rPr>
        <w:lastRenderedPageBreak/>
        <w:t>material que ofendam a honra da ofendida.</w:t>
      </w:r>
    </w:p>
    <w:p w14:paraId="4254D792" w14:textId="523458BF" w:rsidR="00A14DBA" w:rsidRPr="00A14DBA" w:rsidRDefault="00A14DBA" w:rsidP="00A14DBA">
      <w:pPr>
        <w:pStyle w:val="Corpodetexto"/>
        <w:spacing w:line="360" w:lineRule="auto"/>
        <w:jc w:val="both"/>
        <w:rPr>
          <w:rFonts w:ascii="Arial" w:hAnsi="Arial" w:cs="Arial"/>
        </w:rPr>
      </w:pPr>
      <w:r>
        <w:rPr>
          <w:rFonts w:ascii="Arial" w:hAnsi="Arial" w:cs="Arial"/>
        </w:rPr>
        <w:tab/>
      </w:r>
      <w:r w:rsidRPr="00A14DBA">
        <w:rPr>
          <w:rFonts w:ascii="Arial" w:hAnsi="Arial" w:cs="Arial"/>
        </w:rPr>
        <w:t>Sob a ótica da premissa deste trabalho, o caso Mariana Ferrer comprova que a defesa do devido processo legal abrange, obrigatoriamente, o respeito à dignidade da vítima. A mobilização nas redes sociais não buscou, neste episódio, atropelar as leis, mas sim denunciar que as leis e as garantias processuais não estavam sendo aplicadas à mulher. A internet atuou como um mecanismo de controle social sobre o Poder Judiciário, expondo que um processo conduzido sob a égide da humilhação e da revitimização é um processo viciado em sua essência.</w:t>
      </w:r>
    </w:p>
    <w:p w14:paraId="0EBEBBEB" w14:textId="6ED71CC7" w:rsidR="00A14DBA" w:rsidRDefault="00A14DBA" w:rsidP="00A14DBA">
      <w:pPr>
        <w:pStyle w:val="Corpodetexto"/>
        <w:spacing w:line="360" w:lineRule="auto"/>
        <w:jc w:val="both"/>
        <w:rPr>
          <w:rFonts w:ascii="Arial" w:hAnsi="Arial" w:cs="Arial"/>
        </w:rPr>
      </w:pPr>
      <w:r>
        <w:rPr>
          <w:rFonts w:ascii="Arial" w:hAnsi="Arial" w:cs="Arial"/>
        </w:rPr>
        <w:tab/>
      </w:r>
      <w:r w:rsidRPr="00A14DBA">
        <w:rPr>
          <w:rFonts w:ascii="Arial" w:hAnsi="Arial" w:cs="Arial"/>
        </w:rPr>
        <w:t>Contudo, se no caso Ferrer a internet foi a salvação contra a opressão institucional, em casos de competência do Tribunal do Júri, onde a decisão não é tomada por um juiz togado, mas por cidadãos leigos, a força avassaladora das redes sociais pode gerar efeitos colaterais perigosos para a validade da condenação</w:t>
      </w:r>
      <w:r>
        <w:rPr>
          <w:rFonts w:ascii="Arial" w:hAnsi="Arial" w:cs="Arial"/>
        </w:rPr>
        <w:t>.</w:t>
      </w:r>
    </w:p>
    <w:p w14:paraId="3520DBF7" w14:textId="77777777" w:rsidR="00DC2118" w:rsidRDefault="00DC2118" w:rsidP="00A14DBA">
      <w:pPr>
        <w:pStyle w:val="Corpodetexto"/>
        <w:spacing w:line="360" w:lineRule="auto"/>
        <w:jc w:val="both"/>
        <w:rPr>
          <w:rFonts w:ascii="Arial" w:hAnsi="Arial" w:cs="Arial"/>
        </w:rPr>
      </w:pPr>
    </w:p>
    <w:p w14:paraId="3C97FC1B" w14:textId="00271B25" w:rsidR="00DC2118" w:rsidRDefault="00DC2118" w:rsidP="00A14DBA">
      <w:pPr>
        <w:pStyle w:val="Corpodetexto"/>
        <w:spacing w:line="360" w:lineRule="auto"/>
        <w:jc w:val="both"/>
        <w:rPr>
          <w:rFonts w:ascii="Arial" w:hAnsi="Arial" w:cs="Arial"/>
          <w:lang w:val="pt-BR"/>
        </w:rPr>
      </w:pPr>
      <w:r w:rsidRPr="00DC2118">
        <w:rPr>
          <w:rFonts w:ascii="Arial" w:hAnsi="Arial" w:cs="Arial"/>
          <w:lang w:val="pt-BR"/>
        </w:rPr>
        <w:t>3.2 O CASO TATIANE SPITZNER: A PROVA EM VÍDEO E O CLAMOR PÚBLICO NO TRIBUNAL DO JÚRI</w:t>
      </w:r>
    </w:p>
    <w:p w14:paraId="4A20511A" w14:textId="3D834225" w:rsidR="00DC2118" w:rsidRDefault="00DC2118" w:rsidP="00A14DBA">
      <w:pPr>
        <w:pStyle w:val="Corpodetexto"/>
        <w:spacing w:line="360" w:lineRule="auto"/>
        <w:jc w:val="both"/>
        <w:rPr>
          <w:rFonts w:ascii="Arial" w:hAnsi="Arial" w:cs="Arial"/>
          <w:lang w:val="pt-BR"/>
        </w:rPr>
      </w:pPr>
      <w:r>
        <w:rPr>
          <w:rFonts w:ascii="Arial" w:hAnsi="Arial" w:cs="Arial"/>
          <w:lang w:val="pt-BR"/>
        </w:rPr>
        <w:tab/>
      </w:r>
      <w:r w:rsidRPr="00DC2118">
        <w:rPr>
          <w:rFonts w:ascii="Arial" w:hAnsi="Arial" w:cs="Arial"/>
          <w:lang w:val="pt-BR"/>
        </w:rPr>
        <w:t>O assassinato da advogada Tatiane Spitzner, ocorrido em julho de 2018 na cidade de Guarapuava (PR), constitui um dos episódios mais emblemáticos de feminicídio na história recente do país. O caso ganhou notoriedade nacional e internacional não apenas pela brutalidade do crime</w:t>
      </w:r>
      <w:r>
        <w:rPr>
          <w:rFonts w:ascii="Arial" w:hAnsi="Arial" w:cs="Arial"/>
          <w:lang w:val="pt-BR"/>
        </w:rPr>
        <w:t>.</w:t>
      </w:r>
      <w:r w:rsidRPr="00DC2118">
        <w:rPr>
          <w:rFonts w:ascii="Arial" w:hAnsi="Arial" w:cs="Arial"/>
          <w:lang w:val="pt-BR"/>
        </w:rPr>
        <w:t xml:space="preserve"> </w:t>
      </w:r>
      <w:r>
        <w:rPr>
          <w:rFonts w:ascii="Arial" w:hAnsi="Arial" w:cs="Arial"/>
          <w:lang w:val="pt-BR"/>
        </w:rPr>
        <w:t>A</w:t>
      </w:r>
      <w:r w:rsidRPr="00DC2118">
        <w:rPr>
          <w:rFonts w:ascii="Arial" w:hAnsi="Arial" w:cs="Arial"/>
          <w:lang w:val="pt-BR"/>
        </w:rPr>
        <w:t xml:space="preserve"> vítima foi agredida, asfixiada e arremessada do 4º andar do prédio onde morava com o marido, Luis Felipe Manvailer, mas fundamentalmente porque as agressões prévias foram registradas pelas câmeras de segurança do elevador e da garagem. A viralização imediata dessas imagens nas redes sociais transformou o caso em um divisor de águas no debate público sobre a violência doméstica.</w:t>
      </w:r>
    </w:p>
    <w:p w14:paraId="1A2EC5A1" w14:textId="242E8CD3" w:rsidR="00DC2118" w:rsidRDefault="00DC2118" w:rsidP="00A14DBA">
      <w:pPr>
        <w:pStyle w:val="Corpodetexto"/>
        <w:spacing w:line="360" w:lineRule="auto"/>
        <w:jc w:val="both"/>
        <w:rPr>
          <w:rFonts w:ascii="Arial" w:hAnsi="Arial" w:cs="Arial"/>
          <w:lang w:val="pt-BR"/>
        </w:rPr>
      </w:pPr>
      <w:r>
        <w:rPr>
          <w:rFonts w:ascii="Arial" w:hAnsi="Arial" w:cs="Arial"/>
          <w:lang w:val="pt-BR"/>
        </w:rPr>
        <w:tab/>
      </w:r>
      <w:r w:rsidRPr="00DC2118">
        <w:rPr>
          <w:rFonts w:ascii="Arial" w:hAnsi="Arial" w:cs="Arial"/>
          <w:lang w:val="pt-BR"/>
        </w:rPr>
        <w:t>De um lado, o vídeo ganhou uma ampla circulação, o que foi um papel indiscutível em nome da justiça. As imagens chocantes impediram que a tese inicial de suicídio ou acidente ganhasse força, expondo a crueldade do ciclo de violência que antecede o feminicídio. A comoção digital foi tamanha que a data da morte de Tatiane deu origem ao Dia Estadual de Combate ao Feminicídio no Paraná, demonstrando, mais uma vez, a força da internet em pautar políticas públicas e honrar a memória da vítima.</w:t>
      </w:r>
    </w:p>
    <w:p w14:paraId="4D559F13" w14:textId="148B90EC" w:rsidR="00DC2118" w:rsidRDefault="00DC2118" w:rsidP="00A14DBA">
      <w:pPr>
        <w:pStyle w:val="Corpodetexto"/>
        <w:spacing w:line="360" w:lineRule="auto"/>
        <w:jc w:val="both"/>
        <w:rPr>
          <w:rFonts w:ascii="Arial" w:hAnsi="Arial" w:cs="Arial"/>
          <w:lang w:val="pt-BR"/>
        </w:rPr>
      </w:pPr>
      <w:r>
        <w:rPr>
          <w:rFonts w:ascii="Arial" w:hAnsi="Arial" w:cs="Arial"/>
          <w:lang w:val="pt-BR"/>
        </w:rPr>
        <w:tab/>
      </w:r>
      <w:r w:rsidRPr="00DC2118">
        <w:rPr>
          <w:rFonts w:ascii="Arial" w:hAnsi="Arial" w:cs="Arial"/>
          <w:lang w:val="pt-BR"/>
        </w:rPr>
        <w:t xml:space="preserve">Contudo, sob a ótica do Direito Processual Penal, a superexposição desse material probatório nas redes sociais e na televisão impôs um desafio colossal à realização do Tribunal do Júri. Diferente de um juiz togado, o conselho de sentença é </w:t>
      </w:r>
      <w:r w:rsidRPr="00DC2118">
        <w:rPr>
          <w:rFonts w:ascii="Arial" w:hAnsi="Arial" w:cs="Arial"/>
          <w:lang w:val="pt-BR"/>
        </w:rPr>
        <w:lastRenderedPageBreak/>
        <w:t>formado por cidadãos leigos que julgam por íntima convicção. No caso Manvailer, os sete jurados sorteados (todos homens) chegaram ao plenário em maio de 2021 após terem sido expostos, durante quase três anos, a uma cobertura midiática massiva e a um verdadeiro linchamento virtual do acusado.</w:t>
      </w:r>
    </w:p>
    <w:p w14:paraId="3B7EC910" w14:textId="7E6B94DD" w:rsidR="00DC2118" w:rsidRDefault="00DC2118" w:rsidP="00A14DBA">
      <w:pPr>
        <w:pStyle w:val="Corpodetexto"/>
        <w:spacing w:line="360" w:lineRule="auto"/>
        <w:jc w:val="both"/>
        <w:rPr>
          <w:rFonts w:ascii="Arial" w:hAnsi="Arial" w:cs="Arial"/>
        </w:rPr>
      </w:pPr>
      <w:r>
        <w:rPr>
          <w:rFonts w:ascii="Arial" w:hAnsi="Arial" w:cs="Arial"/>
        </w:rPr>
        <w:tab/>
      </w:r>
      <w:r w:rsidRPr="00DC2118">
        <w:rPr>
          <w:rFonts w:ascii="Arial" w:hAnsi="Arial" w:cs="Arial"/>
        </w:rPr>
        <w:t>É neste ponto que se materializa o alerta de Rubens Casara (2015, p. 47) sobre a "pré-compreensão contaminada". Quando o jurado entra no tribunal com a convicção já formada pelo clamor das redes sociais, o rito processual corre o risco de se tornar um mero teatro para chancelar a vontade popular. E é exatamente essa contaminação que se torna a principal arma da defesa técnica do réu. Sabendo da pressão externa, a defesa frequentemente utiliza o espetáculo midiático para alegar cerceamento de defesa ou parcialidade dos jurados.</w:t>
      </w:r>
    </w:p>
    <w:p w14:paraId="61EB593F" w14:textId="46F27789" w:rsidR="00DC2118" w:rsidRPr="00DC2118" w:rsidRDefault="00DC2118" w:rsidP="00DC2118">
      <w:pPr>
        <w:pStyle w:val="Corpodetexto"/>
        <w:spacing w:line="360" w:lineRule="auto"/>
        <w:jc w:val="both"/>
        <w:rPr>
          <w:rFonts w:ascii="Arial" w:hAnsi="Arial" w:cs="Arial"/>
        </w:rPr>
      </w:pPr>
      <w:r>
        <w:rPr>
          <w:rFonts w:ascii="Arial" w:hAnsi="Arial" w:cs="Arial"/>
        </w:rPr>
        <w:tab/>
      </w:r>
      <w:r w:rsidRPr="00DC2118">
        <w:rPr>
          <w:rFonts w:ascii="Arial" w:hAnsi="Arial" w:cs="Arial"/>
        </w:rPr>
        <w:t>No próprio caso Tatiane Spitzner, a espetacularização cobrou seu preço processual: em fevereiro de 2021, a defesa do réu abandonou o plenário alegando cerceamento, o que provocou a dissolução do conselho de sentença e o adiamento do júri, prolongando a angústia da família da vítima. Posteriormente, após a condenação do réu a mais de 31 anos de prisão, a defesa recorreu pedindo a anulação do julgamento sob o argumento de que a decisão foi "manifestamente contrária às provas dos autos".</w:t>
      </w:r>
    </w:p>
    <w:p w14:paraId="6EBEFF31" w14:textId="1DCD285D" w:rsidR="00DC2118" w:rsidRDefault="00DC2118" w:rsidP="00DC2118">
      <w:pPr>
        <w:pStyle w:val="Corpodetexto"/>
        <w:spacing w:line="360" w:lineRule="auto"/>
        <w:jc w:val="both"/>
        <w:rPr>
          <w:rFonts w:ascii="Arial" w:hAnsi="Arial" w:cs="Arial"/>
        </w:rPr>
      </w:pPr>
      <w:r>
        <w:rPr>
          <w:rFonts w:ascii="Arial" w:hAnsi="Arial" w:cs="Arial"/>
        </w:rPr>
        <w:tab/>
      </w:r>
      <w:r w:rsidRPr="00DC2118">
        <w:rPr>
          <w:rFonts w:ascii="Arial" w:hAnsi="Arial" w:cs="Arial"/>
        </w:rPr>
        <w:t>O próprio magistrado que presidiu o júri, ao proferir a sentença, reconheceu expressamente que a "repercussão midiática" e a exposição exaustiva das cenas de violência agravaram o abalo psicológico da família, dificultando a estabilização do luto.</w:t>
      </w:r>
    </w:p>
    <w:p w14:paraId="1E6CC5AD" w14:textId="7A807F9D" w:rsidR="00DC2118" w:rsidRDefault="00DC2118" w:rsidP="00DC2118">
      <w:pPr>
        <w:pStyle w:val="Corpodetexto"/>
        <w:spacing w:line="360" w:lineRule="auto"/>
        <w:jc w:val="both"/>
        <w:rPr>
          <w:rFonts w:ascii="Arial" w:hAnsi="Arial" w:cs="Arial"/>
        </w:rPr>
      </w:pPr>
      <w:r>
        <w:rPr>
          <w:rFonts w:ascii="Arial" w:hAnsi="Arial" w:cs="Arial"/>
        </w:rPr>
        <w:tab/>
      </w:r>
      <w:r w:rsidRPr="00DC2118">
        <w:rPr>
          <w:rFonts w:ascii="Arial" w:hAnsi="Arial" w:cs="Arial"/>
        </w:rPr>
        <w:t>O caso de Tatiane Spitzner ilustra, de forma clara, a principal tese deste trabalho: o linchamento virtual e a pressão oriunda das redes sociais, mesmo que motivados por uma busca legítima por justiça, geram um ambiente de instabilidade no que se refere ao direito. Para a vítima e seus familiares, a verdadeira justiça não é aquela que resulta de um clamor digital, mas sim aquela que se baseia em uma análise técnica, imparcial e protegida de nulidades. Quando o Estado cede ao espetáculo, ele entrega à defesa do agressor o argumento perfeito para anular o processo e perpetuar a impunidade.</w:t>
      </w:r>
    </w:p>
    <w:p w14:paraId="322B2AFA" w14:textId="77777777" w:rsidR="00DC2118" w:rsidRDefault="00DC2118" w:rsidP="00DC2118">
      <w:pPr>
        <w:pStyle w:val="Corpodetexto"/>
        <w:spacing w:line="360" w:lineRule="auto"/>
        <w:jc w:val="both"/>
        <w:rPr>
          <w:rFonts w:ascii="Arial" w:hAnsi="Arial" w:cs="Arial"/>
        </w:rPr>
      </w:pPr>
    </w:p>
    <w:p w14:paraId="08E8F4F6" w14:textId="35EEC146" w:rsidR="00DC2118" w:rsidRDefault="00DC2118" w:rsidP="00DC2118">
      <w:pPr>
        <w:pStyle w:val="Corpodetexto"/>
        <w:spacing w:line="360" w:lineRule="auto"/>
        <w:jc w:val="both"/>
        <w:rPr>
          <w:rFonts w:ascii="Arial" w:hAnsi="Arial" w:cs="Arial"/>
          <w:lang w:val="pt-BR"/>
        </w:rPr>
      </w:pPr>
      <w:r w:rsidRPr="00DC2118">
        <w:rPr>
          <w:rFonts w:ascii="Arial" w:hAnsi="Arial" w:cs="Arial"/>
          <w:lang w:val="pt-BR"/>
        </w:rPr>
        <w:t>3.3 A GARANTIA DO DEVIDO PROCESSO LEGAL COMO VERDADEIRA JUSTIÇA PARA AS VÍTIMAS DE FEMINICÍDIO</w:t>
      </w:r>
    </w:p>
    <w:p w14:paraId="17E47767" w14:textId="292A9C85" w:rsidR="00DC2118" w:rsidRPr="00DC2118" w:rsidRDefault="00DC2118" w:rsidP="00DC2118">
      <w:pPr>
        <w:spacing w:line="360" w:lineRule="auto"/>
        <w:jc w:val="both"/>
        <w:rPr>
          <w:rFonts w:ascii="Arial" w:hAnsi="Arial" w:cs="Arial"/>
          <w:sz w:val="24"/>
          <w:szCs w:val="24"/>
          <w:lang w:val="pt-BR"/>
        </w:rPr>
      </w:pPr>
      <w:r>
        <w:rPr>
          <w:rFonts w:ascii="Arial" w:hAnsi="Arial" w:cs="Arial"/>
          <w:sz w:val="24"/>
          <w:szCs w:val="24"/>
          <w:lang w:val="pt-BR"/>
        </w:rPr>
        <w:tab/>
      </w:r>
      <w:r w:rsidRPr="00DC2118">
        <w:rPr>
          <w:rFonts w:ascii="Arial" w:hAnsi="Arial" w:cs="Arial"/>
          <w:sz w:val="24"/>
          <w:szCs w:val="24"/>
          <w:lang w:val="pt-BR"/>
        </w:rPr>
        <w:t xml:space="preserve">O clamor público e a indignação coletiva diante de um feminicídio são reações sociais legítimas e, como visto, historicamente necessárias para retirar a violência de </w:t>
      </w:r>
      <w:r w:rsidRPr="00DC2118">
        <w:rPr>
          <w:rFonts w:ascii="Arial" w:hAnsi="Arial" w:cs="Arial"/>
          <w:sz w:val="24"/>
          <w:szCs w:val="24"/>
          <w:lang w:val="pt-BR"/>
        </w:rPr>
        <w:lastRenderedPageBreak/>
        <w:t>gênero da invisibilidade. No entanto, a saciedade imediata proporcionada pelo "cancelamento" virtual e pelo linchamento nas redes sociais não se confunde com a efetiva prestação jurisdicional. A autotutela digital oferece uma vingança efêmera, enquanto o Estado Democrático de Direito tem o dever de entregar uma justiça perene.</w:t>
      </w:r>
    </w:p>
    <w:p w14:paraId="0157FBD1" w14:textId="6621E833" w:rsidR="00DC2118" w:rsidRDefault="00DC2118" w:rsidP="00DC2118">
      <w:pPr>
        <w:pStyle w:val="Corpodetexto"/>
        <w:spacing w:line="360" w:lineRule="auto"/>
        <w:jc w:val="both"/>
        <w:rPr>
          <w:rFonts w:ascii="Arial" w:hAnsi="Arial" w:cs="Arial"/>
        </w:rPr>
      </w:pPr>
      <w:r>
        <w:rPr>
          <w:rFonts w:ascii="Arial" w:hAnsi="Arial" w:cs="Arial"/>
        </w:rPr>
        <w:tab/>
      </w:r>
      <w:r w:rsidRPr="00DC2118">
        <w:rPr>
          <w:rFonts w:ascii="Arial" w:hAnsi="Arial" w:cs="Arial"/>
        </w:rPr>
        <w:t>É fundamental desconstruir a falsa dicotomia de que o respeito às garantias processuais do acusado seria um obstáculo à justiça para a vítima. No âmbito do Direito Processual Penal, a forma é garantia. Quando as regras do jogo são atropeladas pela espetacularização midiática</w:t>
      </w:r>
      <w:r>
        <w:rPr>
          <w:rFonts w:ascii="Arial" w:hAnsi="Arial" w:cs="Arial"/>
        </w:rPr>
        <w:t>,</w:t>
      </w:r>
      <w:r w:rsidRPr="00DC2118">
        <w:rPr>
          <w:rFonts w:ascii="Arial" w:hAnsi="Arial" w:cs="Arial"/>
        </w:rPr>
        <w:t xml:space="preserve"> seja pela contaminação dos jurados, seja pela pressão sobre o magistrado, o resultado imediato é a fragilidade jurídica da condenação. Uma sentença proferida sob a égide do escândalo, e não da análise fria das provas, torna-se um alvo fácil para recursos defensivos nas instâncias superiores.</w:t>
      </w:r>
    </w:p>
    <w:p w14:paraId="5021938C" w14:textId="615EBD5D" w:rsidR="00DC2118" w:rsidRDefault="00DC2118" w:rsidP="00DC2118">
      <w:pPr>
        <w:pStyle w:val="Corpodetexto"/>
        <w:spacing w:line="360" w:lineRule="auto"/>
        <w:jc w:val="both"/>
        <w:rPr>
          <w:rFonts w:ascii="Arial" w:hAnsi="Arial" w:cs="Arial"/>
        </w:rPr>
      </w:pPr>
      <w:r>
        <w:rPr>
          <w:rFonts w:ascii="Arial" w:hAnsi="Arial" w:cs="Arial"/>
        </w:rPr>
        <w:tab/>
      </w:r>
      <w:r w:rsidRPr="00DC2118">
        <w:rPr>
          <w:rFonts w:ascii="Arial" w:hAnsi="Arial" w:cs="Arial"/>
        </w:rPr>
        <w:t>O risco prático da influência desmedida da internet no Tribunal do Júri é a decretação de nulidades processuais. Quando um julgamento é anulado porque se comprovou que o conselho de sentença decidiu de forma manifestamente contrária à prova dos autos (influenciado pela mídia) ou porque houve quebra da imparcialidade, o processo retrocede. Para a família da vítima de feminicídio, isso significa a reabertura de feridas, a necessidade de reviver o trauma em um novo plenário e o prolongamento de um luto que o sistema de justiça deveria ajudar a encerrar. Portanto, a inobservância do devido processo legal atua, em última análise, como um vetor de revitimização.</w:t>
      </w:r>
    </w:p>
    <w:p w14:paraId="58787514" w14:textId="192F059C" w:rsidR="00DC2118" w:rsidRDefault="00DC2118" w:rsidP="00DC2118">
      <w:pPr>
        <w:pStyle w:val="Corpodetexto"/>
        <w:spacing w:line="360" w:lineRule="auto"/>
        <w:jc w:val="both"/>
        <w:rPr>
          <w:rFonts w:ascii="Arial" w:hAnsi="Arial" w:cs="Arial"/>
        </w:rPr>
      </w:pPr>
      <w:r>
        <w:rPr>
          <w:rFonts w:ascii="Arial" w:hAnsi="Arial" w:cs="Arial"/>
        </w:rPr>
        <w:tab/>
      </w:r>
      <w:r w:rsidRPr="00DC2118">
        <w:rPr>
          <w:rFonts w:ascii="Arial" w:hAnsi="Arial" w:cs="Arial"/>
        </w:rPr>
        <w:t>Nesse sentido, a construção de um processo penal feminista, como propõe Soraia da Rosa Mendes (2020), não significa a adoção de um "Direito Penal do Inimigo" contra os homens, onde as garantias constitucionais são suspensas em nome da causa. Pelo contrário, significa exigir que o Estado aplique a lei com rigor, sem os vieses machistas que historicamente culparam a mulher por sua própria morte, mas com estrita observância ao rito processual. A verdadeira proteção à mulher exige instituições fortes, capazes de julgar com base na técnica e não no clamor das hashtags.</w:t>
      </w:r>
    </w:p>
    <w:p w14:paraId="4D5B147A" w14:textId="44EE05C7" w:rsidR="00F464B3" w:rsidRPr="00F464B3" w:rsidRDefault="00F464B3" w:rsidP="00F464B3">
      <w:pPr>
        <w:pStyle w:val="Corpodetexto"/>
        <w:spacing w:line="360" w:lineRule="auto"/>
        <w:jc w:val="both"/>
        <w:rPr>
          <w:rFonts w:ascii="Arial" w:hAnsi="Arial" w:cs="Arial"/>
        </w:rPr>
      </w:pPr>
      <w:r>
        <w:rPr>
          <w:rFonts w:ascii="Arial" w:hAnsi="Arial" w:cs="Arial"/>
        </w:rPr>
        <w:tab/>
      </w:r>
      <w:r w:rsidRPr="00F464B3">
        <w:rPr>
          <w:rFonts w:ascii="Arial" w:hAnsi="Arial" w:cs="Arial"/>
        </w:rPr>
        <w:t>Aury Lopes Jr. (2020) recorda que o processo penal é um instrumento de legitimação do poder punitivo. Uma condenação só é legítima, e moralmente inquestionável, se for alcançada através de um caminho processual limpo. Se a sociedade deseja punições exemplares para os crimes de feminicídio, deve exigir julgamentos exemplares.</w:t>
      </w:r>
    </w:p>
    <w:p w14:paraId="3D8ACD3E" w14:textId="20376624" w:rsidR="003242FF" w:rsidRPr="00B63260" w:rsidRDefault="00F464B3" w:rsidP="00B63260">
      <w:pPr>
        <w:pStyle w:val="Corpodetexto"/>
        <w:spacing w:line="360" w:lineRule="auto"/>
        <w:jc w:val="both"/>
        <w:rPr>
          <w:rFonts w:ascii="Arial" w:hAnsi="Arial" w:cs="Arial"/>
        </w:rPr>
      </w:pPr>
      <w:r>
        <w:rPr>
          <w:rFonts w:ascii="Arial" w:hAnsi="Arial" w:cs="Arial"/>
        </w:rPr>
        <w:lastRenderedPageBreak/>
        <w:tab/>
      </w:r>
      <w:r w:rsidRPr="00F464B3">
        <w:rPr>
          <w:rFonts w:ascii="Arial" w:hAnsi="Arial" w:cs="Arial"/>
        </w:rPr>
        <w:t>Conclui-se, assim, que a mídia e as redes sociais exercem um papel duplo e complexo: são indispensáveis como ferramentas de controle social e denúncia contra a impunidade, mas tornam-se nocivas quando assumem o papel de julgadoras. A maior homenagem e a verdadeira justiça que o Estado pode prestar às vítimas de feminicídio não é a entrega da cabeça do réu em uma bandeja midiática, mas sim uma condenação firme, técnica, imparcial e, sobretudo, impossível de ser anulada.</w:t>
      </w:r>
      <w:bookmarkStart w:id="19" w:name="_Toc227148713"/>
    </w:p>
    <w:p w14:paraId="37537E68" w14:textId="77777777" w:rsidR="003242FF" w:rsidRDefault="003242FF" w:rsidP="00B63260">
      <w:pPr>
        <w:pStyle w:val="Ttulo1"/>
        <w:spacing w:before="1"/>
        <w:ind w:left="0"/>
        <w:rPr>
          <w:rFonts w:ascii="Arial" w:hAnsi="Arial" w:cs="Arial"/>
          <w:spacing w:val="-2"/>
        </w:rPr>
      </w:pPr>
    </w:p>
    <w:p w14:paraId="4117227F" w14:textId="77777777" w:rsidR="003242FF" w:rsidRDefault="003242FF" w:rsidP="00F464B3">
      <w:pPr>
        <w:pStyle w:val="Ttulo1"/>
        <w:spacing w:before="1"/>
        <w:ind w:left="141"/>
        <w:jc w:val="center"/>
        <w:rPr>
          <w:rFonts w:ascii="Arial" w:hAnsi="Arial" w:cs="Arial"/>
          <w:spacing w:val="-2"/>
        </w:rPr>
      </w:pPr>
    </w:p>
    <w:p w14:paraId="402883B5" w14:textId="77777777" w:rsidR="003242FF" w:rsidRDefault="003242FF" w:rsidP="00F464B3">
      <w:pPr>
        <w:pStyle w:val="Ttulo1"/>
        <w:spacing w:before="1"/>
        <w:ind w:left="141"/>
        <w:jc w:val="center"/>
        <w:rPr>
          <w:rFonts w:ascii="Arial" w:hAnsi="Arial" w:cs="Arial"/>
          <w:spacing w:val="-2"/>
        </w:rPr>
      </w:pPr>
    </w:p>
    <w:p w14:paraId="6A92A681" w14:textId="77777777" w:rsidR="003242FF" w:rsidRDefault="003242FF" w:rsidP="00F464B3">
      <w:pPr>
        <w:pStyle w:val="Ttulo1"/>
        <w:spacing w:before="1"/>
        <w:ind w:left="141"/>
        <w:jc w:val="center"/>
        <w:rPr>
          <w:rFonts w:ascii="Arial" w:hAnsi="Arial" w:cs="Arial"/>
          <w:spacing w:val="-2"/>
        </w:rPr>
      </w:pPr>
    </w:p>
    <w:p w14:paraId="4E718ADA" w14:textId="6D517F6F" w:rsidR="00183013" w:rsidRPr="008D7A7D" w:rsidRDefault="00711982" w:rsidP="00F464B3">
      <w:pPr>
        <w:pStyle w:val="Ttulo1"/>
        <w:spacing w:before="1"/>
        <w:ind w:left="141"/>
        <w:jc w:val="center"/>
        <w:rPr>
          <w:rFonts w:ascii="Arial" w:hAnsi="Arial" w:cs="Arial"/>
        </w:rPr>
      </w:pPr>
      <w:r w:rsidRPr="008D7A7D">
        <w:rPr>
          <w:rFonts w:ascii="Arial" w:hAnsi="Arial" w:cs="Arial"/>
          <w:spacing w:val="-2"/>
        </w:rPr>
        <w:t>CONCLUSÃO</w:t>
      </w:r>
      <w:bookmarkEnd w:id="19"/>
    </w:p>
    <w:p w14:paraId="7AA3FB5F" w14:textId="77777777" w:rsidR="00183013" w:rsidRDefault="00183013">
      <w:pPr>
        <w:pStyle w:val="Ttulo1"/>
        <w:rPr>
          <w:rFonts w:ascii="Arial" w:hAnsi="Arial" w:cs="Arial"/>
        </w:rPr>
      </w:pPr>
    </w:p>
    <w:p w14:paraId="1172EAF0" w14:textId="33DDDD34" w:rsidR="00062821" w:rsidRPr="00062821" w:rsidRDefault="00062821" w:rsidP="00062821">
      <w:pPr>
        <w:pStyle w:val="Ttulo1"/>
        <w:spacing w:line="360" w:lineRule="auto"/>
        <w:jc w:val="both"/>
        <w:rPr>
          <w:rFonts w:ascii="Arial" w:hAnsi="Arial" w:cs="Arial"/>
          <w:b w:val="0"/>
          <w:bCs w:val="0"/>
        </w:rPr>
      </w:pPr>
      <w:r>
        <w:rPr>
          <w:rFonts w:ascii="Arial" w:hAnsi="Arial" w:cs="Arial"/>
          <w:b w:val="0"/>
          <w:bCs w:val="0"/>
        </w:rPr>
        <w:tab/>
      </w:r>
      <w:r>
        <w:rPr>
          <w:rFonts w:ascii="Arial" w:hAnsi="Arial" w:cs="Arial"/>
          <w:b w:val="0"/>
          <w:bCs w:val="0"/>
        </w:rPr>
        <w:tab/>
      </w:r>
      <w:bookmarkStart w:id="20" w:name="_Toc227148714"/>
      <w:r w:rsidRPr="00062821">
        <w:rPr>
          <w:rFonts w:ascii="Arial" w:hAnsi="Arial" w:cs="Arial"/>
          <w:b w:val="0"/>
          <w:bCs w:val="0"/>
        </w:rPr>
        <w:t>A pesquisa, então, visou entender de que maneira as redes sociais impactam o resultado de um processo criminal, especialmente em casos de feminicídio, que são submetidos ao Tribunal do Júri, questionando, à luz do caso mencionado, se a pressão midiática e o linchamento virtual poderiam comprometer a imparcialidade dos jurados e o regular andamento do processo, exigindo uma resposta do Direito que harmonize o clamor popular com as garantias constitucionais.</w:t>
      </w:r>
      <w:bookmarkEnd w:id="20"/>
    </w:p>
    <w:p w14:paraId="096D481C" w14:textId="77777777" w:rsidR="00062821" w:rsidRDefault="00062821" w:rsidP="00062821">
      <w:pPr>
        <w:pStyle w:val="Ttulo1"/>
        <w:spacing w:line="360" w:lineRule="auto"/>
        <w:jc w:val="both"/>
        <w:rPr>
          <w:rFonts w:ascii="Arial" w:hAnsi="Arial" w:cs="Arial"/>
          <w:b w:val="0"/>
          <w:bCs w:val="0"/>
        </w:rPr>
      </w:pPr>
      <w:r>
        <w:rPr>
          <w:rFonts w:ascii="Arial" w:hAnsi="Arial" w:cs="Arial"/>
          <w:b w:val="0"/>
          <w:bCs w:val="0"/>
        </w:rPr>
        <w:tab/>
      </w:r>
      <w:r>
        <w:rPr>
          <w:rFonts w:ascii="Arial" w:hAnsi="Arial" w:cs="Arial"/>
          <w:b w:val="0"/>
          <w:bCs w:val="0"/>
        </w:rPr>
        <w:tab/>
      </w:r>
      <w:bookmarkStart w:id="21" w:name="_Toc227148715"/>
      <w:r w:rsidRPr="00062821">
        <w:rPr>
          <w:rFonts w:ascii="Arial" w:hAnsi="Arial" w:cs="Arial"/>
          <w:b w:val="0"/>
          <w:bCs w:val="0"/>
        </w:rPr>
        <w:t>Durante o desenvolvimento do trabalho, observou-se que a internet tem uma atuação profundamente ambivalente nos crimes de gênero. Por um lado, as redes sociais quebraram a invisibilidade que sempre envolveu o feminicídio e se tornaram um poderoso meio de denúncia e mobilização. O ativismo digital destacou as deficiências do sistema judiciário no enfrentamento da impunidade e devolveu às mulheres o protagonismo em suas narrativas, exigindo respostas mais firmes das instituições em relação à violência estrutural.</w:t>
      </w:r>
      <w:bookmarkEnd w:id="21"/>
    </w:p>
    <w:p w14:paraId="57B58B6F" w14:textId="77777777" w:rsidR="00062821" w:rsidRDefault="00062821" w:rsidP="00062821">
      <w:pPr>
        <w:pStyle w:val="Ttulo1"/>
        <w:spacing w:line="360" w:lineRule="auto"/>
        <w:jc w:val="both"/>
        <w:rPr>
          <w:rFonts w:ascii="Arial" w:hAnsi="Arial" w:cs="Arial"/>
          <w:b w:val="0"/>
          <w:bCs w:val="0"/>
        </w:rPr>
      </w:pPr>
      <w:r>
        <w:rPr>
          <w:rFonts w:ascii="Arial" w:hAnsi="Arial" w:cs="Arial"/>
          <w:b w:val="0"/>
          <w:bCs w:val="0"/>
        </w:rPr>
        <w:tab/>
      </w:r>
      <w:r>
        <w:rPr>
          <w:rFonts w:ascii="Arial" w:hAnsi="Arial" w:cs="Arial"/>
          <w:b w:val="0"/>
          <w:bCs w:val="0"/>
        </w:rPr>
        <w:tab/>
      </w:r>
      <w:bookmarkStart w:id="22" w:name="_Toc227148716"/>
      <w:r w:rsidRPr="00062821">
        <w:rPr>
          <w:rFonts w:ascii="Arial" w:hAnsi="Arial" w:cs="Arial"/>
          <w:b w:val="0"/>
          <w:bCs w:val="0"/>
        </w:rPr>
        <w:t>A pesquisa, contudo, apontou que a espetacularização do processo penal, fruto da celeridade e da ampla difusão proporcionadas pelas redes sociais, instaura um perigoso "Julgamento pela Mídia". A comparação entre casos concretos evidenciou que, se no episódio de Mariana Ferrer a internet funcionou como um escudo vital contra a revitimização institucional, no caso Tatiane Spitzner a superexposição midiática evidenciou a vulnerabilidade do Tribunal do Júri. A contaminação dos jurados leigos pela opinião pública digital cria uma pré-compreensão que frequentemente substitui a análise técnica das provas pela emoção punitivista.</w:t>
      </w:r>
      <w:bookmarkEnd w:id="22"/>
    </w:p>
    <w:p w14:paraId="5A95E59E" w14:textId="77777777" w:rsidR="00062821" w:rsidRDefault="00062821" w:rsidP="00062821">
      <w:pPr>
        <w:spacing w:line="360" w:lineRule="auto"/>
        <w:jc w:val="both"/>
        <w:rPr>
          <w:rFonts w:ascii="Arial" w:hAnsi="Arial" w:cs="Arial"/>
          <w:sz w:val="24"/>
          <w:szCs w:val="24"/>
          <w:lang w:val="pt-BR"/>
        </w:rPr>
      </w:pPr>
      <w:r>
        <w:rPr>
          <w:rFonts w:ascii="Arial" w:hAnsi="Arial" w:cs="Arial"/>
          <w:sz w:val="24"/>
          <w:szCs w:val="24"/>
          <w:lang w:val="pt-BR"/>
        </w:rPr>
        <w:tab/>
      </w:r>
      <w:r w:rsidRPr="00062821">
        <w:rPr>
          <w:rFonts w:ascii="Arial" w:hAnsi="Arial" w:cs="Arial"/>
          <w:sz w:val="24"/>
          <w:szCs w:val="24"/>
          <w:lang w:val="pt-BR"/>
        </w:rPr>
        <w:t>Dessa forma, responde-se ao problema de pesquisa concluindo que a pressão exercida pelas redes sociais compromete a imparcialidade do julgamento ao gerar profunda instabilidade jurídica. A principal constatação deste trabalho</w:t>
      </w:r>
      <w:r>
        <w:rPr>
          <w:rFonts w:ascii="Arial" w:hAnsi="Arial" w:cs="Arial"/>
          <w:sz w:val="24"/>
          <w:szCs w:val="24"/>
          <w:lang w:val="pt-BR"/>
        </w:rPr>
        <w:t>,</w:t>
      </w:r>
      <w:r w:rsidRPr="00062821">
        <w:rPr>
          <w:rFonts w:ascii="Arial" w:hAnsi="Arial" w:cs="Arial"/>
          <w:sz w:val="24"/>
          <w:szCs w:val="24"/>
          <w:lang w:val="pt-BR"/>
        </w:rPr>
        <w:t xml:space="preserve"> alinhada à </w:t>
      </w:r>
      <w:r w:rsidRPr="00062821">
        <w:rPr>
          <w:rFonts w:ascii="Arial" w:hAnsi="Arial" w:cs="Arial"/>
          <w:sz w:val="24"/>
          <w:szCs w:val="24"/>
          <w:lang w:val="pt-BR"/>
        </w:rPr>
        <w:lastRenderedPageBreak/>
        <w:t>necessidade de um processo penal verdadeiramente comprometido com a proteção da mulher</w:t>
      </w:r>
      <w:r>
        <w:rPr>
          <w:rFonts w:ascii="Arial" w:hAnsi="Arial" w:cs="Arial"/>
          <w:sz w:val="24"/>
          <w:szCs w:val="24"/>
          <w:lang w:val="pt-BR"/>
        </w:rPr>
        <w:t>,</w:t>
      </w:r>
      <w:r w:rsidRPr="00062821">
        <w:rPr>
          <w:rFonts w:ascii="Arial" w:hAnsi="Arial" w:cs="Arial"/>
          <w:sz w:val="24"/>
          <w:szCs w:val="24"/>
          <w:lang w:val="pt-BR"/>
        </w:rPr>
        <w:t xml:space="preserve"> é a de que a defesa intransigente do devido processo legal não se confunde com a proteção do agressor. Pelo contrário, quando o Estado cede ao linchamento virtual e permite que o julgamento seja contaminado por pressões externas, entrega-se à defesa do réu o argumento perfeito para a decretação de nulidades processuais. A anulação de um júri obriga a família da vítima a reviver o trauma em um novo julgamento, perpetuando a dor e o ciclo de impunidade.</w:t>
      </w:r>
    </w:p>
    <w:p w14:paraId="74E8A78E" w14:textId="43C3C0D1" w:rsidR="00B63260" w:rsidRPr="00B63260" w:rsidRDefault="00062821" w:rsidP="00B63260">
      <w:pPr>
        <w:spacing w:line="360" w:lineRule="auto"/>
        <w:jc w:val="both"/>
        <w:rPr>
          <w:rFonts w:ascii="Arial" w:hAnsi="Arial" w:cs="Arial"/>
        </w:rPr>
        <w:sectPr w:rsidR="00B63260" w:rsidRPr="00B63260" w:rsidSect="006070C0">
          <w:headerReference w:type="default" r:id="rId10"/>
          <w:pgSz w:w="11900" w:h="16860"/>
          <w:pgMar w:top="1701" w:right="1134" w:bottom="1134" w:left="1701" w:header="1004" w:footer="0" w:gutter="0"/>
          <w:cols w:space="720"/>
          <w:docGrid w:linePitch="299"/>
        </w:sectPr>
      </w:pPr>
      <w:r>
        <w:rPr>
          <w:rFonts w:ascii="Arial" w:hAnsi="Arial" w:cs="Arial"/>
          <w:sz w:val="24"/>
          <w:szCs w:val="24"/>
          <w:lang w:val="pt-BR"/>
        </w:rPr>
        <w:tab/>
      </w:r>
      <w:r w:rsidRPr="00062821">
        <w:rPr>
          <w:rFonts w:ascii="Arial" w:hAnsi="Arial" w:cs="Arial"/>
        </w:rPr>
        <w:t>Assim, o efetivo reconhecimento das vítimas de feminicídio não está no grito efêmero das redes sociais ou na condenação social antecipada, mas na prolação de uma sentença firme, técnica, irrefutável. O grande desafio do sistema de justiça criminal contemporâneo não é silenciá-la e sim manter o rito processual, garantindo que a resposta estatal à violência de gênero seja final e incontestável, respeitando a memória das vítimas pela fiel observância d</w:t>
      </w:r>
    </w:p>
    <w:p w14:paraId="34753D40" w14:textId="1FA7BF08" w:rsidR="00183013" w:rsidRPr="00F524AD" w:rsidRDefault="00F524AD" w:rsidP="00B63260">
      <w:pPr>
        <w:pStyle w:val="Corpodetexto"/>
        <w:ind w:right="-7"/>
        <w:rPr>
          <w:rFonts w:ascii="Arial" w:hAnsi="Arial" w:cs="Arial"/>
          <w:b/>
          <w:bCs/>
        </w:rPr>
      </w:pPr>
      <w:r w:rsidRPr="00F524AD">
        <w:rPr>
          <w:rFonts w:ascii="Arial" w:hAnsi="Arial" w:cs="Arial"/>
          <w:b/>
          <w:bCs/>
          <w:spacing w:val="-2"/>
        </w:rPr>
        <w:lastRenderedPageBreak/>
        <w:t>REFERÊNCIAS</w:t>
      </w:r>
    </w:p>
    <w:p w14:paraId="10BB9812" w14:textId="77777777" w:rsidR="00183013" w:rsidRPr="00F64747" w:rsidRDefault="00183013" w:rsidP="00B63260">
      <w:pPr>
        <w:pStyle w:val="Corpodetexto"/>
        <w:spacing w:before="3"/>
        <w:ind w:right="-7"/>
        <w:rPr>
          <w:rFonts w:ascii="Arial" w:hAnsi="Arial" w:cs="Arial"/>
        </w:rPr>
      </w:pPr>
    </w:p>
    <w:p w14:paraId="357917D6"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ALVES, Schirlei. </w:t>
      </w:r>
      <w:r w:rsidRPr="005C5D89">
        <w:rPr>
          <w:rFonts w:ascii="Arial" w:hAnsi="Arial" w:cs="Arial"/>
          <w:b/>
          <w:bCs/>
        </w:rPr>
        <w:t>"Estupro culposo": julgamento de influencer Mariana Ferrer termina com tese inédita e absolvição de empresário</w:t>
      </w:r>
      <w:r w:rsidRPr="005C5D89">
        <w:rPr>
          <w:rFonts w:ascii="Arial" w:hAnsi="Arial" w:cs="Arial"/>
        </w:rPr>
        <w:t>. The Intercept Brasil, Rio de Janeiro, 3 nov. 2020. Disponível em: https://theintercept.com/2020/11/03/influencer-mariana-ferrer-estupro-culposo/. Acesso em: 15 abr. 2026.</w:t>
      </w:r>
    </w:p>
    <w:p w14:paraId="01944875" w14:textId="77777777" w:rsidR="005C5D89" w:rsidRPr="005C5D89" w:rsidRDefault="005C5D89" w:rsidP="00B63260">
      <w:pPr>
        <w:pStyle w:val="Corpodetexto"/>
        <w:spacing w:line="360" w:lineRule="auto"/>
        <w:ind w:left="141" w:right="-7"/>
        <w:jc w:val="both"/>
        <w:rPr>
          <w:rFonts w:ascii="Arial" w:hAnsi="Arial" w:cs="Arial"/>
        </w:rPr>
      </w:pPr>
    </w:p>
    <w:p w14:paraId="30AC7092"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BARBERINO, Lisieanne Araújo. </w:t>
      </w:r>
      <w:r w:rsidRPr="005C5D89">
        <w:rPr>
          <w:rFonts w:ascii="Arial" w:hAnsi="Arial" w:cs="Arial"/>
          <w:b/>
          <w:bCs/>
        </w:rPr>
        <w:t>Linchamento virtual: uma análise do fenômeno nas redes sociais e suas implicações jurídicas</w:t>
      </w:r>
      <w:r w:rsidRPr="005C5D89">
        <w:rPr>
          <w:rFonts w:ascii="Arial" w:hAnsi="Arial" w:cs="Arial"/>
        </w:rPr>
        <w:t>. 2017. Trabalho de Conclusão de Curso (Graduação em Direito) — Universidade Federal da Bahia, Salvador, 2017.</w:t>
      </w:r>
    </w:p>
    <w:p w14:paraId="62675021" w14:textId="77777777" w:rsidR="005C5D89" w:rsidRPr="005C5D89" w:rsidRDefault="005C5D89" w:rsidP="00B63260">
      <w:pPr>
        <w:pStyle w:val="Corpodetexto"/>
        <w:spacing w:line="360" w:lineRule="auto"/>
        <w:ind w:left="141" w:right="-7"/>
        <w:jc w:val="both"/>
        <w:rPr>
          <w:rFonts w:ascii="Arial" w:hAnsi="Arial" w:cs="Arial"/>
        </w:rPr>
      </w:pPr>
    </w:p>
    <w:p w14:paraId="3079E515"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BATISTA, Nilo. </w:t>
      </w:r>
      <w:r w:rsidRPr="005C5D89">
        <w:rPr>
          <w:rFonts w:ascii="Arial" w:hAnsi="Arial" w:cs="Arial"/>
          <w:b/>
          <w:bCs/>
        </w:rPr>
        <w:t>Mídia e sistema penal no capitalismo tardio</w:t>
      </w:r>
      <w:r w:rsidRPr="005C5D89">
        <w:rPr>
          <w:rFonts w:ascii="Arial" w:hAnsi="Arial" w:cs="Arial"/>
        </w:rPr>
        <w:t>. Rio de Janeiro: Revan, 2003.</w:t>
      </w:r>
    </w:p>
    <w:p w14:paraId="4F5625C1" w14:textId="77777777" w:rsidR="005C5D89" w:rsidRPr="005C5D89" w:rsidRDefault="005C5D89" w:rsidP="00B63260">
      <w:pPr>
        <w:pStyle w:val="Corpodetexto"/>
        <w:spacing w:line="360" w:lineRule="auto"/>
        <w:ind w:left="141" w:right="-7"/>
        <w:jc w:val="both"/>
        <w:rPr>
          <w:rFonts w:ascii="Arial" w:hAnsi="Arial" w:cs="Arial"/>
        </w:rPr>
      </w:pPr>
    </w:p>
    <w:p w14:paraId="36F32FC3"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BIANCHINI, Alice. </w:t>
      </w:r>
      <w:r w:rsidRPr="005C5D89">
        <w:rPr>
          <w:rFonts w:ascii="Arial" w:hAnsi="Arial" w:cs="Arial"/>
          <w:b/>
          <w:bCs/>
        </w:rPr>
        <w:t>Crimes contra mulheres: Lei Maria da Penha, crimes sexuais e feminicídio</w:t>
      </w:r>
      <w:r w:rsidRPr="005C5D89">
        <w:rPr>
          <w:rFonts w:ascii="Arial" w:hAnsi="Arial" w:cs="Arial"/>
        </w:rPr>
        <w:t>. 2. ed. Salvador: JusPodivm, 2018.</w:t>
      </w:r>
    </w:p>
    <w:p w14:paraId="2A7C0CBB" w14:textId="77777777" w:rsidR="005C5D89" w:rsidRPr="005C5D89" w:rsidRDefault="005C5D89" w:rsidP="00B63260">
      <w:pPr>
        <w:pStyle w:val="Corpodetexto"/>
        <w:spacing w:line="360" w:lineRule="auto"/>
        <w:ind w:left="141" w:right="-7"/>
        <w:jc w:val="both"/>
        <w:rPr>
          <w:rFonts w:ascii="Arial" w:hAnsi="Arial" w:cs="Arial"/>
        </w:rPr>
      </w:pPr>
    </w:p>
    <w:p w14:paraId="740120F2"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BRASIL. Atlas da Violência 2021. Brasília: Instituto de Pesquisa Econômica Aplicada; </w:t>
      </w:r>
      <w:r w:rsidRPr="005C5D89">
        <w:rPr>
          <w:rFonts w:ascii="Arial" w:hAnsi="Arial" w:cs="Arial"/>
          <w:b/>
          <w:bCs/>
        </w:rPr>
        <w:t>Fórum Brasileiro de Segurança Pública, 2021.</w:t>
      </w:r>
      <w:r w:rsidRPr="005C5D89">
        <w:rPr>
          <w:rFonts w:ascii="Arial" w:hAnsi="Arial" w:cs="Arial"/>
        </w:rPr>
        <w:t xml:space="preserve"> Disponível em: https://www.ipea.gov.br/atlasviolencia. Acesso em: 24 fev. 2026.</w:t>
      </w:r>
    </w:p>
    <w:p w14:paraId="6A59DAE6" w14:textId="77777777" w:rsidR="005C5D89" w:rsidRPr="005C5D89" w:rsidRDefault="005C5D89" w:rsidP="00B63260">
      <w:pPr>
        <w:pStyle w:val="Corpodetexto"/>
        <w:spacing w:line="360" w:lineRule="auto"/>
        <w:ind w:left="141" w:right="-7"/>
        <w:jc w:val="both"/>
        <w:rPr>
          <w:rFonts w:ascii="Arial" w:hAnsi="Arial" w:cs="Arial"/>
        </w:rPr>
      </w:pPr>
    </w:p>
    <w:p w14:paraId="142F947B"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BRASIL. Lei nº 14.245, de 22 de novembro de 2021. </w:t>
      </w:r>
      <w:r w:rsidRPr="005C5D89">
        <w:rPr>
          <w:rFonts w:ascii="Arial" w:hAnsi="Arial" w:cs="Arial"/>
          <w:b/>
          <w:bCs/>
        </w:rPr>
        <w:t>Altera os Decretos-Leis nºs 2.848/1940 e 3.689/1941, e a Lei nº 9.099/1995, para coibir a prática de atos atentatórios à dignidade da vítima e de testemunhas (Lei Mariana Ferrer).</w:t>
      </w:r>
      <w:r w:rsidRPr="005C5D89">
        <w:rPr>
          <w:rFonts w:ascii="Arial" w:hAnsi="Arial" w:cs="Arial"/>
        </w:rPr>
        <w:t xml:space="preserve"> Brasília, DF: Presidência da República, 2021. Disponível em: http://www.planalto.gov.br/ccivil_03/_ato2019-2022/2021/lei/l14245.htm. Acesso em: 15 abr. 2026.</w:t>
      </w:r>
    </w:p>
    <w:p w14:paraId="005FEDE2" w14:textId="77777777" w:rsidR="005C5D89" w:rsidRPr="005C5D89" w:rsidRDefault="005C5D89" w:rsidP="00B63260">
      <w:pPr>
        <w:pStyle w:val="Corpodetexto"/>
        <w:spacing w:line="360" w:lineRule="auto"/>
        <w:ind w:left="141" w:right="-7"/>
        <w:jc w:val="both"/>
        <w:rPr>
          <w:rFonts w:ascii="Arial" w:hAnsi="Arial" w:cs="Arial"/>
        </w:rPr>
      </w:pPr>
    </w:p>
    <w:p w14:paraId="7B35973E"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CASARA, Rubens R. R. </w:t>
      </w:r>
      <w:r w:rsidRPr="005C5D89">
        <w:rPr>
          <w:rFonts w:ascii="Arial" w:hAnsi="Arial" w:cs="Arial"/>
          <w:b/>
          <w:bCs/>
        </w:rPr>
        <w:t>Processo penal do espetáculo: ensaios sobre o poder penal, a dogmática e o autoritarismo na sociedade brasileira.</w:t>
      </w:r>
      <w:r w:rsidRPr="005C5D89">
        <w:rPr>
          <w:rFonts w:ascii="Arial" w:hAnsi="Arial" w:cs="Arial"/>
        </w:rPr>
        <w:t xml:space="preserve"> Florianópolis: Empório do Direito, 2015.</w:t>
      </w:r>
    </w:p>
    <w:p w14:paraId="51F822CE" w14:textId="77777777" w:rsidR="005C5D89" w:rsidRPr="005C5D89" w:rsidRDefault="005C5D89" w:rsidP="00B63260">
      <w:pPr>
        <w:pStyle w:val="Corpodetexto"/>
        <w:spacing w:line="360" w:lineRule="auto"/>
        <w:ind w:left="141" w:right="-7"/>
        <w:jc w:val="both"/>
        <w:rPr>
          <w:rFonts w:ascii="Arial" w:hAnsi="Arial" w:cs="Arial"/>
        </w:rPr>
      </w:pPr>
    </w:p>
    <w:p w14:paraId="375C15AC"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CUNHA, Rogério Sanches. </w:t>
      </w:r>
      <w:r w:rsidRPr="005C5D89">
        <w:rPr>
          <w:rFonts w:ascii="Arial" w:hAnsi="Arial" w:cs="Arial"/>
          <w:b/>
          <w:bCs/>
        </w:rPr>
        <w:t>Manual de direito penal: parte especial</w:t>
      </w:r>
      <w:r w:rsidRPr="005C5D89">
        <w:rPr>
          <w:rFonts w:ascii="Arial" w:hAnsi="Arial" w:cs="Arial"/>
        </w:rPr>
        <w:t xml:space="preserve">. 12. ed. </w:t>
      </w:r>
      <w:r w:rsidRPr="005C5D89">
        <w:rPr>
          <w:rFonts w:ascii="Arial" w:hAnsi="Arial" w:cs="Arial"/>
        </w:rPr>
        <w:lastRenderedPageBreak/>
        <w:t>Salvador: JusPodivm, 2020.</w:t>
      </w:r>
    </w:p>
    <w:p w14:paraId="62B84358" w14:textId="77777777" w:rsidR="005C5D89" w:rsidRPr="005C5D89" w:rsidRDefault="005C5D89" w:rsidP="00B63260">
      <w:pPr>
        <w:pStyle w:val="Corpodetexto"/>
        <w:spacing w:line="360" w:lineRule="auto"/>
        <w:ind w:left="141" w:right="-7"/>
        <w:jc w:val="both"/>
        <w:rPr>
          <w:rFonts w:ascii="Arial" w:hAnsi="Arial" w:cs="Arial"/>
        </w:rPr>
      </w:pPr>
    </w:p>
    <w:p w14:paraId="51FC7B55"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FÓRUM BRASILEIRO DE SEGURANÇA PÚBLICA. </w:t>
      </w:r>
      <w:r w:rsidRPr="005C5D89">
        <w:rPr>
          <w:rFonts w:ascii="Arial" w:hAnsi="Arial" w:cs="Arial"/>
          <w:b/>
          <w:bCs/>
        </w:rPr>
        <w:t>Anuário Brasileiro de Segurança Pública</w:t>
      </w:r>
      <w:r w:rsidRPr="005C5D89">
        <w:rPr>
          <w:rFonts w:ascii="Arial" w:hAnsi="Arial" w:cs="Arial"/>
        </w:rPr>
        <w:t xml:space="preserve"> 2022. São Paulo: FBSP, 2022. Disponível em: https://www.forumseguranca.org.br. Acesso em: 24 fev. 2026.</w:t>
      </w:r>
    </w:p>
    <w:p w14:paraId="5E144917" w14:textId="77777777" w:rsidR="005C5D89" w:rsidRPr="005C5D89" w:rsidRDefault="005C5D89" w:rsidP="00B63260">
      <w:pPr>
        <w:pStyle w:val="Corpodetexto"/>
        <w:spacing w:line="360" w:lineRule="auto"/>
        <w:ind w:left="141" w:right="-7"/>
        <w:jc w:val="both"/>
        <w:rPr>
          <w:rFonts w:ascii="Arial" w:hAnsi="Arial" w:cs="Arial"/>
        </w:rPr>
      </w:pPr>
    </w:p>
    <w:p w14:paraId="4B44CFB2"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G1 PR. </w:t>
      </w:r>
      <w:r w:rsidRPr="005C5D89">
        <w:rPr>
          <w:rFonts w:ascii="Arial" w:hAnsi="Arial" w:cs="Arial"/>
          <w:b/>
          <w:bCs/>
        </w:rPr>
        <w:t>Luis Felipe Manvailer é condenado a 31 anos, 9 meses e 18 dias de prisão por matar Tatiane Spitzner.</w:t>
      </w:r>
      <w:r w:rsidRPr="005C5D89">
        <w:rPr>
          <w:rFonts w:ascii="Arial" w:hAnsi="Arial" w:cs="Arial"/>
        </w:rPr>
        <w:t xml:space="preserve"> G1, Curitiba, 10 maio 2021. Disponível em: https://g1.globo.com/pr/campos-gerais-sul/noticia/2021/05/10/luis-felipe-manvailer-e-condenado-por-matar-tatiane-spitzner.ghtml. Acesso em: 15 abr. 2026.</w:t>
      </w:r>
    </w:p>
    <w:p w14:paraId="29E0BF6D" w14:textId="77777777" w:rsidR="005C5D89" w:rsidRPr="005C5D89" w:rsidRDefault="005C5D89" w:rsidP="00B63260">
      <w:pPr>
        <w:pStyle w:val="Corpodetexto"/>
        <w:spacing w:line="360" w:lineRule="auto"/>
        <w:ind w:left="141" w:right="-7"/>
        <w:jc w:val="both"/>
        <w:rPr>
          <w:rFonts w:ascii="Arial" w:hAnsi="Arial" w:cs="Arial"/>
        </w:rPr>
      </w:pPr>
    </w:p>
    <w:p w14:paraId="2E1C7152"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LOPES JR., Aury</w:t>
      </w:r>
      <w:r w:rsidRPr="005C5D89">
        <w:rPr>
          <w:rFonts w:ascii="Arial" w:hAnsi="Arial" w:cs="Arial"/>
          <w:b/>
          <w:bCs/>
        </w:rPr>
        <w:t>. Direito processual penal</w:t>
      </w:r>
      <w:r w:rsidRPr="005C5D89">
        <w:rPr>
          <w:rFonts w:ascii="Arial" w:hAnsi="Arial" w:cs="Arial"/>
        </w:rPr>
        <w:t>. 17. ed. São Paulo: Saraiva Educação, 2020.</w:t>
      </w:r>
    </w:p>
    <w:p w14:paraId="14341D86" w14:textId="77777777" w:rsidR="005C5D89" w:rsidRPr="005C5D89" w:rsidRDefault="005C5D89" w:rsidP="00B63260">
      <w:pPr>
        <w:pStyle w:val="Corpodetexto"/>
        <w:spacing w:line="360" w:lineRule="auto"/>
        <w:ind w:left="141" w:right="-7"/>
        <w:jc w:val="both"/>
        <w:rPr>
          <w:rFonts w:ascii="Arial" w:hAnsi="Arial" w:cs="Arial"/>
        </w:rPr>
      </w:pPr>
    </w:p>
    <w:p w14:paraId="2E5D6324"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MACHADO, Ana Paula; TRIBOLI, Vitória</w:t>
      </w:r>
      <w:r w:rsidRPr="005C5D89">
        <w:rPr>
          <w:rFonts w:ascii="Arial" w:hAnsi="Arial" w:cs="Arial"/>
          <w:b/>
          <w:bCs/>
        </w:rPr>
        <w:t>. A influência das redes sociais no combate ao feminicídio: uma análise do ciberativismo feminista</w:t>
      </w:r>
      <w:r w:rsidRPr="005C5D89">
        <w:rPr>
          <w:rFonts w:ascii="Arial" w:hAnsi="Arial" w:cs="Arial"/>
        </w:rPr>
        <w:t>. Revista Convergências, v. 5, n. 2, p. 34-51, 2023.</w:t>
      </w:r>
    </w:p>
    <w:p w14:paraId="4FB11E2A" w14:textId="77777777" w:rsidR="005C5D89" w:rsidRPr="005C5D89" w:rsidRDefault="005C5D89" w:rsidP="00B63260">
      <w:pPr>
        <w:pStyle w:val="Corpodetexto"/>
        <w:spacing w:line="360" w:lineRule="auto"/>
        <w:ind w:left="141" w:right="-7"/>
        <w:jc w:val="both"/>
        <w:rPr>
          <w:rFonts w:ascii="Arial" w:hAnsi="Arial" w:cs="Arial"/>
        </w:rPr>
      </w:pPr>
    </w:p>
    <w:p w14:paraId="58DF130A"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MENDES, Soraia da Rosa. </w:t>
      </w:r>
      <w:r w:rsidRPr="005C5D89">
        <w:rPr>
          <w:rFonts w:ascii="Arial" w:hAnsi="Arial" w:cs="Arial"/>
          <w:b/>
          <w:bCs/>
        </w:rPr>
        <w:t>Processo penal feminista</w:t>
      </w:r>
      <w:r w:rsidRPr="005C5D89">
        <w:rPr>
          <w:rFonts w:ascii="Arial" w:hAnsi="Arial" w:cs="Arial"/>
        </w:rPr>
        <w:t>. São Paulo: Atlas, 2020.</w:t>
      </w:r>
    </w:p>
    <w:p w14:paraId="00EA420D" w14:textId="77777777" w:rsidR="005C5D89" w:rsidRPr="005C5D89" w:rsidRDefault="005C5D89" w:rsidP="00B63260">
      <w:pPr>
        <w:pStyle w:val="Corpodetexto"/>
        <w:spacing w:line="360" w:lineRule="auto"/>
        <w:ind w:left="141" w:right="-7"/>
        <w:jc w:val="both"/>
        <w:rPr>
          <w:rFonts w:ascii="Arial" w:hAnsi="Arial" w:cs="Arial"/>
        </w:rPr>
      </w:pPr>
    </w:p>
    <w:p w14:paraId="35F490EA" w14:textId="77777777" w:rsidR="005C5D89" w:rsidRPr="005C5D89"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PARANÁ. Lei nº 19.873, de 25 de junho de 2019. </w:t>
      </w:r>
      <w:r w:rsidRPr="005C5D89">
        <w:rPr>
          <w:rFonts w:ascii="Arial" w:hAnsi="Arial" w:cs="Arial"/>
          <w:b/>
          <w:bCs/>
        </w:rPr>
        <w:t>Institui o Dia Estadual de Combate ao Feminicídio, a ser realizado anualmente no dia 22 de julho.</w:t>
      </w:r>
      <w:r w:rsidRPr="005C5D89">
        <w:rPr>
          <w:rFonts w:ascii="Arial" w:hAnsi="Arial" w:cs="Arial"/>
        </w:rPr>
        <w:t xml:space="preserve"> Curitiba: Assembleia Legislativa do Estado do Paraná, 2019. Disponível em: https://www.legislacao.pr.gov.br/legislacao/pesquisarAto.do?action=exibir&amp;codAto=222564. Acesso em: 15 abr. 2026.</w:t>
      </w:r>
    </w:p>
    <w:p w14:paraId="02683096" w14:textId="77777777" w:rsidR="005C5D89" w:rsidRPr="005C5D89" w:rsidRDefault="005C5D89" w:rsidP="00B63260">
      <w:pPr>
        <w:pStyle w:val="Corpodetexto"/>
        <w:spacing w:line="360" w:lineRule="auto"/>
        <w:ind w:left="141" w:right="-7"/>
        <w:jc w:val="both"/>
        <w:rPr>
          <w:rFonts w:ascii="Arial" w:hAnsi="Arial" w:cs="Arial"/>
        </w:rPr>
      </w:pPr>
    </w:p>
    <w:p w14:paraId="04880EB3" w14:textId="721CA5AF" w:rsidR="00183013" w:rsidRPr="00F64747" w:rsidRDefault="005C5D89" w:rsidP="00B63260">
      <w:pPr>
        <w:pStyle w:val="Corpodetexto"/>
        <w:spacing w:line="360" w:lineRule="auto"/>
        <w:ind w:left="141" w:right="-7"/>
        <w:jc w:val="both"/>
        <w:rPr>
          <w:rFonts w:ascii="Arial" w:hAnsi="Arial" w:cs="Arial"/>
        </w:rPr>
      </w:pPr>
      <w:r w:rsidRPr="005C5D89">
        <w:rPr>
          <w:rFonts w:ascii="Arial" w:hAnsi="Arial" w:cs="Arial"/>
        </w:rPr>
        <w:t xml:space="preserve">ROSA, Brunna. </w:t>
      </w:r>
      <w:r w:rsidRPr="005C5D89">
        <w:rPr>
          <w:rFonts w:ascii="Arial" w:hAnsi="Arial" w:cs="Arial"/>
          <w:b/>
          <w:bCs/>
        </w:rPr>
        <w:t>Feminicídio 2.0: a violência de gênero na era digital</w:t>
      </w:r>
      <w:r w:rsidRPr="005C5D89">
        <w:rPr>
          <w:rFonts w:ascii="Arial" w:hAnsi="Arial" w:cs="Arial"/>
        </w:rPr>
        <w:t>. Rio de Janeiro: Lumen Juris, 2021.</w:t>
      </w:r>
    </w:p>
    <w:sectPr w:rsidR="00183013" w:rsidRPr="00F64747" w:rsidSect="005C5D89">
      <w:headerReference w:type="default" r:id="rId11"/>
      <w:pgSz w:w="11900" w:h="16860"/>
      <w:pgMar w:top="1701" w:right="1134" w:bottom="1134" w:left="1701" w:header="9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D9B04" w14:textId="77777777" w:rsidR="00F457D3" w:rsidRDefault="00F457D3">
      <w:r>
        <w:separator/>
      </w:r>
    </w:p>
  </w:endnote>
  <w:endnote w:type="continuationSeparator" w:id="0">
    <w:p w14:paraId="45BB7746" w14:textId="77777777" w:rsidR="00F457D3" w:rsidRDefault="00F45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5B73E" w14:textId="77777777" w:rsidR="00F457D3" w:rsidRDefault="00F457D3">
      <w:r>
        <w:separator/>
      </w:r>
    </w:p>
  </w:footnote>
  <w:footnote w:type="continuationSeparator" w:id="0">
    <w:p w14:paraId="2F952F57" w14:textId="77777777" w:rsidR="00F457D3" w:rsidRDefault="00F45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029C" w14:textId="77777777" w:rsidR="00183013" w:rsidRDefault="00711982">
    <w:pPr>
      <w:pStyle w:val="Corpodetexto"/>
      <w:spacing w:line="14" w:lineRule="auto"/>
      <w:rPr>
        <w:sz w:val="20"/>
      </w:rPr>
    </w:pPr>
    <w:r>
      <w:rPr>
        <w:noProof/>
        <w:sz w:val="20"/>
      </w:rPr>
      <mc:AlternateContent>
        <mc:Choice Requires="wps">
          <w:drawing>
            <wp:anchor distT="0" distB="0" distL="0" distR="0" simplePos="0" relativeHeight="251657216" behindDoc="1" locked="0" layoutInCell="1" allowOverlap="1" wp14:anchorId="71A517E5" wp14:editId="6592AA25">
              <wp:simplePos x="0" y="0"/>
              <wp:positionH relativeFrom="page">
                <wp:posOffset>2705226</wp:posOffset>
              </wp:positionH>
              <wp:positionV relativeFrom="page">
                <wp:posOffset>616542</wp:posOffset>
              </wp:positionV>
              <wp:extent cx="215074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0745" cy="194310"/>
                      </a:xfrm>
                      <a:prstGeom prst="rect">
                        <a:avLst/>
                      </a:prstGeom>
                    </wps:spPr>
                    <wps:txbx>
                      <w:txbxContent>
                        <w:p w14:paraId="790ABAAE" w14:textId="6743E1ED" w:rsidR="00183013" w:rsidRPr="00F64747" w:rsidRDefault="00183013">
                          <w:pPr>
                            <w:spacing w:before="10"/>
                            <w:ind w:left="20"/>
                            <w:rPr>
                              <w:rFonts w:ascii="Arial" w:hAnsi="Arial" w:cs="Arial"/>
                              <w:sz w:val="24"/>
                            </w:rPr>
                          </w:pPr>
                        </w:p>
                      </w:txbxContent>
                    </wps:txbx>
                    <wps:bodyPr wrap="square" lIns="0" tIns="0" rIns="0" bIns="0" rtlCol="0">
                      <a:noAutofit/>
                    </wps:bodyPr>
                  </wps:wsp>
                </a:graphicData>
              </a:graphic>
            </wp:anchor>
          </w:drawing>
        </mc:Choice>
        <mc:Fallback>
          <w:pict>
            <v:shapetype w14:anchorId="71A517E5" id="_x0000_t202" coordsize="21600,21600" o:spt="202" path="m,l,21600r21600,l21600,xe">
              <v:stroke joinstyle="miter"/>
              <v:path gradientshapeok="t" o:connecttype="rect"/>
            </v:shapetype>
            <v:shape id="Textbox 2" o:spid="_x0000_s1026" type="#_x0000_t202" style="position:absolute;margin-left:213pt;margin-top:48.55pt;width:169.35pt;height:15.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" filled="f" stroked="f">
              <v:textbox inset="0,0,0,0">
                <w:txbxContent>
                  <w:p w14:paraId="790ABAAE" w14:textId="6743E1ED" w:rsidR="00183013" w:rsidRPr="00F64747" w:rsidRDefault="00183013">
                    <w:pPr>
                      <w:spacing w:before="10"/>
                      <w:ind w:left="20"/>
                      <w:rPr>
                        <w:rFonts w:ascii="Arial" w:hAnsi="Arial" w:cs="Arial"/>
                        <w:sz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A0A1" w14:textId="77777777" w:rsidR="00183013" w:rsidRDefault="00711982">
    <w:pPr>
      <w:pStyle w:val="Corpodetexto"/>
      <w:spacing w:line="14" w:lineRule="auto"/>
      <w:rPr>
        <w:sz w:val="20"/>
      </w:rPr>
    </w:pPr>
    <w:r>
      <w:rPr>
        <w:noProof/>
        <w:sz w:val="20"/>
      </w:rPr>
      <mc:AlternateContent>
        <mc:Choice Requires="wps">
          <w:drawing>
            <wp:anchor distT="0" distB="0" distL="0" distR="0" simplePos="0" relativeHeight="251660800" behindDoc="1" locked="0" layoutInCell="1" allowOverlap="1" wp14:anchorId="46963451" wp14:editId="0B61F054">
              <wp:simplePos x="0" y="0"/>
              <wp:positionH relativeFrom="page">
                <wp:posOffset>3243198</wp:posOffset>
              </wp:positionH>
              <wp:positionV relativeFrom="page">
                <wp:posOffset>625686</wp:posOffset>
              </wp:positionV>
              <wp:extent cx="107061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0610" cy="194310"/>
                      </a:xfrm>
                      <a:prstGeom prst="rect">
                        <a:avLst/>
                      </a:prstGeom>
                    </wps:spPr>
                    <wps:txbx>
                      <w:txbxContent>
                        <w:p w14:paraId="00E9F928" w14:textId="3BA611D9" w:rsidR="00183013" w:rsidRDefault="00183013">
                          <w:pPr>
                            <w:spacing w:before="10"/>
                            <w:ind w:left="20"/>
                            <w:rPr>
                              <w:b/>
                              <w:sz w:val="24"/>
                            </w:rPr>
                          </w:pPr>
                        </w:p>
                      </w:txbxContent>
                    </wps:txbx>
                    <wps:bodyPr wrap="square" lIns="0" tIns="0" rIns="0" bIns="0" rtlCol="0">
                      <a:noAutofit/>
                    </wps:bodyPr>
                  </wps:wsp>
                </a:graphicData>
              </a:graphic>
            </wp:anchor>
          </w:drawing>
        </mc:Choice>
        <mc:Fallback>
          <w:pict>
            <v:shapetype w14:anchorId="46963451" id="_x0000_t202" coordsize="21600,21600" o:spt="202" path="m,l,21600r21600,l21600,xe">
              <v:stroke joinstyle="miter"/>
              <v:path gradientshapeok="t" o:connecttype="rect"/>
            </v:shapetype>
            <v:shape id="Textbox 6" o:spid="_x0000_s1027" type="#_x0000_t202" style="position:absolute;margin-left:255.35pt;margin-top:49.25pt;width:84.3pt;height:15.3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" filled="f" stroked="f">
              <v:textbox inset="0,0,0,0">
                <w:txbxContent>
                  <w:p w14:paraId="00E9F928" w14:textId="3BA611D9" w:rsidR="00183013" w:rsidRDefault="00183013">
                    <w:pPr>
                      <w:spacing w:before="10"/>
                      <w:ind w:left="20"/>
                      <w:rPr>
                        <w:b/>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E497" w14:textId="77777777" w:rsidR="00183013" w:rsidRDefault="00711982">
    <w:pPr>
      <w:pStyle w:val="Corpodetexto"/>
      <w:spacing w:line="14" w:lineRule="auto"/>
      <w:rPr>
        <w:sz w:val="20"/>
      </w:rPr>
    </w:pPr>
    <w:r>
      <w:rPr>
        <w:noProof/>
        <w:sz w:val="20"/>
      </w:rPr>
      <mc:AlternateContent>
        <mc:Choice Requires="wps">
          <w:drawing>
            <wp:anchor distT="0" distB="0" distL="0" distR="0" simplePos="0" relativeHeight="251661824" behindDoc="1" locked="0" layoutInCell="1" allowOverlap="1" wp14:anchorId="474D8561" wp14:editId="0402C34B">
              <wp:simplePos x="0" y="0"/>
              <wp:positionH relativeFrom="page">
                <wp:posOffset>3226435</wp:posOffset>
              </wp:positionH>
              <wp:positionV relativeFrom="page">
                <wp:posOffset>576918</wp:posOffset>
              </wp:positionV>
              <wp:extent cx="1104265"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194310"/>
                      </a:xfrm>
                      <a:prstGeom prst="rect">
                        <a:avLst/>
                      </a:prstGeom>
                    </wps:spPr>
                    <wps:txbx>
                      <w:txbxContent>
                        <w:p w14:paraId="72CA6987" w14:textId="53D3EA4D" w:rsidR="00183013" w:rsidRPr="00F524AD" w:rsidRDefault="00183013">
                          <w:pPr>
                            <w:spacing w:before="10"/>
                            <w:ind w:left="20"/>
                            <w:rPr>
                              <w:rFonts w:ascii="Arial" w:hAnsi="Arial" w:cs="Arial"/>
                              <w:b/>
                              <w:sz w:val="24"/>
                            </w:rPr>
                          </w:pPr>
                        </w:p>
                      </w:txbxContent>
                    </wps:txbx>
                    <wps:bodyPr wrap="square" lIns="0" tIns="0" rIns="0" bIns="0" rtlCol="0">
                      <a:noAutofit/>
                    </wps:bodyPr>
                  </wps:wsp>
                </a:graphicData>
              </a:graphic>
            </wp:anchor>
          </w:drawing>
        </mc:Choice>
        <mc:Fallback>
          <w:pict>
            <v:shapetype w14:anchorId="474D8561" id="_x0000_t202" coordsize="21600,21600" o:spt="202" path="m,l,21600r21600,l21600,xe">
              <v:stroke joinstyle="miter"/>
              <v:path gradientshapeok="t" o:connecttype="rect"/>
            </v:shapetype>
            <v:shape id="Textbox 7" o:spid="_x0000_s1028" type="#_x0000_t202" style="position:absolute;margin-left:254.05pt;margin-top:45.45pt;width:86.95pt;height:15.3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" filled="f" stroked="f">
              <v:textbox inset="0,0,0,0">
                <w:txbxContent>
                  <w:p w14:paraId="72CA6987" w14:textId="53D3EA4D" w:rsidR="00183013" w:rsidRPr="00F524AD" w:rsidRDefault="00183013">
                    <w:pPr>
                      <w:spacing w:before="10"/>
                      <w:ind w:left="20"/>
                      <w:rPr>
                        <w:rFonts w:ascii="Arial" w:hAnsi="Arial" w:cs="Arial"/>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3F62"/>
    <w:multiLevelType w:val="multilevel"/>
    <w:tmpl w:val="3C527450"/>
    <w:lvl w:ilvl="0">
      <w:start w:val="1"/>
      <w:numFmt w:val="decimal"/>
      <w:lvlText w:val="%1"/>
      <w:lvlJc w:val="left"/>
      <w:pPr>
        <w:ind w:left="321" w:hanging="180"/>
      </w:pPr>
      <w:rPr>
        <w:rFonts w:ascii="Arial" w:eastAsia="Times New Roman" w:hAnsi="Arial" w:cs="Arial" w:hint="default"/>
        <w:b/>
        <w:bCs/>
        <w:i w:val="0"/>
        <w:iCs w:val="0"/>
        <w:spacing w:val="0"/>
        <w:w w:val="100"/>
        <w:sz w:val="24"/>
        <w:szCs w:val="24"/>
        <w:lang w:val="pt-PT" w:eastAsia="en-US" w:bidi="ar-SA"/>
      </w:rPr>
    </w:lvl>
    <w:lvl w:ilvl="1">
      <w:start w:val="1"/>
      <w:numFmt w:val="decimal"/>
      <w:lvlText w:val="%1.%2"/>
      <w:lvlJc w:val="left"/>
      <w:pPr>
        <w:ind w:left="501" w:hanging="360"/>
      </w:pPr>
      <w:rPr>
        <w:rFonts w:ascii="Arial" w:eastAsia="Times New Roman" w:hAnsi="Arial" w:cs="Arial"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Arial" w:eastAsia="Times New Roman" w:hAnsi="Arial" w:cs="Arial" w:hint="default"/>
        <w:b w:val="0"/>
        <w:bCs w:val="0"/>
        <w:i w:val="0"/>
        <w:iCs w:val="0"/>
        <w:spacing w:val="0"/>
        <w:w w:val="100"/>
        <w:sz w:val="24"/>
        <w:szCs w:val="24"/>
        <w:lang w:val="pt-PT" w:eastAsia="en-US" w:bidi="ar-SA"/>
      </w:rPr>
    </w:lvl>
    <w:lvl w:ilvl="3">
      <w:numFmt w:val="bullet"/>
      <w:lvlText w:val="•"/>
      <w:lvlJc w:val="left"/>
      <w:pPr>
        <w:ind w:left="1905" w:hanging="540"/>
      </w:pPr>
      <w:rPr>
        <w:rFonts w:hint="default"/>
        <w:lang w:val="pt-PT" w:eastAsia="en-US" w:bidi="ar-SA"/>
      </w:rPr>
    </w:lvl>
    <w:lvl w:ilvl="4">
      <w:numFmt w:val="bullet"/>
      <w:lvlText w:val="•"/>
      <w:lvlJc w:val="left"/>
      <w:pPr>
        <w:ind w:left="3130" w:hanging="540"/>
      </w:pPr>
      <w:rPr>
        <w:rFonts w:hint="default"/>
        <w:lang w:val="pt-PT" w:eastAsia="en-US" w:bidi="ar-SA"/>
      </w:rPr>
    </w:lvl>
    <w:lvl w:ilvl="5">
      <w:numFmt w:val="bullet"/>
      <w:lvlText w:val="•"/>
      <w:lvlJc w:val="left"/>
      <w:pPr>
        <w:ind w:left="4355" w:hanging="540"/>
      </w:pPr>
      <w:rPr>
        <w:rFonts w:hint="default"/>
        <w:lang w:val="pt-PT" w:eastAsia="en-US" w:bidi="ar-SA"/>
      </w:rPr>
    </w:lvl>
    <w:lvl w:ilvl="6">
      <w:numFmt w:val="bullet"/>
      <w:lvlText w:val="•"/>
      <w:lvlJc w:val="left"/>
      <w:pPr>
        <w:ind w:left="5581" w:hanging="540"/>
      </w:pPr>
      <w:rPr>
        <w:rFonts w:hint="default"/>
        <w:lang w:val="pt-PT" w:eastAsia="en-US" w:bidi="ar-SA"/>
      </w:rPr>
    </w:lvl>
    <w:lvl w:ilvl="7">
      <w:numFmt w:val="bullet"/>
      <w:lvlText w:val="•"/>
      <w:lvlJc w:val="left"/>
      <w:pPr>
        <w:ind w:left="6806" w:hanging="540"/>
      </w:pPr>
      <w:rPr>
        <w:rFonts w:hint="default"/>
        <w:lang w:val="pt-PT" w:eastAsia="en-US" w:bidi="ar-SA"/>
      </w:rPr>
    </w:lvl>
    <w:lvl w:ilvl="8">
      <w:numFmt w:val="bullet"/>
      <w:lvlText w:val="•"/>
      <w:lvlJc w:val="left"/>
      <w:pPr>
        <w:ind w:left="8031" w:hanging="540"/>
      </w:pPr>
      <w:rPr>
        <w:rFonts w:hint="default"/>
        <w:lang w:val="pt-PT" w:eastAsia="en-US" w:bidi="ar-SA"/>
      </w:rPr>
    </w:lvl>
  </w:abstractNum>
  <w:abstractNum w:abstractNumId="1" w15:restartNumberingAfterBreak="0">
    <w:nsid w:val="14B777F2"/>
    <w:multiLevelType w:val="multilevel"/>
    <w:tmpl w:val="3C527450"/>
    <w:lvl w:ilvl="0">
      <w:start w:val="1"/>
      <w:numFmt w:val="decimal"/>
      <w:lvlText w:val="%1"/>
      <w:lvlJc w:val="left"/>
      <w:pPr>
        <w:ind w:left="321" w:hanging="180"/>
      </w:pPr>
      <w:rPr>
        <w:rFonts w:ascii="Arial" w:eastAsia="Times New Roman" w:hAnsi="Arial" w:cs="Arial" w:hint="default"/>
        <w:b/>
        <w:bCs/>
        <w:i w:val="0"/>
        <w:iCs w:val="0"/>
        <w:spacing w:val="0"/>
        <w:w w:val="100"/>
        <w:sz w:val="24"/>
        <w:szCs w:val="24"/>
        <w:lang w:val="pt-PT" w:eastAsia="en-US" w:bidi="ar-SA"/>
      </w:rPr>
    </w:lvl>
    <w:lvl w:ilvl="1">
      <w:start w:val="1"/>
      <w:numFmt w:val="decimal"/>
      <w:lvlText w:val="%1.%2"/>
      <w:lvlJc w:val="left"/>
      <w:pPr>
        <w:ind w:left="501" w:hanging="360"/>
      </w:pPr>
      <w:rPr>
        <w:rFonts w:ascii="Arial" w:eastAsia="Times New Roman" w:hAnsi="Arial" w:cs="Arial"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Arial" w:eastAsia="Times New Roman" w:hAnsi="Arial" w:cs="Arial" w:hint="default"/>
        <w:b w:val="0"/>
        <w:bCs w:val="0"/>
        <w:i w:val="0"/>
        <w:iCs w:val="0"/>
        <w:spacing w:val="0"/>
        <w:w w:val="100"/>
        <w:sz w:val="24"/>
        <w:szCs w:val="24"/>
        <w:lang w:val="pt-PT" w:eastAsia="en-US" w:bidi="ar-SA"/>
      </w:rPr>
    </w:lvl>
    <w:lvl w:ilvl="3">
      <w:numFmt w:val="bullet"/>
      <w:lvlText w:val="•"/>
      <w:lvlJc w:val="left"/>
      <w:pPr>
        <w:ind w:left="1905" w:hanging="540"/>
      </w:pPr>
      <w:rPr>
        <w:rFonts w:hint="default"/>
        <w:lang w:val="pt-PT" w:eastAsia="en-US" w:bidi="ar-SA"/>
      </w:rPr>
    </w:lvl>
    <w:lvl w:ilvl="4">
      <w:numFmt w:val="bullet"/>
      <w:lvlText w:val="•"/>
      <w:lvlJc w:val="left"/>
      <w:pPr>
        <w:ind w:left="3130" w:hanging="540"/>
      </w:pPr>
      <w:rPr>
        <w:rFonts w:hint="default"/>
        <w:lang w:val="pt-PT" w:eastAsia="en-US" w:bidi="ar-SA"/>
      </w:rPr>
    </w:lvl>
    <w:lvl w:ilvl="5">
      <w:numFmt w:val="bullet"/>
      <w:lvlText w:val="•"/>
      <w:lvlJc w:val="left"/>
      <w:pPr>
        <w:ind w:left="4355" w:hanging="540"/>
      </w:pPr>
      <w:rPr>
        <w:rFonts w:hint="default"/>
        <w:lang w:val="pt-PT" w:eastAsia="en-US" w:bidi="ar-SA"/>
      </w:rPr>
    </w:lvl>
    <w:lvl w:ilvl="6">
      <w:numFmt w:val="bullet"/>
      <w:lvlText w:val="•"/>
      <w:lvlJc w:val="left"/>
      <w:pPr>
        <w:ind w:left="5581" w:hanging="540"/>
      </w:pPr>
      <w:rPr>
        <w:rFonts w:hint="default"/>
        <w:lang w:val="pt-PT" w:eastAsia="en-US" w:bidi="ar-SA"/>
      </w:rPr>
    </w:lvl>
    <w:lvl w:ilvl="7">
      <w:numFmt w:val="bullet"/>
      <w:lvlText w:val="•"/>
      <w:lvlJc w:val="left"/>
      <w:pPr>
        <w:ind w:left="6806" w:hanging="540"/>
      </w:pPr>
      <w:rPr>
        <w:rFonts w:hint="default"/>
        <w:lang w:val="pt-PT" w:eastAsia="en-US" w:bidi="ar-SA"/>
      </w:rPr>
    </w:lvl>
    <w:lvl w:ilvl="8">
      <w:numFmt w:val="bullet"/>
      <w:lvlText w:val="•"/>
      <w:lvlJc w:val="left"/>
      <w:pPr>
        <w:ind w:left="8031" w:hanging="540"/>
      </w:pPr>
      <w:rPr>
        <w:rFonts w:hint="default"/>
        <w:lang w:val="pt-PT" w:eastAsia="en-US" w:bidi="ar-SA"/>
      </w:rPr>
    </w:lvl>
  </w:abstractNum>
  <w:abstractNum w:abstractNumId="2" w15:restartNumberingAfterBreak="0">
    <w:nsid w:val="203257B2"/>
    <w:multiLevelType w:val="multilevel"/>
    <w:tmpl w:val="C9EABA12"/>
    <w:lvl w:ilvl="0">
      <w:start w:val="1"/>
      <w:numFmt w:val="decimal"/>
      <w:lvlText w:val="%1"/>
      <w:lvlJc w:val="left"/>
      <w:pPr>
        <w:ind w:left="501" w:hanging="360"/>
      </w:pPr>
      <w:rPr>
        <w:rFonts w:hint="default"/>
        <w:lang w:val="pt-PT" w:eastAsia="en-US" w:bidi="ar-SA"/>
      </w:rPr>
    </w:lvl>
    <w:lvl w:ilvl="1">
      <w:start w:val="2"/>
      <w:numFmt w:val="decimal"/>
      <w:lvlText w:val="%1.%2"/>
      <w:lvlJc w:val="left"/>
      <w:pPr>
        <w:ind w:left="501" w:hanging="360"/>
      </w:pPr>
      <w:rPr>
        <w:rFonts w:ascii="Arial" w:eastAsia="Times New Roman" w:hAnsi="Arial" w:cs="Arial"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Arial" w:eastAsia="Times New Roman" w:hAnsi="Arial" w:cs="Arial" w:hint="default"/>
        <w:b w:val="0"/>
        <w:bCs w:val="0"/>
        <w:i w:val="0"/>
        <w:iCs w:val="0"/>
        <w:spacing w:val="0"/>
        <w:w w:val="100"/>
        <w:sz w:val="24"/>
        <w:szCs w:val="24"/>
        <w:lang w:val="pt-PT" w:eastAsia="en-US" w:bidi="ar-SA"/>
      </w:rPr>
    </w:lvl>
    <w:lvl w:ilvl="3">
      <w:numFmt w:val="bullet"/>
      <w:lvlText w:val="•"/>
      <w:lvlJc w:val="left"/>
      <w:pPr>
        <w:ind w:left="2858" w:hanging="540"/>
      </w:pPr>
      <w:rPr>
        <w:rFonts w:hint="default"/>
        <w:lang w:val="pt-PT" w:eastAsia="en-US" w:bidi="ar-SA"/>
      </w:rPr>
    </w:lvl>
    <w:lvl w:ilvl="4">
      <w:numFmt w:val="bullet"/>
      <w:lvlText w:val="•"/>
      <w:lvlJc w:val="left"/>
      <w:pPr>
        <w:ind w:left="3947" w:hanging="540"/>
      </w:pPr>
      <w:rPr>
        <w:rFonts w:hint="default"/>
        <w:lang w:val="pt-PT" w:eastAsia="en-US" w:bidi="ar-SA"/>
      </w:rPr>
    </w:lvl>
    <w:lvl w:ilvl="5">
      <w:numFmt w:val="bullet"/>
      <w:lvlText w:val="•"/>
      <w:lvlJc w:val="left"/>
      <w:pPr>
        <w:ind w:left="5036" w:hanging="540"/>
      </w:pPr>
      <w:rPr>
        <w:rFonts w:hint="default"/>
        <w:lang w:val="pt-PT" w:eastAsia="en-US" w:bidi="ar-SA"/>
      </w:rPr>
    </w:lvl>
    <w:lvl w:ilvl="6">
      <w:numFmt w:val="bullet"/>
      <w:lvlText w:val="•"/>
      <w:lvlJc w:val="left"/>
      <w:pPr>
        <w:ind w:left="6125" w:hanging="540"/>
      </w:pPr>
      <w:rPr>
        <w:rFonts w:hint="default"/>
        <w:lang w:val="pt-PT" w:eastAsia="en-US" w:bidi="ar-SA"/>
      </w:rPr>
    </w:lvl>
    <w:lvl w:ilvl="7">
      <w:numFmt w:val="bullet"/>
      <w:lvlText w:val="•"/>
      <w:lvlJc w:val="left"/>
      <w:pPr>
        <w:ind w:left="7214" w:hanging="540"/>
      </w:pPr>
      <w:rPr>
        <w:rFonts w:hint="default"/>
        <w:lang w:val="pt-PT" w:eastAsia="en-US" w:bidi="ar-SA"/>
      </w:rPr>
    </w:lvl>
    <w:lvl w:ilvl="8">
      <w:numFmt w:val="bullet"/>
      <w:lvlText w:val="•"/>
      <w:lvlJc w:val="left"/>
      <w:pPr>
        <w:ind w:left="8303" w:hanging="540"/>
      </w:pPr>
      <w:rPr>
        <w:rFonts w:hint="default"/>
        <w:lang w:val="pt-PT" w:eastAsia="en-US" w:bidi="ar-SA"/>
      </w:rPr>
    </w:lvl>
  </w:abstractNum>
  <w:abstractNum w:abstractNumId="3" w15:restartNumberingAfterBreak="0">
    <w:nsid w:val="46057130"/>
    <w:multiLevelType w:val="multilevel"/>
    <w:tmpl w:val="3C527450"/>
    <w:lvl w:ilvl="0">
      <w:start w:val="1"/>
      <w:numFmt w:val="decimal"/>
      <w:lvlText w:val="%1"/>
      <w:lvlJc w:val="left"/>
      <w:pPr>
        <w:ind w:left="321" w:hanging="180"/>
      </w:pPr>
      <w:rPr>
        <w:rFonts w:ascii="Arial" w:eastAsia="Times New Roman" w:hAnsi="Arial" w:cs="Arial" w:hint="default"/>
        <w:b/>
        <w:bCs/>
        <w:i w:val="0"/>
        <w:iCs w:val="0"/>
        <w:spacing w:val="0"/>
        <w:w w:val="100"/>
        <w:sz w:val="24"/>
        <w:szCs w:val="24"/>
        <w:lang w:val="pt-PT" w:eastAsia="en-US" w:bidi="ar-SA"/>
      </w:rPr>
    </w:lvl>
    <w:lvl w:ilvl="1">
      <w:start w:val="1"/>
      <w:numFmt w:val="decimal"/>
      <w:lvlText w:val="%1.%2"/>
      <w:lvlJc w:val="left"/>
      <w:pPr>
        <w:ind w:left="501" w:hanging="360"/>
      </w:pPr>
      <w:rPr>
        <w:rFonts w:ascii="Arial" w:eastAsia="Times New Roman" w:hAnsi="Arial" w:cs="Arial"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Arial" w:eastAsia="Times New Roman" w:hAnsi="Arial" w:cs="Arial" w:hint="default"/>
        <w:b w:val="0"/>
        <w:bCs w:val="0"/>
        <w:i w:val="0"/>
        <w:iCs w:val="0"/>
        <w:spacing w:val="0"/>
        <w:w w:val="100"/>
        <w:sz w:val="24"/>
        <w:szCs w:val="24"/>
        <w:lang w:val="pt-PT" w:eastAsia="en-US" w:bidi="ar-SA"/>
      </w:rPr>
    </w:lvl>
    <w:lvl w:ilvl="3">
      <w:numFmt w:val="bullet"/>
      <w:lvlText w:val="•"/>
      <w:lvlJc w:val="left"/>
      <w:pPr>
        <w:ind w:left="1905" w:hanging="540"/>
      </w:pPr>
      <w:rPr>
        <w:rFonts w:hint="default"/>
        <w:lang w:val="pt-PT" w:eastAsia="en-US" w:bidi="ar-SA"/>
      </w:rPr>
    </w:lvl>
    <w:lvl w:ilvl="4">
      <w:numFmt w:val="bullet"/>
      <w:lvlText w:val="•"/>
      <w:lvlJc w:val="left"/>
      <w:pPr>
        <w:ind w:left="3130" w:hanging="540"/>
      </w:pPr>
      <w:rPr>
        <w:rFonts w:hint="default"/>
        <w:lang w:val="pt-PT" w:eastAsia="en-US" w:bidi="ar-SA"/>
      </w:rPr>
    </w:lvl>
    <w:lvl w:ilvl="5">
      <w:numFmt w:val="bullet"/>
      <w:lvlText w:val="•"/>
      <w:lvlJc w:val="left"/>
      <w:pPr>
        <w:ind w:left="4355" w:hanging="540"/>
      </w:pPr>
      <w:rPr>
        <w:rFonts w:hint="default"/>
        <w:lang w:val="pt-PT" w:eastAsia="en-US" w:bidi="ar-SA"/>
      </w:rPr>
    </w:lvl>
    <w:lvl w:ilvl="6">
      <w:numFmt w:val="bullet"/>
      <w:lvlText w:val="•"/>
      <w:lvlJc w:val="left"/>
      <w:pPr>
        <w:ind w:left="5581" w:hanging="540"/>
      </w:pPr>
      <w:rPr>
        <w:rFonts w:hint="default"/>
        <w:lang w:val="pt-PT" w:eastAsia="en-US" w:bidi="ar-SA"/>
      </w:rPr>
    </w:lvl>
    <w:lvl w:ilvl="7">
      <w:numFmt w:val="bullet"/>
      <w:lvlText w:val="•"/>
      <w:lvlJc w:val="left"/>
      <w:pPr>
        <w:ind w:left="6806" w:hanging="540"/>
      </w:pPr>
      <w:rPr>
        <w:rFonts w:hint="default"/>
        <w:lang w:val="pt-PT" w:eastAsia="en-US" w:bidi="ar-SA"/>
      </w:rPr>
    </w:lvl>
    <w:lvl w:ilvl="8">
      <w:numFmt w:val="bullet"/>
      <w:lvlText w:val="•"/>
      <w:lvlJc w:val="left"/>
      <w:pPr>
        <w:ind w:left="8031" w:hanging="540"/>
      </w:pPr>
      <w:rPr>
        <w:rFonts w:hint="default"/>
        <w:lang w:val="pt-PT" w:eastAsia="en-US" w:bidi="ar-SA"/>
      </w:rPr>
    </w:lvl>
  </w:abstractNum>
  <w:abstractNum w:abstractNumId="4" w15:restartNumberingAfterBreak="0">
    <w:nsid w:val="59037E6F"/>
    <w:multiLevelType w:val="hybridMultilevel"/>
    <w:tmpl w:val="FAAAD80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13101373">
    <w:abstractNumId w:val="2"/>
  </w:num>
  <w:num w:numId="2" w16cid:durableId="1790051856">
    <w:abstractNumId w:val="1"/>
  </w:num>
  <w:num w:numId="3" w16cid:durableId="2109112274">
    <w:abstractNumId w:val="4"/>
  </w:num>
  <w:num w:numId="4" w16cid:durableId="1660768807">
    <w:abstractNumId w:val="0"/>
  </w:num>
  <w:num w:numId="5" w16cid:durableId="11687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013"/>
    <w:rsid w:val="00062821"/>
    <w:rsid w:val="00147B01"/>
    <w:rsid w:val="00164F31"/>
    <w:rsid w:val="00183013"/>
    <w:rsid w:val="0019400F"/>
    <w:rsid w:val="003242FF"/>
    <w:rsid w:val="00362F68"/>
    <w:rsid w:val="004257FF"/>
    <w:rsid w:val="004677DA"/>
    <w:rsid w:val="004949E2"/>
    <w:rsid w:val="004A2D9F"/>
    <w:rsid w:val="005C4273"/>
    <w:rsid w:val="005C5D89"/>
    <w:rsid w:val="006070C0"/>
    <w:rsid w:val="006720DA"/>
    <w:rsid w:val="006B1894"/>
    <w:rsid w:val="006B6B96"/>
    <w:rsid w:val="00711982"/>
    <w:rsid w:val="00734BBF"/>
    <w:rsid w:val="007734DD"/>
    <w:rsid w:val="007C50A8"/>
    <w:rsid w:val="00803D3A"/>
    <w:rsid w:val="00874C5E"/>
    <w:rsid w:val="00885EEC"/>
    <w:rsid w:val="008D7A7D"/>
    <w:rsid w:val="009B345B"/>
    <w:rsid w:val="009E28C3"/>
    <w:rsid w:val="00A14DBA"/>
    <w:rsid w:val="00A7435C"/>
    <w:rsid w:val="00A91074"/>
    <w:rsid w:val="00A96B7F"/>
    <w:rsid w:val="00AD2CEC"/>
    <w:rsid w:val="00B551F0"/>
    <w:rsid w:val="00B6268B"/>
    <w:rsid w:val="00B63260"/>
    <w:rsid w:val="00BC1231"/>
    <w:rsid w:val="00C472D4"/>
    <w:rsid w:val="00D1666E"/>
    <w:rsid w:val="00DB4D87"/>
    <w:rsid w:val="00DC2118"/>
    <w:rsid w:val="00DD5866"/>
    <w:rsid w:val="00E12E43"/>
    <w:rsid w:val="00F35095"/>
    <w:rsid w:val="00F457D3"/>
    <w:rsid w:val="00F464B3"/>
    <w:rsid w:val="00F524AD"/>
    <w:rsid w:val="00F64747"/>
    <w:rsid w:val="0838D603"/>
    <w:rsid w:val="129B707E"/>
    <w:rsid w:val="344D9BF7"/>
    <w:rsid w:val="3CA307EA"/>
    <w:rsid w:val="4F64552F"/>
    <w:rsid w:val="54162FDA"/>
    <w:rsid w:val="622499CF"/>
    <w:rsid w:val="636D9FA5"/>
    <w:rsid w:val="65D0D7BD"/>
    <w:rsid w:val="6D90E6ED"/>
    <w:rsid w:val="7393A053"/>
    <w:rsid w:val="743AE567"/>
    <w:rsid w:val="7A767CB4"/>
    <w:rsid w:val="7D82BB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89305"/>
  <w15:docId w15:val="{C766ECDB-19D2-4E29-BDFD-FED23697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link w:val="Ttulo1Char"/>
    <w:uiPriority w:val="9"/>
    <w:qFormat/>
    <w:pPr>
      <w:ind w:left="-1"/>
      <w:outlineLvl w:val="0"/>
    </w:pPr>
    <w:rPr>
      <w:b/>
      <w:bCs/>
      <w:sz w:val="24"/>
      <w:szCs w:val="24"/>
    </w:rPr>
  </w:style>
  <w:style w:type="paragraph" w:styleId="Ttulo2">
    <w:name w:val="heading 2"/>
    <w:basedOn w:val="Normal"/>
    <w:uiPriority w:val="9"/>
    <w:unhideWhenUsed/>
    <w:qFormat/>
    <w:pPr>
      <w:ind w:left="321" w:hanging="180"/>
      <w:outlineLvl w:val="1"/>
    </w:pPr>
    <w:rPr>
      <w:b/>
      <w:bCs/>
      <w:sz w:val="24"/>
      <w:szCs w:val="24"/>
    </w:rPr>
  </w:style>
  <w:style w:type="paragraph" w:styleId="Ttulo3">
    <w:name w:val="heading 3"/>
    <w:basedOn w:val="Normal"/>
    <w:next w:val="Normal"/>
    <w:link w:val="Ttulo3Char"/>
    <w:uiPriority w:val="9"/>
    <w:semiHidden/>
    <w:unhideWhenUsed/>
    <w:qFormat/>
    <w:rsid w:val="006B6B9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147B0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321" w:hanging="540"/>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64747"/>
    <w:pPr>
      <w:tabs>
        <w:tab w:val="center" w:pos="4252"/>
        <w:tab w:val="right" w:pos="8504"/>
      </w:tabs>
    </w:pPr>
  </w:style>
  <w:style w:type="character" w:customStyle="1" w:styleId="CabealhoChar">
    <w:name w:val="Cabeçalho Char"/>
    <w:basedOn w:val="Fontepargpadro"/>
    <w:link w:val="Cabealho"/>
    <w:uiPriority w:val="99"/>
    <w:rsid w:val="00F64747"/>
    <w:rPr>
      <w:rFonts w:ascii="Times New Roman" w:eastAsia="Times New Roman" w:hAnsi="Times New Roman" w:cs="Times New Roman"/>
      <w:lang w:val="pt-PT"/>
    </w:rPr>
  </w:style>
  <w:style w:type="paragraph" w:styleId="Rodap">
    <w:name w:val="footer"/>
    <w:basedOn w:val="Normal"/>
    <w:link w:val="RodapChar"/>
    <w:uiPriority w:val="99"/>
    <w:unhideWhenUsed/>
    <w:rsid w:val="00F64747"/>
    <w:pPr>
      <w:tabs>
        <w:tab w:val="center" w:pos="4252"/>
        <w:tab w:val="right" w:pos="8504"/>
      </w:tabs>
    </w:pPr>
  </w:style>
  <w:style w:type="character" w:customStyle="1" w:styleId="RodapChar">
    <w:name w:val="Rodapé Char"/>
    <w:basedOn w:val="Fontepargpadro"/>
    <w:link w:val="Rodap"/>
    <w:uiPriority w:val="99"/>
    <w:rsid w:val="00F64747"/>
    <w:rPr>
      <w:rFonts w:ascii="Times New Roman" w:eastAsia="Times New Roman" w:hAnsi="Times New Roman" w:cs="Times New Roman"/>
      <w:lang w:val="pt-PT"/>
    </w:rPr>
  </w:style>
  <w:style w:type="table" w:styleId="Tabelacomgrade">
    <w:name w:val="Table Grid"/>
    <w:basedOn w:val="Tabelanormal"/>
    <w:uiPriority w:val="39"/>
    <w:rsid w:val="00B55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C472D4"/>
    <w:rPr>
      <w:rFonts w:ascii="Times New Roman" w:eastAsia="Times New Roman" w:hAnsi="Times New Roman" w:cs="Times New Roman"/>
      <w:b/>
      <w:bCs/>
      <w:sz w:val="24"/>
      <w:szCs w:val="24"/>
      <w:lang w:val="pt-PT"/>
    </w:rPr>
  </w:style>
  <w:style w:type="character" w:customStyle="1" w:styleId="Ttulo3Char">
    <w:name w:val="Título 3 Char"/>
    <w:basedOn w:val="Fontepargpadro"/>
    <w:link w:val="Ttulo3"/>
    <w:uiPriority w:val="9"/>
    <w:semiHidden/>
    <w:rsid w:val="006B6B96"/>
    <w:rPr>
      <w:rFonts w:asciiTheme="majorHAnsi" w:eastAsiaTheme="majorEastAsia" w:hAnsiTheme="majorHAnsi" w:cstheme="majorBidi"/>
      <w:color w:val="243F60" w:themeColor="accent1" w:themeShade="7F"/>
      <w:sz w:val="24"/>
      <w:szCs w:val="24"/>
      <w:lang w:val="pt-PT"/>
    </w:rPr>
  </w:style>
  <w:style w:type="character" w:customStyle="1" w:styleId="Ttulo4Char">
    <w:name w:val="Título 4 Char"/>
    <w:basedOn w:val="Fontepargpadro"/>
    <w:link w:val="Ttulo4"/>
    <w:uiPriority w:val="9"/>
    <w:semiHidden/>
    <w:rsid w:val="00147B01"/>
    <w:rPr>
      <w:rFonts w:asciiTheme="majorHAnsi" w:eastAsiaTheme="majorEastAsia" w:hAnsiTheme="majorHAnsi" w:cstheme="majorBidi"/>
      <w:i/>
      <w:iCs/>
      <w:color w:val="365F91" w:themeColor="accent1" w:themeShade="BF"/>
      <w:lang w:val="pt-PT"/>
    </w:rPr>
  </w:style>
  <w:style w:type="paragraph" w:styleId="CabealhodoSumrio">
    <w:name w:val="TOC Heading"/>
    <w:basedOn w:val="Ttulo1"/>
    <w:next w:val="Normal"/>
    <w:uiPriority w:val="39"/>
    <w:unhideWhenUsed/>
    <w:qFormat/>
    <w:rsid w:val="0006282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rsid w:val="003242FF"/>
    <w:pPr>
      <w:tabs>
        <w:tab w:val="right" w:leader="dot" w:pos="9055"/>
      </w:tabs>
      <w:spacing w:after="100"/>
    </w:pPr>
    <w:rPr>
      <w:rFonts w:ascii="Arial" w:hAnsi="Arial" w:cs="Arial"/>
      <w:noProof/>
      <w:spacing w:val="-2"/>
      <w:sz w:val="24"/>
      <w:szCs w:val="24"/>
    </w:rPr>
  </w:style>
  <w:style w:type="paragraph" w:styleId="Sumrio2">
    <w:name w:val="toc 2"/>
    <w:basedOn w:val="Normal"/>
    <w:next w:val="Normal"/>
    <w:autoRedefine/>
    <w:uiPriority w:val="39"/>
    <w:unhideWhenUsed/>
    <w:rsid w:val="00062821"/>
    <w:pPr>
      <w:spacing w:after="100"/>
      <w:ind w:left="220"/>
    </w:pPr>
  </w:style>
  <w:style w:type="character" w:styleId="Hyperlink">
    <w:name w:val="Hyperlink"/>
    <w:basedOn w:val="Fontepargpadro"/>
    <w:uiPriority w:val="99"/>
    <w:unhideWhenUsed/>
    <w:rsid w:val="00062821"/>
    <w:rPr>
      <w:color w:val="0000FF" w:themeColor="hyperlink"/>
      <w:u w:val="single"/>
    </w:rPr>
  </w:style>
  <w:style w:type="paragraph" w:styleId="Sumrio3">
    <w:name w:val="toc 3"/>
    <w:basedOn w:val="Normal"/>
    <w:next w:val="Normal"/>
    <w:autoRedefine/>
    <w:uiPriority w:val="39"/>
    <w:unhideWhenUsed/>
    <w:rsid w:val="00062821"/>
    <w:pPr>
      <w:widowControl/>
      <w:autoSpaceDE/>
      <w:autoSpaceDN/>
      <w:spacing w:after="100" w:line="259" w:lineRule="auto"/>
      <w:ind w:left="440"/>
    </w:pPr>
    <w:rPr>
      <w:rFonts w:asciiTheme="minorHAnsi" w:eastAsiaTheme="minorEastAsia" w:hAnsiTheme="minorHAnsi"/>
      <w:lang w:val="pt-BR" w:eastAsia="pt-BR"/>
    </w:rPr>
  </w:style>
  <w:style w:type="character" w:styleId="MenoPendente">
    <w:name w:val="Unresolved Mention"/>
    <w:basedOn w:val="Fontepargpadro"/>
    <w:uiPriority w:val="99"/>
    <w:semiHidden/>
    <w:unhideWhenUsed/>
    <w:rsid w:val="00062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579">
      <w:bodyDiv w:val="1"/>
      <w:marLeft w:val="0"/>
      <w:marRight w:val="0"/>
      <w:marTop w:val="0"/>
      <w:marBottom w:val="0"/>
      <w:divBdr>
        <w:top w:val="none" w:sz="0" w:space="0" w:color="auto"/>
        <w:left w:val="none" w:sz="0" w:space="0" w:color="auto"/>
        <w:bottom w:val="none" w:sz="0" w:space="0" w:color="auto"/>
        <w:right w:val="none" w:sz="0" w:space="0" w:color="auto"/>
      </w:divBdr>
    </w:div>
    <w:div w:id="11344044">
      <w:bodyDiv w:val="1"/>
      <w:marLeft w:val="0"/>
      <w:marRight w:val="0"/>
      <w:marTop w:val="0"/>
      <w:marBottom w:val="0"/>
      <w:divBdr>
        <w:top w:val="none" w:sz="0" w:space="0" w:color="auto"/>
        <w:left w:val="none" w:sz="0" w:space="0" w:color="auto"/>
        <w:bottom w:val="none" w:sz="0" w:space="0" w:color="auto"/>
        <w:right w:val="none" w:sz="0" w:space="0" w:color="auto"/>
      </w:divBdr>
    </w:div>
    <w:div w:id="37702399">
      <w:bodyDiv w:val="1"/>
      <w:marLeft w:val="0"/>
      <w:marRight w:val="0"/>
      <w:marTop w:val="0"/>
      <w:marBottom w:val="0"/>
      <w:divBdr>
        <w:top w:val="none" w:sz="0" w:space="0" w:color="auto"/>
        <w:left w:val="none" w:sz="0" w:space="0" w:color="auto"/>
        <w:bottom w:val="none" w:sz="0" w:space="0" w:color="auto"/>
        <w:right w:val="none" w:sz="0" w:space="0" w:color="auto"/>
      </w:divBdr>
    </w:div>
    <w:div w:id="42606017">
      <w:bodyDiv w:val="1"/>
      <w:marLeft w:val="0"/>
      <w:marRight w:val="0"/>
      <w:marTop w:val="0"/>
      <w:marBottom w:val="0"/>
      <w:divBdr>
        <w:top w:val="none" w:sz="0" w:space="0" w:color="auto"/>
        <w:left w:val="none" w:sz="0" w:space="0" w:color="auto"/>
        <w:bottom w:val="none" w:sz="0" w:space="0" w:color="auto"/>
        <w:right w:val="none" w:sz="0" w:space="0" w:color="auto"/>
      </w:divBdr>
    </w:div>
    <w:div w:id="110981584">
      <w:bodyDiv w:val="1"/>
      <w:marLeft w:val="0"/>
      <w:marRight w:val="0"/>
      <w:marTop w:val="0"/>
      <w:marBottom w:val="0"/>
      <w:divBdr>
        <w:top w:val="none" w:sz="0" w:space="0" w:color="auto"/>
        <w:left w:val="none" w:sz="0" w:space="0" w:color="auto"/>
        <w:bottom w:val="none" w:sz="0" w:space="0" w:color="auto"/>
        <w:right w:val="none" w:sz="0" w:space="0" w:color="auto"/>
      </w:divBdr>
    </w:div>
    <w:div w:id="122430021">
      <w:bodyDiv w:val="1"/>
      <w:marLeft w:val="0"/>
      <w:marRight w:val="0"/>
      <w:marTop w:val="0"/>
      <w:marBottom w:val="0"/>
      <w:divBdr>
        <w:top w:val="none" w:sz="0" w:space="0" w:color="auto"/>
        <w:left w:val="none" w:sz="0" w:space="0" w:color="auto"/>
        <w:bottom w:val="none" w:sz="0" w:space="0" w:color="auto"/>
        <w:right w:val="none" w:sz="0" w:space="0" w:color="auto"/>
      </w:divBdr>
    </w:div>
    <w:div w:id="124348766">
      <w:bodyDiv w:val="1"/>
      <w:marLeft w:val="0"/>
      <w:marRight w:val="0"/>
      <w:marTop w:val="0"/>
      <w:marBottom w:val="0"/>
      <w:divBdr>
        <w:top w:val="none" w:sz="0" w:space="0" w:color="auto"/>
        <w:left w:val="none" w:sz="0" w:space="0" w:color="auto"/>
        <w:bottom w:val="none" w:sz="0" w:space="0" w:color="auto"/>
        <w:right w:val="none" w:sz="0" w:space="0" w:color="auto"/>
      </w:divBdr>
    </w:div>
    <w:div w:id="147065174">
      <w:bodyDiv w:val="1"/>
      <w:marLeft w:val="0"/>
      <w:marRight w:val="0"/>
      <w:marTop w:val="0"/>
      <w:marBottom w:val="0"/>
      <w:divBdr>
        <w:top w:val="none" w:sz="0" w:space="0" w:color="auto"/>
        <w:left w:val="none" w:sz="0" w:space="0" w:color="auto"/>
        <w:bottom w:val="none" w:sz="0" w:space="0" w:color="auto"/>
        <w:right w:val="none" w:sz="0" w:space="0" w:color="auto"/>
      </w:divBdr>
    </w:div>
    <w:div w:id="162012576">
      <w:bodyDiv w:val="1"/>
      <w:marLeft w:val="0"/>
      <w:marRight w:val="0"/>
      <w:marTop w:val="0"/>
      <w:marBottom w:val="0"/>
      <w:divBdr>
        <w:top w:val="none" w:sz="0" w:space="0" w:color="auto"/>
        <w:left w:val="none" w:sz="0" w:space="0" w:color="auto"/>
        <w:bottom w:val="none" w:sz="0" w:space="0" w:color="auto"/>
        <w:right w:val="none" w:sz="0" w:space="0" w:color="auto"/>
      </w:divBdr>
    </w:div>
    <w:div w:id="195579130">
      <w:bodyDiv w:val="1"/>
      <w:marLeft w:val="0"/>
      <w:marRight w:val="0"/>
      <w:marTop w:val="0"/>
      <w:marBottom w:val="0"/>
      <w:divBdr>
        <w:top w:val="none" w:sz="0" w:space="0" w:color="auto"/>
        <w:left w:val="none" w:sz="0" w:space="0" w:color="auto"/>
        <w:bottom w:val="none" w:sz="0" w:space="0" w:color="auto"/>
        <w:right w:val="none" w:sz="0" w:space="0" w:color="auto"/>
      </w:divBdr>
    </w:div>
    <w:div w:id="207184330">
      <w:bodyDiv w:val="1"/>
      <w:marLeft w:val="0"/>
      <w:marRight w:val="0"/>
      <w:marTop w:val="0"/>
      <w:marBottom w:val="0"/>
      <w:divBdr>
        <w:top w:val="none" w:sz="0" w:space="0" w:color="auto"/>
        <w:left w:val="none" w:sz="0" w:space="0" w:color="auto"/>
        <w:bottom w:val="none" w:sz="0" w:space="0" w:color="auto"/>
        <w:right w:val="none" w:sz="0" w:space="0" w:color="auto"/>
      </w:divBdr>
    </w:div>
    <w:div w:id="249237854">
      <w:bodyDiv w:val="1"/>
      <w:marLeft w:val="0"/>
      <w:marRight w:val="0"/>
      <w:marTop w:val="0"/>
      <w:marBottom w:val="0"/>
      <w:divBdr>
        <w:top w:val="none" w:sz="0" w:space="0" w:color="auto"/>
        <w:left w:val="none" w:sz="0" w:space="0" w:color="auto"/>
        <w:bottom w:val="none" w:sz="0" w:space="0" w:color="auto"/>
        <w:right w:val="none" w:sz="0" w:space="0" w:color="auto"/>
      </w:divBdr>
    </w:div>
    <w:div w:id="254173017">
      <w:bodyDiv w:val="1"/>
      <w:marLeft w:val="0"/>
      <w:marRight w:val="0"/>
      <w:marTop w:val="0"/>
      <w:marBottom w:val="0"/>
      <w:divBdr>
        <w:top w:val="none" w:sz="0" w:space="0" w:color="auto"/>
        <w:left w:val="none" w:sz="0" w:space="0" w:color="auto"/>
        <w:bottom w:val="none" w:sz="0" w:space="0" w:color="auto"/>
        <w:right w:val="none" w:sz="0" w:space="0" w:color="auto"/>
      </w:divBdr>
    </w:div>
    <w:div w:id="254825255">
      <w:bodyDiv w:val="1"/>
      <w:marLeft w:val="0"/>
      <w:marRight w:val="0"/>
      <w:marTop w:val="0"/>
      <w:marBottom w:val="0"/>
      <w:divBdr>
        <w:top w:val="none" w:sz="0" w:space="0" w:color="auto"/>
        <w:left w:val="none" w:sz="0" w:space="0" w:color="auto"/>
        <w:bottom w:val="none" w:sz="0" w:space="0" w:color="auto"/>
        <w:right w:val="none" w:sz="0" w:space="0" w:color="auto"/>
      </w:divBdr>
    </w:div>
    <w:div w:id="272176983">
      <w:bodyDiv w:val="1"/>
      <w:marLeft w:val="0"/>
      <w:marRight w:val="0"/>
      <w:marTop w:val="0"/>
      <w:marBottom w:val="0"/>
      <w:divBdr>
        <w:top w:val="none" w:sz="0" w:space="0" w:color="auto"/>
        <w:left w:val="none" w:sz="0" w:space="0" w:color="auto"/>
        <w:bottom w:val="none" w:sz="0" w:space="0" w:color="auto"/>
        <w:right w:val="none" w:sz="0" w:space="0" w:color="auto"/>
      </w:divBdr>
    </w:div>
    <w:div w:id="280957867">
      <w:bodyDiv w:val="1"/>
      <w:marLeft w:val="0"/>
      <w:marRight w:val="0"/>
      <w:marTop w:val="0"/>
      <w:marBottom w:val="0"/>
      <w:divBdr>
        <w:top w:val="none" w:sz="0" w:space="0" w:color="auto"/>
        <w:left w:val="none" w:sz="0" w:space="0" w:color="auto"/>
        <w:bottom w:val="none" w:sz="0" w:space="0" w:color="auto"/>
        <w:right w:val="none" w:sz="0" w:space="0" w:color="auto"/>
      </w:divBdr>
    </w:div>
    <w:div w:id="329065338">
      <w:bodyDiv w:val="1"/>
      <w:marLeft w:val="0"/>
      <w:marRight w:val="0"/>
      <w:marTop w:val="0"/>
      <w:marBottom w:val="0"/>
      <w:divBdr>
        <w:top w:val="none" w:sz="0" w:space="0" w:color="auto"/>
        <w:left w:val="none" w:sz="0" w:space="0" w:color="auto"/>
        <w:bottom w:val="none" w:sz="0" w:space="0" w:color="auto"/>
        <w:right w:val="none" w:sz="0" w:space="0" w:color="auto"/>
      </w:divBdr>
    </w:div>
    <w:div w:id="346835406">
      <w:bodyDiv w:val="1"/>
      <w:marLeft w:val="0"/>
      <w:marRight w:val="0"/>
      <w:marTop w:val="0"/>
      <w:marBottom w:val="0"/>
      <w:divBdr>
        <w:top w:val="none" w:sz="0" w:space="0" w:color="auto"/>
        <w:left w:val="none" w:sz="0" w:space="0" w:color="auto"/>
        <w:bottom w:val="none" w:sz="0" w:space="0" w:color="auto"/>
        <w:right w:val="none" w:sz="0" w:space="0" w:color="auto"/>
      </w:divBdr>
    </w:div>
    <w:div w:id="380054798">
      <w:bodyDiv w:val="1"/>
      <w:marLeft w:val="0"/>
      <w:marRight w:val="0"/>
      <w:marTop w:val="0"/>
      <w:marBottom w:val="0"/>
      <w:divBdr>
        <w:top w:val="none" w:sz="0" w:space="0" w:color="auto"/>
        <w:left w:val="none" w:sz="0" w:space="0" w:color="auto"/>
        <w:bottom w:val="none" w:sz="0" w:space="0" w:color="auto"/>
        <w:right w:val="none" w:sz="0" w:space="0" w:color="auto"/>
      </w:divBdr>
    </w:div>
    <w:div w:id="406074085">
      <w:bodyDiv w:val="1"/>
      <w:marLeft w:val="0"/>
      <w:marRight w:val="0"/>
      <w:marTop w:val="0"/>
      <w:marBottom w:val="0"/>
      <w:divBdr>
        <w:top w:val="none" w:sz="0" w:space="0" w:color="auto"/>
        <w:left w:val="none" w:sz="0" w:space="0" w:color="auto"/>
        <w:bottom w:val="none" w:sz="0" w:space="0" w:color="auto"/>
        <w:right w:val="none" w:sz="0" w:space="0" w:color="auto"/>
      </w:divBdr>
    </w:div>
    <w:div w:id="460617417">
      <w:bodyDiv w:val="1"/>
      <w:marLeft w:val="0"/>
      <w:marRight w:val="0"/>
      <w:marTop w:val="0"/>
      <w:marBottom w:val="0"/>
      <w:divBdr>
        <w:top w:val="none" w:sz="0" w:space="0" w:color="auto"/>
        <w:left w:val="none" w:sz="0" w:space="0" w:color="auto"/>
        <w:bottom w:val="none" w:sz="0" w:space="0" w:color="auto"/>
        <w:right w:val="none" w:sz="0" w:space="0" w:color="auto"/>
      </w:divBdr>
    </w:div>
    <w:div w:id="462892260">
      <w:bodyDiv w:val="1"/>
      <w:marLeft w:val="0"/>
      <w:marRight w:val="0"/>
      <w:marTop w:val="0"/>
      <w:marBottom w:val="0"/>
      <w:divBdr>
        <w:top w:val="none" w:sz="0" w:space="0" w:color="auto"/>
        <w:left w:val="none" w:sz="0" w:space="0" w:color="auto"/>
        <w:bottom w:val="none" w:sz="0" w:space="0" w:color="auto"/>
        <w:right w:val="none" w:sz="0" w:space="0" w:color="auto"/>
      </w:divBdr>
    </w:div>
    <w:div w:id="479352038">
      <w:bodyDiv w:val="1"/>
      <w:marLeft w:val="0"/>
      <w:marRight w:val="0"/>
      <w:marTop w:val="0"/>
      <w:marBottom w:val="0"/>
      <w:divBdr>
        <w:top w:val="none" w:sz="0" w:space="0" w:color="auto"/>
        <w:left w:val="none" w:sz="0" w:space="0" w:color="auto"/>
        <w:bottom w:val="none" w:sz="0" w:space="0" w:color="auto"/>
        <w:right w:val="none" w:sz="0" w:space="0" w:color="auto"/>
      </w:divBdr>
    </w:div>
    <w:div w:id="515728891">
      <w:bodyDiv w:val="1"/>
      <w:marLeft w:val="0"/>
      <w:marRight w:val="0"/>
      <w:marTop w:val="0"/>
      <w:marBottom w:val="0"/>
      <w:divBdr>
        <w:top w:val="none" w:sz="0" w:space="0" w:color="auto"/>
        <w:left w:val="none" w:sz="0" w:space="0" w:color="auto"/>
        <w:bottom w:val="none" w:sz="0" w:space="0" w:color="auto"/>
        <w:right w:val="none" w:sz="0" w:space="0" w:color="auto"/>
      </w:divBdr>
    </w:div>
    <w:div w:id="525094328">
      <w:bodyDiv w:val="1"/>
      <w:marLeft w:val="0"/>
      <w:marRight w:val="0"/>
      <w:marTop w:val="0"/>
      <w:marBottom w:val="0"/>
      <w:divBdr>
        <w:top w:val="none" w:sz="0" w:space="0" w:color="auto"/>
        <w:left w:val="none" w:sz="0" w:space="0" w:color="auto"/>
        <w:bottom w:val="none" w:sz="0" w:space="0" w:color="auto"/>
        <w:right w:val="none" w:sz="0" w:space="0" w:color="auto"/>
      </w:divBdr>
    </w:div>
    <w:div w:id="527720595">
      <w:bodyDiv w:val="1"/>
      <w:marLeft w:val="0"/>
      <w:marRight w:val="0"/>
      <w:marTop w:val="0"/>
      <w:marBottom w:val="0"/>
      <w:divBdr>
        <w:top w:val="none" w:sz="0" w:space="0" w:color="auto"/>
        <w:left w:val="none" w:sz="0" w:space="0" w:color="auto"/>
        <w:bottom w:val="none" w:sz="0" w:space="0" w:color="auto"/>
        <w:right w:val="none" w:sz="0" w:space="0" w:color="auto"/>
      </w:divBdr>
    </w:div>
    <w:div w:id="553931788">
      <w:bodyDiv w:val="1"/>
      <w:marLeft w:val="0"/>
      <w:marRight w:val="0"/>
      <w:marTop w:val="0"/>
      <w:marBottom w:val="0"/>
      <w:divBdr>
        <w:top w:val="none" w:sz="0" w:space="0" w:color="auto"/>
        <w:left w:val="none" w:sz="0" w:space="0" w:color="auto"/>
        <w:bottom w:val="none" w:sz="0" w:space="0" w:color="auto"/>
        <w:right w:val="none" w:sz="0" w:space="0" w:color="auto"/>
      </w:divBdr>
    </w:div>
    <w:div w:id="578446596">
      <w:bodyDiv w:val="1"/>
      <w:marLeft w:val="0"/>
      <w:marRight w:val="0"/>
      <w:marTop w:val="0"/>
      <w:marBottom w:val="0"/>
      <w:divBdr>
        <w:top w:val="none" w:sz="0" w:space="0" w:color="auto"/>
        <w:left w:val="none" w:sz="0" w:space="0" w:color="auto"/>
        <w:bottom w:val="none" w:sz="0" w:space="0" w:color="auto"/>
        <w:right w:val="none" w:sz="0" w:space="0" w:color="auto"/>
      </w:divBdr>
    </w:div>
    <w:div w:id="589773161">
      <w:bodyDiv w:val="1"/>
      <w:marLeft w:val="0"/>
      <w:marRight w:val="0"/>
      <w:marTop w:val="0"/>
      <w:marBottom w:val="0"/>
      <w:divBdr>
        <w:top w:val="none" w:sz="0" w:space="0" w:color="auto"/>
        <w:left w:val="none" w:sz="0" w:space="0" w:color="auto"/>
        <w:bottom w:val="none" w:sz="0" w:space="0" w:color="auto"/>
        <w:right w:val="none" w:sz="0" w:space="0" w:color="auto"/>
      </w:divBdr>
    </w:div>
    <w:div w:id="621503115">
      <w:bodyDiv w:val="1"/>
      <w:marLeft w:val="0"/>
      <w:marRight w:val="0"/>
      <w:marTop w:val="0"/>
      <w:marBottom w:val="0"/>
      <w:divBdr>
        <w:top w:val="none" w:sz="0" w:space="0" w:color="auto"/>
        <w:left w:val="none" w:sz="0" w:space="0" w:color="auto"/>
        <w:bottom w:val="none" w:sz="0" w:space="0" w:color="auto"/>
        <w:right w:val="none" w:sz="0" w:space="0" w:color="auto"/>
      </w:divBdr>
    </w:div>
    <w:div w:id="681975074">
      <w:bodyDiv w:val="1"/>
      <w:marLeft w:val="0"/>
      <w:marRight w:val="0"/>
      <w:marTop w:val="0"/>
      <w:marBottom w:val="0"/>
      <w:divBdr>
        <w:top w:val="none" w:sz="0" w:space="0" w:color="auto"/>
        <w:left w:val="none" w:sz="0" w:space="0" w:color="auto"/>
        <w:bottom w:val="none" w:sz="0" w:space="0" w:color="auto"/>
        <w:right w:val="none" w:sz="0" w:space="0" w:color="auto"/>
      </w:divBdr>
    </w:div>
    <w:div w:id="716243560">
      <w:bodyDiv w:val="1"/>
      <w:marLeft w:val="0"/>
      <w:marRight w:val="0"/>
      <w:marTop w:val="0"/>
      <w:marBottom w:val="0"/>
      <w:divBdr>
        <w:top w:val="none" w:sz="0" w:space="0" w:color="auto"/>
        <w:left w:val="none" w:sz="0" w:space="0" w:color="auto"/>
        <w:bottom w:val="none" w:sz="0" w:space="0" w:color="auto"/>
        <w:right w:val="none" w:sz="0" w:space="0" w:color="auto"/>
      </w:divBdr>
    </w:div>
    <w:div w:id="1041512398">
      <w:bodyDiv w:val="1"/>
      <w:marLeft w:val="0"/>
      <w:marRight w:val="0"/>
      <w:marTop w:val="0"/>
      <w:marBottom w:val="0"/>
      <w:divBdr>
        <w:top w:val="none" w:sz="0" w:space="0" w:color="auto"/>
        <w:left w:val="none" w:sz="0" w:space="0" w:color="auto"/>
        <w:bottom w:val="none" w:sz="0" w:space="0" w:color="auto"/>
        <w:right w:val="none" w:sz="0" w:space="0" w:color="auto"/>
      </w:divBdr>
    </w:div>
    <w:div w:id="1052115355">
      <w:bodyDiv w:val="1"/>
      <w:marLeft w:val="0"/>
      <w:marRight w:val="0"/>
      <w:marTop w:val="0"/>
      <w:marBottom w:val="0"/>
      <w:divBdr>
        <w:top w:val="none" w:sz="0" w:space="0" w:color="auto"/>
        <w:left w:val="none" w:sz="0" w:space="0" w:color="auto"/>
        <w:bottom w:val="none" w:sz="0" w:space="0" w:color="auto"/>
        <w:right w:val="none" w:sz="0" w:space="0" w:color="auto"/>
      </w:divBdr>
    </w:div>
    <w:div w:id="1053505025">
      <w:bodyDiv w:val="1"/>
      <w:marLeft w:val="0"/>
      <w:marRight w:val="0"/>
      <w:marTop w:val="0"/>
      <w:marBottom w:val="0"/>
      <w:divBdr>
        <w:top w:val="none" w:sz="0" w:space="0" w:color="auto"/>
        <w:left w:val="none" w:sz="0" w:space="0" w:color="auto"/>
        <w:bottom w:val="none" w:sz="0" w:space="0" w:color="auto"/>
        <w:right w:val="none" w:sz="0" w:space="0" w:color="auto"/>
      </w:divBdr>
    </w:div>
    <w:div w:id="1088499806">
      <w:bodyDiv w:val="1"/>
      <w:marLeft w:val="0"/>
      <w:marRight w:val="0"/>
      <w:marTop w:val="0"/>
      <w:marBottom w:val="0"/>
      <w:divBdr>
        <w:top w:val="none" w:sz="0" w:space="0" w:color="auto"/>
        <w:left w:val="none" w:sz="0" w:space="0" w:color="auto"/>
        <w:bottom w:val="none" w:sz="0" w:space="0" w:color="auto"/>
        <w:right w:val="none" w:sz="0" w:space="0" w:color="auto"/>
      </w:divBdr>
    </w:div>
    <w:div w:id="1113407145">
      <w:bodyDiv w:val="1"/>
      <w:marLeft w:val="0"/>
      <w:marRight w:val="0"/>
      <w:marTop w:val="0"/>
      <w:marBottom w:val="0"/>
      <w:divBdr>
        <w:top w:val="none" w:sz="0" w:space="0" w:color="auto"/>
        <w:left w:val="none" w:sz="0" w:space="0" w:color="auto"/>
        <w:bottom w:val="none" w:sz="0" w:space="0" w:color="auto"/>
        <w:right w:val="none" w:sz="0" w:space="0" w:color="auto"/>
      </w:divBdr>
    </w:div>
    <w:div w:id="1177189165">
      <w:bodyDiv w:val="1"/>
      <w:marLeft w:val="0"/>
      <w:marRight w:val="0"/>
      <w:marTop w:val="0"/>
      <w:marBottom w:val="0"/>
      <w:divBdr>
        <w:top w:val="none" w:sz="0" w:space="0" w:color="auto"/>
        <w:left w:val="none" w:sz="0" w:space="0" w:color="auto"/>
        <w:bottom w:val="none" w:sz="0" w:space="0" w:color="auto"/>
        <w:right w:val="none" w:sz="0" w:space="0" w:color="auto"/>
      </w:divBdr>
    </w:div>
    <w:div w:id="1309940794">
      <w:bodyDiv w:val="1"/>
      <w:marLeft w:val="0"/>
      <w:marRight w:val="0"/>
      <w:marTop w:val="0"/>
      <w:marBottom w:val="0"/>
      <w:divBdr>
        <w:top w:val="none" w:sz="0" w:space="0" w:color="auto"/>
        <w:left w:val="none" w:sz="0" w:space="0" w:color="auto"/>
        <w:bottom w:val="none" w:sz="0" w:space="0" w:color="auto"/>
        <w:right w:val="none" w:sz="0" w:space="0" w:color="auto"/>
      </w:divBdr>
    </w:div>
    <w:div w:id="1340886426">
      <w:bodyDiv w:val="1"/>
      <w:marLeft w:val="0"/>
      <w:marRight w:val="0"/>
      <w:marTop w:val="0"/>
      <w:marBottom w:val="0"/>
      <w:divBdr>
        <w:top w:val="none" w:sz="0" w:space="0" w:color="auto"/>
        <w:left w:val="none" w:sz="0" w:space="0" w:color="auto"/>
        <w:bottom w:val="none" w:sz="0" w:space="0" w:color="auto"/>
        <w:right w:val="none" w:sz="0" w:space="0" w:color="auto"/>
      </w:divBdr>
    </w:div>
    <w:div w:id="1350646796">
      <w:bodyDiv w:val="1"/>
      <w:marLeft w:val="0"/>
      <w:marRight w:val="0"/>
      <w:marTop w:val="0"/>
      <w:marBottom w:val="0"/>
      <w:divBdr>
        <w:top w:val="none" w:sz="0" w:space="0" w:color="auto"/>
        <w:left w:val="none" w:sz="0" w:space="0" w:color="auto"/>
        <w:bottom w:val="none" w:sz="0" w:space="0" w:color="auto"/>
        <w:right w:val="none" w:sz="0" w:space="0" w:color="auto"/>
      </w:divBdr>
    </w:div>
    <w:div w:id="1413501718">
      <w:bodyDiv w:val="1"/>
      <w:marLeft w:val="0"/>
      <w:marRight w:val="0"/>
      <w:marTop w:val="0"/>
      <w:marBottom w:val="0"/>
      <w:divBdr>
        <w:top w:val="none" w:sz="0" w:space="0" w:color="auto"/>
        <w:left w:val="none" w:sz="0" w:space="0" w:color="auto"/>
        <w:bottom w:val="none" w:sz="0" w:space="0" w:color="auto"/>
        <w:right w:val="none" w:sz="0" w:space="0" w:color="auto"/>
      </w:divBdr>
    </w:div>
    <w:div w:id="1433550461">
      <w:bodyDiv w:val="1"/>
      <w:marLeft w:val="0"/>
      <w:marRight w:val="0"/>
      <w:marTop w:val="0"/>
      <w:marBottom w:val="0"/>
      <w:divBdr>
        <w:top w:val="none" w:sz="0" w:space="0" w:color="auto"/>
        <w:left w:val="none" w:sz="0" w:space="0" w:color="auto"/>
        <w:bottom w:val="none" w:sz="0" w:space="0" w:color="auto"/>
        <w:right w:val="none" w:sz="0" w:space="0" w:color="auto"/>
      </w:divBdr>
    </w:div>
    <w:div w:id="1445073659">
      <w:bodyDiv w:val="1"/>
      <w:marLeft w:val="0"/>
      <w:marRight w:val="0"/>
      <w:marTop w:val="0"/>
      <w:marBottom w:val="0"/>
      <w:divBdr>
        <w:top w:val="none" w:sz="0" w:space="0" w:color="auto"/>
        <w:left w:val="none" w:sz="0" w:space="0" w:color="auto"/>
        <w:bottom w:val="none" w:sz="0" w:space="0" w:color="auto"/>
        <w:right w:val="none" w:sz="0" w:space="0" w:color="auto"/>
      </w:divBdr>
    </w:div>
    <w:div w:id="1467888615">
      <w:bodyDiv w:val="1"/>
      <w:marLeft w:val="0"/>
      <w:marRight w:val="0"/>
      <w:marTop w:val="0"/>
      <w:marBottom w:val="0"/>
      <w:divBdr>
        <w:top w:val="none" w:sz="0" w:space="0" w:color="auto"/>
        <w:left w:val="none" w:sz="0" w:space="0" w:color="auto"/>
        <w:bottom w:val="none" w:sz="0" w:space="0" w:color="auto"/>
        <w:right w:val="none" w:sz="0" w:space="0" w:color="auto"/>
      </w:divBdr>
    </w:div>
    <w:div w:id="1476797760">
      <w:bodyDiv w:val="1"/>
      <w:marLeft w:val="0"/>
      <w:marRight w:val="0"/>
      <w:marTop w:val="0"/>
      <w:marBottom w:val="0"/>
      <w:divBdr>
        <w:top w:val="none" w:sz="0" w:space="0" w:color="auto"/>
        <w:left w:val="none" w:sz="0" w:space="0" w:color="auto"/>
        <w:bottom w:val="none" w:sz="0" w:space="0" w:color="auto"/>
        <w:right w:val="none" w:sz="0" w:space="0" w:color="auto"/>
      </w:divBdr>
    </w:div>
    <w:div w:id="1494252668">
      <w:bodyDiv w:val="1"/>
      <w:marLeft w:val="0"/>
      <w:marRight w:val="0"/>
      <w:marTop w:val="0"/>
      <w:marBottom w:val="0"/>
      <w:divBdr>
        <w:top w:val="none" w:sz="0" w:space="0" w:color="auto"/>
        <w:left w:val="none" w:sz="0" w:space="0" w:color="auto"/>
        <w:bottom w:val="none" w:sz="0" w:space="0" w:color="auto"/>
        <w:right w:val="none" w:sz="0" w:space="0" w:color="auto"/>
      </w:divBdr>
    </w:div>
    <w:div w:id="1496460576">
      <w:bodyDiv w:val="1"/>
      <w:marLeft w:val="0"/>
      <w:marRight w:val="0"/>
      <w:marTop w:val="0"/>
      <w:marBottom w:val="0"/>
      <w:divBdr>
        <w:top w:val="none" w:sz="0" w:space="0" w:color="auto"/>
        <w:left w:val="none" w:sz="0" w:space="0" w:color="auto"/>
        <w:bottom w:val="none" w:sz="0" w:space="0" w:color="auto"/>
        <w:right w:val="none" w:sz="0" w:space="0" w:color="auto"/>
      </w:divBdr>
    </w:div>
    <w:div w:id="1510952385">
      <w:bodyDiv w:val="1"/>
      <w:marLeft w:val="0"/>
      <w:marRight w:val="0"/>
      <w:marTop w:val="0"/>
      <w:marBottom w:val="0"/>
      <w:divBdr>
        <w:top w:val="none" w:sz="0" w:space="0" w:color="auto"/>
        <w:left w:val="none" w:sz="0" w:space="0" w:color="auto"/>
        <w:bottom w:val="none" w:sz="0" w:space="0" w:color="auto"/>
        <w:right w:val="none" w:sz="0" w:space="0" w:color="auto"/>
      </w:divBdr>
    </w:div>
    <w:div w:id="1550141436">
      <w:bodyDiv w:val="1"/>
      <w:marLeft w:val="0"/>
      <w:marRight w:val="0"/>
      <w:marTop w:val="0"/>
      <w:marBottom w:val="0"/>
      <w:divBdr>
        <w:top w:val="none" w:sz="0" w:space="0" w:color="auto"/>
        <w:left w:val="none" w:sz="0" w:space="0" w:color="auto"/>
        <w:bottom w:val="none" w:sz="0" w:space="0" w:color="auto"/>
        <w:right w:val="none" w:sz="0" w:space="0" w:color="auto"/>
      </w:divBdr>
    </w:div>
    <w:div w:id="1559972483">
      <w:bodyDiv w:val="1"/>
      <w:marLeft w:val="0"/>
      <w:marRight w:val="0"/>
      <w:marTop w:val="0"/>
      <w:marBottom w:val="0"/>
      <w:divBdr>
        <w:top w:val="none" w:sz="0" w:space="0" w:color="auto"/>
        <w:left w:val="none" w:sz="0" w:space="0" w:color="auto"/>
        <w:bottom w:val="none" w:sz="0" w:space="0" w:color="auto"/>
        <w:right w:val="none" w:sz="0" w:space="0" w:color="auto"/>
      </w:divBdr>
    </w:div>
    <w:div w:id="1592817979">
      <w:bodyDiv w:val="1"/>
      <w:marLeft w:val="0"/>
      <w:marRight w:val="0"/>
      <w:marTop w:val="0"/>
      <w:marBottom w:val="0"/>
      <w:divBdr>
        <w:top w:val="none" w:sz="0" w:space="0" w:color="auto"/>
        <w:left w:val="none" w:sz="0" w:space="0" w:color="auto"/>
        <w:bottom w:val="none" w:sz="0" w:space="0" w:color="auto"/>
        <w:right w:val="none" w:sz="0" w:space="0" w:color="auto"/>
      </w:divBdr>
    </w:div>
    <w:div w:id="1648511214">
      <w:bodyDiv w:val="1"/>
      <w:marLeft w:val="0"/>
      <w:marRight w:val="0"/>
      <w:marTop w:val="0"/>
      <w:marBottom w:val="0"/>
      <w:divBdr>
        <w:top w:val="none" w:sz="0" w:space="0" w:color="auto"/>
        <w:left w:val="none" w:sz="0" w:space="0" w:color="auto"/>
        <w:bottom w:val="none" w:sz="0" w:space="0" w:color="auto"/>
        <w:right w:val="none" w:sz="0" w:space="0" w:color="auto"/>
      </w:divBdr>
    </w:div>
    <w:div w:id="1671059608">
      <w:bodyDiv w:val="1"/>
      <w:marLeft w:val="0"/>
      <w:marRight w:val="0"/>
      <w:marTop w:val="0"/>
      <w:marBottom w:val="0"/>
      <w:divBdr>
        <w:top w:val="none" w:sz="0" w:space="0" w:color="auto"/>
        <w:left w:val="none" w:sz="0" w:space="0" w:color="auto"/>
        <w:bottom w:val="none" w:sz="0" w:space="0" w:color="auto"/>
        <w:right w:val="none" w:sz="0" w:space="0" w:color="auto"/>
      </w:divBdr>
    </w:div>
    <w:div w:id="1696998446">
      <w:bodyDiv w:val="1"/>
      <w:marLeft w:val="0"/>
      <w:marRight w:val="0"/>
      <w:marTop w:val="0"/>
      <w:marBottom w:val="0"/>
      <w:divBdr>
        <w:top w:val="none" w:sz="0" w:space="0" w:color="auto"/>
        <w:left w:val="none" w:sz="0" w:space="0" w:color="auto"/>
        <w:bottom w:val="none" w:sz="0" w:space="0" w:color="auto"/>
        <w:right w:val="none" w:sz="0" w:space="0" w:color="auto"/>
      </w:divBdr>
    </w:div>
    <w:div w:id="1701590430">
      <w:bodyDiv w:val="1"/>
      <w:marLeft w:val="0"/>
      <w:marRight w:val="0"/>
      <w:marTop w:val="0"/>
      <w:marBottom w:val="0"/>
      <w:divBdr>
        <w:top w:val="none" w:sz="0" w:space="0" w:color="auto"/>
        <w:left w:val="none" w:sz="0" w:space="0" w:color="auto"/>
        <w:bottom w:val="none" w:sz="0" w:space="0" w:color="auto"/>
        <w:right w:val="none" w:sz="0" w:space="0" w:color="auto"/>
      </w:divBdr>
    </w:div>
    <w:div w:id="1738091019">
      <w:bodyDiv w:val="1"/>
      <w:marLeft w:val="0"/>
      <w:marRight w:val="0"/>
      <w:marTop w:val="0"/>
      <w:marBottom w:val="0"/>
      <w:divBdr>
        <w:top w:val="none" w:sz="0" w:space="0" w:color="auto"/>
        <w:left w:val="none" w:sz="0" w:space="0" w:color="auto"/>
        <w:bottom w:val="none" w:sz="0" w:space="0" w:color="auto"/>
        <w:right w:val="none" w:sz="0" w:space="0" w:color="auto"/>
      </w:divBdr>
    </w:div>
    <w:div w:id="1763911421">
      <w:bodyDiv w:val="1"/>
      <w:marLeft w:val="0"/>
      <w:marRight w:val="0"/>
      <w:marTop w:val="0"/>
      <w:marBottom w:val="0"/>
      <w:divBdr>
        <w:top w:val="none" w:sz="0" w:space="0" w:color="auto"/>
        <w:left w:val="none" w:sz="0" w:space="0" w:color="auto"/>
        <w:bottom w:val="none" w:sz="0" w:space="0" w:color="auto"/>
        <w:right w:val="none" w:sz="0" w:space="0" w:color="auto"/>
      </w:divBdr>
    </w:div>
    <w:div w:id="1865557850">
      <w:bodyDiv w:val="1"/>
      <w:marLeft w:val="0"/>
      <w:marRight w:val="0"/>
      <w:marTop w:val="0"/>
      <w:marBottom w:val="0"/>
      <w:divBdr>
        <w:top w:val="none" w:sz="0" w:space="0" w:color="auto"/>
        <w:left w:val="none" w:sz="0" w:space="0" w:color="auto"/>
        <w:bottom w:val="none" w:sz="0" w:space="0" w:color="auto"/>
        <w:right w:val="none" w:sz="0" w:space="0" w:color="auto"/>
      </w:divBdr>
    </w:div>
    <w:div w:id="1876698063">
      <w:bodyDiv w:val="1"/>
      <w:marLeft w:val="0"/>
      <w:marRight w:val="0"/>
      <w:marTop w:val="0"/>
      <w:marBottom w:val="0"/>
      <w:divBdr>
        <w:top w:val="none" w:sz="0" w:space="0" w:color="auto"/>
        <w:left w:val="none" w:sz="0" w:space="0" w:color="auto"/>
        <w:bottom w:val="none" w:sz="0" w:space="0" w:color="auto"/>
        <w:right w:val="none" w:sz="0" w:space="0" w:color="auto"/>
      </w:divBdr>
    </w:div>
    <w:div w:id="1879463335">
      <w:bodyDiv w:val="1"/>
      <w:marLeft w:val="0"/>
      <w:marRight w:val="0"/>
      <w:marTop w:val="0"/>
      <w:marBottom w:val="0"/>
      <w:divBdr>
        <w:top w:val="none" w:sz="0" w:space="0" w:color="auto"/>
        <w:left w:val="none" w:sz="0" w:space="0" w:color="auto"/>
        <w:bottom w:val="none" w:sz="0" w:space="0" w:color="auto"/>
        <w:right w:val="none" w:sz="0" w:space="0" w:color="auto"/>
      </w:divBdr>
    </w:div>
    <w:div w:id="1883444344">
      <w:bodyDiv w:val="1"/>
      <w:marLeft w:val="0"/>
      <w:marRight w:val="0"/>
      <w:marTop w:val="0"/>
      <w:marBottom w:val="0"/>
      <w:divBdr>
        <w:top w:val="none" w:sz="0" w:space="0" w:color="auto"/>
        <w:left w:val="none" w:sz="0" w:space="0" w:color="auto"/>
        <w:bottom w:val="none" w:sz="0" w:space="0" w:color="auto"/>
        <w:right w:val="none" w:sz="0" w:space="0" w:color="auto"/>
      </w:divBdr>
    </w:div>
    <w:div w:id="1960061379">
      <w:bodyDiv w:val="1"/>
      <w:marLeft w:val="0"/>
      <w:marRight w:val="0"/>
      <w:marTop w:val="0"/>
      <w:marBottom w:val="0"/>
      <w:divBdr>
        <w:top w:val="none" w:sz="0" w:space="0" w:color="auto"/>
        <w:left w:val="none" w:sz="0" w:space="0" w:color="auto"/>
        <w:bottom w:val="none" w:sz="0" w:space="0" w:color="auto"/>
        <w:right w:val="none" w:sz="0" w:space="0" w:color="auto"/>
      </w:divBdr>
    </w:div>
    <w:div w:id="2002733605">
      <w:bodyDiv w:val="1"/>
      <w:marLeft w:val="0"/>
      <w:marRight w:val="0"/>
      <w:marTop w:val="0"/>
      <w:marBottom w:val="0"/>
      <w:divBdr>
        <w:top w:val="none" w:sz="0" w:space="0" w:color="auto"/>
        <w:left w:val="none" w:sz="0" w:space="0" w:color="auto"/>
        <w:bottom w:val="none" w:sz="0" w:space="0" w:color="auto"/>
        <w:right w:val="none" w:sz="0" w:space="0" w:color="auto"/>
      </w:divBdr>
    </w:div>
    <w:div w:id="2013800335">
      <w:bodyDiv w:val="1"/>
      <w:marLeft w:val="0"/>
      <w:marRight w:val="0"/>
      <w:marTop w:val="0"/>
      <w:marBottom w:val="0"/>
      <w:divBdr>
        <w:top w:val="none" w:sz="0" w:space="0" w:color="auto"/>
        <w:left w:val="none" w:sz="0" w:space="0" w:color="auto"/>
        <w:bottom w:val="none" w:sz="0" w:space="0" w:color="auto"/>
        <w:right w:val="none" w:sz="0" w:space="0" w:color="auto"/>
      </w:divBdr>
    </w:div>
    <w:div w:id="2027634219">
      <w:bodyDiv w:val="1"/>
      <w:marLeft w:val="0"/>
      <w:marRight w:val="0"/>
      <w:marTop w:val="0"/>
      <w:marBottom w:val="0"/>
      <w:divBdr>
        <w:top w:val="none" w:sz="0" w:space="0" w:color="auto"/>
        <w:left w:val="none" w:sz="0" w:space="0" w:color="auto"/>
        <w:bottom w:val="none" w:sz="0" w:space="0" w:color="auto"/>
        <w:right w:val="none" w:sz="0" w:space="0" w:color="auto"/>
      </w:divBdr>
    </w:div>
    <w:div w:id="2065713722">
      <w:bodyDiv w:val="1"/>
      <w:marLeft w:val="0"/>
      <w:marRight w:val="0"/>
      <w:marTop w:val="0"/>
      <w:marBottom w:val="0"/>
      <w:divBdr>
        <w:top w:val="none" w:sz="0" w:space="0" w:color="auto"/>
        <w:left w:val="none" w:sz="0" w:space="0" w:color="auto"/>
        <w:bottom w:val="none" w:sz="0" w:space="0" w:color="auto"/>
        <w:right w:val="none" w:sz="0" w:space="0" w:color="auto"/>
      </w:divBdr>
    </w:div>
    <w:div w:id="2068331740">
      <w:bodyDiv w:val="1"/>
      <w:marLeft w:val="0"/>
      <w:marRight w:val="0"/>
      <w:marTop w:val="0"/>
      <w:marBottom w:val="0"/>
      <w:divBdr>
        <w:top w:val="none" w:sz="0" w:space="0" w:color="auto"/>
        <w:left w:val="none" w:sz="0" w:space="0" w:color="auto"/>
        <w:bottom w:val="none" w:sz="0" w:space="0" w:color="auto"/>
        <w:right w:val="none" w:sz="0" w:space="0" w:color="auto"/>
      </w:divBdr>
    </w:div>
    <w:div w:id="2103451025">
      <w:bodyDiv w:val="1"/>
      <w:marLeft w:val="0"/>
      <w:marRight w:val="0"/>
      <w:marTop w:val="0"/>
      <w:marBottom w:val="0"/>
      <w:divBdr>
        <w:top w:val="none" w:sz="0" w:space="0" w:color="auto"/>
        <w:left w:val="none" w:sz="0" w:space="0" w:color="auto"/>
        <w:bottom w:val="none" w:sz="0" w:space="0" w:color="auto"/>
        <w:right w:val="none" w:sz="0" w:space="0" w:color="auto"/>
      </w:divBdr>
    </w:div>
    <w:div w:id="2142065620">
      <w:bodyDiv w:val="1"/>
      <w:marLeft w:val="0"/>
      <w:marRight w:val="0"/>
      <w:marTop w:val="0"/>
      <w:marBottom w:val="0"/>
      <w:divBdr>
        <w:top w:val="none" w:sz="0" w:space="0" w:color="auto"/>
        <w:left w:val="none" w:sz="0" w:space="0" w:color="auto"/>
        <w:bottom w:val="none" w:sz="0" w:space="0" w:color="auto"/>
        <w:right w:val="none" w:sz="0" w:space="0" w:color="auto"/>
      </w:divBdr>
    </w:div>
    <w:div w:id="2147046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D536B2F0-7D3D-4419-BDE8-891DEF94B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7951</Words>
  <Characters>42936</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Rita</dc:creator>
  <cp:lastModifiedBy>FATIMA DE PAULA FERREIRA</cp:lastModifiedBy>
  <cp:revision>3</cp:revision>
  <dcterms:created xsi:type="dcterms:W3CDTF">2026-06-19T01:30:00Z</dcterms:created>
  <dcterms:modified xsi:type="dcterms:W3CDTF">2026-06-19T01:34:00Z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LastSaved">
    <vt:filetime>2025-11-04T00:00:00Z</vt:filetime>
  </property>
  <property fmtid="{D5CDD505-2E9C-101B-9397-08002B2CF9AE}" pid="4" name="Producer">
    <vt:lpwstr>iLovePDF</vt:lpwstr>
  </property>
</Properties>
</file>