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DC8DF" w14:textId="1FF5D5EF" w:rsidR="007C3613" w:rsidRDefault="007C3613" w:rsidP="007C3613">
      <w:pPr>
        <w:tabs>
          <w:tab w:val="left" w:pos="1134"/>
          <w:tab w:val="left" w:pos="1701"/>
        </w:tabs>
        <w:spacing w:line="480" w:lineRule="auto"/>
        <w:rPr>
          <w:b/>
          <w:bCs/>
          <w:color w:val="000000"/>
          <w:sz w:val="24"/>
          <w:szCs w:val="24"/>
          <w:shd w:val="clear" w:color="auto" w:fill="FFFFFF"/>
        </w:rPr>
      </w:pPr>
      <w:bookmarkStart w:id="0" w:name="_Hlk55999956"/>
      <w:r w:rsidRPr="00D5697D">
        <w:rPr>
          <w:b/>
          <w:bCs/>
          <w:color w:val="000000"/>
          <w:sz w:val="24"/>
          <w:szCs w:val="24"/>
          <w:shd w:val="clear" w:color="auto" w:fill="FFFFFF"/>
        </w:rPr>
        <w:t xml:space="preserve">DIETA MEDITERRÂNEA </w:t>
      </w:r>
      <w:r w:rsidR="00E53781">
        <w:rPr>
          <w:b/>
          <w:bCs/>
          <w:color w:val="000000"/>
          <w:sz w:val="24"/>
          <w:szCs w:val="24"/>
          <w:shd w:val="clear" w:color="auto" w:fill="FFFFFF"/>
        </w:rPr>
        <w:t>NA</w:t>
      </w:r>
      <w:r w:rsidRPr="00D5697D">
        <w:rPr>
          <w:b/>
          <w:bCs/>
          <w:color w:val="000000"/>
          <w:sz w:val="24"/>
          <w:szCs w:val="24"/>
          <w:shd w:val="clear" w:color="auto" w:fill="FFFFFF"/>
        </w:rPr>
        <w:t xml:space="preserve"> DOENÇA DE ALZHEIMER</w:t>
      </w:r>
      <w:r w:rsidR="00D90141">
        <w:rPr>
          <w:b/>
          <w:bCs/>
          <w:color w:val="000000"/>
          <w:sz w:val="24"/>
          <w:szCs w:val="24"/>
          <w:shd w:val="clear" w:color="auto" w:fill="FFFFFF"/>
        </w:rPr>
        <w:t xml:space="preserve">: </w:t>
      </w:r>
      <w:r w:rsidR="00664FD4">
        <w:rPr>
          <w:b/>
          <w:bCs/>
          <w:color w:val="000000"/>
          <w:sz w:val="24"/>
          <w:szCs w:val="24"/>
          <w:shd w:val="clear" w:color="auto" w:fill="FFFFFF"/>
        </w:rPr>
        <w:t>REVISANDO AS EVIDÊNCIAS CIENTÍFICAS</w:t>
      </w:r>
    </w:p>
    <w:p w14:paraId="4A800DD2" w14:textId="6D6A2729" w:rsidR="007C3613" w:rsidRPr="00B70D7B" w:rsidRDefault="007C3613" w:rsidP="007C3613">
      <w:pPr>
        <w:tabs>
          <w:tab w:val="left" w:pos="1134"/>
          <w:tab w:val="left" w:pos="1701"/>
        </w:tabs>
        <w:spacing w:line="480" w:lineRule="auto"/>
        <w:rPr>
          <w:b/>
          <w:bCs/>
          <w:color w:val="000000"/>
          <w:sz w:val="24"/>
          <w:szCs w:val="24"/>
          <w:shd w:val="clear" w:color="auto" w:fill="FFFFFF"/>
          <w:lang w:val="en-US"/>
        </w:rPr>
      </w:pPr>
      <w:r w:rsidRPr="00B70D7B">
        <w:rPr>
          <w:b/>
          <w:bCs/>
          <w:color w:val="000000"/>
          <w:sz w:val="24"/>
          <w:szCs w:val="24"/>
          <w:shd w:val="clear" w:color="auto" w:fill="FFFFFF"/>
          <w:lang w:val="en-US"/>
        </w:rPr>
        <w:t>MEDITERRANEAN DIET IN ALZHEIMER’S DISEASE</w:t>
      </w:r>
      <w:r w:rsidR="00D90141">
        <w:rPr>
          <w:b/>
          <w:bCs/>
          <w:color w:val="000000"/>
          <w:sz w:val="24"/>
          <w:szCs w:val="24"/>
          <w:shd w:val="clear" w:color="auto" w:fill="FFFFFF"/>
          <w:lang w:val="en-US"/>
        </w:rPr>
        <w:t>: REVIEW</w:t>
      </w:r>
      <w:r w:rsidR="00664FD4">
        <w:rPr>
          <w:b/>
          <w:bCs/>
          <w:color w:val="000000"/>
          <w:sz w:val="24"/>
          <w:szCs w:val="24"/>
          <w:shd w:val="clear" w:color="auto" w:fill="FFFFFF"/>
          <w:lang w:val="en-US"/>
        </w:rPr>
        <w:t>ING SCIENTIFIC EVIDENCES</w:t>
      </w:r>
    </w:p>
    <w:p w14:paraId="2D9F000A" w14:textId="77777777" w:rsidR="007C3613" w:rsidRDefault="007C3613" w:rsidP="007C3613">
      <w:pPr>
        <w:tabs>
          <w:tab w:val="left" w:pos="1134"/>
          <w:tab w:val="left" w:pos="1701"/>
        </w:tabs>
        <w:spacing w:line="480" w:lineRule="auto"/>
        <w:rPr>
          <w:b/>
          <w:bCs/>
          <w:color w:val="000000"/>
          <w:sz w:val="24"/>
          <w:szCs w:val="24"/>
          <w:shd w:val="clear" w:color="auto" w:fill="FFFFFF"/>
        </w:rPr>
      </w:pPr>
      <w:r w:rsidRPr="00D5697D">
        <w:rPr>
          <w:b/>
          <w:bCs/>
          <w:color w:val="000000"/>
          <w:sz w:val="24"/>
          <w:szCs w:val="24"/>
          <w:shd w:val="clear" w:color="auto" w:fill="FFFFFF"/>
        </w:rPr>
        <w:t>DIETA MEDITERRÂNEA N</w:t>
      </w:r>
      <w:r>
        <w:rPr>
          <w:b/>
          <w:bCs/>
          <w:color w:val="000000"/>
          <w:sz w:val="24"/>
          <w:szCs w:val="24"/>
          <w:shd w:val="clear" w:color="auto" w:fill="FFFFFF"/>
        </w:rPr>
        <w:t>A DOENÇA DE</w:t>
      </w:r>
      <w:r w:rsidRPr="00D5697D">
        <w:rPr>
          <w:b/>
          <w:bCs/>
          <w:color w:val="000000"/>
          <w:sz w:val="24"/>
          <w:szCs w:val="24"/>
          <w:shd w:val="clear" w:color="auto" w:fill="FFFFFF"/>
        </w:rPr>
        <w:t xml:space="preserve"> ALZHEIMER</w:t>
      </w:r>
    </w:p>
    <w:p w14:paraId="47D155CD" w14:textId="77777777" w:rsidR="007C3613" w:rsidRDefault="007C3613" w:rsidP="007C3613">
      <w:pPr>
        <w:tabs>
          <w:tab w:val="left" w:pos="1134"/>
          <w:tab w:val="left" w:pos="1701"/>
        </w:tabs>
        <w:rPr>
          <w:sz w:val="24"/>
          <w:szCs w:val="24"/>
        </w:rPr>
      </w:pPr>
    </w:p>
    <w:p w14:paraId="44D56EF7" w14:textId="77777777" w:rsidR="007C3613" w:rsidRPr="00D34D3D" w:rsidRDefault="007C3613" w:rsidP="007C3613">
      <w:pPr>
        <w:tabs>
          <w:tab w:val="left" w:pos="1134"/>
          <w:tab w:val="left" w:pos="1701"/>
        </w:tabs>
        <w:rPr>
          <w:b/>
          <w:bCs/>
          <w:iCs/>
          <w:sz w:val="24"/>
          <w:szCs w:val="24"/>
          <w:vertAlign w:val="superscript"/>
        </w:rPr>
      </w:pPr>
      <w:r w:rsidRPr="00D34D3D">
        <w:rPr>
          <w:iCs/>
          <w:sz w:val="24"/>
          <w:szCs w:val="24"/>
        </w:rPr>
        <w:t>Sofia D’Ornellas Filipakis</w:t>
      </w:r>
      <w:r>
        <w:rPr>
          <w:iCs/>
          <w:sz w:val="24"/>
          <w:szCs w:val="24"/>
          <w:vertAlign w:val="superscript"/>
        </w:rPr>
        <w:t>1</w:t>
      </w:r>
      <w:r w:rsidRPr="00D34D3D">
        <w:rPr>
          <w:iCs/>
          <w:sz w:val="24"/>
          <w:szCs w:val="24"/>
        </w:rPr>
        <w:t>; Vanessa Roriz Ferreira de Abreu</w:t>
      </w:r>
      <w:r>
        <w:rPr>
          <w:iCs/>
          <w:sz w:val="24"/>
          <w:szCs w:val="24"/>
          <w:vertAlign w:val="superscript"/>
        </w:rPr>
        <w:t>2</w:t>
      </w:r>
    </w:p>
    <w:p w14:paraId="4B0EDD3C" w14:textId="77777777" w:rsidR="007C3613" w:rsidRDefault="007C3613" w:rsidP="007C3613">
      <w:pPr>
        <w:tabs>
          <w:tab w:val="left" w:pos="1134"/>
          <w:tab w:val="left" w:pos="1701"/>
        </w:tabs>
        <w:rPr>
          <w:iCs/>
          <w:sz w:val="24"/>
          <w:szCs w:val="24"/>
        </w:rPr>
      </w:pPr>
    </w:p>
    <w:p w14:paraId="144A2908" w14:textId="77777777" w:rsidR="007C3613" w:rsidRDefault="007C3613" w:rsidP="007C3613">
      <w:pPr>
        <w:tabs>
          <w:tab w:val="left" w:pos="1134"/>
          <w:tab w:val="left" w:pos="1701"/>
        </w:tabs>
        <w:jc w:val="both"/>
        <w:rPr>
          <w:iCs/>
          <w:sz w:val="24"/>
          <w:szCs w:val="24"/>
        </w:rPr>
      </w:pPr>
      <w:r>
        <w:rPr>
          <w:iCs/>
          <w:sz w:val="24"/>
          <w:szCs w:val="24"/>
          <w:vertAlign w:val="superscript"/>
        </w:rPr>
        <w:t>1</w:t>
      </w:r>
      <w:r>
        <w:rPr>
          <w:iCs/>
          <w:sz w:val="24"/>
          <w:szCs w:val="24"/>
        </w:rPr>
        <w:t>Contribuição: C</w:t>
      </w:r>
      <w:r w:rsidRPr="00B73A3B">
        <w:rPr>
          <w:iCs/>
          <w:sz w:val="24"/>
          <w:szCs w:val="24"/>
        </w:rPr>
        <w:t>oncepção e desenho; análise e interpretação dos dados; revisão da versão final;</w:t>
      </w:r>
      <w:r>
        <w:rPr>
          <w:iCs/>
          <w:sz w:val="24"/>
          <w:szCs w:val="24"/>
        </w:rPr>
        <w:t xml:space="preserve"> Titulação Acadêmica: Graduada em Engenharia Química (UFU – Universidade Federal de Uberlândia), Mestre em Engenharia Química (UERJ – Universidade do Estado do Rio de Janeiro), Pós Graduada em Gestão de Negócios (IBMEC); Filiação Institucional Atual: Graduanda na Pontifícia Universidade Católica de Goiás (PUC-GO), Escola de Ciências Sociais e da Saúde (ECISS), Faculdade de Nutrição. Goiânia – GO, Brasil; </w:t>
      </w:r>
      <w:r w:rsidRPr="00D34D3D">
        <w:rPr>
          <w:iCs/>
          <w:sz w:val="24"/>
          <w:szCs w:val="24"/>
        </w:rPr>
        <w:t>sdfilipakis@gmail.com</w:t>
      </w:r>
      <w:r>
        <w:rPr>
          <w:iCs/>
          <w:sz w:val="24"/>
          <w:szCs w:val="24"/>
        </w:rPr>
        <w:t>;</w:t>
      </w:r>
      <w:r w:rsidRPr="00D34D3D">
        <w:t xml:space="preserve"> </w:t>
      </w:r>
      <w:r w:rsidRPr="00D34D3D">
        <w:rPr>
          <w:iCs/>
          <w:sz w:val="24"/>
          <w:szCs w:val="24"/>
        </w:rPr>
        <w:t>https://orcid.org/0000-0001-8403-3632</w:t>
      </w:r>
      <w:r>
        <w:rPr>
          <w:iCs/>
          <w:sz w:val="24"/>
          <w:szCs w:val="24"/>
        </w:rPr>
        <w:t>; autora de correspondência</w:t>
      </w:r>
    </w:p>
    <w:p w14:paraId="7C14D066" w14:textId="77777777" w:rsidR="007C3613" w:rsidRPr="00B73A3B" w:rsidRDefault="007C3613" w:rsidP="007C3613">
      <w:pPr>
        <w:tabs>
          <w:tab w:val="left" w:pos="1134"/>
          <w:tab w:val="left" w:pos="1701"/>
        </w:tabs>
        <w:rPr>
          <w:iCs/>
          <w:sz w:val="24"/>
          <w:szCs w:val="24"/>
        </w:rPr>
      </w:pPr>
    </w:p>
    <w:p w14:paraId="458BD79C" w14:textId="77777777" w:rsidR="007C3613" w:rsidRPr="0052281E" w:rsidRDefault="007C3613" w:rsidP="007C3613">
      <w:pPr>
        <w:tabs>
          <w:tab w:val="left" w:pos="1134"/>
          <w:tab w:val="left" w:pos="1701"/>
        </w:tabs>
        <w:jc w:val="both"/>
        <w:rPr>
          <w:iCs/>
          <w:sz w:val="24"/>
          <w:szCs w:val="24"/>
        </w:rPr>
      </w:pPr>
      <w:r>
        <w:rPr>
          <w:iCs/>
          <w:sz w:val="24"/>
          <w:szCs w:val="24"/>
          <w:vertAlign w:val="superscript"/>
        </w:rPr>
        <w:t>2</w:t>
      </w:r>
      <w:r>
        <w:rPr>
          <w:iCs/>
          <w:sz w:val="24"/>
          <w:szCs w:val="24"/>
        </w:rPr>
        <w:t xml:space="preserve">Contribuição: </w:t>
      </w:r>
      <w:r w:rsidRPr="00B73A3B">
        <w:rPr>
          <w:iCs/>
          <w:sz w:val="24"/>
          <w:szCs w:val="24"/>
        </w:rPr>
        <w:t>análise e interpretação dos dados; aprovação da versão final</w:t>
      </w:r>
      <w:r>
        <w:rPr>
          <w:iCs/>
          <w:sz w:val="24"/>
          <w:szCs w:val="24"/>
        </w:rPr>
        <w:t>; Titulação Acadêmica e Filiação Institucional Atual: professora doutora da</w:t>
      </w:r>
      <w:r w:rsidRPr="00D34D3D">
        <w:rPr>
          <w:iCs/>
          <w:sz w:val="24"/>
          <w:szCs w:val="24"/>
        </w:rPr>
        <w:t xml:space="preserve"> </w:t>
      </w:r>
      <w:r>
        <w:rPr>
          <w:iCs/>
          <w:sz w:val="24"/>
          <w:szCs w:val="24"/>
        </w:rPr>
        <w:t>Faculdade de Nutrição, na Pontifícia Universidade Católica de Goiás (PUC-GO).</w:t>
      </w:r>
      <w:r w:rsidRPr="00D34D3D">
        <w:rPr>
          <w:iCs/>
          <w:sz w:val="24"/>
          <w:szCs w:val="24"/>
        </w:rPr>
        <w:t xml:space="preserve"> </w:t>
      </w:r>
      <w:r>
        <w:rPr>
          <w:iCs/>
          <w:sz w:val="24"/>
          <w:szCs w:val="24"/>
        </w:rPr>
        <w:t xml:space="preserve">Goiânia – GO, Brasil; </w:t>
      </w:r>
      <w:r w:rsidRPr="00F13253">
        <w:rPr>
          <w:iCs/>
          <w:sz w:val="24"/>
          <w:szCs w:val="24"/>
        </w:rPr>
        <w:t>vanessa_roriz@hotmail.com</w:t>
      </w:r>
      <w:r>
        <w:rPr>
          <w:iCs/>
          <w:sz w:val="24"/>
          <w:szCs w:val="24"/>
        </w:rPr>
        <w:t xml:space="preserve">; </w:t>
      </w:r>
      <w:r w:rsidRPr="00F13253">
        <w:rPr>
          <w:iCs/>
          <w:sz w:val="24"/>
          <w:szCs w:val="24"/>
        </w:rPr>
        <w:t>https://orcid.org/0000-0003-37967242</w:t>
      </w:r>
      <w:r>
        <w:rPr>
          <w:iCs/>
          <w:sz w:val="24"/>
          <w:szCs w:val="24"/>
        </w:rPr>
        <w:t>.</w:t>
      </w:r>
    </w:p>
    <w:p w14:paraId="20DB4D92" w14:textId="77777777" w:rsidR="007C3613" w:rsidRDefault="007C3613" w:rsidP="007C3613">
      <w:pPr>
        <w:tabs>
          <w:tab w:val="left" w:pos="1134"/>
          <w:tab w:val="left" w:pos="1701"/>
        </w:tabs>
        <w:jc w:val="both"/>
        <w:rPr>
          <w:iCs/>
          <w:sz w:val="24"/>
          <w:szCs w:val="24"/>
        </w:rPr>
      </w:pPr>
    </w:p>
    <w:p w14:paraId="183BA1F9" w14:textId="77777777" w:rsidR="007C3613" w:rsidRDefault="007C3613" w:rsidP="007C3613">
      <w:pPr>
        <w:tabs>
          <w:tab w:val="left" w:pos="1134"/>
          <w:tab w:val="left" w:pos="1701"/>
        </w:tabs>
        <w:jc w:val="both"/>
        <w:rPr>
          <w:iCs/>
          <w:sz w:val="24"/>
          <w:szCs w:val="24"/>
        </w:rPr>
      </w:pPr>
      <w:r w:rsidRPr="0052281E">
        <w:rPr>
          <w:iCs/>
          <w:sz w:val="24"/>
          <w:szCs w:val="24"/>
        </w:rPr>
        <w:t xml:space="preserve">Artigo </w:t>
      </w:r>
      <w:r>
        <w:rPr>
          <w:iCs/>
          <w:sz w:val="24"/>
          <w:szCs w:val="24"/>
        </w:rPr>
        <w:t>oriundo de trabalho de conclusão de curso.</w:t>
      </w:r>
    </w:p>
    <w:p w14:paraId="42C18F52" w14:textId="77777777" w:rsidR="007C3613" w:rsidRDefault="007C3613" w:rsidP="007C3613">
      <w:pPr>
        <w:tabs>
          <w:tab w:val="left" w:pos="1134"/>
          <w:tab w:val="left" w:pos="1701"/>
        </w:tabs>
        <w:jc w:val="both"/>
        <w:rPr>
          <w:iCs/>
          <w:sz w:val="24"/>
          <w:szCs w:val="24"/>
        </w:rPr>
      </w:pPr>
    </w:p>
    <w:p w14:paraId="16A409AB" w14:textId="77777777" w:rsidR="007C3613" w:rsidRDefault="007C3613" w:rsidP="007C3613">
      <w:pPr>
        <w:tabs>
          <w:tab w:val="left" w:pos="1134"/>
          <w:tab w:val="left" w:pos="1701"/>
        </w:tabs>
        <w:jc w:val="both"/>
        <w:rPr>
          <w:iCs/>
          <w:sz w:val="24"/>
          <w:szCs w:val="24"/>
        </w:rPr>
      </w:pPr>
      <w:r>
        <w:rPr>
          <w:iCs/>
          <w:sz w:val="24"/>
          <w:szCs w:val="24"/>
        </w:rPr>
        <w:t>Possíveis revisores:</w:t>
      </w:r>
    </w:p>
    <w:p w14:paraId="2E13A689" w14:textId="77777777" w:rsidR="007C3613" w:rsidRDefault="007C3613" w:rsidP="007C3613">
      <w:pPr>
        <w:tabs>
          <w:tab w:val="left" w:pos="1134"/>
          <w:tab w:val="left" w:pos="1701"/>
        </w:tabs>
        <w:jc w:val="both"/>
        <w:rPr>
          <w:iCs/>
          <w:sz w:val="24"/>
          <w:szCs w:val="24"/>
        </w:rPr>
      </w:pPr>
    </w:p>
    <w:p w14:paraId="42E89F33" w14:textId="77777777" w:rsidR="007C3613" w:rsidRDefault="007C3613" w:rsidP="007C3613">
      <w:pPr>
        <w:tabs>
          <w:tab w:val="left" w:pos="1134"/>
          <w:tab w:val="left" w:pos="1701"/>
        </w:tabs>
        <w:jc w:val="both"/>
        <w:rPr>
          <w:iCs/>
          <w:sz w:val="24"/>
          <w:szCs w:val="24"/>
        </w:rPr>
      </w:pPr>
      <w:r>
        <w:rPr>
          <w:iCs/>
          <w:sz w:val="24"/>
          <w:szCs w:val="24"/>
        </w:rPr>
        <w:t xml:space="preserve">Dra. Raquel Machado Schincaglia – </w:t>
      </w:r>
      <w:r w:rsidRPr="00B70D7B">
        <w:rPr>
          <w:iCs/>
          <w:sz w:val="24"/>
          <w:szCs w:val="24"/>
        </w:rPr>
        <w:t>raquelms@outlook.com</w:t>
      </w:r>
    </w:p>
    <w:p w14:paraId="713041AA" w14:textId="77777777" w:rsidR="007C3613" w:rsidRDefault="007C3613" w:rsidP="007C3613">
      <w:pPr>
        <w:tabs>
          <w:tab w:val="left" w:pos="1134"/>
          <w:tab w:val="left" w:pos="1701"/>
        </w:tabs>
        <w:jc w:val="both"/>
        <w:rPr>
          <w:iCs/>
          <w:sz w:val="24"/>
          <w:szCs w:val="24"/>
        </w:rPr>
      </w:pPr>
      <w:r w:rsidRPr="00B70D7B">
        <w:rPr>
          <w:iCs/>
          <w:sz w:val="24"/>
          <w:szCs w:val="24"/>
        </w:rPr>
        <w:t>Dra</w:t>
      </w:r>
      <w:r>
        <w:rPr>
          <w:iCs/>
          <w:sz w:val="24"/>
          <w:szCs w:val="24"/>
        </w:rPr>
        <w:t>.</w:t>
      </w:r>
      <w:r w:rsidRPr="00B70D7B">
        <w:rPr>
          <w:iCs/>
          <w:sz w:val="24"/>
          <w:szCs w:val="24"/>
        </w:rPr>
        <w:t xml:space="preserve"> Patrícia Amaral Souza Tette</w:t>
      </w:r>
      <w:r>
        <w:rPr>
          <w:iCs/>
          <w:sz w:val="24"/>
          <w:szCs w:val="24"/>
        </w:rPr>
        <w:t xml:space="preserve"> - </w:t>
      </w:r>
      <w:r w:rsidRPr="00B70D7B">
        <w:rPr>
          <w:iCs/>
          <w:sz w:val="24"/>
          <w:szCs w:val="24"/>
        </w:rPr>
        <w:t>patricia.amaral@ufg.br</w:t>
      </w:r>
    </w:p>
    <w:p w14:paraId="6354044D" w14:textId="77777777" w:rsidR="007C3613" w:rsidRDefault="007C3613" w:rsidP="007C3613">
      <w:pPr>
        <w:tabs>
          <w:tab w:val="left" w:pos="1134"/>
          <w:tab w:val="left" w:pos="1701"/>
        </w:tabs>
        <w:jc w:val="both"/>
        <w:rPr>
          <w:iCs/>
          <w:sz w:val="24"/>
          <w:szCs w:val="24"/>
        </w:rPr>
      </w:pPr>
      <w:r>
        <w:rPr>
          <w:iCs/>
          <w:sz w:val="24"/>
          <w:szCs w:val="24"/>
        </w:rPr>
        <w:t xml:space="preserve">Dra. </w:t>
      </w:r>
      <w:r w:rsidRPr="00B70D7B">
        <w:rPr>
          <w:iCs/>
          <w:sz w:val="24"/>
          <w:szCs w:val="24"/>
        </w:rPr>
        <w:t>Aline Corado Gomes</w:t>
      </w:r>
      <w:r>
        <w:rPr>
          <w:iCs/>
          <w:sz w:val="24"/>
          <w:szCs w:val="24"/>
        </w:rPr>
        <w:t xml:space="preserve"> - </w:t>
      </w:r>
      <w:r w:rsidRPr="00B70D7B">
        <w:rPr>
          <w:iCs/>
          <w:sz w:val="24"/>
          <w:szCs w:val="24"/>
        </w:rPr>
        <w:t>aline.gomes@docente.unip.br</w:t>
      </w:r>
    </w:p>
    <w:p w14:paraId="2935ED65" w14:textId="77777777" w:rsidR="007C3613" w:rsidRPr="0052281E" w:rsidRDefault="007C3613" w:rsidP="007C3613">
      <w:pPr>
        <w:tabs>
          <w:tab w:val="left" w:pos="1134"/>
          <w:tab w:val="left" w:pos="1701"/>
        </w:tabs>
        <w:jc w:val="both"/>
        <w:rPr>
          <w:iCs/>
          <w:sz w:val="24"/>
          <w:szCs w:val="24"/>
        </w:rPr>
      </w:pPr>
    </w:p>
    <w:p w14:paraId="461079C8" w14:textId="77777777" w:rsidR="007C3613" w:rsidRDefault="007C3613" w:rsidP="00D5697D">
      <w:pPr>
        <w:tabs>
          <w:tab w:val="left" w:pos="1134"/>
          <w:tab w:val="left" w:pos="1701"/>
        </w:tabs>
        <w:spacing w:line="480" w:lineRule="auto"/>
        <w:rPr>
          <w:b/>
          <w:bCs/>
          <w:color w:val="000000"/>
          <w:sz w:val="24"/>
          <w:szCs w:val="24"/>
          <w:shd w:val="clear" w:color="auto" w:fill="FFFFFF"/>
        </w:rPr>
      </w:pPr>
    </w:p>
    <w:p w14:paraId="47D6480B" w14:textId="77777777" w:rsidR="007C3613" w:rsidRDefault="007C3613" w:rsidP="00D5697D">
      <w:pPr>
        <w:tabs>
          <w:tab w:val="left" w:pos="1134"/>
          <w:tab w:val="left" w:pos="1701"/>
        </w:tabs>
        <w:spacing w:line="480" w:lineRule="auto"/>
        <w:rPr>
          <w:b/>
          <w:bCs/>
          <w:color w:val="000000"/>
          <w:sz w:val="24"/>
          <w:szCs w:val="24"/>
          <w:shd w:val="clear" w:color="auto" w:fill="FFFFFF"/>
        </w:rPr>
      </w:pPr>
    </w:p>
    <w:p w14:paraId="66D18F79" w14:textId="77777777" w:rsidR="007C3613" w:rsidRDefault="007C3613" w:rsidP="00D5697D">
      <w:pPr>
        <w:tabs>
          <w:tab w:val="left" w:pos="1134"/>
          <w:tab w:val="left" w:pos="1701"/>
        </w:tabs>
        <w:spacing w:line="480" w:lineRule="auto"/>
        <w:rPr>
          <w:b/>
          <w:bCs/>
          <w:color w:val="000000"/>
          <w:sz w:val="24"/>
          <w:szCs w:val="24"/>
          <w:shd w:val="clear" w:color="auto" w:fill="FFFFFF"/>
        </w:rPr>
      </w:pPr>
    </w:p>
    <w:p w14:paraId="34ECC131" w14:textId="77777777" w:rsidR="007C3613" w:rsidRDefault="007C3613" w:rsidP="00D5697D">
      <w:pPr>
        <w:tabs>
          <w:tab w:val="left" w:pos="1134"/>
          <w:tab w:val="left" w:pos="1701"/>
        </w:tabs>
        <w:spacing w:line="480" w:lineRule="auto"/>
        <w:rPr>
          <w:b/>
          <w:bCs/>
          <w:color w:val="000000"/>
          <w:sz w:val="24"/>
          <w:szCs w:val="24"/>
          <w:shd w:val="clear" w:color="auto" w:fill="FFFFFF"/>
        </w:rPr>
      </w:pPr>
    </w:p>
    <w:p w14:paraId="49668CA3" w14:textId="77777777" w:rsidR="007C3613" w:rsidRDefault="007C3613" w:rsidP="00D5697D">
      <w:pPr>
        <w:tabs>
          <w:tab w:val="left" w:pos="1134"/>
          <w:tab w:val="left" w:pos="1701"/>
        </w:tabs>
        <w:spacing w:line="480" w:lineRule="auto"/>
        <w:rPr>
          <w:b/>
          <w:bCs/>
          <w:color w:val="000000"/>
          <w:sz w:val="24"/>
          <w:szCs w:val="24"/>
          <w:shd w:val="clear" w:color="auto" w:fill="FFFFFF"/>
        </w:rPr>
      </w:pPr>
    </w:p>
    <w:p w14:paraId="5D181324" w14:textId="17D00E1E" w:rsidR="007224ED" w:rsidRDefault="005C3ACB" w:rsidP="00D5697D">
      <w:pPr>
        <w:tabs>
          <w:tab w:val="left" w:pos="1134"/>
          <w:tab w:val="left" w:pos="1701"/>
        </w:tabs>
        <w:spacing w:line="480" w:lineRule="auto"/>
        <w:rPr>
          <w:b/>
          <w:bCs/>
          <w:color w:val="000000"/>
          <w:sz w:val="24"/>
          <w:szCs w:val="24"/>
          <w:shd w:val="clear" w:color="auto" w:fill="FFFFFF"/>
        </w:rPr>
      </w:pPr>
      <w:r w:rsidRPr="00D5697D">
        <w:rPr>
          <w:b/>
          <w:bCs/>
          <w:color w:val="000000"/>
          <w:sz w:val="24"/>
          <w:szCs w:val="24"/>
          <w:shd w:val="clear" w:color="auto" w:fill="FFFFFF"/>
        </w:rPr>
        <w:lastRenderedPageBreak/>
        <w:t>DIETA</w:t>
      </w:r>
      <w:r w:rsidR="00765458" w:rsidRPr="00D5697D">
        <w:rPr>
          <w:b/>
          <w:bCs/>
          <w:color w:val="000000"/>
          <w:sz w:val="24"/>
          <w:szCs w:val="24"/>
          <w:shd w:val="clear" w:color="auto" w:fill="FFFFFF"/>
        </w:rPr>
        <w:t xml:space="preserve"> MEDITERRÂNEA </w:t>
      </w:r>
      <w:r w:rsidR="00D90141">
        <w:rPr>
          <w:b/>
          <w:bCs/>
          <w:color w:val="000000"/>
          <w:sz w:val="24"/>
          <w:szCs w:val="24"/>
          <w:shd w:val="clear" w:color="auto" w:fill="FFFFFF"/>
        </w:rPr>
        <w:t>NA</w:t>
      </w:r>
      <w:r w:rsidR="00765458" w:rsidRPr="00D5697D">
        <w:rPr>
          <w:b/>
          <w:bCs/>
          <w:color w:val="000000"/>
          <w:sz w:val="24"/>
          <w:szCs w:val="24"/>
          <w:shd w:val="clear" w:color="auto" w:fill="FFFFFF"/>
        </w:rPr>
        <w:t xml:space="preserve"> DOENÇA DE</w:t>
      </w:r>
      <w:r w:rsidR="00F246DD" w:rsidRPr="00D5697D">
        <w:rPr>
          <w:b/>
          <w:bCs/>
          <w:color w:val="000000"/>
          <w:sz w:val="24"/>
          <w:szCs w:val="24"/>
          <w:shd w:val="clear" w:color="auto" w:fill="FFFFFF"/>
        </w:rPr>
        <w:t xml:space="preserve"> </w:t>
      </w:r>
      <w:r w:rsidR="00765458" w:rsidRPr="00D5697D">
        <w:rPr>
          <w:b/>
          <w:bCs/>
          <w:color w:val="000000"/>
          <w:sz w:val="24"/>
          <w:szCs w:val="24"/>
          <w:shd w:val="clear" w:color="auto" w:fill="FFFFFF"/>
        </w:rPr>
        <w:t>ALZHEIMER</w:t>
      </w:r>
      <w:r w:rsidR="00D90141">
        <w:rPr>
          <w:b/>
          <w:bCs/>
          <w:color w:val="000000"/>
          <w:sz w:val="24"/>
          <w:szCs w:val="24"/>
          <w:shd w:val="clear" w:color="auto" w:fill="FFFFFF"/>
        </w:rPr>
        <w:t>: UMA REVISÃO DE LITERATURA</w:t>
      </w:r>
    </w:p>
    <w:bookmarkEnd w:id="0"/>
    <w:p w14:paraId="5B9749A1" w14:textId="23BA55A3" w:rsidR="00D5697D" w:rsidRPr="00461D00" w:rsidRDefault="00D5697D" w:rsidP="00D5697D">
      <w:pPr>
        <w:tabs>
          <w:tab w:val="left" w:pos="1134"/>
          <w:tab w:val="left" w:pos="1701"/>
        </w:tabs>
        <w:spacing w:line="480" w:lineRule="auto"/>
        <w:rPr>
          <w:b/>
          <w:bCs/>
          <w:color w:val="000000"/>
          <w:sz w:val="24"/>
          <w:szCs w:val="24"/>
          <w:shd w:val="clear" w:color="auto" w:fill="FFFFFF"/>
          <w:lang w:val="en-US"/>
        </w:rPr>
      </w:pPr>
      <w:r w:rsidRPr="00461D00">
        <w:rPr>
          <w:b/>
          <w:bCs/>
          <w:color w:val="000000"/>
          <w:sz w:val="24"/>
          <w:szCs w:val="24"/>
          <w:shd w:val="clear" w:color="auto" w:fill="FFFFFF"/>
          <w:lang w:val="en-US"/>
        </w:rPr>
        <w:t>MEDITERRANEAN DIET IN ALZHEIMER’S DISEASE</w:t>
      </w:r>
      <w:r w:rsidR="00D90141">
        <w:rPr>
          <w:b/>
          <w:bCs/>
          <w:color w:val="000000"/>
          <w:sz w:val="24"/>
          <w:szCs w:val="24"/>
          <w:shd w:val="clear" w:color="auto" w:fill="FFFFFF"/>
          <w:lang w:val="en-US"/>
        </w:rPr>
        <w:t>: A REVIEW</w:t>
      </w:r>
    </w:p>
    <w:p w14:paraId="450AD51F" w14:textId="7096F0E8" w:rsidR="0068587C" w:rsidRDefault="0068587C" w:rsidP="0068587C">
      <w:pPr>
        <w:tabs>
          <w:tab w:val="left" w:pos="1134"/>
          <w:tab w:val="left" w:pos="1701"/>
        </w:tabs>
        <w:spacing w:line="480" w:lineRule="auto"/>
        <w:rPr>
          <w:b/>
          <w:bCs/>
          <w:color w:val="000000"/>
          <w:sz w:val="24"/>
          <w:szCs w:val="24"/>
          <w:shd w:val="clear" w:color="auto" w:fill="FFFFFF"/>
        </w:rPr>
      </w:pPr>
      <w:r w:rsidRPr="00D5697D">
        <w:rPr>
          <w:b/>
          <w:bCs/>
          <w:color w:val="000000"/>
          <w:sz w:val="24"/>
          <w:szCs w:val="24"/>
          <w:shd w:val="clear" w:color="auto" w:fill="FFFFFF"/>
        </w:rPr>
        <w:t>DIETA MEDITERRÂNEA N</w:t>
      </w:r>
      <w:r>
        <w:rPr>
          <w:b/>
          <w:bCs/>
          <w:color w:val="000000"/>
          <w:sz w:val="24"/>
          <w:szCs w:val="24"/>
          <w:shd w:val="clear" w:color="auto" w:fill="FFFFFF"/>
        </w:rPr>
        <w:t>A DOENÇA DE</w:t>
      </w:r>
      <w:r w:rsidRPr="00D5697D">
        <w:rPr>
          <w:b/>
          <w:bCs/>
          <w:color w:val="000000"/>
          <w:sz w:val="24"/>
          <w:szCs w:val="24"/>
          <w:shd w:val="clear" w:color="auto" w:fill="FFFFFF"/>
        </w:rPr>
        <w:t xml:space="preserve"> ALZHEIMER</w:t>
      </w:r>
    </w:p>
    <w:p w14:paraId="7E767C9D" w14:textId="77777777" w:rsidR="00D5697D" w:rsidRPr="00D5697D" w:rsidRDefault="00D5697D" w:rsidP="00D5697D">
      <w:pPr>
        <w:tabs>
          <w:tab w:val="left" w:pos="1134"/>
          <w:tab w:val="left" w:pos="1701"/>
        </w:tabs>
        <w:spacing w:line="480" w:lineRule="auto"/>
        <w:rPr>
          <w:b/>
          <w:bCs/>
          <w:iCs/>
          <w:sz w:val="24"/>
          <w:szCs w:val="24"/>
        </w:rPr>
      </w:pPr>
    </w:p>
    <w:p w14:paraId="4EAA7335" w14:textId="7292A2A5" w:rsidR="007D453E" w:rsidRPr="00D5697D" w:rsidRDefault="007D453E" w:rsidP="00D5697D">
      <w:pPr>
        <w:tabs>
          <w:tab w:val="left" w:pos="1134"/>
          <w:tab w:val="left" w:pos="1701"/>
        </w:tabs>
        <w:spacing w:line="480" w:lineRule="auto"/>
        <w:rPr>
          <w:b/>
          <w:bCs/>
          <w:iCs/>
          <w:sz w:val="24"/>
          <w:szCs w:val="24"/>
        </w:rPr>
      </w:pPr>
      <w:r w:rsidRPr="00D5697D">
        <w:rPr>
          <w:b/>
          <w:bCs/>
          <w:iCs/>
          <w:sz w:val="24"/>
          <w:szCs w:val="24"/>
        </w:rPr>
        <w:t>Resumo</w:t>
      </w:r>
    </w:p>
    <w:p w14:paraId="48D7F31F" w14:textId="316599AC" w:rsidR="00F275F4" w:rsidRPr="00D5697D" w:rsidRDefault="00F275F4" w:rsidP="00B15D6D">
      <w:pPr>
        <w:spacing w:line="480" w:lineRule="auto"/>
        <w:rPr>
          <w:bCs/>
          <w:sz w:val="24"/>
          <w:szCs w:val="24"/>
          <w:shd w:val="clear" w:color="auto" w:fill="FFFFFF"/>
        </w:rPr>
      </w:pPr>
      <w:r w:rsidRPr="00D5697D">
        <w:rPr>
          <w:bCs/>
          <w:sz w:val="24"/>
          <w:szCs w:val="24"/>
          <w:shd w:val="clear" w:color="auto" w:fill="FFFFFF"/>
        </w:rPr>
        <w:t>A doença de Alzheimer é uma doença neurodegenerativa crônica, progressiva</w:t>
      </w:r>
      <w:r w:rsidR="00B85117" w:rsidRPr="00D5697D">
        <w:rPr>
          <w:bCs/>
          <w:sz w:val="24"/>
          <w:szCs w:val="24"/>
          <w:shd w:val="clear" w:color="auto" w:fill="FFFFFF"/>
        </w:rPr>
        <w:t xml:space="preserve">, em que </w:t>
      </w:r>
      <w:r w:rsidRPr="00D5697D">
        <w:rPr>
          <w:bCs/>
          <w:color w:val="000000"/>
          <w:sz w:val="24"/>
          <w:szCs w:val="24"/>
          <w:shd w:val="clear" w:color="auto" w:fill="FFFFFF"/>
        </w:rPr>
        <w:t>ocorre</w:t>
      </w:r>
      <w:r w:rsidRPr="00D5697D">
        <w:rPr>
          <w:bCs/>
          <w:sz w:val="24"/>
          <w:szCs w:val="24"/>
          <w:shd w:val="clear" w:color="auto" w:fill="FFFFFF"/>
        </w:rPr>
        <w:t xml:space="preserve"> acumulação extracelular de proteína </w:t>
      </w:r>
      <w:r w:rsidRPr="00D5697D">
        <w:rPr>
          <w:rFonts w:ascii="Symbol" w:hAnsi="Symbol"/>
          <w:bCs/>
          <w:sz w:val="24"/>
          <w:szCs w:val="24"/>
          <w:shd w:val="clear" w:color="auto" w:fill="FFFFFF"/>
        </w:rPr>
        <w:t>b</w:t>
      </w:r>
      <w:r w:rsidRPr="00D5697D">
        <w:rPr>
          <w:bCs/>
          <w:sz w:val="24"/>
          <w:szCs w:val="24"/>
          <w:shd w:val="clear" w:color="auto" w:fill="FFFFFF"/>
        </w:rPr>
        <w:t>-amil</w:t>
      </w:r>
      <w:r w:rsidR="00D5697D" w:rsidRPr="00D5697D">
        <w:rPr>
          <w:bCs/>
          <w:sz w:val="24"/>
          <w:szCs w:val="24"/>
          <w:shd w:val="clear" w:color="auto" w:fill="FFFFFF"/>
        </w:rPr>
        <w:t>o</w:t>
      </w:r>
      <w:r w:rsidRPr="00D5697D">
        <w:rPr>
          <w:bCs/>
          <w:sz w:val="24"/>
          <w:szCs w:val="24"/>
          <w:shd w:val="clear" w:color="auto" w:fill="FFFFFF"/>
        </w:rPr>
        <w:t xml:space="preserve">ide, acumulação intracelular da proteína tau hiperfosforilada, inflamação e redução do </w:t>
      </w:r>
      <w:r w:rsidR="007D385E" w:rsidRPr="00D5697D">
        <w:rPr>
          <w:bCs/>
          <w:sz w:val="24"/>
          <w:szCs w:val="24"/>
          <w:shd w:val="clear" w:color="auto" w:fill="FFFFFF"/>
        </w:rPr>
        <w:t>metabolismo</w:t>
      </w:r>
      <w:r w:rsidRPr="00D5697D">
        <w:rPr>
          <w:bCs/>
          <w:sz w:val="24"/>
          <w:szCs w:val="24"/>
          <w:shd w:val="clear" w:color="auto" w:fill="FFFFFF"/>
        </w:rPr>
        <w:t xml:space="preserve"> cerebral de glicose. </w:t>
      </w:r>
      <w:r w:rsidR="005921B9" w:rsidRPr="00D5697D">
        <w:rPr>
          <w:bCs/>
          <w:sz w:val="24"/>
          <w:szCs w:val="24"/>
          <w:shd w:val="clear" w:color="auto" w:fill="FFFFFF"/>
        </w:rPr>
        <w:t>E</w:t>
      </w:r>
      <w:r w:rsidR="007D385E" w:rsidRPr="00D5697D">
        <w:rPr>
          <w:bCs/>
          <w:sz w:val="24"/>
          <w:szCs w:val="24"/>
          <w:shd w:val="clear" w:color="auto" w:fill="FFFFFF"/>
        </w:rPr>
        <w:t xml:space="preserve">studos </w:t>
      </w:r>
      <w:r w:rsidRPr="00D5697D">
        <w:rPr>
          <w:bCs/>
          <w:sz w:val="24"/>
          <w:szCs w:val="24"/>
          <w:shd w:val="clear" w:color="auto" w:fill="FFFFFF"/>
        </w:rPr>
        <w:t xml:space="preserve">demonstram possíveis associações entre </w:t>
      </w:r>
      <w:r w:rsidR="00646CAA">
        <w:rPr>
          <w:bCs/>
          <w:sz w:val="24"/>
          <w:szCs w:val="24"/>
          <w:shd w:val="clear" w:color="auto" w:fill="FFFFFF"/>
        </w:rPr>
        <w:t>doença de Alzheimer</w:t>
      </w:r>
      <w:r w:rsidR="00E86978" w:rsidRPr="00D5697D">
        <w:rPr>
          <w:bCs/>
          <w:sz w:val="24"/>
          <w:szCs w:val="24"/>
          <w:shd w:val="clear" w:color="auto" w:fill="FFFFFF"/>
        </w:rPr>
        <w:t xml:space="preserve"> e </w:t>
      </w:r>
      <w:r w:rsidRPr="00D5697D">
        <w:rPr>
          <w:bCs/>
          <w:sz w:val="24"/>
          <w:szCs w:val="24"/>
          <w:shd w:val="clear" w:color="auto" w:fill="FFFFFF"/>
        </w:rPr>
        <w:t>diabetes mellitus tipo 2</w:t>
      </w:r>
      <w:r w:rsidR="007D385E" w:rsidRPr="00D5697D">
        <w:rPr>
          <w:bCs/>
          <w:sz w:val="24"/>
          <w:szCs w:val="24"/>
          <w:shd w:val="clear" w:color="auto" w:fill="FFFFFF"/>
        </w:rPr>
        <w:t xml:space="preserve">. </w:t>
      </w:r>
      <w:r w:rsidRPr="00D5697D">
        <w:rPr>
          <w:bCs/>
          <w:sz w:val="24"/>
          <w:szCs w:val="24"/>
          <w:shd w:val="clear" w:color="auto" w:fill="FFFFFF"/>
        </w:rPr>
        <w:t xml:space="preserve">A dieta mediterrânea é um padrão alimentar </w:t>
      </w:r>
      <w:r w:rsidR="007D385E" w:rsidRPr="00D5697D">
        <w:rPr>
          <w:bCs/>
          <w:sz w:val="24"/>
          <w:szCs w:val="24"/>
          <w:shd w:val="clear" w:color="auto" w:fill="FFFFFF"/>
        </w:rPr>
        <w:t>que te</w:t>
      </w:r>
      <w:r w:rsidRPr="00D5697D">
        <w:rPr>
          <w:bCs/>
          <w:sz w:val="24"/>
          <w:szCs w:val="24"/>
          <w:shd w:val="clear" w:color="auto" w:fill="FFFFFF"/>
        </w:rPr>
        <w:t xml:space="preserve">m sido inversamente associado à incidência de resistência à insulina e </w:t>
      </w:r>
      <w:r w:rsidR="00646CAA">
        <w:rPr>
          <w:bCs/>
          <w:sz w:val="24"/>
          <w:szCs w:val="24"/>
          <w:shd w:val="clear" w:color="auto" w:fill="FFFFFF"/>
        </w:rPr>
        <w:t>diabetes mellitus tipo 2</w:t>
      </w:r>
      <w:r w:rsidRPr="00D5697D">
        <w:rPr>
          <w:bCs/>
          <w:sz w:val="24"/>
          <w:szCs w:val="24"/>
          <w:shd w:val="clear" w:color="auto" w:fill="FFFFFF"/>
        </w:rPr>
        <w:t xml:space="preserve">. </w:t>
      </w:r>
      <w:r w:rsidR="007D385E" w:rsidRPr="00D5697D">
        <w:rPr>
          <w:bCs/>
          <w:sz w:val="24"/>
          <w:szCs w:val="24"/>
          <w:shd w:val="clear" w:color="auto" w:fill="FFFFFF"/>
        </w:rPr>
        <w:t>A presente revisão sistemática visa</w:t>
      </w:r>
      <w:r w:rsidRPr="00D5697D">
        <w:rPr>
          <w:bCs/>
          <w:sz w:val="24"/>
          <w:szCs w:val="24"/>
          <w:shd w:val="clear" w:color="auto" w:fill="FFFFFF"/>
        </w:rPr>
        <w:t xml:space="preserve"> avaliar se a dieta mediterrânea </w:t>
      </w:r>
      <w:r w:rsidR="00E86978" w:rsidRPr="00D5697D">
        <w:rPr>
          <w:bCs/>
          <w:sz w:val="24"/>
          <w:szCs w:val="24"/>
          <w:shd w:val="clear" w:color="auto" w:fill="FFFFFF"/>
        </w:rPr>
        <w:t>se associa ao menor risco de</w:t>
      </w:r>
      <w:r w:rsidRPr="00D5697D">
        <w:rPr>
          <w:bCs/>
          <w:sz w:val="24"/>
          <w:szCs w:val="24"/>
          <w:shd w:val="clear" w:color="auto" w:fill="FFFFFF"/>
        </w:rPr>
        <w:t xml:space="preserve"> </w:t>
      </w:r>
      <w:r w:rsidR="00646CAA">
        <w:rPr>
          <w:bCs/>
          <w:sz w:val="24"/>
          <w:szCs w:val="24"/>
          <w:shd w:val="clear" w:color="auto" w:fill="FFFFFF"/>
        </w:rPr>
        <w:t>doença de Alzheimer</w:t>
      </w:r>
      <w:r w:rsidRPr="00D5697D">
        <w:rPr>
          <w:bCs/>
          <w:sz w:val="24"/>
          <w:szCs w:val="24"/>
          <w:shd w:val="clear" w:color="auto" w:fill="FFFFFF"/>
        </w:rPr>
        <w:t>.</w:t>
      </w:r>
      <w:r w:rsidR="007D385E" w:rsidRPr="00D5697D">
        <w:rPr>
          <w:bCs/>
          <w:sz w:val="24"/>
          <w:szCs w:val="24"/>
          <w:shd w:val="clear" w:color="auto" w:fill="FFFFFF"/>
        </w:rPr>
        <w:t xml:space="preserve"> </w:t>
      </w:r>
      <w:r w:rsidR="00E3536D">
        <w:rPr>
          <w:bCs/>
          <w:sz w:val="24"/>
          <w:szCs w:val="24"/>
          <w:shd w:val="clear" w:color="auto" w:fill="FFFFFF"/>
        </w:rPr>
        <w:t>Esta revisão</w:t>
      </w:r>
      <w:r w:rsidR="00B85117" w:rsidRPr="00D5697D">
        <w:rPr>
          <w:bCs/>
          <w:sz w:val="24"/>
          <w:szCs w:val="24"/>
        </w:rPr>
        <w:t xml:space="preserve"> abrangeu 15 estudos, publicados de 2016 a 2020, nos idiomas português e inglês, nas bases de dados LILACS-BIREME, Scielo e PubMed. As palavras-chave utilizadas para a busca foram Doença de Alzheimer e Dieta Mediterrânea</w:t>
      </w:r>
      <w:r w:rsidR="00810920" w:rsidRPr="00D5697D">
        <w:rPr>
          <w:bCs/>
          <w:sz w:val="24"/>
          <w:szCs w:val="24"/>
        </w:rPr>
        <w:t>.</w:t>
      </w:r>
      <w:r w:rsidR="00810920" w:rsidRPr="00D5697D">
        <w:rPr>
          <w:bCs/>
          <w:sz w:val="24"/>
          <w:szCs w:val="24"/>
          <w:shd w:val="clear" w:color="auto" w:fill="FFFFFF"/>
        </w:rPr>
        <w:t xml:space="preserve"> </w:t>
      </w:r>
      <w:r w:rsidR="00E86978" w:rsidRPr="00D5697D">
        <w:rPr>
          <w:bCs/>
          <w:sz w:val="24"/>
          <w:szCs w:val="24"/>
        </w:rPr>
        <w:t xml:space="preserve">Os </w:t>
      </w:r>
      <w:r w:rsidRPr="00D5697D">
        <w:rPr>
          <w:bCs/>
          <w:sz w:val="24"/>
          <w:szCs w:val="24"/>
        </w:rPr>
        <w:t xml:space="preserve">resultados mostraram que uma elevada adesão à </w:t>
      </w:r>
      <w:r w:rsidR="00646CAA">
        <w:rPr>
          <w:bCs/>
          <w:sz w:val="24"/>
          <w:szCs w:val="24"/>
        </w:rPr>
        <w:t>dieta mediterrânea</w:t>
      </w:r>
      <w:r w:rsidRPr="00D5697D">
        <w:rPr>
          <w:bCs/>
          <w:sz w:val="24"/>
          <w:szCs w:val="24"/>
        </w:rPr>
        <w:t xml:space="preserve"> </w:t>
      </w:r>
      <w:r w:rsidR="00E86978" w:rsidRPr="00D5697D">
        <w:rPr>
          <w:bCs/>
          <w:sz w:val="24"/>
          <w:szCs w:val="24"/>
        </w:rPr>
        <w:t xml:space="preserve">se associa com um </w:t>
      </w:r>
      <w:r w:rsidRPr="00D5697D">
        <w:rPr>
          <w:bCs/>
          <w:sz w:val="24"/>
          <w:szCs w:val="24"/>
        </w:rPr>
        <w:t>melhor metabolismo de glicose no cérebro</w:t>
      </w:r>
      <w:r w:rsidR="00E86978" w:rsidRPr="00D5697D">
        <w:rPr>
          <w:bCs/>
          <w:sz w:val="24"/>
          <w:szCs w:val="24"/>
        </w:rPr>
        <w:t>, uma redução d</w:t>
      </w:r>
      <w:r w:rsidRPr="00D5697D">
        <w:rPr>
          <w:bCs/>
          <w:sz w:val="24"/>
          <w:szCs w:val="24"/>
        </w:rPr>
        <w:t xml:space="preserve">a deposição de </w:t>
      </w:r>
      <w:r w:rsidRPr="00D5697D">
        <w:rPr>
          <w:rFonts w:ascii="Symbol" w:hAnsi="Symbol"/>
          <w:bCs/>
          <w:sz w:val="24"/>
          <w:szCs w:val="24"/>
        </w:rPr>
        <w:t>b</w:t>
      </w:r>
      <w:r w:rsidRPr="00D5697D">
        <w:rPr>
          <w:bCs/>
          <w:sz w:val="24"/>
          <w:szCs w:val="24"/>
        </w:rPr>
        <w:t>-amiloide e de proteína tau</w:t>
      </w:r>
      <w:r w:rsidR="00E86978" w:rsidRPr="00D5697D">
        <w:rPr>
          <w:bCs/>
          <w:sz w:val="24"/>
          <w:szCs w:val="24"/>
        </w:rPr>
        <w:t xml:space="preserve"> e um possível aumento da</w:t>
      </w:r>
      <w:r w:rsidRPr="00D5697D">
        <w:rPr>
          <w:bCs/>
          <w:sz w:val="24"/>
          <w:szCs w:val="24"/>
        </w:rPr>
        <w:t xml:space="preserve"> capacidade cognitiva</w:t>
      </w:r>
      <w:r w:rsidR="005921B9" w:rsidRPr="00D5697D">
        <w:rPr>
          <w:bCs/>
          <w:sz w:val="24"/>
          <w:szCs w:val="24"/>
        </w:rPr>
        <w:t>, corroborado pela literatura, principalmente no que tange ao desempenho de aprendizado</w:t>
      </w:r>
      <w:r w:rsidR="00E86978" w:rsidRPr="00D5697D">
        <w:rPr>
          <w:bCs/>
          <w:sz w:val="24"/>
          <w:szCs w:val="24"/>
        </w:rPr>
        <w:t>. N</w:t>
      </w:r>
      <w:r w:rsidRPr="00D5697D">
        <w:rPr>
          <w:bCs/>
          <w:sz w:val="24"/>
          <w:szCs w:val="24"/>
        </w:rPr>
        <w:t xml:space="preserve">ão </w:t>
      </w:r>
      <w:r w:rsidR="00E86978" w:rsidRPr="00D5697D">
        <w:rPr>
          <w:bCs/>
          <w:sz w:val="24"/>
          <w:szCs w:val="24"/>
        </w:rPr>
        <w:t xml:space="preserve">foi possível </w:t>
      </w:r>
      <w:r w:rsidR="00810920" w:rsidRPr="00D5697D">
        <w:rPr>
          <w:bCs/>
          <w:sz w:val="24"/>
          <w:szCs w:val="24"/>
        </w:rPr>
        <w:t>concluir</w:t>
      </w:r>
      <w:r w:rsidR="00E86978" w:rsidRPr="00D5697D">
        <w:rPr>
          <w:bCs/>
          <w:sz w:val="24"/>
          <w:szCs w:val="24"/>
        </w:rPr>
        <w:t xml:space="preserve"> </w:t>
      </w:r>
      <w:r w:rsidR="00810920" w:rsidRPr="00D5697D">
        <w:rPr>
          <w:bCs/>
          <w:sz w:val="24"/>
          <w:szCs w:val="24"/>
        </w:rPr>
        <w:t>que</w:t>
      </w:r>
      <w:r w:rsidR="005921B9" w:rsidRPr="00D5697D">
        <w:rPr>
          <w:bCs/>
          <w:sz w:val="24"/>
          <w:szCs w:val="24"/>
        </w:rPr>
        <w:t xml:space="preserve"> a adesão à </w:t>
      </w:r>
      <w:r w:rsidR="00646CAA">
        <w:rPr>
          <w:bCs/>
          <w:sz w:val="24"/>
          <w:szCs w:val="24"/>
        </w:rPr>
        <w:t>dieta mediterrânea</w:t>
      </w:r>
      <w:r w:rsidR="00E86978" w:rsidRPr="00D5697D">
        <w:rPr>
          <w:bCs/>
          <w:sz w:val="24"/>
          <w:szCs w:val="24"/>
        </w:rPr>
        <w:t xml:space="preserve"> </w:t>
      </w:r>
      <w:r w:rsidRPr="00D5697D">
        <w:rPr>
          <w:bCs/>
          <w:sz w:val="24"/>
          <w:szCs w:val="24"/>
        </w:rPr>
        <w:t>altera significativamente a estrutura cerebral</w:t>
      </w:r>
      <w:r w:rsidR="00810920" w:rsidRPr="00D5697D">
        <w:rPr>
          <w:bCs/>
          <w:sz w:val="24"/>
          <w:szCs w:val="24"/>
        </w:rPr>
        <w:t xml:space="preserve">. </w:t>
      </w:r>
      <w:r w:rsidR="008921F5" w:rsidRPr="00D5697D">
        <w:rPr>
          <w:bCs/>
          <w:sz w:val="24"/>
          <w:szCs w:val="24"/>
        </w:rPr>
        <w:t>Dessa forma</w:t>
      </w:r>
      <w:r w:rsidR="006855B5" w:rsidRPr="00D5697D">
        <w:rPr>
          <w:bCs/>
          <w:sz w:val="24"/>
          <w:szCs w:val="24"/>
        </w:rPr>
        <w:t xml:space="preserve">, concluiu-se </w:t>
      </w:r>
      <w:r w:rsidRPr="00D5697D">
        <w:rPr>
          <w:bCs/>
          <w:color w:val="000000"/>
          <w:sz w:val="24"/>
          <w:szCs w:val="24"/>
          <w:shd w:val="clear" w:color="auto" w:fill="FFFFFF"/>
        </w:rPr>
        <w:t xml:space="preserve">que há uma associação significativa entre a maior adesão à </w:t>
      </w:r>
      <w:r w:rsidR="00646CAA">
        <w:rPr>
          <w:bCs/>
          <w:color w:val="000000"/>
          <w:sz w:val="24"/>
          <w:szCs w:val="24"/>
          <w:shd w:val="clear" w:color="auto" w:fill="FFFFFF"/>
        </w:rPr>
        <w:t>dieta mediterrânea</w:t>
      </w:r>
      <w:r w:rsidRPr="00D5697D">
        <w:rPr>
          <w:bCs/>
          <w:color w:val="000000"/>
          <w:sz w:val="24"/>
          <w:szCs w:val="24"/>
          <w:shd w:val="clear" w:color="auto" w:fill="FFFFFF"/>
        </w:rPr>
        <w:t xml:space="preserve"> e o menor risco de desenvolvimento de </w:t>
      </w:r>
      <w:r w:rsidR="00646CAA">
        <w:rPr>
          <w:bCs/>
          <w:color w:val="000000"/>
          <w:sz w:val="24"/>
          <w:szCs w:val="24"/>
          <w:shd w:val="clear" w:color="auto" w:fill="FFFFFF"/>
        </w:rPr>
        <w:lastRenderedPageBreak/>
        <w:t>doença de Alzheimer</w:t>
      </w:r>
      <w:r w:rsidRPr="00D5697D">
        <w:rPr>
          <w:bCs/>
          <w:color w:val="000000"/>
          <w:sz w:val="24"/>
          <w:szCs w:val="24"/>
          <w:shd w:val="clear" w:color="auto" w:fill="FFFFFF"/>
        </w:rPr>
        <w:t xml:space="preserve"> e outros comprometimentos cognitivos; e </w:t>
      </w:r>
      <w:r w:rsidR="006855B5" w:rsidRPr="00D5697D">
        <w:rPr>
          <w:bCs/>
          <w:color w:val="000000"/>
          <w:sz w:val="24"/>
          <w:szCs w:val="24"/>
          <w:shd w:val="clear" w:color="auto" w:fill="FFFFFF"/>
        </w:rPr>
        <w:t xml:space="preserve">que </w:t>
      </w:r>
      <w:r w:rsidR="00E53781">
        <w:rPr>
          <w:bCs/>
          <w:color w:val="000000"/>
          <w:sz w:val="24"/>
          <w:szCs w:val="24"/>
          <w:shd w:val="clear" w:color="auto" w:fill="FFFFFF"/>
        </w:rPr>
        <w:t xml:space="preserve">um dos </w:t>
      </w:r>
      <w:r w:rsidRPr="00D5697D">
        <w:rPr>
          <w:bCs/>
          <w:color w:val="000000"/>
          <w:sz w:val="24"/>
          <w:szCs w:val="24"/>
          <w:shd w:val="clear" w:color="auto" w:fill="FFFFFF"/>
        </w:rPr>
        <w:t>mecanismo</w:t>
      </w:r>
      <w:r w:rsidR="00E53781">
        <w:rPr>
          <w:bCs/>
          <w:color w:val="000000"/>
          <w:sz w:val="24"/>
          <w:szCs w:val="24"/>
          <w:shd w:val="clear" w:color="auto" w:fill="FFFFFF"/>
        </w:rPr>
        <w:t>s</w:t>
      </w:r>
      <w:r w:rsidRPr="00D5697D">
        <w:rPr>
          <w:bCs/>
          <w:color w:val="000000"/>
          <w:sz w:val="24"/>
          <w:szCs w:val="24"/>
          <w:shd w:val="clear" w:color="auto" w:fill="FFFFFF"/>
        </w:rPr>
        <w:t xml:space="preserve"> desse efeito parece ser o controle da hiperglicemia e da resistência à insulina.</w:t>
      </w:r>
    </w:p>
    <w:p w14:paraId="6F300FB2" w14:textId="77777777" w:rsidR="006855B5" w:rsidRPr="00D5697D" w:rsidRDefault="006855B5" w:rsidP="00D5697D">
      <w:pPr>
        <w:tabs>
          <w:tab w:val="left" w:pos="1134"/>
          <w:tab w:val="left" w:pos="1701"/>
        </w:tabs>
        <w:spacing w:line="480" w:lineRule="auto"/>
        <w:rPr>
          <w:iCs/>
          <w:sz w:val="24"/>
          <w:szCs w:val="24"/>
          <w:highlight w:val="yellow"/>
        </w:rPr>
      </w:pPr>
    </w:p>
    <w:p w14:paraId="5F9BC28B" w14:textId="5371AC53" w:rsidR="007F020F" w:rsidRDefault="00F275F4" w:rsidP="00D5697D">
      <w:pPr>
        <w:tabs>
          <w:tab w:val="left" w:pos="1134"/>
          <w:tab w:val="left" w:pos="1701"/>
        </w:tabs>
        <w:spacing w:line="480" w:lineRule="auto"/>
        <w:rPr>
          <w:iCs/>
          <w:sz w:val="24"/>
          <w:szCs w:val="24"/>
        </w:rPr>
      </w:pPr>
      <w:r w:rsidRPr="00D5697D">
        <w:rPr>
          <w:b/>
          <w:bCs/>
          <w:iCs/>
          <w:sz w:val="24"/>
          <w:szCs w:val="24"/>
        </w:rPr>
        <w:t>Palavras-chave</w:t>
      </w:r>
      <w:r w:rsidR="006855B5" w:rsidRPr="00D5697D">
        <w:rPr>
          <w:b/>
          <w:bCs/>
          <w:iCs/>
          <w:sz w:val="24"/>
          <w:szCs w:val="24"/>
        </w:rPr>
        <w:t>:</w:t>
      </w:r>
      <w:r w:rsidR="006855B5" w:rsidRPr="00D5697D">
        <w:rPr>
          <w:iCs/>
          <w:sz w:val="24"/>
          <w:szCs w:val="24"/>
        </w:rPr>
        <w:t xml:space="preserve"> Doença de Alzheimer; Resistência à insulina; </w:t>
      </w:r>
      <w:r w:rsidR="005921B9" w:rsidRPr="00D5697D">
        <w:rPr>
          <w:iCs/>
          <w:sz w:val="24"/>
          <w:szCs w:val="24"/>
        </w:rPr>
        <w:t xml:space="preserve">Diabetes </w:t>
      </w:r>
      <w:r w:rsidR="008921F5" w:rsidRPr="00D5697D">
        <w:rPr>
          <w:iCs/>
          <w:sz w:val="24"/>
          <w:szCs w:val="24"/>
        </w:rPr>
        <w:t>Mellitus Tipo</w:t>
      </w:r>
      <w:r w:rsidR="005921B9" w:rsidRPr="00D5697D">
        <w:rPr>
          <w:iCs/>
          <w:sz w:val="24"/>
          <w:szCs w:val="24"/>
        </w:rPr>
        <w:t xml:space="preserve"> 2; </w:t>
      </w:r>
      <w:r w:rsidR="006855B5" w:rsidRPr="00D5697D">
        <w:rPr>
          <w:iCs/>
          <w:sz w:val="24"/>
          <w:szCs w:val="24"/>
        </w:rPr>
        <w:t>Dieta Mediterrânea.</w:t>
      </w:r>
    </w:p>
    <w:p w14:paraId="4AECC5C4" w14:textId="77777777" w:rsidR="00D5697D" w:rsidRPr="00D5697D" w:rsidRDefault="00D5697D" w:rsidP="00D5697D">
      <w:pPr>
        <w:tabs>
          <w:tab w:val="left" w:pos="1134"/>
          <w:tab w:val="left" w:pos="1701"/>
        </w:tabs>
        <w:spacing w:line="480" w:lineRule="auto"/>
        <w:rPr>
          <w:b/>
          <w:color w:val="000000"/>
          <w:sz w:val="24"/>
          <w:szCs w:val="24"/>
          <w:shd w:val="clear" w:color="auto" w:fill="FFFFFF"/>
        </w:rPr>
      </w:pPr>
    </w:p>
    <w:p w14:paraId="51ED4B0B" w14:textId="31BDF639" w:rsidR="007224ED" w:rsidRPr="00D5697D" w:rsidRDefault="00EB1F2D" w:rsidP="00D5697D">
      <w:pPr>
        <w:pStyle w:val="PargrafodaLista"/>
        <w:tabs>
          <w:tab w:val="left" w:pos="284"/>
        </w:tabs>
        <w:spacing w:line="480" w:lineRule="auto"/>
        <w:ind w:left="0"/>
        <w:rPr>
          <w:b/>
          <w:color w:val="000000"/>
          <w:sz w:val="24"/>
          <w:szCs w:val="24"/>
          <w:shd w:val="clear" w:color="auto" w:fill="FFFFFF"/>
        </w:rPr>
      </w:pPr>
      <w:r w:rsidRPr="00D5697D">
        <w:rPr>
          <w:b/>
          <w:color w:val="000000"/>
          <w:sz w:val="24"/>
          <w:szCs w:val="24"/>
          <w:shd w:val="clear" w:color="auto" w:fill="FFFFFF"/>
        </w:rPr>
        <w:t>INTRODUÇÃO</w:t>
      </w:r>
    </w:p>
    <w:p w14:paraId="6271AD90" w14:textId="4E913D27" w:rsidR="001352EC" w:rsidRPr="00D5697D" w:rsidRDefault="007228E4" w:rsidP="00B15D6D">
      <w:pPr>
        <w:spacing w:line="480" w:lineRule="auto"/>
        <w:rPr>
          <w:bCs/>
          <w:sz w:val="24"/>
          <w:szCs w:val="24"/>
          <w:shd w:val="clear" w:color="auto" w:fill="FFFFFF"/>
        </w:rPr>
      </w:pPr>
      <w:r w:rsidRPr="00D5697D">
        <w:rPr>
          <w:bCs/>
          <w:sz w:val="24"/>
          <w:szCs w:val="24"/>
          <w:shd w:val="clear" w:color="auto" w:fill="FFFFFF"/>
        </w:rPr>
        <w:t xml:space="preserve">A doença de Alzheimer </w:t>
      </w:r>
      <w:r w:rsidR="00C230D0" w:rsidRPr="00D5697D">
        <w:rPr>
          <w:bCs/>
          <w:sz w:val="24"/>
          <w:szCs w:val="24"/>
          <w:shd w:val="clear" w:color="auto" w:fill="FFFFFF"/>
        </w:rPr>
        <w:t xml:space="preserve">(DA) </w:t>
      </w:r>
      <w:r w:rsidRPr="00D5697D">
        <w:rPr>
          <w:bCs/>
          <w:sz w:val="24"/>
          <w:szCs w:val="24"/>
          <w:shd w:val="clear" w:color="auto" w:fill="FFFFFF"/>
        </w:rPr>
        <w:t xml:space="preserve">é </w:t>
      </w:r>
      <w:r w:rsidR="00E817A8" w:rsidRPr="00D5697D">
        <w:rPr>
          <w:bCs/>
          <w:sz w:val="24"/>
          <w:szCs w:val="24"/>
          <w:shd w:val="clear" w:color="auto" w:fill="FFFFFF"/>
        </w:rPr>
        <w:t>uma doença neurodegenerativa</w:t>
      </w:r>
      <w:r w:rsidR="00112668" w:rsidRPr="00D5697D">
        <w:rPr>
          <w:bCs/>
          <w:sz w:val="24"/>
          <w:szCs w:val="24"/>
          <w:shd w:val="clear" w:color="auto" w:fill="FFFFFF"/>
        </w:rPr>
        <w:t xml:space="preserve"> </w:t>
      </w:r>
      <w:r w:rsidR="00C230D0" w:rsidRPr="00D5697D">
        <w:rPr>
          <w:bCs/>
          <w:sz w:val="24"/>
          <w:szCs w:val="24"/>
          <w:shd w:val="clear" w:color="auto" w:fill="FFFFFF"/>
        </w:rPr>
        <w:t xml:space="preserve">crônica, </w:t>
      </w:r>
      <w:r w:rsidR="00112668" w:rsidRPr="00D5697D">
        <w:rPr>
          <w:bCs/>
          <w:sz w:val="24"/>
          <w:szCs w:val="24"/>
          <w:shd w:val="clear" w:color="auto" w:fill="FFFFFF"/>
        </w:rPr>
        <w:t>progressiva e fatal</w:t>
      </w:r>
      <w:r w:rsidR="00E817A8" w:rsidRPr="00D5697D">
        <w:rPr>
          <w:bCs/>
          <w:sz w:val="24"/>
          <w:szCs w:val="24"/>
          <w:shd w:val="clear" w:color="auto" w:fill="FFFFFF"/>
        </w:rPr>
        <w:t xml:space="preserve"> que abrange uma série de distúrbios neurológicos, como o declínio das funções cognitivas</w:t>
      </w:r>
      <w:r w:rsidR="00112668" w:rsidRPr="00D5697D">
        <w:rPr>
          <w:bCs/>
          <w:sz w:val="24"/>
          <w:szCs w:val="24"/>
          <w:shd w:val="clear" w:color="auto" w:fill="FFFFFF"/>
        </w:rPr>
        <w:t xml:space="preserve"> </w:t>
      </w:r>
      <w:r w:rsidR="00E817A8" w:rsidRPr="00D5697D">
        <w:rPr>
          <w:bCs/>
          <w:sz w:val="24"/>
          <w:szCs w:val="24"/>
          <w:shd w:val="clear" w:color="auto" w:fill="FFFFFF"/>
        </w:rPr>
        <w:t xml:space="preserve">e a redução da capacidade </w:t>
      </w:r>
      <w:r w:rsidR="00E53781">
        <w:rPr>
          <w:bCs/>
          <w:sz w:val="24"/>
          <w:szCs w:val="24"/>
          <w:shd w:val="clear" w:color="auto" w:fill="FFFFFF"/>
        </w:rPr>
        <w:t>funcional</w:t>
      </w:r>
      <w:r w:rsidR="00E817A8" w:rsidRPr="00D5697D">
        <w:rPr>
          <w:bCs/>
          <w:sz w:val="24"/>
          <w:szCs w:val="24"/>
          <w:shd w:val="clear" w:color="auto" w:fill="FFFFFF"/>
        </w:rPr>
        <w:t xml:space="preserve"> e de relacionamento social</w:t>
      </w:r>
      <w:r w:rsidR="00112668" w:rsidRPr="00D5697D">
        <w:rPr>
          <w:bCs/>
          <w:sz w:val="24"/>
          <w:szCs w:val="24"/>
          <w:shd w:val="clear" w:color="auto" w:fill="FFFFFF"/>
        </w:rPr>
        <w:t>, o que caracteriza um quadro de</w:t>
      </w:r>
      <w:r w:rsidR="00C230D0" w:rsidRPr="00D5697D">
        <w:rPr>
          <w:bCs/>
          <w:sz w:val="24"/>
          <w:szCs w:val="24"/>
          <w:shd w:val="clear" w:color="auto" w:fill="FFFFFF"/>
        </w:rPr>
        <w:t xml:space="preserve"> demência</w:t>
      </w:r>
      <w:r w:rsidR="00E817A8" w:rsidRPr="00D5697D">
        <w:rPr>
          <w:bCs/>
          <w:sz w:val="24"/>
          <w:szCs w:val="24"/>
          <w:shd w:val="clear" w:color="auto" w:fill="FFFFFF"/>
        </w:rPr>
        <w:t xml:space="preserve">. O sintoma precoce mais comum é a </w:t>
      </w:r>
      <w:r w:rsidR="00112668" w:rsidRPr="00D5697D">
        <w:rPr>
          <w:bCs/>
          <w:sz w:val="24"/>
          <w:szCs w:val="24"/>
          <w:shd w:val="clear" w:color="auto" w:fill="FFFFFF"/>
        </w:rPr>
        <w:t xml:space="preserve">perda de memória recente, </w:t>
      </w:r>
      <w:r w:rsidR="006A2428" w:rsidRPr="00D5697D">
        <w:rPr>
          <w:bCs/>
          <w:sz w:val="24"/>
          <w:szCs w:val="24"/>
          <w:shd w:val="clear" w:color="auto" w:fill="FFFFFF"/>
        </w:rPr>
        <w:t>porém</w:t>
      </w:r>
      <w:r w:rsidR="00112668" w:rsidRPr="00D5697D">
        <w:rPr>
          <w:bCs/>
          <w:sz w:val="24"/>
          <w:szCs w:val="24"/>
          <w:shd w:val="clear" w:color="auto" w:fill="FFFFFF"/>
        </w:rPr>
        <w:t>, à medida que a doença evolui, pode ocorrer desorientação</w:t>
      </w:r>
      <w:r w:rsidR="00B566DD" w:rsidRPr="00D5697D">
        <w:rPr>
          <w:bCs/>
          <w:sz w:val="24"/>
          <w:szCs w:val="24"/>
          <w:shd w:val="clear" w:color="auto" w:fill="FFFFFF"/>
        </w:rPr>
        <w:t>,</w:t>
      </w:r>
      <w:r w:rsidR="00112668" w:rsidRPr="00D5697D">
        <w:rPr>
          <w:bCs/>
          <w:sz w:val="24"/>
          <w:szCs w:val="24"/>
          <w:shd w:val="clear" w:color="auto" w:fill="FFFFFF"/>
        </w:rPr>
        <w:t xml:space="preserve"> sinais de depressão, agressividade, mudanças de humor, confusão mental</w:t>
      </w:r>
      <w:r w:rsidR="00B566DD" w:rsidRPr="00D5697D">
        <w:rPr>
          <w:bCs/>
          <w:sz w:val="24"/>
          <w:szCs w:val="24"/>
          <w:shd w:val="clear" w:color="auto" w:fill="FFFFFF"/>
        </w:rPr>
        <w:t xml:space="preserve"> e</w:t>
      </w:r>
      <w:r w:rsidR="00112668" w:rsidRPr="00D5697D">
        <w:rPr>
          <w:bCs/>
          <w:sz w:val="24"/>
          <w:szCs w:val="24"/>
          <w:shd w:val="clear" w:color="auto" w:fill="FFFFFF"/>
        </w:rPr>
        <w:t xml:space="preserve"> </w:t>
      </w:r>
      <w:r w:rsidR="0051416A" w:rsidRPr="00D5697D">
        <w:rPr>
          <w:bCs/>
          <w:sz w:val="24"/>
          <w:szCs w:val="24"/>
          <w:shd w:val="clear" w:color="auto" w:fill="FFFFFF"/>
        </w:rPr>
        <w:t xml:space="preserve">dificuldades </w:t>
      </w:r>
      <w:r w:rsidR="00B566DD" w:rsidRPr="00D5697D">
        <w:rPr>
          <w:bCs/>
          <w:sz w:val="24"/>
          <w:szCs w:val="24"/>
          <w:shd w:val="clear" w:color="auto" w:fill="FFFFFF"/>
        </w:rPr>
        <w:t>de marcha,</w:t>
      </w:r>
      <w:r w:rsidR="0051416A" w:rsidRPr="00D5697D">
        <w:rPr>
          <w:bCs/>
          <w:sz w:val="24"/>
          <w:szCs w:val="24"/>
          <w:shd w:val="clear" w:color="auto" w:fill="FFFFFF"/>
        </w:rPr>
        <w:t xml:space="preserve"> fala e </w:t>
      </w:r>
      <w:r w:rsidR="00B566DD" w:rsidRPr="00D5697D">
        <w:rPr>
          <w:bCs/>
          <w:sz w:val="24"/>
          <w:szCs w:val="24"/>
          <w:shd w:val="clear" w:color="auto" w:fill="FFFFFF"/>
        </w:rPr>
        <w:t>deglutição.</w:t>
      </w:r>
      <w:r w:rsidR="00646CAA" w:rsidRPr="00646CAA">
        <w:rPr>
          <w:bCs/>
          <w:sz w:val="24"/>
          <w:szCs w:val="24"/>
          <w:shd w:val="clear" w:color="auto" w:fill="FFFFFF"/>
          <w:vertAlign w:val="superscript"/>
        </w:rPr>
        <w:t>1,2</w:t>
      </w:r>
    </w:p>
    <w:p w14:paraId="5CDB15F1" w14:textId="53013A2E" w:rsidR="00C230D0" w:rsidRPr="00D5697D" w:rsidRDefault="00C230D0" w:rsidP="00B15D6D">
      <w:pPr>
        <w:shd w:val="clear" w:color="auto" w:fill="FFFFFF"/>
        <w:spacing w:line="480" w:lineRule="auto"/>
        <w:contextualSpacing w:val="0"/>
        <w:rPr>
          <w:bCs/>
          <w:sz w:val="24"/>
          <w:szCs w:val="24"/>
          <w:shd w:val="clear" w:color="auto" w:fill="FFFFFF"/>
        </w:rPr>
      </w:pPr>
      <w:r w:rsidRPr="00D5697D">
        <w:rPr>
          <w:bCs/>
          <w:sz w:val="24"/>
          <w:szCs w:val="24"/>
          <w:shd w:val="clear" w:color="auto" w:fill="FFFFFF"/>
        </w:rPr>
        <w:t xml:space="preserve">Estima-se que, em 2019, cerca de 50 milhões de pessoas em todo o mundo apresentavam </w:t>
      </w:r>
      <w:r w:rsidR="00E53781">
        <w:rPr>
          <w:bCs/>
          <w:sz w:val="24"/>
          <w:szCs w:val="24"/>
          <w:shd w:val="clear" w:color="auto" w:fill="FFFFFF"/>
        </w:rPr>
        <w:t xml:space="preserve">algum tipo de </w:t>
      </w:r>
      <w:r w:rsidRPr="00D5697D">
        <w:rPr>
          <w:bCs/>
          <w:sz w:val="24"/>
          <w:szCs w:val="24"/>
          <w:shd w:val="clear" w:color="auto" w:fill="FFFFFF"/>
        </w:rPr>
        <w:t xml:space="preserve">demência, </w:t>
      </w:r>
      <w:r w:rsidR="00F228C4" w:rsidRPr="00D5697D">
        <w:rPr>
          <w:bCs/>
          <w:sz w:val="24"/>
          <w:szCs w:val="24"/>
          <w:shd w:val="clear" w:color="auto" w:fill="FFFFFF"/>
        </w:rPr>
        <w:t>causando um impacto econômico global estimado de USD 818 bilhões</w:t>
      </w:r>
      <w:r w:rsidR="00E53781">
        <w:rPr>
          <w:bCs/>
          <w:sz w:val="24"/>
          <w:szCs w:val="24"/>
          <w:shd w:val="clear" w:color="auto" w:fill="FFFFFF"/>
        </w:rPr>
        <w:t xml:space="preserve">. Essa estimativa de </w:t>
      </w:r>
      <w:r w:rsidR="00F228C4" w:rsidRPr="00D5697D">
        <w:rPr>
          <w:bCs/>
          <w:sz w:val="24"/>
          <w:szCs w:val="24"/>
          <w:shd w:val="clear" w:color="auto" w:fill="FFFFFF"/>
        </w:rPr>
        <w:t xml:space="preserve">casos </w:t>
      </w:r>
      <w:r w:rsidRPr="00D5697D">
        <w:rPr>
          <w:bCs/>
          <w:sz w:val="24"/>
          <w:szCs w:val="24"/>
          <w:shd w:val="clear" w:color="auto" w:fill="FFFFFF"/>
        </w:rPr>
        <w:t xml:space="preserve">deve chegar a 82 milhões em 2030 e a 152 milhões até 2050, com expectativa de maior aumento em países de baixa e média renda. Desses casos de demência, 60-70% são atribuíveis à </w:t>
      </w:r>
      <w:r w:rsidR="00E53781">
        <w:rPr>
          <w:bCs/>
          <w:sz w:val="24"/>
          <w:szCs w:val="24"/>
          <w:shd w:val="clear" w:color="auto" w:fill="FFFFFF"/>
        </w:rPr>
        <w:t>DA</w:t>
      </w:r>
      <w:r w:rsidR="00646CAA">
        <w:rPr>
          <w:bCs/>
          <w:sz w:val="24"/>
          <w:szCs w:val="24"/>
          <w:shd w:val="clear" w:color="auto" w:fill="FFFFFF"/>
        </w:rPr>
        <w:t>.</w:t>
      </w:r>
      <w:r w:rsidR="00646CAA" w:rsidRPr="00646CAA">
        <w:rPr>
          <w:bCs/>
          <w:sz w:val="24"/>
          <w:szCs w:val="24"/>
          <w:shd w:val="clear" w:color="auto" w:fill="FFFFFF"/>
          <w:vertAlign w:val="superscript"/>
        </w:rPr>
        <w:t>3</w:t>
      </w:r>
    </w:p>
    <w:p w14:paraId="1000FEDD" w14:textId="3C3BA103" w:rsidR="00F33504" w:rsidRPr="00D5697D" w:rsidRDefault="00F33504" w:rsidP="00B15D6D">
      <w:pPr>
        <w:spacing w:line="480" w:lineRule="auto"/>
        <w:rPr>
          <w:bCs/>
          <w:color w:val="000000"/>
          <w:sz w:val="24"/>
          <w:szCs w:val="24"/>
          <w:shd w:val="clear" w:color="auto" w:fill="FFFFFF"/>
        </w:rPr>
      </w:pPr>
      <w:r w:rsidRPr="00D5697D">
        <w:rPr>
          <w:bCs/>
          <w:color w:val="000000"/>
          <w:sz w:val="24"/>
          <w:szCs w:val="24"/>
          <w:shd w:val="clear" w:color="auto" w:fill="FFFFFF"/>
        </w:rPr>
        <w:t>A etiologia da DA ainda não é totalmente conhecida, mas sabe-se que ocorre</w:t>
      </w:r>
      <w:r w:rsidRPr="00D5697D">
        <w:rPr>
          <w:bCs/>
          <w:sz w:val="24"/>
          <w:szCs w:val="24"/>
          <w:shd w:val="clear" w:color="auto" w:fill="FFFFFF"/>
        </w:rPr>
        <w:t xml:space="preserve"> acumulação extracelular de proteína </w:t>
      </w:r>
      <w:r w:rsidRPr="00D5697D">
        <w:rPr>
          <w:rFonts w:ascii="Symbol" w:hAnsi="Symbol"/>
          <w:bCs/>
          <w:sz w:val="24"/>
          <w:szCs w:val="24"/>
          <w:shd w:val="clear" w:color="auto" w:fill="FFFFFF"/>
        </w:rPr>
        <w:t>b</w:t>
      </w:r>
      <w:r w:rsidRPr="00D5697D">
        <w:rPr>
          <w:bCs/>
          <w:sz w:val="24"/>
          <w:szCs w:val="24"/>
          <w:shd w:val="clear" w:color="auto" w:fill="FFFFFF"/>
        </w:rPr>
        <w:t>-</w:t>
      </w:r>
      <w:r w:rsidR="0068587C" w:rsidRPr="00D5697D">
        <w:rPr>
          <w:bCs/>
          <w:sz w:val="24"/>
          <w:szCs w:val="24"/>
          <w:shd w:val="clear" w:color="auto" w:fill="FFFFFF"/>
        </w:rPr>
        <w:t>amiloide</w:t>
      </w:r>
      <w:r w:rsidRPr="00D5697D">
        <w:rPr>
          <w:bCs/>
          <w:sz w:val="24"/>
          <w:szCs w:val="24"/>
          <w:shd w:val="clear" w:color="auto" w:fill="FFFFFF"/>
        </w:rPr>
        <w:t xml:space="preserve"> (Aβ) agregada, acumulação intracelular da proteína tau hiperfosforilada, inflamação e redução do consumo </w:t>
      </w:r>
      <w:r w:rsidRPr="00D5697D">
        <w:rPr>
          <w:bCs/>
          <w:sz w:val="24"/>
          <w:szCs w:val="24"/>
          <w:shd w:val="clear" w:color="auto" w:fill="FFFFFF"/>
        </w:rPr>
        <w:lastRenderedPageBreak/>
        <w:t>cerebral de glicose.</w:t>
      </w:r>
      <w:r w:rsidR="00646CAA" w:rsidRPr="00646CAA">
        <w:rPr>
          <w:bCs/>
          <w:sz w:val="24"/>
          <w:szCs w:val="24"/>
          <w:shd w:val="clear" w:color="auto" w:fill="FFFFFF"/>
          <w:vertAlign w:val="superscript"/>
        </w:rPr>
        <w:t>4</w:t>
      </w:r>
      <w:r w:rsidRPr="00D5697D">
        <w:rPr>
          <w:bCs/>
          <w:sz w:val="24"/>
          <w:szCs w:val="24"/>
          <w:shd w:val="clear" w:color="auto" w:fill="FFFFFF"/>
        </w:rPr>
        <w:t xml:space="preserve"> As proteínas Aβ agregada e tau hiperfosforilada</w:t>
      </w:r>
      <w:r w:rsidRPr="00D5697D">
        <w:rPr>
          <w:bCs/>
          <w:color w:val="000000"/>
          <w:sz w:val="24"/>
          <w:szCs w:val="24"/>
          <w:shd w:val="clear" w:color="auto" w:fill="FFFFFF"/>
        </w:rPr>
        <w:t xml:space="preserve"> formam, respectivamente, placas senis e emaranhados neurofibrilares, que causam neurodegeneração.</w:t>
      </w:r>
      <w:r w:rsidR="00646CAA" w:rsidRPr="00646CAA">
        <w:rPr>
          <w:bCs/>
          <w:color w:val="000000"/>
          <w:sz w:val="24"/>
          <w:szCs w:val="24"/>
          <w:shd w:val="clear" w:color="auto" w:fill="FFFFFF"/>
          <w:vertAlign w:val="superscript"/>
        </w:rPr>
        <w:t>5</w:t>
      </w:r>
    </w:p>
    <w:p w14:paraId="745265EE" w14:textId="6BD88101" w:rsidR="00AE0FC1" w:rsidRPr="002B4680" w:rsidRDefault="003069B6" w:rsidP="00B15D6D">
      <w:pPr>
        <w:shd w:val="clear" w:color="auto" w:fill="FFFFFF"/>
        <w:spacing w:line="480" w:lineRule="auto"/>
        <w:contextualSpacing w:val="0"/>
        <w:rPr>
          <w:bCs/>
          <w:sz w:val="24"/>
          <w:szCs w:val="24"/>
          <w:shd w:val="clear" w:color="auto" w:fill="FFFFFF"/>
        </w:rPr>
      </w:pPr>
      <w:r w:rsidRPr="00D5697D">
        <w:rPr>
          <w:bCs/>
          <w:sz w:val="24"/>
          <w:szCs w:val="24"/>
          <w:shd w:val="clear" w:color="auto" w:fill="FFFFFF"/>
        </w:rPr>
        <w:t>A</w:t>
      </w:r>
      <w:r w:rsidR="0051416A" w:rsidRPr="00D5697D">
        <w:rPr>
          <w:bCs/>
          <w:sz w:val="24"/>
          <w:szCs w:val="24"/>
          <w:shd w:val="clear" w:color="auto" w:fill="FFFFFF"/>
        </w:rPr>
        <w:t xml:space="preserve"> idade é o</w:t>
      </w:r>
      <w:r w:rsidRPr="00D5697D">
        <w:rPr>
          <w:bCs/>
          <w:sz w:val="24"/>
          <w:szCs w:val="24"/>
          <w:shd w:val="clear" w:color="auto" w:fill="FFFFFF"/>
        </w:rPr>
        <w:t xml:space="preserve"> principal</w:t>
      </w:r>
      <w:r w:rsidR="0051416A" w:rsidRPr="00D5697D">
        <w:rPr>
          <w:bCs/>
          <w:sz w:val="24"/>
          <w:szCs w:val="24"/>
          <w:shd w:val="clear" w:color="auto" w:fill="FFFFFF"/>
        </w:rPr>
        <w:t xml:space="preserve"> fator de risco </w:t>
      </w:r>
      <w:r w:rsidRPr="00D5697D">
        <w:rPr>
          <w:bCs/>
          <w:sz w:val="24"/>
          <w:szCs w:val="24"/>
          <w:shd w:val="clear" w:color="auto" w:fill="FFFFFF"/>
        </w:rPr>
        <w:t>p</w:t>
      </w:r>
      <w:r w:rsidR="0051416A" w:rsidRPr="00D5697D">
        <w:rPr>
          <w:bCs/>
          <w:sz w:val="24"/>
          <w:szCs w:val="24"/>
          <w:shd w:val="clear" w:color="auto" w:fill="FFFFFF"/>
        </w:rPr>
        <w:t>ara a DA e outras demências</w:t>
      </w:r>
      <w:r w:rsidR="00E53781">
        <w:rPr>
          <w:bCs/>
          <w:sz w:val="24"/>
          <w:szCs w:val="24"/>
          <w:shd w:val="clear" w:color="auto" w:fill="FFFFFF"/>
        </w:rPr>
        <w:t>, sendo que</w:t>
      </w:r>
      <w:r w:rsidR="00E20E3B" w:rsidRPr="00D5697D">
        <w:rPr>
          <w:bCs/>
          <w:sz w:val="24"/>
          <w:szCs w:val="24"/>
          <w:shd w:val="clear" w:color="auto" w:fill="FFFFFF"/>
        </w:rPr>
        <w:t xml:space="preserve"> m</w:t>
      </w:r>
      <w:r w:rsidR="00AE0FC1" w:rsidRPr="00D5697D">
        <w:rPr>
          <w:bCs/>
          <w:sz w:val="24"/>
          <w:szCs w:val="24"/>
          <w:shd w:val="clear" w:color="auto" w:fill="FFFFFF"/>
        </w:rPr>
        <w:t xml:space="preserve">ulheres parecem ter maior predisposição ao desenvolvimento da doença </w:t>
      </w:r>
      <w:r w:rsidR="00E20E3B" w:rsidRPr="00D5697D">
        <w:rPr>
          <w:bCs/>
          <w:sz w:val="24"/>
          <w:szCs w:val="24"/>
          <w:shd w:val="clear" w:color="auto" w:fill="FFFFFF"/>
        </w:rPr>
        <w:t>em relação aos</w:t>
      </w:r>
      <w:r w:rsidR="00AE0FC1" w:rsidRPr="00D5697D">
        <w:rPr>
          <w:bCs/>
          <w:sz w:val="24"/>
          <w:szCs w:val="24"/>
          <w:shd w:val="clear" w:color="auto" w:fill="FFFFFF"/>
        </w:rPr>
        <w:t xml:space="preserve"> homens, o que pode estar relacionado à </w:t>
      </w:r>
      <w:r w:rsidR="00F228C4" w:rsidRPr="00D5697D">
        <w:rPr>
          <w:bCs/>
          <w:sz w:val="24"/>
          <w:szCs w:val="24"/>
          <w:shd w:val="clear" w:color="auto" w:fill="FFFFFF"/>
        </w:rPr>
        <w:t xml:space="preserve">sua </w:t>
      </w:r>
      <w:r w:rsidR="00AE0FC1" w:rsidRPr="00D5697D">
        <w:rPr>
          <w:bCs/>
          <w:sz w:val="24"/>
          <w:szCs w:val="24"/>
          <w:shd w:val="clear" w:color="auto" w:fill="FFFFFF"/>
        </w:rPr>
        <w:t xml:space="preserve">maior expectativa de vida. Os casos que ocorrem precocemente apresentam relação importante com </w:t>
      </w:r>
      <w:r w:rsidR="00F228C4" w:rsidRPr="00D5697D">
        <w:rPr>
          <w:bCs/>
          <w:sz w:val="24"/>
          <w:szCs w:val="24"/>
          <w:shd w:val="clear" w:color="auto" w:fill="FFFFFF"/>
        </w:rPr>
        <w:t xml:space="preserve">a </w:t>
      </w:r>
      <w:r w:rsidR="00AE0FC1" w:rsidRPr="00D5697D">
        <w:rPr>
          <w:bCs/>
          <w:sz w:val="24"/>
          <w:szCs w:val="24"/>
          <w:shd w:val="clear" w:color="auto" w:fill="FFFFFF"/>
        </w:rPr>
        <w:t xml:space="preserve">herança genética, apesar </w:t>
      </w:r>
      <w:r w:rsidR="00F228C4" w:rsidRPr="00D5697D">
        <w:rPr>
          <w:bCs/>
          <w:sz w:val="24"/>
          <w:szCs w:val="24"/>
          <w:shd w:val="clear" w:color="auto" w:fill="FFFFFF"/>
        </w:rPr>
        <w:t xml:space="preserve">de a DA </w:t>
      </w:r>
      <w:r w:rsidR="00AE0FC1" w:rsidRPr="00D5697D">
        <w:rPr>
          <w:bCs/>
          <w:sz w:val="24"/>
          <w:szCs w:val="24"/>
          <w:shd w:val="clear" w:color="auto" w:fill="FFFFFF"/>
        </w:rPr>
        <w:t>não ser considerada uma doença hereditária</w:t>
      </w:r>
      <w:r w:rsidR="00916540" w:rsidRPr="00D5697D">
        <w:rPr>
          <w:bCs/>
          <w:sz w:val="24"/>
          <w:szCs w:val="24"/>
          <w:shd w:val="clear" w:color="auto" w:fill="FFFFFF"/>
        </w:rPr>
        <w:t>.</w:t>
      </w:r>
      <w:r w:rsidR="00646CAA" w:rsidRPr="00646CAA">
        <w:rPr>
          <w:bCs/>
          <w:sz w:val="24"/>
          <w:szCs w:val="24"/>
          <w:shd w:val="clear" w:color="auto" w:fill="FFFFFF"/>
          <w:vertAlign w:val="superscript"/>
        </w:rPr>
        <w:t>1</w:t>
      </w:r>
      <w:r w:rsidR="007135F7" w:rsidRPr="00D5697D">
        <w:rPr>
          <w:bCs/>
          <w:sz w:val="24"/>
          <w:szCs w:val="24"/>
          <w:shd w:val="clear" w:color="auto" w:fill="FFFFFF"/>
        </w:rPr>
        <w:t xml:space="preserve"> </w:t>
      </w:r>
      <w:r w:rsidR="00D67326">
        <w:rPr>
          <w:bCs/>
          <w:sz w:val="24"/>
          <w:szCs w:val="24"/>
          <w:shd w:val="clear" w:color="auto" w:fill="FFFFFF"/>
        </w:rPr>
        <w:t xml:space="preserve">Outro importante fator de risco é o </w:t>
      </w:r>
      <w:r w:rsidR="00D67326" w:rsidRPr="00D67326">
        <w:rPr>
          <w:bCs/>
          <w:sz w:val="24"/>
          <w:szCs w:val="24"/>
          <w:shd w:val="clear" w:color="auto" w:fill="FFFFFF"/>
        </w:rPr>
        <w:t xml:space="preserve">estresse oxidativo, </w:t>
      </w:r>
      <w:r w:rsidR="00D67326">
        <w:rPr>
          <w:bCs/>
          <w:sz w:val="24"/>
          <w:szCs w:val="24"/>
          <w:shd w:val="clear" w:color="auto" w:fill="FFFFFF"/>
        </w:rPr>
        <w:t xml:space="preserve">que está associado a </w:t>
      </w:r>
      <w:r w:rsidR="00D67326" w:rsidRPr="00D67326">
        <w:rPr>
          <w:bCs/>
          <w:sz w:val="24"/>
          <w:szCs w:val="24"/>
          <w:shd w:val="clear" w:color="auto" w:fill="FFFFFF"/>
        </w:rPr>
        <w:t>neuroinflamação e disfunção mitocondrial, causa</w:t>
      </w:r>
      <w:r w:rsidR="00D67326">
        <w:rPr>
          <w:bCs/>
          <w:sz w:val="24"/>
          <w:szCs w:val="24"/>
          <w:shd w:val="clear" w:color="auto" w:fill="FFFFFF"/>
        </w:rPr>
        <w:t xml:space="preserve">ndo </w:t>
      </w:r>
      <w:r w:rsidR="00D67326" w:rsidRPr="00D67326">
        <w:rPr>
          <w:bCs/>
          <w:sz w:val="24"/>
          <w:szCs w:val="24"/>
          <w:shd w:val="clear" w:color="auto" w:fill="FFFFFF"/>
        </w:rPr>
        <w:t>neurodegeneração</w:t>
      </w:r>
      <w:r w:rsidR="00D67326">
        <w:rPr>
          <w:bCs/>
          <w:sz w:val="24"/>
          <w:szCs w:val="24"/>
          <w:shd w:val="clear" w:color="auto" w:fill="FFFFFF"/>
        </w:rPr>
        <w:t>.</w:t>
      </w:r>
      <w:r w:rsidR="00D67326" w:rsidRPr="00D67326">
        <w:rPr>
          <w:bCs/>
          <w:sz w:val="24"/>
          <w:szCs w:val="24"/>
          <w:shd w:val="clear" w:color="auto" w:fill="FFFFFF"/>
          <w:vertAlign w:val="superscript"/>
        </w:rPr>
        <w:t>5</w:t>
      </w:r>
      <w:r w:rsidR="00D67326">
        <w:rPr>
          <w:bCs/>
          <w:sz w:val="24"/>
          <w:szCs w:val="24"/>
          <w:shd w:val="clear" w:color="auto" w:fill="FFFFFF"/>
        </w:rPr>
        <w:t xml:space="preserve"> </w:t>
      </w:r>
      <w:r w:rsidR="007135F7" w:rsidRPr="00D5697D">
        <w:rPr>
          <w:bCs/>
          <w:sz w:val="24"/>
          <w:szCs w:val="24"/>
          <w:shd w:val="clear" w:color="auto" w:fill="FFFFFF"/>
        </w:rPr>
        <w:t>Fatores de risco adicionais incluem</w:t>
      </w:r>
      <w:r w:rsidR="00916540" w:rsidRPr="00D5697D">
        <w:rPr>
          <w:bCs/>
          <w:sz w:val="24"/>
          <w:szCs w:val="24"/>
          <w:shd w:val="clear" w:color="auto" w:fill="FFFFFF"/>
        </w:rPr>
        <w:t xml:space="preserve"> </w:t>
      </w:r>
      <w:r w:rsidR="007135F7" w:rsidRPr="00D5697D">
        <w:rPr>
          <w:bCs/>
          <w:sz w:val="24"/>
          <w:szCs w:val="24"/>
          <w:shd w:val="clear" w:color="auto" w:fill="FFFFFF"/>
        </w:rPr>
        <w:t>depressão, baixa escolaridade, isolamento social</w:t>
      </w:r>
      <w:r w:rsidR="00916540" w:rsidRPr="00D5697D">
        <w:rPr>
          <w:bCs/>
          <w:sz w:val="24"/>
          <w:szCs w:val="24"/>
          <w:shd w:val="clear" w:color="auto" w:fill="FFFFFF"/>
        </w:rPr>
        <w:t xml:space="preserve">, </w:t>
      </w:r>
      <w:r w:rsidR="007135F7" w:rsidRPr="00D5697D">
        <w:rPr>
          <w:bCs/>
          <w:sz w:val="24"/>
          <w:szCs w:val="24"/>
          <w:shd w:val="clear" w:color="auto" w:fill="FFFFFF"/>
        </w:rPr>
        <w:t>inatividade cognitiva</w:t>
      </w:r>
      <w:r w:rsidR="00916540" w:rsidRPr="00D5697D">
        <w:rPr>
          <w:bCs/>
          <w:sz w:val="24"/>
          <w:szCs w:val="24"/>
          <w:shd w:val="clear" w:color="auto" w:fill="FFFFFF"/>
        </w:rPr>
        <w:t>, hipertensão arterial, dislipidemia e hiperglicemia</w:t>
      </w:r>
      <w:r w:rsidR="00D67326">
        <w:rPr>
          <w:bCs/>
          <w:sz w:val="24"/>
          <w:szCs w:val="24"/>
          <w:shd w:val="clear" w:color="auto" w:fill="FFFFFF"/>
        </w:rPr>
        <w:t xml:space="preserve">, </w:t>
      </w:r>
      <w:r w:rsidR="0047104E">
        <w:rPr>
          <w:bCs/>
          <w:sz w:val="24"/>
          <w:szCs w:val="24"/>
          <w:shd w:val="clear" w:color="auto" w:fill="FFFFFF"/>
        </w:rPr>
        <w:t xml:space="preserve">sendo que </w:t>
      </w:r>
      <w:r w:rsidR="00D67326">
        <w:rPr>
          <w:bCs/>
          <w:sz w:val="24"/>
          <w:szCs w:val="24"/>
          <w:shd w:val="clear" w:color="auto" w:fill="FFFFFF"/>
        </w:rPr>
        <w:t xml:space="preserve">estes dois últimos </w:t>
      </w:r>
      <w:r w:rsidR="00E3536D">
        <w:rPr>
          <w:bCs/>
          <w:sz w:val="24"/>
          <w:szCs w:val="24"/>
          <w:shd w:val="clear" w:color="auto" w:fill="FFFFFF"/>
        </w:rPr>
        <w:t xml:space="preserve">também </w:t>
      </w:r>
      <w:r w:rsidR="0047104E">
        <w:rPr>
          <w:bCs/>
          <w:sz w:val="24"/>
          <w:szCs w:val="24"/>
          <w:shd w:val="clear" w:color="auto" w:fill="FFFFFF"/>
        </w:rPr>
        <w:t xml:space="preserve">estão </w:t>
      </w:r>
      <w:r w:rsidR="00D67326">
        <w:rPr>
          <w:bCs/>
          <w:sz w:val="24"/>
          <w:szCs w:val="24"/>
          <w:shd w:val="clear" w:color="auto" w:fill="FFFFFF"/>
        </w:rPr>
        <w:t>relacionados ao estresse oxidativo</w:t>
      </w:r>
      <w:r w:rsidR="00162F56" w:rsidRPr="00D5697D">
        <w:rPr>
          <w:bCs/>
          <w:sz w:val="24"/>
          <w:szCs w:val="24"/>
          <w:shd w:val="clear" w:color="auto" w:fill="FFFFFF"/>
        </w:rPr>
        <w:t>.</w:t>
      </w:r>
      <w:r w:rsidR="002B4680" w:rsidRPr="002B4680">
        <w:rPr>
          <w:bCs/>
          <w:sz w:val="24"/>
          <w:szCs w:val="24"/>
          <w:shd w:val="clear" w:color="auto" w:fill="FFFFFF"/>
        </w:rPr>
        <w:t xml:space="preserve"> </w:t>
      </w:r>
      <w:r w:rsidR="002B4680" w:rsidRPr="00D5697D">
        <w:rPr>
          <w:bCs/>
          <w:sz w:val="24"/>
          <w:szCs w:val="24"/>
          <w:shd w:val="clear" w:color="auto" w:fill="FFFFFF"/>
        </w:rPr>
        <w:t xml:space="preserve">Estudos mostram que é possível reduzir o risco de demência modificando o estilo de vida, com a prática regular de exercícios, controle de peso, alimentação saudável e evitando o </w:t>
      </w:r>
      <w:r w:rsidR="002B4680">
        <w:rPr>
          <w:bCs/>
          <w:sz w:val="24"/>
          <w:szCs w:val="24"/>
          <w:shd w:val="clear" w:color="auto" w:fill="FFFFFF"/>
        </w:rPr>
        <w:t>tabagismo</w:t>
      </w:r>
      <w:r w:rsidR="002B4680" w:rsidRPr="00D5697D">
        <w:rPr>
          <w:bCs/>
          <w:sz w:val="24"/>
          <w:szCs w:val="24"/>
          <w:shd w:val="clear" w:color="auto" w:fill="FFFFFF"/>
        </w:rPr>
        <w:t xml:space="preserve"> e o uso excessivo de </w:t>
      </w:r>
      <w:r w:rsidR="002B4680">
        <w:rPr>
          <w:bCs/>
          <w:sz w:val="24"/>
          <w:szCs w:val="24"/>
          <w:shd w:val="clear" w:color="auto" w:fill="FFFFFF"/>
        </w:rPr>
        <w:t>bebidas alcoólicas</w:t>
      </w:r>
      <w:r w:rsidR="002B4680" w:rsidRPr="00D5697D">
        <w:rPr>
          <w:bCs/>
          <w:sz w:val="24"/>
          <w:szCs w:val="24"/>
          <w:shd w:val="clear" w:color="auto" w:fill="FFFFFF"/>
        </w:rPr>
        <w:t>.</w:t>
      </w:r>
      <w:r w:rsidR="002B4680" w:rsidRPr="002B4680">
        <w:rPr>
          <w:bCs/>
          <w:sz w:val="24"/>
          <w:szCs w:val="24"/>
          <w:shd w:val="clear" w:color="auto" w:fill="FFFFFF"/>
          <w:vertAlign w:val="superscript"/>
        </w:rPr>
        <w:t xml:space="preserve"> </w:t>
      </w:r>
      <w:r w:rsidR="002B4680" w:rsidRPr="00646CAA">
        <w:rPr>
          <w:bCs/>
          <w:sz w:val="24"/>
          <w:szCs w:val="24"/>
          <w:shd w:val="clear" w:color="auto" w:fill="FFFFFF"/>
          <w:vertAlign w:val="superscript"/>
        </w:rPr>
        <w:t>3</w:t>
      </w:r>
    </w:p>
    <w:p w14:paraId="6BF458B4" w14:textId="789195C9" w:rsidR="004867F5" w:rsidRPr="00D5697D" w:rsidRDefault="00B01C76" w:rsidP="00B15D6D">
      <w:pPr>
        <w:spacing w:line="480" w:lineRule="auto"/>
        <w:rPr>
          <w:bCs/>
          <w:sz w:val="24"/>
          <w:szCs w:val="24"/>
          <w:shd w:val="clear" w:color="auto" w:fill="FFFFFF"/>
        </w:rPr>
      </w:pPr>
      <w:r w:rsidRPr="00D5697D">
        <w:rPr>
          <w:bCs/>
          <w:sz w:val="24"/>
          <w:szCs w:val="24"/>
          <w:shd w:val="clear" w:color="auto" w:fill="FFFFFF"/>
        </w:rPr>
        <w:t xml:space="preserve">Especificamente quanto ao fator de risco que envolve a glicemia, </w:t>
      </w:r>
      <w:r w:rsidR="002B4680">
        <w:rPr>
          <w:bCs/>
          <w:sz w:val="24"/>
          <w:szCs w:val="24"/>
          <w:shd w:val="clear" w:color="auto" w:fill="FFFFFF"/>
        </w:rPr>
        <w:t xml:space="preserve">uma </w:t>
      </w:r>
      <w:r w:rsidRPr="00D5697D">
        <w:rPr>
          <w:bCs/>
          <w:sz w:val="24"/>
          <w:szCs w:val="24"/>
          <w:shd w:val="clear" w:color="auto" w:fill="FFFFFF"/>
        </w:rPr>
        <w:t>p</w:t>
      </w:r>
      <w:r w:rsidR="0062709B" w:rsidRPr="00D5697D">
        <w:rPr>
          <w:bCs/>
          <w:sz w:val="24"/>
          <w:szCs w:val="24"/>
          <w:shd w:val="clear" w:color="auto" w:fill="FFFFFF"/>
        </w:rPr>
        <w:t>esquisa</w:t>
      </w:r>
      <w:r w:rsidRPr="00D5697D">
        <w:rPr>
          <w:bCs/>
          <w:sz w:val="24"/>
          <w:szCs w:val="24"/>
          <w:shd w:val="clear" w:color="auto" w:fill="FFFFFF"/>
        </w:rPr>
        <w:t xml:space="preserve"> </w:t>
      </w:r>
      <w:r w:rsidR="004867F5" w:rsidRPr="00D5697D">
        <w:rPr>
          <w:bCs/>
          <w:sz w:val="24"/>
          <w:szCs w:val="24"/>
          <w:shd w:val="clear" w:color="auto" w:fill="FFFFFF"/>
        </w:rPr>
        <w:t>recente demonstr</w:t>
      </w:r>
      <w:r w:rsidR="002B4680">
        <w:rPr>
          <w:bCs/>
          <w:sz w:val="24"/>
          <w:szCs w:val="24"/>
          <w:shd w:val="clear" w:color="auto" w:fill="FFFFFF"/>
        </w:rPr>
        <w:t>ou</w:t>
      </w:r>
      <w:r w:rsidR="004867F5" w:rsidRPr="00D5697D">
        <w:rPr>
          <w:bCs/>
          <w:sz w:val="24"/>
          <w:szCs w:val="24"/>
          <w:shd w:val="clear" w:color="auto" w:fill="FFFFFF"/>
        </w:rPr>
        <w:t xml:space="preserve"> </w:t>
      </w:r>
      <w:r w:rsidR="0062709B" w:rsidRPr="00D5697D">
        <w:rPr>
          <w:bCs/>
          <w:sz w:val="24"/>
          <w:szCs w:val="24"/>
          <w:shd w:val="clear" w:color="auto" w:fill="FFFFFF"/>
        </w:rPr>
        <w:t>possíveis associações entre</w:t>
      </w:r>
      <w:r w:rsidR="004867F5" w:rsidRPr="00D5697D">
        <w:rPr>
          <w:bCs/>
          <w:sz w:val="24"/>
          <w:szCs w:val="24"/>
          <w:shd w:val="clear" w:color="auto" w:fill="FFFFFF"/>
        </w:rPr>
        <w:t xml:space="preserve"> diabetes mellitus tipo 2 (DM2)</w:t>
      </w:r>
      <w:r w:rsidR="0062709B" w:rsidRPr="00D5697D">
        <w:rPr>
          <w:bCs/>
          <w:sz w:val="24"/>
          <w:szCs w:val="24"/>
          <w:shd w:val="clear" w:color="auto" w:fill="FFFFFF"/>
        </w:rPr>
        <w:t xml:space="preserve"> e DA</w:t>
      </w:r>
      <w:r w:rsidR="004867F5" w:rsidRPr="00D5697D">
        <w:rPr>
          <w:bCs/>
          <w:sz w:val="24"/>
          <w:szCs w:val="24"/>
          <w:shd w:val="clear" w:color="auto" w:fill="FFFFFF"/>
        </w:rPr>
        <w:t>, uma vez que amb</w:t>
      </w:r>
      <w:r w:rsidR="0062709B" w:rsidRPr="00D5697D">
        <w:rPr>
          <w:bCs/>
          <w:sz w:val="24"/>
          <w:szCs w:val="24"/>
          <w:shd w:val="clear" w:color="auto" w:fill="FFFFFF"/>
        </w:rPr>
        <w:t>a</w:t>
      </w:r>
      <w:r w:rsidR="004867F5" w:rsidRPr="00D5697D">
        <w:rPr>
          <w:bCs/>
          <w:sz w:val="24"/>
          <w:szCs w:val="24"/>
          <w:shd w:val="clear" w:color="auto" w:fill="FFFFFF"/>
        </w:rPr>
        <w:t xml:space="preserve">s envolvem </w:t>
      </w:r>
      <w:r w:rsidR="0062709B" w:rsidRPr="00D5697D">
        <w:rPr>
          <w:bCs/>
          <w:sz w:val="24"/>
          <w:szCs w:val="24"/>
          <w:shd w:val="clear" w:color="auto" w:fill="FFFFFF"/>
        </w:rPr>
        <w:t>mecanismos fisiopatológicos em comum</w:t>
      </w:r>
      <w:r w:rsidRPr="00D5697D">
        <w:rPr>
          <w:bCs/>
          <w:sz w:val="24"/>
          <w:szCs w:val="24"/>
          <w:shd w:val="clear" w:color="auto" w:fill="FFFFFF"/>
        </w:rPr>
        <w:t xml:space="preserve">, como a redução </w:t>
      </w:r>
      <w:r w:rsidR="00A0202B" w:rsidRPr="00D5697D">
        <w:rPr>
          <w:bCs/>
          <w:sz w:val="24"/>
          <w:szCs w:val="24"/>
          <w:shd w:val="clear" w:color="auto" w:fill="FFFFFF"/>
        </w:rPr>
        <w:t xml:space="preserve">crônica </w:t>
      </w:r>
      <w:r w:rsidRPr="00D5697D">
        <w:rPr>
          <w:bCs/>
          <w:sz w:val="24"/>
          <w:szCs w:val="24"/>
          <w:shd w:val="clear" w:color="auto" w:fill="FFFFFF"/>
        </w:rPr>
        <w:t>da utilização de glicose pelas células</w:t>
      </w:r>
      <w:r w:rsidR="003435C7" w:rsidRPr="00D5697D">
        <w:rPr>
          <w:bCs/>
          <w:sz w:val="24"/>
          <w:szCs w:val="24"/>
          <w:shd w:val="clear" w:color="auto" w:fill="FFFFFF"/>
        </w:rPr>
        <w:t xml:space="preserve">. </w:t>
      </w:r>
      <w:r w:rsidR="0062709B" w:rsidRPr="00D5697D">
        <w:rPr>
          <w:bCs/>
          <w:sz w:val="24"/>
          <w:szCs w:val="24"/>
          <w:shd w:val="clear" w:color="auto" w:fill="FFFFFF"/>
        </w:rPr>
        <w:t xml:space="preserve">Ensaios clínicos </w:t>
      </w:r>
      <w:r w:rsidR="002B4680">
        <w:rPr>
          <w:bCs/>
          <w:sz w:val="24"/>
          <w:szCs w:val="24"/>
          <w:shd w:val="clear" w:color="auto" w:fill="FFFFFF"/>
        </w:rPr>
        <w:t>têm avaliado</w:t>
      </w:r>
      <w:r w:rsidR="0062709B" w:rsidRPr="00D5697D">
        <w:rPr>
          <w:bCs/>
          <w:sz w:val="24"/>
          <w:szCs w:val="24"/>
          <w:shd w:val="clear" w:color="auto" w:fill="FFFFFF"/>
        </w:rPr>
        <w:t xml:space="preserve"> a eficácia de medicamentos hipoglicemiantes em </w:t>
      </w:r>
      <w:r w:rsidRPr="00D5697D">
        <w:rPr>
          <w:bCs/>
          <w:sz w:val="24"/>
          <w:szCs w:val="24"/>
          <w:shd w:val="clear" w:color="auto" w:fill="FFFFFF"/>
        </w:rPr>
        <w:t>modelos animais</w:t>
      </w:r>
      <w:r w:rsidR="0062709B" w:rsidRPr="00D5697D">
        <w:rPr>
          <w:bCs/>
          <w:sz w:val="24"/>
          <w:szCs w:val="24"/>
          <w:shd w:val="clear" w:color="auto" w:fill="FFFFFF"/>
        </w:rPr>
        <w:t xml:space="preserve"> com DA</w:t>
      </w:r>
      <w:r w:rsidR="002B4680">
        <w:rPr>
          <w:bCs/>
          <w:sz w:val="24"/>
          <w:szCs w:val="24"/>
          <w:shd w:val="clear" w:color="auto" w:fill="FFFFFF"/>
        </w:rPr>
        <w:t>; enquanto e</w:t>
      </w:r>
      <w:r w:rsidRPr="00D5697D">
        <w:rPr>
          <w:bCs/>
          <w:sz w:val="24"/>
          <w:szCs w:val="24"/>
          <w:shd w:val="clear" w:color="auto" w:fill="FFFFFF"/>
        </w:rPr>
        <w:t xml:space="preserve">studos epidemiológicos </w:t>
      </w:r>
      <w:r w:rsidR="0048401C">
        <w:rPr>
          <w:bCs/>
          <w:sz w:val="24"/>
          <w:szCs w:val="24"/>
          <w:shd w:val="clear" w:color="auto" w:fill="FFFFFF"/>
        </w:rPr>
        <w:t>sugerem</w:t>
      </w:r>
      <w:r w:rsidRPr="00D5697D">
        <w:rPr>
          <w:bCs/>
          <w:sz w:val="24"/>
          <w:szCs w:val="24"/>
          <w:shd w:val="clear" w:color="auto" w:fill="FFFFFF"/>
        </w:rPr>
        <w:t xml:space="preserve"> que </w:t>
      </w:r>
      <w:r w:rsidR="0048401C">
        <w:rPr>
          <w:bCs/>
          <w:sz w:val="24"/>
          <w:szCs w:val="24"/>
          <w:shd w:val="clear" w:color="auto" w:fill="FFFFFF"/>
        </w:rPr>
        <w:t xml:space="preserve">a </w:t>
      </w:r>
      <w:r w:rsidRPr="00D5697D">
        <w:rPr>
          <w:bCs/>
          <w:sz w:val="24"/>
          <w:szCs w:val="24"/>
          <w:shd w:val="clear" w:color="auto" w:fill="FFFFFF"/>
        </w:rPr>
        <w:t xml:space="preserve">DM2 aumenta o risco de </w:t>
      </w:r>
      <w:r w:rsidR="0048401C">
        <w:rPr>
          <w:bCs/>
          <w:sz w:val="24"/>
          <w:szCs w:val="24"/>
          <w:shd w:val="clear" w:color="auto" w:fill="FFFFFF"/>
        </w:rPr>
        <w:t xml:space="preserve">desenvolvimento de </w:t>
      </w:r>
      <w:r w:rsidRPr="00D5697D">
        <w:rPr>
          <w:bCs/>
          <w:sz w:val="24"/>
          <w:szCs w:val="24"/>
          <w:shd w:val="clear" w:color="auto" w:fill="FFFFFF"/>
        </w:rPr>
        <w:t>DA</w:t>
      </w:r>
      <w:r w:rsidR="000B7A7F" w:rsidRPr="00D5697D">
        <w:rPr>
          <w:bCs/>
          <w:sz w:val="24"/>
          <w:szCs w:val="24"/>
          <w:shd w:val="clear" w:color="auto" w:fill="FFFFFF"/>
        </w:rPr>
        <w:t>.</w:t>
      </w:r>
      <w:r w:rsidR="001368E2" w:rsidRPr="00795EE1">
        <w:rPr>
          <w:bCs/>
          <w:sz w:val="24"/>
          <w:szCs w:val="24"/>
          <w:shd w:val="clear" w:color="auto" w:fill="FFFFFF"/>
          <w:vertAlign w:val="superscript"/>
        </w:rPr>
        <w:t>4</w:t>
      </w:r>
      <w:r w:rsidR="00795EE1" w:rsidRPr="00795EE1">
        <w:rPr>
          <w:bCs/>
          <w:sz w:val="24"/>
          <w:szCs w:val="24"/>
          <w:shd w:val="clear" w:color="auto" w:fill="FFFFFF"/>
        </w:rPr>
        <w:t xml:space="preserve"> A resistência à insulina, um aspecto chave da DM2, está associada à inflamação, </w:t>
      </w:r>
      <w:r w:rsidR="00795EE1">
        <w:rPr>
          <w:bCs/>
          <w:sz w:val="24"/>
          <w:szCs w:val="24"/>
          <w:shd w:val="clear" w:color="auto" w:fill="FFFFFF"/>
        </w:rPr>
        <w:t xml:space="preserve">causada por </w:t>
      </w:r>
      <w:r w:rsidR="00795EE1" w:rsidRPr="00795EE1">
        <w:rPr>
          <w:bCs/>
          <w:sz w:val="24"/>
          <w:szCs w:val="24"/>
          <w:shd w:val="clear" w:color="auto" w:fill="FFFFFF"/>
        </w:rPr>
        <w:t xml:space="preserve">níveis </w:t>
      </w:r>
      <w:r w:rsidR="00795EE1" w:rsidRPr="00795EE1">
        <w:rPr>
          <w:bCs/>
          <w:sz w:val="24"/>
          <w:szCs w:val="24"/>
          <w:shd w:val="clear" w:color="auto" w:fill="FFFFFF"/>
        </w:rPr>
        <w:lastRenderedPageBreak/>
        <w:t>elevados dos mediadores inflamatórios interleucina-6 (IL-6), Proteína C-reativa (PCR) e α-1-antiquimiotripsina.</w:t>
      </w:r>
      <w:r w:rsidR="003870F1">
        <w:rPr>
          <w:bCs/>
          <w:sz w:val="24"/>
          <w:szCs w:val="24"/>
          <w:shd w:val="clear" w:color="auto" w:fill="FFFFFF"/>
        </w:rPr>
        <w:t>Além disso, na DM2, p</w:t>
      </w:r>
      <w:r w:rsidR="003870F1" w:rsidRPr="003870F1">
        <w:rPr>
          <w:bCs/>
          <w:sz w:val="24"/>
          <w:szCs w:val="24"/>
          <w:shd w:val="clear" w:color="auto" w:fill="FFFFFF"/>
        </w:rPr>
        <w:t xml:space="preserve">rodutos finais de glicação avançada (AGEs) </w:t>
      </w:r>
      <w:r w:rsidR="003870F1">
        <w:rPr>
          <w:bCs/>
          <w:sz w:val="24"/>
          <w:szCs w:val="24"/>
          <w:shd w:val="clear" w:color="auto" w:fill="FFFFFF"/>
        </w:rPr>
        <w:t>apresentam um</w:t>
      </w:r>
      <w:r w:rsidR="003870F1" w:rsidRPr="003870F1">
        <w:rPr>
          <w:bCs/>
          <w:sz w:val="24"/>
          <w:szCs w:val="24"/>
          <w:shd w:val="clear" w:color="auto" w:fill="FFFFFF"/>
        </w:rPr>
        <w:t xml:space="preserve"> taxa de acumulação</w:t>
      </w:r>
      <w:r w:rsidR="003870F1">
        <w:rPr>
          <w:bCs/>
          <w:sz w:val="24"/>
          <w:szCs w:val="24"/>
          <w:shd w:val="clear" w:color="auto" w:fill="FFFFFF"/>
        </w:rPr>
        <w:t xml:space="preserve"> nas células </w:t>
      </w:r>
      <w:r w:rsidR="003870F1" w:rsidRPr="003870F1">
        <w:rPr>
          <w:bCs/>
          <w:sz w:val="24"/>
          <w:szCs w:val="24"/>
          <w:shd w:val="clear" w:color="auto" w:fill="FFFFFF"/>
        </w:rPr>
        <w:t>significativamente mais elevada. Uma maior formação de</w:t>
      </w:r>
      <w:r w:rsidR="003870F1">
        <w:rPr>
          <w:bCs/>
          <w:sz w:val="24"/>
          <w:szCs w:val="24"/>
          <w:shd w:val="clear" w:color="auto" w:fill="FFFFFF"/>
        </w:rPr>
        <w:t xml:space="preserve"> </w:t>
      </w:r>
      <w:r w:rsidR="003870F1" w:rsidRPr="003870F1">
        <w:rPr>
          <w:bCs/>
          <w:sz w:val="24"/>
          <w:szCs w:val="24"/>
          <w:shd w:val="clear" w:color="auto" w:fill="FFFFFF"/>
        </w:rPr>
        <w:t xml:space="preserve">AGEs também é encontrada na DA, </w:t>
      </w:r>
      <w:r w:rsidR="003870F1">
        <w:rPr>
          <w:bCs/>
          <w:sz w:val="24"/>
          <w:szCs w:val="24"/>
          <w:shd w:val="clear" w:color="auto" w:fill="FFFFFF"/>
        </w:rPr>
        <w:t xml:space="preserve">tendo como </w:t>
      </w:r>
      <w:r w:rsidR="003870F1" w:rsidRPr="003870F1">
        <w:rPr>
          <w:bCs/>
          <w:sz w:val="24"/>
          <w:szCs w:val="24"/>
          <w:shd w:val="clear" w:color="auto" w:fill="FFFFFF"/>
        </w:rPr>
        <w:t>consequências metabólicas estresse oxidativo, hipometabolismo de glicose e função celular prejudicada.</w:t>
      </w:r>
      <w:r w:rsidR="00795EE1" w:rsidRPr="00795EE1">
        <w:rPr>
          <w:bCs/>
          <w:sz w:val="24"/>
          <w:szCs w:val="24"/>
          <w:shd w:val="clear" w:color="auto" w:fill="FFFFFF"/>
          <w:vertAlign w:val="superscript"/>
        </w:rPr>
        <w:t>6</w:t>
      </w:r>
    </w:p>
    <w:p w14:paraId="4C220B37" w14:textId="528BC79A" w:rsidR="002B4680" w:rsidRDefault="002B4680" w:rsidP="002B4680">
      <w:pPr>
        <w:spacing w:line="480" w:lineRule="auto"/>
        <w:rPr>
          <w:bCs/>
          <w:sz w:val="24"/>
          <w:szCs w:val="24"/>
          <w:shd w:val="clear" w:color="auto" w:fill="FFFFFF"/>
        </w:rPr>
      </w:pPr>
      <w:r w:rsidRPr="00D5697D">
        <w:rPr>
          <w:bCs/>
          <w:sz w:val="24"/>
          <w:szCs w:val="24"/>
          <w:shd w:val="clear" w:color="auto" w:fill="FFFFFF"/>
        </w:rPr>
        <w:t xml:space="preserve">A dieta mediterrânea </w:t>
      </w:r>
      <w:r>
        <w:rPr>
          <w:bCs/>
          <w:sz w:val="24"/>
          <w:szCs w:val="24"/>
          <w:shd w:val="clear" w:color="auto" w:fill="FFFFFF"/>
        </w:rPr>
        <w:t>(M</w:t>
      </w:r>
      <w:r w:rsidR="0047104E">
        <w:rPr>
          <w:bCs/>
          <w:sz w:val="24"/>
          <w:szCs w:val="24"/>
          <w:shd w:val="clear" w:color="auto" w:fill="FFFFFF"/>
        </w:rPr>
        <w:t>e</w:t>
      </w:r>
      <w:r>
        <w:rPr>
          <w:bCs/>
          <w:sz w:val="24"/>
          <w:szCs w:val="24"/>
          <w:shd w:val="clear" w:color="auto" w:fill="FFFFFF"/>
        </w:rPr>
        <w:t>D</w:t>
      </w:r>
      <w:r w:rsidR="0047104E">
        <w:rPr>
          <w:bCs/>
          <w:sz w:val="24"/>
          <w:szCs w:val="24"/>
          <w:shd w:val="clear" w:color="auto" w:fill="FFFFFF"/>
        </w:rPr>
        <w:t>i</w:t>
      </w:r>
      <w:r>
        <w:rPr>
          <w:bCs/>
          <w:sz w:val="24"/>
          <w:szCs w:val="24"/>
          <w:shd w:val="clear" w:color="auto" w:fill="FFFFFF"/>
        </w:rPr>
        <w:t xml:space="preserve">) </w:t>
      </w:r>
      <w:r w:rsidRPr="00D5697D">
        <w:rPr>
          <w:bCs/>
          <w:sz w:val="24"/>
          <w:szCs w:val="24"/>
          <w:shd w:val="clear" w:color="auto" w:fill="FFFFFF"/>
        </w:rPr>
        <w:t>e</w:t>
      </w:r>
      <w:r>
        <w:rPr>
          <w:bCs/>
          <w:sz w:val="24"/>
          <w:szCs w:val="24"/>
          <w:shd w:val="clear" w:color="auto" w:fill="FFFFFF"/>
        </w:rPr>
        <w:t xml:space="preserve"> a ingestão de</w:t>
      </w:r>
      <w:r w:rsidRPr="00D5697D">
        <w:rPr>
          <w:bCs/>
          <w:sz w:val="24"/>
          <w:szCs w:val="24"/>
          <w:shd w:val="clear" w:color="auto" w:fill="FFFFFF"/>
        </w:rPr>
        <w:t xml:space="preserve"> seus principais componentes têm sido inversamente associados à incidência de</w:t>
      </w:r>
      <w:r>
        <w:rPr>
          <w:bCs/>
          <w:sz w:val="24"/>
          <w:szCs w:val="24"/>
          <w:shd w:val="clear" w:color="auto" w:fill="FFFFFF"/>
        </w:rPr>
        <w:t xml:space="preserve"> estresse oxidativo,</w:t>
      </w:r>
      <w:r w:rsidRPr="00D5697D">
        <w:rPr>
          <w:bCs/>
          <w:sz w:val="24"/>
          <w:szCs w:val="24"/>
          <w:shd w:val="clear" w:color="auto" w:fill="FFFFFF"/>
        </w:rPr>
        <w:t xml:space="preserve"> resistência à insulina e DM2. Essas associações podem ser atribuídas à elevada quantidade de polifenóis e substâncias bioativas presentes na M</w:t>
      </w:r>
      <w:r w:rsidR="0047104E">
        <w:rPr>
          <w:bCs/>
          <w:sz w:val="24"/>
          <w:szCs w:val="24"/>
          <w:shd w:val="clear" w:color="auto" w:fill="FFFFFF"/>
        </w:rPr>
        <w:t>e</w:t>
      </w:r>
      <w:r w:rsidRPr="00D5697D">
        <w:rPr>
          <w:bCs/>
          <w:sz w:val="24"/>
          <w:szCs w:val="24"/>
          <w:shd w:val="clear" w:color="auto" w:fill="FFFFFF"/>
        </w:rPr>
        <w:t>D</w:t>
      </w:r>
      <w:r w:rsidR="0047104E">
        <w:rPr>
          <w:bCs/>
          <w:sz w:val="24"/>
          <w:szCs w:val="24"/>
          <w:shd w:val="clear" w:color="auto" w:fill="FFFFFF"/>
        </w:rPr>
        <w:t>i</w:t>
      </w:r>
      <w:r w:rsidRPr="00D5697D">
        <w:rPr>
          <w:bCs/>
          <w:sz w:val="24"/>
          <w:szCs w:val="24"/>
          <w:shd w:val="clear" w:color="auto" w:fill="FFFFFF"/>
        </w:rPr>
        <w:t xml:space="preserve">, que agem sinergicamente sobre várias vias metabólicas, levando a uma redução do risco de doenças </w:t>
      </w:r>
      <w:r w:rsidR="0047104E">
        <w:rPr>
          <w:bCs/>
          <w:sz w:val="24"/>
          <w:szCs w:val="24"/>
          <w:shd w:val="clear" w:color="auto" w:fill="FFFFFF"/>
        </w:rPr>
        <w:t>inflamatórias</w:t>
      </w:r>
      <w:r w:rsidRPr="00D5697D">
        <w:rPr>
          <w:bCs/>
          <w:sz w:val="24"/>
          <w:szCs w:val="24"/>
          <w:shd w:val="clear" w:color="auto" w:fill="FFFFFF"/>
        </w:rPr>
        <w:t>.</w:t>
      </w:r>
      <w:r w:rsidRPr="002B4680">
        <w:rPr>
          <w:bCs/>
          <w:sz w:val="24"/>
          <w:szCs w:val="24"/>
          <w:shd w:val="clear" w:color="auto" w:fill="FFFFFF"/>
          <w:vertAlign w:val="superscript"/>
        </w:rPr>
        <w:t>7,8</w:t>
      </w:r>
      <w:r w:rsidR="00795EE1">
        <w:rPr>
          <w:bCs/>
          <w:sz w:val="24"/>
          <w:szCs w:val="24"/>
          <w:shd w:val="clear" w:color="auto" w:fill="FFFFFF"/>
          <w:vertAlign w:val="superscript"/>
        </w:rPr>
        <w:t>,9</w:t>
      </w:r>
      <w:r w:rsidRPr="00D5697D">
        <w:rPr>
          <w:bCs/>
          <w:sz w:val="24"/>
          <w:szCs w:val="24"/>
          <w:shd w:val="clear" w:color="auto" w:fill="FFFFFF"/>
        </w:rPr>
        <w:t xml:space="preserve"> </w:t>
      </w:r>
    </w:p>
    <w:p w14:paraId="3BD9FF8C" w14:textId="4A5A82CC" w:rsidR="00D848E8" w:rsidRDefault="00CF636F" w:rsidP="00B15D6D">
      <w:pPr>
        <w:spacing w:line="480" w:lineRule="auto"/>
        <w:rPr>
          <w:bCs/>
          <w:sz w:val="24"/>
          <w:szCs w:val="24"/>
          <w:shd w:val="clear" w:color="auto" w:fill="FFFFFF"/>
        </w:rPr>
      </w:pPr>
      <w:r w:rsidRPr="00D5697D">
        <w:rPr>
          <w:bCs/>
          <w:sz w:val="24"/>
          <w:szCs w:val="24"/>
          <w:shd w:val="clear" w:color="auto" w:fill="FFFFFF"/>
        </w:rPr>
        <w:t xml:space="preserve">A </w:t>
      </w:r>
      <w:r w:rsidR="0047104E">
        <w:rPr>
          <w:bCs/>
          <w:sz w:val="24"/>
          <w:szCs w:val="24"/>
          <w:shd w:val="clear" w:color="auto" w:fill="FFFFFF"/>
        </w:rPr>
        <w:t>MeDi</w:t>
      </w:r>
      <w:r w:rsidRPr="00D5697D">
        <w:rPr>
          <w:bCs/>
          <w:sz w:val="24"/>
          <w:szCs w:val="24"/>
          <w:shd w:val="clear" w:color="auto" w:fill="FFFFFF"/>
        </w:rPr>
        <w:t xml:space="preserve"> é um padrão alimentar baseado em </w:t>
      </w:r>
      <w:r w:rsidR="00AC1A28" w:rsidRPr="00D5697D">
        <w:rPr>
          <w:bCs/>
          <w:sz w:val="24"/>
          <w:szCs w:val="24"/>
          <w:shd w:val="clear" w:color="auto" w:fill="FFFFFF"/>
        </w:rPr>
        <w:t>frutas, vegetais, grãos integrais, azeite de oliva, leguminosas, oleaginosas, ervas e especiarias, peixes</w:t>
      </w:r>
      <w:r w:rsidR="005C6E56" w:rsidRPr="00D5697D">
        <w:rPr>
          <w:bCs/>
          <w:sz w:val="24"/>
          <w:szCs w:val="24"/>
          <w:shd w:val="clear" w:color="auto" w:fill="FFFFFF"/>
        </w:rPr>
        <w:t>,</w:t>
      </w:r>
      <w:r w:rsidR="00AC1A28" w:rsidRPr="00D5697D">
        <w:rPr>
          <w:bCs/>
          <w:sz w:val="24"/>
          <w:szCs w:val="24"/>
          <w:shd w:val="clear" w:color="auto" w:fill="FFFFFF"/>
        </w:rPr>
        <w:t xml:space="preserve"> frutos do mar</w:t>
      </w:r>
      <w:r w:rsidR="005C6E56" w:rsidRPr="00D5697D">
        <w:rPr>
          <w:bCs/>
          <w:sz w:val="24"/>
          <w:szCs w:val="24"/>
          <w:shd w:val="clear" w:color="auto" w:fill="FFFFFF"/>
        </w:rPr>
        <w:t xml:space="preserve"> e vinho tinto (com moderação)</w:t>
      </w:r>
      <w:r w:rsidR="00AC1A28" w:rsidRPr="00D5697D">
        <w:rPr>
          <w:bCs/>
          <w:sz w:val="24"/>
          <w:szCs w:val="24"/>
          <w:shd w:val="clear" w:color="auto" w:fill="FFFFFF"/>
        </w:rPr>
        <w:t>. É</w:t>
      </w:r>
      <w:r w:rsidRPr="00D5697D">
        <w:rPr>
          <w:bCs/>
          <w:sz w:val="24"/>
          <w:szCs w:val="24"/>
          <w:shd w:val="clear" w:color="auto" w:fill="FFFFFF"/>
        </w:rPr>
        <w:t xml:space="preserve"> conhecid</w:t>
      </w:r>
      <w:r w:rsidR="007A3D53" w:rsidRPr="00D5697D">
        <w:rPr>
          <w:bCs/>
          <w:sz w:val="24"/>
          <w:szCs w:val="24"/>
          <w:shd w:val="clear" w:color="auto" w:fill="FFFFFF"/>
        </w:rPr>
        <w:t>a</w:t>
      </w:r>
      <w:r w:rsidRPr="00D5697D">
        <w:rPr>
          <w:bCs/>
          <w:sz w:val="24"/>
          <w:szCs w:val="24"/>
          <w:shd w:val="clear" w:color="auto" w:fill="FFFFFF"/>
        </w:rPr>
        <w:t xml:space="preserve"> por seus vários benefícios à saúde, principalmente a redução do risco de doenças cardiovasculares (DCV) e de câncer, bem como a diminuição da mortalidade por causas gerais.</w:t>
      </w:r>
      <w:r w:rsidR="00795EE1">
        <w:rPr>
          <w:bCs/>
          <w:sz w:val="24"/>
          <w:szCs w:val="24"/>
          <w:shd w:val="clear" w:color="auto" w:fill="FFFFFF"/>
          <w:vertAlign w:val="superscript"/>
        </w:rPr>
        <w:t>7</w:t>
      </w:r>
      <w:r w:rsidR="00AC1A28" w:rsidRPr="00D5697D">
        <w:rPr>
          <w:bCs/>
          <w:sz w:val="24"/>
          <w:szCs w:val="24"/>
          <w:shd w:val="clear" w:color="auto" w:fill="FFFFFF"/>
        </w:rPr>
        <w:t xml:space="preserve"> </w:t>
      </w:r>
    </w:p>
    <w:p w14:paraId="22D214C7" w14:textId="70E1E39C" w:rsidR="00397ED4" w:rsidRPr="00D5697D" w:rsidRDefault="0047104E" w:rsidP="00B15D6D">
      <w:pPr>
        <w:spacing w:line="480" w:lineRule="auto"/>
        <w:rPr>
          <w:bCs/>
          <w:sz w:val="24"/>
          <w:szCs w:val="24"/>
          <w:shd w:val="clear" w:color="auto" w:fill="FFFFFF"/>
        </w:rPr>
      </w:pPr>
      <w:r>
        <w:rPr>
          <w:bCs/>
          <w:sz w:val="24"/>
          <w:szCs w:val="24"/>
          <w:shd w:val="clear" w:color="auto" w:fill="FFFFFF"/>
        </w:rPr>
        <w:t>Sendo assim</w:t>
      </w:r>
      <w:r w:rsidR="00E62FF4">
        <w:rPr>
          <w:bCs/>
          <w:sz w:val="24"/>
          <w:szCs w:val="24"/>
          <w:shd w:val="clear" w:color="auto" w:fill="FFFFFF"/>
        </w:rPr>
        <w:t>,</w:t>
      </w:r>
      <w:r>
        <w:rPr>
          <w:bCs/>
          <w:sz w:val="24"/>
          <w:szCs w:val="24"/>
          <w:shd w:val="clear" w:color="auto" w:fill="FFFFFF"/>
        </w:rPr>
        <w:t xml:space="preserve"> este estudo</w:t>
      </w:r>
      <w:r w:rsidR="00E62FF4">
        <w:rPr>
          <w:bCs/>
          <w:sz w:val="24"/>
          <w:szCs w:val="24"/>
          <w:shd w:val="clear" w:color="auto" w:fill="FFFFFF"/>
        </w:rPr>
        <w:t xml:space="preserve"> </w:t>
      </w:r>
      <w:r w:rsidR="00294B02" w:rsidRPr="00D5697D">
        <w:rPr>
          <w:bCs/>
          <w:sz w:val="24"/>
          <w:szCs w:val="24"/>
          <w:shd w:val="clear" w:color="auto" w:fill="FFFFFF"/>
        </w:rPr>
        <w:t xml:space="preserve">tem como objetivo avaliar </w:t>
      </w:r>
      <w:r>
        <w:rPr>
          <w:bCs/>
          <w:sz w:val="24"/>
          <w:szCs w:val="24"/>
          <w:shd w:val="clear" w:color="auto" w:fill="FFFFFF"/>
        </w:rPr>
        <w:t xml:space="preserve">na literatura científica a associação </w:t>
      </w:r>
      <w:r w:rsidR="00F63E46">
        <w:rPr>
          <w:bCs/>
          <w:sz w:val="24"/>
          <w:szCs w:val="24"/>
          <w:shd w:val="clear" w:color="auto" w:fill="FFFFFF"/>
        </w:rPr>
        <w:t>entre a adesão à</w:t>
      </w:r>
      <w:r>
        <w:rPr>
          <w:bCs/>
          <w:sz w:val="24"/>
          <w:szCs w:val="24"/>
          <w:shd w:val="clear" w:color="auto" w:fill="FFFFFF"/>
        </w:rPr>
        <w:t xml:space="preserve"> MeDi</w:t>
      </w:r>
      <w:r w:rsidR="001352EC" w:rsidRPr="00D5697D">
        <w:rPr>
          <w:bCs/>
          <w:sz w:val="24"/>
          <w:szCs w:val="24"/>
          <w:shd w:val="clear" w:color="auto" w:fill="FFFFFF"/>
        </w:rPr>
        <w:t xml:space="preserve"> </w:t>
      </w:r>
      <w:r w:rsidR="00F63E46">
        <w:rPr>
          <w:bCs/>
          <w:sz w:val="24"/>
          <w:szCs w:val="24"/>
          <w:shd w:val="clear" w:color="auto" w:fill="FFFFFF"/>
        </w:rPr>
        <w:t xml:space="preserve">e a redução do risco de desenvolvimento da </w:t>
      </w:r>
      <w:r>
        <w:rPr>
          <w:bCs/>
          <w:sz w:val="24"/>
          <w:szCs w:val="24"/>
          <w:shd w:val="clear" w:color="auto" w:fill="FFFFFF"/>
        </w:rPr>
        <w:t>DA</w:t>
      </w:r>
      <w:r w:rsidR="00F14831" w:rsidRPr="00D5697D">
        <w:rPr>
          <w:bCs/>
          <w:sz w:val="24"/>
          <w:szCs w:val="24"/>
          <w:shd w:val="clear" w:color="auto" w:fill="FFFFFF"/>
        </w:rPr>
        <w:t>.</w:t>
      </w:r>
    </w:p>
    <w:p w14:paraId="4D996869" w14:textId="77777777" w:rsidR="007F020F" w:rsidRPr="00D5697D" w:rsidRDefault="007F020F" w:rsidP="00D5697D">
      <w:pPr>
        <w:spacing w:line="480" w:lineRule="auto"/>
        <w:ind w:firstLine="708"/>
        <w:rPr>
          <w:bCs/>
          <w:sz w:val="24"/>
          <w:szCs w:val="24"/>
          <w:shd w:val="clear" w:color="auto" w:fill="FFFFFF"/>
        </w:rPr>
      </w:pPr>
    </w:p>
    <w:p w14:paraId="1FE8E768" w14:textId="7BB54EEA" w:rsidR="007224ED" w:rsidRPr="00D5697D" w:rsidRDefault="001352EC" w:rsidP="00D5697D">
      <w:pPr>
        <w:pStyle w:val="PargrafodaLista"/>
        <w:tabs>
          <w:tab w:val="left" w:pos="284"/>
        </w:tabs>
        <w:spacing w:line="480" w:lineRule="auto"/>
        <w:ind w:left="0"/>
        <w:rPr>
          <w:b/>
          <w:sz w:val="24"/>
          <w:szCs w:val="24"/>
        </w:rPr>
      </w:pPr>
      <w:r w:rsidRPr="00D5697D">
        <w:rPr>
          <w:b/>
          <w:sz w:val="24"/>
          <w:szCs w:val="24"/>
        </w:rPr>
        <w:t>M</w:t>
      </w:r>
      <w:r w:rsidR="0068587C">
        <w:rPr>
          <w:b/>
          <w:sz w:val="24"/>
          <w:szCs w:val="24"/>
        </w:rPr>
        <w:t>ÉTODOS</w:t>
      </w:r>
    </w:p>
    <w:p w14:paraId="58CE497E" w14:textId="45A10BAC" w:rsidR="00DC0C6A" w:rsidRPr="00D5697D" w:rsidRDefault="00DC0C6A" w:rsidP="00B15D6D">
      <w:pPr>
        <w:spacing w:line="480" w:lineRule="auto"/>
        <w:rPr>
          <w:bCs/>
          <w:sz w:val="24"/>
          <w:szCs w:val="24"/>
        </w:rPr>
      </w:pPr>
      <w:r w:rsidRPr="00D5697D">
        <w:rPr>
          <w:bCs/>
          <w:sz w:val="24"/>
          <w:szCs w:val="24"/>
        </w:rPr>
        <w:t>O presente trabalho consisti</w:t>
      </w:r>
      <w:r w:rsidR="00294B02" w:rsidRPr="00D5697D">
        <w:rPr>
          <w:bCs/>
          <w:sz w:val="24"/>
          <w:szCs w:val="24"/>
        </w:rPr>
        <w:t>u em</w:t>
      </w:r>
      <w:r w:rsidRPr="00D5697D">
        <w:rPr>
          <w:bCs/>
          <w:sz w:val="24"/>
          <w:szCs w:val="24"/>
        </w:rPr>
        <w:t xml:space="preserve"> uma revisão sistemática da literatura sobre a possível associação entre a adesão ao padrão de dieta mediterrâneo e a redução do risco de desenvolvimento d</w:t>
      </w:r>
      <w:r w:rsidR="008035F8" w:rsidRPr="00D5697D">
        <w:rPr>
          <w:bCs/>
          <w:sz w:val="24"/>
          <w:szCs w:val="24"/>
        </w:rPr>
        <w:t xml:space="preserve">a </w:t>
      </w:r>
      <w:r w:rsidRPr="00D5697D">
        <w:rPr>
          <w:bCs/>
          <w:sz w:val="24"/>
          <w:szCs w:val="24"/>
        </w:rPr>
        <w:t xml:space="preserve">doença de Alzheimer. </w:t>
      </w:r>
    </w:p>
    <w:p w14:paraId="0C16C071" w14:textId="3F31D2B0" w:rsidR="00460044" w:rsidRPr="00D5697D" w:rsidRDefault="00460044" w:rsidP="00B15D6D">
      <w:pPr>
        <w:spacing w:line="480" w:lineRule="auto"/>
        <w:rPr>
          <w:bCs/>
          <w:sz w:val="24"/>
          <w:szCs w:val="24"/>
        </w:rPr>
      </w:pPr>
      <w:r w:rsidRPr="00D5697D">
        <w:rPr>
          <w:bCs/>
          <w:sz w:val="24"/>
          <w:szCs w:val="24"/>
        </w:rPr>
        <w:lastRenderedPageBreak/>
        <w:t xml:space="preserve">Nesse trabalho, a revisão sistemática </w:t>
      </w:r>
      <w:r w:rsidR="00294B02" w:rsidRPr="00D5697D">
        <w:rPr>
          <w:bCs/>
          <w:sz w:val="24"/>
          <w:szCs w:val="24"/>
        </w:rPr>
        <w:t>foi</w:t>
      </w:r>
      <w:r w:rsidR="00DC0C6A" w:rsidRPr="00D5697D">
        <w:rPr>
          <w:bCs/>
          <w:sz w:val="24"/>
          <w:szCs w:val="24"/>
        </w:rPr>
        <w:t xml:space="preserve"> elaborada segundo as recomendações PRISMA (</w:t>
      </w:r>
      <w:r w:rsidR="00DC0C6A" w:rsidRPr="00D5697D">
        <w:rPr>
          <w:bCs/>
          <w:i/>
          <w:iCs/>
          <w:sz w:val="24"/>
          <w:szCs w:val="24"/>
        </w:rPr>
        <w:t>Preferred Reporting Items for Systematic Reviews and Meta-Analyses</w:t>
      </w:r>
      <w:r w:rsidR="00DC0C6A" w:rsidRPr="00D5697D">
        <w:rPr>
          <w:bCs/>
          <w:sz w:val="24"/>
          <w:szCs w:val="24"/>
        </w:rPr>
        <w:t>)</w:t>
      </w:r>
      <w:r w:rsidRPr="00D5697D">
        <w:rPr>
          <w:bCs/>
          <w:sz w:val="24"/>
          <w:szCs w:val="24"/>
        </w:rPr>
        <w:t>, incluindo artigos originais publicados a partir de 201</w:t>
      </w:r>
      <w:r w:rsidR="00873666" w:rsidRPr="00D5697D">
        <w:rPr>
          <w:bCs/>
          <w:sz w:val="24"/>
          <w:szCs w:val="24"/>
        </w:rPr>
        <w:t>6</w:t>
      </w:r>
      <w:r w:rsidRPr="00D5697D">
        <w:rPr>
          <w:bCs/>
          <w:sz w:val="24"/>
          <w:szCs w:val="24"/>
        </w:rPr>
        <w:t>, nos idiomas português e inglês, nas bases de dados LILACS-BIREME (Base de Dados da Literatura Latino-Americana em Ciências da Saúde), Scielo (</w:t>
      </w:r>
      <w:r w:rsidRPr="00D5697D">
        <w:rPr>
          <w:bCs/>
          <w:i/>
          <w:iCs/>
          <w:sz w:val="24"/>
          <w:szCs w:val="24"/>
        </w:rPr>
        <w:t>Scientific Eletronic Library Online</w:t>
      </w:r>
      <w:r w:rsidRPr="00D5697D">
        <w:rPr>
          <w:bCs/>
          <w:sz w:val="24"/>
          <w:szCs w:val="24"/>
        </w:rPr>
        <w:t xml:space="preserve">) e PubMed (mantido pela </w:t>
      </w:r>
      <w:r w:rsidRPr="00D5697D">
        <w:rPr>
          <w:bCs/>
          <w:i/>
          <w:iCs/>
          <w:sz w:val="24"/>
          <w:szCs w:val="24"/>
        </w:rPr>
        <w:t>National Library of Medicine</w:t>
      </w:r>
      <w:r w:rsidRPr="00D5697D">
        <w:rPr>
          <w:bCs/>
          <w:sz w:val="24"/>
          <w:szCs w:val="24"/>
        </w:rPr>
        <w:t>).</w:t>
      </w:r>
    </w:p>
    <w:p w14:paraId="21E63A58" w14:textId="31EA3811" w:rsidR="00A15D41" w:rsidRDefault="00F63E46" w:rsidP="00B15D6D">
      <w:pPr>
        <w:spacing w:line="480" w:lineRule="auto"/>
        <w:rPr>
          <w:bCs/>
          <w:sz w:val="24"/>
          <w:szCs w:val="24"/>
        </w:rPr>
      </w:pPr>
      <w:r>
        <w:rPr>
          <w:bCs/>
          <w:sz w:val="24"/>
          <w:szCs w:val="24"/>
        </w:rPr>
        <w:t xml:space="preserve">O período de busca foi </w:t>
      </w:r>
      <w:r w:rsidR="00191F64">
        <w:rPr>
          <w:bCs/>
          <w:sz w:val="24"/>
          <w:szCs w:val="24"/>
        </w:rPr>
        <w:t xml:space="preserve">entre 10/03/2020 e </w:t>
      </w:r>
      <w:r w:rsidR="00EF6877" w:rsidRPr="00D5697D">
        <w:rPr>
          <w:bCs/>
          <w:sz w:val="24"/>
          <w:szCs w:val="24"/>
        </w:rPr>
        <w:t>01/10/2020 e a</w:t>
      </w:r>
      <w:r w:rsidR="00460044" w:rsidRPr="00D5697D">
        <w:rPr>
          <w:bCs/>
          <w:sz w:val="24"/>
          <w:szCs w:val="24"/>
        </w:rPr>
        <w:t xml:space="preserve">s </w:t>
      </w:r>
      <w:r w:rsidR="00A15D41" w:rsidRPr="00D5697D">
        <w:rPr>
          <w:bCs/>
          <w:sz w:val="24"/>
          <w:szCs w:val="24"/>
        </w:rPr>
        <w:t xml:space="preserve">palavras-chave </w:t>
      </w:r>
      <w:r w:rsidR="00163529" w:rsidRPr="00D5697D">
        <w:rPr>
          <w:bCs/>
          <w:sz w:val="24"/>
          <w:szCs w:val="24"/>
        </w:rPr>
        <w:t xml:space="preserve">utilizadas </w:t>
      </w:r>
      <w:r w:rsidR="00A15D41" w:rsidRPr="00D5697D">
        <w:rPr>
          <w:bCs/>
          <w:sz w:val="24"/>
          <w:szCs w:val="24"/>
        </w:rPr>
        <w:t>para a busca na</w:t>
      </w:r>
      <w:r w:rsidR="00460044" w:rsidRPr="00D5697D">
        <w:rPr>
          <w:bCs/>
          <w:sz w:val="24"/>
          <w:szCs w:val="24"/>
        </w:rPr>
        <w:t>s</w:t>
      </w:r>
      <w:r w:rsidR="00A15D41" w:rsidRPr="00D5697D">
        <w:rPr>
          <w:bCs/>
          <w:sz w:val="24"/>
          <w:szCs w:val="24"/>
        </w:rPr>
        <w:t xml:space="preserve"> base</w:t>
      </w:r>
      <w:r w:rsidR="00460044" w:rsidRPr="00D5697D">
        <w:rPr>
          <w:bCs/>
          <w:sz w:val="24"/>
          <w:szCs w:val="24"/>
        </w:rPr>
        <w:t>s</w:t>
      </w:r>
      <w:r w:rsidR="00A15D41" w:rsidRPr="00D5697D">
        <w:rPr>
          <w:bCs/>
          <w:sz w:val="24"/>
          <w:szCs w:val="24"/>
        </w:rPr>
        <w:t xml:space="preserve"> de dados</w:t>
      </w:r>
      <w:r w:rsidR="00C50D34" w:rsidRPr="00D5697D">
        <w:rPr>
          <w:bCs/>
          <w:sz w:val="24"/>
          <w:szCs w:val="24"/>
        </w:rPr>
        <w:t xml:space="preserve"> constam nos Descritores</w:t>
      </w:r>
      <w:r w:rsidR="00D26B64" w:rsidRPr="00D5697D">
        <w:rPr>
          <w:bCs/>
          <w:sz w:val="24"/>
          <w:szCs w:val="24"/>
        </w:rPr>
        <w:t xml:space="preserve"> em Ciências da Saúde (DeCS)</w:t>
      </w:r>
      <w:r w:rsidR="00460044" w:rsidRPr="00D5697D">
        <w:rPr>
          <w:bCs/>
          <w:sz w:val="24"/>
          <w:szCs w:val="24"/>
        </w:rPr>
        <w:t>: Doença de Alzheimer (</w:t>
      </w:r>
      <w:r w:rsidR="00460044" w:rsidRPr="00D5697D">
        <w:rPr>
          <w:bCs/>
          <w:i/>
          <w:iCs/>
          <w:sz w:val="24"/>
          <w:szCs w:val="24"/>
        </w:rPr>
        <w:t>Alzheimer’s Disease</w:t>
      </w:r>
      <w:r w:rsidR="00460044" w:rsidRPr="00D5697D">
        <w:rPr>
          <w:bCs/>
          <w:sz w:val="24"/>
          <w:szCs w:val="24"/>
        </w:rPr>
        <w:t>)</w:t>
      </w:r>
      <w:r w:rsidR="001B168F" w:rsidRPr="00D5697D">
        <w:rPr>
          <w:bCs/>
          <w:sz w:val="24"/>
          <w:szCs w:val="24"/>
        </w:rPr>
        <w:t xml:space="preserve"> e </w:t>
      </w:r>
      <w:r w:rsidR="00163529" w:rsidRPr="00D5697D">
        <w:rPr>
          <w:bCs/>
          <w:sz w:val="24"/>
          <w:szCs w:val="24"/>
        </w:rPr>
        <w:t>Dieta Mediterrânea (</w:t>
      </w:r>
      <w:r w:rsidR="00163529" w:rsidRPr="00D5697D">
        <w:rPr>
          <w:bCs/>
          <w:i/>
          <w:iCs/>
          <w:sz w:val="24"/>
          <w:szCs w:val="24"/>
        </w:rPr>
        <w:t>Mediterranean Diet</w:t>
      </w:r>
      <w:r w:rsidR="00163529" w:rsidRPr="00D5697D">
        <w:rPr>
          <w:bCs/>
          <w:sz w:val="24"/>
          <w:szCs w:val="24"/>
        </w:rPr>
        <w:t>).</w:t>
      </w:r>
      <w:r w:rsidR="00EF6877" w:rsidRPr="00D5697D">
        <w:rPr>
          <w:bCs/>
          <w:sz w:val="24"/>
          <w:szCs w:val="24"/>
        </w:rPr>
        <w:t xml:space="preserve"> Essas palavras-chave foram escolhidas para que a pesquisa abrangesse o máximo de resultados possíveis, para posterior seleção dos artigos conforme </w:t>
      </w:r>
      <w:r w:rsidR="00B9105C" w:rsidRPr="00D5697D">
        <w:rPr>
          <w:bCs/>
          <w:sz w:val="24"/>
          <w:szCs w:val="24"/>
        </w:rPr>
        <w:t>fluxograma</w:t>
      </w:r>
      <w:r w:rsidR="00EF6877" w:rsidRPr="00D5697D">
        <w:rPr>
          <w:bCs/>
          <w:sz w:val="24"/>
          <w:szCs w:val="24"/>
        </w:rPr>
        <w:t xml:space="preserve"> </w:t>
      </w:r>
      <w:r w:rsidR="004A4010" w:rsidRPr="00D5697D">
        <w:rPr>
          <w:bCs/>
          <w:sz w:val="24"/>
          <w:szCs w:val="24"/>
        </w:rPr>
        <w:t>apresentado na figura 1.</w:t>
      </w:r>
    </w:p>
    <w:p w14:paraId="74616886" w14:textId="77777777" w:rsidR="00646CAA" w:rsidRDefault="00646CAA" w:rsidP="00646CAA">
      <w:pPr>
        <w:spacing w:line="480" w:lineRule="auto"/>
        <w:rPr>
          <w:b/>
          <w:sz w:val="24"/>
          <w:szCs w:val="24"/>
        </w:rPr>
      </w:pPr>
    </w:p>
    <w:p w14:paraId="1516395F" w14:textId="10A3BB9E" w:rsidR="00646CAA" w:rsidRPr="00191F64" w:rsidRDefault="00646CAA" w:rsidP="00646CAA">
      <w:pPr>
        <w:spacing w:line="480" w:lineRule="auto"/>
        <w:rPr>
          <w:bCs/>
          <w:sz w:val="24"/>
          <w:szCs w:val="24"/>
        </w:rPr>
      </w:pPr>
      <w:r w:rsidRPr="0068587C">
        <w:rPr>
          <w:b/>
          <w:sz w:val="24"/>
          <w:szCs w:val="24"/>
        </w:rPr>
        <w:t xml:space="preserve">Figura 1. </w:t>
      </w:r>
      <w:r w:rsidRPr="00191F64">
        <w:rPr>
          <w:bCs/>
          <w:sz w:val="24"/>
          <w:szCs w:val="24"/>
        </w:rPr>
        <w:t>Fluxograma do processo de seleção de artigos acerca da dieta mediterrânea no controle da doença de Alzheimer.</w:t>
      </w:r>
    </w:p>
    <w:p w14:paraId="6E42D5F0" w14:textId="77777777" w:rsidR="00646CAA" w:rsidRPr="00D5697D" w:rsidRDefault="00646CAA" w:rsidP="00D5697D">
      <w:pPr>
        <w:spacing w:line="480" w:lineRule="auto"/>
        <w:ind w:firstLine="708"/>
        <w:rPr>
          <w:bCs/>
          <w:sz w:val="24"/>
          <w:szCs w:val="24"/>
        </w:rPr>
      </w:pPr>
    </w:p>
    <w:p w14:paraId="51A6D274" w14:textId="54B07CAC" w:rsidR="001B168F" w:rsidRPr="00D5697D" w:rsidRDefault="00294B02" w:rsidP="00B15D6D">
      <w:pPr>
        <w:spacing w:line="480" w:lineRule="auto"/>
        <w:rPr>
          <w:bCs/>
          <w:sz w:val="24"/>
          <w:szCs w:val="24"/>
        </w:rPr>
      </w:pPr>
      <w:r w:rsidRPr="00D5697D">
        <w:rPr>
          <w:bCs/>
          <w:sz w:val="24"/>
          <w:szCs w:val="24"/>
        </w:rPr>
        <w:t>Foram</w:t>
      </w:r>
      <w:r w:rsidR="00E65D36" w:rsidRPr="00D5697D">
        <w:rPr>
          <w:bCs/>
          <w:sz w:val="24"/>
          <w:szCs w:val="24"/>
        </w:rPr>
        <w:t xml:space="preserve"> excluídos dessa revisão </w:t>
      </w:r>
      <w:r w:rsidR="00A15D41" w:rsidRPr="00D5697D">
        <w:rPr>
          <w:bCs/>
          <w:sz w:val="24"/>
          <w:szCs w:val="24"/>
        </w:rPr>
        <w:t>livros, trabalhos de conclusão de curso, artigos de revisão de literatura</w:t>
      </w:r>
      <w:r w:rsidR="00075E97">
        <w:rPr>
          <w:bCs/>
          <w:sz w:val="24"/>
          <w:szCs w:val="24"/>
        </w:rPr>
        <w:t>, metanálises</w:t>
      </w:r>
      <w:r w:rsidR="00E65D36" w:rsidRPr="00D5697D">
        <w:rPr>
          <w:bCs/>
          <w:sz w:val="24"/>
          <w:szCs w:val="24"/>
        </w:rPr>
        <w:t>, estudos de caso e relatos de caso</w:t>
      </w:r>
      <w:r w:rsidR="00C50D34" w:rsidRPr="00D5697D">
        <w:rPr>
          <w:bCs/>
          <w:sz w:val="24"/>
          <w:szCs w:val="24"/>
        </w:rPr>
        <w:t xml:space="preserve">; bem como trabalhos realizados com animais e </w:t>
      </w:r>
      <w:r w:rsidR="00C50D34" w:rsidRPr="00191F64">
        <w:rPr>
          <w:bCs/>
          <w:i/>
          <w:iCs/>
          <w:sz w:val="24"/>
          <w:szCs w:val="24"/>
        </w:rPr>
        <w:t>in vitro</w:t>
      </w:r>
      <w:r w:rsidR="001B168F" w:rsidRPr="00D5697D">
        <w:rPr>
          <w:bCs/>
          <w:sz w:val="24"/>
          <w:szCs w:val="24"/>
        </w:rPr>
        <w:t>, estudos relativos a outras doenças neurológicas ou a fases preliminares de estudos que já haviam sido concluídos e utilizados na revisão</w:t>
      </w:r>
      <w:r w:rsidR="00C50D34" w:rsidRPr="00D5697D">
        <w:rPr>
          <w:bCs/>
          <w:sz w:val="24"/>
          <w:szCs w:val="24"/>
        </w:rPr>
        <w:t xml:space="preserve">. Para manter o objetivo desse trabalho, </w:t>
      </w:r>
      <w:r w:rsidR="00EF6877" w:rsidRPr="00D5697D">
        <w:rPr>
          <w:bCs/>
          <w:sz w:val="24"/>
          <w:szCs w:val="24"/>
        </w:rPr>
        <w:t xml:space="preserve">eventuais </w:t>
      </w:r>
      <w:r w:rsidR="00C50D34" w:rsidRPr="00D5697D">
        <w:rPr>
          <w:bCs/>
          <w:sz w:val="24"/>
          <w:szCs w:val="24"/>
        </w:rPr>
        <w:t xml:space="preserve">artigos referentes a estudos com outros padrões alimentares </w:t>
      </w:r>
      <w:r w:rsidR="00C50D34" w:rsidRPr="00D5697D">
        <w:rPr>
          <w:bCs/>
          <w:sz w:val="24"/>
          <w:szCs w:val="24"/>
        </w:rPr>
        <w:lastRenderedPageBreak/>
        <w:t xml:space="preserve">diferentes da dieta mediterrânea também </w:t>
      </w:r>
      <w:r w:rsidR="00E83220" w:rsidRPr="00D5697D">
        <w:rPr>
          <w:bCs/>
          <w:sz w:val="24"/>
          <w:szCs w:val="24"/>
        </w:rPr>
        <w:t>foram</w:t>
      </w:r>
      <w:r w:rsidR="00C50D34" w:rsidRPr="00D5697D">
        <w:rPr>
          <w:bCs/>
          <w:sz w:val="24"/>
          <w:szCs w:val="24"/>
        </w:rPr>
        <w:t xml:space="preserve"> excluídos, exceto quando em conjunto com a </w:t>
      </w:r>
      <w:r w:rsidR="00191F64">
        <w:rPr>
          <w:bCs/>
          <w:sz w:val="24"/>
          <w:szCs w:val="24"/>
        </w:rPr>
        <w:t>MeDi</w:t>
      </w:r>
      <w:r w:rsidR="00C50D34" w:rsidRPr="00D5697D">
        <w:rPr>
          <w:bCs/>
          <w:sz w:val="24"/>
          <w:szCs w:val="24"/>
        </w:rPr>
        <w:t>.</w:t>
      </w:r>
    </w:p>
    <w:p w14:paraId="5A3E411E" w14:textId="77777777" w:rsidR="007F020F" w:rsidRPr="00D5697D" w:rsidRDefault="007F020F" w:rsidP="00D5697D">
      <w:pPr>
        <w:spacing w:line="480" w:lineRule="auto"/>
        <w:rPr>
          <w:bCs/>
          <w:sz w:val="24"/>
          <w:szCs w:val="24"/>
        </w:rPr>
      </w:pPr>
    </w:p>
    <w:p w14:paraId="75CD5B9C" w14:textId="3530BD8F" w:rsidR="001352EC" w:rsidRDefault="00EA232D" w:rsidP="00D5697D">
      <w:pPr>
        <w:spacing w:line="480" w:lineRule="auto"/>
        <w:rPr>
          <w:b/>
          <w:sz w:val="24"/>
          <w:szCs w:val="24"/>
        </w:rPr>
      </w:pPr>
      <w:r w:rsidRPr="00D5697D">
        <w:rPr>
          <w:b/>
          <w:sz w:val="24"/>
          <w:szCs w:val="24"/>
        </w:rPr>
        <w:t>RESULTADOS</w:t>
      </w:r>
    </w:p>
    <w:p w14:paraId="29E4D6DD" w14:textId="77777777" w:rsidR="00646CAA" w:rsidRPr="00D5697D" w:rsidRDefault="00646CAA" w:rsidP="00D5697D">
      <w:pPr>
        <w:spacing w:line="480" w:lineRule="auto"/>
        <w:rPr>
          <w:b/>
          <w:sz w:val="24"/>
          <w:szCs w:val="24"/>
        </w:rPr>
      </w:pPr>
    </w:p>
    <w:p w14:paraId="16932C73" w14:textId="4B13B3CD" w:rsidR="00EA232D" w:rsidRPr="00191F64" w:rsidRDefault="00186F32" w:rsidP="00D5697D">
      <w:pPr>
        <w:spacing w:line="480" w:lineRule="auto"/>
        <w:rPr>
          <w:sz w:val="24"/>
          <w:szCs w:val="24"/>
        </w:rPr>
      </w:pPr>
      <w:r w:rsidRPr="0068587C">
        <w:rPr>
          <w:b/>
          <w:bCs/>
          <w:sz w:val="24"/>
          <w:szCs w:val="24"/>
        </w:rPr>
        <w:t>Quadro 1</w:t>
      </w:r>
      <w:r w:rsidR="00EA232D" w:rsidRPr="0068587C">
        <w:rPr>
          <w:b/>
          <w:bCs/>
          <w:sz w:val="24"/>
          <w:szCs w:val="24"/>
        </w:rPr>
        <w:t xml:space="preserve">: </w:t>
      </w:r>
      <w:r w:rsidR="00EA232D" w:rsidRPr="00191F64">
        <w:rPr>
          <w:sz w:val="24"/>
          <w:szCs w:val="24"/>
        </w:rPr>
        <w:t>Principais características dos estudos selecionados</w:t>
      </w:r>
      <w:r w:rsidRPr="00191F64">
        <w:rPr>
          <w:sz w:val="24"/>
          <w:szCs w:val="24"/>
        </w:rPr>
        <w:t>.</w:t>
      </w:r>
    </w:p>
    <w:p w14:paraId="4DE59F4E" w14:textId="77777777" w:rsidR="00646CAA" w:rsidRPr="0068587C" w:rsidRDefault="00646CAA" w:rsidP="00D5697D">
      <w:pPr>
        <w:spacing w:line="480" w:lineRule="auto"/>
        <w:rPr>
          <w:b/>
          <w:bCs/>
          <w:sz w:val="24"/>
          <w:szCs w:val="24"/>
        </w:rPr>
      </w:pPr>
    </w:p>
    <w:p w14:paraId="0BC05757" w14:textId="57F3CB7F" w:rsidR="007F020F" w:rsidRPr="00191F64" w:rsidRDefault="007F020F" w:rsidP="00D5697D">
      <w:pPr>
        <w:spacing w:line="480" w:lineRule="auto"/>
        <w:rPr>
          <w:sz w:val="24"/>
          <w:szCs w:val="24"/>
        </w:rPr>
      </w:pPr>
      <w:r w:rsidRPr="0068587C">
        <w:rPr>
          <w:b/>
          <w:bCs/>
          <w:sz w:val="24"/>
          <w:szCs w:val="24"/>
        </w:rPr>
        <w:t xml:space="preserve">Quadro 2. </w:t>
      </w:r>
      <w:r w:rsidRPr="00191F64">
        <w:rPr>
          <w:sz w:val="24"/>
          <w:szCs w:val="24"/>
        </w:rPr>
        <w:t>Análise dos efeitos da dieta mediterrânea no controle da doença de Alzheimer</w:t>
      </w:r>
      <w:r w:rsidR="0068587C" w:rsidRPr="00191F64">
        <w:rPr>
          <w:sz w:val="24"/>
          <w:szCs w:val="24"/>
        </w:rPr>
        <w:t>.</w:t>
      </w:r>
    </w:p>
    <w:p w14:paraId="3ED2B9DA" w14:textId="77777777" w:rsidR="00646CAA" w:rsidRPr="0068587C" w:rsidRDefault="00646CAA" w:rsidP="00D5697D">
      <w:pPr>
        <w:spacing w:line="480" w:lineRule="auto"/>
        <w:rPr>
          <w:b/>
          <w:bCs/>
          <w:sz w:val="24"/>
          <w:szCs w:val="24"/>
        </w:rPr>
      </w:pPr>
    </w:p>
    <w:p w14:paraId="160E7425" w14:textId="2A79CD3C" w:rsidR="007F020F" w:rsidRPr="00D5697D" w:rsidRDefault="007F020F" w:rsidP="00B15D6D">
      <w:pPr>
        <w:pStyle w:val="PargrafodaLista"/>
        <w:tabs>
          <w:tab w:val="left" w:pos="284"/>
        </w:tabs>
        <w:spacing w:line="480" w:lineRule="auto"/>
        <w:ind w:left="0"/>
        <w:rPr>
          <w:bCs/>
          <w:sz w:val="24"/>
          <w:szCs w:val="24"/>
        </w:rPr>
      </w:pPr>
      <w:r w:rsidRPr="00D5697D">
        <w:rPr>
          <w:bCs/>
          <w:sz w:val="24"/>
          <w:szCs w:val="24"/>
        </w:rPr>
        <w:t xml:space="preserve">Essa revisão abrangeu estudos realizados principalmente nos Estados Unidos, mas também na Austrália, Grécia, Alemanha e Suécia. Nesses estudos, foram pesquisadas populações com </w:t>
      </w:r>
      <w:r w:rsidR="00075E97">
        <w:rPr>
          <w:bCs/>
          <w:sz w:val="24"/>
          <w:szCs w:val="24"/>
        </w:rPr>
        <w:t>uma faixa etária entre</w:t>
      </w:r>
      <w:r w:rsidRPr="00D5697D">
        <w:rPr>
          <w:bCs/>
          <w:sz w:val="24"/>
          <w:szCs w:val="24"/>
        </w:rPr>
        <w:t xml:space="preserve"> 30 a 89 anos. A maior parte dos estudos utilizaram populações idosas saudáveis ou com comprometimento cognitivo leve (MCI) e alguns utilizaram populações jovens ou de meia-idade saudáveis. Apenas um estudo avaliou somente mulheres, os demais tiveram participantes do sexo masculino e feminino. </w:t>
      </w:r>
    </w:p>
    <w:p w14:paraId="438A79EC" w14:textId="1D38E386" w:rsidR="007F020F" w:rsidRPr="00D5697D" w:rsidRDefault="007F020F" w:rsidP="00B15D6D">
      <w:pPr>
        <w:pStyle w:val="PargrafodaLista"/>
        <w:tabs>
          <w:tab w:val="left" w:pos="284"/>
        </w:tabs>
        <w:spacing w:line="480" w:lineRule="auto"/>
        <w:ind w:left="0"/>
        <w:rPr>
          <w:bCs/>
          <w:sz w:val="24"/>
          <w:szCs w:val="24"/>
        </w:rPr>
      </w:pPr>
      <w:r w:rsidRPr="00D5697D">
        <w:rPr>
          <w:bCs/>
          <w:sz w:val="24"/>
          <w:szCs w:val="24"/>
        </w:rPr>
        <w:t>Os tipos de estudos levantados foram, em sua maioria, transversais, seguidos por coortes, longitudinais e clínicos randomizados, com tempos de acompanhamento variando entre 18 semanas e 12,6 anos. O número de participantes dos estudos variou de 17, em um estudo clínico randomizado, a 28.775, em uma coorte. Somando-se o número de participantes de todos os estudos, essa revisão considera 35.257 indivíduos.</w:t>
      </w:r>
    </w:p>
    <w:p w14:paraId="32741B57" w14:textId="67EEC107" w:rsidR="007F020F" w:rsidRPr="00D5697D" w:rsidRDefault="007F020F" w:rsidP="00D5697D">
      <w:pPr>
        <w:pStyle w:val="PargrafodaLista"/>
        <w:tabs>
          <w:tab w:val="left" w:pos="284"/>
        </w:tabs>
        <w:spacing w:line="480" w:lineRule="auto"/>
        <w:ind w:left="0"/>
        <w:rPr>
          <w:bCs/>
          <w:sz w:val="24"/>
          <w:szCs w:val="24"/>
        </w:rPr>
      </w:pPr>
      <w:r w:rsidRPr="00D5697D">
        <w:rPr>
          <w:bCs/>
          <w:sz w:val="24"/>
          <w:szCs w:val="24"/>
        </w:rPr>
        <w:t xml:space="preserve">Com relação às dietas estudadas, os 15 artigos trouxeram resultados da </w:t>
      </w:r>
      <w:r w:rsidR="008C3657">
        <w:rPr>
          <w:bCs/>
          <w:sz w:val="24"/>
          <w:szCs w:val="24"/>
        </w:rPr>
        <w:t>MeDi</w:t>
      </w:r>
      <w:r w:rsidRPr="00D5697D">
        <w:rPr>
          <w:bCs/>
          <w:sz w:val="24"/>
          <w:szCs w:val="24"/>
        </w:rPr>
        <w:t xml:space="preserve">, sendo 10 </w:t>
      </w:r>
      <w:r w:rsidR="00040F9C">
        <w:rPr>
          <w:bCs/>
          <w:sz w:val="24"/>
          <w:szCs w:val="24"/>
        </w:rPr>
        <w:t>d</w:t>
      </w:r>
      <w:r w:rsidRPr="00D5697D">
        <w:rPr>
          <w:bCs/>
          <w:sz w:val="24"/>
          <w:szCs w:val="24"/>
        </w:rPr>
        <w:t xml:space="preserve">a </w:t>
      </w:r>
      <w:r w:rsidR="00785AB2">
        <w:rPr>
          <w:bCs/>
          <w:sz w:val="24"/>
          <w:szCs w:val="24"/>
        </w:rPr>
        <w:t>MeDi</w:t>
      </w:r>
      <w:r w:rsidR="00040F9C">
        <w:rPr>
          <w:bCs/>
          <w:sz w:val="24"/>
          <w:szCs w:val="24"/>
        </w:rPr>
        <w:t xml:space="preserve"> exclusivamente</w:t>
      </w:r>
      <w:r w:rsidRPr="00D5697D">
        <w:rPr>
          <w:bCs/>
          <w:sz w:val="24"/>
          <w:szCs w:val="24"/>
        </w:rPr>
        <w:t xml:space="preserve">, 2 da </w:t>
      </w:r>
      <w:r w:rsidR="008C3657">
        <w:rPr>
          <w:bCs/>
          <w:sz w:val="24"/>
          <w:szCs w:val="24"/>
        </w:rPr>
        <w:t>MeDi</w:t>
      </w:r>
      <w:r w:rsidRPr="00D5697D">
        <w:rPr>
          <w:bCs/>
          <w:sz w:val="24"/>
          <w:szCs w:val="24"/>
        </w:rPr>
        <w:t xml:space="preserve"> modificada cetogênica (MMKD) </w:t>
      </w:r>
      <w:r w:rsidRPr="00D5697D">
        <w:rPr>
          <w:bCs/>
          <w:sz w:val="24"/>
          <w:szCs w:val="24"/>
        </w:rPr>
        <w:lastRenderedPageBreak/>
        <w:t xml:space="preserve">e 3 com a </w:t>
      </w:r>
      <w:r w:rsidR="008C3657">
        <w:rPr>
          <w:bCs/>
          <w:sz w:val="24"/>
          <w:szCs w:val="24"/>
        </w:rPr>
        <w:t>MeDi</w:t>
      </w:r>
      <w:r w:rsidRPr="00D5697D">
        <w:rPr>
          <w:bCs/>
          <w:sz w:val="24"/>
          <w:szCs w:val="24"/>
        </w:rPr>
        <w:t xml:space="preserve"> em comparação com DASH, </w:t>
      </w:r>
      <w:r w:rsidRPr="00D5697D">
        <w:rPr>
          <w:bCs/>
          <w:i/>
          <w:iCs/>
          <w:sz w:val="24"/>
          <w:szCs w:val="24"/>
        </w:rPr>
        <w:t>High Fat</w:t>
      </w:r>
      <w:r w:rsidRPr="00D5697D">
        <w:rPr>
          <w:bCs/>
          <w:sz w:val="24"/>
          <w:szCs w:val="24"/>
        </w:rPr>
        <w:t xml:space="preserve"> (HF), </w:t>
      </w:r>
      <w:r w:rsidRPr="00D5697D">
        <w:rPr>
          <w:bCs/>
          <w:i/>
          <w:iCs/>
          <w:sz w:val="24"/>
          <w:szCs w:val="24"/>
        </w:rPr>
        <w:t>Low Fat</w:t>
      </w:r>
      <w:r w:rsidRPr="00D5697D">
        <w:rPr>
          <w:bCs/>
          <w:sz w:val="24"/>
          <w:szCs w:val="24"/>
        </w:rPr>
        <w:t xml:space="preserve"> (LF), </w:t>
      </w:r>
      <w:r w:rsidRPr="00D5697D">
        <w:rPr>
          <w:bCs/>
          <w:i/>
          <w:iCs/>
          <w:sz w:val="24"/>
          <w:szCs w:val="24"/>
        </w:rPr>
        <w:t>junk food</w:t>
      </w:r>
      <w:r w:rsidRPr="00D5697D">
        <w:rPr>
          <w:bCs/>
          <w:sz w:val="24"/>
          <w:szCs w:val="24"/>
        </w:rPr>
        <w:t xml:space="preserve"> e </w:t>
      </w:r>
      <w:r w:rsidRPr="00D5697D">
        <w:rPr>
          <w:bCs/>
          <w:i/>
          <w:iCs/>
          <w:sz w:val="24"/>
          <w:szCs w:val="24"/>
        </w:rPr>
        <w:t>American Heart Association Diet</w:t>
      </w:r>
      <w:r w:rsidRPr="00D5697D">
        <w:rPr>
          <w:bCs/>
          <w:sz w:val="24"/>
          <w:szCs w:val="24"/>
        </w:rPr>
        <w:t xml:space="preserve"> (AHAD). </w:t>
      </w:r>
    </w:p>
    <w:p w14:paraId="2B49B2D2" w14:textId="780C0755" w:rsidR="007F020F" w:rsidRPr="00D5697D" w:rsidRDefault="007F020F" w:rsidP="00D5697D">
      <w:pPr>
        <w:pStyle w:val="PargrafodaLista"/>
        <w:tabs>
          <w:tab w:val="left" w:pos="284"/>
        </w:tabs>
        <w:spacing w:line="480" w:lineRule="auto"/>
        <w:ind w:left="0"/>
        <w:rPr>
          <w:bCs/>
          <w:sz w:val="24"/>
          <w:szCs w:val="24"/>
        </w:rPr>
      </w:pPr>
      <w:r w:rsidRPr="00D5697D">
        <w:rPr>
          <w:bCs/>
          <w:sz w:val="24"/>
          <w:szCs w:val="24"/>
        </w:rPr>
        <w:t xml:space="preserve">Os objetivos dos estudos, de modo geral, foram avaliar a influência da adesão à </w:t>
      </w:r>
      <w:r w:rsidR="008C3657">
        <w:rPr>
          <w:bCs/>
          <w:sz w:val="24"/>
          <w:szCs w:val="24"/>
        </w:rPr>
        <w:t>MeDi</w:t>
      </w:r>
      <w:r w:rsidRPr="00D5697D">
        <w:rPr>
          <w:bCs/>
          <w:sz w:val="24"/>
          <w:szCs w:val="24"/>
        </w:rPr>
        <w:t xml:space="preserve"> sobre biomarcadores da DA </w:t>
      </w:r>
      <w:r w:rsidR="00075E97">
        <w:rPr>
          <w:bCs/>
          <w:sz w:val="24"/>
          <w:szCs w:val="24"/>
        </w:rPr>
        <w:t>por</w:t>
      </w:r>
      <w:r w:rsidRPr="00D5697D">
        <w:rPr>
          <w:bCs/>
          <w:sz w:val="24"/>
          <w:szCs w:val="24"/>
        </w:rPr>
        <w:t xml:space="preserve"> </w:t>
      </w:r>
      <w:r w:rsidR="008C3657">
        <w:rPr>
          <w:bCs/>
          <w:sz w:val="24"/>
          <w:szCs w:val="24"/>
        </w:rPr>
        <w:t xml:space="preserve">meio de </w:t>
      </w:r>
      <w:r w:rsidRPr="00D5697D">
        <w:rPr>
          <w:bCs/>
          <w:sz w:val="24"/>
          <w:szCs w:val="24"/>
        </w:rPr>
        <w:t>exames de imagem: metabolismo de glicose</w:t>
      </w:r>
      <w:r w:rsidR="001368E2" w:rsidRPr="001368E2">
        <w:rPr>
          <w:bCs/>
          <w:sz w:val="24"/>
          <w:szCs w:val="24"/>
          <w:vertAlign w:val="superscript"/>
        </w:rPr>
        <w:t>1</w:t>
      </w:r>
      <w:r w:rsidR="00795EE1">
        <w:rPr>
          <w:bCs/>
          <w:sz w:val="24"/>
          <w:szCs w:val="24"/>
          <w:vertAlign w:val="superscript"/>
        </w:rPr>
        <w:t>0</w:t>
      </w:r>
      <w:r w:rsidR="001368E2" w:rsidRPr="001368E2">
        <w:rPr>
          <w:bCs/>
          <w:sz w:val="24"/>
          <w:szCs w:val="24"/>
          <w:vertAlign w:val="superscript"/>
        </w:rPr>
        <w:t>,1</w:t>
      </w:r>
      <w:r w:rsidR="00795EE1">
        <w:rPr>
          <w:bCs/>
          <w:sz w:val="24"/>
          <w:szCs w:val="24"/>
          <w:vertAlign w:val="superscript"/>
        </w:rPr>
        <w:t>1</w:t>
      </w:r>
      <w:r w:rsidRPr="00D5697D">
        <w:rPr>
          <w:bCs/>
          <w:sz w:val="24"/>
          <w:szCs w:val="24"/>
        </w:rPr>
        <w:t xml:space="preserve">, deposição de </w:t>
      </w:r>
      <w:r w:rsidR="006D3AA9" w:rsidRPr="00D5697D">
        <w:rPr>
          <w:bCs/>
          <w:sz w:val="24"/>
          <w:szCs w:val="24"/>
          <w:shd w:val="clear" w:color="auto" w:fill="FFFFFF"/>
        </w:rPr>
        <w:t>Aβ</w:t>
      </w:r>
      <w:r w:rsidR="006D3AA9" w:rsidRPr="001368E2">
        <w:rPr>
          <w:bCs/>
          <w:sz w:val="24"/>
          <w:szCs w:val="24"/>
          <w:vertAlign w:val="superscript"/>
        </w:rPr>
        <w:t xml:space="preserve"> </w:t>
      </w:r>
      <w:r w:rsidR="001368E2" w:rsidRPr="001368E2">
        <w:rPr>
          <w:bCs/>
          <w:sz w:val="24"/>
          <w:szCs w:val="24"/>
          <w:vertAlign w:val="superscript"/>
        </w:rPr>
        <w:t>1</w:t>
      </w:r>
      <w:r w:rsidR="00795EE1">
        <w:rPr>
          <w:bCs/>
          <w:sz w:val="24"/>
          <w:szCs w:val="24"/>
          <w:vertAlign w:val="superscript"/>
        </w:rPr>
        <w:t>0</w:t>
      </w:r>
      <w:r w:rsidR="001368E2" w:rsidRPr="001368E2">
        <w:rPr>
          <w:bCs/>
          <w:sz w:val="24"/>
          <w:szCs w:val="24"/>
          <w:vertAlign w:val="superscript"/>
        </w:rPr>
        <w:t>,1</w:t>
      </w:r>
      <w:r w:rsidR="00795EE1">
        <w:rPr>
          <w:bCs/>
          <w:sz w:val="24"/>
          <w:szCs w:val="24"/>
          <w:vertAlign w:val="superscript"/>
        </w:rPr>
        <w:t>1</w:t>
      </w:r>
      <w:r w:rsidR="001368E2" w:rsidRPr="001368E2">
        <w:rPr>
          <w:bCs/>
          <w:sz w:val="24"/>
          <w:szCs w:val="24"/>
          <w:vertAlign w:val="superscript"/>
        </w:rPr>
        <w:t>,1</w:t>
      </w:r>
      <w:r w:rsidR="00795EE1">
        <w:rPr>
          <w:bCs/>
          <w:sz w:val="24"/>
          <w:szCs w:val="24"/>
          <w:vertAlign w:val="superscript"/>
        </w:rPr>
        <w:t>2</w:t>
      </w:r>
      <w:r w:rsidR="001368E2" w:rsidRPr="001368E2">
        <w:rPr>
          <w:bCs/>
          <w:sz w:val="24"/>
          <w:szCs w:val="24"/>
          <w:vertAlign w:val="superscript"/>
        </w:rPr>
        <w:t>,1</w:t>
      </w:r>
      <w:r w:rsidR="00795EE1">
        <w:rPr>
          <w:bCs/>
          <w:sz w:val="24"/>
          <w:szCs w:val="24"/>
          <w:vertAlign w:val="superscript"/>
        </w:rPr>
        <w:t>3</w:t>
      </w:r>
      <w:r w:rsidR="001368E2" w:rsidRPr="001368E2">
        <w:rPr>
          <w:bCs/>
          <w:sz w:val="24"/>
          <w:szCs w:val="24"/>
          <w:vertAlign w:val="superscript"/>
        </w:rPr>
        <w:t>,1</w:t>
      </w:r>
      <w:r w:rsidR="00795EE1">
        <w:rPr>
          <w:bCs/>
          <w:sz w:val="24"/>
          <w:szCs w:val="24"/>
          <w:vertAlign w:val="superscript"/>
        </w:rPr>
        <w:t>4</w:t>
      </w:r>
      <w:r w:rsidR="001368E2" w:rsidRPr="001368E2">
        <w:rPr>
          <w:bCs/>
          <w:sz w:val="24"/>
          <w:szCs w:val="24"/>
          <w:vertAlign w:val="superscript"/>
        </w:rPr>
        <w:t>,1</w:t>
      </w:r>
      <w:r w:rsidR="00795EE1">
        <w:rPr>
          <w:bCs/>
          <w:sz w:val="24"/>
          <w:szCs w:val="24"/>
          <w:vertAlign w:val="superscript"/>
        </w:rPr>
        <w:t>5</w:t>
      </w:r>
      <w:r w:rsidRPr="00D5697D">
        <w:rPr>
          <w:bCs/>
          <w:sz w:val="24"/>
          <w:szCs w:val="24"/>
        </w:rPr>
        <w:t xml:space="preserve"> e modificações estruturais no cérebro </w:t>
      </w:r>
      <w:r w:rsidR="001368E2" w:rsidRPr="001368E2">
        <w:rPr>
          <w:bCs/>
          <w:sz w:val="24"/>
          <w:szCs w:val="24"/>
          <w:vertAlign w:val="superscript"/>
        </w:rPr>
        <w:t>1</w:t>
      </w:r>
      <w:r w:rsidR="00795EE1">
        <w:rPr>
          <w:bCs/>
          <w:sz w:val="24"/>
          <w:szCs w:val="24"/>
          <w:vertAlign w:val="superscript"/>
        </w:rPr>
        <w:t>0</w:t>
      </w:r>
      <w:r w:rsidR="001368E2" w:rsidRPr="001368E2">
        <w:rPr>
          <w:bCs/>
          <w:sz w:val="24"/>
          <w:szCs w:val="24"/>
          <w:vertAlign w:val="superscript"/>
        </w:rPr>
        <w:t>,1</w:t>
      </w:r>
      <w:r w:rsidR="00795EE1">
        <w:rPr>
          <w:bCs/>
          <w:sz w:val="24"/>
          <w:szCs w:val="24"/>
          <w:vertAlign w:val="superscript"/>
        </w:rPr>
        <w:t>1</w:t>
      </w:r>
      <w:r w:rsidR="001368E2" w:rsidRPr="001368E2">
        <w:rPr>
          <w:bCs/>
          <w:sz w:val="24"/>
          <w:szCs w:val="24"/>
          <w:vertAlign w:val="superscript"/>
        </w:rPr>
        <w:t>,1</w:t>
      </w:r>
      <w:r w:rsidR="00795EE1">
        <w:rPr>
          <w:bCs/>
          <w:sz w:val="24"/>
          <w:szCs w:val="24"/>
          <w:vertAlign w:val="superscript"/>
        </w:rPr>
        <w:t>6</w:t>
      </w:r>
      <w:r w:rsidR="001368E2" w:rsidRPr="001368E2">
        <w:rPr>
          <w:bCs/>
          <w:sz w:val="24"/>
          <w:szCs w:val="24"/>
          <w:vertAlign w:val="superscript"/>
        </w:rPr>
        <w:t>,1</w:t>
      </w:r>
      <w:r w:rsidR="00795EE1">
        <w:rPr>
          <w:bCs/>
          <w:sz w:val="24"/>
          <w:szCs w:val="24"/>
          <w:vertAlign w:val="superscript"/>
        </w:rPr>
        <w:t>7</w:t>
      </w:r>
      <w:r w:rsidR="001368E2" w:rsidRPr="001368E2">
        <w:rPr>
          <w:bCs/>
          <w:sz w:val="24"/>
          <w:szCs w:val="24"/>
          <w:vertAlign w:val="superscript"/>
        </w:rPr>
        <w:t>,1</w:t>
      </w:r>
      <w:r w:rsidR="00795EE1">
        <w:rPr>
          <w:bCs/>
          <w:sz w:val="24"/>
          <w:szCs w:val="24"/>
          <w:vertAlign w:val="superscript"/>
        </w:rPr>
        <w:t>8</w:t>
      </w:r>
      <w:r w:rsidRPr="00D5697D">
        <w:rPr>
          <w:bCs/>
          <w:sz w:val="24"/>
          <w:szCs w:val="24"/>
        </w:rPr>
        <w:t xml:space="preserve">. A revisão também levantou estudos cujos objetivos foram verificar a associação entre fatores gerais de estilo de vida (incluindo a adesão à </w:t>
      </w:r>
      <w:r w:rsidR="008C3657">
        <w:rPr>
          <w:bCs/>
          <w:sz w:val="24"/>
          <w:szCs w:val="24"/>
        </w:rPr>
        <w:t>MeDi</w:t>
      </w:r>
      <w:r w:rsidRPr="00D5697D">
        <w:rPr>
          <w:bCs/>
          <w:sz w:val="24"/>
          <w:szCs w:val="24"/>
        </w:rPr>
        <w:t xml:space="preserve">) com os biomarcadores da DA e/ou com o desempenho cognitivo da população </w:t>
      </w:r>
      <w:r w:rsidR="001368E2" w:rsidRPr="001368E2">
        <w:rPr>
          <w:bCs/>
          <w:sz w:val="24"/>
          <w:szCs w:val="24"/>
          <w:vertAlign w:val="superscript"/>
        </w:rPr>
        <w:t>1</w:t>
      </w:r>
      <w:r w:rsidR="00795EE1">
        <w:rPr>
          <w:bCs/>
          <w:sz w:val="24"/>
          <w:szCs w:val="24"/>
          <w:vertAlign w:val="superscript"/>
        </w:rPr>
        <w:t>1</w:t>
      </w:r>
      <w:r w:rsidR="001368E2" w:rsidRPr="001368E2">
        <w:rPr>
          <w:bCs/>
          <w:sz w:val="24"/>
          <w:szCs w:val="24"/>
          <w:vertAlign w:val="superscript"/>
        </w:rPr>
        <w:t>,</w:t>
      </w:r>
      <w:r w:rsidR="00795EE1">
        <w:rPr>
          <w:bCs/>
          <w:sz w:val="24"/>
          <w:szCs w:val="24"/>
          <w:vertAlign w:val="superscript"/>
        </w:rPr>
        <w:t>19</w:t>
      </w:r>
      <w:r w:rsidR="001368E2" w:rsidRPr="001368E2">
        <w:rPr>
          <w:bCs/>
          <w:sz w:val="24"/>
          <w:szCs w:val="24"/>
          <w:vertAlign w:val="superscript"/>
        </w:rPr>
        <w:t>,2</w:t>
      </w:r>
      <w:r w:rsidR="00795EE1">
        <w:rPr>
          <w:bCs/>
          <w:sz w:val="24"/>
          <w:szCs w:val="24"/>
          <w:vertAlign w:val="superscript"/>
        </w:rPr>
        <w:t>0</w:t>
      </w:r>
      <w:r w:rsidR="001368E2" w:rsidRPr="001368E2">
        <w:rPr>
          <w:bCs/>
          <w:sz w:val="24"/>
          <w:szCs w:val="24"/>
          <w:vertAlign w:val="superscript"/>
        </w:rPr>
        <w:t>,2</w:t>
      </w:r>
      <w:r w:rsidR="00795EE1">
        <w:rPr>
          <w:bCs/>
          <w:sz w:val="24"/>
          <w:szCs w:val="24"/>
          <w:vertAlign w:val="superscript"/>
        </w:rPr>
        <w:t>1</w:t>
      </w:r>
      <w:r w:rsidRPr="00D5697D">
        <w:rPr>
          <w:bCs/>
          <w:sz w:val="24"/>
          <w:szCs w:val="24"/>
        </w:rPr>
        <w:t xml:space="preserve">. Dos estudos que utilizaram a MMKD, um tinha como objetivo verificar a modulação de microbiota intestinal proporcionada por essa dieta e sua associação com biomarcadores de DA no líquido cefalorraquidiano (LCR) </w:t>
      </w:r>
      <w:r w:rsidR="001368E2" w:rsidRPr="001368E2">
        <w:rPr>
          <w:bCs/>
          <w:sz w:val="24"/>
          <w:szCs w:val="24"/>
          <w:vertAlign w:val="superscript"/>
        </w:rPr>
        <w:t>2</w:t>
      </w:r>
      <w:r w:rsidR="00795EE1">
        <w:rPr>
          <w:bCs/>
          <w:sz w:val="24"/>
          <w:szCs w:val="24"/>
          <w:vertAlign w:val="superscript"/>
        </w:rPr>
        <w:t>2</w:t>
      </w:r>
      <w:r w:rsidRPr="00D5697D">
        <w:rPr>
          <w:bCs/>
          <w:sz w:val="24"/>
          <w:szCs w:val="24"/>
        </w:rPr>
        <w:t>; enquanto o outro verificou a associação da MMKD com biomarcadores de DA no LCR, neuroimagens e desempenho cognitivo</w:t>
      </w:r>
      <w:r w:rsidR="001368E2">
        <w:rPr>
          <w:bCs/>
          <w:sz w:val="24"/>
          <w:szCs w:val="24"/>
        </w:rPr>
        <w:t xml:space="preserve"> </w:t>
      </w:r>
      <w:r w:rsidR="001368E2" w:rsidRPr="001368E2">
        <w:rPr>
          <w:bCs/>
          <w:sz w:val="24"/>
          <w:szCs w:val="24"/>
          <w:vertAlign w:val="superscript"/>
        </w:rPr>
        <w:t>2</w:t>
      </w:r>
      <w:r w:rsidR="00795EE1">
        <w:rPr>
          <w:bCs/>
          <w:sz w:val="24"/>
          <w:szCs w:val="24"/>
          <w:vertAlign w:val="superscript"/>
        </w:rPr>
        <w:t>3</w:t>
      </w:r>
      <w:r w:rsidRPr="00D5697D">
        <w:rPr>
          <w:bCs/>
          <w:sz w:val="24"/>
          <w:szCs w:val="24"/>
        </w:rPr>
        <w:t xml:space="preserve">. </w:t>
      </w:r>
    </w:p>
    <w:p w14:paraId="455DF070" w14:textId="05B7DF9C" w:rsidR="007F020F" w:rsidRPr="00D5697D" w:rsidRDefault="007F020F" w:rsidP="00D5697D">
      <w:pPr>
        <w:spacing w:line="480" w:lineRule="auto"/>
        <w:rPr>
          <w:bCs/>
          <w:sz w:val="24"/>
          <w:szCs w:val="24"/>
        </w:rPr>
      </w:pPr>
      <w:r w:rsidRPr="00D5697D">
        <w:rPr>
          <w:bCs/>
          <w:sz w:val="24"/>
          <w:szCs w:val="24"/>
        </w:rPr>
        <w:t xml:space="preserve">Como resultados, os estudos mostraram que uma elevada adesão à </w:t>
      </w:r>
      <w:r w:rsidR="008C3657">
        <w:rPr>
          <w:bCs/>
          <w:sz w:val="24"/>
          <w:szCs w:val="24"/>
        </w:rPr>
        <w:t>MeDi</w:t>
      </w:r>
      <w:r w:rsidRPr="00D5697D">
        <w:rPr>
          <w:bCs/>
          <w:sz w:val="24"/>
          <w:szCs w:val="24"/>
        </w:rPr>
        <w:t xml:space="preserve"> pode: (a) melhorar o metabolismo de glicose no cérebro </w:t>
      </w:r>
      <w:r w:rsidR="00C66A14" w:rsidRPr="00C66A14">
        <w:rPr>
          <w:bCs/>
          <w:sz w:val="24"/>
          <w:szCs w:val="24"/>
          <w:vertAlign w:val="superscript"/>
        </w:rPr>
        <w:t>1</w:t>
      </w:r>
      <w:r w:rsidR="00795EE1">
        <w:rPr>
          <w:bCs/>
          <w:sz w:val="24"/>
          <w:szCs w:val="24"/>
          <w:vertAlign w:val="superscript"/>
        </w:rPr>
        <w:t>0</w:t>
      </w:r>
      <w:r w:rsidR="00C66A14" w:rsidRPr="00C66A14">
        <w:rPr>
          <w:bCs/>
          <w:sz w:val="24"/>
          <w:szCs w:val="24"/>
          <w:vertAlign w:val="superscript"/>
        </w:rPr>
        <w:t>,1</w:t>
      </w:r>
      <w:r w:rsidR="00795EE1">
        <w:rPr>
          <w:bCs/>
          <w:sz w:val="24"/>
          <w:szCs w:val="24"/>
          <w:vertAlign w:val="superscript"/>
        </w:rPr>
        <w:t>1</w:t>
      </w:r>
      <w:r w:rsidR="00C66A14" w:rsidRPr="00C66A14">
        <w:rPr>
          <w:bCs/>
          <w:sz w:val="24"/>
          <w:szCs w:val="24"/>
          <w:vertAlign w:val="superscript"/>
        </w:rPr>
        <w:t>,1</w:t>
      </w:r>
      <w:r w:rsidR="00795EE1">
        <w:rPr>
          <w:bCs/>
          <w:sz w:val="24"/>
          <w:szCs w:val="24"/>
          <w:vertAlign w:val="superscript"/>
        </w:rPr>
        <w:t>7</w:t>
      </w:r>
      <w:r w:rsidRPr="00D5697D">
        <w:rPr>
          <w:bCs/>
          <w:sz w:val="24"/>
          <w:szCs w:val="24"/>
        </w:rPr>
        <w:t xml:space="preserve">, o que está associado a uma maior espessura cortical média e em várias regiões de interesse do cérebro em idosos </w:t>
      </w:r>
      <w:r w:rsidR="00C66A14" w:rsidRPr="00C66A14">
        <w:rPr>
          <w:bCs/>
          <w:sz w:val="24"/>
          <w:szCs w:val="24"/>
          <w:vertAlign w:val="superscript"/>
        </w:rPr>
        <w:t>1</w:t>
      </w:r>
      <w:r w:rsidR="007C0089">
        <w:rPr>
          <w:bCs/>
          <w:sz w:val="24"/>
          <w:szCs w:val="24"/>
          <w:vertAlign w:val="superscript"/>
        </w:rPr>
        <w:t>8</w:t>
      </w:r>
      <w:r w:rsidRPr="00D5697D">
        <w:rPr>
          <w:bCs/>
          <w:sz w:val="24"/>
          <w:szCs w:val="24"/>
        </w:rPr>
        <w:t xml:space="preserve">; (b) reduzir a deposição de </w:t>
      </w:r>
      <w:r w:rsidR="006D3AA9" w:rsidRPr="00D5697D">
        <w:rPr>
          <w:bCs/>
          <w:sz w:val="24"/>
          <w:szCs w:val="24"/>
          <w:shd w:val="clear" w:color="auto" w:fill="FFFFFF"/>
        </w:rPr>
        <w:t>Aβ</w:t>
      </w:r>
      <w:r w:rsidR="006D3AA9" w:rsidRPr="00C66A14">
        <w:rPr>
          <w:bCs/>
          <w:sz w:val="24"/>
          <w:szCs w:val="24"/>
          <w:vertAlign w:val="superscript"/>
        </w:rPr>
        <w:t xml:space="preserve"> </w:t>
      </w:r>
      <w:r w:rsidR="00C66A14" w:rsidRPr="00C66A14">
        <w:rPr>
          <w:bCs/>
          <w:sz w:val="24"/>
          <w:szCs w:val="24"/>
          <w:vertAlign w:val="superscript"/>
        </w:rPr>
        <w:t>1</w:t>
      </w:r>
      <w:r w:rsidR="007C0089">
        <w:rPr>
          <w:bCs/>
          <w:sz w:val="24"/>
          <w:szCs w:val="24"/>
          <w:vertAlign w:val="superscript"/>
        </w:rPr>
        <w:t>0</w:t>
      </w:r>
      <w:r w:rsidR="00C66A14" w:rsidRPr="00C66A14">
        <w:rPr>
          <w:bCs/>
          <w:sz w:val="24"/>
          <w:szCs w:val="24"/>
          <w:vertAlign w:val="superscript"/>
        </w:rPr>
        <w:t>,</w:t>
      </w:r>
      <w:r w:rsidR="00C66A14" w:rsidRPr="00C66A14">
        <w:rPr>
          <w:sz w:val="24"/>
          <w:szCs w:val="24"/>
          <w:vertAlign w:val="superscript"/>
        </w:rPr>
        <w:t>1</w:t>
      </w:r>
      <w:r w:rsidR="007C0089">
        <w:rPr>
          <w:sz w:val="24"/>
          <w:szCs w:val="24"/>
          <w:vertAlign w:val="superscript"/>
        </w:rPr>
        <w:t>3</w:t>
      </w:r>
      <w:r w:rsidR="00C66A14" w:rsidRPr="00C66A14">
        <w:rPr>
          <w:sz w:val="24"/>
          <w:szCs w:val="24"/>
          <w:vertAlign w:val="superscript"/>
        </w:rPr>
        <w:t>,1</w:t>
      </w:r>
      <w:r w:rsidR="007C0089">
        <w:rPr>
          <w:sz w:val="24"/>
          <w:szCs w:val="24"/>
          <w:vertAlign w:val="superscript"/>
        </w:rPr>
        <w:t>4</w:t>
      </w:r>
      <w:r w:rsidR="00C66A14" w:rsidRPr="00C66A14">
        <w:rPr>
          <w:sz w:val="24"/>
          <w:szCs w:val="24"/>
          <w:vertAlign w:val="superscript"/>
        </w:rPr>
        <w:t>,1</w:t>
      </w:r>
      <w:r w:rsidR="007C0089">
        <w:rPr>
          <w:sz w:val="24"/>
          <w:szCs w:val="24"/>
          <w:vertAlign w:val="superscript"/>
        </w:rPr>
        <w:t>5</w:t>
      </w:r>
      <w:r w:rsidRPr="00D5697D">
        <w:rPr>
          <w:bCs/>
          <w:sz w:val="24"/>
          <w:szCs w:val="24"/>
        </w:rPr>
        <w:t xml:space="preserve"> e de proteína tau; (c) aumentar capacidade cognitiva </w:t>
      </w:r>
      <w:r w:rsidR="00C66A14" w:rsidRPr="00C66A14">
        <w:rPr>
          <w:sz w:val="24"/>
          <w:szCs w:val="24"/>
          <w:vertAlign w:val="superscript"/>
        </w:rPr>
        <w:t>1</w:t>
      </w:r>
      <w:r w:rsidR="007C0089">
        <w:rPr>
          <w:sz w:val="24"/>
          <w:szCs w:val="24"/>
          <w:vertAlign w:val="superscript"/>
        </w:rPr>
        <w:t>2</w:t>
      </w:r>
      <w:r w:rsidR="00C66A14" w:rsidRPr="00C66A14">
        <w:rPr>
          <w:sz w:val="24"/>
          <w:szCs w:val="24"/>
          <w:vertAlign w:val="superscript"/>
        </w:rPr>
        <w:t>,1</w:t>
      </w:r>
      <w:r w:rsidR="007C0089">
        <w:rPr>
          <w:sz w:val="24"/>
          <w:szCs w:val="24"/>
          <w:vertAlign w:val="superscript"/>
        </w:rPr>
        <w:t>7</w:t>
      </w:r>
      <w:r w:rsidRPr="00D5697D">
        <w:rPr>
          <w:bCs/>
          <w:sz w:val="24"/>
          <w:szCs w:val="24"/>
        </w:rPr>
        <w:t xml:space="preserve"> ou reduzir o risco de baixa cognição </w:t>
      </w:r>
      <w:r w:rsidR="00C66A14" w:rsidRPr="00C66A14">
        <w:rPr>
          <w:bCs/>
          <w:sz w:val="24"/>
          <w:szCs w:val="24"/>
          <w:vertAlign w:val="superscript"/>
        </w:rPr>
        <w:t>2</w:t>
      </w:r>
      <w:r w:rsidR="007C0089">
        <w:rPr>
          <w:bCs/>
          <w:sz w:val="24"/>
          <w:szCs w:val="24"/>
          <w:vertAlign w:val="superscript"/>
        </w:rPr>
        <w:t>0</w:t>
      </w:r>
      <w:r w:rsidRPr="00D5697D">
        <w:rPr>
          <w:bCs/>
          <w:sz w:val="24"/>
          <w:szCs w:val="24"/>
        </w:rPr>
        <w:t>, principalmente no que tange o desempenho de aprendizado</w:t>
      </w:r>
      <w:r w:rsidR="00C66A14">
        <w:rPr>
          <w:bCs/>
          <w:sz w:val="24"/>
          <w:szCs w:val="24"/>
        </w:rPr>
        <w:t xml:space="preserve"> </w:t>
      </w:r>
      <w:r w:rsidR="00C66A14" w:rsidRPr="00C66A14">
        <w:rPr>
          <w:bCs/>
          <w:sz w:val="24"/>
          <w:szCs w:val="24"/>
          <w:vertAlign w:val="superscript"/>
        </w:rPr>
        <w:t>1</w:t>
      </w:r>
      <w:r w:rsidR="007C0089">
        <w:rPr>
          <w:bCs/>
          <w:sz w:val="24"/>
          <w:szCs w:val="24"/>
          <w:vertAlign w:val="superscript"/>
        </w:rPr>
        <w:t>6</w:t>
      </w:r>
      <w:r w:rsidRPr="00D5697D">
        <w:rPr>
          <w:bCs/>
          <w:sz w:val="24"/>
          <w:szCs w:val="24"/>
        </w:rPr>
        <w:t xml:space="preserve">; e (d) não alterar significativamente a estrutura cerebral, quando o método de exame utilizado é a ressonância magnética (MRI) </w:t>
      </w:r>
      <w:r w:rsidR="00C66A14" w:rsidRPr="00C66A14">
        <w:rPr>
          <w:bCs/>
          <w:sz w:val="24"/>
          <w:szCs w:val="24"/>
          <w:vertAlign w:val="superscript"/>
        </w:rPr>
        <w:t>1</w:t>
      </w:r>
      <w:r w:rsidR="007C0089">
        <w:rPr>
          <w:bCs/>
          <w:sz w:val="24"/>
          <w:szCs w:val="24"/>
          <w:vertAlign w:val="superscript"/>
        </w:rPr>
        <w:t>0</w:t>
      </w:r>
      <w:r w:rsidR="00C66A14" w:rsidRPr="00C66A14">
        <w:rPr>
          <w:bCs/>
          <w:sz w:val="24"/>
          <w:szCs w:val="24"/>
          <w:vertAlign w:val="superscript"/>
        </w:rPr>
        <w:t>,1</w:t>
      </w:r>
      <w:r w:rsidR="007C0089">
        <w:rPr>
          <w:bCs/>
          <w:sz w:val="24"/>
          <w:szCs w:val="24"/>
          <w:vertAlign w:val="superscript"/>
        </w:rPr>
        <w:t>1</w:t>
      </w:r>
      <w:r w:rsidR="00C66A14" w:rsidRPr="00C66A14">
        <w:rPr>
          <w:bCs/>
          <w:sz w:val="24"/>
          <w:szCs w:val="24"/>
          <w:vertAlign w:val="superscript"/>
        </w:rPr>
        <w:t>,1</w:t>
      </w:r>
      <w:r w:rsidR="007C0089">
        <w:rPr>
          <w:bCs/>
          <w:sz w:val="24"/>
          <w:szCs w:val="24"/>
          <w:vertAlign w:val="superscript"/>
        </w:rPr>
        <w:t>7</w:t>
      </w:r>
      <w:r w:rsidRPr="00D5697D">
        <w:rPr>
          <w:bCs/>
          <w:sz w:val="24"/>
          <w:szCs w:val="24"/>
        </w:rPr>
        <w:t xml:space="preserve">. Poucos estudos apresentaram resultados em que a </w:t>
      </w:r>
      <w:r w:rsidR="008C3657">
        <w:rPr>
          <w:bCs/>
          <w:sz w:val="24"/>
          <w:szCs w:val="24"/>
        </w:rPr>
        <w:t>MeDi</w:t>
      </w:r>
      <w:r w:rsidRPr="00D5697D">
        <w:rPr>
          <w:bCs/>
          <w:sz w:val="24"/>
          <w:szCs w:val="24"/>
        </w:rPr>
        <w:t xml:space="preserve"> não influenciou nos parâmetros cognitivos</w:t>
      </w:r>
      <w:r w:rsidR="00C66A14">
        <w:rPr>
          <w:bCs/>
          <w:sz w:val="24"/>
          <w:szCs w:val="24"/>
        </w:rPr>
        <w:t xml:space="preserve"> </w:t>
      </w:r>
      <w:r w:rsidR="00C66A14" w:rsidRPr="00C66A14">
        <w:rPr>
          <w:bCs/>
          <w:sz w:val="24"/>
          <w:szCs w:val="24"/>
          <w:vertAlign w:val="superscript"/>
        </w:rPr>
        <w:t>2</w:t>
      </w:r>
      <w:r w:rsidR="007C0089">
        <w:rPr>
          <w:bCs/>
          <w:sz w:val="24"/>
          <w:szCs w:val="24"/>
          <w:vertAlign w:val="superscript"/>
        </w:rPr>
        <w:t>1</w:t>
      </w:r>
      <w:r w:rsidRPr="00D5697D">
        <w:rPr>
          <w:bCs/>
          <w:sz w:val="24"/>
          <w:szCs w:val="24"/>
        </w:rPr>
        <w:t xml:space="preserve"> ou no risco de demência</w:t>
      </w:r>
      <w:r w:rsidR="00C66A14">
        <w:rPr>
          <w:bCs/>
          <w:sz w:val="24"/>
          <w:szCs w:val="24"/>
        </w:rPr>
        <w:t xml:space="preserve"> </w:t>
      </w:r>
      <w:r w:rsidR="00C66A14" w:rsidRPr="00C66A14">
        <w:rPr>
          <w:bCs/>
          <w:sz w:val="24"/>
          <w:szCs w:val="24"/>
          <w:vertAlign w:val="superscript"/>
        </w:rPr>
        <w:t>2</w:t>
      </w:r>
      <w:r w:rsidR="007C0089">
        <w:rPr>
          <w:bCs/>
          <w:sz w:val="24"/>
          <w:szCs w:val="24"/>
          <w:vertAlign w:val="superscript"/>
        </w:rPr>
        <w:t>4</w:t>
      </w:r>
      <w:r w:rsidRPr="00D5697D">
        <w:rPr>
          <w:bCs/>
          <w:sz w:val="24"/>
          <w:szCs w:val="24"/>
        </w:rPr>
        <w:t xml:space="preserve">. Neste último estudo, a dieta DASH também não foi associada com </w:t>
      </w:r>
      <w:r w:rsidR="00075E97">
        <w:rPr>
          <w:bCs/>
          <w:sz w:val="24"/>
          <w:szCs w:val="24"/>
        </w:rPr>
        <w:t xml:space="preserve">menor </w:t>
      </w:r>
      <w:r w:rsidRPr="00D5697D">
        <w:rPr>
          <w:bCs/>
          <w:sz w:val="24"/>
          <w:szCs w:val="24"/>
        </w:rPr>
        <w:t>risco de demência</w:t>
      </w:r>
      <w:r w:rsidR="00C66A14">
        <w:rPr>
          <w:bCs/>
          <w:sz w:val="24"/>
          <w:szCs w:val="24"/>
        </w:rPr>
        <w:t xml:space="preserve"> </w:t>
      </w:r>
      <w:r w:rsidR="00C66A14" w:rsidRPr="00C66A14">
        <w:rPr>
          <w:bCs/>
          <w:sz w:val="24"/>
          <w:szCs w:val="24"/>
          <w:vertAlign w:val="superscript"/>
        </w:rPr>
        <w:t>2</w:t>
      </w:r>
      <w:r w:rsidR="007C0089">
        <w:rPr>
          <w:bCs/>
          <w:sz w:val="24"/>
          <w:szCs w:val="24"/>
          <w:vertAlign w:val="superscript"/>
        </w:rPr>
        <w:t>4</w:t>
      </w:r>
      <w:r w:rsidRPr="00D5697D">
        <w:rPr>
          <w:bCs/>
          <w:sz w:val="24"/>
          <w:szCs w:val="24"/>
        </w:rPr>
        <w:t>.</w:t>
      </w:r>
    </w:p>
    <w:p w14:paraId="3FDDE3D6" w14:textId="0E07B42C" w:rsidR="007F020F" w:rsidRPr="00D5697D" w:rsidRDefault="007F020F" w:rsidP="00B15D6D">
      <w:pPr>
        <w:spacing w:line="480" w:lineRule="auto"/>
        <w:rPr>
          <w:bCs/>
          <w:sz w:val="24"/>
          <w:szCs w:val="24"/>
        </w:rPr>
      </w:pPr>
      <w:r w:rsidRPr="00D5697D">
        <w:rPr>
          <w:bCs/>
          <w:sz w:val="24"/>
          <w:szCs w:val="24"/>
        </w:rPr>
        <w:lastRenderedPageBreak/>
        <w:t>Os estudos que trabalharam com a MMKD mostraram que essa dieta modula a microbiota intestinal, o que pode melhorar os biomarcadores de DA no LCR</w:t>
      </w:r>
      <w:r w:rsidR="00C66A14">
        <w:rPr>
          <w:bCs/>
          <w:sz w:val="24"/>
          <w:szCs w:val="24"/>
        </w:rPr>
        <w:t xml:space="preserve"> </w:t>
      </w:r>
      <w:r w:rsidR="00C66A14" w:rsidRPr="00C66A14">
        <w:rPr>
          <w:bCs/>
          <w:sz w:val="24"/>
          <w:szCs w:val="24"/>
          <w:vertAlign w:val="superscript"/>
        </w:rPr>
        <w:t>2</w:t>
      </w:r>
      <w:r w:rsidR="007C0089">
        <w:rPr>
          <w:bCs/>
          <w:sz w:val="24"/>
          <w:szCs w:val="24"/>
          <w:vertAlign w:val="superscript"/>
        </w:rPr>
        <w:t>2</w:t>
      </w:r>
      <w:r w:rsidRPr="00D5697D">
        <w:rPr>
          <w:bCs/>
          <w:sz w:val="24"/>
          <w:szCs w:val="24"/>
        </w:rPr>
        <w:t>, reduzir a glicemia, reduzir a hemoglobina glicada (HbA1C), aumentar a perfusão cerebral, reduzir o conteúdo de proteína tau no LCR e melhorar o desempenho cognitivo</w:t>
      </w:r>
      <w:r w:rsidR="00C66A14">
        <w:rPr>
          <w:bCs/>
          <w:sz w:val="24"/>
          <w:szCs w:val="24"/>
        </w:rPr>
        <w:t xml:space="preserve"> </w:t>
      </w:r>
      <w:r w:rsidR="00C66A14" w:rsidRPr="00C66A14">
        <w:rPr>
          <w:bCs/>
          <w:sz w:val="24"/>
          <w:szCs w:val="24"/>
          <w:vertAlign w:val="superscript"/>
        </w:rPr>
        <w:t>2</w:t>
      </w:r>
      <w:r w:rsidR="007C0089">
        <w:rPr>
          <w:bCs/>
          <w:sz w:val="24"/>
          <w:szCs w:val="24"/>
          <w:vertAlign w:val="superscript"/>
        </w:rPr>
        <w:t>3</w:t>
      </w:r>
      <w:r w:rsidRPr="00D5697D">
        <w:rPr>
          <w:bCs/>
          <w:sz w:val="24"/>
          <w:szCs w:val="24"/>
        </w:rPr>
        <w:t xml:space="preserve">. Um estudo demonstrou que o estilo de vida mediterrâneo como um todo, mais do que cada item desse estilo isoladamente, pode reduzir o risco de MCI e de baixa cognição </w:t>
      </w:r>
      <w:r w:rsidR="007C0089">
        <w:rPr>
          <w:bCs/>
          <w:sz w:val="24"/>
          <w:szCs w:val="24"/>
          <w:vertAlign w:val="superscript"/>
        </w:rPr>
        <w:t>19</w:t>
      </w:r>
      <w:r w:rsidRPr="00D5697D">
        <w:rPr>
          <w:bCs/>
          <w:sz w:val="24"/>
          <w:szCs w:val="24"/>
        </w:rPr>
        <w:t xml:space="preserve">. </w:t>
      </w:r>
    </w:p>
    <w:p w14:paraId="3E7A58D7" w14:textId="4A12761D" w:rsidR="007F020F" w:rsidRPr="00D5697D" w:rsidRDefault="007F020F" w:rsidP="00B15D6D">
      <w:pPr>
        <w:spacing w:line="480" w:lineRule="auto"/>
        <w:rPr>
          <w:bCs/>
          <w:sz w:val="24"/>
          <w:szCs w:val="24"/>
        </w:rPr>
      </w:pPr>
      <w:r w:rsidRPr="00D5697D">
        <w:rPr>
          <w:bCs/>
          <w:sz w:val="24"/>
          <w:szCs w:val="24"/>
        </w:rPr>
        <w:t xml:space="preserve">Como resultados secundários, estudos mostraram que a alimentação à base de </w:t>
      </w:r>
      <w:r w:rsidRPr="00D5697D">
        <w:rPr>
          <w:bCs/>
          <w:i/>
          <w:iCs/>
          <w:sz w:val="24"/>
          <w:szCs w:val="24"/>
        </w:rPr>
        <w:t>junk foods</w:t>
      </w:r>
      <w:r w:rsidRPr="00D5697D">
        <w:rPr>
          <w:bCs/>
          <w:sz w:val="24"/>
          <w:szCs w:val="24"/>
        </w:rPr>
        <w:t xml:space="preserve"> </w:t>
      </w:r>
      <w:r w:rsidR="00C66A14" w:rsidRPr="00C66A14">
        <w:rPr>
          <w:bCs/>
          <w:sz w:val="24"/>
          <w:szCs w:val="24"/>
          <w:vertAlign w:val="superscript"/>
        </w:rPr>
        <w:t>1</w:t>
      </w:r>
      <w:r w:rsidR="007C0089">
        <w:rPr>
          <w:bCs/>
          <w:sz w:val="24"/>
          <w:szCs w:val="24"/>
          <w:vertAlign w:val="superscript"/>
        </w:rPr>
        <w:t>2</w:t>
      </w:r>
      <w:r w:rsidRPr="00D5697D">
        <w:rPr>
          <w:bCs/>
          <w:sz w:val="24"/>
          <w:szCs w:val="24"/>
        </w:rPr>
        <w:t xml:space="preserve"> e carboidratos, especialmente açúcares </w:t>
      </w:r>
      <w:r w:rsidR="00C66A14" w:rsidRPr="00C66A14">
        <w:rPr>
          <w:bCs/>
          <w:sz w:val="24"/>
          <w:szCs w:val="24"/>
          <w:vertAlign w:val="superscript"/>
        </w:rPr>
        <w:t>1</w:t>
      </w:r>
      <w:r w:rsidR="007C0089">
        <w:rPr>
          <w:bCs/>
          <w:sz w:val="24"/>
          <w:szCs w:val="24"/>
          <w:vertAlign w:val="superscript"/>
        </w:rPr>
        <w:t>8</w:t>
      </w:r>
      <w:r w:rsidRPr="00D5697D">
        <w:rPr>
          <w:bCs/>
          <w:sz w:val="24"/>
          <w:szCs w:val="24"/>
        </w:rPr>
        <w:t xml:space="preserve">, podem aumentar a deposição de </w:t>
      </w:r>
      <w:r w:rsidR="006D3AA9" w:rsidRPr="00D5697D">
        <w:rPr>
          <w:bCs/>
          <w:sz w:val="24"/>
          <w:szCs w:val="24"/>
          <w:shd w:val="clear" w:color="auto" w:fill="FFFFFF"/>
        </w:rPr>
        <w:t>Aβ</w:t>
      </w:r>
      <w:r w:rsidR="006D3AA9" w:rsidRPr="00D5697D">
        <w:rPr>
          <w:bCs/>
          <w:sz w:val="24"/>
          <w:szCs w:val="24"/>
        </w:rPr>
        <w:t xml:space="preserve"> </w:t>
      </w:r>
      <w:r w:rsidRPr="00D5697D">
        <w:rPr>
          <w:bCs/>
          <w:sz w:val="24"/>
          <w:szCs w:val="24"/>
        </w:rPr>
        <w:t xml:space="preserve">e reduzir espessura cortical; enquanto a prática de atividade física pode reduzir a deposição de </w:t>
      </w:r>
      <w:r w:rsidR="006D3AA9" w:rsidRPr="00D5697D">
        <w:rPr>
          <w:bCs/>
          <w:sz w:val="24"/>
          <w:szCs w:val="24"/>
          <w:shd w:val="clear" w:color="auto" w:fill="FFFFFF"/>
        </w:rPr>
        <w:t>Aβ</w:t>
      </w:r>
      <w:r w:rsidR="006D3AA9" w:rsidRPr="00D5697D">
        <w:rPr>
          <w:bCs/>
          <w:sz w:val="24"/>
          <w:szCs w:val="24"/>
        </w:rPr>
        <w:t xml:space="preserve"> </w:t>
      </w:r>
      <w:r w:rsidRPr="00D5697D">
        <w:rPr>
          <w:bCs/>
          <w:sz w:val="24"/>
          <w:szCs w:val="24"/>
        </w:rPr>
        <w:t xml:space="preserve">em pacientes com MCI </w:t>
      </w:r>
      <w:r w:rsidR="00C66A14" w:rsidRPr="00C66A14">
        <w:rPr>
          <w:bCs/>
          <w:sz w:val="24"/>
          <w:szCs w:val="24"/>
          <w:vertAlign w:val="superscript"/>
        </w:rPr>
        <w:t>1</w:t>
      </w:r>
      <w:r w:rsidR="007C0089">
        <w:rPr>
          <w:bCs/>
          <w:sz w:val="24"/>
          <w:szCs w:val="24"/>
          <w:vertAlign w:val="superscript"/>
        </w:rPr>
        <w:t>3</w:t>
      </w:r>
      <w:r w:rsidRPr="00D5697D">
        <w:rPr>
          <w:bCs/>
          <w:sz w:val="24"/>
          <w:szCs w:val="24"/>
        </w:rPr>
        <w:t>.</w:t>
      </w:r>
    </w:p>
    <w:p w14:paraId="7B81B27C" w14:textId="77777777" w:rsidR="0000343B" w:rsidRPr="00D5697D" w:rsidRDefault="0000343B" w:rsidP="00D5697D">
      <w:pPr>
        <w:pStyle w:val="PargrafodaLista"/>
        <w:tabs>
          <w:tab w:val="left" w:pos="284"/>
        </w:tabs>
        <w:spacing w:line="480" w:lineRule="auto"/>
        <w:ind w:left="0"/>
        <w:rPr>
          <w:bCs/>
          <w:sz w:val="24"/>
          <w:szCs w:val="24"/>
        </w:rPr>
      </w:pPr>
    </w:p>
    <w:p w14:paraId="2C0B74EC" w14:textId="6390406F" w:rsidR="007F020F" w:rsidRPr="00D5697D" w:rsidRDefault="007F020F" w:rsidP="00D5697D">
      <w:pPr>
        <w:pStyle w:val="PargrafodaLista"/>
        <w:tabs>
          <w:tab w:val="left" w:pos="284"/>
        </w:tabs>
        <w:spacing w:line="480" w:lineRule="auto"/>
        <w:ind w:left="0"/>
        <w:rPr>
          <w:bCs/>
          <w:sz w:val="24"/>
          <w:szCs w:val="24"/>
          <w:shd w:val="clear" w:color="auto" w:fill="FFFFFF"/>
        </w:rPr>
      </w:pPr>
      <w:r w:rsidRPr="00D5697D">
        <w:rPr>
          <w:b/>
          <w:sz w:val="24"/>
          <w:szCs w:val="24"/>
        </w:rPr>
        <w:t>DISCUSSÃO</w:t>
      </w:r>
    </w:p>
    <w:p w14:paraId="4E9145FE" w14:textId="17B25341" w:rsidR="007F020F" w:rsidRPr="00D5697D" w:rsidRDefault="00461D00" w:rsidP="00B15D6D">
      <w:pPr>
        <w:shd w:val="clear" w:color="auto" w:fill="FFFFFF"/>
        <w:spacing w:line="480" w:lineRule="auto"/>
        <w:contextualSpacing w:val="0"/>
        <w:rPr>
          <w:bCs/>
          <w:sz w:val="24"/>
          <w:szCs w:val="24"/>
          <w:shd w:val="clear" w:color="auto" w:fill="FFFFFF"/>
        </w:rPr>
      </w:pPr>
      <w:r w:rsidRPr="00D90AA3">
        <w:rPr>
          <w:bCs/>
          <w:sz w:val="24"/>
          <w:szCs w:val="24"/>
        </w:rPr>
        <w:t>Segundo Berti et. al.</w:t>
      </w:r>
      <w:r w:rsidRPr="00D90AA3">
        <w:rPr>
          <w:bCs/>
          <w:sz w:val="24"/>
          <w:szCs w:val="24"/>
          <w:vertAlign w:val="superscript"/>
        </w:rPr>
        <w:t>1</w:t>
      </w:r>
      <w:r w:rsidR="007C0089">
        <w:rPr>
          <w:bCs/>
          <w:sz w:val="24"/>
          <w:szCs w:val="24"/>
          <w:vertAlign w:val="superscript"/>
        </w:rPr>
        <w:t>0</w:t>
      </w:r>
      <w:r w:rsidRPr="00D90AA3">
        <w:rPr>
          <w:bCs/>
          <w:sz w:val="24"/>
          <w:szCs w:val="24"/>
        </w:rPr>
        <w:t>, Merril et. al.</w:t>
      </w:r>
      <w:r w:rsidRPr="00D90AA3">
        <w:rPr>
          <w:bCs/>
          <w:sz w:val="24"/>
          <w:szCs w:val="24"/>
          <w:vertAlign w:val="superscript"/>
        </w:rPr>
        <w:t>1</w:t>
      </w:r>
      <w:r w:rsidR="007C0089">
        <w:rPr>
          <w:bCs/>
          <w:sz w:val="24"/>
          <w:szCs w:val="24"/>
          <w:vertAlign w:val="superscript"/>
        </w:rPr>
        <w:t>3</w:t>
      </w:r>
      <w:r w:rsidRPr="00D90AA3">
        <w:rPr>
          <w:bCs/>
          <w:sz w:val="24"/>
          <w:szCs w:val="24"/>
        </w:rPr>
        <w:t>, Rainey-Smith et. al.</w:t>
      </w:r>
      <w:r w:rsidRPr="00D90AA3">
        <w:rPr>
          <w:bCs/>
          <w:sz w:val="24"/>
          <w:szCs w:val="24"/>
          <w:vertAlign w:val="superscript"/>
        </w:rPr>
        <w:t>1</w:t>
      </w:r>
      <w:r w:rsidR="007C0089">
        <w:rPr>
          <w:bCs/>
          <w:sz w:val="24"/>
          <w:szCs w:val="24"/>
          <w:vertAlign w:val="superscript"/>
        </w:rPr>
        <w:t>4</w:t>
      </w:r>
      <w:r w:rsidRPr="00D90AA3">
        <w:rPr>
          <w:bCs/>
          <w:sz w:val="24"/>
          <w:szCs w:val="24"/>
        </w:rPr>
        <w:t xml:space="preserve"> e Vassilaki et. al.</w:t>
      </w:r>
      <w:r w:rsidRPr="00D90AA3">
        <w:rPr>
          <w:bCs/>
          <w:sz w:val="24"/>
          <w:szCs w:val="24"/>
          <w:vertAlign w:val="superscript"/>
        </w:rPr>
        <w:t>1</w:t>
      </w:r>
      <w:r w:rsidR="007C0089">
        <w:rPr>
          <w:bCs/>
          <w:sz w:val="24"/>
          <w:szCs w:val="24"/>
          <w:vertAlign w:val="superscript"/>
        </w:rPr>
        <w:t>5</w:t>
      </w:r>
      <w:r w:rsidRPr="00D90AA3">
        <w:rPr>
          <w:bCs/>
          <w:sz w:val="24"/>
          <w:szCs w:val="24"/>
        </w:rPr>
        <w:t>, uma ma</w:t>
      </w:r>
      <w:r w:rsidR="00D90AA3" w:rsidRPr="00D90AA3">
        <w:rPr>
          <w:bCs/>
          <w:sz w:val="24"/>
          <w:szCs w:val="24"/>
        </w:rPr>
        <w:t>i</w:t>
      </w:r>
      <w:r w:rsidR="007F020F" w:rsidRPr="00D90AA3">
        <w:rPr>
          <w:bCs/>
          <w:sz w:val="24"/>
          <w:szCs w:val="24"/>
        </w:rPr>
        <w:t>or adesão</w:t>
      </w:r>
      <w:r w:rsidR="007F020F" w:rsidRPr="00D5697D">
        <w:rPr>
          <w:bCs/>
          <w:sz w:val="24"/>
          <w:szCs w:val="24"/>
        </w:rPr>
        <w:t xml:space="preserve"> à </w:t>
      </w:r>
      <w:r w:rsidR="008C3657">
        <w:rPr>
          <w:bCs/>
          <w:sz w:val="24"/>
          <w:szCs w:val="24"/>
        </w:rPr>
        <w:t>MeDi</w:t>
      </w:r>
      <w:r w:rsidR="007F020F" w:rsidRPr="00D5697D">
        <w:rPr>
          <w:bCs/>
          <w:sz w:val="24"/>
          <w:szCs w:val="24"/>
        </w:rPr>
        <w:t xml:space="preserve"> pode reduzir a deposição de </w:t>
      </w:r>
      <w:r w:rsidR="006D3AA9" w:rsidRPr="00D5697D">
        <w:rPr>
          <w:bCs/>
          <w:sz w:val="24"/>
          <w:szCs w:val="24"/>
          <w:shd w:val="clear" w:color="auto" w:fill="FFFFFF"/>
        </w:rPr>
        <w:t>Aβ</w:t>
      </w:r>
      <w:r w:rsidR="006D3AA9" w:rsidRPr="00D5697D">
        <w:rPr>
          <w:bCs/>
          <w:sz w:val="24"/>
          <w:szCs w:val="24"/>
        </w:rPr>
        <w:t xml:space="preserve"> </w:t>
      </w:r>
      <w:r w:rsidR="007F020F" w:rsidRPr="00D5697D">
        <w:rPr>
          <w:bCs/>
          <w:sz w:val="24"/>
          <w:szCs w:val="24"/>
        </w:rPr>
        <w:t xml:space="preserve">e de proteína tau no cérebro. Desses estudos, </w:t>
      </w:r>
      <w:r w:rsidR="00D90AA3" w:rsidRPr="00D90AA3">
        <w:rPr>
          <w:bCs/>
          <w:sz w:val="24"/>
          <w:szCs w:val="24"/>
        </w:rPr>
        <w:t>Rainey-Smith et. al.</w:t>
      </w:r>
      <w:r w:rsidR="00D90AA3" w:rsidRPr="00D90AA3">
        <w:rPr>
          <w:bCs/>
          <w:sz w:val="24"/>
          <w:szCs w:val="24"/>
          <w:vertAlign w:val="superscript"/>
        </w:rPr>
        <w:t>1</w:t>
      </w:r>
      <w:r w:rsidR="007C0089">
        <w:rPr>
          <w:bCs/>
          <w:sz w:val="24"/>
          <w:szCs w:val="24"/>
          <w:vertAlign w:val="superscript"/>
        </w:rPr>
        <w:t>4</w:t>
      </w:r>
      <w:r w:rsidR="00D90AA3" w:rsidRPr="00D90AA3">
        <w:rPr>
          <w:bCs/>
          <w:sz w:val="24"/>
          <w:szCs w:val="24"/>
        </w:rPr>
        <w:t xml:space="preserve"> </w:t>
      </w:r>
      <w:r w:rsidR="007F020F" w:rsidRPr="00D5697D">
        <w:rPr>
          <w:bCs/>
          <w:sz w:val="24"/>
          <w:szCs w:val="24"/>
          <w:shd w:val="clear" w:color="auto" w:fill="FFFFFF"/>
        </w:rPr>
        <w:t xml:space="preserve">e </w:t>
      </w:r>
      <w:r w:rsidR="00D90AA3" w:rsidRPr="00D90AA3">
        <w:rPr>
          <w:bCs/>
          <w:sz w:val="24"/>
          <w:szCs w:val="24"/>
        </w:rPr>
        <w:t>Vassilaki et. al.</w:t>
      </w:r>
      <w:r w:rsidR="00D90AA3" w:rsidRPr="00D90AA3">
        <w:rPr>
          <w:bCs/>
          <w:sz w:val="24"/>
          <w:szCs w:val="24"/>
          <w:vertAlign w:val="superscript"/>
        </w:rPr>
        <w:t>1</w:t>
      </w:r>
      <w:r w:rsidR="007C0089">
        <w:rPr>
          <w:bCs/>
          <w:sz w:val="24"/>
          <w:szCs w:val="24"/>
          <w:vertAlign w:val="superscript"/>
        </w:rPr>
        <w:t>5</w:t>
      </w:r>
      <w:r w:rsidR="007F020F" w:rsidRPr="00D5697D">
        <w:rPr>
          <w:bCs/>
          <w:sz w:val="24"/>
          <w:szCs w:val="24"/>
          <w:shd w:val="clear" w:color="auto" w:fill="FFFFFF"/>
        </w:rPr>
        <w:t xml:space="preserve">, juntamente com </w:t>
      </w:r>
      <w:r w:rsidR="00D90AA3">
        <w:rPr>
          <w:bCs/>
          <w:sz w:val="24"/>
          <w:szCs w:val="24"/>
          <w:shd w:val="clear" w:color="auto" w:fill="FFFFFF"/>
        </w:rPr>
        <w:t>Staubo et. al.</w:t>
      </w:r>
      <w:r w:rsidR="006E5CE5" w:rsidRPr="00D90AA3">
        <w:rPr>
          <w:bCs/>
          <w:sz w:val="24"/>
          <w:szCs w:val="24"/>
          <w:shd w:val="clear" w:color="auto" w:fill="FFFFFF"/>
          <w:vertAlign w:val="superscript"/>
        </w:rPr>
        <w:t>1</w:t>
      </w:r>
      <w:r w:rsidR="007C0089">
        <w:rPr>
          <w:bCs/>
          <w:sz w:val="24"/>
          <w:szCs w:val="24"/>
          <w:shd w:val="clear" w:color="auto" w:fill="FFFFFF"/>
          <w:vertAlign w:val="superscript"/>
        </w:rPr>
        <w:t>8</w:t>
      </w:r>
      <w:r w:rsidR="007F020F" w:rsidRPr="00D5697D">
        <w:rPr>
          <w:bCs/>
          <w:sz w:val="24"/>
          <w:szCs w:val="24"/>
          <w:shd w:val="clear" w:color="auto" w:fill="FFFFFF"/>
        </w:rPr>
        <w:t xml:space="preserve">, apontaram alimentos específicos cujo consumo habitual está diretamente associado à redução de deposição de </w:t>
      </w:r>
      <w:r w:rsidR="006D3AA9" w:rsidRPr="00D5697D">
        <w:rPr>
          <w:bCs/>
          <w:sz w:val="24"/>
          <w:szCs w:val="24"/>
          <w:shd w:val="clear" w:color="auto" w:fill="FFFFFF"/>
        </w:rPr>
        <w:t xml:space="preserve">Aβ </w:t>
      </w:r>
      <w:r w:rsidR="007F020F" w:rsidRPr="00D5697D">
        <w:rPr>
          <w:bCs/>
          <w:sz w:val="24"/>
          <w:szCs w:val="24"/>
          <w:shd w:val="clear" w:color="auto" w:fill="FFFFFF"/>
        </w:rPr>
        <w:t xml:space="preserve">no cérebro ou à maior espessura cortical, são eles: frutas, peixes, legumes e vegetais ricos em vitamina A ou betacaroteno. Todos esses alimentos constituem a base da </w:t>
      </w:r>
      <w:r w:rsidR="008C3657">
        <w:rPr>
          <w:bCs/>
          <w:sz w:val="24"/>
          <w:szCs w:val="24"/>
        </w:rPr>
        <w:t>MeDi</w:t>
      </w:r>
      <w:r w:rsidR="007F020F" w:rsidRPr="00D5697D">
        <w:rPr>
          <w:bCs/>
          <w:sz w:val="24"/>
          <w:szCs w:val="24"/>
          <w:shd w:val="clear" w:color="auto" w:fill="FFFFFF"/>
        </w:rPr>
        <w:t>, juntamente com o azeite de oliva</w:t>
      </w:r>
      <w:r w:rsidR="00445745">
        <w:rPr>
          <w:bCs/>
          <w:sz w:val="24"/>
          <w:szCs w:val="24"/>
          <w:shd w:val="clear" w:color="auto" w:fill="FFFFFF"/>
        </w:rPr>
        <w:t xml:space="preserve"> extravirgem</w:t>
      </w:r>
      <w:r w:rsidR="007F020F" w:rsidRPr="00D5697D">
        <w:rPr>
          <w:bCs/>
          <w:sz w:val="24"/>
          <w:szCs w:val="24"/>
          <w:shd w:val="clear" w:color="auto" w:fill="FFFFFF"/>
        </w:rPr>
        <w:t xml:space="preserve">, os grãos integrais e o vinho tinto. Na </w:t>
      </w:r>
      <w:r w:rsidR="008C3657">
        <w:rPr>
          <w:bCs/>
          <w:sz w:val="24"/>
          <w:szCs w:val="24"/>
        </w:rPr>
        <w:t>MeDi</w:t>
      </w:r>
      <w:r w:rsidR="007F020F" w:rsidRPr="00D5697D">
        <w:rPr>
          <w:bCs/>
          <w:sz w:val="24"/>
          <w:szCs w:val="24"/>
          <w:shd w:val="clear" w:color="auto" w:fill="FFFFFF"/>
        </w:rPr>
        <w:t xml:space="preserve">, observa-se uma elevada proporção de ácidos graxos mono e poli-insaturados (azeite, peixes) e uma ingestão praticamente nula de gorduras </w:t>
      </w:r>
      <w:r w:rsidR="007F020F" w:rsidRPr="00445745">
        <w:rPr>
          <w:bCs/>
          <w:i/>
          <w:iCs/>
          <w:sz w:val="24"/>
          <w:szCs w:val="24"/>
          <w:shd w:val="clear" w:color="auto" w:fill="FFFFFF"/>
        </w:rPr>
        <w:t>trans</w:t>
      </w:r>
      <w:r w:rsidR="007F020F" w:rsidRPr="00D5697D">
        <w:rPr>
          <w:bCs/>
          <w:sz w:val="24"/>
          <w:szCs w:val="24"/>
          <w:shd w:val="clear" w:color="auto" w:fill="FFFFFF"/>
        </w:rPr>
        <w:t xml:space="preserve">, bem como uma alta ingestão de fibras alimentares (vegetais, grãos integrais) e de substâncias bioativas de efeitos anti-inflamatórios e </w:t>
      </w:r>
      <w:r w:rsidR="007F020F" w:rsidRPr="00D5697D">
        <w:rPr>
          <w:bCs/>
          <w:sz w:val="24"/>
          <w:szCs w:val="24"/>
          <w:shd w:val="clear" w:color="auto" w:fill="FFFFFF"/>
        </w:rPr>
        <w:lastRenderedPageBreak/>
        <w:t xml:space="preserve">antioxidantes (vegetais, azeite, vinho). Esses componentes agem sinergicamente sobre várias vias metabólicas, levando a uma redução do estresse oxidativo e do risco de doenças </w:t>
      </w:r>
      <w:r w:rsidR="007C0089">
        <w:rPr>
          <w:bCs/>
          <w:sz w:val="24"/>
          <w:szCs w:val="24"/>
          <w:shd w:val="clear" w:color="auto" w:fill="FFFFFF"/>
        </w:rPr>
        <w:t>inflamatóri</w:t>
      </w:r>
      <w:r w:rsidR="007F020F" w:rsidRPr="00D5697D">
        <w:rPr>
          <w:bCs/>
          <w:sz w:val="24"/>
          <w:szCs w:val="24"/>
          <w:shd w:val="clear" w:color="auto" w:fill="FFFFFF"/>
        </w:rPr>
        <w:t>as</w:t>
      </w:r>
      <w:r w:rsidR="007C0089">
        <w:rPr>
          <w:bCs/>
          <w:sz w:val="24"/>
          <w:szCs w:val="24"/>
          <w:shd w:val="clear" w:color="auto" w:fill="FFFFFF"/>
          <w:vertAlign w:val="superscript"/>
        </w:rPr>
        <w:t>8</w:t>
      </w:r>
      <w:r w:rsidR="007F020F" w:rsidRPr="00D5697D">
        <w:rPr>
          <w:bCs/>
          <w:sz w:val="24"/>
          <w:szCs w:val="24"/>
          <w:shd w:val="clear" w:color="auto" w:fill="FFFFFF"/>
        </w:rPr>
        <w:t xml:space="preserve">. </w:t>
      </w:r>
    </w:p>
    <w:p w14:paraId="36370D52" w14:textId="7598CF10" w:rsidR="007F020F" w:rsidRPr="00D5697D" w:rsidRDefault="00D90AA3" w:rsidP="00B15D6D">
      <w:pPr>
        <w:shd w:val="clear" w:color="auto" w:fill="FFFFFF"/>
        <w:spacing w:line="480" w:lineRule="auto"/>
        <w:contextualSpacing w:val="0"/>
        <w:rPr>
          <w:bCs/>
          <w:sz w:val="24"/>
          <w:szCs w:val="24"/>
          <w:shd w:val="clear" w:color="auto" w:fill="FFFFFF"/>
        </w:rPr>
      </w:pPr>
      <w:r>
        <w:rPr>
          <w:bCs/>
          <w:sz w:val="24"/>
          <w:szCs w:val="24"/>
        </w:rPr>
        <w:t>Merril et. al.</w:t>
      </w:r>
      <w:r w:rsidR="006E5CE5" w:rsidRPr="00D90AA3">
        <w:rPr>
          <w:bCs/>
          <w:sz w:val="24"/>
          <w:szCs w:val="24"/>
          <w:vertAlign w:val="superscript"/>
        </w:rPr>
        <w:t>1</w:t>
      </w:r>
      <w:r w:rsidR="007C0089">
        <w:rPr>
          <w:bCs/>
          <w:sz w:val="24"/>
          <w:szCs w:val="24"/>
          <w:vertAlign w:val="superscript"/>
        </w:rPr>
        <w:t>3</w:t>
      </w:r>
      <w:r w:rsidR="007F020F" w:rsidRPr="00D5697D">
        <w:rPr>
          <w:bCs/>
          <w:sz w:val="24"/>
          <w:szCs w:val="24"/>
        </w:rPr>
        <w:t xml:space="preserve"> mostrou que indivíduos com IMC elevado tendem a apresentar maior deposição de </w:t>
      </w:r>
      <w:r w:rsidR="006D3AA9" w:rsidRPr="00D5697D">
        <w:rPr>
          <w:bCs/>
          <w:sz w:val="24"/>
          <w:szCs w:val="24"/>
          <w:shd w:val="clear" w:color="auto" w:fill="FFFFFF"/>
        </w:rPr>
        <w:t>Aβ</w:t>
      </w:r>
      <w:r w:rsidR="006D3AA9" w:rsidRPr="00D5697D">
        <w:rPr>
          <w:bCs/>
          <w:sz w:val="24"/>
          <w:szCs w:val="24"/>
        </w:rPr>
        <w:t xml:space="preserve"> </w:t>
      </w:r>
      <w:r w:rsidR="007F020F" w:rsidRPr="00D5697D">
        <w:rPr>
          <w:bCs/>
          <w:sz w:val="24"/>
          <w:szCs w:val="24"/>
        </w:rPr>
        <w:t xml:space="preserve">e de proteína tau no cérebro, e podem se beneficiar da </w:t>
      </w:r>
      <w:r w:rsidR="008C3657">
        <w:rPr>
          <w:bCs/>
          <w:sz w:val="24"/>
          <w:szCs w:val="24"/>
        </w:rPr>
        <w:t>MeDi</w:t>
      </w:r>
      <w:r w:rsidR="007F020F" w:rsidRPr="00D5697D">
        <w:rPr>
          <w:bCs/>
          <w:sz w:val="24"/>
          <w:szCs w:val="24"/>
        </w:rPr>
        <w:t xml:space="preserve"> nesse aspecto. Segundo</w:t>
      </w:r>
      <w:r w:rsidR="006E5CE5">
        <w:rPr>
          <w:bCs/>
          <w:sz w:val="24"/>
          <w:szCs w:val="24"/>
        </w:rPr>
        <w:t xml:space="preserve"> </w:t>
      </w:r>
      <w:r>
        <w:rPr>
          <w:bCs/>
          <w:sz w:val="24"/>
          <w:szCs w:val="24"/>
        </w:rPr>
        <w:t>Akter et. al.</w:t>
      </w:r>
      <w:r w:rsidR="006E5CE5" w:rsidRPr="00D90AA3">
        <w:rPr>
          <w:bCs/>
          <w:sz w:val="24"/>
          <w:szCs w:val="24"/>
          <w:vertAlign w:val="superscript"/>
        </w:rPr>
        <w:t>6</w:t>
      </w:r>
      <w:r w:rsidR="007F020F" w:rsidRPr="00D5697D">
        <w:rPr>
          <w:bCs/>
          <w:color w:val="000000"/>
          <w:sz w:val="24"/>
          <w:szCs w:val="24"/>
          <w:shd w:val="clear" w:color="auto" w:fill="FFFFFF"/>
        </w:rPr>
        <w:t>, o sobrepeso e a obesidade parecem aumentar o risco de desenvolvimento da DA, por serem fatores de risco independentes para síndrome metabólica e, consequentemente, DM2; além de alterarem a</w:t>
      </w:r>
      <w:r w:rsidR="007F020F" w:rsidRPr="00D5697D">
        <w:rPr>
          <w:bCs/>
          <w:sz w:val="24"/>
          <w:szCs w:val="24"/>
          <w:shd w:val="clear" w:color="auto" w:fill="FFFFFF"/>
        </w:rPr>
        <w:t xml:space="preserve"> leptina, que atua na regulação da função cerebral.</w:t>
      </w:r>
      <w:r w:rsidR="006E5CE5">
        <w:rPr>
          <w:bCs/>
          <w:sz w:val="24"/>
          <w:szCs w:val="24"/>
          <w:shd w:val="clear" w:color="auto" w:fill="FFFFFF"/>
        </w:rPr>
        <w:t xml:space="preserve"> </w:t>
      </w:r>
      <w:r>
        <w:rPr>
          <w:bCs/>
          <w:sz w:val="24"/>
          <w:szCs w:val="24"/>
          <w:shd w:val="clear" w:color="auto" w:fill="FFFFFF"/>
        </w:rPr>
        <w:t>Georgulis et. al.</w:t>
      </w:r>
      <w:r w:rsidR="007C0089">
        <w:rPr>
          <w:bCs/>
          <w:sz w:val="24"/>
          <w:szCs w:val="24"/>
          <w:shd w:val="clear" w:color="auto" w:fill="FFFFFF"/>
          <w:vertAlign w:val="superscript"/>
        </w:rPr>
        <w:t>7</w:t>
      </w:r>
      <w:r w:rsidR="007F020F" w:rsidRPr="00D5697D">
        <w:rPr>
          <w:bCs/>
          <w:sz w:val="24"/>
          <w:szCs w:val="24"/>
          <w:shd w:val="clear" w:color="auto" w:fill="FFFFFF"/>
        </w:rPr>
        <w:t xml:space="preserve">, em uma revisão de literatura, estimaram uma redução de 12 a 83% no risco de DM2, conforme diferentes níveis de adesão à </w:t>
      </w:r>
      <w:r w:rsidR="008C3657">
        <w:rPr>
          <w:bCs/>
          <w:sz w:val="24"/>
          <w:szCs w:val="24"/>
        </w:rPr>
        <w:t>MeDi</w:t>
      </w:r>
      <w:r w:rsidR="007F020F" w:rsidRPr="00D5697D">
        <w:rPr>
          <w:bCs/>
          <w:sz w:val="24"/>
          <w:szCs w:val="24"/>
          <w:shd w:val="clear" w:color="auto" w:fill="FFFFFF"/>
        </w:rPr>
        <w:t xml:space="preserve">. Os autores citam sete estudos clínicos randomizados que mostram forte associação entre a adesão à </w:t>
      </w:r>
      <w:r w:rsidR="008C3657">
        <w:rPr>
          <w:bCs/>
          <w:sz w:val="24"/>
          <w:szCs w:val="24"/>
        </w:rPr>
        <w:t>MeDi</w:t>
      </w:r>
      <w:r w:rsidR="007F020F" w:rsidRPr="00D5697D">
        <w:rPr>
          <w:bCs/>
          <w:sz w:val="24"/>
          <w:szCs w:val="24"/>
          <w:shd w:val="clear" w:color="auto" w:fill="FFFFFF"/>
        </w:rPr>
        <w:t xml:space="preserve"> e o melhor controle glicêmico, a melhor sensibilidade à insulina e a redução do risco de DM2. O efeito da </w:t>
      </w:r>
      <w:r w:rsidR="008C3657">
        <w:rPr>
          <w:bCs/>
          <w:sz w:val="24"/>
          <w:szCs w:val="24"/>
        </w:rPr>
        <w:t>MeDi</w:t>
      </w:r>
      <w:r w:rsidR="007F020F" w:rsidRPr="00D5697D">
        <w:rPr>
          <w:bCs/>
          <w:sz w:val="24"/>
          <w:szCs w:val="24"/>
          <w:shd w:val="clear" w:color="auto" w:fill="FFFFFF"/>
        </w:rPr>
        <w:t xml:space="preserve"> foi maior quando comparado aos cuidados usuais na DM2 ou a uma dieta hipolipídica. Esse efeito foi atribuído ao controle do ganho de peso, fator de risco para DM2, principalmente quando a dieta mediterrânea foi combinada com restrição energética e atividade física por mais de </w:t>
      </w:r>
      <w:r>
        <w:rPr>
          <w:bCs/>
          <w:sz w:val="24"/>
          <w:szCs w:val="24"/>
          <w:shd w:val="clear" w:color="auto" w:fill="FFFFFF"/>
        </w:rPr>
        <w:t>seis</w:t>
      </w:r>
      <w:r w:rsidR="007F020F" w:rsidRPr="00D5697D">
        <w:rPr>
          <w:bCs/>
          <w:sz w:val="24"/>
          <w:szCs w:val="24"/>
          <w:shd w:val="clear" w:color="auto" w:fill="FFFFFF"/>
        </w:rPr>
        <w:t xml:space="preserve"> meses. O estudo clínico randomizado de </w:t>
      </w:r>
      <w:r>
        <w:rPr>
          <w:bCs/>
          <w:sz w:val="24"/>
          <w:szCs w:val="24"/>
          <w:shd w:val="clear" w:color="auto" w:fill="FFFFFF"/>
        </w:rPr>
        <w:t>Salas-Salvadó et. al.</w:t>
      </w:r>
      <w:r w:rsidR="007C0089">
        <w:rPr>
          <w:bCs/>
          <w:sz w:val="24"/>
          <w:szCs w:val="24"/>
          <w:shd w:val="clear" w:color="auto" w:fill="FFFFFF"/>
          <w:vertAlign w:val="superscript"/>
        </w:rPr>
        <w:t>9</w:t>
      </w:r>
      <w:r w:rsidR="007F020F" w:rsidRPr="00D5697D">
        <w:rPr>
          <w:bCs/>
          <w:sz w:val="24"/>
          <w:szCs w:val="24"/>
          <w:shd w:val="clear" w:color="auto" w:fill="FFFFFF"/>
        </w:rPr>
        <w:t xml:space="preserve"> mostrou que os participantes que adotaram a </w:t>
      </w:r>
      <w:r w:rsidR="008C3657">
        <w:rPr>
          <w:bCs/>
          <w:sz w:val="24"/>
          <w:szCs w:val="24"/>
        </w:rPr>
        <w:t>MeDi</w:t>
      </w:r>
      <w:r w:rsidR="007F020F" w:rsidRPr="00D5697D">
        <w:rPr>
          <w:bCs/>
          <w:sz w:val="24"/>
          <w:szCs w:val="24"/>
          <w:shd w:val="clear" w:color="auto" w:fill="FFFFFF"/>
        </w:rPr>
        <w:t xml:space="preserve"> apresentaram redução de 30% no risco de desenvolvimento de DM2, além da reversão da síndrome metabólica, com efeitos benéficos em todos os seus critérios diagnósticos. </w:t>
      </w:r>
    </w:p>
    <w:p w14:paraId="7906D9C7" w14:textId="3514DB3B" w:rsidR="007F020F" w:rsidRPr="00D5697D" w:rsidRDefault="007F020F" w:rsidP="00B15D6D">
      <w:pPr>
        <w:shd w:val="clear" w:color="auto" w:fill="FFFFFF"/>
        <w:spacing w:line="480" w:lineRule="auto"/>
        <w:contextualSpacing w:val="0"/>
        <w:rPr>
          <w:bCs/>
          <w:sz w:val="24"/>
          <w:szCs w:val="24"/>
          <w:shd w:val="clear" w:color="auto" w:fill="FFFFFF"/>
        </w:rPr>
      </w:pPr>
      <w:r w:rsidRPr="00D5697D">
        <w:rPr>
          <w:bCs/>
          <w:sz w:val="24"/>
          <w:szCs w:val="24"/>
          <w:shd w:val="clear" w:color="auto" w:fill="FFFFFF"/>
        </w:rPr>
        <w:t xml:space="preserve">Segundo </w:t>
      </w:r>
      <w:r w:rsidR="00D90AA3">
        <w:rPr>
          <w:bCs/>
          <w:sz w:val="24"/>
          <w:szCs w:val="24"/>
          <w:shd w:val="clear" w:color="auto" w:fill="FFFFFF"/>
        </w:rPr>
        <w:t>Van Gemmert et. al.</w:t>
      </w:r>
      <w:r w:rsidR="006E5CE5" w:rsidRPr="00D90AA3">
        <w:rPr>
          <w:bCs/>
          <w:sz w:val="24"/>
          <w:szCs w:val="24"/>
          <w:shd w:val="clear" w:color="auto" w:fill="FFFFFF"/>
          <w:vertAlign w:val="superscript"/>
        </w:rPr>
        <w:t>2</w:t>
      </w:r>
      <w:r w:rsidR="007C0089">
        <w:rPr>
          <w:bCs/>
          <w:sz w:val="24"/>
          <w:szCs w:val="24"/>
          <w:shd w:val="clear" w:color="auto" w:fill="FFFFFF"/>
          <w:vertAlign w:val="superscript"/>
        </w:rPr>
        <w:t>5</w:t>
      </w:r>
      <w:r w:rsidRPr="00D5697D">
        <w:rPr>
          <w:bCs/>
          <w:sz w:val="24"/>
          <w:szCs w:val="24"/>
          <w:shd w:val="clear" w:color="auto" w:fill="FFFFFF"/>
        </w:rPr>
        <w:t xml:space="preserve">, alterações na memória verbal estão presentes logo após diagnóstico de DM 2 e, cinco anos após, há diferenças significativas na memória verbal entre pacientes com DM1 e com DM2, o que pode indicar a </w:t>
      </w:r>
      <w:r w:rsidRPr="00D5697D">
        <w:rPr>
          <w:bCs/>
          <w:sz w:val="24"/>
          <w:szCs w:val="24"/>
          <w:shd w:val="clear" w:color="auto" w:fill="FFFFFF"/>
        </w:rPr>
        <w:lastRenderedPageBreak/>
        <w:t xml:space="preserve">influência da resistência insulínica no desenvolvimento de comprometimentos cognitivos. </w:t>
      </w:r>
      <w:r w:rsidRPr="00D5697D">
        <w:rPr>
          <w:bCs/>
          <w:color w:val="000000"/>
          <w:sz w:val="24"/>
          <w:szCs w:val="24"/>
          <w:shd w:val="clear" w:color="auto" w:fill="FFFFFF"/>
        </w:rPr>
        <w:t>Além disso, a DM2, em conjunto com o estresse oxidativo e a inflamação, pode ocasionar aterosclerose, que pode causar hipoperfusão cerebral, aumentar a presença da ApoE-</w:t>
      </w:r>
      <w:r w:rsidRPr="00D5697D">
        <w:rPr>
          <w:rFonts w:ascii="Symbol" w:hAnsi="Symbol"/>
          <w:bCs/>
          <w:color w:val="000000"/>
          <w:sz w:val="24"/>
          <w:szCs w:val="24"/>
          <w:shd w:val="clear" w:color="auto" w:fill="FFFFFF"/>
        </w:rPr>
        <w:t>e</w:t>
      </w:r>
      <w:r w:rsidRPr="00D5697D">
        <w:rPr>
          <w:bCs/>
          <w:color w:val="000000"/>
          <w:sz w:val="24"/>
          <w:szCs w:val="24"/>
          <w:shd w:val="clear" w:color="auto" w:fill="FFFFFF"/>
        </w:rPr>
        <w:t xml:space="preserve">4 (isoforma </w:t>
      </w:r>
      <w:r w:rsidRPr="00D5697D">
        <w:rPr>
          <w:rFonts w:ascii="Symbol" w:hAnsi="Symbol"/>
          <w:bCs/>
          <w:color w:val="000000"/>
          <w:sz w:val="24"/>
          <w:szCs w:val="24"/>
          <w:shd w:val="clear" w:color="auto" w:fill="FFFFFF"/>
        </w:rPr>
        <w:t>e</w:t>
      </w:r>
      <w:r w:rsidRPr="00D5697D">
        <w:rPr>
          <w:bCs/>
          <w:color w:val="000000"/>
          <w:sz w:val="24"/>
          <w:szCs w:val="24"/>
          <w:shd w:val="clear" w:color="auto" w:fill="FFFFFF"/>
        </w:rPr>
        <w:t xml:space="preserve">4 da apolipoproteína E) e inibir a degradação da proteína precursora da </w:t>
      </w:r>
      <w:r w:rsidR="006D3AA9" w:rsidRPr="00D5697D">
        <w:rPr>
          <w:bCs/>
          <w:sz w:val="24"/>
          <w:szCs w:val="24"/>
          <w:shd w:val="clear" w:color="auto" w:fill="FFFFFF"/>
        </w:rPr>
        <w:t>Aβ</w:t>
      </w:r>
      <w:r w:rsidR="006D3AA9" w:rsidRPr="00D5697D">
        <w:rPr>
          <w:bCs/>
          <w:color w:val="000000"/>
          <w:sz w:val="24"/>
          <w:szCs w:val="24"/>
          <w:shd w:val="clear" w:color="auto" w:fill="FFFFFF"/>
        </w:rPr>
        <w:t xml:space="preserve"> </w:t>
      </w:r>
      <w:r w:rsidRPr="00D5697D">
        <w:rPr>
          <w:bCs/>
          <w:color w:val="000000"/>
          <w:sz w:val="24"/>
          <w:szCs w:val="24"/>
          <w:shd w:val="clear" w:color="auto" w:fill="FFFFFF"/>
        </w:rPr>
        <w:t xml:space="preserve">(APP), aumentando a deposição de </w:t>
      </w:r>
      <w:r w:rsidR="006D3AA9" w:rsidRPr="00D5697D">
        <w:rPr>
          <w:bCs/>
          <w:sz w:val="24"/>
          <w:szCs w:val="24"/>
          <w:shd w:val="clear" w:color="auto" w:fill="FFFFFF"/>
        </w:rPr>
        <w:t>Aβ</w:t>
      </w:r>
      <w:r w:rsidR="006D3AA9" w:rsidRPr="00D5697D">
        <w:rPr>
          <w:bCs/>
          <w:color w:val="000000"/>
          <w:sz w:val="24"/>
          <w:szCs w:val="24"/>
          <w:shd w:val="clear" w:color="auto" w:fill="FFFFFF"/>
        </w:rPr>
        <w:t xml:space="preserve"> </w:t>
      </w:r>
      <w:r w:rsidRPr="00D5697D">
        <w:rPr>
          <w:bCs/>
          <w:color w:val="000000"/>
          <w:sz w:val="24"/>
          <w:szCs w:val="24"/>
          <w:shd w:val="clear" w:color="auto" w:fill="FFFFFF"/>
        </w:rPr>
        <w:t xml:space="preserve">neurotóxico. Sabe-se também que esse aumento na formação de espécies reativas de oxigênio na cadeia respiratória induz fosforilação da proteína tau e formação de emaranhados neurofibrilares </w:t>
      </w:r>
      <w:r w:rsidR="00C66A14" w:rsidRPr="00C66A14">
        <w:rPr>
          <w:bCs/>
          <w:color w:val="000000"/>
          <w:sz w:val="24"/>
          <w:szCs w:val="24"/>
          <w:shd w:val="clear" w:color="auto" w:fill="FFFFFF"/>
          <w:vertAlign w:val="superscript"/>
        </w:rPr>
        <w:t>2,5,6</w:t>
      </w:r>
      <w:r w:rsidRPr="00D5697D">
        <w:rPr>
          <w:bCs/>
          <w:color w:val="000000"/>
          <w:sz w:val="24"/>
          <w:szCs w:val="24"/>
          <w:shd w:val="clear" w:color="auto" w:fill="FFFFFF"/>
        </w:rPr>
        <w:t xml:space="preserve">. </w:t>
      </w:r>
    </w:p>
    <w:p w14:paraId="16DDA314" w14:textId="12A85CC2" w:rsidR="007F020F" w:rsidRPr="00D5697D" w:rsidRDefault="007F020F" w:rsidP="00B15D6D">
      <w:pPr>
        <w:shd w:val="clear" w:color="auto" w:fill="FFFFFF"/>
        <w:spacing w:line="480" w:lineRule="auto"/>
        <w:contextualSpacing w:val="0"/>
        <w:rPr>
          <w:bCs/>
          <w:color w:val="000000"/>
          <w:sz w:val="24"/>
          <w:szCs w:val="24"/>
          <w:shd w:val="clear" w:color="auto" w:fill="FFFFFF"/>
        </w:rPr>
      </w:pPr>
      <w:r w:rsidRPr="00D5697D">
        <w:rPr>
          <w:bCs/>
          <w:sz w:val="24"/>
          <w:szCs w:val="24"/>
        </w:rPr>
        <w:t>Os estudos de</w:t>
      </w:r>
      <w:r w:rsidR="006E5CE5">
        <w:rPr>
          <w:bCs/>
          <w:sz w:val="24"/>
          <w:szCs w:val="24"/>
        </w:rPr>
        <w:t xml:space="preserve"> </w:t>
      </w:r>
      <w:r w:rsidR="00D90AA3">
        <w:rPr>
          <w:bCs/>
          <w:sz w:val="24"/>
          <w:szCs w:val="24"/>
        </w:rPr>
        <w:t>Berti et. al.</w:t>
      </w:r>
      <w:r w:rsidR="006E5CE5" w:rsidRPr="00D90AA3">
        <w:rPr>
          <w:bCs/>
          <w:sz w:val="24"/>
          <w:szCs w:val="24"/>
          <w:vertAlign w:val="superscript"/>
        </w:rPr>
        <w:t>1</w:t>
      </w:r>
      <w:r w:rsidR="007C0089">
        <w:rPr>
          <w:bCs/>
          <w:sz w:val="24"/>
          <w:szCs w:val="24"/>
          <w:vertAlign w:val="superscript"/>
        </w:rPr>
        <w:t>0</w:t>
      </w:r>
      <w:r w:rsidRPr="00461D00">
        <w:rPr>
          <w:bCs/>
          <w:sz w:val="24"/>
          <w:szCs w:val="24"/>
        </w:rPr>
        <w:t>,</w:t>
      </w:r>
      <w:r w:rsidR="00D90AA3">
        <w:rPr>
          <w:bCs/>
          <w:sz w:val="24"/>
          <w:szCs w:val="24"/>
        </w:rPr>
        <w:t xml:space="preserve"> Mosconi et. al.</w:t>
      </w:r>
      <w:r w:rsidR="006E5CE5" w:rsidRPr="00D90AA3">
        <w:rPr>
          <w:sz w:val="24"/>
          <w:szCs w:val="24"/>
          <w:vertAlign w:val="superscript"/>
        </w:rPr>
        <w:t>1</w:t>
      </w:r>
      <w:r w:rsidR="007C0089">
        <w:rPr>
          <w:sz w:val="24"/>
          <w:szCs w:val="24"/>
          <w:vertAlign w:val="superscript"/>
        </w:rPr>
        <w:t>7</w:t>
      </w:r>
      <w:r w:rsidRPr="00461D00">
        <w:rPr>
          <w:sz w:val="24"/>
          <w:szCs w:val="24"/>
        </w:rPr>
        <w:t xml:space="preserve"> e </w:t>
      </w:r>
      <w:r w:rsidR="00D90AA3">
        <w:rPr>
          <w:sz w:val="24"/>
          <w:szCs w:val="24"/>
        </w:rPr>
        <w:t>Walters et. al.</w:t>
      </w:r>
      <w:r w:rsidR="006E5CE5" w:rsidRPr="00D90AA3">
        <w:rPr>
          <w:sz w:val="24"/>
          <w:szCs w:val="24"/>
          <w:vertAlign w:val="superscript"/>
        </w:rPr>
        <w:t>1</w:t>
      </w:r>
      <w:r w:rsidR="007C0089">
        <w:rPr>
          <w:sz w:val="24"/>
          <w:szCs w:val="24"/>
          <w:vertAlign w:val="superscript"/>
        </w:rPr>
        <w:t>1</w:t>
      </w:r>
      <w:r w:rsidRPr="00D5697D">
        <w:rPr>
          <w:sz w:val="24"/>
          <w:szCs w:val="24"/>
        </w:rPr>
        <w:t xml:space="preserve"> mostraram que uma maior adesão à </w:t>
      </w:r>
      <w:r w:rsidR="008C3657">
        <w:rPr>
          <w:bCs/>
          <w:sz w:val="24"/>
          <w:szCs w:val="24"/>
        </w:rPr>
        <w:t>MeDi</w:t>
      </w:r>
      <w:r w:rsidRPr="00D5697D">
        <w:rPr>
          <w:sz w:val="24"/>
          <w:szCs w:val="24"/>
        </w:rPr>
        <w:t xml:space="preserve"> pode melhorar não apenas o controle glicêmico como um todo, como também o metabolismo da glicose especificamente no cérebro. Esse resultado pode estar relacionado ao fato de que essa dieta controla a hiperglicemia e, por consequência, a hiperinsulinemia crônica, </w:t>
      </w:r>
      <w:r w:rsidRPr="00D5697D">
        <w:rPr>
          <w:bCs/>
          <w:color w:val="000000"/>
          <w:sz w:val="24"/>
          <w:szCs w:val="24"/>
          <w:shd w:val="clear" w:color="auto" w:fill="FFFFFF"/>
        </w:rPr>
        <w:t xml:space="preserve">estado em que a insulina atravessa a barreira hematoencefálica e atua no hipotálamo e no hipocampo, causando resistência neuronal à insulina. A resistência à insulina se correlaciona com a redução de receptores positivos à insulina e ao IGF-1 </w:t>
      </w:r>
      <w:r w:rsidR="00445745">
        <w:rPr>
          <w:bCs/>
          <w:color w:val="000000"/>
          <w:sz w:val="24"/>
          <w:szCs w:val="24"/>
          <w:shd w:val="clear" w:color="auto" w:fill="FFFFFF"/>
        </w:rPr>
        <w:t xml:space="preserve">(fator de crescimento semelhante à insulina tipo 1) </w:t>
      </w:r>
      <w:r w:rsidRPr="00D5697D">
        <w:rPr>
          <w:bCs/>
          <w:color w:val="000000"/>
          <w:sz w:val="24"/>
          <w:szCs w:val="24"/>
          <w:shd w:val="clear" w:color="auto" w:fill="FFFFFF"/>
        </w:rPr>
        <w:t xml:space="preserve">em neurônios corticais relacionados à produção </w:t>
      </w:r>
      <w:r w:rsidRPr="00D5697D">
        <w:rPr>
          <w:bCs/>
          <w:sz w:val="24"/>
          <w:szCs w:val="24"/>
          <w:shd w:val="clear" w:color="auto" w:fill="FFFFFF"/>
        </w:rPr>
        <w:t xml:space="preserve">de acetilcolina </w:t>
      </w:r>
      <w:r w:rsidRPr="00D5697D">
        <w:rPr>
          <w:bCs/>
          <w:color w:val="000000"/>
          <w:sz w:val="24"/>
          <w:szCs w:val="24"/>
          <w:shd w:val="clear" w:color="auto" w:fill="FFFFFF"/>
        </w:rPr>
        <w:t xml:space="preserve">(ACh) e com níveis elevados de mediadores inflamatórios, quadros comuns na DA </w:t>
      </w:r>
      <w:r w:rsidR="00C66A14" w:rsidRPr="00C66A14">
        <w:rPr>
          <w:bCs/>
          <w:color w:val="000000"/>
          <w:sz w:val="24"/>
          <w:szCs w:val="24"/>
          <w:shd w:val="clear" w:color="auto" w:fill="FFFFFF"/>
          <w:vertAlign w:val="superscript"/>
        </w:rPr>
        <w:t>2,5,6</w:t>
      </w:r>
      <w:r w:rsidR="00C66A14">
        <w:rPr>
          <w:bCs/>
          <w:color w:val="000000"/>
          <w:sz w:val="24"/>
          <w:szCs w:val="24"/>
          <w:shd w:val="clear" w:color="auto" w:fill="FFFFFF"/>
        </w:rPr>
        <w:t>.</w:t>
      </w:r>
      <w:r w:rsidRPr="00D5697D">
        <w:rPr>
          <w:bCs/>
          <w:color w:val="000000"/>
          <w:sz w:val="24"/>
          <w:szCs w:val="24"/>
          <w:shd w:val="clear" w:color="auto" w:fill="FFFFFF"/>
        </w:rPr>
        <w:t xml:space="preserve"> </w:t>
      </w:r>
    </w:p>
    <w:p w14:paraId="4FC5EC70" w14:textId="4938C298" w:rsidR="007F020F" w:rsidRPr="00D5697D" w:rsidRDefault="007F020F" w:rsidP="00B15D6D">
      <w:pPr>
        <w:shd w:val="clear" w:color="auto" w:fill="FFFFFF"/>
        <w:spacing w:line="480" w:lineRule="auto"/>
        <w:contextualSpacing w:val="0"/>
        <w:rPr>
          <w:bCs/>
          <w:sz w:val="24"/>
          <w:szCs w:val="24"/>
        </w:rPr>
      </w:pPr>
      <w:r w:rsidRPr="00D5697D">
        <w:rPr>
          <w:bCs/>
          <w:color w:val="000000"/>
          <w:sz w:val="24"/>
          <w:szCs w:val="24"/>
          <w:shd w:val="clear" w:color="auto" w:fill="FFFFFF"/>
        </w:rPr>
        <w:t xml:space="preserve">Na presente revisão, observam-se estudos indicando resultados divergentes quanto à melhora do metabolismo de glicose causar ou não alterações estruturais no cérebro. </w:t>
      </w:r>
      <w:r w:rsidR="00B15D6D">
        <w:rPr>
          <w:bCs/>
          <w:color w:val="000000"/>
          <w:sz w:val="24"/>
          <w:szCs w:val="24"/>
          <w:shd w:val="clear" w:color="auto" w:fill="FFFFFF"/>
        </w:rPr>
        <w:t>Staubo et. al.</w:t>
      </w:r>
      <w:r w:rsidR="006E5CE5" w:rsidRPr="00B15D6D">
        <w:rPr>
          <w:bCs/>
          <w:color w:val="000000"/>
          <w:sz w:val="24"/>
          <w:szCs w:val="24"/>
          <w:shd w:val="clear" w:color="auto" w:fill="FFFFFF"/>
          <w:vertAlign w:val="superscript"/>
        </w:rPr>
        <w:t>1</w:t>
      </w:r>
      <w:r w:rsidR="007C0089">
        <w:rPr>
          <w:bCs/>
          <w:color w:val="000000"/>
          <w:sz w:val="24"/>
          <w:szCs w:val="24"/>
          <w:shd w:val="clear" w:color="auto" w:fill="FFFFFF"/>
          <w:vertAlign w:val="superscript"/>
        </w:rPr>
        <w:t>8</w:t>
      </w:r>
      <w:r w:rsidRPr="00D5697D">
        <w:rPr>
          <w:bCs/>
          <w:color w:val="000000"/>
          <w:sz w:val="24"/>
          <w:szCs w:val="24"/>
          <w:shd w:val="clear" w:color="auto" w:fill="FFFFFF"/>
        </w:rPr>
        <w:t xml:space="preserve"> indica associação com </w:t>
      </w:r>
      <w:r w:rsidRPr="00D5697D">
        <w:rPr>
          <w:bCs/>
          <w:sz w:val="24"/>
          <w:szCs w:val="24"/>
        </w:rPr>
        <w:t xml:space="preserve">uma maior espessura cortical média e em várias regiões cerebrais de interesse, determinada por MRI; enquanto </w:t>
      </w:r>
      <w:r w:rsidR="00B15D6D">
        <w:rPr>
          <w:bCs/>
          <w:sz w:val="24"/>
          <w:szCs w:val="24"/>
        </w:rPr>
        <w:t>Berti et. al.</w:t>
      </w:r>
      <w:r w:rsidR="006E5CE5" w:rsidRPr="00B15D6D">
        <w:rPr>
          <w:bCs/>
          <w:sz w:val="24"/>
          <w:szCs w:val="24"/>
          <w:vertAlign w:val="superscript"/>
        </w:rPr>
        <w:t>1</w:t>
      </w:r>
      <w:r w:rsidR="007C0089">
        <w:rPr>
          <w:bCs/>
          <w:sz w:val="24"/>
          <w:szCs w:val="24"/>
          <w:vertAlign w:val="superscript"/>
        </w:rPr>
        <w:t>0</w:t>
      </w:r>
      <w:r w:rsidRPr="00D5697D">
        <w:rPr>
          <w:bCs/>
          <w:sz w:val="24"/>
          <w:szCs w:val="24"/>
        </w:rPr>
        <w:t xml:space="preserve">, </w:t>
      </w:r>
      <w:r w:rsidR="00B15D6D">
        <w:rPr>
          <w:bCs/>
          <w:sz w:val="24"/>
          <w:szCs w:val="24"/>
        </w:rPr>
        <w:t>Mosconi et. al.</w:t>
      </w:r>
      <w:r w:rsidR="005E3DFE" w:rsidRPr="00B15D6D">
        <w:rPr>
          <w:sz w:val="24"/>
          <w:szCs w:val="24"/>
          <w:vertAlign w:val="superscript"/>
        </w:rPr>
        <w:t>1</w:t>
      </w:r>
      <w:r w:rsidR="007C0089">
        <w:rPr>
          <w:sz w:val="24"/>
          <w:szCs w:val="24"/>
          <w:vertAlign w:val="superscript"/>
        </w:rPr>
        <w:t>7</w:t>
      </w:r>
      <w:r w:rsidRPr="00D5697D">
        <w:rPr>
          <w:sz w:val="24"/>
          <w:szCs w:val="24"/>
        </w:rPr>
        <w:t xml:space="preserve"> e </w:t>
      </w:r>
      <w:r w:rsidR="00B15D6D">
        <w:rPr>
          <w:sz w:val="24"/>
          <w:szCs w:val="24"/>
        </w:rPr>
        <w:t>Walters et. al.</w:t>
      </w:r>
      <w:r w:rsidR="005E3DFE" w:rsidRPr="00B15D6D">
        <w:rPr>
          <w:sz w:val="24"/>
          <w:szCs w:val="24"/>
          <w:vertAlign w:val="superscript"/>
        </w:rPr>
        <w:t>1</w:t>
      </w:r>
      <w:r w:rsidR="007C0089">
        <w:rPr>
          <w:sz w:val="24"/>
          <w:szCs w:val="24"/>
          <w:vertAlign w:val="superscript"/>
        </w:rPr>
        <w:t>1</w:t>
      </w:r>
      <w:r w:rsidRPr="00D5697D">
        <w:rPr>
          <w:sz w:val="24"/>
          <w:szCs w:val="24"/>
        </w:rPr>
        <w:t xml:space="preserve"> </w:t>
      </w:r>
      <w:r w:rsidRPr="00D5697D">
        <w:rPr>
          <w:bCs/>
          <w:sz w:val="24"/>
          <w:szCs w:val="24"/>
        </w:rPr>
        <w:t xml:space="preserve">mostram que praticamente não há alteração na estrutura cerebral, quando </w:t>
      </w:r>
      <w:r w:rsidRPr="00D5697D">
        <w:rPr>
          <w:bCs/>
          <w:sz w:val="24"/>
          <w:szCs w:val="24"/>
        </w:rPr>
        <w:lastRenderedPageBreak/>
        <w:t xml:space="preserve">o método de exame utilizado é o MRI. Há que se considerar que há diferenças metodológicas entre esses estudos, já que </w:t>
      </w:r>
      <w:r w:rsidR="00B15D6D">
        <w:rPr>
          <w:bCs/>
          <w:sz w:val="24"/>
          <w:szCs w:val="24"/>
        </w:rPr>
        <w:t>Staubo et. al.</w:t>
      </w:r>
      <w:r w:rsidR="005E3DFE" w:rsidRPr="00B15D6D">
        <w:rPr>
          <w:bCs/>
          <w:sz w:val="24"/>
          <w:szCs w:val="24"/>
          <w:vertAlign w:val="superscript"/>
        </w:rPr>
        <w:t>1</w:t>
      </w:r>
      <w:r w:rsidR="007C0089">
        <w:rPr>
          <w:bCs/>
          <w:sz w:val="24"/>
          <w:szCs w:val="24"/>
          <w:vertAlign w:val="superscript"/>
        </w:rPr>
        <w:t>8</w:t>
      </w:r>
      <w:r w:rsidRPr="00D5697D">
        <w:rPr>
          <w:bCs/>
          <w:sz w:val="24"/>
          <w:szCs w:val="24"/>
        </w:rPr>
        <w:t xml:space="preserve"> é um estudo transversal, que visa associar a adesão à </w:t>
      </w:r>
      <w:r w:rsidR="008C3657">
        <w:rPr>
          <w:bCs/>
          <w:sz w:val="24"/>
          <w:szCs w:val="24"/>
        </w:rPr>
        <w:t>MeDi</w:t>
      </w:r>
      <w:r w:rsidRPr="00D5697D">
        <w:rPr>
          <w:bCs/>
          <w:sz w:val="24"/>
          <w:szCs w:val="24"/>
        </w:rPr>
        <w:t xml:space="preserve"> e seus componentes com medidas por MRI de espessura cortical em um determinado momento do tempo; enquanto os demais estudos são longitudinais, que acompanham os participantes ao longo do tempo, tanto de forma prospectiva, como retrospectiva. Há diferenças também com relação ao número de indivíduos e à idade da população considerada: </w:t>
      </w:r>
      <w:r w:rsidR="00B15D6D">
        <w:rPr>
          <w:bCs/>
          <w:sz w:val="24"/>
          <w:szCs w:val="24"/>
        </w:rPr>
        <w:t>Staubo et. al.</w:t>
      </w:r>
      <w:r w:rsidR="00B15D6D" w:rsidRPr="00B15D6D">
        <w:rPr>
          <w:bCs/>
          <w:sz w:val="24"/>
          <w:szCs w:val="24"/>
          <w:vertAlign w:val="superscript"/>
        </w:rPr>
        <w:t>1</w:t>
      </w:r>
      <w:r w:rsidR="007C0089">
        <w:rPr>
          <w:bCs/>
          <w:sz w:val="24"/>
          <w:szCs w:val="24"/>
          <w:vertAlign w:val="superscript"/>
        </w:rPr>
        <w:t>8</w:t>
      </w:r>
      <w:r w:rsidRPr="00D5697D">
        <w:rPr>
          <w:bCs/>
          <w:sz w:val="24"/>
          <w:szCs w:val="24"/>
        </w:rPr>
        <w:t xml:space="preserve"> reúne dados de 672 participantes entre 70 e 89 anos; enquanto os demais apresentam uma média de 86 participantes entre 30 e 60 anos.</w:t>
      </w:r>
    </w:p>
    <w:p w14:paraId="770C6B09" w14:textId="656FE636" w:rsidR="007F020F" w:rsidRPr="00D5697D" w:rsidRDefault="007F020F" w:rsidP="00B15D6D">
      <w:pPr>
        <w:spacing w:line="480" w:lineRule="auto"/>
        <w:rPr>
          <w:bCs/>
          <w:sz w:val="24"/>
          <w:szCs w:val="24"/>
        </w:rPr>
      </w:pPr>
      <w:r w:rsidRPr="00D5697D">
        <w:rPr>
          <w:bCs/>
          <w:sz w:val="24"/>
          <w:szCs w:val="24"/>
        </w:rPr>
        <w:t xml:space="preserve">Com relação à melhora da capacidade cognitiva em função da adesão à </w:t>
      </w:r>
      <w:r w:rsidR="008C3657">
        <w:rPr>
          <w:bCs/>
          <w:sz w:val="24"/>
          <w:szCs w:val="24"/>
        </w:rPr>
        <w:t>MeDi</w:t>
      </w:r>
      <w:r w:rsidRPr="00D5697D">
        <w:rPr>
          <w:bCs/>
          <w:sz w:val="24"/>
          <w:szCs w:val="24"/>
        </w:rPr>
        <w:t xml:space="preserve">, </w:t>
      </w:r>
      <w:r w:rsidR="00B15D6D">
        <w:rPr>
          <w:bCs/>
          <w:sz w:val="24"/>
          <w:szCs w:val="24"/>
        </w:rPr>
        <w:t>Knight et. al.</w:t>
      </w:r>
      <w:r w:rsidR="005E3DFE" w:rsidRPr="00B15D6D">
        <w:rPr>
          <w:bCs/>
          <w:sz w:val="24"/>
          <w:szCs w:val="24"/>
          <w:vertAlign w:val="superscript"/>
        </w:rPr>
        <w:t>2</w:t>
      </w:r>
      <w:r w:rsidR="007C0089">
        <w:rPr>
          <w:bCs/>
          <w:sz w:val="24"/>
          <w:szCs w:val="24"/>
          <w:vertAlign w:val="superscript"/>
        </w:rPr>
        <w:t>1</w:t>
      </w:r>
      <w:r w:rsidRPr="00D5697D">
        <w:rPr>
          <w:bCs/>
          <w:sz w:val="24"/>
          <w:szCs w:val="24"/>
        </w:rPr>
        <w:t xml:space="preserve"> não identifica melhora na população avaliada, porém </w:t>
      </w:r>
      <w:r w:rsidR="00B15D6D">
        <w:rPr>
          <w:bCs/>
          <w:sz w:val="24"/>
          <w:szCs w:val="24"/>
        </w:rPr>
        <w:t>Hill et. al.</w:t>
      </w:r>
      <w:r w:rsidR="005E3DFE" w:rsidRPr="00B15D6D">
        <w:rPr>
          <w:bCs/>
          <w:sz w:val="24"/>
          <w:szCs w:val="24"/>
          <w:vertAlign w:val="superscript"/>
        </w:rPr>
        <w:t>1</w:t>
      </w:r>
      <w:r w:rsidR="007C0089">
        <w:rPr>
          <w:bCs/>
          <w:sz w:val="24"/>
          <w:szCs w:val="24"/>
          <w:vertAlign w:val="superscript"/>
        </w:rPr>
        <w:t>2</w:t>
      </w:r>
      <w:r w:rsidRPr="00D5697D">
        <w:rPr>
          <w:bCs/>
          <w:sz w:val="24"/>
          <w:szCs w:val="24"/>
        </w:rPr>
        <w:t xml:space="preserve"> e </w:t>
      </w:r>
      <w:r w:rsidR="00B15D6D">
        <w:rPr>
          <w:bCs/>
          <w:sz w:val="24"/>
          <w:szCs w:val="24"/>
        </w:rPr>
        <w:t>Mosconi et. al.</w:t>
      </w:r>
      <w:r w:rsidR="005E3DFE" w:rsidRPr="00B15D6D">
        <w:rPr>
          <w:bCs/>
          <w:sz w:val="24"/>
          <w:szCs w:val="24"/>
          <w:vertAlign w:val="superscript"/>
        </w:rPr>
        <w:t>1</w:t>
      </w:r>
      <w:r w:rsidR="007C0089">
        <w:rPr>
          <w:bCs/>
          <w:sz w:val="24"/>
          <w:szCs w:val="24"/>
          <w:vertAlign w:val="superscript"/>
        </w:rPr>
        <w:t>7</w:t>
      </w:r>
      <w:r w:rsidRPr="00D5697D">
        <w:rPr>
          <w:bCs/>
          <w:sz w:val="24"/>
          <w:szCs w:val="24"/>
        </w:rPr>
        <w:t xml:space="preserve"> identificam aumento da cognição; </w:t>
      </w:r>
      <w:r w:rsidR="00B15D6D">
        <w:rPr>
          <w:bCs/>
          <w:sz w:val="24"/>
          <w:szCs w:val="24"/>
        </w:rPr>
        <w:t>Taylor, Mahnken e Sullivan</w:t>
      </w:r>
      <w:r w:rsidR="005E3DFE" w:rsidRPr="00B15D6D">
        <w:rPr>
          <w:bCs/>
          <w:sz w:val="24"/>
          <w:szCs w:val="24"/>
          <w:vertAlign w:val="superscript"/>
        </w:rPr>
        <w:t>2</w:t>
      </w:r>
      <w:r w:rsidR="007C0089">
        <w:rPr>
          <w:bCs/>
          <w:sz w:val="24"/>
          <w:szCs w:val="24"/>
          <w:vertAlign w:val="superscript"/>
        </w:rPr>
        <w:t>0</w:t>
      </w:r>
      <w:r w:rsidRPr="00D5697D">
        <w:rPr>
          <w:bCs/>
          <w:sz w:val="24"/>
          <w:szCs w:val="24"/>
        </w:rPr>
        <w:t xml:space="preserve"> identifica redução do risco de baixa cognição; e </w:t>
      </w:r>
      <w:r w:rsidR="00B15D6D">
        <w:rPr>
          <w:bCs/>
          <w:sz w:val="24"/>
          <w:szCs w:val="24"/>
        </w:rPr>
        <w:t>Karstens et. al.</w:t>
      </w:r>
      <w:r w:rsidR="005E3DFE" w:rsidRPr="00B15D6D">
        <w:rPr>
          <w:bCs/>
          <w:sz w:val="24"/>
          <w:szCs w:val="24"/>
          <w:vertAlign w:val="superscript"/>
        </w:rPr>
        <w:t>1</w:t>
      </w:r>
      <w:r w:rsidR="007C0089">
        <w:rPr>
          <w:bCs/>
          <w:sz w:val="24"/>
          <w:szCs w:val="24"/>
          <w:vertAlign w:val="superscript"/>
        </w:rPr>
        <w:t>6</w:t>
      </w:r>
      <w:r w:rsidRPr="00D5697D">
        <w:rPr>
          <w:bCs/>
          <w:sz w:val="24"/>
          <w:szCs w:val="24"/>
        </w:rPr>
        <w:t xml:space="preserve"> identifica melhora cognitiva especificamente no desempenho de aprendizado. </w:t>
      </w:r>
      <w:r w:rsidR="00B15D6D">
        <w:rPr>
          <w:bCs/>
          <w:sz w:val="24"/>
          <w:szCs w:val="24"/>
        </w:rPr>
        <w:t>Larsson e Wolk</w:t>
      </w:r>
      <w:r w:rsidR="005E3DFE" w:rsidRPr="00B15D6D">
        <w:rPr>
          <w:bCs/>
          <w:sz w:val="24"/>
          <w:szCs w:val="24"/>
          <w:vertAlign w:val="superscript"/>
        </w:rPr>
        <w:t>2</w:t>
      </w:r>
      <w:r w:rsidR="007C0089">
        <w:rPr>
          <w:bCs/>
          <w:sz w:val="24"/>
          <w:szCs w:val="24"/>
          <w:vertAlign w:val="superscript"/>
        </w:rPr>
        <w:t>4</w:t>
      </w:r>
      <w:r w:rsidRPr="00D5697D">
        <w:rPr>
          <w:bCs/>
          <w:sz w:val="24"/>
          <w:szCs w:val="24"/>
        </w:rPr>
        <w:t xml:space="preserve"> também não identificam redução do risco de demência, porém, nesse estudo a </w:t>
      </w:r>
      <w:r w:rsidR="008C3657">
        <w:rPr>
          <w:bCs/>
          <w:sz w:val="24"/>
          <w:szCs w:val="24"/>
        </w:rPr>
        <w:t>MeDi</w:t>
      </w:r>
      <w:r w:rsidRPr="00D5697D">
        <w:rPr>
          <w:bCs/>
          <w:sz w:val="24"/>
          <w:szCs w:val="24"/>
        </w:rPr>
        <w:t xml:space="preserve"> utilizada foi modificada, com a inclusão de carne vermelha e alguns alimentos considerados não saudáveis, como as carnes processadas. </w:t>
      </w:r>
      <w:r w:rsidR="00B15D6D">
        <w:rPr>
          <w:bCs/>
          <w:sz w:val="24"/>
          <w:szCs w:val="24"/>
        </w:rPr>
        <w:t>Valls et. al.</w:t>
      </w:r>
      <w:r w:rsidR="005E3DFE" w:rsidRPr="00B15D6D">
        <w:rPr>
          <w:bCs/>
          <w:sz w:val="24"/>
          <w:szCs w:val="24"/>
          <w:shd w:val="clear" w:color="auto" w:fill="FFFFFF"/>
          <w:vertAlign w:val="superscript"/>
        </w:rPr>
        <w:t>2</w:t>
      </w:r>
      <w:r w:rsidR="00A058B7">
        <w:rPr>
          <w:bCs/>
          <w:sz w:val="24"/>
          <w:szCs w:val="24"/>
          <w:shd w:val="clear" w:color="auto" w:fill="FFFFFF"/>
          <w:vertAlign w:val="superscript"/>
        </w:rPr>
        <w:t>6</w:t>
      </w:r>
      <w:r w:rsidRPr="00D5697D">
        <w:rPr>
          <w:bCs/>
          <w:sz w:val="24"/>
          <w:szCs w:val="24"/>
          <w:shd w:val="clear" w:color="auto" w:fill="FFFFFF"/>
        </w:rPr>
        <w:t xml:space="preserve"> e </w:t>
      </w:r>
      <w:r w:rsidR="00B15D6D">
        <w:rPr>
          <w:bCs/>
          <w:sz w:val="24"/>
          <w:szCs w:val="24"/>
          <w:shd w:val="clear" w:color="auto" w:fill="FFFFFF"/>
        </w:rPr>
        <w:t>Valls et. al.</w:t>
      </w:r>
      <w:r w:rsidR="005E3DFE" w:rsidRPr="00B15D6D">
        <w:rPr>
          <w:bCs/>
          <w:sz w:val="24"/>
          <w:szCs w:val="24"/>
          <w:shd w:val="clear" w:color="auto" w:fill="FFFFFF"/>
          <w:vertAlign w:val="superscript"/>
        </w:rPr>
        <w:t>2</w:t>
      </w:r>
      <w:r w:rsidR="00A058B7">
        <w:rPr>
          <w:bCs/>
          <w:sz w:val="24"/>
          <w:szCs w:val="24"/>
          <w:shd w:val="clear" w:color="auto" w:fill="FFFFFF"/>
          <w:vertAlign w:val="superscript"/>
        </w:rPr>
        <w:t>7</w:t>
      </w:r>
      <w:r w:rsidRPr="00D5697D">
        <w:rPr>
          <w:bCs/>
          <w:sz w:val="24"/>
          <w:szCs w:val="24"/>
          <w:shd w:val="clear" w:color="auto" w:fill="FFFFFF"/>
        </w:rPr>
        <w:t xml:space="preserve"> identificaram que a </w:t>
      </w:r>
      <w:r w:rsidR="008C3657">
        <w:rPr>
          <w:bCs/>
          <w:sz w:val="24"/>
          <w:szCs w:val="24"/>
        </w:rPr>
        <w:t>MeDi</w:t>
      </w:r>
      <w:r w:rsidRPr="00D5697D">
        <w:rPr>
          <w:bCs/>
          <w:sz w:val="24"/>
          <w:szCs w:val="24"/>
          <w:shd w:val="clear" w:color="auto" w:fill="FFFFFF"/>
        </w:rPr>
        <w:t xml:space="preserve">, por apresentar maior consumo de alimentos ricos em antioxidantes, como azeite de oliva (especialmente o extravirgem), café, oleaginosas e vinho, tem associação com a melhora significativa de memória verbal imediata e cognição global. </w:t>
      </w:r>
      <w:r w:rsidR="00B15D6D">
        <w:rPr>
          <w:bCs/>
          <w:sz w:val="24"/>
          <w:szCs w:val="24"/>
          <w:shd w:val="clear" w:color="auto" w:fill="FFFFFF"/>
        </w:rPr>
        <w:t>Cao et. al.</w:t>
      </w:r>
      <w:r w:rsidR="007C0089">
        <w:rPr>
          <w:bCs/>
          <w:sz w:val="24"/>
          <w:szCs w:val="24"/>
          <w:shd w:val="clear" w:color="auto" w:fill="FFFFFF"/>
          <w:vertAlign w:val="superscript"/>
        </w:rPr>
        <w:t>2</w:t>
      </w:r>
      <w:r w:rsidR="00A058B7">
        <w:rPr>
          <w:bCs/>
          <w:sz w:val="24"/>
          <w:szCs w:val="24"/>
          <w:shd w:val="clear" w:color="auto" w:fill="FFFFFF"/>
          <w:vertAlign w:val="superscript"/>
        </w:rPr>
        <w:t>8</w:t>
      </w:r>
      <w:r w:rsidRPr="00D5697D">
        <w:rPr>
          <w:bCs/>
          <w:sz w:val="24"/>
          <w:szCs w:val="24"/>
          <w:shd w:val="clear" w:color="auto" w:fill="FFFFFF"/>
        </w:rPr>
        <w:t xml:space="preserve">, em uma revisão sistemática com metanálise, apresentou resultados de 43 estudos sobre padrões alimentares e risco de demência, e a </w:t>
      </w:r>
      <w:r w:rsidR="008C3657">
        <w:rPr>
          <w:bCs/>
          <w:sz w:val="24"/>
          <w:szCs w:val="24"/>
        </w:rPr>
        <w:t>MeDi</w:t>
      </w:r>
      <w:r w:rsidRPr="00D5697D">
        <w:rPr>
          <w:bCs/>
          <w:sz w:val="24"/>
          <w:szCs w:val="24"/>
          <w:shd w:val="clear" w:color="auto" w:fill="FFFFFF"/>
        </w:rPr>
        <w:t xml:space="preserve">, assim como a elevada ingestão de gorduras insaturadas, antioxidantes e vitaminas do </w:t>
      </w:r>
      <w:r w:rsidRPr="00D5697D">
        <w:rPr>
          <w:bCs/>
          <w:sz w:val="24"/>
          <w:szCs w:val="24"/>
          <w:shd w:val="clear" w:color="auto" w:fill="FFFFFF"/>
        </w:rPr>
        <w:lastRenderedPageBreak/>
        <w:t xml:space="preserve">complexo B, se mostraram protetoras. </w:t>
      </w:r>
      <w:r w:rsidR="00B15D6D">
        <w:rPr>
          <w:bCs/>
          <w:sz w:val="24"/>
          <w:szCs w:val="24"/>
          <w:shd w:val="clear" w:color="auto" w:fill="FFFFFF"/>
        </w:rPr>
        <w:t>Loughrey et. al.</w:t>
      </w:r>
      <w:r w:rsidR="00A058B7">
        <w:rPr>
          <w:bCs/>
          <w:sz w:val="24"/>
          <w:szCs w:val="24"/>
          <w:shd w:val="clear" w:color="auto" w:fill="FFFFFF"/>
          <w:vertAlign w:val="superscript"/>
        </w:rPr>
        <w:t>29</w:t>
      </w:r>
      <w:r w:rsidRPr="00D5697D">
        <w:rPr>
          <w:bCs/>
          <w:sz w:val="24"/>
          <w:szCs w:val="24"/>
          <w:shd w:val="clear" w:color="auto" w:fill="FFFFFF"/>
        </w:rPr>
        <w:t xml:space="preserve">, também em uma revisão sistemática com metanálise, mostrou associação entre a </w:t>
      </w:r>
      <w:r w:rsidR="008C3657">
        <w:rPr>
          <w:bCs/>
          <w:sz w:val="24"/>
          <w:szCs w:val="24"/>
        </w:rPr>
        <w:t>MeDi</w:t>
      </w:r>
      <w:r w:rsidRPr="00D5697D">
        <w:rPr>
          <w:bCs/>
          <w:sz w:val="24"/>
          <w:szCs w:val="24"/>
          <w:shd w:val="clear" w:color="auto" w:fill="FFFFFF"/>
        </w:rPr>
        <w:t xml:space="preserve"> e a melhora de diversas funções cognitivas, sendo a evidência mais significativa a melhora da cognição global.</w:t>
      </w:r>
    </w:p>
    <w:p w14:paraId="32733D1E" w14:textId="52EE924C" w:rsidR="007F020F" w:rsidRPr="00D5697D" w:rsidRDefault="00B15D6D" w:rsidP="00B15D6D">
      <w:pPr>
        <w:spacing w:line="480" w:lineRule="auto"/>
        <w:rPr>
          <w:bCs/>
          <w:sz w:val="24"/>
          <w:szCs w:val="24"/>
        </w:rPr>
      </w:pPr>
      <w:r>
        <w:rPr>
          <w:bCs/>
          <w:sz w:val="24"/>
          <w:szCs w:val="24"/>
        </w:rPr>
        <w:t>Anastasiou et. al.</w:t>
      </w:r>
      <w:r w:rsidR="007C0089">
        <w:rPr>
          <w:bCs/>
          <w:sz w:val="24"/>
          <w:szCs w:val="24"/>
          <w:vertAlign w:val="superscript"/>
        </w:rPr>
        <w:t>19</w:t>
      </w:r>
      <w:r w:rsidR="007F020F" w:rsidRPr="00D5697D">
        <w:rPr>
          <w:bCs/>
          <w:sz w:val="24"/>
          <w:szCs w:val="24"/>
        </w:rPr>
        <w:t xml:space="preserve"> mostrou que o estilo de vida mediterrâneo como um todo pode reduzir o risco de MCI e baixa cognição de forma mais intensa do que cada aspecto desse estilo de vida isoladamente. Esse estudo aparentemente é único, pois não foram encontrados outros que avaliassem possíveis associações entre o estilo de vida mediterrâneo e </w:t>
      </w:r>
      <w:r w:rsidR="00445745">
        <w:rPr>
          <w:bCs/>
          <w:sz w:val="24"/>
          <w:szCs w:val="24"/>
        </w:rPr>
        <w:t>a DA</w:t>
      </w:r>
      <w:r w:rsidR="007F020F" w:rsidRPr="00D5697D">
        <w:rPr>
          <w:bCs/>
          <w:sz w:val="24"/>
          <w:szCs w:val="24"/>
        </w:rPr>
        <w:t xml:space="preserve">, demência ou MCI. Os estudos de </w:t>
      </w:r>
      <w:r>
        <w:rPr>
          <w:bCs/>
          <w:sz w:val="24"/>
          <w:szCs w:val="24"/>
        </w:rPr>
        <w:t>Nagpal et. al.</w:t>
      </w:r>
      <w:r w:rsidR="005E3DFE" w:rsidRPr="00B15D6D">
        <w:rPr>
          <w:bCs/>
          <w:sz w:val="24"/>
          <w:szCs w:val="24"/>
          <w:vertAlign w:val="superscript"/>
        </w:rPr>
        <w:t>2</w:t>
      </w:r>
      <w:r w:rsidR="007C0089">
        <w:rPr>
          <w:bCs/>
          <w:sz w:val="24"/>
          <w:szCs w:val="24"/>
          <w:vertAlign w:val="superscript"/>
        </w:rPr>
        <w:t>2</w:t>
      </w:r>
      <w:r w:rsidR="007F020F" w:rsidRPr="00D5697D">
        <w:rPr>
          <w:bCs/>
          <w:sz w:val="24"/>
          <w:szCs w:val="24"/>
        </w:rPr>
        <w:t xml:space="preserve"> e </w:t>
      </w:r>
      <w:r>
        <w:rPr>
          <w:bCs/>
          <w:sz w:val="24"/>
          <w:szCs w:val="24"/>
        </w:rPr>
        <w:t>Neth et. al.</w:t>
      </w:r>
      <w:r w:rsidR="005E3DFE" w:rsidRPr="00B15D6D">
        <w:rPr>
          <w:bCs/>
          <w:sz w:val="24"/>
          <w:szCs w:val="24"/>
          <w:vertAlign w:val="superscript"/>
        </w:rPr>
        <w:t>2</w:t>
      </w:r>
      <w:r w:rsidR="007C0089">
        <w:rPr>
          <w:bCs/>
          <w:sz w:val="24"/>
          <w:szCs w:val="24"/>
          <w:vertAlign w:val="superscript"/>
        </w:rPr>
        <w:t>3</w:t>
      </w:r>
      <w:r w:rsidR="007F020F" w:rsidRPr="00D5697D">
        <w:rPr>
          <w:bCs/>
          <w:sz w:val="24"/>
          <w:szCs w:val="24"/>
        </w:rPr>
        <w:t xml:space="preserve">, que trabalharam com a MMKD, são bastante recentes e também são únicos. O primeiro, em mostrar que essa dieta modula a microbiota intestinal e que esta altera os biomarcadores de DA no LCR. O segundo, em mostrar que a MMKD reduz a glicemia e a HbA1C, aumenta a perfusão cerebral, diminui a proteína tau no LCR e melhora o desempenho cognitivo. </w:t>
      </w:r>
    </w:p>
    <w:p w14:paraId="09FC83B0" w14:textId="77777777" w:rsidR="007F020F" w:rsidRPr="00D5697D" w:rsidRDefault="007F020F" w:rsidP="00D5697D">
      <w:pPr>
        <w:spacing w:line="480" w:lineRule="auto"/>
        <w:ind w:firstLine="708"/>
        <w:rPr>
          <w:b/>
          <w:sz w:val="24"/>
          <w:szCs w:val="24"/>
        </w:rPr>
      </w:pPr>
    </w:p>
    <w:p w14:paraId="3754BDF8" w14:textId="77777777" w:rsidR="007F020F" w:rsidRPr="00D5697D" w:rsidRDefault="007F020F" w:rsidP="00D5697D">
      <w:pPr>
        <w:pStyle w:val="PargrafodaLista"/>
        <w:tabs>
          <w:tab w:val="left" w:pos="284"/>
        </w:tabs>
        <w:spacing w:line="480" w:lineRule="auto"/>
        <w:ind w:left="0"/>
        <w:rPr>
          <w:b/>
          <w:sz w:val="24"/>
          <w:szCs w:val="24"/>
        </w:rPr>
      </w:pPr>
      <w:r w:rsidRPr="00D5697D">
        <w:rPr>
          <w:b/>
          <w:sz w:val="24"/>
          <w:szCs w:val="24"/>
        </w:rPr>
        <w:t>CONCLUSÃO</w:t>
      </w:r>
    </w:p>
    <w:p w14:paraId="6DFE9190" w14:textId="4EFD4B81" w:rsidR="007F020F" w:rsidRPr="00D5697D" w:rsidRDefault="007F020F" w:rsidP="00B15D6D">
      <w:pPr>
        <w:spacing w:line="480" w:lineRule="auto"/>
        <w:rPr>
          <w:bCs/>
          <w:color w:val="000000"/>
          <w:sz w:val="24"/>
          <w:szCs w:val="24"/>
          <w:shd w:val="clear" w:color="auto" w:fill="FFFFFF"/>
        </w:rPr>
      </w:pPr>
      <w:r w:rsidRPr="00D5697D">
        <w:rPr>
          <w:bCs/>
          <w:sz w:val="24"/>
          <w:szCs w:val="24"/>
        </w:rPr>
        <w:t>Dos resultados dessa revisão</w:t>
      </w:r>
      <w:r w:rsidR="00E62FF4">
        <w:rPr>
          <w:bCs/>
          <w:sz w:val="24"/>
          <w:szCs w:val="24"/>
        </w:rPr>
        <w:t>,</w:t>
      </w:r>
      <w:r w:rsidRPr="00D5697D">
        <w:rPr>
          <w:bCs/>
          <w:sz w:val="24"/>
          <w:szCs w:val="24"/>
        </w:rPr>
        <w:t xml:space="preserve"> conclui-se que uma maior adesão à </w:t>
      </w:r>
      <w:r w:rsidR="00785AB2">
        <w:rPr>
          <w:bCs/>
          <w:sz w:val="24"/>
          <w:szCs w:val="24"/>
        </w:rPr>
        <w:t>MeDi</w:t>
      </w:r>
      <w:r w:rsidRPr="00D5697D">
        <w:rPr>
          <w:bCs/>
          <w:sz w:val="24"/>
          <w:szCs w:val="24"/>
        </w:rPr>
        <w:t xml:space="preserve">, ou um elevado consumo dos alimentos que constituem sua base, está associada ao </w:t>
      </w:r>
      <w:r w:rsidRPr="00D5697D">
        <w:rPr>
          <w:bCs/>
          <w:color w:val="000000"/>
          <w:sz w:val="24"/>
          <w:szCs w:val="24"/>
          <w:shd w:val="clear" w:color="auto" w:fill="FFFFFF"/>
        </w:rPr>
        <w:t xml:space="preserve">menor risco de desenvolvimento de DA e </w:t>
      </w:r>
      <w:r w:rsidR="00E3536D">
        <w:rPr>
          <w:bCs/>
          <w:color w:val="000000"/>
          <w:sz w:val="24"/>
          <w:szCs w:val="24"/>
          <w:shd w:val="clear" w:color="auto" w:fill="FFFFFF"/>
        </w:rPr>
        <w:t xml:space="preserve">de </w:t>
      </w:r>
      <w:r w:rsidRPr="00D5697D">
        <w:rPr>
          <w:bCs/>
          <w:color w:val="000000"/>
          <w:sz w:val="24"/>
          <w:szCs w:val="24"/>
          <w:shd w:val="clear" w:color="auto" w:fill="FFFFFF"/>
        </w:rPr>
        <w:t>outros comprometimentos cognitivos.</w:t>
      </w:r>
    </w:p>
    <w:p w14:paraId="5A232497" w14:textId="1FC02884" w:rsidR="007F020F" w:rsidRPr="00D5697D" w:rsidRDefault="007F020F" w:rsidP="00B15D6D">
      <w:pPr>
        <w:spacing w:line="480" w:lineRule="auto"/>
        <w:rPr>
          <w:bCs/>
          <w:color w:val="000000"/>
          <w:sz w:val="24"/>
          <w:szCs w:val="24"/>
          <w:shd w:val="clear" w:color="auto" w:fill="FFFFFF"/>
        </w:rPr>
      </w:pPr>
      <w:r w:rsidRPr="00D5697D">
        <w:rPr>
          <w:bCs/>
          <w:color w:val="000000"/>
          <w:sz w:val="24"/>
          <w:szCs w:val="24"/>
          <w:shd w:val="clear" w:color="auto" w:fill="FFFFFF"/>
        </w:rPr>
        <w:t xml:space="preserve">Independente de outros fatores relacionados ao estilo de vida, a maior adesão à </w:t>
      </w:r>
      <w:r w:rsidR="00785AB2">
        <w:rPr>
          <w:bCs/>
          <w:sz w:val="24"/>
          <w:szCs w:val="24"/>
        </w:rPr>
        <w:t>MeDi</w:t>
      </w:r>
      <w:r w:rsidRPr="00D5697D">
        <w:rPr>
          <w:bCs/>
          <w:color w:val="000000"/>
          <w:sz w:val="24"/>
          <w:szCs w:val="24"/>
          <w:shd w:val="clear" w:color="auto" w:fill="FFFFFF"/>
        </w:rPr>
        <w:t xml:space="preserve"> </w:t>
      </w:r>
      <w:r w:rsidRPr="00D5697D">
        <w:rPr>
          <w:bCs/>
          <w:sz w:val="24"/>
          <w:szCs w:val="24"/>
        </w:rPr>
        <w:t xml:space="preserve">pode reduzir a deposição de </w:t>
      </w:r>
      <w:r w:rsidR="006D3AA9" w:rsidRPr="00D5697D">
        <w:rPr>
          <w:bCs/>
          <w:sz w:val="24"/>
          <w:szCs w:val="24"/>
          <w:shd w:val="clear" w:color="auto" w:fill="FFFFFF"/>
        </w:rPr>
        <w:t>Aβ</w:t>
      </w:r>
      <w:r w:rsidR="006D3AA9" w:rsidRPr="00D5697D">
        <w:rPr>
          <w:bCs/>
          <w:sz w:val="24"/>
          <w:szCs w:val="24"/>
        </w:rPr>
        <w:t xml:space="preserve"> </w:t>
      </w:r>
      <w:r w:rsidRPr="00D5697D">
        <w:rPr>
          <w:bCs/>
          <w:sz w:val="24"/>
          <w:szCs w:val="24"/>
        </w:rPr>
        <w:t>e de proteína tau no cérebro. Um dos mecanismos pelo qual esse efeito ocorre é</w:t>
      </w:r>
      <w:r w:rsidR="00E3536D">
        <w:rPr>
          <w:bCs/>
          <w:sz w:val="24"/>
          <w:szCs w:val="24"/>
        </w:rPr>
        <w:t xml:space="preserve"> </w:t>
      </w:r>
      <w:r w:rsidRPr="00D5697D">
        <w:rPr>
          <w:bCs/>
          <w:sz w:val="24"/>
          <w:szCs w:val="24"/>
        </w:rPr>
        <w:t xml:space="preserve">o controle </w:t>
      </w:r>
      <w:r w:rsidRPr="00D5697D">
        <w:rPr>
          <w:bCs/>
          <w:color w:val="000000"/>
          <w:sz w:val="24"/>
          <w:szCs w:val="24"/>
          <w:shd w:val="clear" w:color="auto" w:fill="FFFFFF"/>
        </w:rPr>
        <w:t>da resistência à insulina.</w:t>
      </w:r>
    </w:p>
    <w:p w14:paraId="113FA89F" w14:textId="519A1500" w:rsidR="007F020F" w:rsidRPr="00D5697D" w:rsidRDefault="007F020F" w:rsidP="00B15D6D">
      <w:pPr>
        <w:spacing w:line="480" w:lineRule="auto"/>
        <w:rPr>
          <w:bCs/>
          <w:sz w:val="24"/>
          <w:szCs w:val="24"/>
        </w:rPr>
      </w:pPr>
      <w:r w:rsidRPr="00D5697D">
        <w:rPr>
          <w:bCs/>
          <w:sz w:val="24"/>
          <w:szCs w:val="24"/>
        </w:rPr>
        <w:lastRenderedPageBreak/>
        <w:t xml:space="preserve">Pode-se concluir também que uma maior adesão à </w:t>
      </w:r>
      <w:r w:rsidR="00785AB2">
        <w:rPr>
          <w:bCs/>
          <w:sz w:val="24"/>
          <w:szCs w:val="24"/>
        </w:rPr>
        <w:t>MeDi</w:t>
      </w:r>
      <w:r w:rsidRPr="00D5697D">
        <w:rPr>
          <w:bCs/>
          <w:sz w:val="24"/>
          <w:szCs w:val="24"/>
        </w:rPr>
        <w:t xml:space="preserve"> apresenta correlação com a melhora da capacidade cognitiva, já que a maioria dos artigos n</w:t>
      </w:r>
      <w:r w:rsidR="00E62FF4">
        <w:rPr>
          <w:bCs/>
          <w:sz w:val="24"/>
          <w:szCs w:val="24"/>
        </w:rPr>
        <w:t>o</w:t>
      </w:r>
      <w:r w:rsidRPr="00D5697D">
        <w:rPr>
          <w:bCs/>
          <w:sz w:val="24"/>
          <w:szCs w:val="24"/>
        </w:rPr>
        <w:t xml:space="preserve"> assunto apresenta essa conclusão e a literatura a corrobora.</w:t>
      </w:r>
    </w:p>
    <w:p w14:paraId="5234A797" w14:textId="543C7D44" w:rsidR="007F020F" w:rsidRPr="00D5697D" w:rsidRDefault="007F020F" w:rsidP="00B15D6D">
      <w:pPr>
        <w:shd w:val="clear" w:color="auto" w:fill="FFFFFF"/>
        <w:spacing w:line="480" w:lineRule="auto"/>
        <w:contextualSpacing w:val="0"/>
        <w:rPr>
          <w:bCs/>
          <w:sz w:val="24"/>
          <w:szCs w:val="24"/>
        </w:rPr>
      </w:pPr>
      <w:r w:rsidRPr="00D5697D">
        <w:rPr>
          <w:bCs/>
          <w:color w:val="000000"/>
          <w:sz w:val="24"/>
          <w:szCs w:val="24"/>
          <w:shd w:val="clear" w:color="auto" w:fill="FFFFFF"/>
        </w:rPr>
        <w:t xml:space="preserve">Contudo, a partir dos artigos levantados, não é possível afirmar que a melhora do metabolismo de glicose ocasionada pela </w:t>
      </w:r>
      <w:r w:rsidR="00785AB2">
        <w:rPr>
          <w:bCs/>
          <w:sz w:val="24"/>
          <w:szCs w:val="24"/>
        </w:rPr>
        <w:t>MeDi</w:t>
      </w:r>
      <w:r w:rsidRPr="00D5697D">
        <w:rPr>
          <w:bCs/>
          <w:color w:val="000000"/>
          <w:sz w:val="24"/>
          <w:szCs w:val="24"/>
          <w:shd w:val="clear" w:color="auto" w:fill="FFFFFF"/>
        </w:rPr>
        <w:t xml:space="preserve"> tenha relação com alterações </w:t>
      </w:r>
      <w:r w:rsidR="00E3536D">
        <w:rPr>
          <w:bCs/>
          <w:color w:val="000000"/>
          <w:sz w:val="24"/>
          <w:szCs w:val="24"/>
          <w:shd w:val="clear" w:color="auto" w:fill="FFFFFF"/>
        </w:rPr>
        <w:t xml:space="preserve">de </w:t>
      </w:r>
      <w:r w:rsidRPr="00D5697D">
        <w:rPr>
          <w:bCs/>
          <w:color w:val="000000"/>
          <w:sz w:val="24"/>
          <w:szCs w:val="24"/>
          <w:shd w:val="clear" w:color="auto" w:fill="FFFFFF"/>
        </w:rPr>
        <w:t xml:space="preserve">espessuras corticais determinadas por </w:t>
      </w:r>
      <w:r w:rsidRPr="00D5697D">
        <w:rPr>
          <w:bCs/>
          <w:sz w:val="24"/>
          <w:szCs w:val="24"/>
        </w:rPr>
        <w:t xml:space="preserve">MRI, já que os estudos sobre esse assunto apresentaram resultados divergentes, com metodologias e populações diferentes.  </w:t>
      </w:r>
    </w:p>
    <w:p w14:paraId="490E1ECD" w14:textId="535711C3" w:rsidR="007F020F" w:rsidRPr="00D5697D" w:rsidRDefault="007F020F" w:rsidP="00B15D6D">
      <w:pPr>
        <w:spacing w:line="480" w:lineRule="auto"/>
        <w:rPr>
          <w:bCs/>
          <w:color w:val="000000"/>
          <w:sz w:val="24"/>
          <w:szCs w:val="24"/>
          <w:shd w:val="clear" w:color="auto" w:fill="FFFFFF"/>
        </w:rPr>
      </w:pPr>
      <w:r w:rsidRPr="00D5697D">
        <w:rPr>
          <w:bCs/>
          <w:color w:val="000000"/>
          <w:sz w:val="24"/>
          <w:szCs w:val="24"/>
          <w:shd w:val="clear" w:color="auto" w:fill="FFFFFF"/>
        </w:rPr>
        <w:t xml:space="preserve">É necessária a realização de mais estudos clínicos randomizados, com populações maiores e mais homogêneas em relação à idade, acerca dos efeitos da </w:t>
      </w:r>
      <w:r w:rsidR="00785AB2">
        <w:rPr>
          <w:bCs/>
          <w:sz w:val="24"/>
          <w:szCs w:val="24"/>
        </w:rPr>
        <w:t>MeDi</w:t>
      </w:r>
      <w:r w:rsidRPr="00D5697D">
        <w:rPr>
          <w:bCs/>
          <w:color w:val="000000"/>
          <w:sz w:val="24"/>
          <w:szCs w:val="24"/>
          <w:shd w:val="clear" w:color="auto" w:fill="FFFFFF"/>
        </w:rPr>
        <w:t xml:space="preserve"> na prevenção da DA</w:t>
      </w:r>
      <w:r w:rsidR="00B76492">
        <w:rPr>
          <w:bCs/>
          <w:color w:val="000000"/>
          <w:sz w:val="24"/>
          <w:szCs w:val="24"/>
          <w:shd w:val="clear" w:color="auto" w:fill="FFFFFF"/>
        </w:rPr>
        <w:t>, no</w:t>
      </w:r>
      <w:r w:rsidRPr="00D5697D">
        <w:rPr>
          <w:bCs/>
          <w:color w:val="000000"/>
          <w:sz w:val="24"/>
          <w:szCs w:val="24"/>
          <w:shd w:val="clear" w:color="auto" w:fill="FFFFFF"/>
        </w:rPr>
        <w:t xml:space="preserve"> seu controle depois de estabelecida, e sobre a estrutura cerebral, de forma a demonstrar se há uma relação de causalidade entre essas variáveis.</w:t>
      </w:r>
    </w:p>
    <w:p w14:paraId="3DC07B3C" w14:textId="4FFA551C" w:rsidR="007F020F" w:rsidRPr="00D5697D" w:rsidRDefault="007F020F" w:rsidP="00D5697D">
      <w:pPr>
        <w:spacing w:line="480" w:lineRule="auto"/>
        <w:ind w:firstLine="708"/>
        <w:rPr>
          <w:bCs/>
          <w:color w:val="000000"/>
          <w:sz w:val="24"/>
          <w:szCs w:val="24"/>
          <w:shd w:val="clear" w:color="auto" w:fill="FFFFFF"/>
        </w:rPr>
      </w:pPr>
    </w:p>
    <w:p w14:paraId="049A61A0" w14:textId="61EE8AA7" w:rsidR="00B424AE" w:rsidRPr="00D5697D" w:rsidRDefault="0075084F" w:rsidP="00D5697D">
      <w:pPr>
        <w:autoSpaceDE w:val="0"/>
        <w:autoSpaceDN w:val="0"/>
        <w:adjustRightInd w:val="0"/>
        <w:spacing w:line="480" w:lineRule="auto"/>
        <w:contextualSpacing w:val="0"/>
        <w:rPr>
          <w:b/>
          <w:color w:val="000000"/>
          <w:sz w:val="24"/>
          <w:szCs w:val="24"/>
          <w:shd w:val="clear" w:color="auto" w:fill="FFFFFF"/>
        </w:rPr>
      </w:pPr>
      <w:r>
        <w:rPr>
          <w:b/>
          <w:color w:val="000000"/>
          <w:sz w:val="24"/>
          <w:szCs w:val="24"/>
          <w:shd w:val="clear" w:color="auto" w:fill="FFFFFF"/>
        </w:rPr>
        <w:t>DECLARAÇÃO</w:t>
      </w:r>
      <w:r w:rsidR="00B424AE" w:rsidRPr="00D5697D">
        <w:rPr>
          <w:b/>
          <w:color w:val="000000"/>
          <w:sz w:val="24"/>
          <w:szCs w:val="24"/>
          <w:shd w:val="clear" w:color="auto" w:fill="FFFFFF"/>
        </w:rPr>
        <w:t xml:space="preserve"> DE INTERESSE</w:t>
      </w:r>
    </w:p>
    <w:p w14:paraId="519FF1CE" w14:textId="7A460F92" w:rsidR="00B424AE" w:rsidRPr="00D5697D" w:rsidRDefault="00B424AE" w:rsidP="00B15D6D">
      <w:pPr>
        <w:autoSpaceDE w:val="0"/>
        <w:autoSpaceDN w:val="0"/>
        <w:adjustRightInd w:val="0"/>
        <w:spacing w:line="480" w:lineRule="auto"/>
        <w:contextualSpacing w:val="0"/>
        <w:rPr>
          <w:bCs/>
          <w:color w:val="000000"/>
          <w:sz w:val="24"/>
          <w:szCs w:val="24"/>
          <w:shd w:val="clear" w:color="auto" w:fill="FFFFFF"/>
        </w:rPr>
      </w:pPr>
      <w:r w:rsidRPr="00D5697D">
        <w:rPr>
          <w:bCs/>
          <w:color w:val="000000"/>
          <w:sz w:val="24"/>
          <w:szCs w:val="24"/>
          <w:shd w:val="clear" w:color="auto" w:fill="FFFFFF"/>
        </w:rPr>
        <w:t>Os autores declaram não haver qualquer conflito de interesse, financeiro ou não, direto e/ou indireto, em relação aos resultados desse trabalho.</w:t>
      </w:r>
    </w:p>
    <w:p w14:paraId="1C4481B1" w14:textId="77777777" w:rsidR="007F020F" w:rsidRPr="00D5697D" w:rsidRDefault="007F020F" w:rsidP="00D5697D">
      <w:pPr>
        <w:spacing w:line="480" w:lineRule="auto"/>
        <w:ind w:firstLine="708"/>
        <w:rPr>
          <w:bCs/>
          <w:color w:val="000000"/>
          <w:sz w:val="24"/>
          <w:szCs w:val="24"/>
          <w:shd w:val="clear" w:color="auto" w:fill="FFFFFF"/>
        </w:rPr>
      </w:pPr>
    </w:p>
    <w:p w14:paraId="0B30356D" w14:textId="0BDCEF14" w:rsidR="007F020F" w:rsidRDefault="007F020F" w:rsidP="00D5697D">
      <w:pPr>
        <w:pStyle w:val="PargrafodaLista"/>
        <w:tabs>
          <w:tab w:val="left" w:pos="284"/>
        </w:tabs>
        <w:spacing w:line="480" w:lineRule="auto"/>
        <w:ind w:left="0"/>
        <w:rPr>
          <w:b/>
          <w:sz w:val="24"/>
          <w:szCs w:val="24"/>
        </w:rPr>
      </w:pPr>
      <w:r w:rsidRPr="00D5697D">
        <w:rPr>
          <w:b/>
          <w:sz w:val="24"/>
          <w:szCs w:val="24"/>
        </w:rPr>
        <w:t>REFERÊNCIAS</w:t>
      </w:r>
    </w:p>
    <w:p w14:paraId="0BB6CED4" w14:textId="3C559716" w:rsidR="00E77166" w:rsidRPr="00461D00" w:rsidRDefault="00646CAA" w:rsidP="00D5697D">
      <w:pPr>
        <w:pStyle w:val="PargrafodaLista"/>
        <w:tabs>
          <w:tab w:val="left" w:pos="284"/>
        </w:tabs>
        <w:spacing w:line="480" w:lineRule="auto"/>
        <w:ind w:left="0"/>
        <w:rPr>
          <w:sz w:val="24"/>
          <w:szCs w:val="24"/>
          <w:lang w:val="en-US"/>
        </w:rPr>
      </w:pPr>
      <w:r w:rsidRPr="007F7D19">
        <w:rPr>
          <w:sz w:val="24"/>
          <w:szCs w:val="24"/>
          <w:vertAlign w:val="superscript"/>
        </w:rPr>
        <w:t>1</w:t>
      </w:r>
      <w:r>
        <w:rPr>
          <w:sz w:val="24"/>
          <w:szCs w:val="24"/>
        </w:rPr>
        <w:t xml:space="preserve"> </w:t>
      </w:r>
      <w:r w:rsidR="00E77166">
        <w:rPr>
          <w:sz w:val="24"/>
          <w:szCs w:val="24"/>
        </w:rPr>
        <w:t xml:space="preserve">ASSOCIAÇÃO BRASILEIRA DE ALZHEIMER (ABRAz). O que é Alzheimer, 2019. Disponível em: </w:t>
      </w:r>
      <w:hyperlink r:id="rId11" w:history="1">
        <w:r w:rsidR="00E77166" w:rsidRPr="003B226B">
          <w:rPr>
            <w:rStyle w:val="Hyperlink"/>
            <w:sz w:val="24"/>
            <w:szCs w:val="24"/>
          </w:rPr>
          <w:t>https://abraz.org.br/2020/sobre-alzheimer/o-que-e-alzheimer-2/</w:t>
        </w:r>
      </w:hyperlink>
      <w:r w:rsidR="00F96E54">
        <w:rPr>
          <w:sz w:val="24"/>
          <w:szCs w:val="24"/>
        </w:rPr>
        <w:t xml:space="preserve">. </w:t>
      </w:r>
      <w:r w:rsidR="00E77166" w:rsidRPr="00461D00">
        <w:rPr>
          <w:sz w:val="24"/>
          <w:szCs w:val="24"/>
          <w:lang w:val="en-US"/>
        </w:rPr>
        <w:t>Último acesso em 11/11/2020.</w:t>
      </w:r>
    </w:p>
    <w:p w14:paraId="664E11B3" w14:textId="77777777" w:rsidR="0075084F" w:rsidRPr="00461D00" w:rsidRDefault="0075084F" w:rsidP="00D5697D">
      <w:pPr>
        <w:pStyle w:val="PargrafodaLista"/>
        <w:tabs>
          <w:tab w:val="left" w:pos="284"/>
        </w:tabs>
        <w:spacing w:line="480" w:lineRule="auto"/>
        <w:ind w:left="0"/>
        <w:rPr>
          <w:sz w:val="24"/>
          <w:szCs w:val="24"/>
          <w:lang w:val="en-US"/>
        </w:rPr>
      </w:pPr>
    </w:p>
    <w:p w14:paraId="1CBA18C5" w14:textId="4F3E17A8" w:rsidR="006E5CE5" w:rsidRPr="00461D00"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2</w:t>
      </w:r>
      <w:r>
        <w:rPr>
          <w:sz w:val="24"/>
          <w:szCs w:val="24"/>
          <w:lang w:val="en-US"/>
        </w:rPr>
        <w:t xml:space="preserve"> </w:t>
      </w:r>
      <w:r w:rsidRPr="00D5697D">
        <w:rPr>
          <w:sz w:val="24"/>
          <w:szCs w:val="24"/>
          <w:lang w:val="en-US"/>
        </w:rPr>
        <w:t>WINBLAD, B.</w:t>
      </w:r>
      <w:r w:rsidR="0075084F">
        <w:rPr>
          <w:sz w:val="24"/>
          <w:szCs w:val="24"/>
          <w:lang w:val="en-US"/>
        </w:rPr>
        <w:t>; AMOUYEL, P.; ANDRIEU, S.; BALLARD, C.; BRAYNE, C.; BRODATY, H.</w:t>
      </w:r>
      <w:r w:rsidRPr="00D5697D">
        <w:rPr>
          <w:sz w:val="24"/>
          <w:szCs w:val="24"/>
          <w:lang w:val="en-US"/>
        </w:rPr>
        <w:t xml:space="preserve"> et. al. Defeating Alzheimer’s disease and other dementias: a </w:t>
      </w:r>
      <w:r w:rsidRPr="00D5697D">
        <w:rPr>
          <w:sz w:val="24"/>
          <w:szCs w:val="24"/>
          <w:lang w:val="en-US"/>
        </w:rPr>
        <w:lastRenderedPageBreak/>
        <w:t xml:space="preserve">priority for European science and Society. </w:t>
      </w:r>
      <w:r w:rsidRPr="00461D00">
        <w:rPr>
          <w:b/>
          <w:bCs/>
          <w:sz w:val="24"/>
          <w:szCs w:val="24"/>
          <w:lang w:val="en-US"/>
        </w:rPr>
        <w:t>Lancet Neurol.</w:t>
      </w:r>
      <w:r w:rsidRPr="00461D00">
        <w:rPr>
          <w:sz w:val="24"/>
          <w:szCs w:val="24"/>
          <w:lang w:val="en-US"/>
        </w:rPr>
        <w:t xml:space="preserve"> </w:t>
      </w:r>
      <w:r w:rsidR="0075084F" w:rsidRPr="00461D00">
        <w:rPr>
          <w:sz w:val="24"/>
          <w:szCs w:val="24"/>
          <w:lang w:val="en-US"/>
        </w:rPr>
        <w:t>2016</w:t>
      </w:r>
      <w:r w:rsidR="00C52B09" w:rsidRPr="00461D00">
        <w:rPr>
          <w:sz w:val="24"/>
          <w:szCs w:val="24"/>
          <w:lang w:val="en-US"/>
        </w:rPr>
        <w:t xml:space="preserve"> April</w:t>
      </w:r>
      <w:r w:rsidR="0075084F" w:rsidRPr="00461D00">
        <w:rPr>
          <w:sz w:val="24"/>
          <w:szCs w:val="24"/>
          <w:lang w:val="en-US"/>
        </w:rPr>
        <w:t xml:space="preserve">; </w:t>
      </w:r>
      <w:r w:rsidRPr="00461D00">
        <w:rPr>
          <w:sz w:val="24"/>
          <w:szCs w:val="24"/>
          <w:lang w:val="en-US"/>
        </w:rPr>
        <w:t>15:455-532.</w:t>
      </w:r>
      <w:r w:rsidR="0075084F" w:rsidRPr="00461D00">
        <w:rPr>
          <w:sz w:val="24"/>
          <w:szCs w:val="24"/>
          <w:lang w:val="en-US"/>
        </w:rPr>
        <w:t xml:space="preserve"> DOI: https://doi.org/10.1016/S1474-4422(16)00062-4</w:t>
      </w:r>
      <w:r w:rsidR="001A3638" w:rsidRPr="00461D00">
        <w:rPr>
          <w:sz w:val="24"/>
          <w:szCs w:val="24"/>
          <w:lang w:val="en-US"/>
        </w:rPr>
        <w:t>.</w:t>
      </w:r>
    </w:p>
    <w:p w14:paraId="4A74BA47" w14:textId="77777777" w:rsidR="007F020F" w:rsidRPr="00461D00" w:rsidRDefault="007F020F" w:rsidP="00D5697D">
      <w:pPr>
        <w:pStyle w:val="PargrafodaLista"/>
        <w:tabs>
          <w:tab w:val="left" w:pos="284"/>
        </w:tabs>
        <w:spacing w:line="480" w:lineRule="auto"/>
        <w:ind w:left="0"/>
        <w:rPr>
          <w:sz w:val="24"/>
          <w:szCs w:val="24"/>
          <w:lang w:val="en-US"/>
        </w:rPr>
      </w:pPr>
    </w:p>
    <w:p w14:paraId="7B1B22E3" w14:textId="594A8AE3" w:rsidR="007F020F" w:rsidRPr="00461D00" w:rsidRDefault="00646CAA" w:rsidP="00D5697D">
      <w:pPr>
        <w:pStyle w:val="PargrafodaLista"/>
        <w:tabs>
          <w:tab w:val="left" w:pos="284"/>
        </w:tabs>
        <w:spacing w:line="480" w:lineRule="auto"/>
        <w:ind w:left="0"/>
        <w:rPr>
          <w:sz w:val="24"/>
          <w:szCs w:val="24"/>
          <w:lang w:val="en-US"/>
        </w:rPr>
      </w:pPr>
      <w:r w:rsidRPr="00461D00">
        <w:rPr>
          <w:sz w:val="24"/>
          <w:szCs w:val="24"/>
          <w:vertAlign w:val="superscript"/>
          <w:lang w:val="en-US"/>
        </w:rPr>
        <w:t>3</w:t>
      </w:r>
      <w:r w:rsidRPr="00461D00">
        <w:rPr>
          <w:sz w:val="24"/>
          <w:szCs w:val="24"/>
          <w:lang w:val="en-US"/>
        </w:rPr>
        <w:t xml:space="preserve"> </w:t>
      </w:r>
      <w:r w:rsidR="00E77166" w:rsidRPr="00461D00">
        <w:rPr>
          <w:sz w:val="24"/>
          <w:szCs w:val="24"/>
          <w:lang w:val="en-US"/>
        </w:rPr>
        <w:t xml:space="preserve">WORLD HEALTH ORGANIZATION (WHO). </w:t>
      </w:r>
      <w:r w:rsidR="00E77166">
        <w:rPr>
          <w:sz w:val="24"/>
          <w:szCs w:val="24"/>
        </w:rPr>
        <w:t xml:space="preserve">Dementia. 2020 Sep 21. Disponível em: </w:t>
      </w:r>
      <w:hyperlink r:id="rId12" w:history="1">
        <w:r w:rsidR="00E77166" w:rsidRPr="003B226B">
          <w:rPr>
            <w:rStyle w:val="Hyperlink"/>
            <w:sz w:val="24"/>
            <w:szCs w:val="24"/>
          </w:rPr>
          <w:t>https://www.who.int/news-room/fact-sheets/detail/dementia</w:t>
        </w:r>
      </w:hyperlink>
      <w:r w:rsidR="00E77166">
        <w:rPr>
          <w:sz w:val="24"/>
          <w:szCs w:val="24"/>
        </w:rPr>
        <w:t xml:space="preserve">. </w:t>
      </w:r>
      <w:r w:rsidR="00E77166" w:rsidRPr="00461D00">
        <w:rPr>
          <w:sz w:val="24"/>
          <w:szCs w:val="24"/>
          <w:lang w:val="en-US"/>
        </w:rPr>
        <w:t>Último acesso em 11/11/2020.</w:t>
      </w:r>
    </w:p>
    <w:p w14:paraId="1D7F59C7" w14:textId="39A3DD9E" w:rsidR="0075084F" w:rsidRPr="00461D00" w:rsidRDefault="0075084F" w:rsidP="00D5697D">
      <w:pPr>
        <w:pStyle w:val="PargrafodaLista"/>
        <w:tabs>
          <w:tab w:val="left" w:pos="284"/>
        </w:tabs>
        <w:spacing w:line="480" w:lineRule="auto"/>
        <w:ind w:left="0"/>
        <w:rPr>
          <w:sz w:val="24"/>
          <w:szCs w:val="24"/>
          <w:lang w:val="en-US"/>
        </w:rPr>
      </w:pPr>
    </w:p>
    <w:p w14:paraId="119DD2CE" w14:textId="3BC7242C" w:rsidR="006E5CE5" w:rsidRPr="00D5697D" w:rsidRDefault="006E5CE5" w:rsidP="00C17E37">
      <w:pPr>
        <w:pStyle w:val="PargrafodaLista"/>
        <w:tabs>
          <w:tab w:val="left" w:pos="284"/>
        </w:tabs>
        <w:spacing w:line="480" w:lineRule="auto"/>
        <w:ind w:left="0"/>
        <w:rPr>
          <w:sz w:val="24"/>
          <w:szCs w:val="24"/>
          <w:lang w:val="en-US"/>
        </w:rPr>
      </w:pPr>
      <w:r w:rsidRPr="007F7D19">
        <w:rPr>
          <w:sz w:val="24"/>
          <w:szCs w:val="24"/>
          <w:vertAlign w:val="superscript"/>
          <w:lang w:val="en-US"/>
        </w:rPr>
        <w:t>4</w:t>
      </w:r>
      <w:r>
        <w:rPr>
          <w:sz w:val="24"/>
          <w:szCs w:val="24"/>
          <w:lang w:val="en-US"/>
        </w:rPr>
        <w:t xml:space="preserve"> </w:t>
      </w:r>
      <w:r w:rsidRPr="00D5697D">
        <w:rPr>
          <w:sz w:val="24"/>
          <w:szCs w:val="24"/>
          <w:lang w:val="en-US"/>
        </w:rPr>
        <w:t>BAE, C. S.; SONG, J.  The Role of Glucagon-Like Peptide 1 (GLP1) in Type 3 Diabetes: GLP-1 Controls Insulin Resistance, Neuroinflammation and Neurogenesis in the Brain</w:t>
      </w:r>
      <w:r w:rsidRPr="00D5697D">
        <w:rPr>
          <w:b/>
          <w:bCs/>
          <w:sz w:val="24"/>
          <w:szCs w:val="24"/>
          <w:lang w:val="en-US"/>
        </w:rPr>
        <w:t>, Int. J. Mol. Sci.</w:t>
      </w:r>
      <w:r w:rsidRPr="00D5697D">
        <w:rPr>
          <w:sz w:val="24"/>
          <w:szCs w:val="24"/>
          <w:lang w:val="en-US"/>
        </w:rPr>
        <w:t xml:space="preserve">, </w:t>
      </w:r>
      <w:r w:rsidR="00C17E37">
        <w:rPr>
          <w:sz w:val="24"/>
          <w:szCs w:val="24"/>
          <w:lang w:val="en-US"/>
        </w:rPr>
        <w:t>2017</w:t>
      </w:r>
      <w:r w:rsidR="00C52B09">
        <w:rPr>
          <w:sz w:val="24"/>
          <w:szCs w:val="24"/>
          <w:lang w:val="en-US"/>
        </w:rPr>
        <w:t xml:space="preserve"> Nov 22</w:t>
      </w:r>
      <w:r w:rsidR="00C17E37">
        <w:rPr>
          <w:sz w:val="24"/>
          <w:szCs w:val="24"/>
          <w:lang w:val="en-US"/>
        </w:rPr>
        <w:t xml:space="preserve">; </w:t>
      </w:r>
      <w:r w:rsidRPr="00D5697D">
        <w:rPr>
          <w:sz w:val="24"/>
          <w:szCs w:val="24"/>
          <w:lang w:val="en-US"/>
        </w:rPr>
        <w:t>18</w:t>
      </w:r>
      <w:r w:rsidR="00C17E37">
        <w:rPr>
          <w:sz w:val="24"/>
          <w:szCs w:val="24"/>
          <w:lang w:val="en-US"/>
        </w:rPr>
        <w:t>:</w:t>
      </w:r>
      <w:r w:rsidRPr="00D5697D">
        <w:rPr>
          <w:sz w:val="24"/>
          <w:szCs w:val="24"/>
          <w:lang w:val="en-US"/>
        </w:rPr>
        <w:t>2493</w:t>
      </w:r>
      <w:r w:rsidR="00C17E37">
        <w:rPr>
          <w:sz w:val="24"/>
          <w:szCs w:val="24"/>
          <w:lang w:val="en-US"/>
        </w:rPr>
        <w:t>-2499</w:t>
      </w:r>
      <w:r w:rsidRPr="00D5697D">
        <w:rPr>
          <w:sz w:val="24"/>
          <w:szCs w:val="24"/>
          <w:lang w:val="en-US"/>
        </w:rPr>
        <w:t>.</w:t>
      </w:r>
      <w:r w:rsidR="00C17E37">
        <w:rPr>
          <w:sz w:val="24"/>
          <w:szCs w:val="24"/>
          <w:lang w:val="en-US"/>
        </w:rPr>
        <w:t xml:space="preserve"> </w:t>
      </w:r>
      <w:r w:rsidR="00C17E37" w:rsidRPr="00461D00">
        <w:rPr>
          <w:sz w:val="24"/>
          <w:szCs w:val="24"/>
          <w:lang w:val="en-US"/>
        </w:rPr>
        <w:t>DOI: https://doi.org/</w:t>
      </w:r>
      <w:r w:rsidR="00C17E37" w:rsidRPr="00C17E37">
        <w:rPr>
          <w:sz w:val="24"/>
          <w:szCs w:val="24"/>
          <w:lang w:val="en-US"/>
        </w:rPr>
        <w:t>10.3390/ijms18112493</w:t>
      </w:r>
      <w:r w:rsidR="001A3638">
        <w:rPr>
          <w:sz w:val="24"/>
          <w:szCs w:val="24"/>
          <w:lang w:val="en-US"/>
        </w:rPr>
        <w:t>.</w:t>
      </w:r>
    </w:p>
    <w:p w14:paraId="2F79EE76" w14:textId="77777777" w:rsidR="006E5CE5" w:rsidRDefault="006E5CE5" w:rsidP="00C17E37">
      <w:pPr>
        <w:pStyle w:val="PargrafodaLista"/>
        <w:tabs>
          <w:tab w:val="left" w:pos="284"/>
        </w:tabs>
        <w:spacing w:line="480" w:lineRule="auto"/>
        <w:ind w:left="0"/>
        <w:rPr>
          <w:sz w:val="24"/>
          <w:szCs w:val="24"/>
          <w:lang w:val="en-US"/>
        </w:rPr>
      </w:pPr>
    </w:p>
    <w:p w14:paraId="2FCBB3BB" w14:textId="6BE2C042" w:rsidR="00C17E37" w:rsidRDefault="006E5CE5" w:rsidP="00C17E37">
      <w:pPr>
        <w:pStyle w:val="PargrafodaLista"/>
        <w:tabs>
          <w:tab w:val="left" w:pos="284"/>
        </w:tabs>
        <w:spacing w:line="480" w:lineRule="auto"/>
        <w:ind w:left="0"/>
        <w:rPr>
          <w:sz w:val="24"/>
          <w:szCs w:val="24"/>
          <w:lang w:val="en-US"/>
        </w:rPr>
      </w:pPr>
      <w:r w:rsidRPr="007F7D19">
        <w:rPr>
          <w:sz w:val="24"/>
          <w:szCs w:val="24"/>
          <w:vertAlign w:val="superscript"/>
          <w:lang w:val="en-US"/>
        </w:rPr>
        <w:t>5</w:t>
      </w:r>
      <w:r>
        <w:rPr>
          <w:sz w:val="24"/>
          <w:szCs w:val="24"/>
          <w:lang w:val="en-US"/>
        </w:rPr>
        <w:t xml:space="preserve"> </w:t>
      </w:r>
      <w:r w:rsidRPr="00D5697D">
        <w:rPr>
          <w:sz w:val="24"/>
          <w:szCs w:val="24"/>
          <w:lang w:val="en-US"/>
        </w:rPr>
        <w:t>LEE, H. J.</w:t>
      </w:r>
      <w:r w:rsidR="00C17E37">
        <w:rPr>
          <w:sz w:val="24"/>
          <w:szCs w:val="24"/>
          <w:lang w:val="en-US"/>
        </w:rPr>
        <w:t>; SEO, H. I.; CHA, H. Y.; YANG, Y. J.; KWON, S. H.; YANG, S. J.</w:t>
      </w:r>
      <w:r w:rsidRPr="00D5697D">
        <w:rPr>
          <w:sz w:val="24"/>
          <w:szCs w:val="24"/>
          <w:lang w:val="en-US"/>
        </w:rPr>
        <w:t xml:space="preserve"> Diabetes and Alzheimer’s disease: Mechanisms and nutritional aspects. </w:t>
      </w:r>
      <w:r w:rsidRPr="00D5697D">
        <w:rPr>
          <w:b/>
          <w:bCs/>
          <w:sz w:val="24"/>
          <w:szCs w:val="24"/>
          <w:lang w:val="en-US"/>
        </w:rPr>
        <w:t>Clin. Nutr. Res</w:t>
      </w:r>
      <w:r w:rsidRPr="00D5697D">
        <w:rPr>
          <w:sz w:val="24"/>
          <w:szCs w:val="24"/>
          <w:lang w:val="en-US"/>
        </w:rPr>
        <w:t xml:space="preserve">. </w:t>
      </w:r>
      <w:r w:rsidR="00C17E37">
        <w:rPr>
          <w:sz w:val="24"/>
          <w:szCs w:val="24"/>
          <w:lang w:val="en-US"/>
        </w:rPr>
        <w:t>2018</w:t>
      </w:r>
      <w:r w:rsidR="00C52B09">
        <w:rPr>
          <w:sz w:val="24"/>
          <w:szCs w:val="24"/>
          <w:lang w:val="en-US"/>
        </w:rPr>
        <w:t xml:space="preserve"> Oct 14</w:t>
      </w:r>
      <w:r w:rsidR="00C17E37">
        <w:rPr>
          <w:sz w:val="24"/>
          <w:szCs w:val="24"/>
          <w:lang w:val="en-US"/>
        </w:rPr>
        <w:t xml:space="preserve">; </w:t>
      </w:r>
      <w:r w:rsidRPr="00D5697D">
        <w:rPr>
          <w:sz w:val="24"/>
          <w:szCs w:val="24"/>
          <w:lang w:val="en-US"/>
        </w:rPr>
        <w:t>7(4): 229-240.</w:t>
      </w:r>
      <w:r w:rsidR="00C17E37">
        <w:rPr>
          <w:sz w:val="24"/>
          <w:szCs w:val="24"/>
          <w:lang w:val="en-US"/>
        </w:rPr>
        <w:t xml:space="preserve"> DOI: h</w:t>
      </w:r>
      <w:r w:rsidR="00C17E37" w:rsidRPr="00C17E37">
        <w:rPr>
          <w:sz w:val="24"/>
          <w:szCs w:val="24"/>
          <w:lang w:val="en-US"/>
        </w:rPr>
        <w:t>ttps://doi.org/10.7762/cnr.2018.7.4.229</w:t>
      </w:r>
      <w:r w:rsidR="001A3638">
        <w:rPr>
          <w:sz w:val="24"/>
          <w:szCs w:val="24"/>
          <w:lang w:val="en-US"/>
        </w:rPr>
        <w:t>.</w:t>
      </w:r>
    </w:p>
    <w:p w14:paraId="74F69185" w14:textId="4081B179" w:rsidR="00795EE1" w:rsidRDefault="00795EE1" w:rsidP="00C17E37">
      <w:pPr>
        <w:pStyle w:val="PargrafodaLista"/>
        <w:tabs>
          <w:tab w:val="left" w:pos="284"/>
        </w:tabs>
        <w:spacing w:line="480" w:lineRule="auto"/>
        <w:ind w:left="0"/>
        <w:rPr>
          <w:sz w:val="24"/>
          <w:szCs w:val="24"/>
          <w:lang w:val="en-US"/>
        </w:rPr>
      </w:pPr>
    </w:p>
    <w:p w14:paraId="029CF262" w14:textId="520AFD2E" w:rsidR="00795EE1" w:rsidRPr="00D5697D" w:rsidRDefault="00795EE1" w:rsidP="00795EE1">
      <w:pPr>
        <w:pStyle w:val="PargrafodaLista"/>
        <w:tabs>
          <w:tab w:val="left" w:pos="284"/>
        </w:tabs>
        <w:spacing w:line="480" w:lineRule="auto"/>
        <w:ind w:left="0"/>
        <w:rPr>
          <w:sz w:val="24"/>
          <w:szCs w:val="24"/>
          <w:lang w:val="en-US"/>
        </w:rPr>
      </w:pPr>
      <w:r w:rsidRPr="007F7D19">
        <w:rPr>
          <w:sz w:val="24"/>
          <w:szCs w:val="24"/>
          <w:vertAlign w:val="superscript"/>
          <w:lang w:val="en-US"/>
        </w:rPr>
        <w:t>6</w:t>
      </w:r>
      <w:r>
        <w:rPr>
          <w:sz w:val="24"/>
          <w:szCs w:val="24"/>
          <w:lang w:val="en-US"/>
        </w:rPr>
        <w:t xml:space="preserve"> </w:t>
      </w:r>
      <w:r w:rsidRPr="00D5697D">
        <w:rPr>
          <w:sz w:val="24"/>
          <w:szCs w:val="24"/>
          <w:lang w:val="en-US"/>
        </w:rPr>
        <w:t>AKTER, K.</w:t>
      </w:r>
      <w:r>
        <w:rPr>
          <w:sz w:val="24"/>
          <w:szCs w:val="24"/>
          <w:lang w:val="en-US"/>
        </w:rPr>
        <w:t>; LANZA, E. A.; MARTIN, S. A.; MYRONYUK, N.; RUA, M.; RAFFA, R. B.</w:t>
      </w:r>
      <w:r w:rsidRPr="00D5697D">
        <w:rPr>
          <w:sz w:val="24"/>
          <w:szCs w:val="24"/>
          <w:lang w:val="en-US"/>
        </w:rPr>
        <w:t xml:space="preserve"> Diabetes mellitus and Alzheimer’s disease: shared pathology and treatment? </w:t>
      </w:r>
      <w:r w:rsidRPr="00D5697D">
        <w:rPr>
          <w:b/>
          <w:bCs/>
          <w:sz w:val="24"/>
          <w:szCs w:val="24"/>
          <w:lang w:val="en-US"/>
        </w:rPr>
        <w:t>British Journal of Clinical Pharmacology</w:t>
      </w:r>
      <w:r w:rsidRPr="00D5697D">
        <w:rPr>
          <w:sz w:val="24"/>
          <w:szCs w:val="24"/>
          <w:lang w:val="en-US"/>
        </w:rPr>
        <w:t xml:space="preserve">, </w:t>
      </w:r>
      <w:r>
        <w:rPr>
          <w:sz w:val="24"/>
          <w:szCs w:val="24"/>
          <w:lang w:val="en-US"/>
        </w:rPr>
        <w:t xml:space="preserve">2011; </w:t>
      </w:r>
      <w:r w:rsidRPr="00D5697D">
        <w:rPr>
          <w:sz w:val="24"/>
          <w:szCs w:val="24"/>
          <w:lang w:val="en-US"/>
        </w:rPr>
        <w:t>71:3, 365-376.</w:t>
      </w:r>
      <w:r>
        <w:rPr>
          <w:sz w:val="24"/>
          <w:szCs w:val="24"/>
          <w:lang w:val="en-US"/>
        </w:rPr>
        <w:t xml:space="preserve"> </w:t>
      </w:r>
      <w:r w:rsidRPr="006B46A7">
        <w:rPr>
          <w:sz w:val="24"/>
          <w:szCs w:val="24"/>
          <w:lang w:val="en-US"/>
        </w:rPr>
        <w:t>DOI:</w:t>
      </w:r>
      <w:r>
        <w:rPr>
          <w:sz w:val="24"/>
          <w:szCs w:val="24"/>
          <w:lang w:val="en-US"/>
        </w:rPr>
        <w:t xml:space="preserve"> </w:t>
      </w:r>
      <w:r w:rsidRPr="00871846">
        <w:rPr>
          <w:sz w:val="24"/>
          <w:szCs w:val="24"/>
          <w:lang w:val="en-US"/>
        </w:rPr>
        <w:t>https://doi.org/</w:t>
      </w:r>
      <w:r w:rsidRPr="006B46A7">
        <w:rPr>
          <w:sz w:val="24"/>
          <w:szCs w:val="24"/>
          <w:lang w:val="en-US"/>
        </w:rPr>
        <w:t>10.1111/j.1365-2125.2010.03830.x</w:t>
      </w:r>
      <w:r>
        <w:rPr>
          <w:sz w:val="24"/>
          <w:szCs w:val="24"/>
          <w:lang w:val="en-US"/>
        </w:rPr>
        <w:t>.</w:t>
      </w:r>
    </w:p>
    <w:p w14:paraId="71D66321" w14:textId="77777777" w:rsidR="00C17E37" w:rsidRDefault="00C17E37" w:rsidP="00C17E37">
      <w:pPr>
        <w:pStyle w:val="PargrafodaLista"/>
        <w:tabs>
          <w:tab w:val="left" w:pos="284"/>
        </w:tabs>
        <w:spacing w:line="480" w:lineRule="auto"/>
        <w:ind w:left="0"/>
        <w:rPr>
          <w:sz w:val="24"/>
          <w:szCs w:val="24"/>
          <w:lang w:val="en-US"/>
        </w:rPr>
      </w:pPr>
    </w:p>
    <w:p w14:paraId="6ED97467" w14:textId="2D38B7E0" w:rsidR="006E5CE5" w:rsidRPr="00D5697D" w:rsidRDefault="007C0089" w:rsidP="00C17E37">
      <w:pPr>
        <w:pStyle w:val="PargrafodaLista"/>
        <w:tabs>
          <w:tab w:val="left" w:pos="284"/>
        </w:tabs>
        <w:spacing w:line="480" w:lineRule="auto"/>
        <w:ind w:left="0"/>
        <w:rPr>
          <w:sz w:val="24"/>
          <w:szCs w:val="24"/>
          <w:lang w:val="en-US"/>
        </w:rPr>
      </w:pPr>
      <w:r>
        <w:rPr>
          <w:sz w:val="24"/>
          <w:szCs w:val="24"/>
          <w:vertAlign w:val="superscript"/>
          <w:lang w:val="en-US"/>
        </w:rPr>
        <w:t>7</w:t>
      </w:r>
      <w:r w:rsidR="006E5CE5">
        <w:rPr>
          <w:sz w:val="24"/>
          <w:szCs w:val="24"/>
          <w:lang w:val="en-US"/>
        </w:rPr>
        <w:t xml:space="preserve"> </w:t>
      </w:r>
      <w:r w:rsidR="006E5CE5" w:rsidRPr="00D5697D">
        <w:rPr>
          <w:sz w:val="24"/>
          <w:szCs w:val="24"/>
          <w:lang w:val="en-US"/>
        </w:rPr>
        <w:t xml:space="preserve">GEORGOULIS, M.; KONTOGIANNI, M. D.; YANNAKOURIS, N. Mediterranean diet and diabetes: Prevention and treatment, </w:t>
      </w:r>
      <w:r w:rsidR="006E5CE5" w:rsidRPr="00D5697D">
        <w:rPr>
          <w:b/>
          <w:bCs/>
          <w:sz w:val="24"/>
          <w:szCs w:val="24"/>
          <w:lang w:val="en-US"/>
        </w:rPr>
        <w:t>Nutrients</w:t>
      </w:r>
      <w:r w:rsidR="006E5CE5" w:rsidRPr="00D5697D">
        <w:rPr>
          <w:sz w:val="24"/>
          <w:szCs w:val="24"/>
          <w:lang w:val="en-US"/>
        </w:rPr>
        <w:t xml:space="preserve">, </w:t>
      </w:r>
      <w:r w:rsidR="00C17E37">
        <w:rPr>
          <w:sz w:val="24"/>
          <w:szCs w:val="24"/>
          <w:lang w:val="en-US"/>
        </w:rPr>
        <w:t>2014</w:t>
      </w:r>
      <w:r w:rsidR="00C52B09">
        <w:rPr>
          <w:sz w:val="24"/>
          <w:szCs w:val="24"/>
          <w:lang w:val="en-US"/>
        </w:rPr>
        <w:t xml:space="preserve"> April 4</w:t>
      </w:r>
      <w:r w:rsidR="00C17E37">
        <w:rPr>
          <w:sz w:val="24"/>
          <w:szCs w:val="24"/>
          <w:lang w:val="en-US"/>
        </w:rPr>
        <w:t xml:space="preserve">; </w:t>
      </w:r>
      <w:r w:rsidR="006E5CE5" w:rsidRPr="00D5697D">
        <w:rPr>
          <w:sz w:val="24"/>
          <w:szCs w:val="24"/>
          <w:lang w:val="en-US"/>
        </w:rPr>
        <w:t>6</w:t>
      </w:r>
      <w:r w:rsidR="00C17E37">
        <w:rPr>
          <w:sz w:val="24"/>
          <w:szCs w:val="24"/>
          <w:lang w:val="en-US"/>
        </w:rPr>
        <w:t>:</w:t>
      </w:r>
      <w:r w:rsidR="006E5CE5" w:rsidRPr="00D5697D">
        <w:rPr>
          <w:sz w:val="24"/>
          <w:szCs w:val="24"/>
          <w:lang w:val="en-US"/>
        </w:rPr>
        <w:t>1406-1423.</w:t>
      </w:r>
      <w:r w:rsidR="00C17E37">
        <w:rPr>
          <w:sz w:val="24"/>
          <w:szCs w:val="24"/>
          <w:lang w:val="en-US"/>
        </w:rPr>
        <w:t xml:space="preserve"> </w:t>
      </w:r>
      <w:r w:rsidR="00C17E37" w:rsidRPr="00C17E37">
        <w:rPr>
          <w:sz w:val="24"/>
          <w:szCs w:val="24"/>
          <w:lang w:val="en-US"/>
        </w:rPr>
        <w:t>DOI:</w:t>
      </w:r>
      <w:r w:rsidR="00C17E37">
        <w:rPr>
          <w:sz w:val="24"/>
          <w:szCs w:val="24"/>
          <w:lang w:val="en-US"/>
        </w:rPr>
        <w:t xml:space="preserve"> https://doi.org/</w:t>
      </w:r>
      <w:r w:rsidR="00C17E37" w:rsidRPr="00C17E37">
        <w:rPr>
          <w:sz w:val="24"/>
          <w:szCs w:val="24"/>
          <w:lang w:val="en-US"/>
        </w:rPr>
        <w:t>10.3390/nu6041406</w:t>
      </w:r>
      <w:r w:rsidR="001A3638">
        <w:rPr>
          <w:sz w:val="24"/>
          <w:szCs w:val="24"/>
          <w:lang w:val="en-US"/>
        </w:rPr>
        <w:t>.</w:t>
      </w:r>
    </w:p>
    <w:p w14:paraId="275380BD" w14:textId="77777777" w:rsidR="006E5CE5" w:rsidRPr="00D5697D" w:rsidRDefault="006E5CE5" w:rsidP="006E5CE5">
      <w:pPr>
        <w:pStyle w:val="PargrafodaLista"/>
        <w:tabs>
          <w:tab w:val="left" w:pos="284"/>
        </w:tabs>
        <w:spacing w:line="480" w:lineRule="auto"/>
        <w:ind w:left="0"/>
        <w:rPr>
          <w:sz w:val="24"/>
          <w:szCs w:val="24"/>
          <w:lang w:val="en-US"/>
        </w:rPr>
      </w:pPr>
    </w:p>
    <w:p w14:paraId="497EAD19" w14:textId="450CC4F8" w:rsidR="006E5CE5" w:rsidRDefault="007C0089" w:rsidP="00C52B09">
      <w:pPr>
        <w:pStyle w:val="PargrafodaLista"/>
        <w:tabs>
          <w:tab w:val="left" w:pos="284"/>
        </w:tabs>
        <w:spacing w:line="480" w:lineRule="auto"/>
        <w:ind w:left="0"/>
        <w:rPr>
          <w:sz w:val="24"/>
          <w:szCs w:val="24"/>
          <w:lang w:val="en-US"/>
        </w:rPr>
      </w:pPr>
      <w:r>
        <w:rPr>
          <w:sz w:val="24"/>
          <w:szCs w:val="24"/>
          <w:vertAlign w:val="superscript"/>
          <w:lang w:val="en-US"/>
        </w:rPr>
        <w:t>8</w:t>
      </w:r>
      <w:r w:rsidR="006E5CE5">
        <w:rPr>
          <w:sz w:val="24"/>
          <w:szCs w:val="24"/>
          <w:lang w:val="en-US"/>
        </w:rPr>
        <w:t xml:space="preserve"> </w:t>
      </w:r>
      <w:r w:rsidR="006E5CE5" w:rsidRPr="00D5697D">
        <w:rPr>
          <w:sz w:val="24"/>
          <w:szCs w:val="24"/>
          <w:lang w:val="en-US"/>
        </w:rPr>
        <w:t>GUASH-FERRÉ, M.</w:t>
      </w:r>
      <w:r w:rsidR="00C52B09">
        <w:rPr>
          <w:sz w:val="24"/>
          <w:szCs w:val="24"/>
          <w:lang w:val="en-US"/>
        </w:rPr>
        <w:t>; MERINO, J.; SUN, Q.; FITÓ, M.; SALAS-SALVADÓ, J.</w:t>
      </w:r>
      <w:r w:rsidR="006E5CE5" w:rsidRPr="00D5697D">
        <w:rPr>
          <w:sz w:val="24"/>
          <w:szCs w:val="24"/>
          <w:lang w:val="en-US"/>
        </w:rPr>
        <w:t xml:space="preserve"> Dietary polyphenols, mediterranean diet, prediabetes ant type 2 diabetes: A narrative review of the evidence. </w:t>
      </w:r>
      <w:r w:rsidR="006E5CE5" w:rsidRPr="00D5697D">
        <w:rPr>
          <w:b/>
          <w:bCs/>
          <w:sz w:val="24"/>
          <w:szCs w:val="24"/>
          <w:lang w:val="en-US"/>
        </w:rPr>
        <w:t>Oxidative Medicine and cellular longevity</w:t>
      </w:r>
      <w:r w:rsidR="006E5CE5" w:rsidRPr="00D5697D">
        <w:rPr>
          <w:sz w:val="24"/>
          <w:szCs w:val="24"/>
          <w:lang w:val="en-US"/>
        </w:rPr>
        <w:t>, 2017</w:t>
      </w:r>
      <w:r w:rsidR="00C52B09">
        <w:rPr>
          <w:sz w:val="24"/>
          <w:szCs w:val="24"/>
          <w:lang w:val="en-US"/>
        </w:rPr>
        <w:t xml:space="preserve"> Aug 13;</w:t>
      </w:r>
      <w:r w:rsidR="00C52B09" w:rsidRPr="00461D00">
        <w:rPr>
          <w:lang w:val="en-US"/>
        </w:rPr>
        <w:t xml:space="preserve"> Article ID 6723931, 16p. DOI: </w:t>
      </w:r>
      <w:r w:rsidR="00C52B09" w:rsidRPr="00C52B09">
        <w:rPr>
          <w:sz w:val="24"/>
          <w:szCs w:val="24"/>
          <w:lang w:val="en-US"/>
        </w:rPr>
        <w:t>https://doi.org/10.1155/2017/6723931</w:t>
      </w:r>
      <w:r w:rsidR="006E5CE5" w:rsidRPr="00D5697D">
        <w:rPr>
          <w:sz w:val="24"/>
          <w:szCs w:val="24"/>
          <w:lang w:val="en-US"/>
        </w:rPr>
        <w:t>.</w:t>
      </w:r>
    </w:p>
    <w:p w14:paraId="5B0695BE" w14:textId="77777777" w:rsidR="006E5CE5" w:rsidRDefault="006E5CE5" w:rsidP="006E5CE5">
      <w:pPr>
        <w:pStyle w:val="PargrafodaLista"/>
        <w:tabs>
          <w:tab w:val="left" w:pos="284"/>
        </w:tabs>
        <w:spacing w:line="480" w:lineRule="auto"/>
        <w:ind w:left="0"/>
        <w:rPr>
          <w:sz w:val="24"/>
          <w:szCs w:val="24"/>
          <w:lang w:val="en-US"/>
        </w:rPr>
      </w:pPr>
    </w:p>
    <w:p w14:paraId="4C3B0786" w14:textId="468234C6" w:rsidR="006E5CE5" w:rsidRPr="00461D00" w:rsidRDefault="007C0089" w:rsidP="006E5CE5">
      <w:pPr>
        <w:pStyle w:val="PargrafodaLista"/>
        <w:tabs>
          <w:tab w:val="left" w:pos="284"/>
        </w:tabs>
        <w:spacing w:line="480" w:lineRule="auto"/>
        <w:ind w:left="0"/>
        <w:rPr>
          <w:sz w:val="24"/>
          <w:szCs w:val="24"/>
        </w:rPr>
      </w:pPr>
      <w:r>
        <w:rPr>
          <w:sz w:val="24"/>
          <w:szCs w:val="24"/>
          <w:vertAlign w:val="superscript"/>
          <w:lang w:val="en-US"/>
        </w:rPr>
        <w:t>9</w:t>
      </w:r>
      <w:r w:rsidR="006E5CE5">
        <w:rPr>
          <w:sz w:val="24"/>
          <w:szCs w:val="24"/>
          <w:lang w:val="en-US"/>
        </w:rPr>
        <w:t xml:space="preserve"> </w:t>
      </w:r>
      <w:r w:rsidR="006E5CE5" w:rsidRPr="00D5697D">
        <w:rPr>
          <w:sz w:val="24"/>
          <w:szCs w:val="24"/>
          <w:lang w:val="en-US"/>
        </w:rPr>
        <w:t>SALAS-SALVADÓ, J.</w:t>
      </w:r>
      <w:r w:rsidR="00C52B09">
        <w:rPr>
          <w:sz w:val="24"/>
          <w:szCs w:val="24"/>
          <w:lang w:val="en-US"/>
        </w:rPr>
        <w:t xml:space="preserve">; GUASH-FERRÉ, M.; LEE, C. H.; ESTRUCH, R.; CLISH, C. B.; ROS, E. </w:t>
      </w:r>
      <w:r w:rsidR="006E5CE5" w:rsidRPr="00D5697D">
        <w:rPr>
          <w:sz w:val="24"/>
          <w:szCs w:val="24"/>
          <w:lang w:val="en-US"/>
        </w:rPr>
        <w:t xml:space="preserve">Protective effects of the Mediterranean diet on type 2 diabetes and metabolic syndrome, </w:t>
      </w:r>
      <w:r w:rsidR="006E5CE5" w:rsidRPr="00D5697D">
        <w:rPr>
          <w:b/>
          <w:bCs/>
          <w:sz w:val="24"/>
          <w:szCs w:val="24"/>
          <w:lang w:val="en-US"/>
        </w:rPr>
        <w:t>The Journal of Nutrition</w:t>
      </w:r>
      <w:r w:rsidR="006E5CE5" w:rsidRPr="00D5697D">
        <w:rPr>
          <w:sz w:val="24"/>
          <w:szCs w:val="24"/>
          <w:lang w:val="en-US"/>
        </w:rPr>
        <w:t>, 2016</w:t>
      </w:r>
      <w:r w:rsidR="00C52B09" w:rsidRPr="00461D00">
        <w:rPr>
          <w:lang w:val="en-US"/>
        </w:rPr>
        <w:t xml:space="preserve"> </w:t>
      </w:r>
      <w:r w:rsidR="00C52B09" w:rsidRPr="00C52B09">
        <w:rPr>
          <w:sz w:val="24"/>
          <w:szCs w:val="24"/>
          <w:lang w:val="en-US"/>
        </w:rPr>
        <w:t>March 9;</w:t>
      </w:r>
      <w:r w:rsidR="00D87523">
        <w:rPr>
          <w:sz w:val="24"/>
          <w:szCs w:val="24"/>
          <w:lang w:val="en-US"/>
        </w:rPr>
        <w:t xml:space="preserve"> 920S-927S.</w:t>
      </w:r>
      <w:r w:rsidR="00C52B09" w:rsidRPr="00C52B09">
        <w:rPr>
          <w:sz w:val="24"/>
          <w:szCs w:val="24"/>
          <w:lang w:val="en-US"/>
        </w:rPr>
        <w:t xml:space="preserve"> </w:t>
      </w:r>
      <w:r w:rsidR="00C52B09" w:rsidRPr="00461D00">
        <w:rPr>
          <w:sz w:val="24"/>
          <w:szCs w:val="24"/>
        </w:rPr>
        <w:t>DOI: https://doi.org/10.3945/jn.115.218487</w:t>
      </w:r>
      <w:r w:rsidR="006E5CE5" w:rsidRPr="00461D00">
        <w:rPr>
          <w:sz w:val="24"/>
          <w:szCs w:val="24"/>
        </w:rPr>
        <w:t>.</w:t>
      </w:r>
    </w:p>
    <w:p w14:paraId="5AC17F3C" w14:textId="77777777" w:rsidR="006E5CE5" w:rsidRPr="00461D00" w:rsidRDefault="006E5CE5" w:rsidP="006E5CE5">
      <w:pPr>
        <w:pStyle w:val="PargrafodaLista"/>
        <w:tabs>
          <w:tab w:val="left" w:pos="284"/>
        </w:tabs>
        <w:spacing w:line="480" w:lineRule="auto"/>
        <w:ind w:left="0"/>
        <w:rPr>
          <w:sz w:val="24"/>
          <w:szCs w:val="24"/>
        </w:rPr>
      </w:pPr>
    </w:p>
    <w:p w14:paraId="44EFF2A0" w14:textId="13D6A6C6"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1</w:t>
      </w:r>
      <w:r w:rsidR="007C0089">
        <w:rPr>
          <w:sz w:val="24"/>
          <w:szCs w:val="24"/>
          <w:vertAlign w:val="superscript"/>
          <w:lang w:val="en-US"/>
        </w:rPr>
        <w:t>0</w:t>
      </w:r>
      <w:r>
        <w:rPr>
          <w:sz w:val="24"/>
          <w:szCs w:val="24"/>
          <w:lang w:val="en-US"/>
        </w:rPr>
        <w:t xml:space="preserve"> </w:t>
      </w:r>
      <w:r w:rsidRPr="00D5697D">
        <w:rPr>
          <w:sz w:val="24"/>
          <w:szCs w:val="24"/>
          <w:lang w:val="en-US"/>
        </w:rPr>
        <w:t>BERTI, V.</w:t>
      </w:r>
      <w:r w:rsidR="00D87523">
        <w:rPr>
          <w:sz w:val="24"/>
          <w:szCs w:val="24"/>
          <w:lang w:val="en-US"/>
        </w:rPr>
        <w:t>; WALTERS, M.; STERLING, J.; QUINN, C. G.; LOGUE, M.; ANDREWS, R. et. al. M</w:t>
      </w:r>
      <w:r w:rsidRPr="00D5697D">
        <w:rPr>
          <w:sz w:val="24"/>
          <w:szCs w:val="24"/>
          <w:lang w:val="en-US"/>
        </w:rPr>
        <w:t xml:space="preserve">editerranean diet and 3-year Alzheimer brain biomarker changes in middle aged adults. </w:t>
      </w:r>
      <w:r w:rsidRPr="00D5697D">
        <w:rPr>
          <w:b/>
          <w:bCs/>
          <w:sz w:val="24"/>
          <w:szCs w:val="24"/>
          <w:lang w:val="en-US"/>
        </w:rPr>
        <w:t>Neurology</w:t>
      </w:r>
      <w:r w:rsidRPr="00D5697D">
        <w:rPr>
          <w:sz w:val="24"/>
          <w:szCs w:val="24"/>
          <w:lang w:val="en-US"/>
        </w:rPr>
        <w:t xml:space="preserve">, </w:t>
      </w:r>
      <w:r w:rsidR="00D87523">
        <w:rPr>
          <w:sz w:val="24"/>
          <w:szCs w:val="24"/>
          <w:lang w:val="en-US"/>
        </w:rPr>
        <w:t xml:space="preserve">2018 May 15; </w:t>
      </w:r>
      <w:r w:rsidRPr="00D5697D">
        <w:rPr>
          <w:sz w:val="24"/>
          <w:szCs w:val="24"/>
          <w:lang w:val="en-US"/>
        </w:rPr>
        <w:t>90</w:t>
      </w:r>
      <w:r w:rsidR="00D87523">
        <w:rPr>
          <w:sz w:val="24"/>
          <w:szCs w:val="24"/>
          <w:lang w:val="en-US"/>
        </w:rPr>
        <w:t>(</w:t>
      </w:r>
      <w:r w:rsidRPr="00D5697D">
        <w:rPr>
          <w:sz w:val="24"/>
          <w:szCs w:val="24"/>
          <w:lang w:val="en-US"/>
        </w:rPr>
        <w:t>20</w:t>
      </w:r>
      <w:r w:rsidR="00D87523">
        <w:rPr>
          <w:sz w:val="24"/>
          <w:szCs w:val="24"/>
          <w:lang w:val="en-US"/>
        </w:rPr>
        <w:t>):e1789-e1798</w:t>
      </w:r>
      <w:r w:rsidRPr="00D5697D">
        <w:rPr>
          <w:sz w:val="24"/>
          <w:szCs w:val="24"/>
          <w:lang w:val="en-US"/>
        </w:rPr>
        <w:t>.</w:t>
      </w:r>
      <w:r w:rsidR="00DE4F9C">
        <w:rPr>
          <w:sz w:val="24"/>
          <w:szCs w:val="24"/>
          <w:lang w:val="en-US"/>
        </w:rPr>
        <w:t xml:space="preserve"> DOI</w:t>
      </w:r>
      <w:r w:rsidR="00DE4F9C" w:rsidRPr="00DE4F9C">
        <w:rPr>
          <w:sz w:val="24"/>
          <w:szCs w:val="24"/>
          <w:lang w:val="en-US"/>
        </w:rPr>
        <w:t>: https://doi.org/10.1212/WNL.0000000000005527</w:t>
      </w:r>
      <w:r w:rsidR="001A3638">
        <w:rPr>
          <w:sz w:val="24"/>
          <w:szCs w:val="24"/>
          <w:lang w:val="en-US"/>
        </w:rPr>
        <w:t>.</w:t>
      </w:r>
    </w:p>
    <w:p w14:paraId="1DF28FA5" w14:textId="77777777" w:rsidR="006E5CE5" w:rsidRDefault="006E5CE5" w:rsidP="006E5CE5">
      <w:pPr>
        <w:pStyle w:val="PargrafodaLista"/>
        <w:tabs>
          <w:tab w:val="left" w:pos="284"/>
        </w:tabs>
        <w:spacing w:line="480" w:lineRule="auto"/>
        <w:ind w:left="0"/>
        <w:rPr>
          <w:sz w:val="24"/>
          <w:szCs w:val="24"/>
          <w:lang w:val="en-US"/>
        </w:rPr>
      </w:pPr>
    </w:p>
    <w:p w14:paraId="59B23D7D" w14:textId="2A97361C"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1</w:t>
      </w:r>
      <w:r w:rsidR="007C0089">
        <w:rPr>
          <w:sz w:val="24"/>
          <w:szCs w:val="24"/>
          <w:vertAlign w:val="superscript"/>
          <w:lang w:val="en-US"/>
        </w:rPr>
        <w:t>1</w:t>
      </w:r>
      <w:r>
        <w:rPr>
          <w:sz w:val="24"/>
          <w:szCs w:val="24"/>
          <w:lang w:val="en-US"/>
        </w:rPr>
        <w:t xml:space="preserve"> </w:t>
      </w:r>
      <w:r w:rsidRPr="00D5697D">
        <w:rPr>
          <w:sz w:val="24"/>
          <w:szCs w:val="24"/>
          <w:lang w:val="en-US"/>
        </w:rPr>
        <w:t>WALTERS, M. J.</w:t>
      </w:r>
      <w:r w:rsidR="00D71A8B">
        <w:rPr>
          <w:sz w:val="24"/>
          <w:szCs w:val="24"/>
          <w:lang w:val="en-US"/>
        </w:rPr>
        <w:t xml:space="preserve">; STERLING, J.; QUINN, C.; GANZER, C.; OSORIO, R. S.; ANDREWS, R. D. </w:t>
      </w:r>
      <w:r w:rsidRPr="00D5697D">
        <w:rPr>
          <w:sz w:val="24"/>
          <w:szCs w:val="24"/>
          <w:lang w:val="en-US"/>
        </w:rPr>
        <w:t xml:space="preserve">et. al. Associations of lifestyle and vascular risk factors with Alzheimer’s brain biomarker changes during middle age: a 3-year longitudinal study in the broader New York City area. </w:t>
      </w:r>
      <w:r w:rsidRPr="00D5697D">
        <w:rPr>
          <w:b/>
          <w:bCs/>
          <w:sz w:val="24"/>
          <w:szCs w:val="24"/>
          <w:lang w:val="en-US"/>
        </w:rPr>
        <w:t>BMJ Open</w:t>
      </w:r>
      <w:r w:rsidRPr="00D5697D">
        <w:rPr>
          <w:sz w:val="24"/>
          <w:szCs w:val="24"/>
          <w:lang w:val="en-US"/>
        </w:rPr>
        <w:t>, 2018</w:t>
      </w:r>
      <w:r w:rsidR="00D71A8B">
        <w:rPr>
          <w:sz w:val="24"/>
          <w:szCs w:val="24"/>
          <w:lang w:val="en-US"/>
        </w:rPr>
        <w:t xml:space="preserve"> Sep 25; 8:e023664</w:t>
      </w:r>
      <w:r w:rsidRPr="00D5697D">
        <w:rPr>
          <w:sz w:val="24"/>
          <w:szCs w:val="24"/>
          <w:lang w:val="en-US"/>
        </w:rPr>
        <w:t>.</w:t>
      </w:r>
      <w:r w:rsidR="00D71A8B">
        <w:rPr>
          <w:sz w:val="24"/>
          <w:szCs w:val="24"/>
          <w:lang w:val="en-US"/>
        </w:rPr>
        <w:t xml:space="preserve"> DOI: https://doi.org/</w:t>
      </w:r>
      <w:r w:rsidR="00D71A8B" w:rsidRPr="00D71A8B">
        <w:rPr>
          <w:sz w:val="24"/>
          <w:szCs w:val="24"/>
          <w:lang w:val="en-US"/>
        </w:rPr>
        <w:t>10.1136/bmjopen-2018-023664</w:t>
      </w:r>
      <w:r w:rsidR="00D71A8B">
        <w:rPr>
          <w:sz w:val="24"/>
          <w:szCs w:val="24"/>
          <w:lang w:val="en-US"/>
        </w:rPr>
        <w:t>.</w:t>
      </w:r>
    </w:p>
    <w:p w14:paraId="08137E71" w14:textId="77777777" w:rsidR="006E5CE5" w:rsidRPr="00D5697D" w:rsidRDefault="006E5CE5" w:rsidP="006E5CE5">
      <w:pPr>
        <w:pStyle w:val="PargrafodaLista"/>
        <w:tabs>
          <w:tab w:val="left" w:pos="284"/>
        </w:tabs>
        <w:spacing w:line="480" w:lineRule="auto"/>
        <w:ind w:left="0"/>
        <w:rPr>
          <w:sz w:val="24"/>
          <w:szCs w:val="24"/>
          <w:lang w:val="en-US"/>
        </w:rPr>
      </w:pPr>
    </w:p>
    <w:p w14:paraId="17A3DBF6" w14:textId="5222EEDA" w:rsidR="006E5CE5" w:rsidRPr="00461D00" w:rsidRDefault="006E5CE5" w:rsidP="006E5CE5">
      <w:pPr>
        <w:pStyle w:val="PargrafodaLista"/>
        <w:tabs>
          <w:tab w:val="left" w:pos="284"/>
        </w:tabs>
        <w:spacing w:line="480" w:lineRule="auto"/>
        <w:ind w:left="0"/>
        <w:rPr>
          <w:sz w:val="24"/>
          <w:szCs w:val="24"/>
        </w:rPr>
      </w:pPr>
      <w:r w:rsidRPr="007F7D19">
        <w:rPr>
          <w:sz w:val="24"/>
          <w:szCs w:val="24"/>
          <w:vertAlign w:val="superscript"/>
          <w:lang w:val="en-US"/>
        </w:rPr>
        <w:t>1</w:t>
      </w:r>
      <w:r w:rsidR="007C0089">
        <w:rPr>
          <w:sz w:val="24"/>
          <w:szCs w:val="24"/>
          <w:vertAlign w:val="superscript"/>
          <w:lang w:val="en-US"/>
        </w:rPr>
        <w:t>2</w:t>
      </w:r>
      <w:r>
        <w:rPr>
          <w:sz w:val="24"/>
          <w:szCs w:val="24"/>
          <w:lang w:val="en-US"/>
        </w:rPr>
        <w:t xml:space="preserve"> </w:t>
      </w:r>
      <w:r w:rsidRPr="00D5697D">
        <w:rPr>
          <w:sz w:val="24"/>
          <w:szCs w:val="24"/>
          <w:lang w:val="en-US"/>
        </w:rPr>
        <w:t>HILL, E.</w:t>
      </w:r>
      <w:r w:rsidR="00D71A8B">
        <w:rPr>
          <w:sz w:val="24"/>
          <w:szCs w:val="24"/>
          <w:lang w:val="en-US"/>
        </w:rPr>
        <w:t>; CLIFTON, P.; GOODWILL, A. M.; DENNERSTEIN, L.; CAMPBELL, S.; SZOEKE, C. D</w:t>
      </w:r>
      <w:r w:rsidRPr="00D5697D">
        <w:rPr>
          <w:sz w:val="24"/>
          <w:szCs w:val="24"/>
          <w:lang w:val="en-US"/>
        </w:rPr>
        <w:t xml:space="preserve">ietary patterns and b-amyloid deposition in aging Australian </w:t>
      </w:r>
      <w:r w:rsidRPr="00D5697D">
        <w:rPr>
          <w:sz w:val="24"/>
          <w:szCs w:val="24"/>
          <w:lang w:val="en-US"/>
        </w:rPr>
        <w:lastRenderedPageBreak/>
        <w:t xml:space="preserve">women. </w:t>
      </w:r>
      <w:r w:rsidRPr="00461D00">
        <w:rPr>
          <w:b/>
          <w:bCs/>
          <w:sz w:val="24"/>
          <w:szCs w:val="24"/>
        </w:rPr>
        <w:t>Alzheimer’s and Dementia</w:t>
      </w:r>
      <w:r w:rsidRPr="00461D00">
        <w:rPr>
          <w:sz w:val="24"/>
          <w:szCs w:val="24"/>
        </w:rPr>
        <w:t xml:space="preserve">, </w:t>
      </w:r>
      <w:r w:rsidR="00D71A8B" w:rsidRPr="00461D00">
        <w:rPr>
          <w:sz w:val="24"/>
          <w:szCs w:val="24"/>
        </w:rPr>
        <w:t xml:space="preserve">2018; </w:t>
      </w:r>
      <w:r w:rsidRPr="00461D00">
        <w:rPr>
          <w:sz w:val="24"/>
          <w:szCs w:val="24"/>
        </w:rPr>
        <w:t>4</w:t>
      </w:r>
      <w:r w:rsidR="00D71A8B" w:rsidRPr="00461D00">
        <w:rPr>
          <w:sz w:val="24"/>
          <w:szCs w:val="24"/>
        </w:rPr>
        <w:t>:</w:t>
      </w:r>
      <w:r w:rsidRPr="00461D00">
        <w:rPr>
          <w:sz w:val="24"/>
          <w:szCs w:val="24"/>
        </w:rPr>
        <w:t>535-541.</w:t>
      </w:r>
      <w:r w:rsidR="00D71A8B" w:rsidRPr="00461D00">
        <w:rPr>
          <w:sz w:val="24"/>
          <w:szCs w:val="24"/>
        </w:rPr>
        <w:t xml:space="preserve"> DOI: https://doi.org/10.1016/j.trci.2018.09.007</w:t>
      </w:r>
      <w:r w:rsidR="001A3638" w:rsidRPr="00461D00">
        <w:rPr>
          <w:sz w:val="24"/>
          <w:szCs w:val="24"/>
        </w:rPr>
        <w:t>.</w:t>
      </w:r>
    </w:p>
    <w:p w14:paraId="0914DE77" w14:textId="77777777" w:rsidR="005E3DFE" w:rsidRPr="00461D00" w:rsidRDefault="005E3DFE" w:rsidP="006E5CE5">
      <w:pPr>
        <w:pStyle w:val="PargrafodaLista"/>
        <w:tabs>
          <w:tab w:val="left" w:pos="284"/>
        </w:tabs>
        <w:spacing w:line="480" w:lineRule="auto"/>
        <w:ind w:left="0"/>
        <w:rPr>
          <w:sz w:val="24"/>
          <w:szCs w:val="24"/>
        </w:rPr>
      </w:pPr>
    </w:p>
    <w:p w14:paraId="26754588" w14:textId="1721C6CE" w:rsidR="006E5CE5" w:rsidRPr="00D5697D" w:rsidRDefault="006E5CE5" w:rsidP="006E5CE5">
      <w:pPr>
        <w:pStyle w:val="PargrafodaLista"/>
        <w:tabs>
          <w:tab w:val="left" w:pos="284"/>
        </w:tabs>
        <w:spacing w:line="480" w:lineRule="auto"/>
        <w:ind w:left="0"/>
        <w:rPr>
          <w:sz w:val="24"/>
          <w:szCs w:val="24"/>
          <w:lang w:val="en-US"/>
        </w:rPr>
      </w:pPr>
      <w:r w:rsidRPr="00461D00">
        <w:rPr>
          <w:sz w:val="24"/>
          <w:szCs w:val="24"/>
          <w:vertAlign w:val="superscript"/>
        </w:rPr>
        <w:t>1</w:t>
      </w:r>
      <w:r w:rsidR="007C0089">
        <w:rPr>
          <w:sz w:val="24"/>
          <w:szCs w:val="24"/>
          <w:vertAlign w:val="superscript"/>
        </w:rPr>
        <w:t>3</w:t>
      </w:r>
      <w:r w:rsidRPr="00461D00">
        <w:rPr>
          <w:sz w:val="24"/>
          <w:szCs w:val="24"/>
        </w:rPr>
        <w:t xml:space="preserve"> MERRIL, D. A.</w:t>
      </w:r>
      <w:r w:rsidR="00D71A8B" w:rsidRPr="00461D00">
        <w:rPr>
          <w:sz w:val="24"/>
          <w:szCs w:val="24"/>
        </w:rPr>
        <w:t>; PRABHA, S.; RAJI, C. A.; EMERSON, N. D.; RUEDA, F.; ERCOLI, L. M.</w:t>
      </w:r>
      <w:r w:rsidRPr="00461D00">
        <w:rPr>
          <w:sz w:val="24"/>
          <w:szCs w:val="24"/>
        </w:rPr>
        <w:t xml:space="preserve"> et. al. </w:t>
      </w:r>
      <w:r w:rsidRPr="00D5697D">
        <w:rPr>
          <w:sz w:val="24"/>
          <w:szCs w:val="24"/>
          <w:lang w:val="en-US"/>
        </w:rPr>
        <w:t xml:space="preserve">Modifiable risk factors and brain PET measures of amyloid and tau in non-demented adults with memory complaints. </w:t>
      </w:r>
      <w:r w:rsidRPr="00D5697D">
        <w:rPr>
          <w:b/>
          <w:bCs/>
          <w:sz w:val="24"/>
          <w:szCs w:val="24"/>
          <w:lang w:val="en-US"/>
        </w:rPr>
        <w:t>Am. J. Geriatr. Psychiatry</w:t>
      </w:r>
      <w:r w:rsidR="001A3638">
        <w:rPr>
          <w:b/>
          <w:bCs/>
          <w:sz w:val="24"/>
          <w:szCs w:val="24"/>
          <w:lang w:val="en-US"/>
        </w:rPr>
        <w:t>.</w:t>
      </w:r>
      <w:r w:rsidRPr="00D5697D">
        <w:rPr>
          <w:sz w:val="24"/>
          <w:szCs w:val="24"/>
          <w:lang w:val="en-US"/>
        </w:rPr>
        <w:t xml:space="preserve"> </w:t>
      </w:r>
      <w:r w:rsidR="00D71A8B">
        <w:rPr>
          <w:sz w:val="24"/>
          <w:szCs w:val="24"/>
          <w:lang w:val="en-US"/>
        </w:rPr>
        <w:t xml:space="preserve">2016 Sep; </w:t>
      </w:r>
      <w:r w:rsidRPr="00D5697D">
        <w:rPr>
          <w:sz w:val="24"/>
          <w:szCs w:val="24"/>
          <w:lang w:val="en-US"/>
        </w:rPr>
        <w:t>24(9): 729-737.</w:t>
      </w:r>
      <w:r w:rsidR="00D71A8B">
        <w:rPr>
          <w:sz w:val="24"/>
          <w:szCs w:val="24"/>
          <w:lang w:val="en-US"/>
        </w:rPr>
        <w:t xml:space="preserve"> </w:t>
      </w:r>
      <w:r w:rsidR="00D71A8B" w:rsidRPr="00D71A8B">
        <w:rPr>
          <w:sz w:val="24"/>
          <w:szCs w:val="24"/>
          <w:lang w:val="en-US"/>
        </w:rPr>
        <w:t>DOI:</w:t>
      </w:r>
      <w:r w:rsidR="00D71A8B">
        <w:rPr>
          <w:sz w:val="24"/>
          <w:szCs w:val="24"/>
          <w:lang w:val="en-US"/>
        </w:rPr>
        <w:t xml:space="preserve"> </w:t>
      </w:r>
      <w:r w:rsidR="00D71A8B" w:rsidRPr="00D71A8B">
        <w:rPr>
          <w:sz w:val="24"/>
          <w:szCs w:val="24"/>
          <w:lang w:val="en-US"/>
        </w:rPr>
        <w:t>https://doi.org/10.1016/j.jagp.2016.05.007</w:t>
      </w:r>
      <w:r w:rsidR="001A3638">
        <w:rPr>
          <w:sz w:val="24"/>
          <w:szCs w:val="24"/>
          <w:lang w:val="en-US"/>
        </w:rPr>
        <w:t>.</w:t>
      </w:r>
    </w:p>
    <w:p w14:paraId="4FD1648F" w14:textId="77777777" w:rsidR="006E5CE5" w:rsidRDefault="006E5CE5" w:rsidP="006E5CE5">
      <w:pPr>
        <w:pStyle w:val="PargrafodaLista"/>
        <w:tabs>
          <w:tab w:val="left" w:pos="284"/>
        </w:tabs>
        <w:spacing w:line="480" w:lineRule="auto"/>
        <w:ind w:left="0"/>
        <w:rPr>
          <w:sz w:val="24"/>
          <w:szCs w:val="24"/>
          <w:lang w:val="en-US"/>
        </w:rPr>
      </w:pPr>
    </w:p>
    <w:p w14:paraId="3890F1AD" w14:textId="44CF88C9"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1</w:t>
      </w:r>
      <w:r w:rsidR="007C0089">
        <w:rPr>
          <w:sz w:val="24"/>
          <w:szCs w:val="24"/>
          <w:vertAlign w:val="superscript"/>
          <w:lang w:val="en-US"/>
        </w:rPr>
        <w:t>4</w:t>
      </w:r>
      <w:r>
        <w:rPr>
          <w:sz w:val="24"/>
          <w:szCs w:val="24"/>
          <w:lang w:val="en-US"/>
        </w:rPr>
        <w:t xml:space="preserve"> </w:t>
      </w:r>
      <w:r w:rsidRPr="00D5697D">
        <w:rPr>
          <w:sz w:val="24"/>
          <w:szCs w:val="24"/>
          <w:lang w:val="en-US"/>
        </w:rPr>
        <w:t>RAINEY-SMITH, S. R.</w:t>
      </w:r>
      <w:r w:rsidR="001A3638">
        <w:rPr>
          <w:sz w:val="24"/>
          <w:szCs w:val="24"/>
          <w:lang w:val="en-US"/>
        </w:rPr>
        <w:t xml:space="preserve">; GU, Y.; GARDENER, S. L.; DOECKE, J. D.; VILLEMAGNE, V. L.; BROWN, B. M. </w:t>
      </w:r>
      <w:r w:rsidRPr="00D5697D">
        <w:rPr>
          <w:sz w:val="24"/>
          <w:szCs w:val="24"/>
          <w:lang w:val="en-US"/>
        </w:rPr>
        <w:t>et. al. Mediterranean diet adherence and rate of cerebral A</w:t>
      </w:r>
      <w:r w:rsidRPr="00D5697D">
        <w:rPr>
          <w:rFonts w:ascii="Symbol" w:hAnsi="Symbol"/>
          <w:sz w:val="24"/>
          <w:szCs w:val="24"/>
          <w:lang w:val="en-US"/>
        </w:rPr>
        <w:t>b</w:t>
      </w:r>
      <w:r w:rsidRPr="00D5697D">
        <w:rPr>
          <w:sz w:val="24"/>
          <w:szCs w:val="24"/>
          <w:lang w:val="en-US"/>
        </w:rPr>
        <w:t xml:space="preserve">-amyloid accumulation: data from the Australian imaging, biomarkers and lifestyle study of aging. </w:t>
      </w:r>
      <w:r w:rsidRPr="00D5697D">
        <w:rPr>
          <w:b/>
          <w:bCs/>
          <w:sz w:val="24"/>
          <w:szCs w:val="24"/>
          <w:lang w:val="en-US"/>
        </w:rPr>
        <w:t>Translational Psychiatry</w:t>
      </w:r>
      <w:r w:rsidRPr="00D5697D">
        <w:rPr>
          <w:sz w:val="24"/>
          <w:szCs w:val="24"/>
          <w:lang w:val="en-US"/>
        </w:rPr>
        <w:t xml:space="preserve">, </w:t>
      </w:r>
      <w:r w:rsidR="001A3638">
        <w:rPr>
          <w:sz w:val="24"/>
          <w:szCs w:val="24"/>
          <w:lang w:val="en-US"/>
        </w:rPr>
        <w:t xml:space="preserve">2018; </w:t>
      </w:r>
      <w:r w:rsidRPr="00D5697D">
        <w:rPr>
          <w:sz w:val="24"/>
          <w:szCs w:val="24"/>
          <w:lang w:val="en-US"/>
        </w:rPr>
        <w:t>8:238</w:t>
      </w:r>
      <w:r w:rsidR="001A3638">
        <w:rPr>
          <w:sz w:val="24"/>
          <w:szCs w:val="24"/>
          <w:lang w:val="en-US"/>
        </w:rPr>
        <w:t>-244</w:t>
      </w:r>
      <w:r w:rsidRPr="00D5697D">
        <w:rPr>
          <w:sz w:val="24"/>
          <w:szCs w:val="24"/>
          <w:lang w:val="en-US"/>
        </w:rPr>
        <w:t>.</w:t>
      </w:r>
      <w:r w:rsidR="001A3638">
        <w:rPr>
          <w:sz w:val="24"/>
          <w:szCs w:val="24"/>
          <w:lang w:val="en-US"/>
        </w:rPr>
        <w:t xml:space="preserve"> </w:t>
      </w:r>
      <w:r w:rsidR="001A3638" w:rsidRPr="001A3638">
        <w:rPr>
          <w:sz w:val="24"/>
          <w:szCs w:val="24"/>
          <w:lang w:val="en-US"/>
        </w:rPr>
        <w:t>DOI</w:t>
      </w:r>
      <w:r w:rsidR="001A3638">
        <w:rPr>
          <w:sz w:val="24"/>
          <w:szCs w:val="24"/>
          <w:lang w:val="en-US"/>
        </w:rPr>
        <w:t xml:space="preserve">: </w:t>
      </w:r>
      <w:r w:rsidR="001A3638" w:rsidRPr="00D71A8B">
        <w:rPr>
          <w:sz w:val="24"/>
          <w:szCs w:val="24"/>
          <w:lang w:val="en-US"/>
        </w:rPr>
        <w:t>https://doi.org/</w:t>
      </w:r>
      <w:r w:rsidR="001A3638" w:rsidRPr="001A3638">
        <w:rPr>
          <w:sz w:val="24"/>
          <w:szCs w:val="24"/>
          <w:lang w:val="en-US"/>
        </w:rPr>
        <w:t>10.1038/s41398-018-0293-5</w:t>
      </w:r>
      <w:r w:rsidR="001A3638">
        <w:rPr>
          <w:sz w:val="24"/>
          <w:szCs w:val="24"/>
          <w:lang w:val="en-US"/>
        </w:rPr>
        <w:t>.</w:t>
      </w:r>
    </w:p>
    <w:p w14:paraId="69D1F828" w14:textId="77777777" w:rsidR="006E5CE5" w:rsidRDefault="006E5CE5" w:rsidP="006E5CE5">
      <w:pPr>
        <w:pStyle w:val="PargrafodaLista"/>
        <w:tabs>
          <w:tab w:val="left" w:pos="284"/>
        </w:tabs>
        <w:spacing w:line="480" w:lineRule="auto"/>
        <w:ind w:left="0"/>
        <w:rPr>
          <w:sz w:val="24"/>
          <w:szCs w:val="24"/>
          <w:lang w:val="en-US"/>
        </w:rPr>
      </w:pPr>
    </w:p>
    <w:p w14:paraId="14C371CE" w14:textId="1138A67E"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1</w:t>
      </w:r>
      <w:r w:rsidR="007C0089">
        <w:rPr>
          <w:sz w:val="24"/>
          <w:szCs w:val="24"/>
          <w:vertAlign w:val="superscript"/>
          <w:lang w:val="en-US"/>
        </w:rPr>
        <w:t>5</w:t>
      </w:r>
      <w:r>
        <w:rPr>
          <w:sz w:val="24"/>
          <w:szCs w:val="24"/>
          <w:lang w:val="en-US"/>
        </w:rPr>
        <w:t xml:space="preserve"> </w:t>
      </w:r>
      <w:r w:rsidRPr="00D5697D">
        <w:rPr>
          <w:sz w:val="24"/>
          <w:szCs w:val="24"/>
          <w:lang w:val="en-US"/>
        </w:rPr>
        <w:t>VASSILAKI, M.</w:t>
      </w:r>
      <w:r w:rsidR="001A3638">
        <w:rPr>
          <w:sz w:val="24"/>
          <w:szCs w:val="24"/>
          <w:lang w:val="en-US"/>
        </w:rPr>
        <w:t>; AAKRE, J. A.; SYRJANEN, J. A.; MIELKE, M. M.; GEDA, Y. E.; KREMERS, W. K.</w:t>
      </w:r>
      <w:r w:rsidRPr="00D5697D">
        <w:rPr>
          <w:sz w:val="24"/>
          <w:szCs w:val="24"/>
          <w:lang w:val="en-US"/>
        </w:rPr>
        <w:t xml:space="preserve"> et. al. Mediterranean diet, its components and amyloid imaging biomarkers. </w:t>
      </w:r>
      <w:r w:rsidRPr="00D5697D">
        <w:rPr>
          <w:b/>
          <w:bCs/>
          <w:sz w:val="24"/>
          <w:szCs w:val="24"/>
          <w:lang w:val="en-US"/>
        </w:rPr>
        <w:t>J. Alzheimers Dis</w:t>
      </w:r>
      <w:r w:rsidR="001A3638">
        <w:rPr>
          <w:sz w:val="24"/>
          <w:szCs w:val="24"/>
          <w:lang w:val="en-US"/>
        </w:rPr>
        <w:t>, 2018;</w:t>
      </w:r>
      <w:r w:rsidRPr="00D5697D">
        <w:rPr>
          <w:sz w:val="24"/>
          <w:szCs w:val="24"/>
          <w:lang w:val="en-US"/>
        </w:rPr>
        <w:t xml:space="preserve"> 64(1): 281-290. </w:t>
      </w:r>
      <w:r w:rsidR="001A3638">
        <w:rPr>
          <w:sz w:val="24"/>
          <w:szCs w:val="24"/>
          <w:lang w:val="en-US"/>
        </w:rPr>
        <w:t>DOI</w:t>
      </w:r>
      <w:r w:rsidR="001A3638" w:rsidRPr="001A3638">
        <w:rPr>
          <w:sz w:val="24"/>
          <w:szCs w:val="24"/>
          <w:lang w:val="en-US"/>
        </w:rPr>
        <w:t>:</w:t>
      </w:r>
      <w:r w:rsidR="001A3638">
        <w:rPr>
          <w:sz w:val="24"/>
          <w:szCs w:val="24"/>
          <w:lang w:val="en-US"/>
        </w:rPr>
        <w:t xml:space="preserve"> </w:t>
      </w:r>
      <w:r w:rsidR="001A3638" w:rsidRPr="00D71A8B">
        <w:rPr>
          <w:sz w:val="24"/>
          <w:szCs w:val="24"/>
          <w:lang w:val="en-US"/>
        </w:rPr>
        <w:t>https://doi.org/</w:t>
      </w:r>
      <w:r w:rsidR="001A3638" w:rsidRPr="001A3638">
        <w:rPr>
          <w:sz w:val="24"/>
          <w:szCs w:val="24"/>
          <w:lang w:val="en-US"/>
        </w:rPr>
        <w:t>10.3233/JAD-171121</w:t>
      </w:r>
      <w:r w:rsidR="001A3638">
        <w:rPr>
          <w:sz w:val="24"/>
          <w:szCs w:val="24"/>
          <w:lang w:val="en-US"/>
        </w:rPr>
        <w:t>.</w:t>
      </w:r>
    </w:p>
    <w:p w14:paraId="72032363" w14:textId="14F71B9A" w:rsidR="006E5CE5" w:rsidRDefault="006E5CE5" w:rsidP="006E5CE5">
      <w:pPr>
        <w:pStyle w:val="PargrafodaLista"/>
        <w:tabs>
          <w:tab w:val="left" w:pos="284"/>
        </w:tabs>
        <w:spacing w:line="480" w:lineRule="auto"/>
        <w:ind w:left="0"/>
        <w:rPr>
          <w:sz w:val="24"/>
          <w:szCs w:val="24"/>
          <w:lang w:val="en-US"/>
        </w:rPr>
      </w:pPr>
    </w:p>
    <w:p w14:paraId="7DC91B08" w14:textId="5A1184C3" w:rsidR="00375D4B" w:rsidRPr="00375D4B" w:rsidRDefault="006E5CE5" w:rsidP="00375D4B">
      <w:pPr>
        <w:pStyle w:val="PargrafodaLista"/>
        <w:tabs>
          <w:tab w:val="left" w:pos="284"/>
        </w:tabs>
        <w:spacing w:line="480" w:lineRule="auto"/>
        <w:ind w:left="0"/>
        <w:rPr>
          <w:sz w:val="24"/>
          <w:szCs w:val="24"/>
          <w:lang w:val="en-US"/>
        </w:rPr>
      </w:pPr>
      <w:r w:rsidRPr="007F7D19">
        <w:rPr>
          <w:sz w:val="24"/>
          <w:szCs w:val="24"/>
          <w:vertAlign w:val="superscript"/>
          <w:lang w:val="en-US"/>
        </w:rPr>
        <w:t>1</w:t>
      </w:r>
      <w:r w:rsidR="007C0089">
        <w:rPr>
          <w:sz w:val="24"/>
          <w:szCs w:val="24"/>
          <w:vertAlign w:val="superscript"/>
          <w:lang w:val="en-US"/>
        </w:rPr>
        <w:t>6</w:t>
      </w:r>
      <w:r>
        <w:rPr>
          <w:sz w:val="24"/>
          <w:szCs w:val="24"/>
          <w:lang w:val="en-US"/>
        </w:rPr>
        <w:t xml:space="preserve"> </w:t>
      </w:r>
      <w:r w:rsidRPr="00D5697D">
        <w:rPr>
          <w:sz w:val="24"/>
          <w:szCs w:val="24"/>
          <w:lang w:val="en-US"/>
        </w:rPr>
        <w:t>KARSTENS, A. J.</w:t>
      </w:r>
      <w:r w:rsidR="00375D4B">
        <w:rPr>
          <w:sz w:val="24"/>
          <w:szCs w:val="24"/>
          <w:lang w:val="en-US"/>
        </w:rPr>
        <w:t>; TUSSING-HUMPHREYS, L.; ZHAN, L.; RAJENDRAN, N.; COHEN, J.; DION, C.</w:t>
      </w:r>
      <w:r w:rsidRPr="00D5697D">
        <w:rPr>
          <w:sz w:val="24"/>
          <w:szCs w:val="24"/>
          <w:lang w:val="en-US"/>
        </w:rPr>
        <w:t xml:space="preserve"> et. al. Associations of the Mediterranean diet with cognitive and neuroimaging phenotypes of dementia in healthy older adults. </w:t>
      </w:r>
      <w:r w:rsidRPr="00D5697D">
        <w:rPr>
          <w:b/>
          <w:bCs/>
          <w:sz w:val="24"/>
          <w:szCs w:val="24"/>
          <w:lang w:val="en-US"/>
        </w:rPr>
        <w:t>Am. J. Clin. Nutr</w:t>
      </w:r>
      <w:r w:rsidRPr="00D5697D">
        <w:rPr>
          <w:sz w:val="24"/>
          <w:szCs w:val="24"/>
          <w:lang w:val="en-US"/>
        </w:rPr>
        <w:t xml:space="preserve">. </w:t>
      </w:r>
      <w:r w:rsidR="00375D4B">
        <w:rPr>
          <w:sz w:val="24"/>
          <w:szCs w:val="24"/>
          <w:lang w:val="en-US"/>
        </w:rPr>
        <w:t xml:space="preserve">2019 Jan 24; </w:t>
      </w:r>
      <w:r w:rsidRPr="00D5697D">
        <w:rPr>
          <w:sz w:val="24"/>
          <w:szCs w:val="24"/>
          <w:lang w:val="en-US"/>
        </w:rPr>
        <w:t>109: 361-368.</w:t>
      </w:r>
      <w:r w:rsidR="00375D4B" w:rsidRPr="00461D00">
        <w:rPr>
          <w:lang w:val="en-US"/>
        </w:rPr>
        <w:t xml:space="preserve"> </w:t>
      </w:r>
      <w:r w:rsidR="00375D4B" w:rsidRPr="00375D4B">
        <w:rPr>
          <w:sz w:val="24"/>
          <w:szCs w:val="24"/>
          <w:lang w:val="en-US"/>
        </w:rPr>
        <w:t>DOI: https://doi.org/10.1093/</w:t>
      </w:r>
    </w:p>
    <w:p w14:paraId="52C725D1" w14:textId="271EFDD7" w:rsidR="006E5CE5" w:rsidRPr="00D5697D" w:rsidRDefault="00375D4B" w:rsidP="00375D4B">
      <w:pPr>
        <w:pStyle w:val="PargrafodaLista"/>
        <w:tabs>
          <w:tab w:val="left" w:pos="284"/>
        </w:tabs>
        <w:spacing w:line="480" w:lineRule="auto"/>
        <w:ind w:left="0"/>
        <w:rPr>
          <w:sz w:val="24"/>
          <w:szCs w:val="24"/>
          <w:lang w:val="en-US"/>
        </w:rPr>
      </w:pPr>
      <w:r w:rsidRPr="00375D4B">
        <w:rPr>
          <w:sz w:val="24"/>
          <w:szCs w:val="24"/>
          <w:lang w:val="en-US"/>
        </w:rPr>
        <w:t>ajcn/nqy275.</w:t>
      </w:r>
    </w:p>
    <w:p w14:paraId="64DF3A28" w14:textId="77777777" w:rsidR="006E5CE5" w:rsidRDefault="006E5CE5" w:rsidP="006E5CE5">
      <w:pPr>
        <w:pStyle w:val="PargrafodaLista"/>
        <w:tabs>
          <w:tab w:val="left" w:pos="284"/>
        </w:tabs>
        <w:spacing w:line="480" w:lineRule="auto"/>
        <w:ind w:left="0"/>
        <w:rPr>
          <w:sz w:val="24"/>
          <w:szCs w:val="24"/>
          <w:lang w:val="en-US"/>
        </w:rPr>
      </w:pPr>
    </w:p>
    <w:p w14:paraId="24C9ABC0" w14:textId="5CC8766E" w:rsidR="006E5CE5" w:rsidRPr="00461D00"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1</w:t>
      </w:r>
      <w:r w:rsidR="007C0089">
        <w:rPr>
          <w:sz w:val="24"/>
          <w:szCs w:val="24"/>
          <w:vertAlign w:val="superscript"/>
          <w:lang w:val="en-US"/>
        </w:rPr>
        <w:t>7</w:t>
      </w:r>
      <w:r>
        <w:rPr>
          <w:sz w:val="24"/>
          <w:szCs w:val="24"/>
          <w:lang w:val="en-US"/>
        </w:rPr>
        <w:t xml:space="preserve"> </w:t>
      </w:r>
      <w:r w:rsidRPr="00D5697D">
        <w:rPr>
          <w:sz w:val="24"/>
          <w:szCs w:val="24"/>
          <w:lang w:val="en-US"/>
        </w:rPr>
        <w:t>MOSCONI, L.</w:t>
      </w:r>
      <w:r w:rsidR="00375D4B">
        <w:rPr>
          <w:sz w:val="24"/>
          <w:szCs w:val="24"/>
          <w:lang w:val="en-US"/>
        </w:rPr>
        <w:t>; WALTERS, M.; STERLING, J.; QUINN, C.; MCHUGH, P.; ANDREWS, R. E.</w:t>
      </w:r>
      <w:r w:rsidRPr="00D5697D">
        <w:rPr>
          <w:sz w:val="24"/>
          <w:szCs w:val="24"/>
          <w:lang w:val="en-US"/>
        </w:rPr>
        <w:t xml:space="preserve"> et. al. Lifestyle and vascular risk effects on MRI-based biomarkers of Alzheimer’s disease: a cross-sectional study of middle-aged adults from the broader New York City area. </w:t>
      </w:r>
      <w:r w:rsidRPr="00461D00">
        <w:rPr>
          <w:b/>
          <w:bCs/>
          <w:sz w:val="24"/>
          <w:szCs w:val="24"/>
          <w:lang w:val="en-US"/>
        </w:rPr>
        <w:t>BMJ Open</w:t>
      </w:r>
      <w:r w:rsidRPr="00461D00">
        <w:rPr>
          <w:sz w:val="24"/>
          <w:szCs w:val="24"/>
          <w:lang w:val="en-US"/>
        </w:rPr>
        <w:t xml:space="preserve">, </w:t>
      </w:r>
      <w:r w:rsidR="00375D4B" w:rsidRPr="00461D00">
        <w:rPr>
          <w:sz w:val="24"/>
          <w:szCs w:val="24"/>
          <w:lang w:val="en-US"/>
        </w:rPr>
        <w:t>201</w:t>
      </w:r>
      <w:r w:rsidRPr="00461D00">
        <w:rPr>
          <w:sz w:val="24"/>
          <w:szCs w:val="24"/>
          <w:lang w:val="en-US"/>
        </w:rPr>
        <w:t>8</w:t>
      </w:r>
      <w:r w:rsidR="00375D4B" w:rsidRPr="00461D00">
        <w:rPr>
          <w:sz w:val="24"/>
          <w:szCs w:val="24"/>
          <w:lang w:val="en-US"/>
        </w:rPr>
        <w:t>;</w:t>
      </w:r>
      <w:r w:rsidRPr="00461D00">
        <w:rPr>
          <w:sz w:val="24"/>
          <w:szCs w:val="24"/>
          <w:lang w:val="en-US"/>
        </w:rPr>
        <w:t xml:space="preserve"> 8</w:t>
      </w:r>
      <w:r w:rsidR="00375D4B" w:rsidRPr="00461D00">
        <w:rPr>
          <w:sz w:val="24"/>
          <w:szCs w:val="24"/>
          <w:lang w:val="en-US"/>
        </w:rPr>
        <w:t>:e019362</w:t>
      </w:r>
      <w:r w:rsidRPr="00461D00">
        <w:rPr>
          <w:sz w:val="24"/>
          <w:szCs w:val="24"/>
          <w:lang w:val="en-US"/>
        </w:rPr>
        <w:t>.</w:t>
      </w:r>
      <w:r w:rsidR="00375D4B" w:rsidRPr="00461D00">
        <w:rPr>
          <w:sz w:val="24"/>
          <w:szCs w:val="24"/>
          <w:lang w:val="en-US"/>
        </w:rPr>
        <w:t xml:space="preserve"> DOI:</w:t>
      </w:r>
      <w:r w:rsidR="00375D4B" w:rsidRPr="00461D00">
        <w:rPr>
          <w:lang w:val="en-US"/>
        </w:rPr>
        <w:t xml:space="preserve"> </w:t>
      </w:r>
      <w:r w:rsidR="00375D4B" w:rsidRPr="00375D4B">
        <w:rPr>
          <w:sz w:val="24"/>
          <w:szCs w:val="24"/>
          <w:lang w:val="en-US"/>
        </w:rPr>
        <w:t>https://doi.org/</w:t>
      </w:r>
      <w:r w:rsidR="00375D4B" w:rsidRPr="00461D00">
        <w:rPr>
          <w:sz w:val="24"/>
          <w:szCs w:val="24"/>
          <w:lang w:val="en-US"/>
        </w:rPr>
        <w:t>10.1136/bmjopen-2017-019362.</w:t>
      </w:r>
    </w:p>
    <w:p w14:paraId="06E2F01D" w14:textId="77777777" w:rsidR="006E5CE5" w:rsidRDefault="006E5CE5" w:rsidP="006E5CE5">
      <w:pPr>
        <w:pStyle w:val="PargrafodaLista"/>
        <w:tabs>
          <w:tab w:val="left" w:pos="284"/>
        </w:tabs>
        <w:spacing w:line="480" w:lineRule="auto"/>
        <w:ind w:left="0"/>
        <w:rPr>
          <w:sz w:val="24"/>
          <w:szCs w:val="24"/>
          <w:lang w:val="en-US"/>
        </w:rPr>
      </w:pPr>
    </w:p>
    <w:p w14:paraId="0119D30D" w14:textId="3404F959"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1</w:t>
      </w:r>
      <w:r w:rsidR="007C0089">
        <w:rPr>
          <w:sz w:val="24"/>
          <w:szCs w:val="24"/>
          <w:vertAlign w:val="superscript"/>
          <w:lang w:val="en-US"/>
        </w:rPr>
        <w:t>8</w:t>
      </w:r>
      <w:r>
        <w:rPr>
          <w:sz w:val="24"/>
          <w:szCs w:val="24"/>
          <w:lang w:val="en-US"/>
        </w:rPr>
        <w:t xml:space="preserve"> </w:t>
      </w:r>
      <w:r w:rsidRPr="00D5697D">
        <w:rPr>
          <w:sz w:val="24"/>
          <w:szCs w:val="24"/>
          <w:lang w:val="en-US"/>
        </w:rPr>
        <w:t>STAUBO, S. C.</w:t>
      </w:r>
      <w:r w:rsidR="00375D4B">
        <w:rPr>
          <w:sz w:val="24"/>
          <w:szCs w:val="24"/>
          <w:lang w:val="en-US"/>
        </w:rPr>
        <w:t>; AAKRE, J. A.; VEMURI, P.; SYRJANEN, J. A.; MIELKE, M. M.; GEDA, Y. E.</w:t>
      </w:r>
      <w:r w:rsidRPr="00D5697D">
        <w:rPr>
          <w:sz w:val="24"/>
          <w:szCs w:val="24"/>
          <w:lang w:val="en-US"/>
        </w:rPr>
        <w:t xml:space="preserve"> et. al. Mediterranean diet, micro- and macronutrients, and MRI measures of cortical thickness. </w:t>
      </w:r>
      <w:r w:rsidRPr="00D5697D">
        <w:rPr>
          <w:b/>
          <w:bCs/>
          <w:sz w:val="24"/>
          <w:szCs w:val="24"/>
          <w:lang w:val="en-US"/>
        </w:rPr>
        <w:t>Alzheimers Dement</w:t>
      </w:r>
      <w:r w:rsidRPr="00D5697D">
        <w:rPr>
          <w:sz w:val="24"/>
          <w:szCs w:val="24"/>
          <w:lang w:val="en-US"/>
        </w:rPr>
        <w:t xml:space="preserve">, </w:t>
      </w:r>
      <w:r w:rsidR="00375D4B">
        <w:rPr>
          <w:sz w:val="24"/>
          <w:szCs w:val="24"/>
          <w:lang w:val="en-US"/>
        </w:rPr>
        <w:t xml:space="preserve">2017 Feb; </w:t>
      </w:r>
      <w:r w:rsidRPr="00D5697D">
        <w:rPr>
          <w:sz w:val="24"/>
          <w:szCs w:val="24"/>
          <w:lang w:val="en-US"/>
        </w:rPr>
        <w:t xml:space="preserve">13(2):168-177. </w:t>
      </w:r>
      <w:r w:rsidR="00375D4B">
        <w:rPr>
          <w:sz w:val="24"/>
          <w:szCs w:val="24"/>
          <w:lang w:val="en-US"/>
        </w:rPr>
        <w:t>DOI</w:t>
      </w:r>
      <w:r w:rsidR="00375D4B" w:rsidRPr="00375D4B">
        <w:rPr>
          <w:sz w:val="24"/>
          <w:szCs w:val="24"/>
          <w:lang w:val="en-US"/>
        </w:rPr>
        <w:t>:</w:t>
      </w:r>
      <w:r w:rsidR="00375D4B">
        <w:rPr>
          <w:sz w:val="24"/>
          <w:szCs w:val="24"/>
          <w:lang w:val="en-US"/>
        </w:rPr>
        <w:t xml:space="preserve"> </w:t>
      </w:r>
      <w:r w:rsidR="00375D4B" w:rsidRPr="00375D4B">
        <w:rPr>
          <w:sz w:val="24"/>
          <w:szCs w:val="24"/>
          <w:lang w:val="en-US"/>
        </w:rPr>
        <w:t>https://doi.org/10.1016/j.jalz.2016.06.2359.</w:t>
      </w:r>
    </w:p>
    <w:p w14:paraId="73030B6C" w14:textId="56DA357B" w:rsidR="006E5CE5" w:rsidRPr="00461D00" w:rsidRDefault="006E5CE5" w:rsidP="00D5697D">
      <w:pPr>
        <w:pStyle w:val="PargrafodaLista"/>
        <w:tabs>
          <w:tab w:val="left" w:pos="284"/>
        </w:tabs>
        <w:spacing w:line="480" w:lineRule="auto"/>
        <w:ind w:left="0"/>
        <w:rPr>
          <w:sz w:val="24"/>
          <w:szCs w:val="24"/>
          <w:lang w:val="en-US"/>
        </w:rPr>
      </w:pPr>
    </w:p>
    <w:p w14:paraId="3557CC80" w14:textId="27D08C94" w:rsidR="006E5CE5" w:rsidRDefault="007C0089" w:rsidP="006E5CE5">
      <w:pPr>
        <w:pStyle w:val="PargrafodaLista"/>
        <w:tabs>
          <w:tab w:val="left" w:pos="284"/>
        </w:tabs>
        <w:spacing w:line="480" w:lineRule="auto"/>
        <w:ind w:left="0"/>
        <w:rPr>
          <w:sz w:val="24"/>
          <w:szCs w:val="24"/>
          <w:lang w:val="en-US"/>
        </w:rPr>
      </w:pPr>
      <w:r>
        <w:rPr>
          <w:sz w:val="24"/>
          <w:szCs w:val="24"/>
          <w:vertAlign w:val="superscript"/>
          <w:lang w:val="en-US"/>
        </w:rPr>
        <w:t>19</w:t>
      </w:r>
      <w:r w:rsidR="006E5CE5">
        <w:rPr>
          <w:sz w:val="24"/>
          <w:szCs w:val="24"/>
          <w:lang w:val="en-US"/>
        </w:rPr>
        <w:t xml:space="preserve"> </w:t>
      </w:r>
      <w:r w:rsidR="006E5CE5" w:rsidRPr="00D5697D">
        <w:rPr>
          <w:sz w:val="24"/>
          <w:szCs w:val="24"/>
          <w:lang w:val="en-US"/>
        </w:rPr>
        <w:t>ANASTASIOU, C. A.</w:t>
      </w:r>
      <w:r w:rsidR="00375D4B">
        <w:rPr>
          <w:sz w:val="24"/>
          <w:szCs w:val="24"/>
          <w:lang w:val="en-US"/>
        </w:rPr>
        <w:t>; YANNAKOULIA, M.; KONTOGIANNI, M. D.; KOSMIDIS, M. H.; MAMALAKI, E.; DARDIOTIS, E.</w:t>
      </w:r>
      <w:r w:rsidR="006E5CE5" w:rsidRPr="00D5697D">
        <w:rPr>
          <w:sz w:val="24"/>
          <w:szCs w:val="24"/>
          <w:lang w:val="en-US"/>
        </w:rPr>
        <w:t xml:space="preserve"> et. al. Mediterranean lifestyle in relation to cognitive health: Results from the HELIAD study. </w:t>
      </w:r>
      <w:r w:rsidR="006E5CE5" w:rsidRPr="00D5697D">
        <w:rPr>
          <w:b/>
          <w:bCs/>
          <w:sz w:val="24"/>
          <w:szCs w:val="24"/>
          <w:lang w:val="en-US"/>
        </w:rPr>
        <w:t>Nutrients</w:t>
      </w:r>
      <w:r w:rsidR="006E5CE5" w:rsidRPr="00D5697D">
        <w:rPr>
          <w:sz w:val="24"/>
          <w:szCs w:val="24"/>
          <w:lang w:val="en-US"/>
        </w:rPr>
        <w:t xml:space="preserve">, </w:t>
      </w:r>
      <w:r w:rsidR="00375D4B">
        <w:rPr>
          <w:sz w:val="24"/>
          <w:szCs w:val="24"/>
          <w:lang w:val="en-US"/>
        </w:rPr>
        <w:t xml:space="preserve">2018 Oct 20; </w:t>
      </w:r>
      <w:r w:rsidR="006E5CE5" w:rsidRPr="00D5697D">
        <w:rPr>
          <w:sz w:val="24"/>
          <w:szCs w:val="24"/>
          <w:lang w:val="en-US"/>
        </w:rPr>
        <w:t>10</w:t>
      </w:r>
      <w:r w:rsidR="00375D4B">
        <w:rPr>
          <w:sz w:val="24"/>
          <w:szCs w:val="24"/>
          <w:lang w:val="en-US"/>
        </w:rPr>
        <w:t>:</w:t>
      </w:r>
      <w:r w:rsidR="006E5CE5" w:rsidRPr="00D5697D">
        <w:rPr>
          <w:sz w:val="24"/>
          <w:szCs w:val="24"/>
          <w:lang w:val="en-US"/>
        </w:rPr>
        <w:t>1557</w:t>
      </w:r>
      <w:r w:rsidR="00375D4B">
        <w:rPr>
          <w:sz w:val="24"/>
          <w:szCs w:val="24"/>
          <w:lang w:val="en-US"/>
        </w:rPr>
        <w:t>-1569</w:t>
      </w:r>
      <w:r w:rsidR="006E5CE5" w:rsidRPr="00D5697D">
        <w:rPr>
          <w:sz w:val="24"/>
          <w:szCs w:val="24"/>
          <w:lang w:val="en-US"/>
        </w:rPr>
        <w:t>.</w:t>
      </w:r>
      <w:r w:rsidR="00375D4B" w:rsidRPr="00461D00">
        <w:rPr>
          <w:lang w:val="en-US"/>
        </w:rPr>
        <w:t xml:space="preserve"> </w:t>
      </w:r>
      <w:r w:rsidR="00375D4B">
        <w:rPr>
          <w:sz w:val="24"/>
          <w:szCs w:val="24"/>
          <w:lang w:val="en-US"/>
        </w:rPr>
        <w:t>DOI</w:t>
      </w:r>
      <w:r w:rsidR="00375D4B" w:rsidRPr="00375D4B">
        <w:rPr>
          <w:sz w:val="24"/>
          <w:szCs w:val="24"/>
          <w:lang w:val="en-US"/>
        </w:rPr>
        <w:t>:</w:t>
      </w:r>
      <w:r w:rsidR="00375D4B">
        <w:rPr>
          <w:sz w:val="24"/>
          <w:szCs w:val="24"/>
          <w:lang w:val="en-US"/>
        </w:rPr>
        <w:t xml:space="preserve"> </w:t>
      </w:r>
      <w:r w:rsidR="00375D4B" w:rsidRPr="00375D4B">
        <w:rPr>
          <w:sz w:val="24"/>
          <w:szCs w:val="24"/>
          <w:lang w:val="en-US"/>
        </w:rPr>
        <w:t>https://doi.org/10.3390/nu10101557</w:t>
      </w:r>
      <w:r w:rsidR="00375D4B">
        <w:rPr>
          <w:sz w:val="24"/>
          <w:szCs w:val="24"/>
          <w:lang w:val="en-US"/>
        </w:rPr>
        <w:t>.</w:t>
      </w:r>
    </w:p>
    <w:p w14:paraId="2913A34A" w14:textId="77777777" w:rsidR="005E3DFE" w:rsidRDefault="005E3DFE" w:rsidP="006E5CE5">
      <w:pPr>
        <w:pStyle w:val="PargrafodaLista"/>
        <w:tabs>
          <w:tab w:val="left" w:pos="284"/>
        </w:tabs>
        <w:spacing w:line="480" w:lineRule="auto"/>
        <w:ind w:left="0"/>
        <w:rPr>
          <w:sz w:val="24"/>
          <w:szCs w:val="24"/>
          <w:lang w:val="en-US"/>
        </w:rPr>
      </w:pPr>
    </w:p>
    <w:p w14:paraId="4793AB14" w14:textId="533EB9D0"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2</w:t>
      </w:r>
      <w:r w:rsidR="007C0089">
        <w:rPr>
          <w:sz w:val="24"/>
          <w:szCs w:val="24"/>
          <w:vertAlign w:val="superscript"/>
          <w:lang w:val="en-US"/>
        </w:rPr>
        <w:t>0</w:t>
      </w:r>
      <w:r>
        <w:rPr>
          <w:sz w:val="24"/>
          <w:szCs w:val="24"/>
          <w:lang w:val="en-US"/>
        </w:rPr>
        <w:t xml:space="preserve"> </w:t>
      </w:r>
      <w:r w:rsidRPr="00D5697D">
        <w:rPr>
          <w:sz w:val="24"/>
          <w:szCs w:val="24"/>
          <w:lang w:val="en-US"/>
        </w:rPr>
        <w:t xml:space="preserve">TAYLOR, M. K.; MAHNKEN, J. D.; SULLIVAN, D. K.. NHANES 2011-2014 Reveals cognition of US older adults may benefit from better adaptation to the Mediterranean diet. </w:t>
      </w:r>
      <w:r w:rsidRPr="00D5697D">
        <w:rPr>
          <w:b/>
          <w:bCs/>
          <w:sz w:val="24"/>
          <w:szCs w:val="24"/>
          <w:lang w:val="en-US"/>
        </w:rPr>
        <w:t>Nutrients</w:t>
      </w:r>
      <w:r w:rsidRPr="00D5697D">
        <w:rPr>
          <w:sz w:val="24"/>
          <w:szCs w:val="24"/>
          <w:lang w:val="en-US"/>
        </w:rPr>
        <w:t xml:space="preserve">, </w:t>
      </w:r>
      <w:r w:rsidR="00375D4B">
        <w:rPr>
          <w:sz w:val="24"/>
          <w:szCs w:val="24"/>
          <w:lang w:val="en-US"/>
        </w:rPr>
        <w:t xml:space="preserve">2020 Jun 29; </w:t>
      </w:r>
      <w:r w:rsidRPr="00D5697D">
        <w:rPr>
          <w:sz w:val="24"/>
          <w:szCs w:val="24"/>
          <w:lang w:val="en-US"/>
        </w:rPr>
        <w:t>12</w:t>
      </w:r>
      <w:r w:rsidR="00375D4B">
        <w:rPr>
          <w:sz w:val="24"/>
          <w:szCs w:val="24"/>
          <w:lang w:val="en-US"/>
        </w:rPr>
        <w:t>:</w:t>
      </w:r>
      <w:r w:rsidRPr="00D5697D">
        <w:rPr>
          <w:sz w:val="24"/>
          <w:szCs w:val="24"/>
          <w:lang w:val="en-US"/>
        </w:rPr>
        <w:t>1929</w:t>
      </w:r>
      <w:r w:rsidR="00871846">
        <w:rPr>
          <w:sz w:val="24"/>
          <w:szCs w:val="24"/>
          <w:lang w:val="en-US"/>
        </w:rPr>
        <w:t>-1942</w:t>
      </w:r>
      <w:r w:rsidRPr="00D5697D">
        <w:rPr>
          <w:sz w:val="24"/>
          <w:szCs w:val="24"/>
          <w:lang w:val="en-US"/>
        </w:rPr>
        <w:t>.</w:t>
      </w:r>
      <w:r w:rsidR="00871846">
        <w:rPr>
          <w:sz w:val="24"/>
          <w:szCs w:val="24"/>
          <w:lang w:val="en-US"/>
        </w:rPr>
        <w:t xml:space="preserve"> DOI: </w:t>
      </w:r>
      <w:r w:rsidR="00871846" w:rsidRPr="00375D4B">
        <w:rPr>
          <w:sz w:val="24"/>
          <w:szCs w:val="24"/>
          <w:lang w:val="en-US"/>
        </w:rPr>
        <w:t>https://doi.org/</w:t>
      </w:r>
      <w:r w:rsidR="00871846" w:rsidRPr="00871846">
        <w:rPr>
          <w:sz w:val="24"/>
          <w:szCs w:val="24"/>
          <w:lang w:val="en-US"/>
        </w:rPr>
        <w:t>10.3390/nu12071929</w:t>
      </w:r>
      <w:r w:rsidR="00871846">
        <w:rPr>
          <w:sz w:val="24"/>
          <w:szCs w:val="24"/>
          <w:lang w:val="en-US"/>
        </w:rPr>
        <w:t>.</w:t>
      </w:r>
    </w:p>
    <w:p w14:paraId="113F61B2" w14:textId="77777777" w:rsidR="006E5CE5" w:rsidRPr="00D5697D" w:rsidRDefault="006E5CE5" w:rsidP="006E5CE5">
      <w:pPr>
        <w:pStyle w:val="PargrafodaLista"/>
        <w:tabs>
          <w:tab w:val="left" w:pos="284"/>
        </w:tabs>
        <w:spacing w:line="480" w:lineRule="auto"/>
        <w:ind w:left="0"/>
        <w:rPr>
          <w:sz w:val="24"/>
          <w:szCs w:val="24"/>
          <w:lang w:val="en-US"/>
        </w:rPr>
      </w:pPr>
    </w:p>
    <w:p w14:paraId="291F530C" w14:textId="37BFEFA8" w:rsidR="006E5CE5"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2</w:t>
      </w:r>
      <w:r w:rsidR="007C0089">
        <w:rPr>
          <w:sz w:val="24"/>
          <w:szCs w:val="24"/>
          <w:vertAlign w:val="superscript"/>
          <w:lang w:val="en-US"/>
        </w:rPr>
        <w:t>1</w:t>
      </w:r>
      <w:r>
        <w:rPr>
          <w:sz w:val="24"/>
          <w:szCs w:val="24"/>
          <w:lang w:val="en-US"/>
        </w:rPr>
        <w:t xml:space="preserve"> </w:t>
      </w:r>
      <w:r w:rsidRPr="00D5697D">
        <w:rPr>
          <w:sz w:val="24"/>
          <w:szCs w:val="24"/>
          <w:lang w:val="en-US"/>
        </w:rPr>
        <w:t>KNIGHT, A.</w:t>
      </w:r>
      <w:r w:rsidR="00871846">
        <w:rPr>
          <w:sz w:val="24"/>
          <w:szCs w:val="24"/>
          <w:lang w:val="en-US"/>
        </w:rPr>
        <w:t xml:space="preserve">; BRYAN, J.; WILSON, C.; HODGSON, J. M.; DAVIS, C. R.; MURPHY, K. J. </w:t>
      </w:r>
      <w:r w:rsidRPr="00D5697D">
        <w:rPr>
          <w:sz w:val="24"/>
          <w:szCs w:val="24"/>
          <w:lang w:val="en-US"/>
        </w:rPr>
        <w:t xml:space="preserve">The Mediterranean diet and cognitive function among healthy </w:t>
      </w:r>
      <w:r w:rsidRPr="00D5697D">
        <w:rPr>
          <w:sz w:val="24"/>
          <w:szCs w:val="24"/>
          <w:lang w:val="en-US"/>
        </w:rPr>
        <w:lastRenderedPageBreak/>
        <w:t xml:space="preserve">older adults in a 6-month randomized controlled trial: The Medley study. </w:t>
      </w:r>
      <w:r w:rsidRPr="00D5697D">
        <w:rPr>
          <w:b/>
          <w:bCs/>
          <w:sz w:val="24"/>
          <w:szCs w:val="24"/>
          <w:lang w:val="en-US"/>
        </w:rPr>
        <w:t>Nutrients</w:t>
      </w:r>
      <w:r w:rsidRPr="00D5697D">
        <w:rPr>
          <w:sz w:val="24"/>
          <w:szCs w:val="24"/>
          <w:lang w:val="en-US"/>
        </w:rPr>
        <w:t xml:space="preserve">, </w:t>
      </w:r>
      <w:r w:rsidR="00871846">
        <w:rPr>
          <w:sz w:val="24"/>
          <w:szCs w:val="24"/>
          <w:lang w:val="en-US"/>
        </w:rPr>
        <w:t xml:space="preserve">2016 Sep 20; </w:t>
      </w:r>
      <w:r w:rsidRPr="00D5697D">
        <w:rPr>
          <w:sz w:val="24"/>
          <w:szCs w:val="24"/>
          <w:lang w:val="en-US"/>
        </w:rPr>
        <w:t>8</w:t>
      </w:r>
      <w:r w:rsidR="00871846">
        <w:rPr>
          <w:sz w:val="24"/>
          <w:szCs w:val="24"/>
          <w:lang w:val="en-US"/>
        </w:rPr>
        <w:t>:</w:t>
      </w:r>
      <w:r w:rsidRPr="00D5697D">
        <w:rPr>
          <w:sz w:val="24"/>
          <w:szCs w:val="24"/>
          <w:lang w:val="en-US"/>
        </w:rPr>
        <w:t>579</w:t>
      </w:r>
      <w:r w:rsidR="00871846">
        <w:rPr>
          <w:sz w:val="24"/>
          <w:szCs w:val="24"/>
          <w:lang w:val="en-US"/>
        </w:rPr>
        <w:t>-595</w:t>
      </w:r>
      <w:r w:rsidRPr="00D5697D">
        <w:rPr>
          <w:sz w:val="24"/>
          <w:szCs w:val="24"/>
          <w:lang w:val="en-US"/>
        </w:rPr>
        <w:t>.</w:t>
      </w:r>
      <w:r w:rsidR="00871846">
        <w:rPr>
          <w:sz w:val="24"/>
          <w:szCs w:val="24"/>
          <w:lang w:val="en-US"/>
        </w:rPr>
        <w:t xml:space="preserve"> </w:t>
      </w:r>
      <w:r w:rsidR="00871846" w:rsidRPr="00375D4B">
        <w:rPr>
          <w:sz w:val="24"/>
          <w:szCs w:val="24"/>
          <w:lang w:val="en-US"/>
        </w:rPr>
        <w:t>https://doi.org/</w:t>
      </w:r>
      <w:r w:rsidR="00871846" w:rsidRPr="00871846">
        <w:rPr>
          <w:sz w:val="24"/>
          <w:szCs w:val="24"/>
          <w:lang w:val="en-US"/>
        </w:rPr>
        <w:t>10.3390/nu8090579</w:t>
      </w:r>
      <w:r w:rsidR="00871846">
        <w:rPr>
          <w:sz w:val="24"/>
          <w:szCs w:val="24"/>
          <w:lang w:val="en-US"/>
        </w:rPr>
        <w:t>.</w:t>
      </w:r>
    </w:p>
    <w:p w14:paraId="7D64B9BD" w14:textId="77777777" w:rsidR="006E5CE5" w:rsidRDefault="006E5CE5" w:rsidP="006E5CE5">
      <w:pPr>
        <w:pStyle w:val="PargrafodaLista"/>
        <w:tabs>
          <w:tab w:val="left" w:pos="284"/>
        </w:tabs>
        <w:spacing w:line="480" w:lineRule="auto"/>
        <w:ind w:left="0"/>
        <w:rPr>
          <w:sz w:val="24"/>
          <w:szCs w:val="24"/>
          <w:lang w:val="en-US"/>
        </w:rPr>
      </w:pPr>
    </w:p>
    <w:p w14:paraId="29C1961C" w14:textId="6478AF2B"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2</w:t>
      </w:r>
      <w:r w:rsidR="007C0089">
        <w:rPr>
          <w:sz w:val="24"/>
          <w:szCs w:val="24"/>
          <w:vertAlign w:val="superscript"/>
          <w:lang w:val="en-US"/>
        </w:rPr>
        <w:t>2</w:t>
      </w:r>
      <w:r>
        <w:rPr>
          <w:sz w:val="24"/>
          <w:szCs w:val="24"/>
          <w:lang w:val="en-US"/>
        </w:rPr>
        <w:t xml:space="preserve"> </w:t>
      </w:r>
      <w:r w:rsidRPr="00D5697D">
        <w:rPr>
          <w:sz w:val="24"/>
          <w:szCs w:val="24"/>
          <w:lang w:val="en-US"/>
        </w:rPr>
        <w:t>NAGPAL, R.</w:t>
      </w:r>
      <w:r w:rsidR="00871846">
        <w:rPr>
          <w:sz w:val="24"/>
          <w:szCs w:val="24"/>
          <w:lang w:val="en-US"/>
        </w:rPr>
        <w:t xml:space="preserve">; NETH, B.; WANG, S.; CRAFT, S.; YADAV, H. </w:t>
      </w:r>
      <w:r w:rsidRPr="00D5697D">
        <w:rPr>
          <w:sz w:val="24"/>
          <w:szCs w:val="24"/>
          <w:lang w:val="en-US"/>
        </w:rPr>
        <w:t xml:space="preserve">Modified Mediterranean-ketogenic diet modulates gut microbiome and short-chain fatty acids in association with Alzheimer’s disease markers in subjects with mild cognitive impairment. </w:t>
      </w:r>
      <w:r w:rsidRPr="00D5697D">
        <w:rPr>
          <w:b/>
          <w:bCs/>
          <w:sz w:val="24"/>
          <w:szCs w:val="24"/>
          <w:lang w:val="en-US"/>
        </w:rPr>
        <w:t>EBioMedicine</w:t>
      </w:r>
      <w:r w:rsidRPr="00D5697D">
        <w:rPr>
          <w:sz w:val="24"/>
          <w:szCs w:val="24"/>
          <w:lang w:val="en-US"/>
        </w:rPr>
        <w:t xml:space="preserve">, </w:t>
      </w:r>
      <w:r w:rsidR="00871846">
        <w:rPr>
          <w:sz w:val="24"/>
          <w:szCs w:val="24"/>
          <w:lang w:val="en-US"/>
        </w:rPr>
        <w:t xml:space="preserve">2019 Aug 30; </w:t>
      </w:r>
      <w:r w:rsidRPr="00D5697D">
        <w:rPr>
          <w:sz w:val="24"/>
          <w:szCs w:val="24"/>
          <w:lang w:val="en-US"/>
        </w:rPr>
        <w:t>47</w:t>
      </w:r>
      <w:r w:rsidR="00871846">
        <w:rPr>
          <w:sz w:val="24"/>
          <w:szCs w:val="24"/>
          <w:lang w:val="en-US"/>
        </w:rPr>
        <w:t>:</w:t>
      </w:r>
      <w:r w:rsidRPr="00D5697D">
        <w:rPr>
          <w:sz w:val="24"/>
          <w:szCs w:val="24"/>
          <w:lang w:val="en-US"/>
        </w:rPr>
        <w:t>529-542.</w:t>
      </w:r>
      <w:r w:rsidR="00871846">
        <w:rPr>
          <w:sz w:val="24"/>
          <w:szCs w:val="24"/>
          <w:lang w:val="en-US"/>
        </w:rPr>
        <w:t xml:space="preserve"> DOI: </w:t>
      </w:r>
      <w:r w:rsidR="00871846" w:rsidRPr="00871846">
        <w:rPr>
          <w:sz w:val="24"/>
          <w:szCs w:val="24"/>
          <w:lang w:val="en-US"/>
        </w:rPr>
        <w:t>https://doi.org/10.1016/j.ebiom.2019.08.032</w:t>
      </w:r>
      <w:r w:rsidR="00871846">
        <w:rPr>
          <w:sz w:val="24"/>
          <w:szCs w:val="24"/>
          <w:lang w:val="en-US"/>
        </w:rPr>
        <w:t>.</w:t>
      </w:r>
    </w:p>
    <w:p w14:paraId="02A87A21" w14:textId="77777777" w:rsidR="006E5CE5" w:rsidRPr="00D5697D" w:rsidRDefault="006E5CE5" w:rsidP="006E5CE5">
      <w:pPr>
        <w:pStyle w:val="PargrafodaLista"/>
        <w:tabs>
          <w:tab w:val="left" w:pos="284"/>
        </w:tabs>
        <w:spacing w:line="480" w:lineRule="auto"/>
        <w:ind w:left="0"/>
        <w:rPr>
          <w:sz w:val="24"/>
          <w:szCs w:val="24"/>
          <w:lang w:val="en-US"/>
        </w:rPr>
      </w:pPr>
    </w:p>
    <w:p w14:paraId="1462022F" w14:textId="5DFA46B9"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2</w:t>
      </w:r>
      <w:r w:rsidR="007C0089">
        <w:rPr>
          <w:sz w:val="24"/>
          <w:szCs w:val="24"/>
          <w:vertAlign w:val="superscript"/>
          <w:lang w:val="en-US"/>
        </w:rPr>
        <w:t>3</w:t>
      </w:r>
      <w:r>
        <w:rPr>
          <w:sz w:val="24"/>
          <w:szCs w:val="24"/>
          <w:lang w:val="en-US"/>
        </w:rPr>
        <w:t xml:space="preserve"> </w:t>
      </w:r>
      <w:r w:rsidRPr="00D5697D">
        <w:rPr>
          <w:sz w:val="24"/>
          <w:szCs w:val="24"/>
          <w:lang w:val="en-US"/>
        </w:rPr>
        <w:t>NETH, B. J.</w:t>
      </w:r>
      <w:r w:rsidR="00871846">
        <w:rPr>
          <w:sz w:val="24"/>
          <w:szCs w:val="24"/>
          <w:lang w:val="en-US"/>
        </w:rPr>
        <w:t>; MINTZ, A.; WHITLOW, C.; JUNG, Y.; SAI, K. S.; REGISTER, T. C.</w:t>
      </w:r>
      <w:r w:rsidRPr="00D5697D">
        <w:rPr>
          <w:sz w:val="24"/>
          <w:szCs w:val="24"/>
          <w:lang w:val="en-US"/>
        </w:rPr>
        <w:t xml:space="preserve"> et. al. Modified ketogenic diet is associated with improved cerebrospinal fluid biomarker profile, cerebral perfusion, and cerebral ketone body uptake in older adults at risk for Alzheimer’s disease: a pilot study. </w:t>
      </w:r>
      <w:r w:rsidRPr="00D5697D">
        <w:rPr>
          <w:b/>
          <w:bCs/>
          <w:sz w:val="24"/>
          <w:szCs w:val="24"/>
          <w:lang w:val="en-US"/>
        </w:rPr>
        <w:t>Neurobiol. Aging</w:t>
      </w:r>
      <w:r w:rsidRPr="00D5697D">
        <w:rPr>
          <w:sz w:val="24"/>
          <w:szCs w:val="24"/>
          <w:lang w:val="en-US"/>
        </w:rPr>
        <w:t xml:space="preserve">, </w:t>
      </w:r>
      <w:r w:rsidR="00871846">
        <w:rPr>
          <w:sz w:val="24"/>
          <w:szCs w:val="24"/>
          <w:lang w:val="en-US"/>
        </w:rPr>
        <w:t xml:space="preserve">2020 Feb; </w:t>
      </w:r>
      <w:r w:rsidRPr="00D5697D">
        <w:rPr>
          <w:sz w:val="24"/>
          <w:szCs w:val="24"/>
          <w:lang w:val="en-US"/>
        </w:rPr>
        <w:t>86:54-63.</w:t>
      </w:r>
      <w:r w:rsidR="00871846">
        <w:rPr>
          <w:sz w:val="24"/>
          <w:szCs w:val="24"/>
          <w:lang w:val="en-US"/>
        </w:rPr>
        <w:t xml:space="preserve"> DOI:</w:t>
      </w:r>
      <w:r w:rsidR="00871846" w:rsidRPr="00871846">
        <w:rPr>
          <w:sz w:val="24"/>
          <w:szCs w:val="24"/>
          <w:lang w:val="en-US"/>
        </w:rPr>
        <w:t xml:space="preserve"> https://doi.org/10.1016/j.neurobiolaging.2019.09.015.</w:t>
      </w:r>
    </w:p>
    <w:p w14:paraId="4B44CEE2" w14:textId="77777777" w:rsidR="006E5CE5" w:rsidRPr="00D5697D" w:rsidRDefault="006E5CE5" w:rsidP="006E5CE5">
      <w:pPr>
        <w:pStyle w:val="PargrafodaLista"/>
        <w:tabs>
          <w:tab w:val="left" w:pos="284"/>
        </w:tabs>
        <w:spacing w:line="480" w:lineRule="auto"/>
        <w:ind w:left="0"/>
        <w:rPr>
          <w:sz w:val="24"/>
          <w:szCs w:val="24"/>
          <w:lang w:val="en-US"/>
        </w:rPr>
      </w:pPr>
    </w:p>
    <w:p w14:paraId="71E73AD6" w14:textId="4B08D5C9" w:rsidR="006E5CE5" w:rsidRPr="00D5697D" w:rsidRDefault="006E5CE5" w:rsidP="006E5CE5">
      <w:pPr>
        <w:pStyle w:val="PargrafodaLista"/>
        <w:tabs>
          <w:tab w:val="left" w:pos="284"/>
        </w:tabs>
        <w:spacing w:line="480" w:lineRule="auto"/>
        <w:ind w:left="0"/>
        <w:rPr>
          <w:sz w:val="24"/>
          <w:szCs w:val="24"/>
          <w:lang w:val="en-US"/>
        </w:rPr>
      </w:pPr>
      <w:r w:rsidRPr="007F7D19">
        <w:rPr>
          <w:sz w:val="24"/>
          <w:szCs w:val="24"/>
          <w:vertAlign w:val="superscript"/>
          <w:lang w:val="en-US"/>
        </w:rPr>
        <w:t>2</w:t>
      </w:r>
      <w:r w:rsidR="007C0089">
        <w:rPr>
          <w:sz w:val="24"/>
          <w:szCs w:val="24"/>
          <w:vertAlign w:val="superscript"/>
          <w:lang w:val="en-US"/>
        </w:rPr>
        <w:t>4</w:t>
      </w:r>
      <w:r>
        <w:rPr>
          <w:sz w:val="24"/>
          <w:szCs w:val="24"/>
          <w:lang w:val="en-US"/>
        </w:rPr>
        <w:t xml:space="preserve"> </w:t>
      </w:r>
      <w:r w:rsidRPr="00D5697D">
        <w:rPr>
          <w:sz w:val="24"/>
          <w:szCs w:val="24"/>
          <w:lang w:val="en-US"/>
        </w:rPr>
        <w:t xml:space="preserve">LARSSON, S. C.; WOLK, A. The role of lifestyle factors and sleep duration for late-onset dementia: A cohort study. </w:t>
      </w:r>
      <w:r w:rsidRPr="00D5697D">
        <w:rPr>
          <w:b/>
          <w:bCs/>
          <w:sz w:val="24"/>
          <w:szCs w:val="24"/>
          <w:lang w:val="en-US"/>
        </w:rPr>
        <w:t>Journal of Alzheimer’s Disease</w:t>
      </w:r>
      <w:r w:rsidRPr="00D5697D">
        <w:rPr>
          <w:sz w:val="24"/>
          <w:szCs w:val="24"/>
          <w:lang w:val="en-US"/>
        </w:rPr>
        <w:t xml:space="preserve">, </w:t>
      </w:r>
      <w:r w:rsidR="00871846">
        <w:rPr>
          <w:sz w:val="24"/>
          <w:szCs w:val="24"/>
          <w:lang w:val="en-US"/>
        </w:rPr>
        <w:t xml:space="preserve">2018 Aug 17; </w:t>
      </w:r>
      <w:r w:rsidRPr="00D5697D">
        <w:rPr>
          <w:sz w:val="24"/>
          <w:szCs w:val="24"/>
          <w:lang w:val="en-US"/>
        </w:rPr>
        <w:t>66:579-586.</w:t>
      </w:r>
      <w:r w:rsidR="00871846">
        <w:rPr>
          <w:sz w:val="24"/>
          <w:szCs w:val="24"/>
          <w:lang w:val="en-US"/>
        </w:rPr>
        <w:t xml:space="preserve"> </w:t>
      </w:r>
      <w:r w:rsidR="00871846" w:rsidRPr="00871846">
        <w:rPr>
          <w:sz w:val="24"/>
          <w:szCs w:val="24"/>
          <w:lang w:val="en-US"/>
        </w:rPr>
        <w:t>DOI</w:t>
      </w:r>
      <w:r w:rsidR="00871846">
        <w:rPr>
          <w:sz w:val="24"/>
          <w:szCs w:val="24"/>
          <w:lang w:val="en-US"/>
        </w:rPr>
        <w:t xml:space="preserve">: </w:t>
      </w:r>
      <w:r w:rsidR="00871846" w:rsidRPr="00871846">
        <w:rPr>
          <w:sz w:val="24"/>
          <w:szCs w:val="24"/>
          <w:lang w:val="en-US"/>
        </w:rPr>
        <w:t>https://doi.org/10.3233/JAD-180529</w:t>
      </w:r>
      <w:r w:rsidR="00871846">
        <w:rPr>
          <w:sz w:val="24"/>
          <w:szCs w:val="24"/>
          <w:lang w:val="en-US"/>
        </w:rPr>
        <w:t>.</w:t>
      </w:r>
    </w:p>
    <w:p w14:paraId="5AA79F20" w14:textId="3B28F818" w:rsidR="005E3DFE" w:rsidRDefault="005E3DFE" w:rsidP="00D5697D">
      <w:pPr>
        <w:pStyle w:val="PargrafodaLista"/>
        <w:tabs>
          <w:tab w:val="left" w:pos="284"/>
        </w:tabs>
        <w:spacing w:line="480" w:lineRule="auto"/>
        <w:ind w:left="0"/>
        <w:rPr>
          <w:sz w:val="24"/>
          <w:szCs w:val="24"/>
          <w:lang w:val="en-US"/>
        </w:rPr>
      </w:pPr>
    </w:p>
    <w:p w14:paraId="195BF7DE" w14:textId="236D022C" w:rsidR="005E3DFE" w:rsidRPr="00D5697D" w:rsidRDefault="005E3DFE" w:rsidP="005E3DFE">
      <w:pPr>
        <w:pStyle w:val="PargrafodaLista"/>
        <w:tabs>
          <w:tab w:val="left" w:pos="284"/>
        </w:tabs>
        <w:spacing w:line="480" w:lineRule="auto"/>
        <w:ind w:left="0"/>
        <w:rPr>
          <w:sz w:val="24"/>
          <w:szCs w:val="24"/>
          <w:lang w:val="en-US"/>
        </w:rPr>
      </w:pPr>
      <w:r w:rsidRPr="007F7D19">
        <w:rPr>
          <w:sz w:val="24"/>
          <w:szCs w:val="24"/>
          <w:vertAlign w:val="superscript"/>
          <w:lang w:val="en-US"/>
        </w:rPr>
        <w:t>2</w:t>
      </w:r>
      <w:r w:rsidR="007C0089">
        <w:rPr>
          <w:sz w:val="24"/>
          <w:szCs w:val="24"/>
          <w:vertAlign w:val="superscript"/>
          <w:lang w:val="en-US"/>
        </w:rPr>
        <w:t>5</w:t>
      </w:r>
      <w:r>
        <w:rPr>
          <w:sz w:val="24"/>
          <w:szCs w:val="24"/>
          <w:lang w:val="en-US"/>
        </w:rPr>
        <w:t xml:space="preserve"> </w:t>
      </w:r>
      <w:r w:rsidRPr="00D5697D">
        <w:rPr>
          <w:sz w:val="24"/>
          <w:szCs w:val="24"/>
          <w:lang w:val="en-US"/>
        </w:rPr>
        <w:t>VAN GEMMERT, T.</w:t>
      </w:r>
      <w:r w:rsidR="006B46A7">
        <w:rPr>
          <w:sz w:val="24"/>
          <w:szCs w:val="24"/>
          <w:lang w:val="en-US"/>
        </w:rPr>
        <w:t>; WÖLWER, W.; WEBER, K. S.; HOYER, A.; STRASSBURGER, K.; BOHNAU, N. T.</w:t>
      </w:r>
      <w:r w:rsidRPr="00D5697D">
        <w:rPr>
          <w:sz w:val="24"/>
          <w:szCs w:val="24"/>
          <w:lang w:val="en-US"/>
        </w:rPr>
        <w:t xml:space="preserve"> et. al. Cognitive function is impaired in patients with recently diagnosed type 2 diabetes, but not type 1 diabetes. </w:t>
      </w:r>
      <w:r w:rsidRPr="00D5697D">
        <w:rPr>
          <w:b/>
          <w:bCs/>
          <w:sz w:val="24"/>
          <w:szCs w:val="24"/>
          <w:lang w:val="en-US"/>
        </w:rPr>
        <w:t>Journal of Diabetes Research</w:t>
      </w:r>
      <w:r w:rsidRPr="00D5697D">
        <w:rPr>
          <w:sz w:val="24"/>
          <w:szCs w:val="24"/>
          <w:lang w:val="en-US"/>
        </w:rPr>
        <w:t xml:space="preserve">, </w:t>
      </w:r>
      <w:r w:rsidR="006B46A7">
        <w:rPr>
          <w:sz w:val="24"/>
          <w:szCs w:val="24"/>
          <w:lang w:val="en-US"/>
        </w:rPr>
        <w:t>2</w:t>
      </w:r>
      <w:r w:rsidRPr="00D5697D">
        <w:rPr>
          <w:sz w:val="24"/>
          <w:szCs w:val="24"/>
          <w:lang w:val="en-US"/>
        </w:rPr>
        <w:t>018</w:t>
      </w:r>
      <w:r w:rsidR="006B46A7">
        <w:rPr>
          <w:sz w:val="24"/>
          <w:szCs w:val="24"/>
          <w:lang w:val="en-US"/>
        </w:rPr>
        <w:t xml:space="preserve">; </w:t>
      </w:r>
      <w:r w:rsidR="006B46A7" w:rsidRPr="006B46A7">
        <w:rPr>
          <w:sz w:val="24"/>
          <w:szCs w:val="24"/>
          <w:lang w:val="en-US"/>
        </w:rPr>
        <w:t>Article ID 1470476, 10 pages</w:t>
      </w:r>
      <w:r w:rsidRPr="00D5697D">
        <w:rPr>
          <w:sz w:val="24"/>
          <w:szCs w:val="24"/>
          <w:lang w:val="en-US"/>
        </w:rPr>
        <w:t>.</w:t>
      </w:r>
      <w:r w:rsidR="006B46A7">
        <w:rPr>
          <w:sz w:val="24"/>
          <w:szCs w:val="24"/>
          <w:lang w:val="en-US"/>
        </w:rPr>
        <w:t xml:space="preserve"> DOI: </w:t>
      </w:r>
      <w:r w:rsidR="006B46A7" w:rsidRPr="006B46A7">
        <w:rPr>
          <w:sz w:val="24"/>
          <w:szCs w:val="24"/>
          <w:lang w:val="en-US"/>
        </w:rPr>
        <w:t>https://doi.org/10.1155/2018/1470476</w:t>
      </w:r>
      <w:r w:rsidR="006B46A7">
        <w:rPr>
          <w:sz w:val="24"/>
          <w:szCs w:val="24"/>
          <w:lang w:val="en-US"/>
        </w:rPr>
        <w:t>.</w:t>
      </w:r>
    </w:p>
    <w:p w14:paraId="724383D3" w14:textId="77777777" w:rsidR="006E5CE5" w:rsidRDefault="006E5CE5" w:rsidP="00D5697D">
      <w:pPr>
        <w:pStyle w:val="PargrafodaLista"/>
        <w:tabs>
          <w:tab w:val="left" w:pos="284"/>
        </w:tabs>
        <w:spacing w:line="480" w:lineRule="auto"/>
        <w:ind w:left="0"/>
        <w:rPr>
          <w:sz w:val="24"/>
          <w:szCs w:val="24"/>
          <w:lang w:val="en-US"/>
        </w:rPr>
      </w:pPr>
    </w:p>
    <w:p w14:paraId="1E3A8C1A" w14:textId="166C4C26" w:rsidR="007F020F" w:rsidRPr="00D5697D" w:rsidRDefault="005E3DFE" w:rsidP="00D5697D">
      <w:pPr>
        <w:pStyle w:val="PargrafodaLista"/>
        <w:tabs>
          <w:tab w:val="left" w:pos="284"/>
        </w:tabs>
        <w:spacing w:line="480" w:lineRule="auto"/>
        <w:ind w:left="0"/>
        <w:rPr>
          <w:sz w:val="24"/>
          <w:szCs w:val="24"/>
          <w:lang w:val="en-US"/>
        </w:rPr>
      </w:pPr>
      <w:r w:rsidRPr="00461D00">
        <w:rPr>
          <w:sz w:val="24"/>
          <w:szCs w:val="24"/>
          <w:vertAlign w:val="superscript"/>
        </w:rPr>
        <w:lastRenderedPageBreak/>
        <w:t>2</w:t>
      </w:r>
      <w:r w:rsidR="00A058B7">
        <w:rPr>
          <w:sz w:val="24"/>
          <w:szCs w:val="24"/>
          <w:vertAlign w:val="superscript"/>
        </w:rPr>
        <w:t>6</w:t>
      </w:r>
      <w:r w:rsidRPr="00461D00">
        <w:rPr>
          <w:sz w:val="24"/>
          <w:szCs w:val="24"/>
        </w:rPr>
        <w:t xml:space="preserve"> </w:t>
      </w:r>
      <w:r w:rsidR="007F020F" w:rsidRPr="00461D00">
        <w:rPr>
          <w:sz w:val="24"/>
          <w:szCs w:val="24"/>
        </w:rPr>
        <w:t>VALLS-PEDRET, C.</w:t>
      </w:r>
      <w:r w:rsidR="006B46A7" w:rsidRPr="00461D00">
        <w:rPr>
          <w:sz w:val="24"/>
          <w:szCs w:val="24"/>
        </w:rPr>
        <w:t xml:space="preserve">; LAMUELA-RAVENTÓS, R. M.; MEDINA-REMÓN, A.; QUINTANA, M.; CORELLA, D.; PINTÓ, X. </w:t>
      </w:r>
      <w:r w:rsidR="007F020F" w:rsidRPr="00461D00">
        <w:rPr>
          <w:sz w:val="24"/>
          <w:szCs w:val="24"/>
        </w:rPr>
        <w:t xml:space="preserve">et. al. </w:t>
      </w:r>
      <w:r w:rsidR="007F020F" w:rsidRPr="00D5697D">
        <w:rPr>
          <w:sz w:val="24"/>
          <w:szCs w:val="24"/>
          <w:lang w:val="en-US"/>
        </w:rPr>
        <w:t xml:space="preserve">Polyphenol-rich foods in the Mediterranean diet are associated with better cognitive function in elderly subjects at high cardiovascular risk. </w:t>
      </w:r>
      <w:r w:rsidR="007F020F" w:rsidRPr="00D5697D">
        <w:rPr>
          <w:b/>
          <w:bCs/>
          <w:sz w:val="24"/>
          <w:szCs w:val="24"/>
          <w:lang w:val="en-US"/>
        </w:rPr>
        <w:t>Journal of Alzheimer’s Disease</w:t>
      </w:r>
      <w:r w:rsidR="007F020F" w:rsidRPr="00D5697D">
        <w:rPr>
          <w:sz w:val="24"/>
          <w:szCs w:val="24"/>
          <w:lang w:val="en-US"/>
        </w:rPr>
        <w:t xml:space="preserve">, </w:t>
      </w:r>
      <w:r w:rsidR="006B46A7">
        <w:rPr>
          <w:sz w:val="24"/>
          <w:szCs w:val="24"/>
          <w:lang w:val="en-US"/>
        </w:rPr>
        <w:t xml:space="preserve">2012 Jan 03; </w:t>
      </w:r>
      <w:r w:rsidR="007F020F" w:rsidRPr="00D5697D">
        <w:rPr>
          <w:sz w:val="24"/>
          <w:szCs w:val="24"/>
          <w:lang w:val="en-US"/>
        </w:rPr>
        <w:t>29</w:t>
      </w:r>
      <w:r w:rsidR="006B46A7">
        <w:rPr>
          <w:sz w:val="24"/>
          <w:szCs w:val="24"/>
          <w:lang w:val="en-US"/>
        </w:rPr>
        <w:t>:</w:t>
      </w:r>
      <w:r w:rsidR="007F020F" w:rsidRPr="00D5697D">
        <w:rPr>
          <w:sz w:val="24"/>
          <w:szCs w:val="24"/>
          <w:lang w:val="en-US"/>
        </w:rPr>
        <w:t>773-782.</w:t>
      </w:r>
      <w:r w:rsidR="006B46A7" w:rsidRPr="00461D00">
        <w:rPr>
          <w:lang w:val="en-US"/>
        </w:rPr>
        <w:t xml:space="preserve"> </w:t>
      </w:r>
      <w:r w:rsidR="006B46A7" w:rsidRPr="006B46A7">
        <w:rPr>
          <w:sz w:val="24"/>
          <w:szCs w:val="24"/>
          <w:lang w:val="en-US"/>
        </w:rPr>
        <w:t>DOI</w:t>
      </w:r>
      <w:r w:rsidR="006B46A7">
        <w:rPr>
          <w:sz w:val="24"/>
          <w:szCs w:val="24"/>
          <w:lang w:val="en-US"/>
        </w:rPr>
        <w:t xml:space="preserve">: </w:t>
      </w:r>
      <w:r w:rsidR="006B46A7" w:rsidRPr="006B46A7">
        <w:rPr>
          <w:sz w:val="24"/>
          <w:szCs w:val="24"/>
          <w:lang w:val="en-US"/>
        </w:rPr>
        <w:t xml:space="preserve"> https://doi.org/10.3233/JAD-2012-111799</w:t>
      </w:r>
      <w:r w:rsidR="006B46A7">
        <w:rPr>
          <w:sz w:val="24"/>
          <w:szCs w:val="24"/>
          <w:lang w:val="en-US"/>
        </w:rPr>
        <w:t>.</w:t>
      </w:r>
    </w:p>
    <w:p w14:paraId="471D8B53" w14:textId="77777777" w:rsidR="007F020F" w:rsidRPr="00D5697D" w:rsidRDefault="007F020F" w:rsidP="00D5697D">
      <w:pPr>
        <w:pStyle w:val="PargrafodaLista"/>
        <w:tabs>
          <w:tab w:val="left" w:pos="284"/>
        </w:tabs>
        <w:spacing w:line="480" w:lineRule="auto"/>
        <w:ind w:left="0"/>
        <w:rPr>
          <w:sz w:val="24"/>
          <w:szCs w:val="24"/>
          <w:lang w:val="en-US"/>
        </w:rPr>
      </w:pPr>
    </w:p>
    <w:p w14:paraId="5376CCBD" w14:textId="705DA803" w:rsidR="007F020F" w:rsidRPr="00D5697D" w:rsidRDefault="005E3DFE" w:rsidP="00D5697D">
      <w:pPr>
        <w:pStyle w:val="PargrafodaLista"/>
        <w:tabs>
          <w:tab w:val="left" w:pos="284"/>
        </w:tabs>
        <w:spacing w:line="480" w:lineRule="auto"/>
        <w:ind w:left="0"/>
        <w:rPr>
          <w:sz w:val="24"/>
          <w:szCs w:val="24"/>
          <w:lang w:val="en-US"/>
        </w:rPr>
      </w:pPr>
      <w:r w:rsidRPr="00461D00">
        <w:rPr>
          <w:sz w:val="24"/>
          <w:szCs w:val="24"/>
          <w:vertAlign w:val="superscript"/>
        </w:rPr>
        <w:t>2</w:t>
      </w:r>
      <w:r w:rsidR="00A058B7">
        <w:rPr>
          <w:sz w:val="24"/>
          <w:szCs w:val="24"/>
          <w:vertAlign w:val="superscript"/>
        </w:rPr>
        <w:t>7</w:t>
      </w:r>
      <w:r w:rsidRPr="00461D00">
        <w:rPr>
          <w:sz w:val="24"/>
          <w:szCs w:val="24"/>
        </w:rPr>
        <w:t xml:space="preserve"> </w:t>
      </w:r>
      <w:r w:rsidR="007F020F" w:rsidRPr="00461D00">
        <w:rPr>
          <w:sz w:val="24"/>
          <w:szCs w:val="24"/>
        </w:rPr>
        <w:t>VALLS-PEDRET, C.</w:t>
      </w:r>
      <w:r w:rsidR="006B46A7" w:rsidRPr="00461D00">
        <w:rPr>
          <w:sz w:val="24"/>
          <w:szCs w:val="24"/>
        </w:rPr>
        <w:t>; SALA-VILA, A.; SERRA-MIR, M.; CORELLA, D.; DE LA TORRE, R.; MARTÍNEZ-GONZÁLEZ, M. A.</w:t>
      </w:r>
      <w:r w:rsidR="007F020F" w:rsidRPr="00461D00">
        <w:rPr>
          <w:sz w:val="24"/>
          <w:szCs w:val="24"/>
        </w:rPr>
        <w:t xml:space="preserve"> et. al. </w:t>
      </w:r>
      <w:r w:rsidR="007F020F" w:rsidRPr="00D5697D">
        <w:rPr>
          <w:sz w:val="24"/>
          <w:szCs w:val="24"/>
          <w:lang w:val="en-US"/>
        </w:rPr>
        <w:t xml:space="preserve">Mediterranean diet and age-related cognitive decline: a randomized clinical trial. </w:t>
      </w:r>
      <w:r w:rsidR="007F020F" w:rsidRPr="00D5697D">
        <w:rPr>
          <w:b/>
          <w:bCs/>
          <w:sz w:val="24"/>
          <w:szCs w:val="24"/>
          <w:lang w:val="en-US"/>
        </w:rPr>
        <w:t>JAMA Internal Medicine</w:t>
      </w:r>
      <w:r w:rsidR="007F020F" w:rsidRPr="00D5697D">
        <w:rPr>
          <w:sz w:val="24"/>
          <w:szCs w:val="24"/>
          <w:lang w:val="en-US"/>
        </w:rPr>
        <w:t xml:space="preserve">, </w:t>
      </w:r>
      <w:r w:rsidR="006B46A7">
        <w:rPr>
          <w:sz w:val="24"/>
          <w:szCs w:val="24"/>
          <w:lang w:val="en-US"/>
        </w:rPr>
        <w:t xml:space="preserve">2015 May 11; </w:t>
      </w:r>
      <w:r w:rsidR="007F020F" w:rsidRPr="00D5697D">
        <w:rPr>
          <w:sz w:val="24"/>
          <w:szCs w:val="24"/>
          <w:lang w:val="en-US"/>
        </w:rPr>
        <w:t>175</w:t>
      </w:r>
      <w:r w:rsidR="006B46A7">
        <w:rPr>
          <w:sz w:val="24"/>
          <w:szCs w:val="24"/>
          <w:lang w:val="en-US"/>
        </w:rPr>
        <w:t>(</w:t>
      </w:r>
      <w:r w:rsidR="007F020F" w:rsidRPr="00D5697D">
        <w:rPr>
          <w:sz w:val="24"/>
          <w:szCs w:val="24"/>
          <w:lang w:val="en-US"/>
        </w:rPr>
        <w:t>7</w:t>
      </w:r>
      <w:r w:rsidR="006B46A7">
        <w:rPr>
          <w:sz w:val="24"/>
          <w:szCs w:val="24"/>
          <w:lang w:val="en-US"/>
        </w:rPr>
        <w:t xml:space="preserve">):1094-1103. </w:t>
      </w:r>
      <w:r w:rsidR="006B46A7" w:rsidRPr="006B46A7">
        <w:rPr>
          <w:sz w:val="24"/>
          <w:szCs w:val="24"/>
          <w:lang w:val="en-US"/>
        </w:rPr>
        <w:t>DOI:</w:t>
      </w:r>
      <w:r w:rsidR="006B46A7">
        <w:rPr>
          <w:sz w:val="24"/>
          <w:szCs w:val="24"/>
          <w:lang w:val="en-US"/>
        </w:rPr>
        <w:t xml:space="preserve"> </w:t>
      </w:r>
      <w:r w:rsidR="00F96E54">
        <w:rPr>
          <w:sz w:val="24"/>
          <w:szCs w:val="24"/>
          <w:lang w:val="en-US"/>
        </w:rPr>
        <w:t>h</w:t>
      </w:r>
      <w:r w:rsidR="006B46A7" w:rsidRPr="006B46A7">
        <w:rPr>
          <w:sz w:val="24"/>
          <w:szCs w:val="24"/>
          <w:lang w:val="en-US"/>
        </w:rPr>
        <w:t>ttps://doi.org/10.1001/jamainternmed.2015.1668</w:t>
      </w:r>
      <w:r w:rsidR="006B46A7">
        <w:rPr>
          <w:sz w:val="24"/>
          <w:szCs w:val="24"/>
          <w:lang w:val="en-US"/>
        </w:rPr>
        <w:t>.</w:t>
      </w:r>
    </w:p>
    <w:p w14:paraId="0F99437B" w14:textId="77777777" w:rsidR="007F020F" w:rsidRPr="00D5697D" w:rsidRDefault="007F020F" w:rsidP="00D5697D">
      <w:pPr>
        <w:pStyle w:val="PargrafodaLista"/>
        <w:tabs>
          <w:tab w:val="left" w:pos="284"/>
        </w:tabs>
        <w:spacing w:line="480" w:lineRule="auto"/>
        <w:ind w:left="0"/>
        <w:rPr>
          <w:sz w:val="24"/>
          <w:szCs w:val="24"/>
          <w:lang w:val="en-US"/>
        </w:rPr>
      </w:pPr>
    </w:p>
    <w:p w14:paraId="5002F6E4" w14:textId="5D7E58B3" w:rsidR="005E3DFE" w:rsidRPr="00461D00" w:rsidRDefault="005E3DFE" w:rsidP="005E3DFE">
      <w:pPr>
        <w:pStyle w:val="PargrafodaLista"/>
        <w:tabs>
          <w:tab w:val="left" w:pos="284"/>
        </w:tabs>
        <w:spacing w:line="480" w:lineRule="auto"/>
        <w:ind w:left="0"/>
        <w:rPr>
          <w:sz w:val="24"/>
          <w:szCs w:val="24"/>
          <w:lang w:val="en-US"/>
        </w:rPr>
      </w:pPr>
      <w:r w:rsidRPr="007F7D19">
        <w:rPr>
          <w:sz w:val="24"/>
          <w:szCs w:val="24"/>
          <w:vertAlign w:val="superscript"/>
          <w:lang w:val="en-US"/>
        </w:rPr>
        <w:t>30</w:t>
      </w:r>
      <w:r>
        <w:rPr>
          <w:sz w:val="24"/>
          <w:szCs w:val="24"/>
          <w:lang w:val="en-US"/>
        </w:rPr>
        <w:t xml:space="preserve"> </w:t>
      </w:r>
      <w:r w:rsidRPr="00D5697D">
        <w:rPr>
          <w:sz w:val="24"/>
          <w:szCs w:val="24"/>
          <w:lang w:val="en-US"/>
        </w:rPr>
        <w:t>CAO, L.</w:t>
      </w:r>
      <w:r w:rsidR="006B46A7">
        <w:rPr>
          <w:sz w:val="24"/>
          <w:szCs w:val="24"/>
          <w:lang w:val="en-US"/>
        </w:rPr>
        <w:t>; TAN, L.; WANG, H.; JIANG, T.; ZHU, X.; LU, H.</w:t>
      </w:r>
      <w:r w:rsidRPr="00D5697D">
        <w:rPr>
          <w:sz w:val="24"/>
          <w:szCs w:val="24"/>
          <w:lang w:val="en-US"/>
        </w:rPr>
        <w:t xml:space="preserve"> </w:t>
      </w:r>
      <w:r w:rsidR="006B46A7">
        <w:rPr>
          <w:sz w:val="24"/>
          <w:szCs w:val="24"/>
          <w:lang w:val="en-US"/>
        </w:rPr>
        <w:t>e</w:t>
      </w:r>
      <w:r w:rsidRPr="00D5697D">
        <w:rPr>
          <w:sz w:val="24"/>
          <w:szCs w:val="24"/>
          <w:lang w:val="en-US"/>
        </w:rPr>
        <w:t xml:space="preserve">t. al. Dietary patterns and risk of dementia: a systematic review and meta-analysis of cohort studies. </w:t>
      </w:r>
      <w:r w:rsidRPr="00461D00">
        <w:rPr>
          <w:b/>
          <w:bCs/>
          <w:sz w:val="24"/>
          <w:szCs w:val="24"/>
          <w:lang w:val="en-US"/>
        </w:rPr>
        <w:t>Mol. Neurobiol</w:t>
      </w:r>
      <w:r w:rsidRPr="00461D00">
        <w:rPr>
          <w:sz w:val="24"/>
          <w:szCs w:val="24"/>
          <w:lang w:val="en-US"/>
        </w:rPr>
        <w:t xml:space="preserve">. </w:t>
      </w:r>
      <w:r w:rsidR="006B46A7" w:rsidRPr="00461D00">
        <w:rPr>
          <w:sz w:val="24"/>
          <w:szCs w:val="24"/>
          <w:lang w:val="en-US"/>
        </w:rPr>
        <w:t xml:space="preserve">2016; </w:t>
      </w:r>
      <w:r w:rsidRPr="00461D00">
        <w:rPr>
          <w:sz w:val="24"/>
          <w:szCs w:val="24"/>
          <w:lang w:val="en-US"/>
        </w:rPr>
        <w:t>53:6144-6154</w:t>
      </w:r>
      <w:r w:rsidR="006B46A7" w:rsidRPr="00461D00">
        <w:rPr>
          <w:sz w:val="24"/>
          <w:szCs w:val="24"/>
          <w:lang w:val="en-US"/>
        </w:rPr>
        <w:t xml:space="preserve">. DOI: </w:t>
      </w:r>
      <w:r w:rsidR="006B46A7" w:rsidRPr="006B46A7">
        <w:rPr>
          <w:sz w:val="24"/>
          <w:szCs w:val="24"/>
          <w:lang w:val="en-US"/>
        </w:rPr>
        <w:t>https://doi.org/</w:t>
      </w:r>
      <w:r w:rsidR="006B46A7" w:rsidRPr="00461D00">
        <w:rPr>
          <w:sz w:val="24"/>
          <w:szCs w:val="24"/>
          <w:lang w:val="en-US"/>
        </w:rPr>
        <w:t>10.1007/s12035-015-9516-4.</w:t>
      </w:r>
    </w:p>
    <w:p w14:paraId="1CC6770D" w14:textId="77777777" w:rsidR="005E3DFE" w:rsidRPr="00D5697D" w:rsidRDefault="005E3DFE" w:rsidP="005E3DFE">
      <w:pPr>
        <w:pStyle w:val="PargrafodaLista"/>
        <w:tabs>
          <w:tab w:val="left" w:pos="284"/>
        </w:tabs>
        <w:spacing w:line="480" w:lineRule="auto"/>
        <w:ind w:left="0"/>
        <w:rPr>
          <w:sz w:val="24"/>
          <w:szCs w:val="24"/>
          <w:lang w:val="en-US"/>
        </w:rPr>
      </w:pPr>
    </w:p>
    <w:p w14:paraId="04D1E89F" w14:textId="391ABDAF" w:rsidR="005E3DFE" w:rsidRPr="00461D00" w:rsidRDefault="005E3DFE" w:rsidP="005E3DFE">
      <w:pPr>
        <w:pStyle w:val="PargrafodaLista"/>
        <w:tabs>
          <w:tab w:val="left" w:pos="284"/>
        </w:tabs>
        <w:spacing w:line="480" w:lineRule="auto"/>
        <w:ind w:left="0"/>
        <w:rPr>
          <w:sz w:val="24"/>
          <w:szCs w:val="24"/>
        </w:rPr>
      </w:pPr>
      <w:r w:rsidRPr="007F7D19">
        <w:rPr>
          <w:sz w:val="24"/>
          <w:szCs w:val="24"/>
          <w:vertAlign w:val="superscript"/>
          <w:lang w:val="en-US"/>
        </w:rPr>
        <w:t>31</w:t>
      </w:r>
      <w:r>
        <w:rPr>
          <w:sz w:val="24"/>
          <w:szCs w:val="24"/>
          <w:lang w:val="en-US"/>
        </w:rPr>
        <w:t xml:space="preserve"> </w:t>
      </w:r>
      <w:r w:rsidRPr="00D5697D">
        <w:rPr>
          <w:sz w:val="24"/>
          <w:szCs w:val="24"/>
          <w:lang w:val="en-US"/>
        </w:rPr>
        <w:t>LOUGHREY, D. G.</w:t>
      </w:r>
      <w:r w:rsidR="006B46A7">
        <w:rPr>
          <w:sz w:val="24"/>
          <w:szCs w:val="24"/>
          <w:lang w:val="en-US"/>
        </w:rPr>
        <w:t xml:space="preserve">; </w:t>
      </w:r>
      <w:r w:rsidR="00392ABE">
        <w:rPr>
          <w:sz w:val="24"/>
          <w:szCs w:val="24"/>
          <w:lang w:val="en-US"/>
        </w:rPr>
        <w:t>LAVECCHIA, S.; BRENNAN, S.; LAWLOR, B. A.; KELLY, M. E.</w:t>
      </w:r>
      <w:r w:rsidRPr="00D5697D">
        <w:rPr>
          <w:sz w:val="24"/>
          <w:szCs w:val="24"/>
          <w:lang w:val="en-US"/>
        </w:rPr>
        <w:t xml:space="preserve"> The impact of the Mediterranean diet on the cognitive functioning of healthy older adults: a systematic review and meta-analysis. </w:t>
      </w:r>
      <w:r w:rsidRPr="00461D00">
        <w:rPr>
          <w:b/>
          <w:bCs/>
          <w:sz w:val="24"/>
          <w:szCs w:val="24"/>
        </w:rPr>
        <w:t>Adv. Nutr.</w:t>
      </w:r>
      <w:r w:rsidRPr="00461D00">
        <w:rPr>
          <w:sz w:val="24"/>
          <w:szCs w:val="24"/>
        </w:rPr>
        <w:t>,</w:t>
      </w:r>
      <w:r w:rsidR="00392ABE" w:rsidRPr="00461D00">
        <w:rPr>
          <w:sz w:val="24"/>
          <w:szCs w:val="24"/>
        </w:rPr>
        <w:t xml:space="preserve"> 2017;</w:t>
      </w:r>
      <w:r w:rsidRPr="00461D00">
        <w:rPr>
          <w:sz w:val="24"/>
          <w:szCs w:val="24"/>
        </w:rPr>
        <w:t xml:space="preserve"> 8:571-86, </w:t>
      </w:r>
      <w:r w:rsidR="00392ABE" w:rsidRPr="00461D00">
        <w:rPr>
          <w:sz w:val="24"/>
          <w:szCs w:val="24"/>
        </w:rPr>
        <w:t>DOI: https://doi.org/10.3945/an.117.015495.</w:t>
      </w:r>
    </w:p>
    <w:p w14:paraId="7AC742B2" w14:textId="77777777" w:rsidR="007F020F" w:rsidRPr="00461D00" w:rsidRDefault="007F020F" w:rsidP="00D5697D">
      <w:pPr>
        <w:pStyle w:val="PargrafodaLista"/>
        <w:tabs>
          <w:tab w:val="left" w:pos="284"/>
        </w:tabs>
        <w:spacing w:line="480" w:lineRule="auto"/>
        <w:ind w:left="0"/>
        <w:rPr>
          <w:sz w:val="24"/>
          <w:szCs w:val="24"/>
        </w:rPr>
      </w:pPr>
    </w:p>
    <w:p w14:paraId="1C8BA18D" w14:textId="77777777" w:rsidR="007F020F" w:rsidRPr="00461D00" w:rsidRDefault="007F020F" w:rsidP="00D5697D">
      <w:pPr>
        <w:pStyle w:val="PargrafodaLista"/>
        <w:tabs>
          <w:tab w:val="left" w:pos="284"/>
        </w:tabs>
        <w:spacing w:line="480" w:lineRule="auto"/>
        <w:ind w:left="0"/>
        <w:rPr>
          <w:sz w:val="24"/>
          <w:szCs w:val="24"/>
        </w:rPr>
      </w:pPr>
    </w:p>
    <w:p w14:paraId="1F0B3C4A" w14:textId="77777777" w:rsidR="007F020F" w:rsidRPr="00461D00" w:rsidRDefault="007F020F" w:rsidP="00D5697D">
      <w:pPr>
        <w:pStyle w:val="PargrafodaLista"/>
        <w:tabs>
          <w:tab w:val="left" w:pos="284"/>
        </w:tabs>
        <w:spacing w:line="480" w:lineRule="auto"/>
        <w:ind w:left="0"/>
        <w:rPr>
          <w:sz w:val="24"/>
          <w:szCs w:val="24"/>
        </w:rPr>
      </w:pPr>
    </w:p>
    <w:p w14:paraId="22EC2E0A" w14:textId="59AEFD91" w:rsidR="0068587C" w:rsidRDefault="0068587C" w:rsidP="00D5697D">
      <w:pPr>
        <w:pStyle w:val="PargrafodaLista"/>
        <w:tabs>
          <w:tab w:val="left" w:pos="284"/>
        </w:tabs>
        <w:spacing w:line="480" w:lineRule="auto"/>
        <w:ind w:left="0"/>
        <w:rPr>
          <w:sz w:val="24"/>
          <w:szCs w:val="24"/>
        </w:rPr>
      </w:pPr>
    </w:p>
    <w:p w14:paraId="214E49A7" w14:textId="77777777" w:rsidR="00B424AE" w:rsidRPr="00D5697D" w:rsidRDefault="00B424AE" w:rsidP="00D5697D">
      <w:pPr>
        <w:spacing w:line="480" w:lineRule="auto"/>
        <w:rPr>
          <w:bCs/>
          <w:sz w:val="24"/>
          <w:szCs w:val="24"/>
        </w:rPr>
      </w:pPr>
      <w:r w:rsidRPr="00D5697D">
        <w:rPr>
          <w:b/>
          <w:sz w:val="24"/>
          <w:szCs w:val="24"/>
        </w:rPr>
        <w:lastRenderedPageBreak/>
        <w:t>Figura 1.</w:t>
      </w:r>
      <w:r w:rsidRPr="00D5697D">
        <w:rPr>
          <w:sz w:val="24"/>
          <w:szCs w:val="24"/>
        </w:rPr>
        <w:t xml:space="preserve"> </w:t>
      </w:r>
      <w:r w:rsidRPr="00D5697D">
        <w:rPr>
          <w:bCs/>
          <w:sz w:val="24"/>
          <w:szCs w:val="24"/>
        </w:rPr>
        <w:t>Fluxograma do processo de seleção de artigos acerca da dieta mediterrânea no controle da doença de Alzheimer.</w:t>
      </w:r>
    </w:p>
    <w:p w14:paraId="5DCC1754" w14:textId="05C4FD93" w:rsidR="007F020F" w:rsidRPr="00D5697D" w:rsidRDefault="0000343B" w:rsidP="00D5697D">
      <w:pPr>
        <w:pStyle w:val="PargrafodaLista"/>
        <w:tabs>
          <w:tab w:val="left" w:pos="284"/>
        </w:tabs>
        <w:spacing w:line="480" w:lineRule="auto"/>
        <w:ind w:left="0"/>
        <w:rPr>
          <w:sz w:val="24"/>
          <w:szCs w:val="24"/>
        </w:rPr>
      </w:pPr>
      <w:r>
        <w:rPr>
          <w:noProof/>
        </w:rPr>
        <w:drawing>
          <wp:inline distT="0" distB="0" distL="0" distR="0" wp14:anchorId="7E57B4F5" wp14:editId="24867AB9">
            <wp:extent cx="5375170" cy="52673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7" t="-4" r="43621" b="26430"/>
                    <a:stretch/>
                  </pic:blipFill>
                  <pic:spPr bwMode="auto">
                    <a:xfrm>
                      <a:off x="0" y="0"/>
                      <a:ext cx="5456002" cy="5346535"/>
                    </a:xfrm>
                    <a:prstGeom prst="rect">
                      <a:avLst/>
                    </a:prstGeom>
                    <a:noFill/>
                    <a:ln>
                      <a:noFill/>
                    </a:ln>
                    <a:extLst>
                      <a:ext uri="{53640926-AAD7-44D8-BBD7-CCE9431645EC}">
                        <a14:shadowObscured xmlns:a14="http://schemas.microsoft.com/office/drawing/2010/main"/>
                      </a:ext>
                    </a:extLst>
                  </pic:spPr>
                </pic:pic>
              </a:graphicData>
            </a:graphic>
          </wp:inline>
        </w:drawing>
      </w:r>
    </w:p>
    <w:p w14:paraId="79A7E893" w14:textId="77777777" w:rsidR="007F020F" w:rsidRPr="00D5697D" w:rsidRDefault="007F020F" w:rsidP="00D5697D">
      <w:pPr>
        <w:spacing w:line="480" w:lineRule="auto"/>
        <w:rPr>
          <w:sz w:val="24"/>
          <w:szCs w:val="24"/>
        </w:rPr>
      </w:pPr>
    </w:p>
    <w:p w14:paraId="3992414B" w14:textId="77777777" w:rsidR="007F020F" w:rsidRPr="00D5697D" w:rsidRDefault="007F020F" w:rsidP="00D5697D">
      <w:pPr>
        <w:spacing w:line="480" w:lineRule="auto"/>
        <w:rPr>
          <w:sz w:val="24"/>
          <w:szCs w:val="24"/>
        </w:rPr>
      </w:pPr>
    </w:p>
    <w:p w14:paraId="3ADFB7AF" w14:textId="77777777" w:rsidR="007F020F" w:rsidRPr="00D5697D" w:rsidRDefault="007F020F" w:rsidP="00D5697D">
      <w:pPr>
        <w:spacing w:line="480" w:lineRule="auto"/>
        <w:rPr>
          <w:sz w:val="24"/>
          <w:szCs w:val="24"/>
        </w:rPr>
      </w:pPr>
    </w:p>
    <w:p w14:paraId="33967B75" w14:textId="77777777" w:rsidR="007F020F" w:rsidRPr="00D5697D" w:rsidRDefault="007F020F" w:rsidP="00D5697D">
      <w:pPr>
        <w:spacing w:line="480" w:lineRule="auto"/>
        <w:rPr>
          <w:sz w:val="24"/>
          <w:szCs w:val="24"/>
        </w:rPr>
      </w:pPr>
    </w:p>
    <w:p w14:paraId="2F0B0AE7" w14:textId="77777777" w:rsidR="007F020F" w:rsidRPr="00D5697D" w:rsidRDefault="007F020F" w:rsidP="00D5697D">
      <w:pPr>
        <w:spacing w:line="480" w:lineRule="auto"/>
        <w:rPr>
          <w:sz w:val="24"/>
          <w:szCs w:val="24"/>
        </w:rPr>
      </w:pPr>
    </w:p>
    <w:p w14:paraId="55ADF9C3" w14:textId="77777777" w:rsidR="007F020F" w:rsidRPr="00D5697D" w:rsidRDefault="007F020F" w:rsidP="00D5697D">
      <w:pPr>
        <w:spacing w:line="480" w:lineRule="auto"/>
        <w:rPr>
          <w:sz w:val="24"/>
          <w:szCs w:val="24"/>
        </w:rPr>
      </w:pPr>
    </w:p>
    <w:p w14:paraId="0E539060" w14:textId="77777777" w:rsidR="007F020F" w:rsidRPr="00D5697D" w:rsidRDefault="007F020F" w:rsidP="00D5697D">
      <w:pPr>
        <w:spacing w:line="480" w:lineRule="auto"/>
        <w:rPr>
          <w:sz w:val="24"/>
          <w:szCs w:val="24"/>
        </w:rPr>
      </w:pPr>
    </w:p>
    <w:p w14:paraId="75498873" w14:textId="77777777" w:rsidR="0000343B" w:rsidRDefault="0000343B" w:rsidP="00D5697D">
      <w:pPr>
        <w:spacing w:line="480" w:lineRule="auto"/>
        <w:rPr>
          <w:b/>
          <w:bCs/>
          <w:sz w:val="24"/>
          <w:szCs w:val="24"/>
        </w:rPr>
      </w:pPr>
    </w:p>
    <w:p w14:paraId="7A41EC19" w14:textId="561EC3C7" w:rsidR="007F020F" w:rsidRPr="00D5697D" w:rsidRDefault="007F020F" w:rsidP="00D5697D">
      <w:pPr>
        <w:spacing w:line="480" w:lineRule="auto"/>
        <w:rPr>
          <w:sz w:val="24"/>
          <w:szCs w:val="24"/>
        </w:rPr>
      </w:pPr>
      <w:r w:rsidRPr="00D5697D">
        <w:rPr>
          <w:b/>
          <w:bCs/>
          <w:sz w:val="24"/>
          <w:szCs w:val="24"/>
        </w:rPr>
        <w:lastRenderedPageBreak/>
        <w:t>Quadro 1:</w:t>
      </w:r>
      <w:r w:rsidRPr="00D5697D">
        <w:rPr>
          <w:sz w:val="24"/>
          <w:szCs w:val="24"/>
        </w:rPr>
        <w:t xml:space="preserve"> Principais características dos estudos selecionados.</w:t>
      </w:r>
    </w:p>
    <w:tbl>
      <w:tblPr>
        <w:tblStyle w:val="Tabelacomgrade"/>
        <w:tblW w:w="5786" w:type="pct"/>
        <w:tblInd w:w="-431" w:type="dxa"/>
        <w:tblLook w:val="04A0" w:firstRow="1" w:lastRow="0" w:firstColumn="1" w:lastColumn="0" w:noHBand="0" w:noVBand="1"/>
      </w:tblPr>
      <w:tblGrid>
        <w:gridCol w:w="1635"/>
        <w:gridCol w:w="1072"/>
        <w:gridCol w:w="828"/>
        <w:gridCol w:w="1207"/>
        <w:gridCol w:w="1079"/>
        <w:gridCol w:w="1574"/>
        <w:gridCol w:w="1105"/>
        <w:gridCol w:w="1329"/>
      </w:tblGrid>
      <w:tr w:rsidR="007F020F" w:rsidRPr="0000343B" w14:paraId="648D8701" w14:textId="77777777" w:rsidTr="0075084F">
        <w:tc>
          <w:tcPr>
            <w:tcW w:w="832" w:type="pct"/>
            <w:vMerge w:val="restart"/>
            <w:vAlign w:val="center"/>
          </w:tcPr>
          <w:p w14:paraId="4E0B6C99" w14:textId="77777777" w:rsidR="007F020F" w:rsidRPr="0000343B" w:rsidRDefault="007F020F" w:rsidP="0000343B">
            <w:pPr>
              <w:rPr>
                <w:b/>
              </w:rPr>
            </w:pPr>
            <w:r w:rsidRPr="0000343B">
              <w:rPr>
                <w:b/>
              </w:rPr>
              <w:t>Autor principal (ano)</w:t>
            </w:r>
          </w:p>
        </w:tc>
        <w:tc>
          <w:tcPr>
            <w:tcW w:w="545" w:type="pct"/>
            <w:vMerge w:val="restart"/>
            <w:vAlign w:val="center"/>
          </w:tcPr>
          <w:p w14:paraId="27520A9E" w14:textId="77777777" w:rsidR="007F020F" w:rsidRPr="0000343B" w:rsidRDefault="007F020F" w:rsidP="0000343B">
            <w:pPr>
              <w:rPr>
                <w:b/>
              </w:rPr>
            </w:pPr>
            <w:r w:rsidRPr="0000343B">
              <w:rPr>
                <w:b/>
              </w:rPr>
              <w:t>Local do estudo</w:t>
            </w:r>
          </w:p>
        </w:tc>
        <w:tc>
          <w:tcPr>
            <w:tcW w:w="1584" w:type="pct"/>
            <w:gridSpan w:val="3"/>
            <w:vAlign w:val="center"/>
          </w:tcPr>
          <w:p w14:paraId="116E0B7E" w14:textId="77777777" w:rsidR="007F020F" w:rsidRPr="0000343B" w:rsidRDefault="007F020F" w:rsidP="0000343B">
            <w:pPr>
              <w:rPr>
                <w:b/>
              </w:rPr>
            </w:pPr>
            <w:r w:rsidRPr="0000343B">
              <w:rPr>
                <w:b/>
              </w:rPr>
              <w:t>População do estudo</w:t>
            </w:r>
          </w:p>
        </w:tc>
        <w:tc>
          <w:tcPr>
            <w:tcW w:w="801" w:type="pct"/>
            <w:vMerge w:val="restart"/>
            <w:vAlign w:val="center"/>
          </w:tcPr>
          <w:p w14:paraId="45BBAE2D" w14:textId="77777777" w:rsidR="007F020F" w:rsidRPr="0000343B" w:rsidRDefault="007F020F" w:rsidP="0000343B">
            <w:pPr>
              <w:rPr>
                <w:b/>
              </w:rPr>
            </w:pPr>
            <w:r w:rsidRPr="0000343B">
              <w:rPr>
                <w:b/>
              </w:rPr>
              <w:t>Tipo de estudo</w:t>
            </w:r>
          </w:p>
        </w:tc>
        <w:tc>
          <w:tcPr>
            <w:tcW w:w="562" w:type="pct"/>
            <w:vMerge w:val="restart"/>
            <w:vAlign w:val="center"/>
          </w:tcPr>
          <w:p w14:paraId="4C15C02D" w14:textId="77777777" w:rsidR="007F020F" w:rsidRPr="0000343B" w:rsidRDefault="007F020F" w:rsidP="0000343B">
            <w:pPr>
              <w:rPr>
                <w:b/>
              </w:rPr>
            </w:pPr>
            <w:r w:rsidRPr="0000343B">
              <w:rPr>
                <w:b/>
              </w:rPr>
              <w:t>Dieta</w:t>
            </w:r>
          </w:p>
        </w:tc>
        <w:tc>
          <w:tcPr>
            <w:tcW w:w="676" w:type="pct"/>
            <w:vMerge w:val="restart"/>
            <w:vAlign w:val="center"/>
          </w:tcPr>
          <w:p w14:paraId="797A514A" w14:textId="77777777" w:rsidR="007F020F" w:rsidRPr="0000343B" w:rsidRDefault="007F020F" w:rsidP="0000343B">
            <w:pPr>
              <w:rPr>
                <w:b/>
                <w:highlight w:val="yellow"/>
              </w:rPr>
            </w:pPr>
            <w:r w:rsidRPr="0000343B">
              <w:rPr>
                <w:b/>
              </w:rPr>
              <w:t>Duração</w:t>
            </w:r>
          </w:p>
        </w:tc>
      </w:tr>
      <w:tr w:rsidR="007F020F" w:rsidRPr="0000343B" w14:paraId="184FB56E" w14:textId="77777777" w:rsidTr="0075084F">
        <w:tc>
          <w:tcPr>
            <w:tcW w:w="832" w:type="pct"/>
            <w:vMerge/>
          </w:tcPr>
          <w:p w14:paraId="24812CC6" w14:textId="77777777" w:rsidR="007F020F" w:rsidRPr="0000343B" w:rsidRDefault="007F020F" w:rsidP="0000343B"/>
        </w:tc>
        <w:tc>
          <w:tcPr>
            <w:tcW w:w="545" w:type="pct"/>
            <w:vMerge/>
          </w:tcPr>
          <w:p w14:paraId="0A9F61A1" w14:textId="77777777" w:rsidR="007F020F" w:rsidRPr="0000343B" w:rsidRDefault="007F020F" w:rsidP="0000343B"/>
        </w:tc>
        <w:tc>
          <w:tcPr>
            <w:tcW w:w="421" w:type="pct"/>
          </w:tcPr>
          <w:p w14:paraId="1F710BB9" w14:textId="77777777" w:rsidR="007F020F" w:rsidRPr="0000343B" w:rsidRDefault="007F020F" w:rsidP="0000343B">
            <w:pPr>
              <w:rPr>
                <w:b/>
                <w:bCs/>
              </w:rPr>
            </w:pPr>
            <w:r w:rsidRPr="0000343B">
              <w:rPr>
                <w:b/>
                <w:bCs/>
              </w:rPr>
              <w:t>n</w:t>
            </w:r>
          </w:p>
        </w:tc>
        <w:tc>
          <w:tcPr>
            <w:tcW w:w="614" w:type="pct"/>
          </w:tcPr>
          <w:p w14:paraId="4EDB6E74" w14:textId="77777777" w:rsidR="007F020F" w:rsidRPr="0000343B" w:rsidRDefault="007F020F" w:rsidP="0000343B">
            <w:pPr>
              <w:rPr>
                <w:b/>
                <w:bCs/>
              </w:rPr>
            </w:pPr>
            <w:r w:rsidRPr="0000343B">
              <w:rPr>
                <w:b/>
                <w:bCs/>
              </w:rPr>
              <w:t>Sexo</w:t>
            </w:r>
          </w:p>
        </w:tc>
        <w:tc>
          <w:tcPr>
            <w:tcW w:w="549" w:type="pct"/>
          </w:tcPr>
          <w:p w14:paraId="53294576" w14:textId="77777777" w:rsidR="007F020F" w:rsidRPr="0000343B" w:rsidRDefault="007F020F" w:rsidP="0000343B">
            <w:pPr>
              <w:rPr>
                <w:b/>
                <w:bCs/>
              </w:rPr>
            </w:pPr>
            <w:r w:rsidRPr="0000343B">
              <w:rPr>
                <w:b/>
                <w:bCs/>
              </w:rPr>
              <w:t>Idade</w:t>
            </w:r>
          </w:p>
        </w:tc>
        <w:tc>
          <w:tcPr>
            <w:tcW w:w="801" w:type="pct"/>
            <w:vMerge/>
          </w:tcPr>
          <w:p w14:paraId="715A9A3A" w14:textId="77777777" w:rsidR="007F020F" w:rsidRPr="0000343B" w:rsidRDefault="007F020F" w:rsidP="0000343B"/>
        </w:tc>
        <w:tc>
          <w:tcPr>
            <w:tcW w:w="562" w:type="pct"/>
            <w:vMerge/>
          </w:tcPr>
          <w:p w14:paraId="3BDBA585" w14:textId="77777777" w:rsidR="007F020F" w:rsidRPr="0000343B" w:rsidRDefault="007F020F" w:rsidP="0000343B"/>
        </w:tc>
        <w:tc>
          <w:tcPr>
            <w:tcW w:w="676" w:type="pct"/>
            <w:vMerge/>
          </w:tcPr>
          <w:p w14:paraId="7469C24B" w14:textId="77777777" w:rsidR="007F020F" w:rsidRPr="0000343B" w:rsidRDefault="007F020F" w:rsidP="0000343B"/>
        </w:tc>
      </w:tr>
      <w:tr w:rsidR="007F020F" w:rsidRPr="0000343B" w14:paraId="7F554ED6" w14:textId="77777777" w:rsidTr="0075084F">
        <w:tc>
          <w:tcPr>
            <w:tcW w:w="832" w:type="pct"/>
          </w:tcPr>
          <w:p w14:paraId="44EFEBF1" w14:textId="77777777" w:rsidR="007F020F" w:rsidRPr="0000343B" w:rsidRDefault="007F020F" w:rsidP="0000343B">
            <w:r w:rsidRPr="0000343B">
              <w:t>BERTI et. al., 2018</w:t>
            </w:r>
          </w:p>
          <w:p w14:paraId="433B521E" w14:textId="77777777" w:rsidR="007F020F" w:rsidRPr="0000343B" w:rsidRDefault="007F020F" w:rsidP="0000343B"/>
        </w:tc>
        <w:tc>
          <w:tcPr>
            <w:tcW w:w="545" w:type="pct"/>
          </w:tcPr>
          <w:p w14:paraId="55CA335F" w14:textId="77777777" w:rsidR="007F020F" w:rsidRPr="0000343B" w:rsidRDefault="007F020F" w:rsidP="0000343B">
            <w:r w:rsidRPr="0000343B">
              <w:t>Estados Unidos</w:t>
            </w:r>
          </w:p>
        </w:tc>
        <w:tc>
          <w:tcPr>
            <w:tcW w:w="421" w:type="pct"/>
          </w:tcPr>
          <w:p w14:paraId="4921A19F" w14:textId="77777777" w:rsidR="007F020F" w:rsidRPr="0000343B" w:rsidRDefault="007F020F" w:rsidP="0000343B">
            <w:r w:rsidRPr="0000343B">
              <w:t>70</w:t>
            </w:r>
          </w:p>
        </w:tc>
        <w:tc>
          <w:tcPr>
            <w:tcW w:w="614" w:type="pct"/>
          </w:tcPr>
          <w:p w14:paraId="2A422FFF" w14:textId="77777777" w:rsidR="007F020F" w:rsidRPr="0000343B" w:rsidRDefault="007F020F" w:rsidP="0000343B">
            <w:r w:rsidRPr="0000343B">
              <w:t>Masculino e Feminino</w:t>
            </w:r>
          </w:p>
        </w:tc>
        <w:tc>
          <w:tcPr>
            <w:tcW w:w="549" w:type="pct"/>
          </w:tcPr>
          <w:p w14:paraId="48381E4E" w14:textId="77777777" w:rsidR="007F020F" w:rsidRPr="0000343B" w:rsidRDefault="007F020F" w:rsidP="0000343B">
            <w:r w:rsidRPr="0000343B">
              <w:t>30-60 anos</w:t>
            </w:r>
          </w:p>
        </w:tc>
        <w:tc>
          <w:tcPr>
            <w:tcW w:w="801" w:type="pct"/>
          </w:tcPr>
          <w:p w14:paraId="2BEF79EB" w14:textId="77777777" w:rsidR="007F020F" w:rsidRPr="0000343B" w:rsidRDefault="007F020F" w:rsidP="0000343B">
            <w:r w:rsidRPr="0000343B">
              <w:t>Coorte</w:t>
            </w:r>
          </w:p>
        </w:tc>
        <w:tc>
          <w:tcPr>
            <w:tcW w:w="562" w:type="pct"/>
          </w:tcPr>
          <w:p w14:paraId="1D24EF36" w14:textId="713D08D1" w:rsidR="007F020F" w:rsidRPr="0000343B" w:rsidRDefault="00785AB2" w:rsidP="0000343B">
            <w:r>
              <w:rPr>
                <w:bCs/>
                <w:sz w:val="24"/>
                <w:szCs w:val="24"/>
              </w:rPr>
              <w:t>MeDi</w:t>
            </w:r>
          </w:p>
        </w:tc>
        <w:tc>
          <w:tcPr>
            <w:tcW w:w="676" w:type="pct"/>
          </w:tcPr>
          <w:p w14:paraId="2CF99EFE" w14:textId="77777777" w:rsidR="007F020F" w:rsidRPr="0000343B" w:rsidRDefault="007F020F" w:rsidP="0000343B">
            <w:r w:rsidRPr="0000343B">
              <w:t>3 anos</w:t>
            </w:r>
          </w:p>
        </w:tc>
      </w:tr>
      <w:tr w:rsidR="007F020F" w:rsidRPr="0000343B" w14:paraId="56143911" w14:textId="77777777" w:rsidTr="0075084F">
        <w:tc>
          <w:tcPr>
            <w:tcW w:w="832" w:type="pct"/>
          </w:tcPr>
          <w:p w14:paraId="06BE5C69" w14:textId="77777777" w:rsidR="007F020F" w:rsidRPr="0000343B" w:rsidRDefault="007F020F" w:rsidP="0000343B">
            <w:r w:rsidRPr="0000343B">
              <w:t>NAGPAL et. al, 2019</w:t>
            </w:r>
          </w:p>
        </w:tc>
        <w:tc>
          <w:tcPr>
            <w:tcW w:w="545" w:type="pct"/>
          </w:tcPr>
          <w:p w14:paraId="4FEBD494" w14:textId="77777777" w:rsidR="007F020F" w:rsidRPr="0000343B" w:rsidRDefault="007F020F" w:rsidP="0000343B">
            <w:r w:rsidRPr="0000343B">
              <w:t>Estados Unidos</w:t>
            </w:r>
          </w:p>
        </w:tc>
        <w:tc>
          <w:tcPr>
            <w:tcW w:w="421" w:type="pct"/>
          </w:tcPr>
          <w:p w14:paraId="25470098" w14:textId="77777777" w:rsidR="007F020F" w:rsidRPr="0000343B" w:rsidRDefault="007F020F" w:rsidP="0000343B">
            <w:r w:rsidRPr="0000343B">
              <w:t>17</w:t>
            </w:r>
          </w:p>
        </w:tc>
        <w:tc>
          <w:tcPr>
            <w:tcW w:w="614" w:type="pct"/>
          </w:tcPr>
          <w:p w14:paraId="2FEE7DFE" w14:textId="77777777" w:rsidR="007F020F" w:rsidRPr="0000343B" w:rsidRDefault="007F020F" w:rsidP="0000343B">
            <w:r w:rsidRPr="0000343B">
              <w:t>Masculino e Feminino</w:t>
            </w:r>
          </w:p>
        </w:tc>
        <w:tc>
          <w:tcPr>
            <w:tcW w:w="549" w:type="pct"/>
          </w:tcPr>
          <w:p w14:paraId="6B644AA5" w14:textId="77777777" w:rsidR="007F020F" w:rsidRPr="0000343B" w:rsidRDefault="007F020F" w:rsidP="0000343B">
            <w:r w:rsidRPr="0000343B">
              <w:t>64,6</w:t>
            </w:r>
            <w:r w:rsidRPr="0000343B">
              <w:rPr>
                <w:u w:val="single"/>
              </w:rPr>
              <w:t>+</w:t>
            </w:r>
            <w:r w:rsidRPr="0000343B">
              <w:t>6,4 anos</w:t>
            </w:r>
          </w:p>
        </w:tc>
        <w:tc>
          <w:tcPr>
            <w:tcW w:w="801" w:type="pct"/>
          </w:tcPr>
          <w:p w14:paraId="01907FD3" w14:textId="77777777" w:rsidR="007F020F" w:rsidRPr="0000343B" w:rsidRDefault="007F020F" w:rsidP="0000343B">
            <w:r w:rsidRPr="0000343B">
              <w:t>Clínico randomizado</w:t>
            </w:r>
          </w:p>
        </w:tc>
        <w:tc>
          <w:tcPr>
            <w:tcW w:w="562" w:type="pct"/>
          </w:tcPr>
          <w:p w14:paraId="1F847A13" w14:textId="77777777" w:rsidR="007F020F" w:rsidRPr="0000343B" w:rsidRDefault="007F020F" w:rsidP="0000343B">
            <w:r w:rsidRPr="0000343B">
              <w:t>MMKD</w:t>
            </w:r>
          </w:p>
        </w:tc>
        <w:tc>
          <w:tcPr>
            <w:tcW w:w="676" w:type="pct"/>
          </w:tcPr>
          <w:p w14:paraId="384BFC20" w14:textId="77777777" w:rsidR="007F020F" w:rsidRPr="0000343B" w:rsidRDefault="007F020F" w:rsidP="0000343B">
            <w:r w:rsidRPr="0000343B">
              <w:t>18 semanas</w:t>
            </w:r>
          </w:p>
        </w:tc>
      </w:tr>
      <w:tr w:rsidR="007F020F" w:rsidRPr="0000343B" w14:paraId="2125A2D7" w14:textId="77777777" w:rsidTr="0075084F">
        <w:tc>
          <w:tcPr>
            <w:tcW w:w="832" w:type="pct"/>
          </w:tcPr>
          <w:p w14:paraId="60DE36D0" w14:textId="77777777" w:rsidR="007F020F" w:rsidRPr="0000343B" w:rsidRDefault="007F020F" w:rsidP="0000343B">
            <w:r w:rsidRPr="0000343B">
              <w:t>ANASTASIOU et. al, 2018</w:t>
            </w:r>
          </w:p>
          <w:p w14:paraId="47E9AA25" w14:textId="77777777" w:rsidR="007F020F" w:rsidRPr="0000343B" w:rsidRDefault="007F020F" w:rsidP="0000343B"/>
        </w:tc>
        <w:tc>
          <w:tcPr>
            <w:tcW w:w="545" w:type="pct"/>
          </w:tcPr>
          <w:p w14:paraId="6A312C73" w14:textId="77777777" w:rsidR="007F020F" w:rsidRPr="0000343B" w:rsidRDefault="007F020F" w:rsidP="0000343B">
            <w:r w:rsidRPr="0000343B">
              <w:t>Grécia</w:t>
            </w:r>
          </w:p>
        </w:tc>
        <w:tc>
          <w:tcPr>
            <w:tcW w:w="421" w:type="pct"/>
          </w:tcPr>
          <w:p w14:paraId="7B831DE7" w14:textId="77777777" w:rsidR="007F020F" w:rsidRPr="0000343B" w:rsidRDefault="007F020F" w:rsidP="0000343B">
            <w:r w:rsidRPr="0000343B">
              <w:t>1716</w:t>
            </w:r>
          </w:p>
        </w:tc>
        <w:tc>
          <w:tcPr>
            <w:tcW w:w="614" w:type="pct"/>
          </w:tcPr>
          <w:p w14:paraId="701F16DC" w14:textId="77777777" w:rsidR="007F020F" w:rsidRPr="0000343B" w:rsidRDefault="007F020F" w:rsidP="0000343B">
            <w:r w:rsidRPr="0000343B">
              <w:t>Masculino e Feminino</w:t>
            </w:r>
          </w:p>
        </w:tc>
        <w:tc>
          <w:tcPr>
            <w:tcW w:w="549" w:type="pct"/>
          </w:tcPr>
          <w:p w14:paraId="73BCDE25" w14:textId="77777777" w:rsidR="007F020F" w:rsidRPr="0000343B" w:rsidRDefault="007F020F" w:rsidP="0000343B">
            <w:r w:rsidRPr="0000343B">
              <w:rPr>
                <w:u w:val="single"/>
              </w:rPr>
              <w:t>&gt;</w:t>
            </w:r>
            <w:r w:rsidRPr="0000343B">
              <w:t xml:space="preserve"> 65 anos</w:t>
            </w:r>
          </w:p>
        </w:tc>
        <w:tc>
          <w:tcPr>
            <w:tcW w:w="801" w:type="pct"/>
          </w:tcPr>
          <w:p w14:paraId="2FA324C2" w14:textId="77777777" w:rsidR="007F020F" w:rsidRPr="0000343B" w:rsidRDefault="007F020F" w:rsidP="0000343B">
            <w:r w:rsidRPr="0000343B">
              <w:t>Longitudinal</w:t>
            </w:r>
          </w:p>
        </w:tc>
        <w:tc>
          <w:tcPr>
            <w:tcW w:w="562" w:type="pct"/>
          </w:tcPr>
          <w:p w14:paraId="20C5EEEF" w14:textId="7C536AF1" w:rsidR="007F020F" w:rsidRPr="0000343B" w:rsidRDefault="00785AB2" w:rsidP="0000343B">
            <w:r>
              <w:rPr>
                <w:bCs/>
                <w:sz w:val="24"/>
                <w:szCs w:val="24"/>
              </w:rPr>
              <w:t>MeDi</w:t>
            </w:r>
          </w:p>
        </w:tc>
        <w:tc>
          <w:tcPr>
            <w:tcW w:w="676" w:type="pct"/>
          </w:tcPr>
          <w:p w14:paraId="646C1319" w14:textId="77777777" w:rsidR="007F020F" w:rsidRPr="0000343B" w:rsidRDefault="007F020F" w:rsidP="0000343B">
            <w:r w:rsidRPr="0000343B">
              <w:t>5 anos</w:t>
            </w:r>
          </w:p>
        </w:tc>
      </w:tr>
      <w:tr w:rsidR="007F020F" w:rsidRPr="0000343B" w14:paraId="63A5E031" w14:textId="77777777" w:rsidTr="0075084F">
        <w:tc>
          <w:tcPr>
            <w:tcW w:w="832" w:type="pct"/>
          </w:tcPr>
          <w:p w14:paraId="3BE4D624" w14:textId="77777777" w:rsidR="007F020F" w:rsidRPr="0000343B" w:rsidRDefault="007F020F" w:rsidP="0000343B">
            <w:r w:rsidRPr="0000343B">
              <w:t>TAYLOR; MAHNKEN; SULLIVAN, 2020</w:t>
            </w:r>
          </w:p>
        </w:tc>
        <w:tc>
          <w:tcPr>
            <w:tcW w:w="545" w:type="pct"/>
          </w:tcPr>
          <w:p w14:paraId="54F7FA38" w14:textId="77777777" w:rsidR="007F020F" w:rsidRPr="0000343B" w:rsidRDefault="007F020F" w:rsidP="0000343B">
            <w:r w:rsidRPr="0000343B">
              <w:t>Estados Unidos</w:t>
            </w:r>
          </w:p>
        </w:tc>
        <w:tc>
          <w:tcPr>
            <w:tcW w:w="421" w:type="pct"/>
          </w:tcPr>
          <w:p w14:paraId="484719B3" w14:textId="77777777" w:rsidR="007F020F" w:rsidRPr="0000343B" w:rsidRDefault="007F020F" w:rsidP="0000343B">
            <w:r w:rsidRPr="0000343B">
              <w:t>3068</w:t>
            </w:r>
          </w:p>
        </w:tc>
        <w:tc>
          <w:tcPr>
            <w:tcW w:w="614" w:type="pct"/>
          </w:tcPr>
          <w:p w14:paraId="6AB1BC52" w14:textId="77777777" w:rsidR="007F020F" w:rsidRPr="0000343B" w:rsidRDefault="007F020F" w:rsidP="0000343B">
            <w:r w:rsidRPr="0000343B">
              <w:t>Masculino e Feminino</w:t>
            </w:r>
          </w:p>
        </w:tc>
        <w:tc>
          <w:tcPr>
            <w:tcW w:w="549" w:type="pct"/>
          </w:tcPr>
          <w:p w14:paraId="3F927CE4" w14:textId="77777777" w:rsidR="007F020F" w:rsidRPr="0000343B" w:rsidRDefault="007F020F" w:rsidP="0000343B">
            <w:r w:rsidRPr="0000343B">
              <w:t>&gt; 60 anos</w:t>
            </w:r>
          </w:p>
        </w:tc>
        <w:tc>
          <w:tcPr>
            <w:tcW w:w="801" w:type="pct"/>
          </w:tcPr>
          <w:p w14:paraId="71CE0E44" w14:textId="77777777" w:rsidR="007F020F" w:rsidRPr="0000343B" w:rsidRDefault="007F020F" w:rsidP="0000343B">
            <w:r w:rsidRPr="0000343B">
              <w:t>Transversal</w:t>
            </w:r>
          </w:p>
        </w:tc>
        <w:tc>
          <w:tcPr>
            <w:tcW w:w="562" w:type="pct"/>
          </w:tcPr>
          <w:p w14:paraId="090645EF" w14:textId="0DD62F09" w:rsidR="007F020F" w:rsidRPr="0000343B" w:rsidRDefault="00785AB2" w:rsidP="0000343B">
            <w:r>
              <w:rPr>
                <w:bCs/>
                <w:sz w:val="24"/>
                <w:szCs w:val="24"/>
              </w:rPr>
              <w:t>MeDi</w:t>
            </w:r>
          </w:p>
        </w:tc>
        <w:tc>
          <w:tcPr>
            <w:tcW w:w="676" w:type="pct"/>
          </w:tcPr>
          <w:p w14:paraId="50B5A5C9" w14:textId="77777777" w:rsidR="007F020F" w:rsidRPr="0000343B" w:rsidRDefault="007F020F" w:rsidP="0000343B">
            <w:r w:rsidRPr="0000343B">
              <w:t>4 anos no estudo NHANES</w:t>
            </w:r>
          </w:p>
        </w:tc>
      </w:tr>
      <w:tr w:rsidR="007F020F" w:rsidRPr="0000343B" w14:paraId="34B0FBA4" w14:textId="77777777" w:rsidTr="0075084F">
        <w:tc>
          <w:tcPr>
            <w:tcW w:w="832" w:type="pct"/>
          </w:tcPr>
          <w:p w14:paraId="6D969F46" w14:textId="77777777" w:rsidR="007F020F" w:rsidRPr="0000343B" w:rsidRDefault="007F020F" w:rsidP="0000343B">
            <w:r w:rsidRPr="0000343B">
              <w:t>KNIGHT, et. al, 2016</w:t>
            </w:r>
          </w:p>
        </w:tc>
        <w:tc>
          <w:tcPr>
            <w:tcW w:w="545" w:type="pct"/>
          </w:tcPr>
          <w:p w14:paraId="46693AB6" w14:textId="77777777" w:rsidR="007F020F" w:rsidRPr="0000343B" w:rsidRDefault="007F020F" w:rsidP="0000343B">
            <w:r w:rsidRPr="0000343B">
              <w:t>Austrália</w:t>
            </w:r>
          </w:p>
        </w:tc>
        <w:tc>
          <w:tcPr>
            <w:tcW w:w="421" w:type="pct"/>
          </w:tcPr>
          <w:p w14:paraId="4DFE42BD" w14:textId="77777777" w:rsidR="007F020F" w:rsidRPr="0000343B" w:rsidRDefault="007F020F" w:rsidP="0000343B">
            <w:r w:rsidRPr="0000343B">
              <w:t>137</w:t>
            </w:r>
          </w:p>
        </w:tc>
        <w:tc>
          <w:tcPr>
            <w:tcW w:w="614" w:type="pct"/>
          </w:tcPr>
          <w:p w14:paraId="2E5338B5" w14:textId="77777777" w:rsidR="007F020F" w:rsidRPr="0000343B" w:rsidRDefault="007F020F" w:rsidP="0000343B">
            <w:r w:rsidRPr="0000343B">
              <w:t>Masculino e Feminino</w:t>
            </w:r>
          </w:p>
        </w:tc>
        <w:tc>
          <w:tcPr>
            <w:tcW w:w="549" w:type="pct"/>
          </w:tcPr>
          <w:p w14:paraId="49B34EBF" w14:textId="77777777" w:rsidR="007F020F" w:rsidRPr="0000343B" w:rsidRDefault="007F020F" w:rsidP="0000343B">
            <w:r w:rsidRPr="0000343B">
              <w:t>72,1</w:t>
            </w:r>
            <w:r w:rsidRPr="0000343B">
              <w:rPr>
                <w:u w:val="single"/>
              </w:rPr>
              <w:t>+</w:t>
            </w:r>
            <w:r w:rsidRPr="0000343B">
              <w:t>5,0 anos</w:t>
            </w:r>
          </w:p>
        </w:tc>
        <w:tc>
          <w:tcPr>
            <w:tcW w:w="801" w:type="pct"/>
          </w:tcPr>
          <w:p w14:paraId="7EE0CACD" w14:textId="77777777" w:rsidR="007F020F" w:rsidRPr="0000343B" w:rsidRDefault="007F020F" w:rsidP="0000343B">
            <w:r w:rsidRPr="0000343B">
              <w:t>Clínico Randomizado</w:t>
            </w:r>
          </w:p>
        </w:tc>
        <w:tc>
          <w:tcPr>
            <w:tcW w:w="562" w:type="pct"/>
          </w:tcPr>
          <w:p w14:paraId="10D11D60" w14:textId="1442D00D" w:rsidR="007F020F" w:rsidRPr="0000343B" w:rsidRDefault="00785AB2" w:rsidP="0000343B">
            <w:r>
              <w:rPr>
                <w:bCs/>
                <w:sz w:val="24"/>
                <w:szCs w:val="24"/>
              </w:rPr>
              <w:t>MeDi</w:t>
            </w:r>
          </w:p>
        </w:tc>
        <w:tc>
          <w:tcPr>
            <w:tcW w:w="676" w:type="pct"/>
          </w:tcPr>
          <w:p w14:paraId="4160ABF0" w14:textId="77777777" w:rsidR="007F020F" w:rsidRPr="0000343B" w:rsidRDefault="007F020F" w:rsidP="0000343B">
            <w:r w:rsidRPr="0000343B">
              <w:t>6 meses (Medley Study)</w:t>
            </w:r>
          </w:p>
        </w:tc>
      </w:tr>
      <w:tr w:rsidR="007F020F" w:rsidRPr="0000343B" w14:paraId="11A97DC9" w14:textId="77777777" w:rsidTr="0075084F">
        <w:tc>
          <w:tcPr>
            <w:tcW w:w="832" w:type="pct"/>
          </w:tcPr>
          <w:p w14:paraId="04B29A2C" w14:textId="77777777" w:rsidR="007F020F" w:rsidRPr="0000343B" w:rsidRDefault="007F020F" w:rsidP="0000343B">
            <w:r w:rsidRPr="0000343B">
              <w:t>HILL et. al., 2018</w:t>
            </w:r>
          </w:p>
        </w:tc>
        <w:tc>
          <w:tcPr>
            <w:tcW w:w="545" w:type="pct"/>
          </w:tcPr>
          <w:p w14:paraId="52D14A6C" w14:textId="77777777" w:rsidR="007F020F" w:rsidRPr="0000343B" w:rsidRDefault="007F020F" w:rsidP="0000343B">
            <w:r w:rsidRPr="0000343B">
              <w:t>Austrália</w:t>
            </w:r>
          </w:p>
        </w:tc>
        <w:tc>
          <w:tcPr>
            <w:tcW w:w="421" w:type="pct"/>
          </w:tcPr>
          <w:p w14:paraId="4220F32A" w14:textId="77777777" w:rsidR="007F020F" w:rsidRPr="0000343B" w:rsidRDefault="007F020F" w:rsidP="0000343B">
            <w:r w:rsidRPr="0000343B">
              <w:t>115</w:t>
            </w:r>
          </w:p>
        </w:tc>
        <w:tc>
          <w:tcPr>
            <w:tcW w:w="614" w:type="pct"/>
          </w:tcPr>
          <w:p w14:paraId="051D7B9C" w14:textId="77777777" w:rsidR="007F020F" w:rsidRPr="0000343B" w:rsidRDefault="007F020F" w:rsidP="0000343B">
            <w:r w:rsidRPr="0000343B">
              <w:t>Feminino</w:t>
            </w:r>
          </w:p>
        </w:tc>
        <w:tc>
          <w:tcPr>
            <w:tcW w:w="549" w:type="pct"/>
          </w:tcPr>
          <w:p w14:paraId="571BD1FB" w14:textId="77777777" w:rsidR="007F020F" w:rsidRPr="0000343B" w:rsidRDefault="007F020F" w:rsidP="0000343B">
            <w:r w:rsidRPr="0000343B">
              <w:t>70+2,63 anos</w:t>
            </w:r>
          </w:p>
        </w:tc>
        <w:tc>
          <w:tcPr>
            <w:tcW w:w="801" w:type="pct"/>
          </w:tcPr>
          <w:p w14:paraId="615380DE" w14:textId="77777777" w:rsidR="007F020F" w:rsidRPr="0000343B" w:rsidRDefault="007F020F" w:rsidP="0000343B">
            <w:r w:rsidRPr="0000343B">
              <w:t>Transversal</w:t>
            </w:r>
          </w:p>
        </w:tc>
        <w:tc>
          <w:tcPr>
            <w:tcW w:w="562" w:type="pct"/>
          </w:tcPr>
          <w:p w14:paraId="5B83BA0F" w14:textId="0BDBA87E" w:rsidR="007F020F" w:rsidRPr="0000343B" w:rsidRDefault="007F020F" w:rsidP="0000343B">
            <w:pPr>
              <w:rPr>
                <w:lang w:val="en-US"/>
              </w:rPr>
            </w:pPr>
            <w:r w:rsidRPr="0000343B">
              <w:rPr>
                <w:lang w:val="en-US"/>
              </w:rPr>
              <w:t xml:space="preserve">HF, </w:t>
            </w:r>
            <w:r w:rsidR="00785AB2">
              <w:rPr>
                <w:bCs/>
                <w:sz w:val="24"/>
                <w:szCs w:val="24"/>
              </w:rPr>
              <w:t>MeDi</w:t>
            </w:r>
            <w:r w:rsidRPr="0000343B">
              <w:rPr>
                <w:lang w:val="en-US"/>
              </w:rPr>
              <w:t xml:space="preserve">, </w:t>
            </w:r>
            <w:r w:rsidRPr="0000343B">
              <w:rPr>
                <w:i/>
                <w:iCs/>
                <w:lang w:val="en-US"/>
              </w:rPr>
              <w:t>junk food</w:t>
            </w:r>
            <w:r w:rsidRPr="0000343B">
              <w:rPr>
                <w:lang w:val="en-US"/>
              </w:rPr>
              <w:t xml:space="preserve"> e LF</w:t>
            </w:r>
          </w:p>
        </w:tc>
        <w:tc>
          <w:tcPr>
            <w:tcW w:w="676" w:type="pct"/>
          </w:tcPr>
          <w:p w14:paraId="6785C37D" w14:textId="77777777" w:rsidR="007F020F" w:rsidRPr="0000343B" w:rsidRDefault="007F020F" w:rsidP="0000343B">
            <w:r w:rsidRPr="0000343B">
              <w:t>WHAP</w:t>
            </w:r>
          </w:p>
        </w:tc>
      </w:tr>
      <w:tr w:rsidR="007F020F" w:rsidRPr="0000343B" w14:paraId="43C7172C" w14:textId="77777777" w:rsidTr="0075084F">
        <w:tc>
          <w:tcPr>
            <w:tcW w:w="832" w:type="pct"/>
          </w:tcPr>
          <w:p w14:paraId="2E4B46A9" w14:textId="77777777" w:rsidR="007F020F" w:rsidRPr="0000343B" w:rsidRDefault="007F020F" w:rsidP="0000343B">
            <w:r w:rsidRPr="0000343B">
              <w:t>KARSTENS et.al., 2019</w:t>
            </w:r>
          </w:p>
        </w:tc>
        <w:tc>
          <w:tcPr>
            <w:tcW w:w="545" w:type="pct"/>
          </w:tcPr>
          <w:p w14:paraId="18E2958B" w14:textId="77777777" w:rsidR="007F020F" w:rsidRPr="0000343B" w:rsidRDefault="007F020F" w:rsidP="0000343B">
            <w:r w:rsidRPr="0000343B">
              <w:t>Estados Unidos</w:t>
            </w:r>
          </w:p>
        </w:tc>
        <w:tc>
          <w:tcPr>
            <w:tcW w:w="421" w:type="pct"/>
          </w:tcPr>
          <w:p w14:paraId="478FA84C" w14:textId="77777777" w:rsidR="007F020F" w:rsidRPr="0000343B" w:rsidRDefault="007F020F" w:rsidP="0000343B">
            <w:r w:rsidRPr="0000343B">
              <w:t>82</w:t>
            </w:r>
          </w:p>
        </w:tc>
        <w:tc>
          <w:tcPr>
            <w:tcW w:w="614" w:type="pct"/>
          </w:tcPr>
          <w:p w14:paraId="6D384B4A" w14:textId="77777777" w:rsidR="007F020F" w:rsidRPr="0000343B" w:rsidRDefault="007F020F" w:rsidP="0000343B">
            <w:r w:rsidRPr="0000343B">
              <w:t>Masculino e Feminino</w:t>
            </w:r>
          </w:p>
        </w:tc>
        <w:tc>
          <w:tcPr>
            <w:tcW w:w="549" w:type="pct"/>
          </w:tcPr>
          <w:p w14:paraId="23AD545D" w14:textId="77777777" w:rsidR="007F020F" w:rsidRPr="0000343B" w:rsidRDefault="007F020F" w:rsidP="0000343B">
            <w:r w:rsidRPr="0000343B">
              <w:t>&gt; 60 anos</w:t>
            </w:r>
          </w:p>
        </w:tc>
        <w:tc>
          <w:tcPr>
            <w:tcW w:w="801" w:type="pct"/>
          </w:tcPr>
          <w:p w14:paraId="4B8A3EA3" w14:textId="77777777" w:rsidR="007F020F" w:rsidRPr="0000343B" w:rsidRDefault="007F020F" w:rsidP="0000343B">
            <w:r w:rsidRPr="0000343B">
              <w:t>Transversal</w:t>
            </w:r>
          </w:p>
        </w:tc>
        <w:tc>
          <w:tcPr>
            <w:tcW w:w="562" w:type="pct"/>
          </w:tcPr>
          <w:p w14:paraId="1191DEAA" w14:textId="76550721" w:rsidR="007F020F" w:rsidRPr="0000343B" w:rsidRDefault="00785AB2" w:rsidP="0000343B">
            <w:pPr>
              <w:rPr>
                <w:lang w:val="en-US"/>
              </w:rPr>
            </w:pPr>
            <w:r>
              <w:rPr>
                <w:bCs/>
                <w:sz w:val="24"/>
                <w:szCs w:val="24"/>
              </w:rPr>
              <w:t>MeDi</w:t>
            </w:r>
          </w:p>
        </w:tc>
        <w:tc>
          <w:tcPr>
            <w:tcW w:w="676" w:type="pct"/>
          </w:tcPr>
          <w:p w14:paraId="2417E55E" w14:textId="60357621" w:rsidR="007F020F" w:rsidRPr="0000343B" w:rsidRDefault="00040F9C" w:rsidP="0000343B">
            <w:r>
              <w:t>-</w:t>
            </w:r>
          </w:p>
        </w:tc>
      </w:tr>
      <w:tr w:rsidR="007F020F" w:rsidRPr="0000343B" w14:paraId="02A1D9DE" w14:textId="77777777" w:rsidTr="0075084F">
        <w:tc>
          <w:tcPr>
            <w:tcW w:w="832" w:type="pct"/>
          </w:tcPr>
          <w:p w14:paraId="47D0CC86" w14:textId="77777777" w:rsidR="007F020F" w:rsidRPr="0000343B" w:rsidRDefault="007F020F" w:rsidP="0000343B">
            <w:r w:rsidRPr="0000343B">
              <w:t>LARSSON; WOLK, 2018</w:t>
            </w:r>
          </w:p>
        </w:tc>
        <w:tc>
          <w:tcPr>
            <w:tcW w:w="545" w:type="pct"/>
          </w:tcPr>
          <w:p w14:paraId="30430CD8" w14:textId="77777777" w:rsidR="007F020F" w:rsidRPr="0000343B" w:rsidRDefault="007F020F" w:rsidP="0000343B">
            <w:r w:rsidRPr="0000343B">
              <w:t>Suécia</w:t>
            </w:r>
          </w:p>
        </w:tc>
        <w:tc>
          <w:tcPr>
            <w:tcW w:w="421" w:type="pct"/>
          </w:tcPr>
          <w:p w14:paraId="17507DFB" w14:textId="77777777" w:rsidR="007F020F" w:rsidRPr="0000343B" w:rsidRDefault="007F020F" w:rsidP="0000343B">
            <w:r w:rsidRPr="0000343B">
              <w:t>28775</w:t>
            </w:r>
          </w:p>
        </w:tc>
        <w:tc>
          <w:tcPr>
            <w:tcW w:w="614" w:type="pct"/>
          </w:tcPr>
          <w:p w14:paraId="05FDD2EA" w14:textId="77777777" w:rsidR="007F020F" w:rsidRPr="0000343B" w:rsidRDefault="007F020F" w:rsidP="0000343B">
            <w:r w:rsidRPr="0000343B">
              <w:t>Masculino e Feminino</w:t>
            </w:r>
          </w:p>
        </w:tc>
        <w:tc>
          <w:tcPr>
            <w:tcW w:w="549" w:type="pct"/>
          </w:tcPr>
          <w:p w14:paraId="75910E7B" w14:textId="77777777" w:rsidR="007F020F" w:rsidRPr="0000343B" w:rsidRDefault="007F020F" w:rsidP="0000343B">
            <w:r w:rsidRPr="0000343B">
              <w:t>65-83 anos</w:t>
            </w:r>
          </w:p>
        </w:tc>
        <w:tc>
          <w:tcPr>
            <w:tcW w:w="801" w:type="pct"/>
          </w:tcPr>
          <w:p w14:paraId="58E57CB8" w14:textId="77777777" w:rsidR="007F020F" w:rsidRPr="0000343B" w:rsidRDefault="007F020F" w:rsidP="0000343B">
            <w:r w:rsidRPr="0000343B">
              <w:t>Coorte</w:t>
            </w:r>
          </w:p>
        </w:tc>
        <w:tc>
          <w:tcPr>
            <w:tcW w:w="562" w:type="pct"/>
          </w:tcPr>
          <w:p w14:paraId="76EE7861" w14:textId="002DECAD" w:rsidR="007F020F" w:rsidRPr="0000343B" w:rsidRDefault="00785AB2" w:rsidP="0000343B">
            <w:pPr>
              <w:rPr>
                <w:lang w:val="en-US"/>
              </w:rPr>
            </w:pPr>
            <w:r>
              <w:rPr>
                <w:bCs/>
                <w:sz w:val="24"/>
                <w:szCs w:val="24"/>
              </w:rPr>
              <w:t>MeDi</w:t>
            </w:r>
            <w:r w:rsidR="007F020F" w:rsidRPr="0000343B">
              <w:rPr>
                <w:lang w:val="en-US"/>
              </w:rPr>
              <w:t xml:space="preserve"> e DASH</w:t>
            </w:r>
          </w:p>
        </w:tc>
        <w:tc>
          <w:tcPr>
            <w:tcW w:w="676" w:type="pct"/>
          </w:tcPr>
          <w:p w14:paraId="358D23C4" w14:textId="77777777" w:rsidR="007F020F" w:rsidRPr="0000343B" w:rsidRDefault="007F020F" w:rsidP="0000343B">
            <w:r w:rsidRPr="0000343B">
              <w:t>12,6 anos (SIMPLER)</w:t>
            </w:r>
          </w:p>
        </w:tc>
      </w:tr>
      <w:tr w:rsidR="007F020F" w:rsidRPr="0000343B" w14:paraId="1A6FC37C" w14:textId="77777777" w:rsidTr="0075084F">
        <w:tc>
          <w:tcPr>
            <w:tcW w:w="832" w:type="pct"/>
          </w:tcPr>
          <w:p w14:paraId="162FCDF4" w14:textId="77777777" w:rsidR="007F020F" w:rsidRPr="0000343B" w:rsidRDefault="007F020F" w:rsidP="0000343B">
            <w:r w:rsidRPr="0000343B">
              <w:t>MERRIL et. al., 2016</w:t>
            </w:r>
          </w:p>
        </w:tc>
        <w:tc>
          <w:tcPr>
            <w:tcW w:w="545" w:type="pct"/>
          </w:tcPr>
          <w:p w14:paraId="42FCB4E0" w14:textId="77777777" w:rsidR="007F020F" w:rsidRPr="0000343B" w:rsidRDefault="007F020F" w:rsidP="0000343B">
            <w:r w:rsidRPr="0000343B">
              <w:t>Estados Unidos</w:t>
            </w:r>
          </w:p>
        </w:tc>
        <w:tc>
          <w:tcPr>
            <w:tcW w:w="421" w:type="pct"/>
          </w:tcPr>
          <w:p w14:paraId="73B3DECC" w14:textId="77777777" w:rsidR="007F020F" w:rsidRPr="0000343B" w:rsidRDefault="007F020F" w:rsidP="0000343B">
            <w:r w:rsidRPr="0000343B">
              <w:t>44</w:t>
            </w:r>
          </w:p>
        </w:tc>
        <w:tc>
          <w:tcPr>
            <w:tcW w:w="614" w:type="pct"/>
          </w:tcPr>
          <w:p w14:paraId="567727C0" w14:textId="77777777" w:rsidR="007F020F" w:rsidRPr="0000343B" w:rsidRDefault="007F020F" w:rsidP="0000343B">
            <w:r w:rsidRPr="0000343B">
              <w:t>Masculino e Feminino</w:t>
            </w:r>
          </w:p>
        </w:tc>
        <w:tc>
          <w:tcPr>
            <w:tcW w:w="549" w:type="pct"/>
          </w:tcPr>
          <w:p w14:paraId="343CE377" w14:textId="77777777" w:rsidR="007F020F" w:rsidRPr="0000343B" w:rsidRDefault="007F020F" w:rsidP="0000343B">
            <w:r w:rsidRPr="0000343B">
              <w:t xml:space="preserve">62,6 </w:t>
            </w:r>
            <w:r w:rsidRPr="0000343B">
              <w:rPr>
                <w:u w:val="single"/>
              </w:rPr>
              <w:t>+</w:t>
            </w:r>
            <w:r w:rsidRPr="0000343B">
              <w:t xml:space="preserve"> 10,7 anos</w:t>
            </w:r>
          </w:p>
        </w:tc>
        <w:tc>
          <w:tcPr>
            <w:tcW w:w="801" w:type="pct"/>
          </w:tcPr>
          <w:p w14:paraId="1EEF2998" w14:textId="77777777" w:rsidR="007F020F" w:rsidRPr="0000343B" w:rsidRDefault="007F020F" w:rsidP="0000343B">
            <w:r w:rsidRPr="0000343B">
              <w:t>Longitudinal</w:t>
            </w:r>
          </w:p>
        </w:tc>
        <w:tc>
          <w:tcPr>
            <w:tcW w:w="562" w:type="pct"/>
          </w:tcPr>
          <w:p w14:paraId="581B6C22" w14:textId="526B167D" w:rsidR="007F020F" w:rsidRPr="0000343B" w:rsidRDefault="00785AB2" w:rsidP="0000343B">
            <w:pPr>
              <w:rPr>
                <w:lang w:val="en-US"/>
              </w:rPr>
            </w:pPr>
            <w:r>
              <w:rPr>
                <w:bCs/>
                <w:sz w:val="24"/>
                <w:szCs w:val="24"/>
              </w:rPr>
              <w:t>MeDi</w:t>
            </w:r>
          </w:p>
        </w:tc>
        <w:tc>
          <w:tcPr>
            <w:tcW w:w="676" w:type="pct"/>
          </w:tcPr>
          <w:p w14:paraId="2F102BDF" w14:textId="247A920C" w:rsidR="007F020F" w:rsidRPr="0000343B" w:rsidRDefault="00040F9C" w:rsidP="0000343B">
            <w:r>
              <w:t>-</w:t>
            </w:r>
          </w:p>
        </w:tc>
      </w:tr>
      <w:tr w:rsidR="007F020F" w:rsidRPr="0000343B" w14:paraId="3AFEF8BF" w14:textId="77777777" w:rsidTr="0075084F">
        <w:tc>
          <w:tcPr>
            <w:tcW w:w="832" w:type="pct"/>
          </w:tcPr>
          <w:p w14:paraId="4CAB2BBC" w14:textId="77777777" w:rsidR="007F020F" w:rsidRPr="0000343B" w:rsidRDefault="007F020F" w:rsidP="0000343B">
            <w:r w:rsidRPr="0000343B">
              <w:t>MOSCONI et. al., 2017</w:t>
            </w:r>
          </w:p>
        </w:tc>
        <w:tc>
          <w:tcPr>
            <w:tcW w:w="545" w:type="pct"/>
          </w:tcPr>
          <w:p w14:paraId="5DB9B445" w14:textId="77777777" w:rsidR="007F020F" w:rsidRPr="0000343B" w:rsidRDefault="007F020F" w:rsidP="0000343B">
            <w:r w:rsidRPr="0000343B">
              <w:t>Estados Unidos</w:t>
            </w:r>
          </w:p>
        </w:tc>
        <w:tc>
          <w:tcPr>
            <w:tcW w:w="421" w:type="pct"/>
          </w:tcPr>
          <w:p w14:paraId="3845A743" w14:textId="77777777" w:rsidR="007F020F" w:rsidRPr="0000343B" w:rsidRDefault="007F020F" w:rsidP="0000343B">
            <w:r w:rsidRPr="0000343B">
              <w:t>116</w:t>
            </w:r>
          </w:p>
        </w:tc>
        <w:tc>
          <w:tcPr>
            <w:tcW w:w="614" w:type="pct"/>
          </w:tcPr>
          <w:p w14:paraId="632E9A44" w14:textId="77777777" w:rsidR="007F020F" w:rsidRPr="0000343B" w:rsidRDefault="007F020F" w:rsidP="0000343B">
            <w:r w:rsidRPr="0000343B">
              <w:t>Masculino e Feminino</w:t>
            </w:r>
          </w:p>
        </w:tc>
        <w:tc>
          <w:tcPr>
            <w:tcW w:w="549" w:type="pct"/>
          </w:tcPr>
          <w:p w14:paraId="0DE1163F" w14:textId="77777777" w:rsidR="007F020F" w:rsidRPr="0000343B" w:rsidRDefault="007F020F" w:rsidP="0000343B">
            <w:r w:rsidRPr="0000343B">
              <w:t>30-60 anos</w:t>
            </w:r>
          </w:p>
        </w:tc>
        <w:tc>
          <w:tcPr>
            <w:tcW w:w="801" w:type="pct"/>
          </w:tcPr>
          <w:p w14:paraId="0F1F25D0" w14:textId="77777777" w:rsidR="007F020F" w:rsidRPr="0000343B" w:rsidRDefault="007F020F" w:rsidP="0000343B">
            <w:r w:rsidRPr="0000343B">
              <w:t>Coorte</w:t>
            </w:r>
          </w:p>
        </w:tc>
        <w:tc>
          <w:tcPr>
            <w:tcW w:w="562" w:type="pct"/>
          </w:tcPr>
          <w:p w14:paraId="38FA5582" w14:textId="583BAAAD" w:rsidR="007F020F" w:rsidRPr="0000343B" w:rsidRDefault="00785AB2" w:rsidP="0000343B">
            <w:pPr>
              <w:rPr>
                <w:lang w:val="en-US"/>
              </w:rPr>
            </w:pPr>
            <w:r>
              <w:rPr>
                <w:bCs/>
                <w:sz w:val="24"/>
                <w:szCs w:val="24"/>
              </w:rPr>
              <w:t>MeDi</w:t>
            </w:r>
          </w:p>
        </w:tc>
        <w:tc>
          <w:tcPr>
            <w:tcW w:w="676" w:type="pct"/>
          </w:tcPr>
          <w:p w14:paraId="76AF37DC" w14:textId="77777777" w:rsidR="007F020F" w:rsidRPr="0000343B" w:rsidRDefault="007F020F" w:rsidP="0000343B">
            <w:r w:rsidRPr="0000343B">
              <w:t>6 anos</w:t>
            </w:r>
          </w:p>
        </w:tc>
      </w:tr>
      <w:tr w:rsidR="007F020F" w:rsidRPr="0000343B" w14:paraId="7974BE8D" w14:textId="77777777" w:rsidTr="0075084F">
        <w:tc>
          <w:tcPr>
            <w:tcW w:w="832" w:type="pct"/>
          </w:tcPr>
          <w:p w14:paraId="62997ABF" w14:textId="77777777" w:rsidR="007F020F" w:rsidRPr="0000343B" w:rsidRDefault="007F020F" w:rsidP="0000343B">
            <w:r w:rsidRPr="0000343B">
              <w:t>NETH et. al. 2020</w:t>
            </w:r>
          </w:p>
        </w:tc>
        <w:tc>
          <w:tcPr>
            <w:tcW w:w="545" w:type="pct"/>
          </w:tcPr>
          <w:p w14:paraId="3506D68A" w14:textId="77777777" w:rsidR="007F020F" w:rsidRPr="0000343B" w:rsidRDefault="007F020F" w:rsidP="0000343B">
            <w:r w:rsidRPr="0000343B">
              <w:t>Estados Unidos</w:t>
            </w:r>
          </w:p>
        </w:tc>
        <w:tc>
          <w:tcPr>
            <w:tcW w:w="421" w:type="pct"/>
          </w:tcPr>
          <w:p w14:paraId="62614E36" w14:textId="77777777" w:rsidR="007F020F" w:rsidRPr="0000343B" w:rsidRDefault="007F020F" w:rsidP="0000343B">
            <w:r w:rsidRPr="0000343B">
              <w:t>20</w:t>
            </w:r>
          </w:p>
        </w:tc>
        <w:tc>
          <w:tcPr>
            <w:tcW w:w="614" w:type="pct"/>
          </w:tcPr>
          <w:p w14:paraId="4A0264E7" w14:textId="77777777" w:rsidR="007F020F" w:rsidRPr="0000343B" w:rsidRDefault="007F020F" w:rsidP="0000343B">
            <w:r w:rsidRPr="0000343B">
              <w:t>Masculino e Feminino</w:t>
            </w:r>
          </w:p>
        </w:tc>
        <w:tc>
          <w:tcPr>
            <w:tcW w:w="549" w:type="pct"/>
          </w:tcPr>
          <w:p w14:paraId="58E5D259" w14:textId="77777777" w:rsidR="007F020F" w:rsidRPr="0000343B" w:rsidRDefault="007F020F" w:rsidP="0000343B">
            <w:r w:rsidRPr="0000343B">
              <w:t>64,3+6,3</w:t>
            </w:r>
          </w:p>
        </w:tc>
        <w:tc>
          <w:tcPr>
            <w:tcW w:w="801" w:type="pct"/>
          </w:tcPr>
          <w:p w14:paraId="03C397C6" w14:textId="77777777" w:rsidR="007F020F" w:rsidRPr="0000343B" w:rsidRDefault="007F020F" w:rsidP="0000343B">
            <w:r w:rsidRPr="0000343B">
              <w:t>Transversal</w:t>
            </w:r>
          </w:p>
        </w:tc>
        <w:tc>
          <w:tcPr>
            <w:tcW w:w="562" w:type="pct"/>
          </w:tcPr>
          <w:p w14:paraId="01A22894" w14:textId="77777777" w:rsidR="007F020F" w:rsidRPr="0000343B" w:rsidRDefault="007F020F" w:rsidP="0000343B">
            <w:r w:rsidRPr="0000343B">
              <w:t>MMKD e AHAD</w:t>
            </w:r>
          </w:p>
        </w:tc>
        <w:tc>
          <w:tcPr>
            <w:tcW w:w="676" w:type="pct"/>
          </w:tcPr>
          <w:p w14:paraId="44FB583C" w14:textId="77777777" w:rsidR="007F020F" w:rsidRPr="0000343B" w:rsidRDefault="007F020F" w:rsidP="0000343B">
            <w:r w:rsidRPr="0000343B">
              <w:t>18 semanas</w:t>
            </w:r>
          </w:p>
        </w:tc>
      </w:tr>
      <w:tr w:rsidR="007F020F" w:rsidRPr="0000343B" w14:paraId="796B02D3" w14:textId="77777777" w:rsidTr="0075084F">
        <w:tc>
          <w:tcPr>
            <w:tcW w:w="832" w:type="pct"/>
          </w:tcPr>
          <w:p w14:paraId="0EBF1AD7" w14:textId="77777777" w:rsidR="007F020F" w:rsidRPr="0000343B" w:rsidRDefault="007F020F" w:rsidP="0000343B">
            <w:r w:rsidRPr="0000343B">
              <w:t>RAINEY-SMITH et. al., 2018</w:t>
            </w:r>
          </w:p>
        </w:tc>
        <w:tc>
          <w:tcPr>
            <w:tcW w:w="545" w:type="pct"/>
          </w:tcPr>
          <w:p w14:paraId="54756812" w14:textId="77777777" w:rsidR="007F020F" w:rsidRPr="0000343B" w:rsidRDefault="007F020F" w:rsidP="0000343B">
            <w:r w:rsidRPr="0000343B">
              <w:t>Austrália</w:t>
            </w:r>
          </w:p>
        </w:tc>
        <w:tc>
          <w:tcPr>
            <w:tcW w:w="421" w:type="pct"/>
          </w:tcPr>
          <w:p w14:paraId="37265CB2" w14:textId="77777777" w:rsidR="007F020F" w:rsidRPr="0000343B" w:rsidRDefault="007F020F" w:rsidP="0000343B">
            <w:r w:rsidRPr="0000343B">
              <w:t>77</w:t>
            </w:r>
          </w:p>
        </w:tc>
        <w:tc>
          <w:tcPr>
            <w:tcW w:w="614" w:type="pct"/>
          </w:tcPr>
          <w:p w14:paraId="55BEF08E" w14:textId="77777777" w:rsidR="007F020F" w:rsidRPr="0000343B" w:rsidRDefault="007F020F" w:rsidP="0000343B">
            <w:r w:rsidRPr="0000343B">
              <w:t>Masculino e Feminino</w:t>
            </w:r>
          </w:p>
        </w:tc>
        <w:tc>
          <w:tcPr>
            <w:tcW w:w="549" w:type="pct"/>
          </w:tcPr>
          <w:p w14:paraId="191F53E6" w14:textId="77777777" w:rsidR="007F020F" w:rsidRPr="0000343B" w:rsidRDefault="007F020F" w:rsidP="0000343B">
            <w:r w:rsidRPr="0000343B">
              <w:t>&gt; 60 anos</w:t>
            </w:r>
          </w:p>
        </w:tc>
        <w:tc>
          <w:tcPr>
            <w:tcW w:w="801" w:type="pct"/>
          </w:tcPr>
          <w:p w14:paraId="61E27000" w14:textId="77777777" w:rsidR="007F020F" w:rsidRPr="0000343B" w:rsidRDefault="007F020F" w:rsidP="0000343B">
            <w:r w:rsidRPr="0000343B">
              <w:t>Coorte</w:t>
            </w:r>
          </w:p>
        </w:tc>
        <w:tc>
          <w:tcPr>
            <w:tcW w:w="562" w:type="pct"/>
          </w:tcPr>
          <w:p w14:paraId="46EF9AD9" w14:textId="634C15FD" w:rsidR="007F020F" w:rsidRPr="0000343B" w:rsidRDefault="00785AB2" w:rsidP="0000343B">
            <w:r>
              <w:rPr>
                <w:bCs/>
                <w:sz w:val="24"/>
                <w:szCs w:val="24"/>
              </w:rPr>
              <w:t>MeDi</w:t>
            </w:r>
          </w:p>
        </w:tc>
        <w:tc>
          <w:tcPr>
            <w:tcW w:w="676" w:type="pct"/>
          </w:tcPr>
          <w:p w14:paraId="7114516B" w14:textId="77777777" w:rsidR="007F020F" w:rsidRPr="0000343B" w:rsidRDefault="007F020F" w:rsidP="0000343B">
            <w:r w:rsidRPr="0000343B">
              <w:t>36 meses</w:t>
            </w:r>
          </w:p>
          <w:p w14:paraId="338466DD" w14:textId="77777777" w:rsidR="007F020F" w:rsidRPr="0000343B" w:rsidRDefault="007F020F" w:rsidP="0000343B">
            <w:r w:rsidRPr="0000343B">
              <w:t>(AIBL)</w:t>
            </w:r>
          </w:p>
        </w:tc>
      </w:tr>
      <w:tr w:rsidR="007F020F" w:rsidRPr="0000343B" w14:paraId="2D692DBF" w14:textId="77777777" w:rsidTr="0075084F">
        <w:tc>
          <w:tcPr>
            <w:tcW w:w="832" w:type="pct"/>
          </w:tcPr>
          <w:p w14:paraId="195850FD" w14:textId="77777777" w:rsidR="007F020F" w:rsidRPr="0000343B" w:rsidRDefault="007F020F" w:rsidP="0000343B">
            <w:r w:rsidRPr="0000343B">
              <w:t>STAUBO et. al., 2017</w:t>
            </w:r>
          </w:p>
        </w:tc>
        <w:tc>
          <w:tcPr>
            <w:tcW w:w="545" w:type="pct"/>
          </w:tcPr>
          <w:p w14:paraId="6C27C8F5" w14:textId="77777777" w:rsidR="007F020F" w:rsidRPr="0000343B" w:rsidRDefault="007F020F" w:rsidP="0000343B">
            <w:r w:rsidRPr="0000343B">
              <w:t>Estados Unidos</w:t>
            </w:r>
          </w:p>
        </w:tc>
        <w:tc>
          <w:tcPr>
            <w:tcW w:w="421" w:type="pct"/>
          </w:tcPr>
          <w:p w14:paraId="4D55510B" w14:textId="77777777" w:rsidR="007F020F" w:rsidRPr="0000343B" w:rsidRDefault="007F020F" w:rsidP="0000343B">
            <w:r w:rsidRPr="0000343B">
              <w:t>672</w:t>
            </w:r>
          </w:p>
        </w:tc>
        <w:tc>
          <w:tcPr>
            <w:tcW w:w="614" w:type="pct"/>
          </w:tcPr>
          <w:p w14:paraId="5D12FE84" w14:textId="77777777" w:rsidR="007F020F" w:rsidRPr="0000343B" w:rsidRDefault="007F020F" w:rsidP="0000343B">
            <w:r w:rsidRPr="0000343B">
              <w:t>Masculino e Feminino</w:t>
            </w:r>
          </w:p>
        </w:tc>
        <w:tc>
          <w:tcPr>
            <w:tcW w:w="549" w:type="pct"/>
          </w:tcPr>
          <w:p w14:paraId="3CBB00E5" w14:textId="77777777" w:rsidR="007F020F" w:rsidRPr="0000343B" w:rsidRDefault="007F020F" w:rsidP="0000343B">
            <w:r w:rsidRPr="0000343B">
              <w:t>70-89 anos</w:t>
            </w:r>
          </w:p>
        </w:tc>
        <w:tc>
          <w:tcPr>
            <w:tcW w:w="801" w:type="pct"/>
          </w:tcPr>
          <w:p w14:paraId="6D1E1D17" w14:textId="77777777" w:rsidR="007F020F" w:rsidRPr="0000343B" w:rsidRDefault="007F020F" w:rsidP="0000343B">
            <w:r w:rsidRPr="0000343B">
              <w:t>Transversal</w:t>
            </w:r>
          </w:p>
        </w:tc>
        <w:tc>
          <w:tcPr>
            <w:tcW w:w="562" w:type="pct"/>
          </w:tcPr>
          <w:p w14:paraId="374EFBA2" w14:textId="52AD2CB7" w:rsidR="007F020F" w:rsidRPr="0000343B" w:rsidRDefault="00785AB2" w:rsidP="0000343B">
            <w:r>
              <w:rPr>
                <w:bCs/>
                <w:sz w:val="24"/>
                <w:szCs w:val="24"/>
              </w:rPr>
              <w:t>MeDi</w:t>
            </w:r>
          </w:p>
        </w:tc>
        <w:tc>
          <w:tcPr>
            <w:tcW w:w="676" w:type="pct"/>
          </w:tcPr>
          <w:p w14:paraId="6C184E7D" w14:textId="289C0E09" w:rsidR="007F020F" w:rsidRPr="0000343B" w:rsidRDefault="00040F9C" w:rsidP="0000343B">
            <w:r>
              <w:t>-</w:t>
            </w:r>
          </w:p>
          <w:p w14:paraId="7B880D0A" w14:textId="77777777" w:rsidR="007F020F" w:rsidRPr="0000343B" w:rsidRDefault="007F020F" w:rsidP="0000343B">
            <w:r w:rsidRPr="0000343B">
              <w:t>(MCSA)</w:t>
            </w:r>
          </w:p>
        </w:tc>
      </w:tr>
      <w:tr w:rsidR="007F020F" w:rsidRPr="0000343B" w14:paraId="5F5B8C0F" w14:textId="77777777" w:rsidTr="0075084F">
        <w:tc>
          <w:tcPr>
            <w:tcW w:w="832" w:type="pct"/>
          </w:tcPr>
          <w:p w14:paraId="370CCEA1" w14:textId="77777777" w:rsidR="007F020F" w:rsidRPr="0000343B" w:rsidRDefault="007F020F" w:rsidP="0000343B">
            <w:r w:rsidRPr="0000343B">
              <w:t>VASSILAKI et. al., 2018</w:t>
            </w:r>
          </w:p>
        </w:tc>
        <w:tc>
          <w:tcPr>
            <w:tcW w:w="545" w:type="pct"/>
          </w:tcPr>
          <w:p w14:paraId="015FD2F4" w14:textId="77777777" w:rsidR="007F020F" w:rsidRPr="0000343B" w:rsidRDefault="007F020F" w:rsidP="0000343B">
            <w:r w:rsidRPr="0000343B">
              <w:t>Estados Unidos</w:t>
            </w:r>
          </w:p>
        </w:tc>
        <w:tc>
          <w:tcPr>
            <w:tcW w:w="421" w:type="pct"/>
          </w:tcPr>
          <w:p w14:paraId="542C93A9" w14:textId="77777777" w:rsidR="007F020F" w:rsidRPr="0000343B" w:rsidRDefault="007F020F" w:rsidP="0000343B">
            <w:r w:rsidRPr="0000343B">
              <w:t>278</w:t>
            </w:r>
          </w:p>
        </w:tc>
        <w:tc>
          <w:tcPr>
            <w:tcW w:w="614" w:type="pct"/>
          </w:tcPr>
          <w:p w14:paraId="4D299D00" w14:textId="77777777" w:rsidR="007F020F" w:rsidRPr="0000343B" w:rsidRDefault="007F020F" w:rsidP="0000343B">
            <w:r w:rsidRPr="0000343B">
              <w:t>Masculino e Feminino</w:t>
            </w:r>
          </w:p>
        </w:tc>
        <w:tc>
          <w:tcPr>
            <w:tcW w:w="549" w:type="pct"/>
          </w:tcPr>
          <w:p w14:paraId="5078EFCD" w14:textId="77777777" w:rsidR="007F020F" w:rsidRPr="0000343B" w:rsidRDefault="007F020F" w:rsidP="0000343B">
            <w:r w:rsidRPr="0000343B">
              <w:t>&gt; 70 anos</w:t>
            </w:r>
          </w:p>
        </w:tc>
        <w:tc>
          <w:tcPr>
            <w:tcW w:w="801" w:type="pct"/>
          </w:tcPr>
          <w:p w14:paraId="4A946D67" w14:textId="77777777" w:rsidR="007F020F" w:rsidRPr="0000343B" w:rsidRDefault="007F020F" w:rsidP="0000343B">
            <w:r w:rsidRPr="0000343B">
              <w:t>Transversal</w:t>
            </w:r>
          </w:p>
        </w:tc>
        <w:tc>
          <w:tcPr>
            <w:tcW w:w="562" w:type="pct"/>
          </w:tcPr>
          <w:p w14:paraId="3B35F1C5" w14:textId="0AEE1153" w:rsidR="007F020F" w:rsidRPr="0000343B" w:rsidRDefault="00785AB2" w:rsidP="0000343B">
            <w:r>
              <w:rPr>
                <w:bCs/>
                <w:sz w:val="24"/>
                <w:szCs w:val="24"/>
              </w:rPr>
              <w:t>MeDi</w:t>
            </w:r>
          </w:p>
        </w:tc>
        <w:tc>
          <w:tcPr>
            <w:tcW w:w="676" w:type="pct"/>
          </w:tcPr>
          <w:p w14:paraId="1F88D4E1" w14:textId="77777777" w:rsidR="007F020F" w:rsidRPr="0000343B" w:rsidRDefault="007F020F" w:rsidP="0000343B">
            <w:r w:rsidRPr="0000343B">
              <w:t>3,5 anos (MCSA)</w:t>
            </w:r>
          </w:p>
        </w:tc>
      </w:tr>
      <w:tr w:rsidR="007F020F" w:rsidRPr="0000343B" w14:paraId="64FAAD6F" w14:textId="77777777" w:rsidTr="0075084F">
        <w:tc>
          <w:tcPr>
            <w:tcW w:w="832" w:type="pct"/>
          </w:tcPr>
          <w:p w14:paraId="561910DC" w14:textId="77777777" w:rsidR="007F020F" w:rsidRPr="0000343B" w:rsidRDefault="007F020F" w:rsidP="0000343B">
            <w:r w:rsidRPr="0000343B">
              <w:t>WALTERS et. al., 2018</w:t>
            </w:r>
          </w:p>
        </w:tc>
        <w:tc>
          <w:tcPr>
            <w:tcW w:w="545" w:type="pct"/>
          </w:tcPr>
          <w:p w14:paraId="1AA8B9F7" w14:textId="77777777" w:rsidR="007F020F" w:rsidRPr="0000343B" w:rsidRDefault="007F020F" w:rsidP="0000343B">
            <w:r w:rsidRPr="0000343B">
              <w:t>Estados Unidos</w:t>
            </w:r>
          </w:p>
        </w:tc>
        <w:tc>
          <w:tcPr>
            <w:tcW w:w="421" w:type="pct"/>
          </w:tcPr>
          <w:p w14:paraId="55F2FDBD" w14:textId="77777777" w:rsidR="007F020F" w:rsidRPr="0000343B" w:rsidRDefault="007F020F" w:rsidP="0000343B">
            <w:r w:rsidRPr="0000343B">
              <w:t>70</w:t>
            </w:r>
          </w:p>
        </w:tc>
        <w:tc>
          <w:tcPr>
            <w:tcW w:w="614" w:type="pct"/>
          </w:tcPr>
          <w:p w14:paraId="65FD20A9" w14:textId="77777777" w:rsidR="007F020F" w:rsidRPr="0000343B" w:rsidRDefault="007F020F" w:rsidP="0000343B">
            <w:r w:rsidRPr="0000343B">
              <w:t>Masculino e Feminino</w:t>
            </w:r>
          </w:p>
        </w:tc>
        <w:tc>
          <w:tcPr>
            <w:tcW w:w="549" w:type="pct"/>
          </w:tcPr>
          <w:p w14:paraId="3ADAEDE7" w14:textId="77777777" w:rsidR="007F020F" w:rsidRPr="0000343B" w:rsidRDefault="007F020F" w:rsidP="0000343B">
            <w:r w:rsidRPr="0000343B">
              <w:t>30-60</w:t>
            </w:r>
          </w:p>
        </w:tc>
        <w:tc>
          <w:tcPr>
            <w:tcW w:w="801" w:type="pct"/>
          </w:tcPr>
          <w:p w14:paraId="7BE59014" w14:textId="77777777" w:rsidR="007F020F" w:rsidRPr="0000343B" w:rsidRDefault="007F020F" w:rsidP="0000343B">
            <w:r w:rsidRPr="0000343B">
              <w:t>Longitudinal</w:t>
            </w:r>
          </w:p>
        </w:tc>
        <w:tc>
          <w:tcPr>
            <w:tcW w:w="562" w:type="pct"/>
          </w:tcPr>
          <w:p w14:paraId="30D55550" w14:textId="381B9DB1" w:rsidR="007F020F" w:rsidRPr="0000343B" w:rsidRDefault="00785AB2" w:rsidP="0000343B">
            <w:r>
              <w:rPr>
                <w:bCs/>
                <w:sz w:val="24"/>
                <w:szCs w:val="24"/>
              </w:rPr>
              <w:t>MeDi</w:t>
            </w:r>
          </w:p>
        </w:tc>
        <w:tc>
          <w:tcPr>
            <w:tcW w:w="676" w:type="pct"/>
          </w:tcPr>
          <w:p w14:paraId="0336B642" w14:textId="77777777" w:rsidR="007F020F" w:rsidRPr="0000343B" w:rsidRDefault="007F020F" w:rsidP="0000343B">
            <w:r w:rsidRPr="0000343B">
              <w:t>2 – 3,5 anos</w:t>
            </w:r>
          </w:p>
        </w:tc>
      </w:tr>
    </w:tbl>
    <w:p w14:paraId="7FDC62A6" w14:textId="77777777" w:rsidR="007F020F" w:rsidRPr="00D5697D" w:rsidRDefault="007F020F" w:rsidP="00D5697D">
      <w:pPr>
        <w:spacing w:line="480" w:lineRule="auto"/>
        <w:rPr>
          <w:sz w:val="24"/>
          <w:szCs w:val="24"/>
        </w:rPr>
      </w:pPr>
    </w:p>
    <w:p w14:paraId="3B18A70B" w14:textId="4FE9C01C" w:rsidR="007F020F" w:rsidRPr="00D5697D" w:rsidRDefault="007F020F" w:rsidP="00D5697D">
      <w:pPr>
        <w:spacing w:line="480" w:lineRule="auto"/>
        <w:rPr>
          <w:sz w:val="24"/>
          <w:szCs w:val="24"/>
        </w:rPr>
        <w:sectPr w:rsidR="007F020F" w:rsidRPr="00D5697D" w:rsidSect="00EB5A44">
          <w:footerReference w:type="default" r:id="rId14"/>
          <w:pgSz w:w="11906" w:h="16838"/>
          <w:pgMar w:top="1417" w:right="1701" w:bottom="1417" w:left="1701" w:header="708" w:footer="708" w:gutter="0"/>
          <w:cols w:space="708"/>
          <w:docGrid w:linePitch="360"/>
        </w:sectPr>
      </w:pPr>
    </w:p>
    <w:p w14:paraId="395CF4BC" w14:textId="78B40ADD" w:rsidR="00186F32" w:rsidRPr="00D5697D" w:rsidRDefault="00186F32" w:rsidP="00D5697D">
      <w:pPr>
        <w:spacing w:line="480" w:lineRule="auto"/>
        <w:rPr>
          <w:sz w:val="24"/>
          <w:szCs w:val="24"/>
        </w:rPr>
      </w:pPr>
      <w:r w:rsidRPr="00D5697D">
        <w:rPr>
          <w:b/>
          <w:bCs/>
          <w:sz w:val="24"/>
          <w:szCs w:val="24"/>
        </w:rPr>
        <w:lastRenderedPageBreak/>
        <w:t>Quadro 2.</w:t>
      </w:r>
      <w:r w:rsidRPr="00D5697D">
        <w:rPr>
          <w:sz w:val="24"/>
          <w:szCs w:val="24"/>
        </w:rPr>
        <w:t xml:space="preserve"> Análise dos efeitos da dieta mediterrânea no controle da doença de Alzheimer</w:t>
      </w:r>
    </w:p>
    <w:tbl>
      <w:tblPr>
        <w:tblStyle w:val="Tabelacomgrade"/>
        <w:tblW w:w="5000" w:type="pct"/>
        <w:tblLook w:val="04A0" w:firstRow="1" w:lastRow="0" w:firstColumn="1" w:lastColumn="0" w:noHBand="0" w:noVBand="1"/>
      </w:tblPr>
      <w:tblGrid>
        <w:gridCol w:w="1635"/>
        <w:gridCol w:w="5271"/>
        <w:gridCol w:w="7086"/>
      </w:tblGrid>
      <w:tr w:rsidR="00186F32" w:rsidRPr="0000343B" w14:paraId="5C1FD7BA" w14:textId="77777777" w:rsidTr="00EB5A44">
        <w:trPr>
          <w:trHeight w:val="552"/>
        </w:trPr>
        <w:tc>
          <w:tcPr>
            <w:tcW w:w="584" w:type="pct"/>
            <w:vMerge w:val="restart"/>
          </w:tcPr>
          <w:p w14:paraId="3B20984B" w14:textId="77777777" w:rsidR="00186F32" w:rsidRPr="0000343B" w:rsidRDefault="00186F32" w:rsidP="0000343B">
            <w:pPr>
              <w:rPr>
                <w:b/>
              </w:rPr>
            </w:pPr>
            <w:r w:rsidRPr="0000343B">
              <w:rPr>
                <w:b/>
              </w:rPr>
              <w:t>Autor principal (ano)</w:t>
            </w:r>
          </w:p>
        </w:tc>
        <w:tc>
          <w:tcPr>
            <w:tcW w:w="1884" w:type="pct"/>
            <w:vMerge w:val="restart"/>
          </w:tcPr>
          <w:p w14:paraId="5B14D2D3" w14:textId="77777777" w:rsidR="00186F32" w:rsidRPr="0000343B" w:rsidRDefault="00186F32" w:rsidP="0000343B">
            <w:pPr>
              <w:rPr>
                <w:b/>
              </w:rPr>
            </w:pPr>
            <w:r w:rsidRPr="0000343B">
              <w:rPr>
                <w:b/>
              </w:rPr>
              <w:t>Objetivo</w:t>
            </w:r>
          </w:p>
        </w:tc>
        <w:tc>
          <w:tcPr>
            <w:tcW w:w="2532" w:type="pct"/>
            <w:vMerge w:val="restart"/>
          </w:tcPr>
          <w:p w14:paraId="408C2979" w14:textId="77777777" w:rsidR="00186F32" w:rsidRPr="0000343B" w:rsidRDefault="00186F32" w:rsidP="0000343B">
            <w:pPr>
              <w:rPr>
                <w:b/>
              </w:rPr>
            </w:pPr>
            <w:r w:rsidRPr="0000343B">
              <w:rPr>
                <w:b/>
              </w:rPr>
              <w:t>Principais resultados ou resultados observados</w:t>
            </w:r>
          </w:p>
        </w:tc>
      </w:tr>
      <w:tr w:rsidR="00186F32" w:rsidRPr="0000343B" w14:paraId="33F8C2E0" w14:textId="77777777" w:rsidTr="00EB5A44">
        <w:trPr>
          <w:trHeight w:val="552"/>
        </w:trPr>
        <w:tc>
          <w:tcPr>
            <w:tcW w:w="584" w:type="pct"/>
            <w:vMerge/>
          </w:tcPr>
          <w:p w14:paraId="48BE9C46" w14:textId="77777777" w:rsidR="00186F32" w:rsidRPr="0000343B" w:rsidRDefault="00186F32" w:rsidP="0000343B"/>
        </w:tc>
        <w:tc>
          <w:tcPr>
            <w:tcW w:w="1884" w:type="pct"/>
            <w:vMerge/>
          </w:tcPr>
          <w:p w14:paraId="1AC6A730" w14:textId="77777777" w:rsidR="00186F32" w:rsidRPr="0000343B" w:rsidRDefault="00186F32" w:rsidP="0000343B"/>
        </w:tc>
        <w:tc>
          <w:tcPr>
            <w:tcW w:w="2532" w:type="pct"/>
            <w:vMerge/>
          </w:tcPr>
          <w:p w14:paraId="60D70572" w14:textId="77777777" w:rsidR="00186F32" w:rsidRPr="0000343B" w:rsidRDefault="00186F32" w:rsidP="0000343B"/>
        </w:tc>
      </w:tr>
      <w:tr w:rsidR="00186F32" w:rsidRPr="0000343B" w14:paraId="5355890A" w14:textId="77777777" w:rsidTr="00EB5A44">
        <w:tc>
          <w:tcPr>
            <w:tcW w:w="584" w:type="pct"/>
          </w:tcPr>
          <w:p w14:paraId="1332F716" w14:textId="77777777" w:rsidR="00186F32" w:rsidRPr="0000343B" w:rsidRDefault="00186F32" w:rsidP="0000343B">
            <w:r w:rsidRPr="0000343B">
              <w:t>BERTI et. al., 2018</w:t>
            </w:r>
          </w:p>
          <w:p w14:paraId="253DBBF8" w14:textId="77777777" w:rsidR="00186F32" w:rsidRPr="0000343B" w:rsidRDefault="00186F32" w:rsidP="0000343B"/>
        </w:tc>
        <w:tc>
          <w:tcPr>
            <w:tcW w:w="1884" w:type="pct"/>
          </w:tcPr>
          <w:p w14:paraId="1452C10E" w14:textId="16EF89AD" w:rsidR="00186F32" w:rsidRPr="0000343B" w:rsidRDefault="00186F32" w:rsidP="0000343B">
            <w:r w:rsidRPr="0000343B">
              <w:t xml:space="preserve">Examinar, através de exames de imagem cerebral, os efeitos da maior e da menor adesão à </w:t>
            </w:r>
            <w:r w:rsidR="00785AB2">
              <w:rPr>
                <w:bCs/>
                <w:sz w:val="24"/>
                <w:szCs w:val="24"/>
              </w:rPr>
              <w:t>MeDi</w:t>
            </w:r>
            <w:r w:rsidRPr="0000343B">
              <w:t xml:space="preserve"> sobre as alterações de biomarcadores da DA em indivíduos saudáveis, na meia-idade.</w:t>
            </w:r>
          </w:p>
        </w:tc>
        <w:tc>
          <w:tcPr>
            <w:tcW w:w="2532" w:type="pct"/>
          </w:tcPr>
          <w:p w14:paraId="664D9AC7" w14:textId="6276EFEC" w:rsidR="00186F32" w:rsidRPr="0000343B" w:rsidRDefault="00186F32" w:rsidP="0000343B">
            <w:r w:rsidRPr="0000343B">
              <w:t xml:space="preserve">- Em comparação com o grupo com maior adesão à </w:t>
            </w:r>
            <w:r w:rsidR="00785AB2">
              <w:rPr>
                <w:bCs/>
                <w:sz w:val="24"/>
                <w:szCs w:val="24"/>
              </w:rPr>
              <w:t>MeDi</w:t>
            </w:r>
            <w:r w:rsidRPr="0000343B">
              <w:t xml:space="preserve">, o grupo com menor adesão apresentou metabolismo de glicose reduzido e maior deposição de </w:t>
            </w:r>
            <w:r w:rsidR="00C4201F" w:rsidRPr="00D5697D">
              <w:rPr>
                <w:bCs/>
                <w:sz w:val="24"/>
                <w:szCs w:val="24"/>
                <w:shd w:val="clear" w:color="auto" w:fill="FFFFFF"/>
              </w:rPr>
              <w:t>Aβ</w:t>
            </w:r>
            <w:r w:rsidR="00C4201F" w:rsidRPr="0000343B">
              <w:t xml:space="preserve"> </w:t>
            </w:r>
            <w:r w:rsidRPr="0000343B">
              <w:t>em regiões afetadas pela DA (p &lt;0,001).</w:t>
            </w:r>
          </w:p>
          <w:p w14:paraId="4A37A22E" w14:textId="6385DD45" w:rsidR="00186F32" w:rsidRPr="0000343B" w:rsidRDefault="00186F32" w:rsidP="0000343B">
            <w:r w:rsidRPr="0000343B">
              <w:t>- Nenhum efeito estrutural foi observado na ressonância magnética.</w:t>
            </w:r>
          </w:p>
        </w:tc>
      </w:tr>
      <w:tr w:rsidR="00186F32" w:rsidRPr="0000343B" w14:paraId="5C5192DB" w14:textId="77777777" w:rsidTr="00EB5A44">
        <w:tc>
          <w:tcPr>
            <w:tcW w:w="584" w:type="pct"/>
          </w:tcPr>
          <w:p w14:paraId="5CECCD36" w14:textId="77777777" w:rsidR="00186F32" w:rsidRPr="0000343B" w:rsidRDefault="00186F32" w:rsidP="0000343B">
            <w:r w:rsidRPr="0000343B">
              <w:t>NAGPAL et. al, 2019</w:t>
            </w:r>
          </w:p>
        </w:tc>
        <w:tc>
          <w:tcPr>
            <w:tcW w:w="1884" w:type="pct"/>
          </w:tcPr>
          <w:p w14:paraId="787DDD05" w14:textId="77777777" w:rsidR="00186F32" w:rsidRPr="0000343B" w:rsidRDefault="00186F32" w:rsidP="0000343B">
            <w:r w:rsidRPr="0000343B">
              <w:t xml:space="preserve">Examinar como o microbioma intestinal difere entre idosos com comprometimento cognitivo leve e cognitivamente normais; e como a MMKD altera a assinatura do microbioma intestinal e se associa com biomarcadores de DA do LCR. </w:t>
            </w:r>
          </w:p>
        </w:tc>
        <w:tc>
          <w:tcPr>
            <w:tcW w:w="2532" w:type="pct"/>
          </w:tcPr>
          <w:p w14:paraId="37D15642" w14:textId="77777777" w:rsidR="00186F32" w:rsidRPr="0000343B" w:rsidRDefault="00186F32" w:rsidP="0000343B">
            <w:r w:rsidRPr="0000343B">
              <w:t>- O microbioma intestinal pode indicar comprometimento cognitivo leve;</w:t>
            </w:r>
          </w:p>
          <w:p w14:paraId="74E6FBAA" w14:textId="77777777" w:rsidR="00186F32" w:rsidRPr="0000343B" w:rsidRDefault="00186F32" w:rsidP="0000343B">
            <w:r w:rsidRPr="0000343B">
              <w:t>- A MMKD pode modular o microbioma intestinal e metabólitos, o que se associa a melhora dos biomarcadores de DA no LCR.</w:t>
            </w:r>
          </w:p>
        </w:tc>
      </w:tr>
      <w:tr w:rsidR="00186F32" w:rsidRPr="0000343B" w14:paraId="287FBA3A" w14:textId="77777777" w:rsidTr="00EB5A44">
        <w:tc>
          <w:tcPr>
            <w:tcW w:w="584" w:type="pct"/>
          </w:tcPr>
          <w:p w14:paraId="6615CE46" w14:textId="77777777" w:rsidR="00186F32" w:rsidRPr="0000343B" w:rsidRDefault="00186F32" w:rsidP="0000343B">
            <w:r w:rsidRPr="0000343B">
              <w:t>ANASTASIOU et. al, 2018</w:t>
            </w:r>
          </w:p>
          <w:p w14:paraId="6D974C96" w14:textId="77777777" w:rsidR="00186F32" w:rsidRPr="0000343B" w:rsidRDefault="00186F32" w:rsidP="0000343B"/>
        </w:tc>
        <w:tc>
          <w:tcPr>
            <w:tcW w:w="1884" w:type="pct"/>
          </w:tcPr>
          <w:p w14:paraId="2D19448D" w14:textId="71EFD440" w:rsidR="00186F32" w:rsidRPr="0000343B" w:rsidRDefault="00186F32" w:rsidP="0000343B">
            <w:r w:rsidRPr="0000343B">
              <w:t>Avaliar a influência combinada de fatores que foram incorporados recentemente ao padrão de estilo de vida mediterrâneo (dieta, atividade física, sono, atividades da vida diária) no desempenho cognitivo de adultos mais velhos participantes do estudo HELIAD.</w:t>
            </w:r>
          </w:p>
        </w:tc>
        <w:tc>
          <w:tcPr>
            <w:tcW w:w="2532" w:type="pct"/>
          </w:tcPr>
          <w:p w14:paraId="01DC4287" w14:textId="77777777" w:rsidR="00186F32" w:rsidRPr="0000343B" w:rsidRDefault="00186F32" w:rsidP="0000343B">
            <w:r w:rsidRPr="0000343B">
              <w:t>- Um TLI elevado associou-se à redução de 65% do risco de MCI e de 43% do risco de baixa cognição global em indivíduos sem demência.</w:t>
            </w:r>
          </w:p>
          <w:p w14:paraId="79F0DDF3" w14:textId="77777777" w:rsidR="00186F32" w:rsidRPr="0000343B" w:rsidRDefault="00186F32" w:rsidP="0000343B">
            <w:r w:rsidRPr="0000343B">
              <w:t>- Cada fator de estilo de vida foi associado com a performance cognitiva, embora menos do que o TLI.</w:t>
            </w:r>
          </w:p>
        </w:tc>
      </w:tr>
      <w:tr w:rsidR="00186F32" w:rsidRPr="0000343B" w14:paraId="3C46F95B" w14:textId="77777777" w:rsidTr="00EB5A44">
        <w:tc>
          <w:tcPr>
            <w:tcW w:w="584" w:type="pct"/>
          </w:tcPr>
          <w:p w14:paraId="091F49E5" w14:textId="77777777" w:rsidR="00186F32" w:rsidRPr="0000343B" w:rsidRDefault="00186F32" w:rsidP="0000343B">
            <w:r w:rsidRPr="0000343B">
              <w:t>TAYLOR; MAHNKEN; SULLIVAN, 2020</w:t>
            </w:r>
          </w:p>
        </w:tc>
        <w:tc>
          <w:tcPr>
            <w:tcW w:w="1884" w:type="pct"/>
          </w:tcPr>
          <w:p w14:paraId="1BFA7E95" w14:textId="681C702C" w:rsidR="00186F32" w:rsidRPr="0000343B" w:rsidRDefault="00186F32" w:rsidP="0000343B">
            <w:r w:rsidRPr="0000343B">
              <w:t xml:space="preserve">Relatar a adesão estimada à </w:t>
            </w:r>
            <w:r w:rsidR="00785AB2" w:rsidRPr="0000343B">
              <w:t>M</w:t>
            </w:r>
            <w:r w:rsidR="00785AB2">
              <w:t>e</w:t>
            </w:r>
            <w:r w:rsidR="00785AB2" w:rsidRPr="0000343B">
              <w:t>D</w:t>
            </w:r>
            <w:r w:rsidR="00785AB2">
              <w:t>i</w:t>
            </w:r>
            <w:r w:rsidRPr="0000343B">
              <w:t xml:space="preserve"> na população de adultos mais velhos dos EUA e, secundariamente, avaliar a relação entre a adesão à </w:t>
            </w:r>
            <w:r w:rsidR="00785AB2" w:rsidRPr="0000343B">
              <w:t>M</w:t>
            </w:r>
            <w:r w:rsidR="00785AB2">
              <w:t>e</w:t>
            </w:r>
            <w:r w:rsidR="00785AB2" w:rsidRPr="0000343B">
              <w:t>D</w:t>
            </w:r>
            <w:r w:rsidR="00785AB2">
              <w:t>i</w:t>
            </w:r>
            <w:r w:rsidRPr="0000343B">
              <w:t xml:space="preserve"> e o desempenho cognitivo desses, usando dados combinados da NHANES de 2011–2012 e 2013–2014.</w:t>
            </w:r>
          </w:p>
        </w:tc>
        <w:tc>
          <w:tcPr>
            <w:tcW w:w="2532" w:type="pct"/>
          </w:tcPr>
          <w:p w14:paraId="11CCC1EB" w14:textId="44D3F5EE" w:rsidR="00186F32" w:rsidRPr="0000343B" w:rsidRDefault="00186F32" w:rsidP="0000343B">
            <w:r w:rsidRPr="0000343B">
              <w:t xml:space="preserve">- Comparado ao tercil mais baixo de adesão à </w:t>
            </w:r>
            <w:r w:rsidR="00785AB2">
              <w:rPr>
                <w:bCs/>
                <w:sz w:val="24"/>
                <w:szCs w:val="24"/>
              </w:rPr>
              <w:t>MeDi</w:t>
            </w:r>
            <w:r w:rsidRPr="0000343B">
              <w:t xml:space="preserve">, o tercil mais alto apresentou menor risco de baixo nível cognitivo em três das cinco medidas cognitivas avaliadas (p &lt;0,05 cada). </w:t>
            </w:r>
          </w:p>
          <w:p w14:paraId="77380C90" w14:textId="7E244918" w:rsidR="00186F32" w:rsidRPr="0000343B" w:rsidRDefault="00186F32" w:rsidP="0000343B">
            <w:r w:rsidRPr="0000343B">
              <w:t xml:space="preserve">- A </w:t>
            </w:r>
            <w:r w:rsidR="00785AB2">
              <w:rPr>
                <w:bCs/>
                <w:sz w:val="24"/>
                <w:szCs w:val="24"/>
              </w:rPr>
              <w:t>MeDi</w:t>
            </w:r>
            <w:r w:rsidRPr="0000343B">
              <w:t xml:space="preserve"> é diferente da dieta usual de adultos mais velhos nos EUA e é um possível fator de proteção de DA.</w:t>
            </w:r>
          </w:p>
        </w:tc>
      </w:tr>
      <w:tr w:rsidR="00186F32" w:rsidRPr="0000343B" w14:paraId="38B9270A" w14:textId="77777777" w:rsidTr="00EB5A44">
        <w:tc>
          <w:tcPr>
            <w:tcW w:w="584" w:type="pct"/>
          </w:tcPr>
          <w:p w14:paraId="289FE32E" w14:textId="77777777" w:rsidR="00186F32" w:rsidRPr="0000343B" w:rsidRDefault="00186F32" w:rsidP="0000343B">
            <w:r w:rsidRPr="0000343B">
              <w:t>KNIGHT, et. al, 2016</w:t>
            </w:r>
          </w:p>
        </w:tc>
        <w:tc>
          <w:tcPr>
            <w:tcW w:w="1884" w:type="pct"/>
          </w:tcPr>
          <w:p w14:paraId="394774A1" w14:textId="12ECD3C4" w:rsidR="00186F32" w:rsidRPr="0000343B" w:rsidRDefault="00186F32" w:rsidP="0000343B">
            <w:r w:rsidRPr="0000343B">
              <w:t xml:space="preserve">Examinar o efeito da </w:t>
            </w:r>
            <w:r w:rsidR="00785AB2">
              <w:rPr>
                <w:bCs/>
                <w:sz w:val="24"/>
                <w:szCs w:val="24"/>
              </w:rPr>
              <w:t>MeDi</w:t>
            </w:r>
            <w:r w:rsidRPr="0000343B">
              <w:t>, por seis meses, em aspectos da função cognitiva de uma população idosa saudável e não mediterrânea.</w:t>
            </w:r>
          </w:p>
        </w:tc>
        <w:tc>
          <w:tcPr>
            <w:tcW w:w="2532" w:type="pct"/>
          </w:tcPr>
          <w:p w14:paraId="006834AB" w14:textId="2FFC1192" w:rsidR="00186F32" w:rsidRPr="0000343B" w:rsidRDefault="00186F32" w:rsidP="0000343B">
            <w:r w:rsidRPr="0000343B">
              <w:t xml:space="preserve">Não houve diferenças médias significativas entre os grupos </w:t>
            </w:r>
            <w:r w:rsidR="00785AB2">
              <w:rPr>
                <w:bCs/>
                <w:sz w:val="24"/>
                <w:szCs w:val="24"/>
              </w:rPr>
              <w:t>MeDi</w:t>
            </w:r>
            <w:r w:rsidRPr="0000343B">
              <w:t xml:space="preserve"> e controle em relação aos resultados cognitivos: funcionamento executivo (p=0,33); velocidade de processamento (p=0,15); memória (p=0,50); capacidade visual-espacial (p=0,48); e desempenho cognitivo geral relacionado à idade (p=0,19).</w:t>
            </w:r>
          </w:p>
        </w:tc>
      </w:tr>
      <w:tr w:rsidR="00186F32" w:rsidRPr="0000343B" w14:paraId="2DA6CFC9" w14:textId="77777777" w:rsidTr="00EB5A44">
        <w:tc>
          <w:tcPr>
            <w:tcW w:w="584" w:type="pct"/>
          </w:tcPr>
          <w:p w14:paraId="5D8B50A8" w14:textId="77777777" w:rsidR="00186F32" w:rsidRPr="0000343B" w:rsidRDefault="00186F32" w:rsidP="0000343B">
            <w:r w:rsidRPr="0000343B">
              <w:lastRenderedPageBreak/>
              <w:t>HILL et. al., 2018</w:t>
            </w:r>
          </w:p>
        </w:tc>
        <w:tc>
          <w:tcPr>
            <w:tcW w:w="1884" w:type="pct"/>
          </w:tcPr>
          <w:p w14:paraId="5852B0C9" w14:textId="595DE12F" w:rsidR="00186F32" w:rsidRPr="0000343B" w:rsidRDefault="00186F32" w:rsidP="0000343B">
            <w:r w:rsidRPr="0000343B">
              <w:t xml:space="preserve">Identificar padrões dietéticos e investigar suas associações com a deposição de </w:t>
            </w:r>
            <w:r w:rsidR="00C4201F">
              <w:t>A</w:t>
            </w:r>
            <w:r w:rsidRPr="0000343B">
              <w:rPr>
                <w:rFonts w:ascii="Symbol" w:hAnsi="Symbol"/>
              </w:rPr>
              <w:t>b</w:t>
            </w:r>
            <w:r w:rsidRPr="0000343B">
              <w:t xml:space="preserve"> no envelhecimento de mulheres australianas saudáveis.</w:t>
            </w:r>
          </w:p>
        </w:tc>
        <w:tc>
          <w:tcPr>
            <w:tcW w:w="2532" w:type="pct"/>
          </w:tcPr>
          <w:p w14:paraId="292CA3C6" w14:textId="217440D6" w:rsidR="00186F32" w:rsidRPr="0000343B" w:rsidRDefault="004B3CF9" w:rsidP="0000343B">
            <w:r w:rsidRPr="0000343B">
              <w:t xml:space="preserve">- </w:t>
            </w:r>
            <w:r w:rsidR="00186F32" w:rsidRPr="0000343B">
              <w:t xml:space="preserve">A adesão à </w:t>
            </w:r>
            <w:r w:rsidR="00186F32" w:rsidRPr="0000343B">
              <w:rPr>
                <w:i/>
                <w:iCs/>
              </w:rPr>
              <w:t>junk food</w:t>
            </w:r>
            <w:r w:rsidR="00186F32" w:rsidRPr="0000343B">
              <w:t xml:space="preserve"> (rica em gordura e açúcar) foi um indicador significativo de deposição de </w:t>
            </w:r>
            <w:r w:rsidR="00C4201F">
              <w:t>A</w:t>
            </w:r>
            <w:r w:rsidR="00C4201F" w:rsidRPr="0000343B">
              <w:rPr>
                <w:rFonts w:ascii="Symbol" w:hAnsi="Symbol"/>
              </w:rPr>
              <w:t>b</w:t>
            </w:r>
            <w:r w:rsidR="00C4201F" w:rsidRPr="0000343B">
              <w:t xml:space="preserve"> </w:t>
            </w:r>
            <w:r w:rsidR="00186F32" w:rsidRPr="0000343B">
              <w:t>(p=0,036)</w:t>
            </w:r>
            <w:r w:rsidRPr="0000343B">
              <w:t>;</w:t>
            </w:r>
          </w:p>
          <w:p w14:paraId="3093B580" w14:textId="171D1A7D" w:rsidR="00186F32" w:rsidRPr="0000343B" w:rsidRDefault="004B3CF9" w:rsidP="0000343B">
            <w:r w:rsidRPr="0000343B">
              <w:t xml:space="preserve">- </w:t>
            </w:r>
            <w:r w:rsidR="00186F32" w:rsidRPr="0000343B">
              <w:t xml:space="preserve">Observou-se deposição de </w:t>
            </w:r>
            <w:r w:rsidR="00C4201F">
              <w:t>A</w:t>
            </w:r>
            <w:r w:rsidR="00C4201F" w:rsidRPr="0000343B">
              <w:rPr>
                <w:rFonts w:ascii="Symbol" w:hAnsi="Symbol"/>
              </w:rPr>
              <w:t>b</w:t>
            </w:r>
            <w:r w:rsidR="00C4201F" w:rsidRPr="0000343B">
              <w:t xml:space="preserve"> </w:t>
            </w:r>
            <w:r w:rsidR="00186F32" w:rsidRPr="0000343B">
              <w:t xml:space="preserve">semelhante entre os outros grupos de dietas (HF, LF e </w:t>
            </w:r>
            <w:r w:rsidR="00785AB2">
              <w:rPr>
                <w:bCs/>
                <w:sz w:val="24"/>
                <w:szCs w:val="24"/>
              </w:rPr>
              <w:t>MeDi</w:t>
            </w:r>
            <w:r w:rsidR="00186F32" w:rsidRPr="0000343B">
              <w:t xml:space="preserve">), no entanto, as mulheres que aderiam à </w:t>
            </w:r>
            <w:r w:rsidR="00785AB2">
              <w:rPr>
                <w:bCs/>
                <w:sz w:val="24"/>
                <w:szCs w:val="24"/>
              </w:rPr>
              <w:t>MeDi</w:t>
            </w:r>
            <w:r w:rsidR="00186F32" w:rsidRPr="0000343B">
              <w:t xml:space="preserve"> exibiram pontuações cognitivas mais altas do que todos os outros grupos dietéticos.</w:t>
            </w:r>
          </w:p>
        </w:tc>
      </w:tr>
      <w:tr w:rsidR="00186F32" w:rsidRPr="0000343B" w14:paraId="3ED29D0D" w14:textId="77777777" w:rsidTr="00EB5A44">
        <w:tc>
          <w:tcPr>
            <w:tcW w:w="584" w:type="pct"/>
          </w:tcPr>
          <w:p w14:paraId="44604EC9" w14:textId="4FCA8901" w:rsidR="00186F32" w:rsidRPr="0000343B" w:rsidRDefault="00186F32" w:rsidP="0000343B">
            <w:r w:rsidRPr="0000343B">
              <w:t>KARSTENS et.al., 2019</w:t>
            </w:r>
          </w:p>
        </w:tc>
        <w:tc>
          <w:tcPr>
            <w:tcW w:w="1884" w:type="pct"/>
          </w:tcPr>
          <w:p w14:paraId="737B3282" w14:textId="3E7E5BFF" w:rsidR="00186F32" w:rsidRPr="0000343B" w:rsidRDefault="00186F32" w:rsidP="0000343B">
            <w:r w:rsidRPr="0000343B">
              <w:t>Examinar diretamente associações transversais</w:t>
            </w:r>
          </w:p>
          <w:p w14:paraId="174629E8" w14:textId="5B6EFBE1" w:rsidR="00186F32" w:rsidRPr="0000343B" w:rsidRDefault="00186F32" w:rsidP="0000343B">
            <w:r w:rsidRPr="0000343B">
              <w:t xml:space="preserve">entre a adesão à </w:t>
            </w:r>
            <w:r w:rsidR="00785AB2">
              <w:rPr>
                <w:bCs/>
                <w:sz w:val="24"/>
                <w:szCs w:val="24"/>
              </w:rPr>
              <w:t>MeDi</w:t>
            </w:r>
            <w:r w:rsidRPr="0000343B">
              <w:t xml:space="preserve"> e os fenótipos cognitivos e de neuroimagem associados com DA e demência vascular (separadamente) em uma coorte de idosos não dementes e não deprimidos.</w:t>
            </w:r>
          </w:p>
        </w:tc>
        <w:tc>
          <w:tcPr>
            <w:tcW w:w="2532" w:type="pct"/>
          </w:tcPr>
          <w:p w14:paraId="25164BE9" w14:textId="229E651C" w:rsidR="00186F32" w:rsidRPr="0000343B" w:rsidRDefault="00186F32" w:rsidP="0000343B">
            <w:r w:rsidRPr="0000343B">
              <w:t xml:space="preserve">- Quando comparado ao grupo de menor adesão à </w:t>
            </w:r>
            <w:r w:rsidR="00785AB2">
              <w:rPr>
                <w:bCs/>
                <w:sz w:val="24"/>
                <w:szCs w:val="24"/>
              </w:rPr>
              <w:t>MeDi</w:t>
            </w:r>
            <w:r w:rsidRPr="0000343B">
              <w:t xml:space="preserve">, o grupo que mais aderiu apresentou melhor desempenho de aprendizado e memória (p=0,01) e </w:t>
            </w:r>
            <w:r w:rsidR="00793823" w:rsidRPr="0000343B">
              <w:t>maiores volumes do giro dentado do hipocampo</w:t>
            </w:r>
            <w:r w:rsidRPr="0000343B">
              <w:t xml:space="preserve"> (p=0,03).</w:t>
            </w:r>
          </w:p>
          <w:p w14:paraId="6E51450B" w14:textId="51579CEE" w:rsidR="00186F32" w:rsidRPr="0000343B" w:rsidRDefault="00186F32" w:rsidP="0000343B">
            <w:r w:rsidRPr="0000343B">
              <w:t xml:space="preserve">- A adesão à </w:t>
            </w:r>
            <w:r w:rsidR="00785AB2">
              <w:rPr>
                <w:bCs/>
                <w:sz w:val="24"/>
                <w:szCs w:val="24"/>
              </w:rPr>
              <w:t>MeDi</w:t>
            </w:r>
            <w:r w:rsidRPr="0000343B">
              <w:t xml:space="preserve"> não foi associada a melhor processamento de informações (p=0,93), funcionamento executivo (p=0,92) ou hiperintensidade de matéria branca (p=0,90).</w:t>
            </w:r>
          </w:p>
        </w:tc>
      </w:tr>
      <w:tr w:rsidR="00186F32" w:rsidRPr="0000343B" w14:paraId="51110924" w14:textId="77777777" w:rsidTr="00EB5A44">
        <w:tc>
          <w:tcPr>
            <w:tcW w:w="584" w:type="pct"/>
          </w:tcPr>
          <w:p w14:paraId="104F517F" w14:textId="2244224B" w:rsidR="00186F32" w:rsidRPr="0000343B" w:rsidRDefault="00186F32" w:rsidP="0000343B">
            <w:r w:rsidRPr="0000343B">
              <w:t>LARSSON; WOLK, 2018</w:t>
            </w:r>
          </w:p>
        </w:tc>
        <w:tc>
          <w:tcPr>
            <w:tcW w:w="1884" w:type="pct"/>
          </w:tcPr>
          <w:p w14:paraId="1B9649B5" w14:textId="7168B9C0" w:rsidR="00186F32" w:rsidRPr="0000343B" w:rsidRDefault="00186F32" w:rsidP="0000343B">
            <w:r w:rsidRPr="0000343B">
              <w:t>Avaliar a associação de fatores de estilo de vida e duração do sono com o risco de demência tardia</w:t>
            </w:r>
          </w:p>
        </w:tc>
        <w:tc>
          <w:tcPr>
            <w:tcW w:w="2532" w:type="pct"/>
          </w:tcPr>
          <w:p w14:paraId="54929963" w14:textId="5F54D0D6" w:rsidR="00186F32" w:rsidRPr="0000343B" w:rsidRDefault="00186F32" w:rsidP="0000343B">
            <w:r w:rsidRPr="0000343B">
              <w:t xml:space="preserve">- As dietas DASH e </w:t>
            </w:r>
            <w:r w:rsidR="00785AB2">
              <w:rPr>
                <w:bCs/>
                <w:sz w:val="24"/>
                <w:szCs w:val="24"/>
              </w:rPr>
              <w:t>MeDi</w:t>
            </w:r>
            <w:r w:rsidRPr="0000343B">
              <w:t xml:space="preserve"> modificadas não foram associadas com risco de demência nessa análise.</w:t>
            </w:r>
          </w:p>
          <w:p w14:paraId="52BA530D" w14:textId="4EFAD92E" w:rsidR="00186F32" w:rsidRPr="0000343B" w:rsidRDefault="00186F32" w:rsidP="0000343B">
            <w:r w:rsidRPr="0000343B">
              <w:t>- O fumo  para os ex-fumantes (HR=1,13 (1,04-1,23))  e para fumantes (1,10 (1,00-1,21)) e o  tempo prolongado de sono (dependendo do tempo de diagnóstico, comparando-se os grupos &gt;9h/noite e 7,1-9h/noite, (HR=1,54 (1,27–1,85)) foram associados com risco aumentado de demência.</w:t>
            </w:r>
          </w:p>
        </w:tc>
      </w:tr>
      <w:tr w:rsidR="00186F32" w:rsidRPr="0000343B" w14:paraId="636530E0" w14:textId="77777777" w:rsidTr="00EB5A44">
        <w:tc>
          <w:tcPr>
            <w:tcW w:w="584" w:type="pct"/>
          </w:tcPr>
          <w:p w14:paraId="54A44AC3" w14:textId="2FAAD438" w:rsidR="00186F32" w:rsidRPr="0000343B" w:rsidRDefault="00186F32" w:rsidP="0000343B">
            <w:r w:rsidRPr="0000343B">
              <w:t>MERRIL et. al., 2016</w:t>
            </w:r>
          </w:p>
        </w:tc>
        <w:tc>
          <w:tcPr>
            <w:tcW w:w="1884" w:type="pct"/>
          </w:tcPr>
          <w:p w14:paraId="7ACF4E01" w14:textId="7D1859B1" w:rsidR="00186F32" w:rsidRPr="0000343B" w:rsidRDefault="00186F32" w:rsidP="0000343B">
            <w:r w:rsidRPr="0000343B">
              <w:t xml:space="preserve">Determinar como IMC, atividade física e dieta se relacionam com a deposição global e regional (regiões cerebrais associadas à DA) de </w:t>
            </w:r>
            <w:r w:rsidR="00C4201F">
              <w:t>A</w:t>
            </w:r>
            <w:r w:rsidR="00C4201F" w:rsidRPr="0000343B">
              <w:rPr>
                <w:rFonts w:ascii="Symbol" w:hAnsi="Symbol"/>
              </w:rPr>
              <w:t>b</w:t>
            </w:r>
            <w:r w:rsidR="00C4201F" w:rsidRPr="0000343B">
              <w:t xml:space="preserve"> </w:t>
            </w:r>
            <w:r w:rsidRPr="0000343B">
              <w:t>e proteína tau, por FDDNP-PET, em adultos e idosos com problemas de memória e não dementes.</w:t>
            </w:r>
          </w:p>
        </w:tc>
        <w:tc>
          <w:tcPr>
            <w:tcW w:w="2532" w:type="pct"/>
          </w:tcPr>
          <w:p w14:paraId="078DDF09" w14:textId="49884562" w:rsidR="00186F32" w:rsidRPr="0000343B" w:rsidRDefault="00186F32" w:rsidP="0000343B">
            <w:r w:rsidRPr="0000343B">
              <w:t xml:space="preserve">- A dieta </w:t>
            </w:r>
            <w:r w:rsidR="00785AB2">
              <w:rPr>
                <w:bCs/>
                <w:sz w:val="24"/>
                <w:szCs w:val="24"/>
              </w:rPr>
              <w:t>MeDi</w:t>
            </w:r>
            <w:r w:rsidRPr="0000343B">
              <w:t xml:space="preserve"> está relacionada a menor deposição</w:t>
            </w:r>
            <w:r w:rsidR="00395FEA" w:rsidRPr="0000343B">
              <w:t xml:space="preserve"> de </w:t>
            </w:r>
            <w:r w:rsidR="00C4201F">
              <w:t>A</w:t>
            </w:r>
            <w:r w:rsidR="00C4201F" w:rsidRPr="0000343B">
              <w:rPr>
                <w:rFonts w:ascii="Symbol" w:hAnsi="Symbol"/>
              </w:rPr>
              <w:t>b</w:t>
            </w:r>
            <w:r w:rsidRPr="0000343B">
              <w:t>, independente do estado cognitivo (p=0,04);</w:t>
            </w:r>
          </w:p>
          <w:p w14:paraId="6AD8A95F" w14:textId="37053546" w:rsidR="00186F32" w:rsidRPr="0000343B" w:rsidRDefault="00186F32" w:rsidP="0000343B">
            <w:r w:rsidRPr="0000343B">
              <w:t xml:space="preserve">- Indivíduos com MCI e IMC acima do normal apresentaram maior deposição de </w:t>
            </w:r>
            <w:r w:rsidR="00C4201F">
              <w:t>A</w:t>
            </w:r>
            <w:r w:rsidR="00C4201F" w:rsidRPr="0000343B">
              <w:rPr>
                <w:rFonts w:ascii="Symbol" w:hAnsi="Symbol"/>
              </w:rPr>
              <w:t>b</w:t>
            </w:r>
            <w:r w:rsidR="00C4201F" w:rsidRPr="0000343B">
              <w:t xml:space="preserve"> </w:t>
            </w:r>
            <w:r w:rsidRPr="0000343B">
              <w:t>e proteína tau em comparação com aqueles com IMC normal (p=0,002);</w:t>
            </w:r>
          </w:p>
          <w:p w14:paraId="78DD7883" w14:textId="39C345A4" w:rsidR="00186F32" w:rsidRPr="0000343B" w:rsidRDefault="00186F32" w:rsidP="0000343B">
            <w:r w:rsidRPr="0000343B">
              <w:t xml:space="preserve">-Maior atividade física foi associada a menor deposição em indivíduos MCI (p=0,004), mas não em indivíduos com comprometimento subjetivo da memória (p=0,9). </w:t>
            </w:r>
          </w:p>
        </w:tc>
      </w:tr>
      <w:tr w:rsidR="00186F32" w:rsidRPr="0000343B" w14:paraId="7B954F38" w14:textId="77777777" w:rsidTr="00EB5A44">
        <w:tc>
          <w:tcPr>
            <w:tcW w:w="584" w:type="pct"/>
          </w:tcPr>
          <w:p w14:paraId="72BAA5C9" w14:textId="2C32449D" w:rsidR="00186F32" w:rsidRPr="0000343B" w:rsidRDefault="00186F32" w:rsidP="0000343B">
            <w:r w:rsidRPr="0000343B">
              <w:t>MOSCONI et. al., 2017</w:t>
            </w:r>
          </w:p>
        </w:tc>
        <w:tc>
          <w:tcPr>
            <w:tcW w:w="1884" w:type="pct"/>
          </w:tcPr>
          <w:p w14:paraId="24E7E9B4" w14:textId="1C3B4E83" w:rsidR="00186F32" w:rsidRPr="0000343B" w:rsidRDefault="00186F32" w:rsidP="0000343B">
            <w:r w:rsidRPr="0000343B">
              <w:t>Investigar os efeitos do estilo de vida e de fatores de risco vasculares para a DA, com base em ressonância magnética, em jovens e adultos de meia-idade assintomáticos.</w:t>
            </w:r>
          </w:p>
        </w:tc>
        <w:tc>
          <w:tcPr>
            <w:tcW w:w="2532" w:type="pct"/>
          </w:tcPr>
          <w:p w14:paraId="62228620" w14:textId="63677B0A" w:rsidR="00186F32" w:rsidRPr="0000343B" w:rsidRDefault="00186F32" w:rsidP="0000343B">
            <w:r w:rsidRPr="0000343B">
              <w:t xml:space="preserve">- A adesão à </w:t>
            </w:r>
            <w:r w:rsidR="00785AB2">
              <w:rPr>
                <w:bCs/>
                <w:sz w:val="24"/>
                <w:szCs w:val="24"/>
              </w:rPr>
              <w:t>MeDi</w:t>
            </w:r>
            <w:r w:rsidRPr="0000343B">
              <w:t xml:space="preserve"> e a sensibilidade à insulina foram ambas associadas positivamente com espessura cortical (P≤0,008)</w:t>
            </w:r>
            <w:r w:rsidR="008A6010" w:rsidRPr="0000343B">
              <w:t>;</w:t>
            </w:r>
          </w:p>
          <w:p w14:paraId="1A1A3CA5" w14:textId="428FCAEC" w:rsidR="00186F32" w:rsidRPr="0000343B" w:rsidRDefault="00186F32" w:rsidP="0000343B">
            <w:r w:rsidRPr="0000343B">
              <w:lastRenderedPageBreak/>
              <w:t>- Nenhuma das outras variáveis de risco vascular e de estilo de vida foram associadas às espessuras cerebrais, mas o foram com a cognição.</w:t>
            </w:r>
          </w:p>
        </w:tc>
      </w:tr>
      <w:tr w:rsidR="00186F32" w:rsidRPr="0000343B" w14:paraId="0D8CF28D" w14:textId="77777777" w:rsidTr="00EB5A44">
        <w:tc>
          <w:tcPr>
            <w:tcW w:w="584" w:type="pct"/>
          </w:tcPr>
          <w:p w14:paraId="4CB39923" w14:textId="2D020819" w:rsidR="00186F32" w:rsidRPr="0000343B" w:rsidRDefault="00186F32" w:rsidP="0000343B">
            <w:r w:rsidRPr="0000343B">
              <w:t>NETH et. al. 2020</w:t>
            </w:r>
          </w:p>
        </w:tc>
        <w:tc>
          <w:tcPr>
            <w:tcW w:w="1884" w:type="pct"/>
          </w:tcPr>
          <w:p w14:paraId="6FF7374C" w14:textId="15456C79" w:rsidR="00186F32" w:rsidRPr="0000343B" w:rsidRDefault="00186F32" w:rsidP="0000343B">
            <w:r w:rsidRPr="0000343B">
              <w:t xml:space="preserve">Estudar os efeitos da MMKD e da dieta controle (AHAD, com baixo teor de gordura) sobre biomarcadores de </w:t>
            </w:r>
            <w:r w:rsidR="004B3CF9" w:rsidRPr="0000343B">
              <w:t>DA</w:t>
            </w:r>
            <w:r w:rsidRPr="0000343B">
              <w:t xml:space="preserve"> no LCR, neuroimagens, medidas metabólicas periféricas e cognição; em idosos com problemas cognitivos.</w:t>
            </w:r>
          </w:p>
        </w:tc>
        <w:tc>
          <w:tcPr>
            <w:tcW w:w="2532" w:type="pct"/>
          </w:tcPr>
          <w:p w14:paraId="6BC8884C" w14:textId="5D75937F" w:rsidR="00186F32" w:rsidRPr="0000343B" w:rsidRDefault="00186F32" w:rsidP="0000343B">
            <w:r w:rsidRPr="0000343B">
              <w:t>- A dieta MMKD melhorou os índices metabólicos (glicose e HbA1C de todos os participantes, p=0,03 e 0,004), aumentou a perfusão cerebral dos pacientes com MCI e a captação de corpos cetônicos cerebrais (p=0,008);</w:t>
            </w:r>
          </w:p>
          <w:p w14:paraId="35F67C1E" w14:textId="69285450" w:rsidR="00186F32" w:rsidRPr="0000343B" w:rsidRDefault="00186F32" w:rsidP="0000343B">
            <w:r w:rsidRPr="0000343B">
              <w:t xml:space="preserve">-  Houve aumento de </w:t>
            </w:r>
            <w:r w:rsidR="00C4201F">
              <w:t>Aβ</w:t>
            </w:r>
            <w:r w:rsidR="005E39B6" w:rsidRPr="0000343B">
              <w:t>-</w:t>
            </w:r>
            <w:r w:rsidRPr="0000343B">
              <w:t>42 (conforme idade, p=0,04) e diminuição da tau no LCR dos pacientes com MCI;</w:t>
            </w:r>
          </w:p>
          <w:p w14:paraId="77AEF228" w14:textId="5CA85A37" w:rsidR="00186F32" w:rsidRPr="0000343B" w:rsidRDefault="00186F32" w:rsidP="0000343B">
            <w:r w:rsidRPr="0000343B">
              <w:t>- O desempenho da memória melhorou após ambas as dietas.</w:t>
            </w:r>
          </w:p>
        </w:tc>
      </w:tr>
      <w:tr w:rsidR="00186F32" w:rsidRPr="0000343B" w14:paraId="4FDE26F8" w14:textId="77777777" w:rsidTr="00EB5A44">
        <w:tc>
          <w:tcPr>
            <w:tcW w:w="584" w:type="pct"/>
          </w:tcPr>
          <w:p w14:paraId="6CBC594B" w14:textId="722FC420" w:rsidR="00186F32" w:rsidRPr="0000343B" w:rsidRDefault="00186F32" w:rsidP="0000343B">
            <w:r w:rsidRPr="0000343B">
              <w:t>RAINEY-SMITH et. al., 2018</w:t>
            </w:r>
          </w:p>
        </w:tc>
        <w:tc>
          <w:tcPr>
            <w:tcW w:w="1884" w:type="pct"/>
          </w:tcPr>
          <w:p w14:paraId="6DCB6B1B" w14:textId="4FF89E2E" w:rsidR="00186F32" w:rsidRPr="0000343B" w:rsidRDefault="00186F32" w:rsidP="0000343B">
            <w:r w:rsidRPr="0000343B">
              <w:t xml:space="preserve">Avaliar a relação entre adesão à </w:t>
            </w:r>
            <w:r w:rsidR="00785AB2" w:rsidRPr="0000343B">
              <w:t>M</w:t>
            </w:r>
            <w:r w:rsidR="00785AB2">
              <w:t>e</w:t>
            </w:r>
            <w:r w:rsidR="00785AB2" w:rsidRPr="0000343B">
              <w:t>D</w:t>
            </w:r>
            <w:r w:rsidR="00785AB2">
              <w:t>i</w:t>
            </w:r>
            <w:r w:rsidRPr="0000343B">
              <w:t xml:space="preserve"> e seus componentes e a deposição de </w:t>
            </w:r>
            <w:r w:rsidR="00C4201F">
              <w:t>Aβ</w:t>
            </w:r>
            <w:r w:rsidRPr="0000343B">
              <w:t xml:space="preserve"> cerebral, por PiB-PET) em participantes cognitivamente</w:t>
            </w:r>
          </w:p>
          <w:p w14:paraId="1C0FAA6A" w14:textId="6356030D" w:rsidR="00186F32" w:rsidRPr="0000343B" w:rsidRDefault="00186F32" w:rsidP="0000343B">
            <w:r w:rsidRPr="0000343B">
              <w:t xml:space="preserve">saudáveis que foram categorizados como "acumuladores </w:t>
            </w:r>
            <w:r w:rsidR="00C4201F">
              <w:t>Aβ</w:t>
            </w:r>
            <w:r w:rsidRPr="0000343B">
              <w:t>s".</w:t>
            </w:r>
          </w:p>
        </w:tc>
        <w:tc>
          <w:tcPr>
            <w:tcW w:w="2532" w:type="pct"/>
          </w:tcPr>
          <w:p w14:paraId="5D17B818" w14:textId="2029BBAB" w:rsidR="00186F32" w:rsidRPr="0000343B" w:rsidRDefault="00186F32" w:rsidP="0000343B">
            <w:r w:rsidRPr="0000343B">
              <w:t xml:space="preserve">- O aumento da adesão à </w:t>
            </w:r>
            <w:r w:rsidR="00785AB2" w:rsidRPr="0000343B">
              <w:t>M</w:t>
            </w:r>
            <w:r w:rsidR="00785AB2">
              <w:t>e</w:t>
            </w:r>
            <w:r w:rsidR="00785AB2" w:rsidRPr="0000343B">
              <w:t>D</w:t>
            </w:r>
            <w:r w:rsidR="00785AB2">
              <w:t>i</w:t>
            </w:r>
            <w:r w:rsidRPr="0000343B">
              <w:t xml:space="preserve"> foi associado à diminuição do</w:t>
            </w:r>
            <w:r w:rsidR="008A6010" w:rsidRPr="0000343B">
              <w:t xml:space="preserve"> </w:t>
            </w:r>
            <w:r w:rsidRPr="0000343B">
              <w:t>SUVR (p=0,0070), o que resultaria em uma redução de 20% a.a. no acúmulo de β</w:t>
            </w:r>
            <w:r w:rsidR="004B3CF9" w:rsidRPr="0000343B">
              <w:t>- amiloide</w:t>
            </w:r>
            <w:r w:rsidRPr="0000343B">
              <w:t>;</w:t>
            </w:r>
          </w:p>
          <w:p w14:paraId="46D0B5E0" w14:textId="3F933DF7" w:rsidR="00186F32" w:rsidRPr="0000343B" w:rsidRDefault="00186F32" w:rsidP="0000343B">
            <w:r w:rsidRPr="0000343B">
              <w:t xml:space="preserve">- Os componentes individuais da </w:t>
            </w:r>
            <w:r w:rsidR="00785AB2" w:rsidRPr="0000343B">
              <w:t>M</w:t>
            </w:r>
            <w:r w:rsidR="00785AB2">
              <w:t>e</w:t>
            </w:r>
            <w:r w:rsidR="00785AB2" w:rsidRPr="0000343B">
              <w:t>D</w:t>
            </w:r>
            <w:r w:rsidR="00785AB2">
              <w:t>i</w:t>
            </w:r>
            <w:r w:rsidRPr="0000343B">
              <w:t xml:space="preserve"> que contribuíram mais fortemente para a redução do SUVR foram idade (p = 0,0083), alelo APOE ε4 (p = 0,0095) e alta ingestão de frutas (p = 0,00085).</w:t>
            </w:r>
          </w:p>
        </w:tc>
      </w:tr>
      <w:tr w:rsidR="00186F32" w:rsidRPr="0000343B" w14:paraId="55D0D20D" w14:textId="77777777" w:rsidTr="00EB5A44">
        <w:tc>
          <w:tcPr>
            <w:tcW w:w="584" w:type="pct"/>
          </w:tcPr>
          <w:p w14:paraId="39BE5291" w14:textId="7999740F" w:rsidR="00186F32" w:rsidRPr="0000343B" w:rsidRDefault="00186F32" w:rsidP="0000343B">
            <w:r w:rsidRPr="0000343B">
              <w:t>STAUBO et. al., 2017</w:t>
            </w:r>
          </w:p>
        </w:tc>
        <w:tc>
          <w:tcPr>
            <w:tcW w:w="1884" w:type="pct"/>
          </w:tcPr>
          <w:p w14:paraId="2375F71D" w14:textId="14019313" w:rsidR="00186F32" w:rsidRPr="0000343B" w:rsidRDefault="00186F32" w:rsidP="0000343B">
            <w:r w:rsidRPr="0000343B">
              <w:t xml:space="preserve">Investigar a associação entre a adesão à </w:t>
            </w:r>
            <w:r w:rsidR="00785AB2" w:rsidRPr="0000343B">
              <w:t>M</w:t>
            </w:r>
            <w:r w:rsidR="00785AB2">
              <w:t>e</w:t>
            </w:r>
            <w:r w:rsidR="00785AB2" w:rsidRPr="0000343B">
              <w:t>D</w:t>
            </w:r>
            <w:r w:rsidR="00785AB2">
              <w:t>i</w:t>
            </w:r>
            <w:r w:rsidRPr="0000343B">
              <w:t xml:space="preserve"> e seus componentes com medidas por MRI de espessura cortical em participantes cognitivamente normais.</w:t>
            </w:r>
          </w:p>
        </w:tc>
        <w:tc>
          <w:tcPr>
            <w:tcW w:w="2532" w:type="pct"/>
          </w:tcPr>
          <w:p w14:paraId="06BE4784" w14:textId="068F0B3F" w:rsidR="00186F32" w:rsidRPr="0000343B" w:rsidRDefault="00186F32" w:rsidP="0000343B">
            <w:r w:rsidRPr="0000343B">
              <w:t xml:space="preserve">- A maior adesão à </w:t>
            </w:r>
            <w:r w:rsidR="00785AB2" w:rsidRPr="0000343B">
              <w:t>M</w:t>
            </w:r>
            <w:r w:rsidR="00785AB2">
              <w:t>e</w:t>
            </w:r>
            <w:r w:rsidR="00785AB2" w:rsidRPr="0000343B">
              <w:t>D</w:t>
            </w:r>
            <w:r w:rsidR="00785AB2">
              <w:t>i</w:t>
            </w:r>
            <w:r w:rsidRPr="0000343B">
              <w:t xml:space="preserve"> foi associada com maior espessura cortical média (p=0,01); nos lobos frontal (p=0,008), parietal (p=0,04) e occipital (p=0,03); e em várias regiões de interesse (p=0,005 – 0,03);</w:t>
            </w:r>
          </w:p>
          <w:p w14:paraId="33031A23" w14:textId="7E40F1E5" w:rsidR="00186F32" w:rsidRPr="0000343B" w:rsidRDefault="00186F32" w:rsidP="0000343B">
            <w:r w:rsidRPr="0000343B">
              <w:t>- O maior consumo de legumes e peixes foi associado com maior espessura cortical;</w:t>
            </w:r>
          </w:p>
          <w:p w14:paraId="54EAFBF5" w14:textId="1C8CD5A1" w:rsidR="00186F32" w:rsidRPr="0000343B" w:rsidRDefault="00186F32" w:rsidP="0000343B">
            <w:r w:rsidRPr="0000343B">
              <w:t>- O maior consumo de carboidratos (p=0,006) e açúcares (p=0,005) foi associado com menor espessura cortical entorrinal.</w:t>
            </w:r>
          </w:p>
        </w:tc>
      </w:tr>
      <w:tr w:rsidR="00186F32" w:rsidRPr="0000343B" w14:paraId="20AC6869" w14:textId="77777777" w:rsidTr="00EB5A44">
        <w:tc>
          <w:tcPr>
            <w:tcW w:w="584" w:type="pct"/>
          </w:tcPr>
          <w:p w14:paraId="565CD934" w14:textId="3119F432" w:rsidR="00186F32" w:rsidRPr="0000343B" w:rsidRDefault="00186F32" w:rsidP="0000343B">
            <w:r w:rsidRPr="0000343B">
              <w:t>VASSILAKI et. al., 2018</w:t>
            </w:r>
          </w:p>
        </w:tc>
        <w:tc>
          <w:tcPr>
            <w:tcW w:w="1884" w:type="pct"/>
          </w:tcPr>
          <w:p w14:paraId="501D17F9" w14:textId="4E3D9484" w:rsidR="00186F32" w:rsidRPr="0000343B" w:rsidRDefault="00186F32" w:rsidP="0000343B">
            <w:r w:rsidRPr="0000343B">
              <w:t xml:space="preserve">Examinar as associações transversais da </w:t>
            </w:r>
            <w:r w:rsidR="00785AB2" w:rsidRPr="0000343B">
              <w:t>M</w:t>
            </w:r>
            <w:r w:rsidR="00785AB2">
              <w:t>e</w:t>
            </w:r>
            <w:r w:rsidR="00785AB2" w:rsidRPr="0000343B">
              <w:t>D</w:t>
            </w:r>
            <w:r w:rsidR="00785AB2">
              <w:t>i</w:t>
            </w:r>
            <w:r w:rsidRPr="0000343B">
              <w:t xml:space="preserve"> e seus componentes com as medidas de deposição de </w:t>
            </w:r>
            <w:r w:rsidR="00C4201F">
              <w:t>Aβ</w:t>
            </w:r>
            <w:r w:rsidRPr="0000343B">
              <w:t xml:space="preserve"> (Aβ) por PiB-PET.</w:t>
            </w:r>
          </w:p>
        </w:tc>
        <w:tc>
          <w:tcPr>
            <w:tcW w:w="2532" w:type="pct"/>
          </w:tcPr>
          <w:p w14:paraId="48708BB5" w14:textId="32D26E1D" w:rsidR="00186F32" w:rsidRPr="0000343B" w:rsidRDefault="00186F32" w:rsidP="0000343B">
            <w:r w:rsidRPr="0000343B">
              <w:t xml:space="preserve">A maior adesão à </w:t>
            </w:r>
            <w:r w:rsidR="00785AB2" w:rsidRPr="0000343B">
              <w:t>M</w:t>
            </w:r>
            <w:r w:rsidR="00785AB2">
              <w:t>e</w:t>
            </w:r>
            <w:r w:rsidR="00785AB2" w:rsidRPr="0000343B">
              <w:t>D</w:t>
            </w:r>
            <w:r w:rsidR="00785AB2">
              <w:t>i</w:t>
            </w:r>
            <w:r w:rsidRPr="0000343B">
              <w:t xml:space="preserve"> (p=0,012), a maior ingestão de vegetais (p=0,002) e a maior ingestão de vitamina A (p=0,003) ou β-caroteno (p=0,005) de fontes alimentares e o consumo moderado de álcool (p=0,03) foram associados com menor SUVR.</w:t>
            </w:r>
          </w:p>
        </w:tc>
      </w:tr>
      <w:tr w:rsidR="00186F32" w:rsidRPr="0000343B" w14:paraId="6163B4B7" w14:textId="77777777" w:rsidTr="00EB5A44">
        <w:tc>
          <w:tcPr>
            <w:tcW w:w="584" w:type="pct"/>
          </w:tcPr>
          <w:p w14:paraId="7B0E5FC0" w14:textId="6E0BD2DF" w:rsidR="00186F32" w:rsidRPr="0000343B" w:rsidRDefault="00186F32" w:rsidP="0000343B">
            <w:r w:rsidRPr="0000343B">
              <w:t>WALTERS et. al., 2018</w:t>
            </w:r>
          </w:p>
        </w:tc>
        <w:tc>
          <w:tcPr>
            <w:tcW w:w="1884" w:type="pct"/>
          </w:tcPr>
          <w:p w14:paraId="0080F065" w14:textId="142E100C" w:rsidR="00186F32" w:rsidRPr="0000343B" w:rsidRDefault="00186F32" w:rsidP="0000343B">
            <w:r w:rsidRPr="0000343B">
              <w:t xml:space="preserve">Investigar as associações entre estilo de vida (dieta, atividade física e intelectual) e fatores de risco vascular e mudanças em biomarcadores da DA (deposição de </w:t>
            </w:r>
            <w:r w:rsidR="00C4201F">
              <w:t>A</w:t>
            </w:r>
            <w:r w:rsidR="00C4201F" w:rsidRPr="0000343B">
              <w:rPr>
                <w:rFonts w:ascii="Symbol" w:hAnsi="Symbol"/>
              </w:rPr>
              <w:t>b</w:t>
            </w:r>
            <w:r w:rsidRPr="0000343B">
              <w:t>, metabolismo da glicose e neurodegeneração) e na cognição global de participantes assintomáticos de meia-idade.</w:t>
            </w:r>
          </w:p>
        </w:tc>
        <w:tc>
          <w:tcPr>
            <w:tcW w:w="2532" w:type="pct"/>
          </w:tcPr>
          <w:p w14:paraId="657EA2B9" w14:textId="053731C6" w:rsidR="00186F32" w:rsidRPr="0000343B" w:rsidRDefault="00186F32" w:rsidP="0000343B">
            <w:r w:rsidRPr="0000343B">
              <w:t xml:space="preserve">- A dieta influenciou no metabolismo da glicose, mas não alterou a espessura amiloide ou cortical; </w:t>
            </w:r>
          </w:p>
          <w:p w14:paraId="55C9E4F1" w14:textId="4EB9A4A3" w:rsidR="00186F32" w:rsidRPr="0000343B" w:rsidRDefault="00186F32" w:rsidP="0000343B">
            <w:r w:rsidRPr="0000343B">
              <w:t xml:space="preserve">- A menor adesão à </w:t>
            </w:r>
            <w:r w:rsidR="00785AB2" w:rsidRPr="0000343B">
              <w:t>M</w:t>
            </w:r>
            <w:r w:rsidR="00785AB2">
              <w:t>e</w:t>
            </w:r>
            <w:r w:rsidR="00785AB2" w:rsidRPr="0000343B">
              <w:t>D</w:t>
            </w:r>
            <w:r w:rsidR="00785AB2">
              <w:t>i</w:t>
            </w:r>
            <w:r w:rsidRPr="0000343B">
              <w:t xml:space="preserve"> foi associada a taxas mais rápidas do declínio de FDG no córtex cingulado posterior (p≤0,05); </w:t>
            </w:r>
          </w:p>
          <w:p w14:paraId="44E35C96" w14:textId="515EDBF7" w:rsidR="00186F32" w:rsidRPr="0000343B" w:rsidRDefault="00186F32" w:rsidP="0000343B">
            <w:r w:rsidRPr="0000343B">
              <w:lastRenderedPageBreak/>
              <w:t>- Nenhuma das outras variáveis ​​de estilo de vida ou medidas de risco vascular mostraram associações com alterações de biomarcadores de AD ou com a cognição.</w:t>
            </w:r>
          </w:p>
        </w:tc>
      </w:tr>
    </w:tbl>
    <w:p w14:paraId="27DCB5C1" w14:textId="149DD0E3" w:rsidR="007F020F" w:rsidRPr="00D5697D" w:rsidRDefault="00EA232D" w:rsidP="00D64F5F">
      <w:pPr>
        <w:spacing w:line="240" w:lineRule="auto"/>
        <w:rPr>
          <w:sz w:val="24"/>
          <w:szCs w:val="24"/>
        </w:rPr>
      </w:pPr>
      <w:r w:rsidRPr="0000343B">
        <w:t xml:space="preserve">Siglas e abreviaturas: </w:t>
      </w:r>
      <w:r w:rsidR="00186F32" w:rsidRPr="0000343B">
        <w:t xml:space="preserve">a.a – ao ano; </w:t>
      </w:r>
      <w:r w:rsidR="00C4201F" w:rsidRPr="00D5697D">
        <w:rPr>
          <w:bCs/>
          <w:sz w:val="24"/>
          <w:szCs w:val="24"/>
          <w:shd w:val="clear" w:color="auto" w:fill="FFFFFF"/>
        </w:rPr>
        <w:t>Aβ</w:t>
      </w:r>
      <w:r w:rsidR="00C4201F" w:rsidRPr="0000343B">
        <w:t xml:space="preserve"> </w:t>
      </w:r>
      <w:r w:rsidR="00C4201F">
        <w:t xml:space="preserve">– </w:t>
      </w:r>
      <w:r w:rsidR="00C4201F" w:rsidRPr="00D5697D">
        <w:rPr>
          <w:bCs/>
          <w:sz w:val="24"/>
          <w:szCs w:val="24"/>
          <w:shd w:val="clear" w:color="auto" w:fill="FFFFFF"/>
        </w:rPr>
        <w:t>β</w:t>
      </w:r>
      <w:r w:rsidR="00C4201F">
        <w:rPr>
          <w:bCs/>
          <w:sz w:val="24"/>
          <w:szCs w:val="24"/>
          <w:shd w:val="clear" w:color="auto" w:fill="FFFFFF"/>
        </w:rPr>
        <w:t>-amiloide;</w:t>
      </w:r>
      <w:r w:rsidR="00C4201F" w:rsidRPr="0000343B">
        <w:t xml:space="preserve"> </w:t>
      </w:r>
      <w:r w:rsidR="00186F32" w:rsidRPr="0000343B">
        <w:t>AHAD –</w:t>
      </w:r>
      <w:r w:rsidR="00186F32" w:rsidRPr="0000343B">
        <w:rPr>
          <w:i/>
          <w:iCs/>
        </w:rPr>
        <w:t xml:space="preserve"> American Heart Association Diet</w:t>
      </w:r>
      <w:r w:rsidR="00186F32" w:rsidRPr="0000343B">
        <w:t xml:space="preserve">; AIBL - </w:t>
      </w:r>
      <w:r w:rsidR="00186F32" w:rsidRPr="0000343B">
        <w:rPr>
          <w:i/>
          <w:iCs/>
        </w:rPr>
        <w:t>Australian Imaging, Biomarkers and Lifestyle Study of Ageing</w:t>
      </w:r>
      <w:r w:rsidR="00186F32" w:rsidRPr="0000343B">
        <w:t xml:space="preserve">; </w:t>
      </w:r>
      <w:r w:rsidR="00F64516" w:rsidRPr="0000343B">
        <w:t>APOE</w:t>
      </w:r>
      <w:r w:rsidR="00F64516" w:rsidRPr="0000343B">
        <w:rPr>
          <w:rFonts w:ascii="Symbol" w:hAnsi="Symbol"/>
        </w:rPr>
        <w:t>e</w:t>
      </w:r>
      <w:r w:rsidR="00F64516" w:rsidRPr="0000343B">
        <w:t xml:space="preserve">4 – Variante </w:t>
      </w:r>
      <w:r w:rsidR="00F64516" w:rsidRPr="0000343B">
        <w:rPr>
          <w:rFonts w:ascii="Symbol" w:hAnsi="Symbol"/>
        </w:rPr>
        <w:t>e</w:t>
      </w:r>
      <w:r w:rsidR="00F64516" w:rsidRPr="0000343B">
        <w:t xml:space="preserve">4 da apolipoproteína </w:t>
      </w:r>
      <w:r w:rsidR="00AB4C71" w:rsidRPr="0000343B">
        <w:t>E</w:t>
      </w:r>
      <w:r w:rsidR="00F64516" w:rsidRPr="0000343B">
        <w:t xml:space="preserve">; </w:t>
      </w:r>
      <w:r w:rsidR="00186F32" w:rsidRPr="0000343B">
        <w:t xml:space="preserve">DA – Doença de Alzheimer; DASH - </w:t>
      </w:r>
      <w:r w:rsidR="00186F32" w:rsidRPr="0000343B">
        <w:rPr>
          <w:i/>
          <w:iCs/>
        </w:rPr>
        <w:t>Dietary Approaches to Stop Hypertension</w:t>
      </w:r>
      <w:r w:rsidR="00186F32" w:rsidRPr="0000343B">
        <w:t xml:space="preserve"> (Abordagens Dietéticas para Parar a Hipertensão); DCV – Doença cardiovascular</w:t>
      </w:r>
      <w:r w:rsidR="00EB5A44" w:rsidRPr="0000343B">
        <w:t xml:space="preserve">; </w:t>
      </w:r>
      <w:r w:rsidR="00186F32" w:rsidRPr="0000343B">
        <w:t>EUA – Estado Unidos da América</w:t>
      </w:r>
      <w:r w:rsidR="00EB5A44" w:rsidRPr="0000343B">
        <w:t xml:space="preserve">; </w:t>
      </w:r>
      <w:r w:rsidR="00186F32" w:rsidRPr="0000343B">
        <w:t xml:space="preserve">FDDNP-PET - </w:t>
      </w:r>
      <w:r w:rsidR="00186F32" w:rsidRPr="0000343B">
        <w:rPr>
          <w:i/>
          <w:iCs/>
        </w:rPr>
        <w:t>2-(1-(6-[(2-[F-18]fluoroethyl)(methyl)amino]-2-naphthyl)ethylidene)malononitrile (FDDNP) – Positron Emission Tomography (PET)</w:t>
      </w:r>
      <w:r w:rsidR="00EB5A44" w:rsidRPr="0000343B">
        <w:rPr>
          <w:i/>
          <w:iCs/>
        </w:rPr>
        <w:t xml:space="preserve">; </w:t>
      </w:r>
      <w:r w:rsidR="00186F32" w:rsidRPr="0000343B">
        <w:t xml:space="preserve">FDG – </w:t>
      </w:r>
      <w:r w:rsidR="00186F32" w:rsidRPr="0000343B">
        <w:rPr>
          <w:i/>
          <w:iCs/>
        </w:rPr>
        <w:t xml:space="preserve">Fluoro-deoxy-glucose – </w:t>
      </w:r>
      <w:r w:rsidR="00186F32" w:rsidRPr="0000343B">
        <w:t>Metabolismo de glicose</w:t>
      </w:r>
      <w:r w:rsidR="00EB5A44" w:rsidRPr="0000343B">
        <w:t xml:space="preserve">; </w:t>
      </w:r>
      <w:r w:rsidR="00186F32" w:rsidRPr="0000343B">
        <w:t>HbA1C –</w:t>
      </w:r>
      <w:r w:rsidR="00186F32" w:rsidRPr="0000343B">
        <w:rPr>
          <w:i/>
          <w:iCs/>
        </w:rPr>
        <w:t xml:space="preserve"> </w:t>
      </w:r>
      <w:r w:rsidR="00186F32" w:rsidRPr="0000343B">
        <w:t>hemoglobina glicada</w:t>
      </w:r>
      <w:r w:rsidR="00EB5A44" w:rsidRPr="0000343B">
        <w:t xml:space="preserve">; </w:t>
      </w:r>
      <w:r w:rsidR="00186F32" w:rsidRPr="0000343B">
        <w:t xml:space="preserve">HELIAD - </w:t>
      </w:r>
      <w:r w:rsidR="00186F32" w:rsidRPr="0000343B">
        <w:rPr>
          <w:i/>
          <w:iCs/>
        </w:rPr>
        <w:t>Hellenic Longitudinal Investigation in Aging and Diet</w:t>
      </w:r>
      <w:r w:rsidR="00EB5A44" w:rsidRPr="0000343B">
        <w:t xml:space="preserve">; </w:t>
      </w:r>
      <w:r w:rsidR="00186F32" w:rsidRPr="0000343B">
        <w:t xml:space="preserve">HF – </w:t>
      </w:r>
      <w:r w:rsidR="00186F32" w:rsidRPr="0000343B">
        <w:rPr>
          <w:i/>
          <w:iCs/>
        </w:rPr>
        <w:t>High Fat</w:t>
      </w:r>
      <w:r w:rsidR="00EB5A44" w:rsidRPr="0000343B">
        <w:rPr>
          <w:i/>
          <w:iCs/>
        </w:rPr>
        <w:t xml:space="preserve">; </w:t>
      </w:r>
      <w:r w:rsidR="00186F32" w:rsidRPr="0000343B">
        <w:t>IMC – Índice de Massa Corporal</w:t>
      </w:r>
      <w:r w:rsidR="00EB5A44" w:rsidRPr="0000343B">
        <w:t xml:space="preserve">; </w:t>
      </w:r>
      <w:r w:rsidR="00186F32" w:rsidRPr="0000343B">
        <w:t>LCR – Líquido Cefalorraquidiano</w:t>
      </w:r>
      <w:r w:rsidR="00EB5A44" w:rsidRPr="0000343B">
        <w:t xml:space="preserve">; </w:t>
      </w:r>
      <w:r w:rsidR="00186F32" w:rsidRPr="0000343B">
        <w:t xml:space="preserve">LF – </w:t>
      </w:r>
      <w:r w:rsidR="00186F32" w:rsidRPr="0000343B">
        <w:rPr>
          <w:i/>
          <w:iCs/>
        </w:rPr>
        <w:t>Low Fat</w:t>
      </w:r>
      <w:r w:rsidR="00EB5A44" w:rsidRPr="0000343B">
        <w:rPr>
          <w:i/>
          <w:iCs/>
        </w:rPr>
        <w:t xml:space="preserve">; </w:t>
      </w:r>
      <w:r w:rsidR="00186F32" w:rsidRPr="0000343B">
        <w:t xml:space="preserve">MCI – </w:t>
      </w:r>
      <w:r w:rsidR="00186F32" w:rsidRPr="0000343B">
        <w:rPr>
          <w:i/>
          <w:iCs/>
        </w:rPr>
        <w:t>Mild Cognitive Impairment</w:t>
      </w:r>
      <w:r w:rsidR="00186F32" w:rsidRPr="0000343B">
        <w:t xml:space="preserve"> (Comprometimento Cognitivo Leve)</w:t>
      </w:r>
      <w:r w:rsidR="00EB5A44" w:rsidRPr="0000343B">
        <w:t xml:space="preserve">; </w:t>
      </w:r>
      <w:r w:rsidR="00186F32" w:rsidRPr="0000343B">
        <w:t xml:space="preserve">MCSA - </w:t>
      </w:r>
      <w:r w:rsidR="00186F32" w:rsidRPr="0000343B">
        <w:rPr>
          <w:i/>
          <w:iCs/>
        </w:rPr>
        <w:t>Mayo Clinic Study of Aging</w:t>
      </w:r>
      <w:r w:rsidR="00EB5A44" w:rsidRPr="0000343B">
        <w:rPr>
          <w:i/>
          <w:iCs/>
        </w:rPr>
        <w:t xml:space="preserve">; </w:t>
      </w:r>
      <w:r w:rsidR="00785AB2" w:rsidRPr="0000343B">
        <w:t>M</w:t>
      </w:r>
      <w:r w:rsidR="00785AB2">
        <w:t>e</w:t>
      </w:r>
      <w:r w:rsidR="00785AB2" w:rsidRPr="0000343B">
        <w:t>D</w:t>
      </w:r>
      <w:r w:rsidR="00785AB2">
        <w:t>i</w:t>
      </w:r>
      <w:r w:rsidR="00186F32" w:rsidRPr="0000343B">
        <w:t xml:space="preserve"> – </w:t>
      </w:r>
      <w:r w:rsidR="00186F32" w:rsidRPr="0000343B">
        <w:rPr>
          <w:i/>
          <w:iCs/>
        </w:rPr>
        <w:t xml:space="preserve">Mediterranean Diet </w:t>
      </w:r>
      <w:r w:rsidR="00186F32" w:rsidRPr="0000343B">
        <w:t>(Dieta Mediterrânea)</w:t>
      </w:r>
      <w:r w:rsidR="00EB5A44" w:rsidRPr="0000343B">
        <w:t xml:space="preserve">; </w:t>
      </w:r>
      <w:r w:rsidR="00186F32" w:rsidRPr="0000343B">
        <w:t xml:space="preserve">MMKD – </w:t>
      </w:r>
      <w:r w:rsidR="00186F32" w:rsidRPr="0000343B">
        <w:rPr>
          <w:i/>
          <w:iCs/>
        </w:rPr>
        <w:t>Mediterranean Modified Ketogenic Diet</w:t>
      </w:r>
      <w:r w:rsidR="00186F32" w:rsidRPr="0000343B">
        <w:t xml:space="preserve"> (Dieta Mediterrânea Cetogênica Modificada)</w:t>
      </w:r>
      <w:r w:rsidR="00EB5A44" w:rsidRPr="0000343B">
        <w:t xml:space="preserve">; </w:t>
      </w:r>
      <w:r w:rsidR="00186F32" w:rsidRPr="0000343B">
        <w:t xml:space="preserve">MRI – </w:t>
      </w:r>
      <w:r w:rsidR="00186F32" w:rsidRPr="0000343B">
        <w:rPr>
          <w:i/>
          <w:iCs/>
        </w:rPr>
        <w:t>Magnetic Ressonance Imaging</w:t>
      </w:r>
      <w:r w:rsidR="00EB5A44" w:rsidRPr="0000343B">
        <w:rPr>
          <w:i/>
          <w:iCs/>
        </w:rPr>
        <w:t xml:space="preserve">; </w:t>
      </w:r>
      <w:r w:rsidR="00186F32" w:rsidRPr="0000343B">
        <w:t xml:space="preserve">NHANES - </w:t>
      </w:r>
      <w:r w:rsidR="00186F32" w:rsidRPr="0000343B">
        <w:rPr>
          <w:i/>
          <w:iCs/>
        </w:rPr>
        <w:t>National Health and Nutrition Examination Survey</w:t>
      </w:r>
      <w:r w:rsidR="00EB5A44" w:rsidRPr="0000343B">
        <w:rPr>
          <w:i/>
          <w:iCs/>
        </w:rPr>
        <w:t xml:space="preserve">; </w:t>
      </w:r>
      <w:r w:rsidR="00186F32" w:rsidRPr="0000343B">
        <w:t>PiB-PET - Tomografia por emissão de pósitrons do Composto B Pittsburgh</w:t>
      </w:r>
      <w:r w:rsidR="00EB5A44" w:rsidRPr="0000343B">
        <w:t>;</w:t>
      </w:r>
      <w:r w:rsidR="00EB5A44" w:rsidRPr="0000343B">
        <w:rPr>
          <w:i/>
          <w:iCs/>
        </w:rPr>
        <w:t xml:space="preserve"> </w:t>
      </w:r>
      <w:r w:rsidR="00186F32" w:rsidRPr="0000343B">
        <w:t xml:space="preserve">SIMPLER - </w:t>
      </w:r>
      <w:r w:rsidR="00186F32" w:rsidRPr="0000343B">
        <w:rPr>
          <w:i/>
          <w:iCs/>
        </w:rPr>
        <w:t>Swedish Infrastructure for Medical Population-based Life-course Environmental Research</w:t>
      </w:r>
      <w:r w:rsidR="00EB5A44" w:rsidRPr="0000343B">
        <w:rPr>
          <w:i/>
          <w:iCs/>
        </w:rPr>
        <w:t xml:space="preserve">; </w:t>
      </w:r>
      <w:r w:rsidR="00186F32" w:rsidRPr="0000343B">
        <w:t>SUVR - Standardised uptake value ratio - Razão formada a partir da média ponderada do número de voxels nas regiões parietal, temporal, anterior, pré-frontal, orbitofrontal e cingulado posterior e pré-cuneiforme normalizadas</w:t>
      </w:r>
      <w:r w:rsidR="00EB5A44" w:rsidRPr="0000343B">
        <w:t xml:space="preserve">; </w:t>
      </w:r>
      <w:r w:rsidR="00186F32" w:rsidRPr="0000343B">
        <w:t xml:space="preserve">TLI – </w:t>
      </w:r>
      <w:r w:rsidR="00186F32" w:rsidRPr="0000343B">
        <w:rPr>
          <w:i/>
          <w:iCs/>
        </w:rPr>
        <w:t>Total Lifestyle Index</w:t>
      </w:r>
      <w:r w:rsidR="00186F32" w:rsidRPr="0000343B">
        <w:t xml:space="preserve"> (Índice Total de Estilo de Vida - que inclui adesão à </w:t>
      </w:r>
      <w:r w:rsidR="00785AB2" w:rsidRPr="0000343B">
        <w:t>M</w:t>
      </w:r>
      <w:r w:rsidR="00785AB2">
        <w:t>e</w:t>
      </w:r>
      <w:r w:rsidR="00785AB2" w:rsidRPr="0000343B">
        <w:t>D</w:t>
      </w:r>
      <w:r w:rsidR="00785AB2">
        <w:t>i</w:t>
      </w:r>
      <w:r w:rsidR="00186F32" w:rsidRPr="0000343B">
        <w:t>, atividade física, qualidade do sono e atividades da vida diária)</w:t>
      </w:r>
      <w:r w:rsidR="00EB5A44" w:rsidRPr="0000343B">
        <w:t xml:space="preserve">; </w:t>
      </w:r>
      <w:r w:rsidR="00186F32" w:rsidRPr="0000343B">
        <w:t xml:space="preserve">WHAP – </w:t>
      </w:r>
      <w:r w:rsidR="00186F32" w:rsidRPr="0000343B">
        <w:rPr>
          <w:i/>
          <w:iCs/>
        </w:rPr>
        <w:t>Women’s Health Ageing Proj</w:t>
      </w:r>
      <w:r w:rsidR="0000343B">
        <w:rPr>
          <w:i/>
          <w:iCs/>
        </w:rPr>
        <w:t>ec</w:t>
      </w:r>
      <w:r w:rsidR="00D64F5F">
        <w:rPr>
          <w:i/>
          <w:iCs/>
        </w:rPr>
        <w:t>t</w:t>
      </w:r>
    </w:p>
    <w:sectPr w:rsidR="007F020F" w:rsidRPr="00D5697D" w:rsidSect="00D64F5F">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628AF" w14:textId="77777777" w:rsidR="00ED2B56" w:rsidRDefault="00ED2B56" w:rsidP="00CB3241">
      <w:pPr>
        <w:spacing w:line="240" w:lineRule="auto"/>
      </w:pPr>
      <w:r>
        <w:separator/>
      </w:r>
    </w:p>
  </w:endnote>
  <w:endnote w:type="continuationSeparator" w:id="0">
    <w:p w14:paraId="02894087" w14:textId="77777777" w:rsidR="00ED2B56" w:rsidRDefault="00ED2B56" w:rsidP="00CB3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462799"/>
      <w:docPartObj>
        <w:docPartGallery w:val="Page Numbers (Bottom of Page)"/>
        <w:docPartUnique/>
      </w:docPartObj>
    </w:sdtPr>
    <w:sdtContent>
      <w:p w14:paraId="2E3C43FE" w14:textId="77777777" w:rsidR="007C0089" w:rsidRDefault="007C0089">
        <w:pPr>
          <w:pStyle w:val="Rodap"/>
          <w:jc w:val="right"/>
        </w:pPr>
        <w:r>
          <w:fldChar w:fldCharType="begin"/>
        </w:r>
        <w:r>
          <w:instrText>PAGE   \* MERGEFORMAT</w:instrText>
        </w:r>
        <w:r>
          <w:fldChar w:fldCharType="separate"/>
        </w:r>
        <w:r>
          <w:t>2</w:t>
        </w:r>
        <w:r>
          <w:fldChar w:fldCharType="end"/>
        </w:r>
      </w:p>
    </w:sdtContent>
  </w:sdt>
  <w:p w14:paraId="590928C2" w14:textId="77777777" w:rsidR="007C0089" w:rsidRDefault="007C00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F02B6" w14:textId="77777777" w:rsidR="00ED2B56" w:rsidRDefault="00ED2B56" w:rsidP="00CB3241">
      <w:pPr>
        <w:spacing w:line="240" w:lineRule="auto"/>
      </w:pPr>
      <w:r>
        <w:separator/>
      </w:r>
    </w:p>
  </w:footnote>
  <w:footnote w:type="continuationSeparator" w:id="0">
    <w:p w14:paraId="01E89CF6" w14:textId="77777777" w:rsidR="00ED2B56" w:rsidRDefault="00ED2B56" w:rsidP="00CB32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26EF"/>
    <w:multiLevelType w:val="hybridMultilevel"/>
    <w:tmpl w:val="C49405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78269D8"/>
    <w:multiLevelType w:val="multilevel"/>
    <w:tmpl w:val="0C1A81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3500C08"/>
    <w:multiLevelType w:val="hybridMultilevel"/>
    <w:tmpl w:val="97F037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ED"/>
    <w:rsid w:val="00002D5B"/>
    <w:rsid w:val="0000343B"/>
    <w:rsid w:val="000063C0"/>
    <w:rsid w:val="00006EE0"/>
    <w:rsid w:val="00030D78"/>
    <w:rsid w:val="00030FD8"/>
    <w:rsid w:val="00040AAA"/>
    <w:rsid w:val="00040F9C"/>
    <w:rsid w:val="000426A1"/>
    <w:rsid w:val="00043C0A"/>
    <w:rsid w:val="0004595C"/>
    <w:rsid w:val="00053B7D"/>
    <w:rsid w:val="000544AF"/>
    <w:rsid w:val="00060773"/>
    <w:rsid w:val="000631CF"/>
    <w:rsid w:val="00075E97"/>
    <w:rsid w:val="00084F3D"/>
    <w:rsid w:val="00087371"/>
    <w:rsid w:val="00097E8E"/>
    <w:rsid w:val="000A28CE"/>
    <w:rsid w:val="000B3A5F"/>
    <w:rsid w:val="000B48CF"/>
    <w:rsid w:val="000B7220"/>
    <w:rsid w:val="000B7A7F"/>
    <w:rsid w:val="000C6899"/>
    <w:rsid w:val="000D3943"/>
    <w:rsid w:val="000D4CD4"/>
    <w:rsid w:val="00110D5B"/>
    <w:rsid w:val="00112668"/>
    <w:rsid w:val="00114046"/>
    <w:rsid w:val="00127BF7"/>
    <w:rsid w:val="001329EF"/>
    <w:rsid w:val="00134F09"/>
    <w:rsid w:val="001352EC"/>
    <w:rsid w:val="001368E2"/>
    <w:rsid w:val="00140CF1"/>
    <w:rsid w:val="001417AC"/>
    <w:rsid w:val="001427A5"/>
    <w:rsid w:val="00142CAF"/>
    <w:rsid w:val="001464BF"/>
    <w:rsid w:val="001500EA"/>
    <w:rsid w:val="00151580"/>
    <w:rsid w:val="00155542"/>
    <w:rsid w:val="00155A86"/>
    <w:rsid w:val="00162F56"/>
    <w:rsid w:val="001634F9"/>
    <w:rsid w:val="00163529"/>
    <w:rsid w:val="001853BB"/>
    <w:rsid w:val="00186F32"/>
    <w:rsid w:val="001878B3"/>
    <w:rsid w:val="00191F64"/>
    <w:rsid w:val="001A3638"/>
    <w:rsid w:val="001B168F"/>
    <w:rsid w:val="001D6C1B"/>
    <w:rsid w:val="001E1DBA"/>
    <w:rsid w:val="001F0D83"/>
    <w:rsid w:val="001F50D2"/>
    <w:rsid w:val="001F62E4"/>
    <w:rsid w:val="00207DA2"/>
    <w:rsid w:val="00240F2C"/>
    <w:rsid w:val="002458E8"/>
    <w:rsid w:val="00251BA4"/>
    <w:rsid w:val="0025743D"/>
    <w:rsid w:val="00257D82"/>
    <w:rsid w:val="00266D27"/>
    <w:rsid w:val="00270827"/>
    <w:rsid w:val="00272951"/>
    <w:rsid w:val="00276822"/>
    <w:rsid w:val="00286154"/>
    <w:rsid w:val="00286C01"/>
    <w:rsid w:val="002877E8"/>
    <w:rsid w:val="00290D9D"/>
    <w:rsid w:val="00292F50"/>
    <w:rsid w:val="00294271"/>
    <w:rsid w:val="00294B02"/>
    <w:rsid w:val="002954FF"/>
    <w:rsid w:val="002A420C"/>
    <w:rsid w:val="002B08E9"/>
    <w:rsid w:val="002B4680"/>
    <w:rsid w:val="002B55C6"/>
    <w:rsid w:val="002B7CB1"/>
    <w:rsid w:val="002D0980"/>
    <w:rsid w:val="002D2326"/>
    <w:rsid w:val="002D3D2E"/>
    <w:rsid w:val="002E4D21"/>
    <w:rsid w:val="002E527E"/>
    <w:rsid w:val="002F60B0"/>
    <w:rsid w:val="003069B6"/>
    <w:rsid w:val="00324A68"/>
    <w:rsid w:val="00327C43"/>
    <w:rsid w:val="00332DA8"/>
    <w:rsid w:val="00333656"/>
    <w:rsid w:val="003435C7"/>
    <w:rsid w:val="0035522A"/>
    <w:rsid w:val="0035549A"/>
    <w:rsid w:val="00360F6E"/>
    <w:rsid w:val="00360FD6"/>
    <w:rsid w:val="00373AF7"/>
    <w:rsid w:val="00375D4B"/>
    <w:rsid w:val="003870F1"/>
    <w:rsid w:val="00392ABE"/>
    <w:rsid w:val="00395E08"/>
    <w:rsid w:val="00395FEA"/>
    <w:rsid w:val="00397ED4"/>
    <w:rsid w:val="003B2826"/>
    <w:rsid w:val="003B70DC"/>
    <w:rsid w:val="003C2694"/>
    <w:rsid w:val="003C5ADF"/>
    <w:rsid w:val="003D0161"/>
    <w:rsid w:val="003D490C"/>
    <w:rsid w:val="003E02F7"/>
    <w:rsid w:val="003E2E69"/>
    <w:rsid w:val="003E6A6D"/>
    <w:rsid w:val="003E7F5C"/>
    <w:rsid w:val="003F41C4"/>
    <w:rsid w:val="003F5563"/>
    <w:rsid w:val="003F7C30"/>
    <w:rsid w:val="004106FE"/>
    <w:rsid w:val="00411C49"/>
    <w:rsid w:val="00425A89"/>
    <w:rsid w:val="0043301B"/>
    <w:rsid w:val="00445745"/>
    <w:rsid w:val="004468D6"/>
    <w:rsid w:val="00446A07"/>
    <w:rsid w:val="00452843"/>
    <w:rsid w:val="00453616"/>
    <w:rsid w:val="00453AD0"/>
    <w:rsid w:val="00460044"/>
    <w:rsid w:val="00461D00"/>
    <w:rsid w:val="0046329E"/>
    <w:rsid w:val="00464D56"/>
    <w:rsid w:val="00465A1A"/>
    <w:rsid w:val="00467DBE"/>
    <w:rsid w:val="00470785"/>
    <w:rsid w:val="00470D5A"/>
    <w:rsid w:val="0047104E"/>
    <w:rsid w:val="00473ACE"/>
    <w:rsid w:val="00477148"/>
    <w:rsid w:val="004822E1"/>
    <w:rsid w:val="0048401C"/>
    <w:rsid w:val="004867F5"/>
    <w:rsid w:val="00493731"/>
    <w:rsid w:val="00496B5C"/>
    <w:rsid w:val="004A4010"/>
    <w:rsid w:val="004A4E78"/>
    <w:rsid w:val="004A6F6B"/>
    <w:rsid w:val="004B3CF9"/>
    <w:rsid w:val="004D7BE2"/>
    <w:rsid w:val="004D7C18"/>
    <w:rsid w:val="004E7F81"/>
    <w:rsid w:val="004F4512"/>
    <w:rsid w:val="004F7959"/>
    <w:rsid w:val="0050633F"/>
    <w:rsid w:val="00510B09"/>
    <w:rsid w:val="0051396B"/>
    <w:rsid w:val="0051416A"/>
    <w:rsid w:val="0052153C"/>
    <w:rsid w:val="0052777D"/>
    <w:rsid w:val="005333CA"/>
    <w:rsid w:val="0053501B"/>
    <w:rsid w:val="005414C4"/>
    <w:rsid w:val="00541F10"/>
    <w:rsid w:val="00547686"/>
    <w:rsid w:val="005527B0"/>
    <w:rsid w:val="0055350B"/>
    <w:rsid w:val="00573D5E"/>
    <w:rsid w:val="00577B9A"/>
    <w:rsid w:val="005806FE"/>
    <w:rsid w:val="005921B9"/>
    <w:rsid w:val="005A058A"/>
    <w:rsid w:val="005B0790"/>
    <w:rsid w:val="005B32CF"/>
    <w:rsid w:val="005B414D"/>
    <w:rsid w:val="005C3ACB"/>
    <w:rsid w:val="005C4445"/>
    <w:rsid w:val="005C6E56"/>
    <w:rsid w:val="005D4561"/>
    <w:rsid w:val="005D64CF"/>
    <w:rsid w:val="005D69CD"/>
    <w:rsid w:val="005E39B6"/>
    <w:rsid w:val="005E3DFE"/>
    <w:rsid w:val="00614904"/>
    <w:rsid w:val="00615351"/>
    <w:rsid w:val="0062058B"/>
    <w:rsid w:val="00621884"/>
    <w:rsid w:val="0062439D"/>
    <w:rsid w:val="0062709B"/>
    <w:rsid w:val="00630560"/>
    <w:rsid w:val="00640B9C"/>
    <w:rsid w:val="00641765"/>
    <w:rsid w:val="006440FA"/>
    <w:rsid w:val="00646CAA"/>
    <w:rsid w:val="00650FCA"/>
    <w:rsid w:val="00650FCB"/>
    <w:rsid w:val="0066015C"/>
    <w:rsid w:val="00664FD4"/>
    <w:rsid w:val="00667655"/>
    <w:rsid w:val="00671BB6"/>
    <w:rsid w:val="006755A0"/>
    <w:rsid w:val="006855B5"/>
    <w:rsid w:val="0068587C"/>
    <w:rsid w:val="006A14E5"/>
    <w:rsid w:val="006A2428"/>
    <w:rsid w:val="006A7BA8"/>
    <w:rsid w:val="006A7CFC"/>
    <w:rsid w:val="006B46A7"/>
    <w:rsid w:val="006B5F74"/>
    <w:rsid w:val="006B771D"/>
    <w:rsid w:val="006B7C1B"/>
    <w:rsid w:val="006C17E6"/>
    <w:rsid w:val="006C7B93"/>
    <w:rsid w:val="006D1522"/>
    <w:rsid w:val="006D218E"/>
    <w:rsid w:val="006D3AA9"/>
    <w:rsid w:val="006D5A35"/>
    <w:rsid w:val="006E1906"/>
    <w:rsid w:val="006E5CE5"/>
    <w:rsid w:val="006F463E"/>
    <w:rsid w:val="007135F7"/>
    <w:rsid w:val="007224ED"/>
    <w:rsid w:val="007228E4"/>
    <w:rsid w:val="00730840"/>
    <w:rsid w:val="00732A0D"/>
    <w:rsid w:val="00743078"/>
    <w:rsid w:val="0075084F"/>
    <w:rsid w:val="00752DE1"/>
    <w:rsid w:val="00752E2C"/>
    <w:rsid w:val="007540D9"/>
    <w:rsid w:val="0075743A"/>
    <w:rsid w:val="00765458"/>
    <w:rsid w:val="00770B96"/>
    <w:rsid w:val="00775B22"/>
    <w:rsid w:val="00785AB2"/>
    <w:rsid w:val="007865A8"/>
    <w:rsid w:val="007905F8"/>
    <w:rsid w:val="00790693"/>
    <w:rsid w:val="0079272F"/>
    <w:rsid w:val="00793823"/>
    <w:rsid w:val="00795EE1"/>
    <w:rsid w:val="007A2E6A"/>
    <w:rsid w:val="007A39C4"/>
    <w:rsid w:val="007A3D53"/>
    <w:rsid w:val="007B247C"/>
    <w:rsid w:val="007C0089"/>
    <w:rsid w:val="007C1C38"/>
    <w:rsid w:val="007C1CA5"/>
    <w:rsid w:val="007C3613"/>
    <w:rsid w:val="007D385E"/>
    <w:rsid w:val="007D453E"/>
    <w:rsid w:val="007D7970"/>
    <w:rsid w:val="007E3674"/>
    <w:rsid w:val="007F020F"/>
    <w:rsid w:val="007F69B8"/>
    <w:rsid w:val="007F7D19"/>
    <w:rsid w:val="008035F8"/>
    <w:rsid w:val="00810920"/>
    <w:rsid w:val="0083286A"/>
    <w:rsid w:val="00832E5B"/>
    <w:rsid w:val="00833793"/>
    <w:rsid w:val="00835B99"/>
    <w:rsid w:val="008365B2"/>
    <w:rsid w:val="00854B25"/>
    <w:rsid w:val="00860D97"/>
    <w:rsid w:val="00871846"/>
    <w:rsid w:val="00873666"/>
    <w:rsid w:val="00882EE3"/>
    <w:rsid w:val="00891267"/>
    <w:rsid w:val="008921F5"/>
    <w:rsid w:val="008A6010"/>
    <w:rsid w:val="008C3657"/>
    <w:rsid w:val="008C5B69"/>
    <w:rsid w:val="008C60C9"/>
    <w:rsid w:val="008C7239"/>
    <w:rsid w:val="008C770A"/>
    <w:rsid w:val="008F4189"/>
    <w:rsid w:val="008F67AF"/>
    <w:rsid w:val="00901E6D"/>
    <w:rsid w:val="00906432"/>
    <w:rsid w:val="00907CAD"/>
    <w:rsid w:val="00912D58"/>
    <w:rsid w:val="00916540"/>
    <w:rsid w:val="0093437F"/>
    <w:rsid w:val="00956FB4"/>
    <w:rsid w:val="0097177C"/>
    <w:rsid w:val="0097419A"/>
    <w:rsid w:val="00974A13"/>
    <w:rsid w:val="00976152"/>
    <w:rsid w:val="00986738"/>
    <w:rsid w:val="00992A29"/>
    <w:rsid w:val="009939E0"/>
    <w:rsid w:val="0099678F"/>
    <w:rsid w:val="00997761"/>
    <w:rsid w:val="009A225A"/>
    <w:rsid w:val="009A59DF"/>
    <w:rsid w:val="009A608D"/>
    <w:rsid w:val="009B07F2"/>
    <w:rsid w:val="009B08FA"/>
    <w:rsid w:val="009B6C68"/>
    <w:rsid w:val="009B6DD2"/>
    <w:rsid w:val="009C369E"/>
    <w:rsid w:val="009C55CB"/>
    <w:rsid w:val="009E3F13"/>
    <w:rsid w:val="009E72F6"/>
    <w:rsid w:val="009E7F0B"/>
    <w:rsid w:val="009F5D43"/>
    <w:rsid w:val="00A00DE8"/>
    <w:rsid w:val="00A0202B"/>
    <w:rsid w:val="00A0250C"/>
    <w:rsid w:val="00A058B7"/>
    <w:rsid w:val="00A1194E"/>
    <w:rsid w:val="00A13129"/>
    <w:rsid w:val="00A15D41"/>
    <w:rsid w:val="00A21950"/>
    <w:rsid w:val="00A219EF"/>
    <w:rsid w:val="00A239C9"/>
    <w:rsid w:val="00A23C42"/>
    <w:rsid w:val="00A31702"/>
    <w:rsid w:val="00A32702"/>
    <w:rsid w:val="00A54E98"/>
    <w:rsid w:val="00A60827"/>
    <w:rsid w:val="00A63D7B"/>
    <w:rsid w:val="00A670C8"/>
    <w:rsid w:val="00A8076D"/>
    <w:rsid w:val="00A87479"/>
    <w:rsid w:val="00A92129"/>
    <w:rsid w:val="00AA2C07"/>
    <w:rsid w:val="00AB4C71"/>
    <w:rsid w:val="00AC1A28"/>
    <w:rsid w:val="00AD21F3"/>
    <w:rsid w:val="00AD756E"/>
    <w:rsid w:val="00AE086B"/>
    <w:rsid w:val="00AE0FC1"/>
    <w:rsid w:val="00AE6F71"/>
    <w:rsid w:val="00B01C76"/>
    <w:rsid w:val="00B15D6D"/>
    <w:rsid w:val="00B300DA"/>
    <w:rsid w:val="00B3548A"/>
    <w:rsid w:val="00B40130"/>
    <w:rsid w:val="00B421C1"/>
    <w:rsid w:val="00B424AE"/>
    <w:rsid w:val="00B469AE"/>
    <w:rsid w:val="00B55B9A"/>
    <w:rsid w:val="00B56146"/>
    <w:rsid w:val="00B566DD"/>
    <w:rsid w:val="00B613ED"/>
    <w:rsid w:val="00B7595B"/>
    <w:rsid w:val="00B76492"/>
    <w:rsid w:val="00B77DB8"/>
    <w:rsid w:val="00B77ECF"/>
    <w:rsid w:val="00B80E6C"/>
    <w:rsid w:val="00B85117"/>
    <w:rsid w:val="00B85EA3"/>
    <w:rsid w:val="00B86B26"/>
    <w:rsid w:val="00B9105C"/>
    <w:rsid w:val="00B9639C"/>
    <w:rsid w:val="00BA2792"/>
    <w:rsid w:val="00BA532B"/>
    <w:rsid w:val="00BA5552"/>
    <w:rsid w:val="00BB2EB4"/>
    <w:rsid w:val="00BB7BEF"/>
    <w:rsid w:val="00BC0488"/>
    <w:rsid w:val="00BD3D9A"/>
    <w:rsid w:val="00BE3265"/>
    <w:rsid w:val="00BE38AE"/>
    <w:rsid w:val="00BE610C"/>
    <w:rsid w:val="00BF026E"/>
    <w:rsid w:val="00BF3656"/>
    <w:rsid w:val="00C01E83"/>
    <w:rsid w:val="00C05667"/>
    <w:rsid w:val="00C05746"/>
    <w:rsid w:val="00C07E02"/>
    <w:rsid w:val="00C12962"/>
    <w:rsid w:val="00C12D36"/>
    <w:rsid w:val="00C13080"/>
    <w:rsid w:val="00C16FF6"/>
    <w:rsid w:val="00C17E37"/>
    <w:rsid w:val="00C230D0"/>
    <w:rsid w:val="00C262A7"/>
    <w:rsid w:val="00C356B4"/>
    <w:rsid w:val="00C367FE"/>
    <w:rsid w:val="00C40303"/>
    <w:rsid w:val="00C4201F"/>
    <w:rsid w:val="00C43518"/>
    <w:rsid w:val="00C43F6B"/>
    <w:rsid w:val="00C44D61"/>
    <w:rsid w:val="00C50D34"/>
    <w:rsid w:val="00C50FAC"/>
    <w:rsid w:val="00C52B09"/>
    <w:rsid w:val="00C60081"/>
    <w:rsid w:val="00C610EB"/>
    <w:rsid w:val="00C62129"/>
    <w:rsid w:val="00C66A14"/>
    <w:rsid w:val="00C67381"/>
    <w:rsid w:val="00C74BF2"/>
    <w:rsid w:val="00CB3241"/>
    <w:rsid w:val="00CC2DB5"/>
    <w:rsid w:val="00CD460C"/>
    <w:rsid w:val="00CD74C2"/>
    <w:rsid w:val="00CF6095"/>
    <w:rsid w:val="00CF636F"/>
    <w:rsid w:val="00D00C8B"/>
    <w:rsid w:val="00D01776"/>
    <w:rsid w:val="00D172F0"/>
    <w:rsid w:val="00D26B64"/>
    <w:rsid w:val="00D505CD"/>
    <w:rsid w:val="00D52F98"/>
    <w:rsid w:val="00D5697D"/>
    <w:rsid w:val="00D61B84"/>
    <w:rsid w:val="00D64F5F"/>
    <w:rsid w:val="00D67326"/>
    <w:rsid w:val="00D678D2"/>
    <w:rsid w:val="00D71A8B"/>
    <w:rsid w:val="00D73BBB"/>
    <w:rsid w:val="00D75B56"/>
    <w:rsid w:val="00D80B7F"/>
    <w:rsid w:val="00D846AC"/>
    <w:rsid w:val="00D848E8"/>
    <w:rsid w:val="00D87523"/>
    <w:rsid w:val="00D90141"/>
    <w:rsid w:val="00D90AA3"/>
    <w:rsid w:val="00D97A00"/>
    <w:rsid w:val="00DB6569"/>
    <w:rsid w:val="00DB76BC"/>
    <w:rsid w:val="00DC0C6A"/>
    <w:rsid w:val="00DC68D1"/>
    <w:rsid w:val="00DD2C6B"/>
    <w:rsid w:val="00DD44C2"/>
    <w:rsid w:val="00DD46C0"/>
    <w:rsid w:val="00DE358B"/>
    <w:rsid w:val="00DE4F9C"/>
    <w:rsid w:val="00DF6BB0"/>
    <w:rsid w:val="00E022E8"/>
    <w:rsid w:val="00E028D6"/>
    <w:rsid w:val="00E20E3B"/>
    <w:rsid w:val="00E3536D"/>
    <w:rsid w:val="00E45D22"/>
    <w:rsid w:val="00E47411"/>
    <w:rsid w:val="00E53781"/>
    <w:rsid w:val="00E6291F"/>
    <w:rsid w:val="00E6294F"/>
    <w:rsid w:val="00E62FF4"/>
    <w:rsid w:val="00E64D9C"/>
    <w:rsid w:val="00E65D36"/>
    <w:rsid w:val="00E66F82"/>
    <w:rsid w:val="00E7428C"/>
    <w:rsid w:val="00E77166"/>
    <w:rsid w:val="00E817A8"/>
    <w:rsid w:val="00E83220"/>
    <w:rsid w:val="00E85A4C"/>
    <w:rsid w:val="00E86978"/>
    <w:rsid w:val="00E93611"/>
    <w:rsid w:val="00E974C9"/>
    <w:rsid w:val="00EA232D"/>
    <w:rsid w:val="00EA322F"/>
    <w:rsid w:val="00EA5E75"/>
    <w:rsid w:val="00EB164D"/>
    <w:rsid w:val="00EB1BCA"/>
    <w:rsid w:val="00EB1F2D"/>
    <w:rsid w:val="00EB5A44"/>
    <w:rsid w:val="00EB6D81"/>
    <w:rsid w:val="00EB7348"/>
    <w:rsid w:val="00ED1441"/>
    <w:rsid w:val="00ED2B56"/>
    <w:rsid w:val="00ED2F68"/>
    <w:rsid w:val="00EE0D95"/>
    <w:rsid w:val="00EE1E05"/>
    <w:rsid w:val="00EE6D8D"/>
    <w:rsid w:val="00EF6877"/>
    <w:rsid w:val="00F14831"/>
    <w:rsid w:val="00F21463"/>
    <w:rsid w:val="00F228C4"/>
    <w:rsid w:val="00F246DD"/>
    <w:rsid w:val="00F27393"/>
    <w:rsid w:val="00F275F4"/>
    <w:rsid w:val="00F33504"/>
    <w:rsid w:val="00F35107"/>
    <w:rsid w:val="00F4765B"/>
    <w:rsid w:val="00F53D55"/>
    <w:rsid w:val="00F61722"/>
    <w:rsid w:val="00F63E46"/>
    <w:rsid w:val="00F64516"/>
    <w:rsid w:val="00F70B8C"/>
    <w:rsid w:val="00F910DD"/>
    <w:rsid w:val="00F9523C"/>
    <w:rsid w:val="00F96E54"/>
    <w:rsid w:val="00FA11DA"/>
    <w:rsid w:val="00FB194E"/>
    <w:rsid w:val="00FC18C5"/>
    <w:rsid w:val="00FC3FDA"/>
    <w:rsid w:val="00FC485C"/>
    <w:rsid w:val="00FC7A35"/>
    <w:rsid w:val="00FD1266"/>
    <w:rsid w:val="00FE1E80"/>
    <w:rsid w:val="00FE1EF8"/>
    <w:rsid w:val="00FE3500"/>
    <w:rsid w:val="00FE424C"/>
    <w:rsid w:val="00FE4D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BEFBD"/>
  <w15:docId w15:val="{603AE763-F12B-4A37-9A38-F12A461A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ED"/>
    <w:pPr>
      <w:spacing w:after="0"/>
      <w:contextualSpacing/>
    </w:pPr>
    <w:rPr>
      <w:rFonts w:ascii="Arial" w:eastAsia="Arial" w:hAnsi="Arial" w:cs="Arial"/>
      <w:lang w:eastAsia="pt-BR"/>
    </w:rPr>
  </w:style>
  <w:style w:type="paragraph" w:styleId="Ttulo2">
    <w:name w:val="heading 2"/>
    <w:basedOn w:val="Normal"/>
    <w:link w:val="Ttulo2Char"/>
    <w:uiPriority w:val="9"/>
    <w:qFormat/>
    <w:rsid w:val="00BE3265"/>
    <w:pPr>
      <w:spacing w:before="100" w:beforeAutospacing="1" w:after="100" w:afterAutospacing="1" w:line="240" w:lineRule="auto"/>
      <w:contextualSpacing w:val="0"/>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224ED"/>
    <w:pPr>
      <w:ind w:left="720"/>
    </w:pPr>
  </w:style>
  <w:style w:type="paragraph" w:styleId="NormalWeb">
    <w:name w:val="Normal (Web)"/>
    <w:basedOn w:val="Normal"/>
    <w:uiPriority w:val="99"/>
    <w:unhideWhenUsed/>
    <w:rsid w:val="00C01E83"/>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Hyperlink">
    <w:name w:val="Hyperlink"/>
    <w:basedOn w:val="Fontepargpadro"/>
    <w:uiPriority w:val="99"/>
    <w:unhideWhenUsed/>
    <w:rsid w:val="00B7595B"/>
    <w:rPr>
      <w:color w:val="0000FF" w:themeColor="hyperlink"/>
      <w:u w:val="single"/>
    </w:rPr>
  </w:style>
  <w:style w:type="character" w:styleId="MenoPendente">
    <w:name w:val="Unresolved Mention"/>
    <w:basedOn w:val="Fontepargpadro"/>
    <w:uiPriority w:val="99"/>
    <w:semiHidden/>
    <w:unhideWhenUsed/>
    <w:rsid w:val="00B7595B"/>
    <w:rPr>
      <w:color w:val="605E5C"/>
      <w:shd w:val="clear" w:color="auto" w:fill="E1DFDD"/>
    </w:rPr>
  </w:style>
  <w:style w:type="character" w:customStyle="1" w:styleId="Ttulo2Char">
    <w:name w:val="Título 2 Char"/>
    <w:basedOn w:val="Fontepargpadro"/>
    <w:link w:val="Ttulo2"/>
    <w:uiPriority w:val="9"/>
    <w:rsid w:val="00BE3265"/>
    <w:rPr>
      <w:rFonts w:ascii="Times New Roman" w:eastAsia="Times New Roman" w:hAnsi="Times New Roman" w:cs="Times New Roman"/>
      <w:b/>
      <w:bCs/>
      <w:sz w:val="36"/>
      <w:szCs w:val="36"/>
      <w:lang w:eastAsia="pt-BR"/>
    </w:rPr>
  </w:style>
  <w:style w:type="character" w:styleId="HiperlinkVisitado">
    <w:name w:val="FollowedHyperlink"/>
    <w:basedOn w:val="Fontepargpadro"/>
    <w:uiPriority w:val="99"/>
    <w:semiHidden/>
    <w:unhideWhenUsed/>
    <w:rsid w:val="00DD2C6B"/>
    <w:rPr>
      <w:color w:val="800080" w:themeColor="followedHyperlink"/>
      <w:u w:val="single"/>
    </w:rPr>
  </w:style>
  <w:style w:type="paragraph" w:styleId="Pr-formataoHTML">
    <w:name w:val="HTML Preformatted"/>
    <w:basedOn w:val="Normal"/>
    <w:link w:val="Pr-formataoHTMLChar"/>
    <w:uiPriority w:val="99"/>
    <w:semiHidden/>
    <w:unhideWhenUsed/>
    <w:rsid w:val="00CF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F636F"/>
    <w:rPr>
      <w:rFonts w:ascii="Courier New" w:eastAsia="Times New Roman" w:hAnsi="Courier New" w:cs="Courier New"/>
      <w:sz w:val="20"/>
      <w:szCs w:val="20"/>
      <w:lang w:eastAsia="pt-BR"/>
    </w:rPr>
  </w:style>
  <w:style w:type="table" w:styleId="Tabelacomgrade">
    <w:name w:val="Table Grid"/>
    <w:basedOn w:val="Tabelanormal"/>
    <w:uiPriority w:val="39"/>
    <w:rsid w:val="00577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B3241"/>
    <w:pPr>
      <w:tabs>
        <w:tab w:val="center" w:pos="4252"/>
        <w:tab w:val="right" w:pos="8504"/>
      </w:tabs>
      <w:spacing w:line="240" w:lineRule="auto"/>
    </w:pPr>
  </w:style>
  <w:style w:type="character" w:customStyle="1" w:styleId="CabealhoChar">
    <w:name w:val="Cabeçalho Char"/>
    <w:basedOn w:val="Fontepargpadro"/>
    <w:link w:val="Cabealho"/>
    <w:uiPriority w:val="99"/>
    <w:rsid w:val="00CB3241"/>
    <w:rPr>
      <w:rFonts w:ascii="Arial" w:eastAsia="Arial" w:hAnsi="Arial" w:cs="Arial"/>
      <w:lang w:eastAsia="pt-BR"/>
    </w:rPr>
  </w:style>
  <w:style w:type="paragraph" w:styleId="Rodap">
    <w:name w:val="footer"/>
    <w:basedOn w:val="Normal"/>
    <w:link w:val="RodapChar"/>
    <w:uiPriority w:val="99"/>
    <w:unhideWhenUsed/>
    <w:rsid w:val="00CB3241"/>
    <w:pPr>
      <w:tabs>
        <w:tab w:val="center" w:pos="4252"/>
        <w:tab w:val="right" w:pos="8504"/>
      </w:tabs>
      <w:spacing w:line="240" w:lineRule="auto"/>
    </w:pPr>
  </w:style>
  <w:style w:type="character" w:customStyle="1" w:styleId="RodapChar">
    <w:name w:val="Rodapé Char"/>
    <w:basedOn w:val="Fontepargpadro"/>
    <w:link w:val="Rodap"/>
    <w:uiPriority w:val="99"/>
    <w:rsid w:val="00CB3241"/>
    <w:rPr>
      <w:rFonts w:ascii="Arial" w:eastAsia="Arial" w:hAnsi="Arial" w:cs="Arial"/>
      <w:lang w:eastAsia="pt-BR"/>
    </w:rPr>
  </w:style>
  <w:style w:type="paragraph" w:customStyle="1" w:styleId="Default">
    <w:name w:val="Default"/>
    <w:rsid w:val="004A6F6B"/>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9014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0141"/>
    <w:rPr>
      <w:rFonts w:ascii="Segoe UI" w:eastAsia="Arial"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9498">
      <w:bodyDiv w:val="1"/>
      <w:marLeft w:val="0"/>
      <w:marRight w:val="0"/>
      <w:marTop w:val="0"/>
      <w:marBottom w:val="0"/>
      <w:divBdr>
        <w:top w:val="none" w:sz="0" w:space="0" w:color="auto"/>
        <w:left w:val="none" w:sz="0" w:space="0" w:color="auto"/>
        <w:bottom w:val="none" w:sz="0" w:space="0" w:color="auto"/>
        <w:right w:val="none" w:sz="0" w:space="0" w:color="auto"/>
      </w:divBdr>
    </w:div>
    <w:div w:id="156460712">
      <w:bodyDiv w:val="1"/>
      <w:marLeft w:val="0"/>
      <w:marRight w:val="0"/>
      <w:marTop w:val="0"/>
      <w:marBottom w:val="0"/>
      <w:divBdr>
        <w:top w:val="none" w:sz="0" w:space="0" w:color="auto"/>
        <w:left w:val="none" w:sz="0" w:space="0" w:color="auto"/>
        <w:bottom w:val="none" w:sz="0" w:space="0" w:color="auto"/>
        <w:right w:val="none" w:sz="0" w:space="0" w:color="auto"/>
      </w:divBdr>
    </w:div>
    <w:div w:id="180244356">
      <w:bodyDiv w:val="1"/>
      <w:marLeft w:val="0"/>
      <w:marRight w:val="0"/>
      <w:marTop w:val="0"/>
      <w:marBottom w:val="0"/>
      <w:divBdr>
        <w:top w:val="none" w:sz="0" w:space="0" w:color="auto"/>
        <w:left w:val="none" w:sz="0" w:space="0" w:color="auto"/>
        <w:bottom w:val="none" w:sz="0" w:space="0" w:color="auto"/>
        <w:right w:val="none" w:sz="0" w:space="0" w:color="auto"/>
      </w:divBdr>
    </w:div>
    <w:div w:id="266348479">
      <w:bodyDiv w:val="1"/>
      <w:marLeft w:val="0"/>
      <w:marRight w:val="0"/>
      <w:marTop w:val="0"/>
      <w:marBottom w:val="0"/>
      <w:divBdr>
        <w:top w:val="none" w:sz="0" w:space="0" w:color="auto"/>
        <w:left w:val="none" w:sz="0" w:space="0" w:color="auto"/>
        <w:bottom w:val="none" w:sz="0" w:space="0" w:color="auto"/>
        <w:right w:val="none" w:sz="0" w:space="0" w:color="auto"/>
      </w:divBdr>
      <w:divsChild>
        <w:div w:id="1656177372">
          <w:marLeft w:val="0"/>
          <w:marRight w:val="0"/>
          <w:marTop w:val="0"/>
          <w:marBottom w:val="0"/>
          <w:divBdr>
            <w:top w:val="none" w:sz="0" w:space="0" w:color="auto"/>
            <w:left w:val="none" w:sz="0" w:space="0" w:color="auto"/>
            <w:bottom w:val="none" w:sz="0" w:space="0" w:color="auto"/>
            <w:right w:val="none" w:sz="0" w:space="0" w:color="auto"/>
          </w:divBdr>
        </w:div>
        <w:div w:id="547185939">
          <w:marLeft w:val="0"/>
          <w:marRight w:val="0"/>
          <w:marTop w:val="0"/>
          <w:marBottom w:val="0"/>
          <w:divBdr>
            <w:top w:val="none" w:sz="0" w:space="0" w:color="auto"/>
            <w:left w:val="none" w:sz="0" w:space="0" w:color="auto"/>
            <w:bottom w:val="none" w:sz="0" w:space="0" w:color="auto"/>
            <w:right w:val="none" w:sz="0" w:space="0" w:color="auto"/>
          </w:divBdr>
        </w:div>
        <w:div w:id="770703875">
          <w:marLeft w:val="0"/>
          <w:marRight w:val="0"/>
          <w:marTop w:val="0"/>
          <w:marBottom w:val="0"/>
          <w:divBdr>
            <w:top w:val="none" w:sz="0" w:space="0" w:color="auto"/>
            <w:left w:val="none" w:sz="0" w:space="0" w:color="auto"/>
            <w:bottom w:val="none" w:sz="0" w:space="0" w:color="auto"/>
            <w:right w:val="none" w:sz="0" w:space="0" w:color="auto"/>
          </w:divBdr>
        </w:div>
        <w:div w:id="598368746">
          <w:marLeft w:val="0"/>
          <w:marRight w:val="0"/>
          <w:marTop w:val="0"/>
          <w:marBottom w:val="0"/>
          <w:divBdr>
            <w:top w:val="none" w:sz="0" w:space="0" w:color="auto"/>
            <w:left w:val="none" w:sz="0" w:space="0" w:color="auto"/>
            <w:bottom w:val="none" w:sz="0" w:space="0" w:color="auto"/>
            <w:right w:val="none" w:sz="0" w:space="0" w:color="auto"/>
          </w:divBdr>
        </w:div>
        <w:div w:id="1738506135">
          <w:marLeft w:val="0"/>
          <w:marRight w:val="0"/>
          <w:marTop w:val="0"/>
          <w:marBottom w:val="0"/>
          <w:divBdr>
            <w:top w:val="none" w:sz="0" w:space="0" w:color="auto"/>
            <w:left w:val="none" w:sz="0" w:space="0" w:color="auto"/>
            <w:bottom w:val="none" w:sz="0" w:space="0" w:color="auto"/>
            <w:right w:val="none" w:sz="0" w:space="0" w:color="auto"/>
          </w:divBdr>
        </w:div>
        <w:div w:id="1884708197">
          <w:marLeft w:val="0"/>
          <w:marRight w:val="0"/>
          <w:marTop w:val="0"/>
          <w:marBottom w:val="0"/>
          <w:divBdr>
            <w:top w:val="none" w:sz="0" w:space="0" w:color="auto"/>
            <w:left w:val="none" w:sz="0" w:space="0" w:color="auto"/>
            <w:bottom w:val="none" w:sz="0" w:space="0" w:color="auto"/>
            <w:right w:val="none" w:sz="0" w:space="0" w:color="auto"/>
          </w:divBdr>
        </w:div>
        <w:div w:id="259988640">
          <w:marLeft w:val="0"/>
          <w:marRight w:val="0"/>
          <w:marTop w:val="0"/>
          <w:marBottom w:val="0"/>
          <w:divBdr>
            <w:top w:val="none" w:sz="0" w:space="0" w:color="auto"/>
            <w:left w:val="none" w:sz="0" w:space="0" w:color="auto"/>
            <w:bottom w:val="none" w:sz="0" w:space="0" w:color="auto"/>
            <w:right w:val="none" w:sz="0" w:space="0" w:color="auto"/>
          </w:divBdr>
        </w:div>
        <w:div w:id="1008361643">
          <w:marLeft w:val="0"/>
          <w:marRight w:val="0"/>
          <w:marTop w:val="0"/>
          <w:marBottom w:val="0"/>
          <w:divBdr>
            <w:top w:val="none" w:sz="0" w:space="0" w:color="auto"/>
            <w:left w:val="none" w:sz="0" w:space="0" w:color="auto"/>
            <w:bottom w:val="none" w:sz="0" w:space="0" w:color="auto"/>
            <w:right w:val="none" w:sz="0" w:space="0" w:color="auto"/>
          </w:divBdr>
        </w:div>
        <w:div w:id="470826115">
          <w:marLeft w:val="0"/>
          <w:marRight w:val="0"/>
          <w:marTop w:val="0"/>
          <w:marBottom w:val="0"/>
          <w:divBdr>
            <w:top w:val="none" w:sz="0" w:space="0" w:color="auto"/>
            <w:left w:val="none" w:sz="0" w:space="0" w:color="auto"/>
            <w:bottom w:val="none" w:sz="0" w:space="0" w:color="auto"/>
            <w:right w:val="none" w:sz="0" w:space="0" w:color="auto"/>
          </w:divBdr>
        </w:div>
        <w:div w:id="390731316">
          <w:marLeft w:val="0"/>
          <w:marRight w:val="0"/>
          <w:marTop w:val="0"/>
          <w:marBottom w:val="0"/>
          <w:divBdr>
            <w:top w:val="none" w:sz="0" w:space="0" w:color="auto"/>
            <w:left w:val="none" w:sz="0" w:space="0" w:color="auto"/>
            <w:bottom w:val="none" w:sz="0" w:space="0" w:color="auto"/>
            <w:right w:val="none" w:sz="0" w:space="0" w:color="auto"/>
          </w:divBdr>
        </w:div>
        <w:div w:id="1331371096">
          <w:marLeft w:val="0"/>
          <w:marRight w:val="0"/>
          <w:marTop w:val="0"/>
          <w:marBottom w:val="0"/>
          <w:divBdr>
            <w:top w:val="none" w:sz="0" w:space="0" w:color="auto"/>
            <w:left w:val="none" w:sz="0" w:space="0" w:color="auto"/>
            <w:bottom w:val="none" w:sz="0" w:space="0" w:color="auto"/>
            <w:right w:val="none" w:sz="0" w:space="0" w:color="auto"/>
          </w:divBdr>
        </w:div>
        <w:div w:id="2101675742">
          <w:marLeft w:val="0"/>
          <w:marRight w:val="0"/>
          <w:marTop w:val="0"/>
          <w:marBottom w:val="0"/>
          <w:divBdr>
            <w:top w:val="none" w:sz="0" w:space="0" w:color="auto"/>
            <w:left w:val="none" w:sz="0" w:space="0" w:color="auto"/>
            <w:bottom w:val="none" w:sz="0" w:space="0" w:color="auto"/>
            <w:right w:val="none" w:sz="0" w:space="0" w:color="auto"/>
          </w:divBdr>
        </w:div>
        <w:div w:id="1928076813">
          <w:marLeft w:val="0"/>
          <w:marRight w:val="0"/>
          <w:marTop w:val="0"/>
          <w:marBottom w:val="0"/>
          <w:divBdr>
            <w:top w:val="none" w:sz="0" w:space="0" w:color="auto"/>
            <w:left w:val="none" w:sz="0" w:space="0" w:color="auto"/>
            <w:bottom w:val="none" w:sz="0" w:space="0" w:color="auto"/>
            <w:right w:val="none" w:sz="0" w:space="0" w:color="auto"/>
          </w:divBdr>
        </w:div>
        <w:div w:id="1713455966">
          <w:marLeft w:val="0"/>
          <w:marRight w:val="0"/>
          <w:marTop w:val="0"/>
          <w:marBottom w:val="0"/>
          <w:divBdr>
            <w:top w:val="none" w:sz="0" w:space="0" w:color="auto"/>
            <w:left w:val="none" w:sz="0" w:space="0" w:color="auto"/>
            <w:bottom w:val="none" w:sz="0" w:space="0" w:color="auto"/>
            <w:right w:val="none" w:sz="0" w:space="0" w:color="auto"/>
          </w:divBdr>
        </w:div>
      </w:divsChild>
    </w:div>
    <w:div w:id="404885332">
      <w:bodyDiv w:val="1"/>
      <w:marLeft w:val="0"/>
      <w:marRight w:val="0"/>
      <w:marTop w:val="0"/>
      <w:marBottom w:val="0"/>
      <w:divBdr>
        <w:top w:val="none" w:sz="0" w:space="0" w:color="auto"/>
        <w:left w:val="none" w:sz="0" w:space="0" w:color="auto"/>
        <w:bottom w:val="none" w:sz="0" w:space="0" w:color="auto"/>
        <w:right w:val="none" w:sz="0" w:space="0" w:color="auto"/>
      </w:divBdr>
    </w:div>
    <w:div w:id="485979033">
      <w:bodyDiv w:val="1"/>
      <w:marLeft w:val="0"/>
      <w:marRight w:val="0"/>
      <w:marTop w:val="0"/>
      <w:marBottom w:val="0"/>
      <w:divBdr>
        <w:top w:val="none" w:sz="0" w:space="0" w:color="auto"/>
        <w:left w:val="none" w:sz="0" w:space="0" w:color="auto"/>
        <w:bottom w:val="none" w:sz="0" w:space="0" w:color="auto"/>
        <w:right w:val="none" w:sz="0" w:space="0" w:color="auto"/>
      </w:divBdr>
    </w:div>
    <w:div w:id="579486453">
      <w:bodyDiv w:val="1"/>
      <w:marLeft w:val="0"/>
      <w:marRight w:val="0"/>
      <w:marTop w:val="0"/>
      <w:marBottom w:val="0"/>
      <w:divBdr>
        <w:top w:val="none" w:sz="0" w:space="0" w:color="auto"/>
        <w:left w:val="none" w:sz="0" w:space="0" w:color="auto"/>
        <w:bottom w:val="none" w:sz="0" w:space="0" w:color="auto"/>
        <w:right w:val="none" w:sz="0" w:space="0" w:color="auto"/>
      </w:divBdr>
      <w:divsChild>
        <w:div w:id="1642343789">
          <w:marLeft w:val="0"/>
          <w:marRight w:val="0"/>
          <w:marTop w:val="0"/>
          <w:marBottom w:val="0"/>
          <w:divBdr>
            <w:top w:val="none" w:sz="0" w:space="0" w:color="auto"/>
            <w:left w:val="none" w:sz="0" w:space="0" w:color="auto"/>
            <w:bottom w:val="none" w:sz="0" w:space="0" w:color="auto"/>
            <w:right w:val="none" w:sz="0" w:space="0" w:color="auto"/>
          </w:divBdr>
        </w:div>
        <w:div w:id="1423524675">
          <w:marLeft w:val="0"/>
          <w:marRight w:val="0"/>
          <w:marTop w:val="0"/>
          <w:marBottom w:val="0"/>
          <w:divBdr>
            <w:top w:val="none" w:sz="0" w:space="0" w:color="auto"/>
            <w:left w:val="none" w:sz="0" w:space="0" w:color="auto"/>
            <w:bottom w:val="none" w:sz="0" w:space="0" w:color="auto"/>
            <w:right w:val="none" w:sz="0" w:space="0" w:color="auto"/>
          </w:divBdr>
        </w:div>
        <w:div w:id="1860044698">
          <w:marLeft w:val="0"/>
          <w:marRight w:val="0"/>
          <w:marTop w:val="0"/>
          <w:marBottom w:val="0"/>
          <w:divBdr>
            <w:top w:val="none" w:sz="0" w:space="0" w:color="auto"/>
            <w:left w:val="none" w:sz="0" w:space="0" w:color="auto"/>
            <w:bottom w:val="none" w:sz="0" w:space="0" w:color="auto"/>
            <w:right w:val="none" w:sz="0" w:space="0" w:color="auto"/>
          </w:divBdr>
        </w:div>
      </w:divsChild>
    </w:div>
    <w:div w:id="625282206">
      <w:bodyDiv w:val="1"/>
      <w:marLeft w:val="0"/>
      <w:marRight w:val="0"/>
      <w:marTop w:val="0"/>
      <w:marBottom w:val="0"/>
      <w:divBdr>
        <w:top w:val="none" w:sz="0" w:space="0" w:color="auto"/>
        <w:left w:val="none" w:sz="0" w:space="0" w:color="auto"/>
        <w:bottom w:val="none" w:sz="0" w:space="0" w:color="auto"/>
        <w:right w:val="none" w:sz="0" w:space="0" w:color="auto"/>
      </w:divBdr>
      <w:divsChild>
        <w:div w:id="754472358">
          <w:marLeft w:val="0"/>
          <w:marRight w:val="0"/>
          <w:marTop w:val="0"/>
          <w:marBottom w:val="0"/>
          <w:divBdr>
            <w:top w:val="none" w:sz="0" w:space="0" w:color="auto"/>
            <w:left w:val="none" w:sz="0" w:space="0" w:color="auto"/>
            <w:bottom w:val="none" w:sz="0" w:space="0" w:color="auto"/>
            <w:right w:val="none" w:sz="0" w:space="0" w:color="auto"/>
          </w:divBdr>
        </w:div>
        <w:div w:id="1585071001">
          <w:marLeft w:val="0"/>
          <w:marRight w:val="0"/>
          <w:marTop w:val="0"/>
          <w:marBottom w:val="0"/>
          <w:divBdr>
            <w:top w:val="none" w:sz="0" w:space="0" w:color="auto"/>
            <w:left w:val="none" w:sz="0" w:space="0" w:color="auto"/>
            <w:bottom w:val="none" w:sz="0" w:space="0" w:color="auto"/>
            <w:right w:val="none" w:sz="0" w:space="0" w:color="auto"/>
          </w:divBdr>
        </w:div>
        <w:div w:id="1702704149">
          <w:marLeft w:val="0"/>
          <w:marRight w:val="0"/>
          <w:marTop w:val="0"/>
          <w:marBottom w:val="0"/>
          <w:divBdr>
            <w:top w:val="none" w:sz="0" w:space="0" w:color="auto"/>
            <w:left w:val="none" w:sz="0" w:space="0" w:color="auto"/>
            <w:bottom w:val="none" w:sz="0" w:space="0" w:color="auto"/>
            <w:right w:val="none" w:sz="0" w:space="0" w:color="auto"/>
          </w:divBdr>
        </w:div>
        <w:div w:id="270016596">
          <w:marLeft w:val="0"/>
          <w:marRight w:val="0"/>
          <w:marTop w:val="0"/>
          <w:marBottom w:val="0"/>
          <w:divBdr>
            <w:top w:val="none" w:sz="0" w:space="0" w:color="auto"/>
            <w:left w:val="none" w:sz="0" w:space="0" w:color="auto"/>
            <w:bottom w:val="none" w:sz="0" w:space="0" w:color="auto"/>
            <w:right w:val="none" w:sz="0" w:space="0" w:color="auto"/>
          </w:divBdr>
        </w:div>
        <w:div w:id="1495997425">
          <w:marLeft w:val="0"/>
          <w:marRight w:val="0"/>
          <w:marTop w:val="0"/>
          <w:marBottom w:val="0"/>
          <w:divBdr>
            <w:top w:val="none" w:sz="0" w:space="0" w:color="auto"/>
            <w:left w:val="none" w:sz="0" w:space="0" w:color="auto"/>
            <w:bottom w:val="none" w:sz="0" w:space="0" w:color="auto"/>
            <w:right w:val="none" w:sz="0" w:space="0" w:color="auto"/>
          </w:divBdr>
        </w:div>
        <w:div w:id="17708782">
          <w:marLeft w:val="0"/>
          <w:marRight w:val="0"/>
          <w:marTop w:val="0"/>
          <w:marBottom w:val="0"/>
          <w:divBdr>
            <w:top w:val="none" w:sz="0" w:space="0" w:color="auto"/>
            <w:left w:val="none" w:sz="0" w:space="0" w:color="auto"/>
            <w:bottom w:val="none" w:sz="0" w:space="0" w:color="auto"/>
            <w:right w:val="none" w:sz="0" w:space="0" w:color="auto"/>
          </w:divBdr>
        </w:div>
        <w:div w:id="1705323730">
          <w:marLeft w:val="0"/>
          <w:marRight w:val="0"/>
          <w:marTop w:val="0"/>
          <w:marBottom w:val="0"/>
          <w:divBdr>
            <w:top w:val="none" w:sz="0" w:space="0" w:color="auto"/>
            <w:left w:val="none" w:sz="0" w:space="0" w:color="auto"/>
            <w:bottom w:val="none" w:sz="0" w:space="0" w:color="auto"/>
            <w:right w:val="none" w:sz="0" w:space="0" w:color="auto"/>
          </w:divBdr>
        </w:div>
        <w:div w:id="27150936">
          <w:marLeft w:val="0"/>
          <w:marRight w:val="0"/>
          <w:marTop w:val="0"/>
          <w:marBottom w:val="0"/>
          <w:divBdr>
            <w:top w:val="none" w:sz="0" w:space="0" w:color="auto"/>
            <w:left w:val="none" w:sz="0" w:space="0" w:color="auto"/>
            <w:bottom w:val="none" w:sz="0" w:space="0" w:color="auto"/>
            <w:right w:val="none" w:sz="0" w:space="0" w:color="auto"/>
          </w:divBdr>
        </w:div>
        <w:div w:id="513618604">
          <w:marLeft w:val="0"/>
          <w:marRight w:val="0"/>
          <w:marTop w:val="0"/>
          <w:marBottom w:val="0"/>
          <w:divBdr>
            <w:top w:val="none" w:sz="0" w:space="0" w:color="auto"/>
            <w:left w:val="none" w:sz="0" w:space="0" w:color="auto"/>
            <w:bottom w:val="none" w:sz="0" w:space="0" w:color="auto"/>
            <w:right w:val="none" w:sz="0" w:space="0" w:color="auto"/>
          </w:divBdr>
        </w:div>
        <w:div w:id="330185095">
          <w:marLeft w:val="0"/>
          <w:marRight w:val="0"/>
          <w:marTop w:val="0"/>
          <w:marBottom w:val="0"/>
          <w:divBdr>
            <w:top w:val="none" w:sz="0" w:space="0" w:color="auto"/>
            <w:left w:val="none" w:sz="0" w:space="0" w:color="auto"/>
            <w:bottom w:val="none" w:sz="0" w:space="0" w:color="auto"/>
            <w:right w:val="none" w:sz="0" w:space="0" w:color="auto"/>
          </w:divBdr>
        </w:div>
        <w:div w:id="447360513">
          <w:marLeft w:val="0"/>
          <w:marRight w:val="0"/>
          <w:marTop w:val="0"/>
          <w:marBottom w:val="0"/>
          <w:divBdr>
            <w:top w:val="none" w:sz="0" w:space="0" w:color="auto"/>
            <w:left w:val="none" w:sz="0" w:space="0" w:color="auto"/>
            <w:bottom w:val="none" w:sz="0" w:space="0" w:color="auto"/>
            <w:right w:val="none" w:sz="0" w:space="0" w:color="auto"/>
          </w:divBdr>
        </w:div>
        <w:div w:id="1943605880">
          <w:marLeft w:val="0"/>
          <w:marRight w:val="0"/>
          <w:marTop w:val="0"/>
          <w:marBottom w:val="0"/>
          <w:divBdr>
            <w:top w:val="none" w:sz="0" w:space="0" w:color="auto"/>
            <w:left w:val="none" w:sz="0" w:space="0" w:color="auto"/>
            <w:bottom w:val="none" w:sz="0" w:space="0" w:color="auto"/>
            <w:right w:val="none" w:sz="0" w:space="0" w:color="auto"/>
          </w:divBdr>
        </w:div>
        <w:div w:id="618874708">
          <w:marLeft w:val="0"/>
          <w:marRight w:val="0"/>
          <w:marTop w:val="0"/>
          <w:marBottom w:val="0"/>
          <w:divBdr>
            <w:top w:val="none" w:sz="0" w:space="0" w:color="auto"/>
            <w:left w:val="none" w:sz="0" w:space="0" w:color="auto"/>
            <w:bottom w:val="none" w:sz="0" w:space="0" w:color="auto"/>
            <w:right w:val="none" w:sz="0" w:space="0" w:color="auto"/>
          </w:divBdr>
        </w:div>
        <w:div w:id="290282954">
          <w:marLeft w:val="0"/>
          <w:marRight w:val="0"/>
          <w:marTop w:val="0"/>
          <w:marBottom w:val="0"/>
          <w:divBdr>
            <w:top w:val="none" w:sz="0" w:space="0" w:color="auto"/>
            <w:left w:val="none" w:sz="0" w:space="0" w:color="auto"/>
            <w:bottom w:val="none" w:sz="0" w:space="0" w:color="auto"/>
            <w:right w:val="none" w:sz="0" w:space="0" w:color="auto"/>
          </w:divBdr>
        </w:div>
        <w:div w:id="1017150240">
          <w:marLeft w:val="0"/>
          <w:marRight w:val="0"/>
          <w:marTop w:val="0"/>
          <w:marBottom w:val="0"/>
          <w:divBdr>
            <w:top w:val="none" w:sz="0" w:space="0" w:color="auto"/>
            <w:left w:val="none" w:sz="0" w:space="0" w:color="auto"/>
            <w:bottom w:val="none" w:sz="0" w:space="0" w:color="auto"/>
            <w:right w:val="none" w:sz="0" w:space="0" w:color="auto"/>
          </w:divBdr>
        </w:div>
        <w:div w:id="608466084">
          <w:marLeft w:val="0"/>
          <w:marRight w:val="0"/>
          <w:marTop w:val="0"/>
          <w:marBottom w:val="0"/>
          <w:divBdr>
            <w:top w:val="none" w:sz="0" w:space="0" w:color="auto"/>
            <w:left w:val="none" w:sz="0" w:space="0" w:color="auto"/>
            <w:bottom w:val="none" w:sz="0" w:space="0" w:color="auto"/>
            <w:right w:val="none" w:sz="0" w:space="0" w:color="auto"/>
          </w:divBdr>
        </w:div>
        <w:div w:id="1760061712">
          <w:marLeft w:val="0"/>
          <w:marRight w:val="0"/>
          <w:marTop w:val="0"/>
          <w:marBottom w:val="0"/>
          <w:divBdr>
            <w:top w:val="none" w:sz="0" w:space="0" w:color="auto"/>
            <w:left w:val="none" w:sz="0" w:space="0" w:color="auto"/>
            <w:bottom w:val="none" w:sz="0" w:space="0" w:color="auto"/>
            <w:right w:val="none" w:sz="0" w:space="0" w:color="auto"/>
          </w:divBdr>
        </w:div>
        <w:div w:id="590089465">
          <w:marLeft w:val="0"/>
          <w:marRight w:val="0"/>
          <w:marTop w:val="0"/>
          <w:marBottom w:val="0"/>
          <w:divBdr>
            <w:top w:val="none" w:sz="0" w:space="0" w:color="auto"/>
            <w:left w:val="none" w:sz="0" w:space="0" w:color="auto"/>
            <w:bottom w:val="none" w:sz="0" w:space="0" w:color="auto"/>
            <w:right w:val="none" w:sz="0" w:space="0" w:color="auto"/>
          </w:divBdr>
        </w:div>
        <w:div w:id="798644839">
          <w:marLeft w:val="0"/>
          <w:marRight w:val="0"/>
          <w:marTop w:val="0"/>
          <w:marBottom w:val="0"/>
          <w:divBdr>
            <w:top w:val="none" w:sz="0" w:space="0" w:color="auto"/>
            <w:left w:val="none" w:sz="0" w:space="0" w:color="auto"/>
            <w:bottom w:val="none" w:sz="0" w:space="0" w:color="auto"/>
            <w:right w:val="none" w:sz="0" w:space="0" w:color="auto"/>
          </w:divBdr>
        </w:div>
        <w:div w:id="1324117014">
          <w:marLeft w:val="0"/>
          <w:marRight w:val="0"/>
          <w:marTop w:val="0"/>
          <w:marBottom w:val="0"/>
          <w:divBdr>
            <w:top w:val="none" w:sz="0" w:space="0" w:color="auto"/>
            <w:left w:val="none" w:sz="0" w:space="0" w:color="auto"/>
            <w:bottom w:val="none" w:sz="0" w:space="0" w:color="auto"/>
            <w:right w:val="none" w:sz="0" w:space="0" w:color="auto"/>
          </w:divBdr>
        </w:div>
        <w:div w:id="792332859">
          <w:marLeft w:val="0"/>
          <w:marRight w:val="0"/>
          <w:marTop w:val="0"/>
          <w:marBottom w:val="0"/>
          <w:divBdr>
            <w:top w:val="none" w:sz="0" w:space="0" w:color="auto"/>
            <w:left w:val="none" w:sz="0" w:space="0" w:color="auto"/>
            <w:bottom w:val="none" w:sz="0" w:space="0" w:color="auto"/>
            <w:right w:val="none" w:sz="0" w:space="0" w:color="auto"/>
          </w:divBdr>
        </w:div>
        <w:div w:id="130636821">
          <w:marLeft w:val="0"/>
          <w:marRight w:val="0"/>
          <w:marTop w:val="0"/>
          <w:marBottom w:val="0"/>
          <w:divBdr>
            <w:top w:val="none" w:sz="0" w:space="0" w:color="auto"/>
            <w:left w:val="none" w:sz="0" w:space="0" w:color="auto"/>
            <w:bottom w:val="none" w:sz="0" w:space="0" w:color="auto"/>
            <w:right w:val="none" w:sz="0" w:space="0" w:color="auto"/>
          </w:divBdr>
        </w:div>
        <w:div w:id="693774793">
          <w:marLeft w:val="0"/>
          <w:marRight w:val="0"/>
          <w:marTop w:val="0"/>
          <w:marBottom w:val="0"/>
          <w:divBdr>
            <w:top w:val="none" w:sz="0" w:space="0" w:color="auto"/>
            <w:left w:val="none" w:sz="0" w:space="0" w:color="auto"/>
            <w:bottom w:val="none" w:sz="0" w:space="0" w:color="auto"/>
            <w:right w:val="none" w:sz="0" w:space="0" w:color="auto"/>
          </w:divBdr>
        </w:div>
        <w:div w:id="527376836">
          <w:marLeft w:val="0"/>
          <w:marRight w:val="0"/>
          <w:marTop w:val="0"/>
          <w:marBottom w:val="0"/>
          <w:divBdr>
            <w:top w:val="none" w:sz="0" w:space="0" w:color="auto"/>
            <w:left w:val="none" w:sz="0" w:space="0" w:color="auto"/>
            <w:bottom w:val="none" w:sz="0" w:space="0" w:color="auto"/>
            <w:right w:val="none" w:sz="0" w:space="0" w:color="auto"/>
          </w:divBdr>
        </w:div>
        <w:div w:id="2141024845">
          <w:marLeft w:val="0"/>
          <w:marRight w:val="0"/>
          <w:marTop w:val="0"/>
          <w:marBottom w:val="0"/>
          <w:divBdr>
            <w:top w:val="none" w:sz="0" w:space="0" w:color="auto"/>
            <w:left w:val="none" w:sz="0" w:space="0" w:color="auto"/>
            <w:bottom w:val="none" w:sz="0" w:space="0" w:color="auto"/>
            <w:right w:val="none" w:sz="0" w:space="0" w:color="auto"/>
          </w:divBdr>
        </w:div>
        <w:div w:id="460273877">
          <w:marLeft w:val="0"/>
          <w:marRight w:val="0"/>
          <w:marTop w:val="0"/>
          <w:marBottom w:val="0"/>
          <w:divBdr>
            <w:top w:val="none" w:sz="0" w:space="0" w:color="auto"/>
            <w:left w:val="none" w:sz="0" w:space="0" w:color="auto"/>
            <w:bottom w:val="none" w:sz="0" w:space="0" w:color="auto"/>
            <w:right w:val="none" w:sz="0" w:space="0" w:color="auto"/>
          </w:divBdr>
        </w:div>
        <w:div w:id="1665205039">
          <w:marLeft w:val="0"/>
          <w:marRight w:val="0"/>
          <w:marTop w:val="0"/>
          <w:marBottom w:val="0"/>
          <w:divBdr>
            <w:top w:val="none" w:sz="0" w:space="0" w:color="auto"/>
            <w:left w:val="none" w:sz="0" w:space="0" w:color="auto"/>
            <w:bottom w:val="none" w:sz="0" w:space="0" w:color="auto"/>
            <w:right w:val="none" w:sz="0" w:space="0" w:color="auto"/>
          </w:divBdr>
        </w:div>
        <w:div w:id="906918296">
          <w:marLeft w:val="0"/>
          <w:marRight w:val="0"/>
          <w:marTop w:val="0"/>
          <w:marBottom w:val="0"/>
          <w:divBdr>
            <w:top w:val="none" w:sz="0" w:space="0" w:color="auto"/>
            <w:left w:val="none" w:sz="0" w:space="0" w:color="auto"/>
            <w:bottom w:val="none" w:sz="0" w:space="0" w:color="auto"/>
            <w:right w:val="none" w:sz="0" w:space="0" w:color="auto"/>
          </w:divBdr>
        </w:div>
        <w:div w:id="1955862328">
          <w:marLeft w:val="0"/>
          <w:marRight w:val="0"/>
          <w:marTop w:val="0"/>
          <w:marBottom w:val="0"/>
          <w:divBdr>
            <w:top w:val="none" w:sz="0" w:space="0" w:color="auto"/>
            <w:left w:val="none" w:sz="0" w:space="0" w:color="auto"/>
            <w:bottom w:val="none" w:sz="0" w:space="0" w:color="auto"/>
            <w:right w:val="none" w:sz="0" w:space="0" w:color="auto"/>
          </w:divBdr>
        </w:div>
        <w:div w:id="1395930007">
          <w:marLeft w:val="0"/>
          <w:marRight w:val="0"/>
          <w:marTop w:val="0"/>
          <w:marBottom w:val="0"/>
          <w:divBdr>
            <w:top w:val="none" w:sz="0" w:space="0" w:color="auto"/>
            <w:left w:val="none" w:sz="0" w:space="0" w:color="auto"/>
            <w:bottom w:val="none" w:sz="0" w:space="0" w:color="auto"/>
            <w:right w:val="none" w:sz="0" w:space="0" w:color="auto"/>
          </w:divBdr>
        </w:div>
        <w:div w:id="917445254">
          <w:marLeft w:val="0"/>
          <w:marRight w:val="0"/>
          <w:marTop w:val="0"/>
          <w:marBottom w:val="0"/>
          <w:divBdr>
            <w:top w:val="none" w:sz="0" w:space="0" w:color="auto"/>
            <w:left w:val="none" w:sz="0" w:space="0" w:color="auto"/>
            <w:bottom w:val="none" w:sz="0" w:space="0" w:color="auto"/>
            <w:right w:val="none" w:sz="0" w:space="0" w:color="auto"/>
          </w:divBdr>
        </w:div>
        <w:div w:id="216554564">
          <w:marLeft w:val="0"/>
          <w:marRight w:val="0"/>
          <w:marTop w:val="0"/>
          <w:marBottom w:val="0"/>
          <w:divBdr>
            <w:top w:val="none" w:sz="0" w:space="0" w:color="auto"/>
            <w:left w:val="none" w:sz="0" w:space="0" w:color="auto"/>
            <w:bottom w:val="none" w:sz="0" w:space="0" w:color="auto"/>
            <w:right w:val="none" w:sz="0" w:space="0" w:color="auto"/>
          </w:divBdr>
        </w:div>
        <w:div w:id="1039742154">
          <w:marLeft w:val="0"/>
          <w:marRight w:val="0"/>
          <w:marTop w:val="0"/>
          <w:marBottom w:val="0"/>
          <w:divBdr>
            <w:top w:val="none" w:sz="0" w:space="0" w:color="auto"/>
            <w:left w:val="none" w:sz="0" w:space="0" w:color="auto"/>
            <w:bottom w:val="none" w:sz="0" w:space="0" w:color="auto"/>
            <w:right w:val="none" w:sz="0" w:space="0" w:color="auto"/>
          </w:divBdr>
        </w:div>
        <w:div w:id="1068267373">
          <w:marLeft w:val="0"/>
          <w:marRight w:val="0"/>
          <w:marTop w:val="0"/>
          <w:marBottom w:val="0"/>
          <w:divBdr>
            <w:top w:val="none" w:sz="0" w:space="0" w:color="auto"/>
            <w:left w:val="none" w:sz="0" w:space="0" w:color="auto"/>
            <w:bottom w:val="none" w:sz="0" w:space="0" w:color="auto"/>
            <w:right w:val="none" w:sz="0" w:space="0" w:color="auto"/>
          </w:divBdr>
        </w:div>
        <w:div w:id="1093628710">
          <w:marLeft w:val="0"/>
          <w:marRight w:val="0"/>
          <w:marTop w:val="0"/>
          <w:marBottom w:val="0"/>
          <w:divBdr>
            <w:top w:val="none" w:sz="0" w:space="0" w:color="auto"/>
            <w:left w:val="none" w:sz="0" w:space="0" w:color="auto"/>
            <w:bottom w:val="none" w:sz="0" w:space="0" w:color="auto"/>
            <w:right w:val="none" w:sz="0" w:space="0" w:color="auto"/>
          </w:divBdr>
        </w:div>
        <w:div w:id="359089322">
          <w:marLeft w:val="0"/>
          <w:marRight w:val="0"/>
          <w:marTop w:val="0"/>
          <w:marBottom w:val="0"/>
          <w:divBdr>
            <w:top w:val="none" w:sz="0" w:space="0" w:color="auto"/>
            <w:left w:val="none" w:sz="0" w:space="0" w:color="auto"/>
            <w:bottom w:val="none" w:sz="0" w:space="0" w:color="auto"/>
            <w:right w:val="none" w:sz="0" w:space="0" w:color="auto"/>
          </w:divBdr>
        </w:div>
        <w:div w:id="1292782076">
          <w:marLeft w:val="0"/>
          <w:marRight w:val="0"/>
          <w:marTop w:val="0"/>
          <w:marBottom w:val="0"/>
          <w:divBdr>
            <w:top w:val="none" w:sz="0" w:space="0" w:color="auto"/>
            <w:left w:val="none" w:sz="0" w:space="0" w:color="auto"/>
            <w:bottom w:val="none" w:sz="0" w:space="0" w:color="auto"/>
            <w:right w:val="none" w:sz="0" w:space="0" w:color="auto"/>
          </w:divBdr>
        </w:div>
        <w:div w:id="1531336675">
          <w:marLeft w:val="0"/>
          <w:marRight w:val="0"/>
          <w:marTop w:val="0"/>
          <w:marBottom w:val="0"/>
          <w:divBdr>
            <w:top w:val="none" w:sz="0" w:space="0" w:color="auto"/>
            <w:left w:val="none" w:sz="0" w:space="0" w:color="auto"/>
            <w:bottom w:val="none" w:sz="0" w:space="0" w:color="auto"/>
            <w:right w:val="none" w:sz="0" w:space="0" w:color="auto"/>
          </w:divBdr>
        </w:div>
        <w:div w:id="921255968">
          <w:marLeft w:val="0"/>
          <w:marRight w:val="0"/>
          <w:marTop w:val="0"/>
          <w:marBottom w:val="0"/>
          <w:divBdr>
            <w:top w:val="none" w:sz="0" w:space="0" w:color="auto"/>
            <w:left w:val="none" w:sz="0" w:space="0" w:color="auto"/>
            <w:bottom w:val="none" w:sz="0" w:space="0" w:color="auto"/>
            <w:right w:val="none" w:sz="0" w:space="0" w:color="auto"/>
          </w:divBdr>
        </w:div>
        <w:div w:id="360863629">
          <w:marLeft w:val="0"/>
          <w:marRight w:val="0"/>
          <w:marTop w:val="0"/>
          <w:marBottom w:val="0"/>
          <w:divBdr>
            <w:top w:val="none" w:sz="0" w:space="0" w:color="auto"/>
            <w:left w:val="none" w:sz="0" w:space="0" w:color="auto"/>
            <w:bottom w:val="none" w:sz="0" w:space="0" w:color="auto"/>
            <w:right w:val="none" w:sz="0" w:space="0" w:color="auto"/>
          </w:divBdr>
        </w:div>
        <w:div w:id="1326007910">
          <w:marLeft w:val="0"/>
          <w:marRight w:val="0"/>
          <w:marTop w:val="0"/>
          <w:marBottom w:val="0"/>
          <w:divBdr>
            <w:top w:val="none" w:sz="0" w:space="0" w:color="auto"/>
            <w:left w:val="none" w:sz="0" w:space="0" w:color="auto"/>
            <w:bottom w:val="none" w:sz="0" w:space="0" w:color="auto"/>
            <w:right w:val="none" w:sz="0" w:space="0" w:color="auto"/>
          </w:divBdr>
        </w:div>
        <w:div w:id="1354114850">
          <w:marLeft w:val="0"/>
          <w:marRight w:val="0"/>
          <w:marTop w:val="0"/>
          <w:marBottom w:val="0"/>
          <w:divBdr>
            <w:top w:val="none" w:sz="0" w:space="0" w:color="auto"/>
            <w:left w:val="none" w:sz="0" w:space="0" w:color="auto"/>
            <w:bottom w:val="none" w:sz="0" w:space="0" w:color="auto"/>
            <w:right w:val="none" w:sz="0" w:space="0" w:color="auto"/>
          </w:divBdr>
        </w:div>
        <w:div w:id="1416629156">
          <w:marLeft w:val="0"/>
          <w:marRight w:val="0"/>
          <w:marTop w:val="0"/>
          <w:marBottom w:val="0"/>
          <w:divBdr>
            <w:top w:val="none" w:sz="0" w:space="0" w:color="auto"/>
            <w:left w:val="none" w:sz="0" w:space="0" w:color="auto"/>
            <w:bottom w:val="none" w:sz="0" w:space="0" w:color="auto"/>
            <w:right w:val="none" w:sz="0" w:space="0" w:color="auto"/>
          </w:divBdr>
        </w:div>
        <w:div w:id="209925283">
          <w:marLeft w:val="0"/>
          <w:marRight w:val="0"/>
          <w:marTop w:val="0"/>
          <w:marBottom w:val="0"/>
          <w:divBdr>
            <w:top w:val="none" w:sz="0" w:space="0" w:color="auto"/>
            <w:left w:val="none" w:sz="0" w:space="0" w:color="auto"/>
            <w:bottom w:val="none" w:sz="0" w:space="0" w:color="auto"/>
            <w:right w:val="none" w:sz="0" w:space="0" w:color="auto"/>
          </w:divBdr>
        </w:div>
        <w:div w:id="1955743649">
          <w:marLeft w:val="0"/>
          <w:marRight w:val="0"/>
          <w:marTop w:val="0"/>
          <w:marBottom w:val="0"/>
          <w:divBdr>
            <w:top w:val="none" w:sz="0" w:space="0" w:color="auto"/>
            <w:left w:val="none" w:sz="0" w:space="0" w:color="auto"/>
            <w:bottom w:val="none" w:sz="0" w:space="0" w:color="auto"/>
            <w:right w:val="none" w:sz="0" w:space="0" w:color="auto"/>
          </w:divBdr>
        </w:div>
        <w:div w:id="105126501">
          <w:marLeft w:val="0"/>
          <w:marRight w:val="0"/>
          <w:marTop w:val="0"/>
          <w:marBottom w:val="0"/>
          <w:divBdr>
            <w:top w:val="none" w:sz="0" w:space="0" w:color="auto"/>
            <w:left w:val="none" w:sz="0" w:space="0" w:color="auto"/>
            <w:bottom w:val="none" w:sz="0" w:space="0" w:color="auto"/>
            <w:right w:val="none" w:sz="0" w:space="0" w:color="auto"/>
          </w:divBdr>
        </w:div>
        <w:div w:id="295182250">
          <w:marLeft w:val="0"/>
          <w:marRight w:val="0"/>
          <w:marTop w:val="0"/>
          <w:marBottom w:val="0"/>
          <w:divBdr>
            <w:top w:val="none" w:sz="0" w:space="0" w:color="auto"/>
            <w:left w:val="none" w:sz="0" w:space="0" w:color="auto"/>
            <w:bottom w:val="none" w:sz="0" w:space="0" w:color="auto"/>
            <w:right w:val="none" w:sz="0" w:space="0" w:color="auto"/>
          </w:divBdr>
        </w:div>
        <w:div w:id="1542087517">
          <w:marLeft w:val="0"/>
          <w:marRight w:val="0"/>
          <w:marTop w:val="0"/>
          <w:marBottom w:val="0"/>
          <w:divBdr>
            <w:top w:val="none" w:sz="0" w:space="0" w:color="auto"/>
            <w:left w:val="none" w:sz="0" w:space="0" w:color="auto"/>
            <w:bottom w:val="none" w:sz="0" w:space="0" w:color="auto"/>
            <w:right w:val="none" w:sz="0" w:space="0" w:color="auto"/>
          </w:divBdr>
        </w:div>
        <w:div w:id="370880177">
          <w:marLeft w:val="0"/>
          <w:marRight w:val="0"/>
          <w:marTop w:val="0"/>
          <w:marBottom w:val="0"/>
          <w:divBdr>
            <w:top w:val="none" w:sz="0" w:space="0" w:color="auto"/>
            <w:left w:val="none" w:sz="0" w:space="0" w:color="auto"/>
            <w:bottom w:val="none" w:sz="0" w:space="0" w:color="auto"/>
            <w:right w:val="none" w:sz="0" w:space="0" w:color="auto"/>
          </w:divBdr>
        </w:div>
        <w:div w:id="1131365986">
          <w:marLeft w:val="0"/>
          <w:marRight w:val="0"/>
          <w:marTop w:val="0"/>
          <w:marBottom w:val="0"/>
          <w:divBdr>
            <w:top w:val="none" w:sz="0" w:space="0" w:color="auto"/>
            <w:left w:val="none" w:sz="0" w:space="0" w:color="auto"/>
            <w:bottom w:val="none" w:sz="0" w:space="0" w:color="auto"/>
            <w:right w:val="none" w:sz="0" w:space="0" w:color="auto"/>
          </w:divBdr>
        </w:div>
        <w:div w:id="1248424604">
          <w:marLeft w:val="0"/>
          <w:marRight w:val="0"/>
          <w:marTop w:val="0"/>
          <w:marBottom w:val="0"/>
          <w:divBdr>
            <w:top w:val="none" w:sz="0" w:space="0" w:color="auto"/>
            <w:left w:val="none" w:sz="0" w:space="0" w:color="auto"/>
            <w:bottom w:val="none" w:sz="0" w:space="0" w:color="auto"/>
            <w:right w:val="none" w:sz="0" w:space="0" w:color="auto"/>
          </w:divBdr>
        </w:div>
        <w:div w:id="2128115280">
          <w:marLeft w:val="0"/>
          <w:marRight w:val="0"/>
          <w:marTop w:val="0"/>
          <w:marBottom w:val="0"/>
          <w:divBdr>
            <w:top w:val="none" w:sz="0" w:space="0" w:color="auto"/>
            <w:left w:val="none" w:sz="0" w:space="0" w:color="auto"/>
            <w:bottom w:val="none" w:sz="0" w:space="0" w:color="auto"/>
            <w:right w:val="none" w:sz="0" w:space="0" w:color="auto"/>
          </w:divBdr>
        </w:div>
        <w:div w:id="1995792766">
          <w:marLeft w:val="0"/>
          <w:marRight w:val="0"/>
          <w:marTop w:val="0"/>
          <w:marBottom w:val="0"/>
          <w:divBdr>
            <w:top w:val="none" w:sz="0" w:space="0" w:color="auto"/>
            <w:left w:val="none" w:sz="0" w:space="0" w:color="auto"/>
            <w:bottom w:val="none" w:sz="0" w:space="0" w:color="auto"/>
            <w:right w:val="none" w:sz="0" w:space="0" w:color="auto"/>
          </w:divBdr>
        </w:div>
        <w:div w:id="1178543212">
          <w:marLeft w:val="0"/>
          <w:marRight w:val="0"/>
          <w:marTop w:val="0"/>
          <w:marBottom w:val="0"/>
          <w:divBdr>
            <w:top w:val="none" w:sz="0" w:space="0" w:color="auto"/>
            <w:left w:val="none" w:sz="0" w:space="0" w:color="auto"/>
            <w:bottom w:val="none" w:sz="0" w:space="0" w:color="auto"/>
            <w:right w:val="none" w:sz="0" w:space="0" w:color="auto"/>
          </w:divBdr>
        </w:div>
        <w:div w:id="1444305909">
          <w:marLeft w:val="0"/>
          <w:marRight w:val="0"/>
          <w:marTop w:val="0"/>
          <w:marBottom w:val="0"/>
          <w:divBdr>
            <w:top w:val="none" w:sz="0" w:space="0" w:color="auto"/>
            <w:left w:val="none" w:sz="0" w:space="0" w:color="auto"/>
            <w:bottom w:val="none" w:sz="0" w:space="0" w:color="auto"/>
            <w:right w:val="none" w:sz="0" w:space="0" w:color="auto"/>
          </w:divBdr>
        </w:div>
        <w:div w:id="1954096870">
          <w:marLeft w:val="0"/>
          <w:marRight w:val="0"/>
          <w:marTop w:val="0"/>
          <w:marBottom w:val="0"/>
          <w:divBdr>
            <w:top w:val="none" w:sz="0" w:space="0" w:color="auto"/>
            <w:left w:val="none" w:sz="0" w:space="0" w:color="auto"/>
            <w:bottom w:val="none" w:sz="0" w:space="0" w:color="auto"/>
            <w:right w:val="none" w:sz="0" w:space="0" w:color="auto"/>
          </w:divBdr>
        </w:div>
        <w:div w:id="1489249629">
          <w:marLeft w:val="0"/>
          <w:marRight w:val="0"/>
          <w:marTop w:val="0"/>
          <w:marBottom w:val="0"/>
          <w:divBdr>
            <w:top w:val="none" w:sz="0" w:space="0" w:color="auto"/>
            <w:left w:val="none" w:sz="0" w:space="0" w:color="auto"/>
            <w:bottom w:val="none" w:sz="0" w:space="0" w:color="auto"/>
            <w:right w:val="none" w:sz="0" w:space="0" w:color="auto"/>
          </w:divBdr>
        </w:div>
        <w:div w:id="1682468337">
          <w:marLeft w:val="0"/>
          <w:marRight w:val="0"/>
          <w:marTop w:val="0"/>
          <w:marBottom w:val="0"/>
          <w:divBdr>
            <w:top w:val="none" w:sz="0" w:space="0" w:color="auto"/>
            <w:left w:val="none" w:sz="0" w:space="0" w:color="auto"/>
            <w:bottom w:val="none" w:sz="0" w:space="0" w:color="auto"/>
            <w:right w:val="none" w:sz="0" w:space="0" w:color="auto"/>
          </w:divBdr>
        </w:div>
        <w:div w:id="1846482029">
          <w:marLeft w:val="0"/>
          <w:marRight w:val="0"/>
          <w:marTop w:val="0"/>
          <w:marBottom w:val="0"/>
          <w:divBdr>
            <w:top w:val="none" w:sz="0" w:space="0" w:color="auto"/>
            <w:left w:val="none" w:sz="0" w:space="0" w:color="auto"/>
            <w:bottom w:val="none" w:sz="0" w:space="0" w:color="auto"/>
            <w:right w:val="none" w:sz="0" w:space="0" w:color="auto"/>
          </w:divBdr>
        </w:div>
        <w:div w:id="356393262">
          <w:marLeft w:val="0"/>
          <w:marRight w:val="0"/>
          <w:marTop w:val="0"/>
          <w:marBottom w:val="0"/>
          <w:divBdr>
            <w:top w:val="none" w:sz="0" w:space="0" w:color="auto"/>
            <w:left w:val="none" w:sz="0" w:space="0" w:color="auto"/>
            <w:bottom w:val="none" w:sz="0" w:space="0" w:color="auto"/>
            <w:right w:val="none" w:sz="0" w:space="0" w:color="auto"/>
          </w:divBdr>
        </w:div>
        <w:div w:id="2040467192">
          <w:marLeft w:val="0"/>
          <w:marRight w:val="0"/>
          <w:marTop w:val="0"/>
          <w:marBottom w:val="0"/>
          <w:divBdr>
            <w:top w:val="none" w:sz="0" w:space="0" w:color="auto"/>
            <w:left w:val="none" w:sz="0" w:space="0" w:color="auto"/>
            <w:bottom w:val="none" w:sz="0" w:space="0" w:color="auto"/>
            <w:right w:val="none" w:sz="0" w:space="0" w:color="auto"/>
          </w:divBdr>
        </w:div>
        <w:div w:id="1285504616">
          <w:marLeft w:val="0"/>
          <w:marRight w:val="0"/>
          <w:marTop w:val="0"/>
          <w:marBottom w:val="0"/>
          <w:divBdr>
            <w:top w:val="none" w:sz="0" w:space="0" w:color="auto"/>
            <w:left w:val="none" w:sz="0" w:space="0" w:color="auto"/>
            <w:bottom w:val="none" w:sz="0" w:space="0" w:color="auto"/>
            <w:right w:val="none" w:sz="0" w:space="0" w:color="auto"/>
          </w:divBdr>
        </w:div>
      </w:divsChild>
    </w:div>
    <w:div w:id="736509906">
      <w:bodyDiv w:val="1"/>
      <w:marLeft w:val="0"/>
      <w:marRight w:val="0"/>
      <w:marTop w:val="0"/>
      <w:marBottom w:val="0"/>
      <w:divBdr>
        <w:top w:val="none" w:sz="0" w:space="0" w:color="auto"/>
        <w:left w:val="none" w:sz="0" w:space="0" w:color="auto"/>
        <w:bottom w:val="none" w:sz="0" w:space="0" w:color="auto"/>
        <w:right w:val="none" w:sz="0" w:space="0" w:color="auto"/>
      </w:divBdr>
    </w:div>
    <w:div w:id="913592352">
      <w:bodyDiv w:val="1"/>
      <w:marLeft w:val="0"/>
      <w:marRight w:val="0"/>
      <w:marTop w:val="0"/>
      <w:marBottom w:val="0"/>
      <w:divBdr>
        <w:top w:val="none" w:sz="0" w:space="0" w:color="auto"/>
        <w:left w:val="none" w:sz="0" w:space="0" w:color="auto"/>
        <w:bottom w:val="none" w:sz="0" w:space="0" w:color="auto"/>
        <w:right w:val="none" w:sz="0" w:space="0" w:color="auto"/>
      </w:divBdr>
    </w:div>
    <w:div w:id="1042750681">
      <w:bodyDiv w:val="1"/>
      <w:marLeft w:val="0"/>
      <w:marRight w:val="0"/>
      <w:marTop w:val="0"/>
      <w:marBottom w:val="0"/>
      <w:divBdr>
        <w:top w:val="none" w:sz="0" w:space="0" w:color="auto"/>
        <w:left w:val="none" w:sz="0" w:space="0" w:color="auto"/>
        <w:bottom w:val="none" w:sz="0" w:space="0" w:color="auto"/>
        <w:right w:val="none" w:sz="0" w:space="0" w:color="auto"/>
      </w:divBdr>
    </w:div>
    <w:div w:id="1095591837">
      <w:bodyDiv w:val="1"/>
      <w:marLeft w:val="0"/>
      <w:marRight w:val="0"/>
      <w:marTop w:val="0"/>
      <w:marBottom w:val="0"/>
      <w:divBdr>
        <w:top w:val="none" w:sz="0" w:space="0" w:color="auto"/>
        <w:left w:val="none" w:sz="0" w:space="0" w:color="auto"/>
        <w:bottom w:val="none" w:sz="0" w:space="0" w:color="auto"/>
        <w:right w:val="none" w:sz="0" w:space="0" w:color="auto"/>
      </w:divBdr>
    </w:div>
    <w:div w:id="1151479042">
      <w:bodyDiv w:val="1"/>
      <w:marLeft w:val="0"/>
      <w:marRight w:val="0"/>
      <w:marTop w:val="0"/>
      <w:marBottom w:val="0"/>
      <w:divBdr>
        <w:top w:val="none" w:sz="0" w:space="0" w:color="auto"/>
        <w:left w:val="none" w:sz="0" w:space="0" w:color="auto"/>
        <w:bottom w:val="none" w:sz="0" w:space="0" w:color="auto"/>
        <w:right w:val="none" w:sz="0" w:space="0" w:color="auto"/>
      </w:divBdr>
      <w:divsChild>
        <w:div w:id="285162922">
          <w:marLeft w:val="0"/>
          <w:marRight w:val="0"/>
          <w:marTop w:val="0"/>
          <w:marBottom w:val="0"/>
          <w:divBdr>
            <w:top w:val="none" w:sz="0" w:space="0" w:color="auto"/>
            <w:left w:val="none" w:sz="0" w:space="0" w:color="auto"/>
            <w:bottom w:val="none" w:sz="0" w:space="0" w:color="auto"/>
            <w:right w:val="none" w:sz="0" w:space="0" w:color="auto"/>
          </w:divBdr>
          <w:divsChild>
            <w:div w:id="881213678">
              <w:marLeft w:val="0"/>
              <w:marRight w:val="0"/>
              <w:marTop w:val="0"/>
              <w:marBottom w:val="0"/>
              <w:divBdr>
                <w:top w:val="none" w:sz="0" w:space="0" w:color="auto"/>
                <w:left w:val="none" w:sz="0" w:space="0" w:color="auto"/>
                <w:bottom w:val="none" w:sz="0" w:space="0" w:color="auto"/>
                <w:right w:val="none" w:sz="0" w:space="0" w:color="auto"/>
              </w:divBdr>
              <w:divsChild>
                <w:div w:id="3169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6940">
      <w:bodyDiv w:val="1"/>
      <w:marLeft w:val="0"/>
      <w:marRight w:val="0"/>
      <w:marTop w:val="0"/>
      <w:marBottom w:val="0"/>
      <w:divBdr>
        <w:top w:val="none" w:sz="0" w:space="0" w:color="auto"/>
        <w:left w:val="none" w:sz="0" w:space="0" w:color="auto"/>
        <w:bottom w:val="none" w:sz="0" w:space="0" w:color="auto"/>
        <w:right w:val="none" w:sz="0" w:space="0" w:color="auto"/>
      </w:divBdr>
    </w:div>
    <w:div w:id="1448550901">
      <w:bodyDiv w:val="1"/>
      <w:marLeft w:val="0"/>
      <w:marRight w:val="0"/>
      <w:marTop w:val="0"/>
      <w:marBottom w:val="0"/>
      <w:divBdr>
        <w:top w:val="none" w:sz="0" w:space="0" w:color="auto"/>
        <w:left w:val="none" w:sz="0" w:space="0" w:color="auto"/>
        <w:bottom w:val="none" w:sz="0" w:space="0" w:color="auto"/>
        <w:right w:val="none" w:sz="0" w:space="0" w:color="auto"/>
      </w:divBdr>
    </w:div>
    <w:div w:id="1619675114">
      <w:bodyDiv w:val="1"/>
      <w:marLeft w:val="0"/>
      <w:marRight w:val="0"/>
      <w:marTop w:val="0"/>
      <w:marBottom w:val="0"/>
      <w:divBdr>
        <w:top w:val="none" w:sz="0" w:space="0" w:color="auto"/>
        <w:left w:val="none" w:sz="0" w:space="0" w:color="auto"/>
        <w:bottom w:val="none" w:sz="0" w:space="0" w:color="auto"/>
        <w:right w:val="none" w:sz="0" w:space="0" w:color="auto"/>
      </w:divBdr>
    </w:div>
    <w:div w:id="1756240005">
      <w:bodyDiv w:val="1"/>
      <w:marLeft w:val="0"/>
      <w:marRight w:val="0"/>
      <w:marTop w:val="0"/>
      <w:marBottom w:val="0"/>
      <w:divBdr>
        <w:top w:val="none" w:sz="0" w:space="0" w:color="auto"/>
        <w:left w:val="none" w:sz="0" w:space="0" w:color="auto"/>
        <w:bottom w:val="none" w:sz="0" w:space="0" w:color="auto"/>
        <w:right w:val="none" w:sz="0" w:space="0" w:color="auto"/>
      </w:divBdr>
    </w:div>
    <w:div w:id="1875731073">
      <w:bodyDiv w:val="1"/>
      <w:marLeft w:val="0"/>
      <w:marRight w:val="0"/>
      <w:marTop w:val="0"/>
      <w:marBottom w:val="0"/>
      <w:divBdr>
        <w:top w:val="none" w:sz="0" w:space="0" w:color="auto"/>
        <w:left w:val="none" w:sz="0" w:space="0" w:color="auto"/>
        <w:bottom w:val="none" w:sz="0" w:space="0" w:color="auto"/>
        <w:right w:val="none" w:sz="0" w:space="0" w:color="auto"/>
      </w:divBdr>
    </w:div>
    <w:div w:id="211801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news-room/fact-sheets/detail/dement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raz.org.br/2020/sobre-alzheimer/o-que-e-alzheimer-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ferenceId xmlns="5bc03e4a-9a8a-4b5e-b317-7354d82ce4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EB1706CCDC0CB48AF68A804E15D4E9F" ma:contentTypeVersion="3" ma:contentTypeDescription="Crie um novo documento." ma:contentTypeScope="" ma:versionID="d2ea9c544378afca53a0f55d2b939d76">
  <xsd:schema xmlns:xsd="http://www.w3.org/2001/XMLSchema" xmlns:xs="http://www.w3.org/2001/XMLSchema" xmlns:p="http://schemas.microsoft.com/office/2006/metadata/properties" xmlns:ns2="5bc03e4a-9a8a-4b5e-b317-7354d82ce4b0" targetNamespace="http://schemas.microsoft.com/office/2006/metadata/properties" ma:root="true" ma:fieldsID="794294d0c72be4d1b5cc2be6956b91ac" ns2:_="">
    <xsd:import namespace="5bc03e4a-9a8a-4b5e-b317-7354d82ce4b0"/>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03e4a-9a8a-4b5e-b317-7354d82ce4b0"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CBD6E-AF8B-471C-BF67-4E2C450404A3}">
  <ds:schemaRefs>
    <ds:schemaRef ds:uri="http://schemas.openxmlformats.org/officeDocument/2006/bibliography"/>
  </ds:schemaRefs>
</ds:datastoreItem>
</file>

<file path=customXml/itemProps2.xml><?xml version="1.0" encoding="utf-8"?>
<ds:datastoreItem xmlns:ds="http://schemas.openxmlformats.org/officeDocument/2006/customXml" ds:itemID="{98E82F61-B3F8-458B-A395-992227FA9CB4}">
  <ds:schemaRefs>
    <ds:schemaRef ds:uri="http://schemas.microsoft.com/office/2006/metadata/properties"/>
    <ds:schemaRef ds:uri="http://schemas.microsoft.com/office/infopath/2007/PartnerControls"/>
    <ds:schemaRef ds:uri="5bc03e4a-9a8a-4b5e-b317-7354d82ce4b0"/>
  </ds:schemaRefs>
</ds:datastoreItem>
</file>

<file path=customXml/itemProps3.xml><?xml version="1.0" encoding="utf-8"?>
<ds:datastoreItem xmlns:ds="http://schemas.openxmlformats.org/officeDocument/2006/customXml" ds:itemID="{69FAFF16-ADCF-4892-BC03-AA5E202C0A31}">
  <ds:schemaRefs>
    <ds:schemaRef ds:uri="http://schemas.microsoft.com/sharepoint/v3/contenttype/forms"/>
  </ds:schemaRefs>
</ds:datastoreItem>
</file>

<file path=customXml/itemProps4.xml><?xml version="1.0" encoding="utf-8"?>
<ds:datastoreItem xmlns:ds="http://schemas.openxmlformats.org/officeDocument/2006/customXml" ds:itemID="{61081DB8-415F-4EE5-AB58-4B8EB2692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03e4a-9a8a-4b5e-b317-7354d82ce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26</Pages>
  <Words>6521</Words>
  <Characters>35218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91</cp:revision>
  <dcterms:created xsi:type="dcterms:W3CDTF">2020-10-08T11:13:00Z</dcterms:created>
  <dcterms:modified xsi:type="dcterms:W3CDTF">2020-12-12T15:55:00Z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0x010100BEB1706CCDC0CB48AF68A804E15D4E9F</vt:lpwstr>
  </property>
</Properties>
</file>